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9E607E">
      <w:pP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008607B9">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9E607E" w:rsidP="00824525">
            <w:pPr>
              <w:spacing w:before="60" w:after="60"/>
              <w:jc w:val="center"/>
              <w:rPr>
                <w:rFonts w:ascii="Arial" w:hAnsi="Arial" w:cs="Arial"/>
                <w:b/>
                <w:sz w:val="28"/>
                <w:szCs w:val="28"/>
              </w:rPr>
            </w:pPr>
            <w:r w:rsidRPr="009E607E">
              <w:rPr>
                <w:rFonts w:ascii="Arial" w:hAnsi="Arial"/>
                <w:b/>
                <w:sz w:val="28"/>
              </w:rPr>
              <w:t>TAGASISIDEKORJE:</w:t>
            </w:r>
          </w:p>
          <w:p w:rsidR="009E6661" w:rsidRPr="009E607E" w:rsidP="00B312B7">
            <w:pPr>
              <w:spacing w:before="60" w:after="60"/>
              <w:jc w:val="center"/>
              <w:rPr>
                <w:rFonts w:ascii="Arial" w:hAnsi="Arial" w:cs="Arial"/>
                <w:b/>
                <w:i/>
                <w:sz w:val="20"/>
                <w:szCs w:val="20"/>
              </w:rPr>
            </w:pPr>
            <w:r w:rsidRPr="009E607E">
              <w:rPr>
                <w:rFonts w:ascii="Arial" w:hAnsi="Arial"/>
                <w:b/>
                <w:sz w:val="28"/>
              </w:rPr>
              <w:t xml:space="preserve">ALGATUS </w:t>
            </w:r>
            <w:r w:rsidRPr="009E607E">
              <w:rPr>
                <w:rFonts w:ascii="Arial" w:hAnsi="Arial"/>
                <w:b/>
                <w:color w:val="FFFFFF" w:themeColor="background1"/>
                <w:sz w:val="28"/>
              </w:rPr>
              <w:t>(mõjuhinnanguta)</w:t>
            </w:r>
          </w:p>
        </w:tc>
      </w:tr>
      <w:tr w:rsidTr="00035A3D">
        <w:tblPrEx>
          <w:tblW w:w="10188" w:type="dxa"/>
          <w:tblLayout w:type="fixed"/>
          <w:tblLook w:val="01E0"/>
        </w:tblPrEx>
        <w:tc>
          <w:tcPr>
            <w:tcW w:w="10188" w:type="dxa"/>
            <w:gridSpan w:val="2"/>
            <w:tcBorders>
              <w:bottom w:val="single" w:sz="4" w:space="0" w:color="auto"/>
            </w:tcBorders>
            <w:shd w:val="clear" w:color="auto" w:fill="E6E6E6"/>
          </w:tcPr>
          <w:p w:rsidR="00810C61" w:rsidRPr="009E607E" w:rsidP="00347966">
            <w:pPr>
              <w:spacing w:before="120" w:after="120"/>
              <w:jc w:val="both"/>
              <w:rPr>
                <w:rFonts w:ascii="Arial" w:hAnsi="Arial" w:cs="Arial"/>
                <w:color w:val="000080"/>
                <w:sz w:val="18"/>
                <w:szCs w:val="18"/>
              </w:rPr>
            </w:pPr>
            <w:r w:rsidRPr="009E607E">
              <w:rPr>
                <w:rFonts w:ascii="Arial" w:hAnsi="Arial"/>
                <w:color w:val="000080"/>
                <w:sz w:val="18"/>
              </w:rPr>
              <w:t>Käesoleva dokumendi eesmärk on anda komisjoni töö kohta teavet avalikkusele ja sidusrühmadele, et nad saaksid anda tagasisidet ja tulemuslikult konsultatsioonides osaleda.</w:t>
            </w:r>
          </w:p>
          <w:p w:rsidR="00B96B28" w:rsidRPr="009E607E" w:rsidP="003A46A1">
            <w:pPr>
              <w:spacing w:before="60" w:after="120"/>
              <w:jc w:val="both"/>
              <w:rPr>
                <w:rFonts w:ascii="Arial" w:hAnsi="Arial" w:cs="Arial"/>
                <w:color w:val="000080"/>
                <w:sz w:val="18"/>
                <w:szCs w:val="18"/>
              </w:rPr>
            </w:pPr>
            <w:r w:rsidRPr="009E607E">
              <w:rPr>
                <w:rFonts w:ascii="Arial" w:hAnsi="Arial"/>
                <w:color w:val="000080"/>
                <w:sz w:val="18"/>
              </w:rPr>
              <w:t xml:space="preserve">Palume sihtrühmadel avaldada arvamust komisjoni arusaama kohta probleemist ja selle võimalikest lahendustest ning esitada meile kogu nende käsutuses olev asjakohane teave. </w:t>
            </w:r>
          </w:p>
        </w:tc>
      </w:tr>
      <w:tr w:rsidTr="008607B9">
        <w:tblPrEx>
          <w:tblW w:w="10188" w:type="dxa"/>
          <w:tblLayout w:type="fixed"/>
          <w:tblLook w:val="01E0"/>
        </w:tblPrEx>
        <w:tc>
          <w:tcPr>
            <w:tcW w:w="2807" w:type="dxa"/>
            <w:tcBorders>
              <w:bottom w:val="single" w:sz="4" w:space="0" w:color="auto"/>
            </w:tcBorders>
            <w:shd w:val="clear" w:color="auto" w:fill="E6E6E6"/>
          </w:tcPr>
          <w:p w:rsidR="009E6661" w:rsidRPr="009E607E" w:rsidP="00824525">
            <w:pPr>
              <w:spacing w:before="60" w:after="60"/>
              <w:jc w:val="both"/>
              <w:rPr>
                <w:rFonts w:ascii="Arial" w:hAnsi="Arial" w:cs="Arial"/>
                <w:b/>
                <w:bCs/>
                <w:smallCaps/>
                <w:sz w:val="20"/>
                <w:szCs w:val="20"/>
              </w:rPr>
            </w:pPr>
            <w:r w:rsidRPr="009E607E">
              <w:rPr>
                <w:rFonts w:ascii="Arial" w:hAnsi="Arial"/>
                <w:b/>
                <w:smallCaps/>
                <w:sz w:val="20"/>
              </w:rPr>
              <w:t>Algatuse pealkiri</w:t>
            </w:r>
          </w:p>
        </w:tc>
        <w:tc>
          <w:tcPr>
            <w:tcW w:w="7381" w:type="dxa"/>
            <w:shd w:val="clear" w:color="auto" w:fill="auto"/>
          </w:tcPr>
          <w:p w:rsidR="0075560F" w:rsidRPr="009E607E" w:rsidP="00887B22">
            <w:pPr>
              <w:jc w:val="both"/>
              <w:rPr>
                <w:rFonts w:ascii="Arial" w:hAnsi="Arial" w:cs="Arial"/>
                <w:color w:val="000080"/>
                <w:sz w:val="20"/>
                <w:szCs w:val="20"/>
              </w:rPr>
            </w:pPr>
            <w:r w:rsidRPr="009E607E">
              <w:rPr>
                <w:rFonts w:ascii="Calibri" w:hAnsi="Calibri"/>
                <w:color w:val="000000"/>
                <w:sz w:val="22"/>
              </w:rPr>
              <w:t>Rendiautode viimine teistesse ELi riikidesse – eeskirjad</w:t>
            </w:r>
          </w:p>
        </w:tc>
      </w:tr>
      <w:tr w:rsidTr="00035A3D">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9E607E" w:rsidP="008B4A52">
            <w:pPr>
              <w:spacing w:before="60" w:after="60"/>
              <w:jc w:val="both"/>
              <w:rPr>
                <w:rFonts w:ascii="Arial" w:hAnsi="Arial" w:cs="Arial"/>
                <w:b/>
                <w:bCs/>
                <w:smallCaps/>
                <w:sz w:val="20"/>
                <w:szCs w:val="20"/>
              </w:rPr>
            </w:pPr>
            <w:r w:rsidRPr="009E607E">
              <w:rPr>
                <w:rFonts w:ascii="Arial" w:hAnsi="Arial"/>
                <w:b/>
                <w:smallCaps/>
                <w:sz w:val="20"/>
              </w:rPr>
              <w:t xml:space="preserve">Juhtiv peadirektoraat – vastutav üksus </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F07210" w:rsidRPr="009E607E" w:rsidP="00106A9A">
            <w:pPr>
              <w:spacing w:before="60" w:after="60"/>
              <w:jc w:val="both"/>
              <w:rPr>
                <w:rFonts w:ascii="Arial" w:hAnsi="Arial" w:cs="Arial"/>
                <w:color w:val="000080"/>
                <w:sz w:val="20"/>
                <w:szCs w:val="20"/>
              </w:rPr>
            </w:pPr>
            <w:r w:rsidRPr="009E607E">
              <w:rPr>
                <w:rFonts w:ascii="Arial" w:hAnsi="Arial"/>
                <w:color w:val="000080"/>
                <w:sz w:val="20"/>
              </w:rPr>
              <w:t>Liikuvuse ja transpordi peadirektoraat – C 1 – Maanteetransport</w:t>
            </w:r>
          </w:p>
        </w:tc>
      </w:tr>
      <w:tr w:rsidTr="008607B9">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9E607E" w:rsidP="00824525">
            <w:pPr>
              <w:spacing w:before="60" w:after="60"/>
              <w:jc w:val="both"/>
              <w:rPr>
                <w:rFonts w:ascii="Arial" w:hAnsi="Arial" w:cs="Arial"/>
                <w:b/>
                <w:bCs/>
                <w:smallCaps/>
                <w:sz w:val="20"/>
                <w:szCs w:val="20"/>
              </w:rPr>
            </w:pPr>
            <w:r w:rsidRPr="009E607E">
              <w:rPr>
                <w:rFonts w:ascii="Arial" w:hAnsi="Arial"/>
                <w:b/>
                <w:smallCaps/>
                <w:sz w:val="20"/>
              </w:rPr>
              <w:t>Algatuse tõenäoline liik</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423AEF" w:rsidRPr="009E607E" w:rsidP="00810C61">
            <w:pPr>
              <w:spacing w:before="60" w:after="60"/>
              <w:jc w:val="both"/>
              <w:rPr>
                <w:rFonts w:ascii="Arial" w:hAnsi="Arial" w:cs="Arial"/>
                <w:color w:val="000080"/>
                <w:sz w:val="20"/>
                <w:szCs w:val="20"/>
              </w:rPr>
            </w:pPr>
            <w:r w:rsidRPr="009E607E">
              <w:rPr>
                <w:rFonts w:ascii="Arial" w:hAnsi="Arial"/>
                <w:color w:val="000080"/>
                <w:sz w:val="20"/>
              </w:rPr>
              <w:t>Seadusandlik</w:t>
            </w:r>
          </w:p>
        </w:tc>
      </w:tr>
      <w:tr w:rsidTr="00AB5C82">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9E607E" w:rsidP="0066565B">
            <w:pPr>
              <w:spacing w:before="60" w:after="60"/>
              <w:jc w:val="both"/>
              <w:rPr>
                <w:rFonts w:ascii="Arial" w:hAnsi="Arial" w:cs="Arial"/>
                <w:b/>
                <w:bCs/>
                <w:smallCaps/>
                <w:sz w:val="20"/>
                <w:szCs w:val="20"/>
              </w:rPr>
            </w:pPr>
            <w:r w:rsidRPr="009E607E">
              <w:rPr>
                <w:rFonts w:ascii="Arial" w:hAnsi="Arial"/>
                <w:b/>
                <w:smallCaps/>
                <w:sz w:val="20"/>
              </w:rPr>
              <w:t>Ligikaudne aeg</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002DFF" w:rsidRPr="009E607E" w:rsidP="00B312B7">
            <w:pPr>
              <w:spacing w:before="120" w:after="120"/>
              <w:jc w:val="both"/>
              <w:rPr>
                <w:rFonts w:ascii="Arial" w:hAnsi="Arial" w:cs="Arial"/>
                <w:color w:val="000080"/>
                <w:sz w:val="20"/>
                <w:szCs w:val="20"/>
                <w:highlight w:val="green"/>
              </w:rPr>
            </w:pPr>
            <w:r w:rsidRPr="009E607E">
              <w:rPr>
                <w:rFonts w:ascii="Arial" w:hAnsi="Arial"/>
                <w:color w:val="000080"/>
                <w:sz w:val="20"/>
              </w:rPr>
              <w:t>2025. aasta I kv</w:t>
            </w:r>
          </w:p>
        </w:tc>
      </w:tr>
      <w:tr w:rsidTr="00224B13">
        <w:tblPrEx>
          <w:tblW w:w="10188" w:type="dxa"/>
          <w:tblLayout w:type="fixed"/>
          <w:tblLook w:val="01E0"/>
        </w:tblPrEx>
        <w:tc>
          <w:tcPr>
            <w:tcW w:w="2807" w:type="dxa"/>
            <w:tcBorders>
              <w:bottom w:val="single" w:sz="4" w:space="0" w:color="auto"/>
              <w:right w:val="single" w:sz="4" w:space="0" w:color="auto"/>
            </w:tcBorders>
            <w:shd w:val="clear" w:color="auto" w:fill="E6E6E6"/>
          </w:tcPr>
          <w:p w:rsidR="008D5042" w:rsidRPr="009E607E" w:rsidP="00224B13">
            <w:pPr>
              <w:spacing w:before="60" w:after="60"/>
              <w:jc w:val="both"/>
              <w:rPr>
                <w:rFonts w:ascii="Arial" w:hAnsi="Arial" w:cs="Arial"/>
                <w:b/>
                <w:bCs/>
                <w:smallCaps/>
                <w:sz w:val="20"/>
                <w:szCs w:val="20"/>
              </w:rPr>
            </w:pPr>
            <w:r w:rsidRPr="009E607E">
              <w:rPr>
                <w:rFonts w:ascii="Arial" w:hAnsi="Arial"/>
                <w:b/>
                <w:smallCaps/>
                <w:sz w:val="20"/>
              </w:rPr>
              <w:t>Lisateave</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8D5042" w:rsidRPr="009E607E" w:rsidP="00347966">
            <w:pPr>
              <w:spacing w:before="120" w:after="120"/>
              <w:jc w:val="both"/>
              <w:rPr>
                <w:rFonts w:ascii="Arial" w:hAnsi="Arial" w:cs="Arial"/>
                <w:color w:val="000080"/>
                <w:sz w:val="20"/>
                <w:szCs w:val="20"/>
              </w:rPr>
            </w:pPr>
            <w:r w:rsidRPr="009E607E">
              <w:rPr>
                <w:rFonts w:ascii="Arial" w:hAnsi="Arial"/>
                <w:color w:val="000080"/>
                <w:sz w:val="20"/>
              </w:rPr>
              <w:t>–</w:t>
            </w:r>
          </w:p>
        </w:tc>
      </w:tr>
      <w:tr w:rsidTr="008607B9">
        <w:tblPrEx>
          <w:tblW w:w="10188" w:type="dxa"/>
          <w:tblLayout w:type="fixed"/>
          <w:tblLook w:val="01E0"/>
        </w:tblPrEx>
        <w:tc>
          <w:tcPr>
            <w:tcW w:w="10188" w:type="dxa"/>
            <w:gridSpan w:val="2"/>
            <w:tcBorders>
              <w:bottom w:val="single" w:sz="4" w:space="0" w:color="auto"/>
              <w:right w:val="single" w:sz="4" w:space="0" w:color="auto"/>
            </w:tcBorders>
            <w:shd w:val="clear" w:color="auto" w:fill="E6E6E6"/>
          </w:tcPr>
          <w:p w:rsidR="00CF6C0F" w:rsidRPr="009E607E" w:rsidP="00694440">
            <w:pPr>
              <w:spacing w:before="60" w:after="60"/>
              <w:rPr>
                <w:rFonts w:ascii="Arial" w:hAnsi="Arial" w:cs="Arial"/>
                <w:i/>
                <w:color w:val="FF0000"/>
                <w:sz w:val="18"/>
                <w:szCs w:val="18"/>
              </w:rPr>
            </w:pPr>
            <w:r w:rsidRPr="009E607E">
              <w:rPr>
                <w:rFonts w:ascii="Arial" w:hAnsi="Arial"/>
                <w:i/>
                <w:color w:val="FF0000"/>
                <w:sz w:val="18"/>
              </w:rPr>
              <w:t>Käesolev dokument on üksnes informatsiooniks. See ei mõjuta komisjoni lõplikku otsust selle kohta, kas algatust jätkatakse, ega selle lõplikku sisu. Kõik käesolevas dokumendis kirjeldatud algatuse elemendid, sealhulgas ajakava, võivad muutuda.</w:t>
            </w:r>
          </w:p>
        </w:tc>
      </w:tr>
    </w:tbl>
    <w:p w:rsidR="00BA33B7" w:rsidRPr="009E607E">
      <w:pPr>
        <w:rPr>
          <w:sz w:val="20"/>
          <w:szCs w:val="20"/>
        </w:rPr>
        <w:sectPr w:rsidSect="00E72EF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134" w:header="709" w:footer="709" w:gutter="0"/>
          <w:cols w:space="708"/>
          <w:titlePg/>
          <w:docGrid w:linePitch="360"/>
        </w:sectPr>
      </w:pPr>
    </w:p>
    <w:p w:rsidR="00BA33B7" w:rsidRPr="009E607E">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3CB5D559">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9E607E" w:rsidP="00AB4B4B">
            <w:pPr>
              <w:spacing w:before="60" w:after="60"/>
              <w:jc w:val="center"/>
              <w:rPr>
                <w:rFonts w:ascii="Arial" w:hAnsi="Arial" w:cs="Arial"/>
                <w:b/>
              </w:rPr>
            </w:pPr>
            <w:r w:rsidRPr="009E607E">
              <w:rPr>
                <w:rFonts w:ascii="Arial" w:hAnsi="Arial"/>
                <w:b/>
              </w:rPr>
              <w:t>A. Poliitiline taust, probleemi kirjeldus ja subsidiaarsuse kontroll</w:t>
            </w:r>
          </w:p>
        </w:tc>
      </w:tr>
      <w:tr w:rsidTr="3CB5D559">
        <w:tblPrEx>
          <w:tblW w:w="10188" w:type="dxa"/>
          <w:tblLook w:val="01E0"/>
        </w:tblPrEx>
        <w:tc>
          <w:tcPr>
            <w:tcW w:w="10188" w:type="dxa"/>
            <w:tcBorders>
              <w:bottom w:val="single" w:sz="4" w:space="0" w:color="auto"/>
            </w:tcBorders>
            <w:shd w:val="clear" w:color="auto" w:fill="E6E6E6"/>
          </w:tcPr>
          <w:p w:rsidR="009E6661" w:rsidRPr="009E607E" w:rsidP="00347966">
            <w:pPr>
              <w:spacing w:before="120" w:after="120"/>
              <w:jc w:val="both"/>
              <w:rPr>
                <w:rFonts w:ascii="Arial" w:hAnsi="Arial" w:cs="Arial"/>
              </w:rPr>
            </w:pPr>
            <w:r w:rsidRPr="009E607E">
              <w:rPr>
                <w:rFonts w:ascii="Arial" w:hAnsi="Arial"/>
                <w:b/>
              </w:rPr>
              <w:t xml:space="preserve">Poliitiline taust </w:t>
            </w:r>
          </w:p>
        </w:tc>
      </w:tr>
      <w:tr w:rsidTr="3CB5D559">
        <w:tblPrEx>
          <w:tblW w:w="10188" w:type="dxa"/>
          <w:tblLook w:val="01E0"/>
        </w:tblPrEx>
        <w:tc>
          <w:tcPr>
            <w:tcW w:w="10188" w:type="dxa"/>
            <w:tcBorders>
              <w:bottom w:val="single" w:sz="4" w:space="0" w:color="auto"/>
            </w:tcBorders>
            <w:shd w:val="clear" w:color="auto" w:fill="auto"/>
          </w:tcPr>
          <w:p w:rsidR="006139D1" w:rsidRPr="009E607E" w:rsidP="00803B45">
            <w:pPr>
              <w:jc w:val="both"/>
              <w:rPr>
                <w:sz w:val="20"/>
                <w:szCs w:val="20"/>
              </w:rPr>
            </w:pPr>
            <w:r w:rsidRPr="009E607E">
              <w:rPr>
                <w:sz w:val="20"/>
              </w:rPr>
              <w:t xml:space="preserve">Mootorsõidukite registreerimise eeskirjad kuuluvad liikmesriikide pädevusse. Üldiselt on registreerimine enamikus liikmesriikides lihtne haldusformaalsus. Rendiautode piiriülest kasutamist käsitlevate siseriiklike nõuete tõttu on ELi kodanikel aga keerulisem autorendiettevõtjate pakutavaid liikuvusteenuseid endale lubada ja neid tõhusalt kasutada. Lisaks võivad mõned rendiautode registreerimise, rentimise ja tagastamisega seotud nõuded muuta rendiauto kasutamise ebatõhusaks. </w:t>
            </w:r>
            <w:r>
              <w:fldChar w:fldCharType="begin"/>
            </w:r>
            <w:r>
              <w:instrText xml:space="preserve"> HYPERLINK "https://eur-lex.europa.eu/resource.html?uri=cellar:5e601657-3b06-11eb-b27b-01aa75ed71a1.0016.02/DOC_2&amp;format=PDF" </w:instrText>
            </w:r>
            <w:r>
              <w:fldChar w:fldCharType="separate"/>
            </w:r>
            <w:r w:rsidRPr="009E607E">
              <w:rPr>
                <w:rStyle w:val="Hyperlink"/>
                <w:sz w:val="20"/>
              </w:rPr>
              <w:t>2020. aastal esitatud säästva ja aruka liikuvuse strateegia</w:t>
            </w:r>
            <w:r>
              <w:fldChar w:fldCharType="end"/>
            </w:r>
            <w:r w:rsidRPr="009E607E">
              <w:rPr>
                <w:sz w:val="20"/>
              </w:rPr>
              <w:t xml:space="preserve"> meetmega (nr 60) nähakse ette „teha ettepanek meetmete kohta, millega soodustatakse piiriülest autorenti“.</w:t>
            </w:r>
          </w:p>
        </w:tc>
      </w:tr>
      <w:tr w:rsidTr="3CB5D559">
        <w:tblPrEx>
          <w:tblW w:w="10188" w:type="dxa"/>
          <w:tblLook w:val="01E0"/>
        </w:tblPrEx>
        <w:tc>
          <w:tcPr>
            <w:tcW w:w="10188" w:type="dxa"/>
            <w:tcBorders>
              <w:bottom w:val="single" w:sz="4" w:space="0" w:color="auto"/>
            </w:tcBorders>
            <w:shd w:val="clear" w:color="auto" w:fill="E6E6E6"/>
          </w:tcPr>
          <w:p w:rsidR="0071651E" w:rsidRPr="009E607E" w:rsidP="00347966">
            <w:pPr>
              <w:spacing w:before="120" w:after="120"/>
              <w:jc w:val="both"/>
              <w:rPr>
                <w:rFonts w:ascii="Arial" w:hAnsi="Arial" w:cs="Arial"/>
              </w:rPr>
            </w:pPr>
            <w:r w:rsidRPr="009E607E">
              <w:rPr>
                <w:rFonts w:ascii="Arial" w:hAnsi="Arial"/>
                <w:b/>
              </w:rPr>
              <w:t xml:space="preserve">Probleem, mida algatusega lahendatakse </w:t>
            </w:r>
          </w:p>
        </w:tc>
      </w:tr>
      <w:tr w:rsidTr="3CB5D559">
        <w:tblPrEx>
          <w:tblW w:w="10188" w:type="dxa"/>
          <w:tblLook w:val="01E0"/>
        </w:tblPrEx>
        <w:tc>
          <w:tcPr>
            <w:tcW w:w="10188" w:type="dxa"/>
            <w:tcBorders>
              <w:bottom w:val="single" w:sz="4" w:space="0" w:color="auto"/>
            </w:tcBorders>
            <w:shd w:val="clear" w:color="auto" w:fill="auto"/>
          </w:tcPr>
          <w:p w:rsidR="004E3C19" w:rsidRPr="009E607E" w:rsidP="1C6AF830">
            <w:pPr>
              <w:jc w:val="both"/>
              <w:rPr>
                <w:rFonts w:ascii="Arial" w:hAnsi="Arial" w:cs="Arial"/>
                <w:b/>
                <w:bCs/>
                <w:color w:val="1036A0"/>
              </w:rPr>
            </w:pPr>
            <w:r w:rsidRPr="009E607E">
              <w:rPr>
                <w:sz w:val="20"/>
              </w:rPr>
              <w:t>Autode registreerimise kehtivate eeskirjade kohaselt võib juhtuda, et rendiautod, mis tagastatakse mõnes muus, registreerimis- ja rendiriigist erinevas riigis, tuleb kasutusriigis viivitamata ümber registreerida või tuua viivitamata tagasi päritoluriiki (veokiga, rongiga või konkreetselt selleks palgatud juhi abiga), välja arvatud harval juhul, kui sihtriigis on võimalik kohe leida tagasisõiduks klient. Seetõttu võib autorendiettevõtjatel tegelikult olla võimatu viia osa oma sõidukipargist ajutiselt ühest riigist teise, et rahuldada kõikuvat nõudlust. Sellised liikmesriikide erinevad ümberregistreerimismenetlused tekitavad autorendiettevõtjatele lisakulusid ja bürokraatlikke viivitusi, mille tõttu kannatavad rendiautode kasutajad.</w:t>
            </w:r>
            <w:r w:rsidRPr="009E607E">
              <w:t xml:space="preserve"> </w:t>
            </w:r>
          </w:p>
        </w:tc>
      </w:tr>
      <w:tr w:rsidTr="3CB5D559">
        <w:tblPrEx>
          <w:tblW w:w="10188" w:type="dxa"/>
          <w:tblLook w:val="01E0"/>
        </w:tblPrEx>
        <w:tc>
          <w:tcPr>
            <w:tcW w:w="10188" w:type="dxa"/>
            <w:tcBorders>
              <w:bottom w:val="single" w:sz="4" w:space="0" w:color="auto"/>
            </w:tcBorders>
            <w:shd w:val="clear" w:color="auto" w:fill="E6E6E6"/>
          </w:tcPr>
          <w:p w:rsidR="009E6661" w:rsidRPr="009E607E" w:rsidP="00347966">
            <w:pPr>
              <w:spacing w:before="120" w:after="120"/>
              <w:jc w:val="both"/>
              <w:rPr>
                <w:rFonts w:ascii="Arial" w:hAnsi="Arial" w:cs="Arial"/>
              </w:rPr>
            </w:pPr>
            <w:r w:rsidRPr="009E607E">
              <w:rPr>
                <w:rFonts w:ascii="Arial" w:hAnsi="Arial"/>
                <w:b/>
              </w:rPr>
              <w:t xml:space="preserve">ELi meetmete alus (õiguslik alus ja subsidiaarsuse kontroll) </w:t>
            </w:r>
          </w:p>
        </w:tc>
      </w:tr>
      <w:tr w:rsidTr="3CB5D559">
        <w:tblPrEx>
          <w:tblW w:w="10188" w:type="dxa"/>
          <w:tblLook w:val="01E0"/>
        </w:tblPrEx>
        <w:tc>
          <w:tcPr>
            <w:tcW w:w="10188" w:type="dxa"/>
            <w:shd w:val="clear" w:color="auto" w:fill="D9D9D9" w:themeFill="background1" w:themeFillShade="D9"/>
          </w:tcPr>
          <w:p w:rsidR="002B1AA3" w:rsidRPr="009E607E" w:rsidP="001533F9">
            <w:pPr>
              <w:spacing w:before="120" w:after="120"/>
              <w:jc w:val="both"/>
              <w:rPr>
                <w:rFonts w:ascii="Arial" w:hAnsi="Arial" w:cs="Arial"/>
                <w:b/>
                <w:color w:val="1036A0"/>
              </w:rPr>
            </w:pPr>
            <w:r w:rsidRPr="009E607E">
              <w:rPr>
                <w:rFonts w:ascii="Arial" w:hAnsi="Arial"/>
                <w:b/>
              </w:rPr>
              <w:t>Õiguslik alus</w:t>
            </w:r>
          </w:p>
        </w:tc>
      </w:tr>
      <w:tr w:rsidTr="3CB5D559">
        <w:tblPrEx>
          <w:tblW w:w="10188" w:type="dxa"/>
          <w:tblLook w:val="01E0"/>
        </w:tblPrEx>
        <w:tc>
          <w:tcPr>
            <w:tcW w:w="10188" w:type="dxa"/>
            <w:shd w:val="clear" w:color="auto" w:fill="auto"/>
          </w:tcPr>
          <w:p w:rsidR="002B1AA3" w:rsidRPr="009E607E" w:rsidP="00464BBA">
            <w:pPr>
              <w:jc w:val="both"/>
              <w:rPr>
                <w:sz w:val="20"/>
              </w:rPr>
            </w:pPr>
            <w:r w:rsidRPr="009E607E">
              <w:rPr>
                <w:sz w:val="20"/>
              </w:rPr>
              <w:t xml:space="preserve">Kuna erinevad siseriiklikud eeskirjad rendisõidukite kasutamise kohta teiste liikmesriikide territooriumil mõjutavad rendiautode vaba liikumist ja vabadust osutada ELis piiriüleseid teenuseid, on ELil õigus tegutseda kooskõlas </w:t>
            </w:r>
            <w:r w:rsidRPr="009E607E">
              <w:rPr>
                <w:b/>
                <w:bCs/>
                <w:sz w:val="20"/>
              </w:rPr>
              <w:t>ELi toimimise lepingu artikliga 114</w:t>
            </w:r>
            <w:r w:rsidRPr="009E607E">
              <w:rPr>
                <w:sz w:val="20"/>
              </w:rPr>
              <w:t xml:space="preserve">. </w:t>
            </w:r>
          </w:p>
        </w:tc>
      </w:tr>
      <w:tr w:rsidTr="3CB5D559">
        <w:tblPrEx>
          <w:tblW w:w="10188" w:type="dxa"/>
          <w:tblLook w:val="01E0"/>
        </w:tblPrEx>
        <w:tc>
          <w:tcPr>
            <w:tcW w:w="10188" w:type="dxa"/>
            <w:shd w:val="clear" w:color="auto" w:fill="D9D9D9" w:themeFill="background1" w:themeFillShade="D9"/>
          </w:tcPr>
          <w:p w:rsidR="002B1AA3" w:rsidRPr="009E607E" w:rsidP="001E25A5">
            <w:pPr>
              <w:spacing w:before="120" w:after="120"/>
              <w:jc w:val="both"/>
              <w:rPr>
                <w:rFonts w:ascii="Arial" w:hAnsi="Arial" w:cs="Arial"/>
                <w:b/>
                <w:color w:val="1036A0"/>
              </w:rPr>
            </w:pPr>
            <w:r w:rsidRPr="009E607E">
              <w:rPr>
                <w:rFonts w:ascii="Arial" w:hAnsi="Arial"/>
                <w:b/>
                <w:color w:val="000000" w:themeColor="text1"/>
              </w:rPr>
              <w:t>Praktiline vajadus ELi meetmete järele</w:t>
            </w:r>
          </w:p>
        </w:tc>
      </w:tr>
      <w:tr w:rsidTr="3CB5D559">
        <w:tblPrEx>
          <w:tblW w:w="10188" w:type="dxa"/>
          <w:tblLook w:val="01E0"/>
        </w:tblPrEx>
        <w:tc>
          <w:tcPr>
            <w:tcW w:w="10188" w:type="dxa"/>
            <w:shd w:val="clear" w:color="auto" w:fill="auto"/>
          </w:tcPr>
          <w:p w:rsidR="002B1AA3" w:rsidRPr="009E607E" w:rsidP="001533F9">
            <w:pPr>
              <w:spacing w:before="120" w:after="120"/>
              <w:jc w:val="both"/>
              <w:rPr>
                <w:rFonts w:ascii="Arial" w:hAnsi="Arial" w:cs="Arial"/>
                <w:b/>
                <w:i/>
                <w:color w:val="1036A0"/>
                <w:sz w:val="20"/>
                <w:szCs w:val="20"/>
              </w:rPr>
            </w:pPr>
            <w:r w:rsidRPr="009E607E">
              <w:rPr>
                <w:sz w:val="20"/>
              </w:rPr>
              <w:t>Kuna ELi õigusakt piiriülese autorendi kohta puudub, peaks käesolev algatus parandama siseturu toimimist, kuna sellega vähendatakse takistusi piiriüleste autorenditeenuste osutamisel, kehtestades miinimumnõuded üle piiri sõitvate rendiautode registreerimise, rentimise ja kasutamise kohta. Seda saab teha ainult ELi tasandil, kuna see puudutab piiriülest autorenti eri liikmesriikide vahel.</w:t>
            </w:r>
          </w:p>
        </w:tc>
      </w:tr>
      <w:tr w:rsidTr="3CB5D559">
        <w:tblPrEx>
          <w:tblW w:w="10188" w:type="dxa"/>
          <w:tblLook w:val="01E0"/>
        </w:tblPrEx>
        <w:tc>
          <w:tcPr>
            <w:tcW w:w="10188" w:type="dxa"/>
            <w:tcBorders>
              <w:bottom w:val="single" w:sz="4" w:space="0" w:color="auto"/>
            </w:tcBorders>
            <w:shd w:val="clear" w:color="auto" w:fill="0000FF"/>
          </w:tcPr>
          <w:p w:rsidR="00423AEF" w:rsidRPr="009E607E" w:rsidP="00353BFB">
            <w:pPr>
              <w:spacing w:before="60" w:after="60"/>
              <w:jc w:val="both"/>
              <w:rPr>
                <w:rFonts w:ascii="Arial" w:hAnsi="Arial" w:cs="Arial"/>
                <w:b/>
              </w:rPr>
            </w:pPr>
            <w:r w:rsidRPr="009E607E">
              <w:rPr>
                <w:rFonts w:ascii="Arial" w:hAnsi="Arial"/>
                <w:b/>
              </w:rPr>
              <w:t xml:space="preserve">B. Mida soovitakse algatusega saavutada ja kuidas? </w:t>
            </w:r>
          </w:p>
        </w:tc>
      </w:tr>
      <w:tr w:rsidTr="3CB5D559">
        <w:tblPrEx>
          <w:tblW w:w="10188" w:type="dxa"/>
          <w:tblLook w:val="01E0"/>
        </w:tblPrEx>
        <w:tc>
          <w:tcPr>
            <w:tcW w:w="10188" w:type="dxa"/>
            <w:tcBorders>
              <w:bottom w:val="single" w:sz="4" w:space="0" w:color="auto"/>
            </w:tcBorders>
            <w:shd w:val="clear" w:color="auto" w:fill="auto"/>
          </w:tcPr>
          <w:p w:rsidR="00577DB5" w:rsidRPr="009E607E" w:rsidP="00577DB5">
            <w:pPr>
              <w:jc w:val="both"/>
              <w:rPr>
                <w:sz w:val="20"/>
                <w:szCs w:val="20"/>
              </w:rPr>
            </w:pPr>
            <w:r w:rsidRPr="009E607E">
              <w:rPr>
                <w:sz w:val="20"/>
              </w:rPr>
              <w:t xml:space="preserve">Käesoleva algatuse üldeesmärk on aidata kaasa ühtse turu toimimisele, tagades õiglase, tõhusa ja kestliku piiriülese liikuvuse tänu sellele, et rendiautode piiriülene kasutamine muutub lihtsamaks. Sellega seoses on algatusel järgmised </w:t>
            </w:r>
            <w:r w:rsidRPr="009E607E">
              <w:rPr>
                <w:sz w:val="20"/>
              </w:rPr>
              <w:t>konkreetsed eesmärgid:</w:t>
            </w:r>
          </w:p>
          <w:p w:rsidR="00577DB5" w:rsidRPr="009E607E" w:rsidP="00577DB5">
            <w:pPr>
              <w:jc w:val="both"/>
              <w:rPr>
                <w:sz w:val="20"/>
                <w:szCs w:val="20"/>
              </w:rPr>
            </w:pPr>
          </w:p>
          <w:p w:rsidR="00577DB5" w:rsidRPr="009E607E" w:rsidP="00D3056B">
            <w:pPr>
              <w:pStyle w:val="ListParagraph"/>
              <w:numPr>
                <w:ilvl w:val="0"/>
                <w:numId w:val="4"/>
              </w:numPr>
              <w:jc w:val="both"/>
              <w:rPr>
                <w:sz w:val="20"/>
                <w:szCs w:val="20"/>
              </w:rPr>
            </w:pPr>
            <w:r w:rsidRPr="009E607E">
              <w:rPr>
                <w:sz w:val="20"/>
              </w:rPr>
              <w:t>muuta piiriülesed autorenditeenused kasutajate jaoks taskukohaseks ja tõhusalt kasutatavaks;</w:t>
            </w:r>
          </w:p>
          <w:p w:rsidR="00577DB5" w:rsidRPr="009E607E" w:rsidP="00D3056B">
            <w:pPr>
              <w:pStyle w:val="ListParagraph"/>
              <w:numPr>
                <w:ilvl w:val="0"/>
                <w:numId w:val="4"/>
              </w:numPr>
              <w:ind w:left="702"/>
              <w:jc w:val="both"/>
              <w:rPr>
                <w:sz w:val="20"/>
                <w:szCs w:val="20"/>
              </w:rPr>
            </w:pPr>
            <w:r w:rsidRPr="009E607E">
              <w:rPr>
                <w:sz w:val="20"/>
              </w:rPr>
              <w:t>saavutada autoparkide tõhusam kasutamine autorendiettevõtjate poolt, tänu millele võivad hinnad tõhusa konkurentsi tingimustes klientide jaoks alaneda;</w:t>
            </w:r>
          </w:p>
          <w:p w:rsidR="00577DB5" w:rsidRPr="009E607E" w:rsidP="00D3056B">
            <w:pPr>
              <w:pStyle w:val="ListParagraph"/>
              <w:numPr>
                <w:ilvl w:val="0"/>
                <w:numId w:val="4"/>
              </w:numPr>
              <w:jc w:val="both"/>
              <w:rPr>
                <w:sz w:val="20"/>
                <w:szCs w:val="20"/>
              </w:rPr>
            </w:pPr>
            <w:r w:rsidRPr="009E607E">
              <w:rPr>
                <w:sz w:val="20"/>
              </w:rPr>
              <w:t>pakkuda klientidele muid võimalusi lisaks oma sõiduautode kasutamisele piiriülestes olukordades.</w:t>
            </w:r>
          </w:p>
          <w:p w:rsidR="00464BBA" w:rsidRPr="009E607E" w:rsidP="00694440">
            <w:pPr>
              <w:jc w:val="both"/>
              <w:rPr>
                <w:sz w:val="20"/>
                <w:szCs w:val="20"/>
              </w:rPr>
            </w:pPr>
            <w:r w:rsidRPr="009E607E">
              <w:rPr>
                <w:sz w:val="20"/>
                <w:szCs w:val="20"/>
              </w:rPr>
              <w:t xml:space="preserve">Selle küsimuse lahendamiseks kaalub komisjon miinimumnõuete kehtestamist üle piiri sõitvate autode registreerimise, rentimise ja kasutamise kohta, eelkõige sellise teatava ajavahemiku kehtestamist, mille jooksul autorendiettevõtjad võivad anda sõiduki rendile mõnes muus, registreerimisriigist erinevas liikmesriigis, ilma et see tuleks ümber registreerida vastavalt kasutusriigi konkreetsetele õigusaktidele. </w:t>
            </w:r>
          </w:p>
        </w:tc>
      </w:tr>
      <w:tr w:rsidTr="3CB5D559">
        <w:tblPrEx>
          <w:tblW w:w="10188" w:type="dxa"/>
          <w:tblLook w:val="01E0"/>
        </w:tblPrEx>
        <w:tc>
          <w:tcPr>
            <w:tcW w:w="10188" w:type="dxa"/>
            <w:tcBorders>
              <w:bottom w:val="single" w:sz="4" w:space="0" w:color="auto"/>
            </w:tcBorders>
            <w:shd w:val="clear" w:color="auto" w:fill="D9D9D9" w:themeFill="background1" w:themeFillShade="D9"/>
          </w:tcPr>
          <w:p w:rsidR="00990974" w:rsidRPr="009E607E" w:rsidP="006C75CC">
            <w:pPr>
              <w:spacing w:before="60" w:after="60"/>
              <w:jc w:val="both"/>
              <w:rPr>
                <w:rFonts w:ascii="Arial" w:hAnsi="Arial" w:cs="Arial"/>
                <w:b/>
                <w:sz w:val="20"/>
                <w:szCs w:val="20"/>
              </w:rPr>
            </w:pPr>
            <w:r w:rsidRPr="009E607E">
              <w:rPr>
                <w:rFonts w:ascii="Arial" w:hAnsi="Arial"/>
                <w:b/>
                <w:sz w:val="20"/>
              </w:rPr>
              <w:t>Tõenäoline mõju</w:t>
            </w:r>
          </w:p>
        </w:tc>
      </w:tr>
      <w:tr w:rsidTr="3CB5D559">
        <w:tblPrEx>
          <w:tblW w:w="10188" w:type="dxa"/>
          <w:tblLook w:val="01E0"/>
        </w:tblPrEx>
        <w:tc>
          <w:tcPr>
            <w:tcW w:w="10188" w:type="dxa"/>
            <w:tcBorders>
              <w:bottom w:val="single" w:sz="4" w:space="0" w:color="auto"/>
            </w:tcBorders>
            <w:shd w:val="clear" w:color="auto" w:fill="auto"/>
          </w:tcPr>
          <w:p w:rsidR="00024EFF" w:rsidRPr="009E607E" w:rsidP="00FC3229">
            <w:pPr>
              <w:spacing w:after="120"/>
              <w:jc w:val="both"/>
              <w:rPr>
                <w:sz w:val="20"/>
                <w:szCs w:val="20"/>
              </w:rPr>
            </w:pPr>
            <w:r w:rsidRPr="009E607E">
              <w:rPr>
                <w:sz w:val="20"/>
              </w:rPr>
              <w:t>Sotsiaal-majandusliku mõju seisukohast vähenevad tänu algatusele tõenäoliselt autorendiettevõtjate tegevus- jm kulud. See omakorda võiks mõjutada piiriüleselt kasutatavate rendiautodega seotud kulusid ja nende autode kättesaadavust, sealhulgas tänu konkurentsile autorendiettevõtjate vahel.</w:t>
            </w:r>
          </w:p>
          <w:p w:rsidR="008A5003" w:rsidRPr="009E607E" w:rsidP="00FC1C09">
            <w:pPr>
              <w:spacing w:after="120"/>
              <w:jc w:val="both"/>
              <w:rPr>
                <w:sz w:val="20"/>
                <w:szCs w:val="20"/>
              </w:rPr>
            </w:pPr>
            <w:r w:rsidRPr="009E607E">
              <w:rPr>
                <w:sz w:val="20"/>
              </w:rPr>
              <w:t>Algatus võiks mõjutada ka liikmesriikide maksutulu, mis otseselt või kaudselt tuleneb rendiautode piiriülesest kasutamisest – kas registreerimismaksudest, liiklusmaksudest või käibemaksust.</w:t>
            </w:r>
          </w:p>
        </w:tc>
      </w:tr>
      <w:tr w:rsidTr="3CB5D559">
        <w:tblPrEx>
          <w:tblW w:w="10188" w:type="dxa"/>
          <w:tblLook w:val="01E0"/>
        </w:tblPrEx>
        <w:tc>
          <w:tcPr>
            <w:tcW w:w="10188" w:type="dxa"/>
            <w:tcBorders>
              <w:bottom w:val="single" w:sz="4" w:space="0" w:color="auto"/>
            </w:tcBorders>
            <w:shd w:val="clear" w:color="auto" w:fill="D9D9D9" w:themeFill="background1" w:themeFillShade="D9"/>
          </w:tcPr>
          <w:p w:rsidR="006C75CC" w:rsidRPr="009E607E" w:rsidP="00A22CFB">
            <w:pPr>
              <w:spacing w:before="60" w:after="60"/>
              <w:jc w:val="both"/>
              <w:rPr>
                <w:rFonts w:ascii="Arial" w:hAnsi="Arial" w:cs="Arial"/>
                <w:color w:val="00B050"/>
                <w:sz w:val="20"/>
                <w:szCs w:val="20"/>
              </w:rPr>
            </w:pPr>
            <w:r w:rsidRPr="009E607E">
              <w:rPr>
                <w:rFonts w:ascii="Arial" w:hAnsi="Arial"/>
                <w:b/>
                <w:sz w:val="20"/>
              </w:rPr>
              <w:t>Edasine seire</w:t>
            </w:r>
          </w:p>
        </w:tc>
      </w:tr>
      <w:tr w:rsidTr="3CB5D559">
        <w:tblPrEx>
          <w:tblW w:w="10188" w:type="dxa"/>
          <w:tblLook w:val="01E0"/>
        </w:tblPrEx>
        <w:tc>
          <w:tcPr>
            <w:tcW w:w="10188" w:type="dxa"/>
            <w:tcBorders>
              <w:bottom w:val="single" w:sz="4" w:space="0" w:color="auto"/>
            </w:tcBorders>
            <w:shd w:val="clear" w:color="auto" w:fill="auto"/>
          </w:tcPr>
          <w:p w:rsidR="006C75CC" w:rsidRPr="009E607E" w:rsidP="003A46A1">
            <w:pPr>
              <w:spacing w:after="120"/>
              <w:rPr>
                <w:color w:val="00B050"/>
                <w:sz w:val="20"/>
                <w:szCs w:val="20"/>
              </w:rPr>
            </w:pPr>
            <w:r w:rsidRPr="009E607E">
              <w:rPr>
                <w:sz w:val="20"/>
              </w:rPr>
              <w:t>Komisjon jälgib korrapäraselt algatuse mõju pärast seda, kui algatust on piisavalt kaua rakendatud ja jõustatud kogu ELis.</w:t>
            </w:r>
          </w:p>
        </w:tc>
      </w:tr>
      <w:tr w:rsidTr="3CB5D559">
        <w:tblPrEx>
          <w:tblW w:w="10188" w:type="dxa"/>
          <w:tblLook w:val="01E0"/>
        </w:tblPrEx>
        <w:tc>
          <w:tcPr>
            <w:tcW w:w="10188" w:type="dxa"/>
            <w:tcBorders>
              <w:bottom w:val="single" w:sz="4" w:space="0" w:color="auto"/>
            </w:tcBorders>
            <w:shd w:val="clear" w:color="auto" w:fill="0000FF"/>
          </w:tcPr>
          <w:p w:rsidR="0009231D" w:rsidRPr="009E607E" w:rsidP="00353BFB">
            <w:pPr>
              <w:spacing w:before="60" w:after="60"/>
              <w:jc w:val="both"/>
              <w:rPr>
                <w:rFonts w:ascii="Arial" w:hAnsi="Arial" w:cs="Arial"/>
                <w:b/>
              </w:rPr>
            </w:pPr>
            <w:r w:rsidRPr="009E607E">
              <w:rPr>
                <w:rFonts w:ascii="Arial" w:hAnsi="Arial"/>
                <w:b/>
                <w:highlight w:val="blue"/>
              </w:rPr>
              <w:t>C. Parem õigusloome</w:t>
            </w:r>
          </w:p>
        </w:tc>
      </w:tr>
      <w:tr w:rsidTr="3CB5D559">
        <w:tblPrEx>
          <w:tblW w:w="10188" w:type="dxa"/>
          <w:tblLook w:val="01E0"/>
        </w:tblPrEx>
        <w:tc>
          <w:tcPr>
            <w:tcW w:w="10188" w:type="dxa"/>
            <w:tcBorders>
              <w:bottom w:val="single" w:sz="4" w:space="0" w:color="auto"/>
            </w:tcBorders>
            <w:shd w:val="clear" w:color="auto" w:fill="E6E6E6"/>
          </w:tcPr>
          <w:p w:rsidR="00B312B7" w:rsidRPr="009E607E" w:rsidP="00C44D5D">
            <w:pPr>
              <w:spacing w:before="120" w:after="120"/>
              <w:jc w:val="both"/>
              <w:rPr>
                <w:rFonts w:ascii="Arial" w:hAnsi="Arial" w:cs="Arial"/>
                <w:sz w:val="20"/>
                <w:szCs w:val="20"/>
              </w:rPr>
            </w:pPr>
            <w:r w:rsidRPr="009E607E">
              <w:rPr>
                <w:rFonts w:ascii="Arial" w:hAnsi="Arial"/>
                <w:b/>
                <w:sz w:val="20"/>
              </w:rPr>
              <w:t xml:space="preserve">Mõjuhinnang </w:t>
            </w:r>
          </w:p>
        </w:tc>
      </w:tr>
      <w:tr w:rsidTr="3CB5D559">
        <w:tblPrEx>
          <w:tblW w:w="10188" w:type="dxa"/>
          <w:tblLook w:val="01E0"/>
        </w:tblPrEx>
        <w:trPr>
          <w:trHeight w:val="1469"/>
        </w:trPr>
        <w:tc>
          <w:tcPr>
            <w:tcW w:w="10188" w:type="dxa"/>
            <w:tcBorders>
              <w:bottom w:val="single" w:sz="4" w:space="0" w:color="auto"/>
            </w:tcBorders>
            <w:shd w:val="clear" w:color="auto" w:fill="auto"/>
          </w:tcPr>
          <w:p w:rsidR="00BA7DB5" w:rsidRPr="009E607E" w:rsidP="007F6BBF">
            <w:pPr>
              <w:spacing w:before="60" w:after="240"/>
              <w:jc w:val="both"/>
              <w:rPr>
                <w:color w:val="1036A0"/>
                <w:sz w:val="20"/>
                <w:szCs w:val="20"/>
              </w:rPr>
            </w:pPr>
            <w:r w:rsidRPr="009E607E">
              <w:rPr>
                <w:sz w:val="20"/>
                <w:szCs w:val="20"/>
              </w:rPr>
              <w:t>Algatuse kohaldamisala on väga piiratud ja eespool nimetatud probleemide lahendamiseks kaalutakse ainult üht põhilist poliitikavarianti, täpsemalt teatava ajavahemiku kehtestamist, mille jooksul autorendiettevõtjad võivad sõidukeid välja rentida mõnes teises ELi liikmesriigis, ilma et tekiks kohustus neid siseriiklike õigusnormide kohaselt ümber registreerida. Seetõttu ei ole võimalik eri poliitikavariantide mõju põhjalikult hinnata ega võrrelda ning selleks mõjuhinnangut koostada. Selle asemel koostatakse analüüsidokument, milles esitatakse olemasolevad parimad asjakohased tõendid selle meetme toetuseks.</w:t>
            </w:r>
          </w:p>
        </w:tc>
      </w:tr>
      <w:tr w:rsidTr="3CB5D559">
        <w:tblPrEx>
          <w:tblW w:w="10188" w:type="dxa"/>
          <w:tblLook w:val="01E0"/>
        </w:tblPrEx>
        <w:tc>
          <w:tcPr>
            <w:tcW w:w="10188" w:type="dxa"/>
            <w:tcBorders>
              <w:bottom w:val="single" w:sz="4" w:space="0" w:color="auto"/>
            </w:tcBorders>
            <w:shd w:val="clear" w:color="auto" w:fill="E6E6E6"/>
          </w:tcPr>
          <w:p w:rsidR="00B312B7" w:rsidRPr="009E607E" w:rsidP="00BF5565">
            <w:pPr>
              <w:spacing w:before="60" w:after="60"/>
              <w:jc w:val="both"/>
              <w:rPr>
                <w:rFonts w:ascii="Arial" w:hAnsi="Arial" w:cs="Arial"/>
              </w:rPr>
            </w:pPr>
            <w:r w:rsidRPr="009E607E">
              <w:rPr>
                <w:rFonts w:ascii="Arial" w:hAnsi="Arial"/>
                <w:b/>
              </w:rPr>
              <w:t xml:space="preserve">Konsulteerimisstrateegia </w:t>
            </w:r>
          </w:p>
        </w:tc>
      </w:tr>
      <w:tr w:rsidTr="3CB5D559">
        <w:tblPrEx>
          <w:tblW w:w="10188" w:type="dxa"/>
          <w:tblLook w:val="01E0"/>
        </w:tblPrEx>
        <w:tc>
          <w:tcPr>
            <w:tcW w:w="10188" w:type="dxa"/>
            <w:shd w:val="clear" w:color="auto" w:fill="auto"/>
          </w:tcPr>
          <w:p w:rsidR="004510D1" w:rsidRPr="009E607E" w:rsidP="007F6BBF">
            <w:pPr>
              <w:spacing w:before="60" w:after="60"/>
              <w:jc w:val="both"/>
              <w:rPr>
                <w:sz w:val="20"/>
                <w:szCs w:val="20"/>
              </w:rPr>
            </w:pPr>
            <w:r w:rsidRPr="009E607E">
              <w:rPr>
                <w:sz w:val="20"/>
              </w:rPr>
              <w:t xml:space="preserve">Konsultatsiooniprotsess koosneb kahest põhiosast: </w:t>
            </w:r>
            <w:r w:rsidRPr="009E607E">
              <w:rPr>
                <w:rFonts w:ascii="Symbol" w:hAnsi="Symbol"/>
                <w:sz w:val="20"/>
              </w:rPr>
              <w:t>·</w:t>
            </w:r>
            <w:r w:rsidRPr="009E607E">
              <w:rPr>
                <w:sz w:val="20"/>
              </w:rPr>
              <w:t xml:space="preserve"> 12 nädala pikkune avalik konsultatsioon kõikides ELi ametlikes keeltes komisjoni kesksel avalike konsultatsioonide veebilehel („</w:t>
            </w:r>
            <w:r>
              <w:fldChar w:fldCharType="begin"/>
            </w:r>
            <w:r>
              <w:instrText xml:space="preserve"> HYPERLINK "https://have-your-say.ec.europa.eu/index_et" </w:instrText>
            </w:r>
            <w:r>
              <w:fldChar w:fldCharType="separate"/>
            </w:r>
            <w:r w:rsidRPr="009E607E">
              <w:rPr>
                <w:rStyle w:val="Hyperlink"/>
                <w:sz w:val="20"/>
              </w:rPr>
              <w:t>Avaldage arvamust!</w:t>
            </w:r>
            <w:r>
              <w:fldChar w:fldCharType="end"/>
            </w:r>
            <w:r w:rsidRPr="009E607E">
              <w:rPr>
                <w:sz w:val="20"/>
              </w:rPr>
              <w:t xml:space="preserve">“). Faktiline kokkuvõte avaldatakse konsultatsioonide veebilehel pärast avaliku konsultatsiooni lõppu; </w:t>
            </w:r>
            <w:r w:rsidRPr="009E607E">
              <w:rPr>
                <w:rFonts w:ascii="Symbol" w:hAnsi="Symbol"/>
                <w:sz w:val="20"/>
              </w:rPr>
              <w:t>·</w:t>
            </w:r>
            <w:r w:rsidRPr="009E607E">
              <w:rPr>
                <w:sz w:val="20"/>
              </w:rPr>
              <w:t xml:space="preserve"> teemast enim mõjutatud sidusrühmadega peetavad mitmesugused konsultatsioonid (sh küsitlused, intervjuud ja seminarid), mis korraldatakse 2024. aasta jooksul toetava välisuuringu raames.</w:t>
            </w:r>
          </w:p>
          <w:p w:rsidR="00B312B7" w:rsidRPr="009E607E" w:rsidP="004510D1">
            <w:pPr>
              <w:spacing w:before="60" w:after="60"/>
              <w:jc w:val="both"/>
              <w:rPr>
                <w:rFonts w:ascii="Arial" w:hAnsi="Arial" w:cs="Arial"/>
                <w:color w:val="1036A0"/>
                <w:sz w:val="20"/>
              </w:rPr>
            </w:pPr>
            <w:r w:rsidRPr="009E607E">
              <w:rPr>
                <w:sz w:val="20"/>
              </w:rPr>
              <w:t>Kõigi konsultatsioonide tulemused esitatakse analüüsidokumendile lisatavas kokkuvõtlikus aruandes.</w:t>
            </w:r>
            <w:r w:rsidRPr="009E607E">
              <w:rPr>
                <w:rFonts w:ascii="Arial" w:hAnsi="Arial"/>
                <w:color w:val="1036A0"/>
                <w:sz w:val="20"/>
              </w:rPr>
              <w:t xml:space="preserve"> </w:t>
            </w:r>
          </w:p>
        </w:tc>
      </w:tr>
      <w:tr w:rsidTr="3CB5D559">
        <w:tblPrEx>
          <w:tblW w:w="10188" w:type="dxa"/>
          <w:tblLook w:val="01E0"/>
        </w:tblPrEx>
        <w:tc>
          <w:tcPr>
            <w:tcW w:w="10188" w:type="dxa"/>
            <w:shd w:val="clear" w:color="auto" w:fill="E6E6E6"/>
          </w:tcPr>
          <w:p w:rsidR="004A0EA6" w:rsidRPr="009E607E" w:rsidP="007F6BBF">
            <w:pPr>
              <w:spacing w:before="60" w:after="60"/>
              <w:jc w:val="both"/>
              <w:rPr>
                <w:sz w:val="20"/>
                <w:szCs w:val="20"/>
              </w:rPr>
            </w:pPr>
            <w:r w:rsidRPr="009E607E">
              <w:rPr>
                <w:rFonts w:ascii="Arial" w:hAnsi="Arial"/>
                <w:b/>
              </w:rPr>
              <w:t>Miks me selle konsultatsiooni korraldame?</w:t>
            </w:r>
          </w:p>
        </w:tc>
      </w:tr>
      <w:tr w:rsidTr="3CB5D559">
        <w:tblPrEx>
          <w:tblW w:w="10188" w:type="dxa"/>
          <w:tblLook w:val="01E0"/>
        </w:tblPrEx>
        <w:tc>
          <w:tcPr>
            <w:tcW w:w="10188" w:type="dxa"/>
            <w:shd w:val="clear" w:color="auto" w:fill="auto"/>
          </w:tcPr>
          <w:p w:rsidR="00F249D5" w:rsidRPr="009E607E" w:rsidP="007F6BBF">
            <w:pPr>
              <w:spacing w:before="60" w:after="60"/>
              <w:jc w:val="both"/>
              <w:rPr>
                <w:sz w:val="20"/>
                <w:szCs w:val="20"/>
              </w:rPr>
            </w:pPr>
            <w:r w:rsidRPr="009E607E">
              <w:rPr>
                <w:sz w:val="20"/>
              </w:rPr>
              <w:t xml:space="preserve">Komisjoni eesmärk on koguda sidusrühmade seisukohti ja andmeid, et hinnata algatuse teostatavust ja mõju. </w:t>
            </w:r>
          </w:p>
        </w:tc>
      </w:tr>
      <w:tr w:rsidTr="3CB5D559">
        <w:tblPrEx>
          <w:tblW w:w="10188" w:type="dxa"/>
          <w:tblLook w:val="01E0"/>
        </w:tblPrEx>
        <w:tc>
          <w:tcPr>
            <w:tcW w:w="10188" w:type="dxa"/>
            <w:shd w:val="clear" w:color="auto" w:fill="E6E6E6"/>
          </w:tcPr>
          <w:p w:rsidR="00CF1D23" w:rsidRPr="009E607E" w:rsidP="007F6BBF">
            <w:pPr>
              <w:spacing w:before="60" w:after="60"/>
              <w:jc w:val="both"/>
              <w:rPr>
                <w:sz w:val="20"/>
                <w:szCs w:val="20"/>
              </w:rPr>
            </w:pPr>
            <w:r w:rsidRPr="009E607E">
              <w:rPr>
                <w:rFonts w:ascii="Arial" w:hAnsi="Arial"/>
                <w:b/>
              </w:rPr>
              <w:t>Sihtrühm</w:t>
            </w:r>
          </w:p>
        </w:tc>
      </w:tr>
      <w:tr w:rsidTr="3CB5D559">
        <w:tblPrEx>
          <w:tblW w:w="10188" w:type="dxa"/>
          <w:tblLook w:val="01E0"/>
        </w:tblPrEx>
        <w:tc>
          <w:tcPr>
            <w:tcW w:w="10188" w:type="dxa"/>
            <w:tcBorders>
              <w:bottom w:val="single" w:sz="4" w:space="0" w:color="auto"/>
            </w:tcBorders>
            <w:shd w:val="clear" w:color="auto" w:fill="auto"/>
          </w:tcPr>
          <w:p w:rsidR="00F249D5" w:rsidRPr="009E607E" w:rsidP="007F6BBF">
            <w:pPr>
              <w:spacing w:before="60" w:after="60"/>
              <w:jc w:val="both"/>
              <w:rPr>
                <w:rFonts w:ascii="Arial" w:hAnsi="Arial" w:cs="Arial"/>
                <w:b/>
              </w:rPr>
            </w:pPr>
            <w:r w:rsidRPr="009E607E">
              <w:rPr>
                <w:sz w:val="20"/>
              </w:rPr>
              <w:t xml:space="preserve">Peamised väljaselgitatud sidusrühmad on autorendiettevõtjad, ametiühingud, liikmesriikide transpordi- ja maksuasutused, tarbijaorganisatsioonid, eelkõige autokasutajate organisatsioonid, ja ELi kodanikud. </w:t>
            </w:r>
          </w:p>
        </w:tc>
      </w:tr>
    </w:tbl>
    <w:p w:rsidR="009E6661" w:rsidRPr="009E607E" w:rsidP="00694440">
      <w:pPr>
        <w:rPr>
          <w:rFonts w:ascii="Arial" w:hAnsi="Arial" w:cs="Arial"/>
          <w:sz w:val="20"/>
          <w:szCs w:val="20"/>
        </w:rPr>
      </w:pPr>
    </w:p>
    <w:sectPr w:rsidSect="00C9010B">
      <w:footerReference w:type="even" r:id="rId15"/>
      <w:footerReference w:type="default" r:id="rId16"/>
      <w:headerReference w:type="first" r:id="rId17"/>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73328C" w:rsidP="00D92C25">
    <w:pPr>
      <w:pStyle w:val="Footer"/>
      <w:framePr w:wrap="around" w:vAnchor="text" w:hAnchor="margin" w:xAlign="center" w:y="1"/>
      <w:rPr>
        <w:rStyle w:val="PageNumber"/>
      </w:rPr>
    </w:pPr>
    <w:r w:rsidRPr="0073328C">
      <w:rPr>
        <w:rStyle w:val="PageNumber"/>
      </w:rPr>
      <w:fldChar w:fldCharType="begin"/>
    </w:r>
    <w:r w:rsidRPr="0073328C">
      <w:rPr>
        <w:rStyle w:val="PageNumber"/>
      </w:rPr>
      <w:instrText xml:space="preserve">PAGE  </w:instrText>
    </w:r>
    <w:r w:rsidRPr="0073328C">
      <w:rPr>
        <w:rStyle w:val="PageNumber"/>
      </w:rPr>
      <w:fldChar w:fldCharType="separate"/>
    </w:r>
    <w:r w:rsidRPr="0073328C">
      <w:rPr>
        <w:rStyle w:val="PageNumber"/>
      </w:rPr>
      <w:t>4</w:t>
    </w:r>
    <w:r w:rsidRPr="0073328C">
      <w:rPr>
        <w:rStyle w:val="PageNumber"/>
      </w:rPr>
      <w:fldChar w:fldCharType="end"/>
    </w:r>
  </w:p>
  <w:p w:rsidR="00035A3D" w:rsidRPr="00733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73328C"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p>
  <w:p w:rsidR="00035A3D" w:rsidRPr="0073328C"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r>
      <w:rPr>
        <w:rStyle w:val="PageNumber"/>
        <w:rFonts w:ascii="Arial" w:hAnsi="Arial"/>
        <w:sz w:val="16"/>
      </w:rPr>
      <w:tab/>
      <w:t xml:space="preserve">         </w:t>
    </w:r>
    <w:r w:rsidRPr="0073328C">
      <w:rPr>
        <w:rStyle w:val="PageNumber"/>
        <w:rFonts w:ascii="Arial" w:hAnsi="Arial"/>
        <w:sz w:val="16"/>
      </w:rPr>
      <w:fldChar w:fldCharType="begin"/>
    </w:r>
    <w:r w:rsidRPr="0073328C">
      <w:rPr>
        <w:rStyle w:val="PageNumber"/>
        <w:rFonts w:ascii="Arial" w:hAnsi="Arial"/>
        <w:sz w:val="16"/>
      </w:rPr>
      <w:instrText xml:space="preserve">PAGE  </w:instrText>
    </w:r>
    <w:r w:rsidRPr="0073328C">
      <w:rPr>
        <w:rStyle w:val="PageNumber"/>
        <w:rFonts w:ascii="Arial" w:hAnsi="Arial"/>
        <w:sz w:val="16"/>
      </w:rPr>
      <w:fldChar w:fldCharType="separate"/>
    </w:r>
    <w:r w:rsidRPr="0073328C">
      <w:rPr>
        <w:rStyle w:val="PageNumber"/>
        <w:rFonts w:ascii="Arial" w:hAnsi="Arial"/>
        <w:sz w:val="16"/>
      </w:rPr>
      <w:t>3</w:t>
    </w:r>
    <w:r w:rsidRPr="0073328C">
      <w:rPr>
        <w:rStyle w:val="PageNumber"/>
        <w:rFonts w:ascii="Arial" w:hAnsi="Arial"/>
        <w:sz w:val="16"/>
      </w:rPr>
      <w:fldChar w:fldCharType="end"/>
    </w:r>
  </w:p>
  <w:p w:rsidR="00035A3D" w:rsidRPr="0073328C">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7332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73328C" w:rsidP="00D92C25">
    <w:pPr>
      <w:pStyle w:val="Footer"/>
      <w:framePr w:wrap="around" w:vAnchor="text" w:hAnchor="margin" w:xAlign="center" w:y="1"/>
      <w:rPr>
        <w:rStyle w:val="PageNumber"/>
      </w:rPr>
    </w:pPr>
    <w:r w:rsidRPr="0073328C">
      <w:rPr>
        <w:rStyle w:val="PageNumber"/>
      </w:rPr>
      <w:fldChar w:fldCharType="begin"/>
    </w:r>
    <w:r w:rsidRPr="0073328C">
      <w:rPr>
        <w:rStyle w:val="PageNumber"/>
      </w:rPr>
      <w:instrText xml:space="preserve">PAGE  </w:instrText>
    </w:r>
    <w:r w:rsidRPr="0073328C">
      <w:rPr>
        <w:rStyle w:val="PageNumber"/>
      </w:rPr>
      <w:fldChar w:fldCharType="separate"/>
    </w:r>
    <w:r w:rsidRPr="0073328C">
      <w:rPr>
        <w:rStyle w:val="PageNumber"/>
      </w:rPr>
      <w:t>4</w:t>
    </w:r>
    <w:r w:rsidRPr="0073328C">
      <w:rPr>
        <w:rStyle w:val="PageNumber"/>
      </w:rPr>
      <w:fldChar w:fldCharType="end"/>
    </w:r>
  </w:p>
  <w:p w:rsidR="00035A3D" w:rsidRPr="007332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73328C"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p>
  <w:p w:rsidR="00035A3D" w:rsidRPr="0073328C"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r>
      <w:rPr>
        <w:rStyle w:val="PageNumber"/>
        <w:rFonts w:ascii="Arial" w:hAnsi="Arial"/>
        <w:sz w:val="16"/>
      </w:rPr>
      <w:tab/>
      <w:t xml:space="preserve">         </w:t>
    </w:r>
    <w:r w:rsidRPr="0073328C">
      <w:rPr>
        <w:rStyle w:val="PageNumber"/>
        <w:rFonts w:ascii="Arial" w:hAnsi="Arial"/>
        <w:sz w:val="16"/>
      </w:rPr>
      <w:fldChar w:fldCharType="begin"/>
    </w:r>
    <w:r w:rsidRPr="0073328C">
      <w:rPr>
        <w:rStyle w:val="PageNumber"/>
        <w:rFonts w:ascii="Arial" w:hAnsi="Arial"/>
        <w:sz w:val="16"/>
      </w:rPr>
      <w:instrText xml:space="preserve">PAGE  </w:instrText>
    </w:r>
    <w:r w:rsidRPr="0073328C">
      <w:rPr>
        <w:rStyle w:val="PageNumber"/>
        <w:rFonts w:ascii="Arial" w:hAnsi="Arial"/>
        <w:sz w:val="16"/>
      </w:rPr>
      <w:fldChar w:fldCharType="separate"/>
    </w:r>
    <w:r w:rsidRPr="0073328C" w:rsidR="00E66E1E">
      <w:rPr>
        <w:rStyle w:val="PageNumber"/>
        <w:rFonts w:ascii="Arial" w:hAnsi="Arial"/>
        <w:sz w:val="16"/>
      </w:rPr>
      <w:t>2</w:t>
    </w:r>
    <w:r w:rsidRPr="0073328C">
      <w:rPr>
        <w:rStyle w:val="PageNumber"/>
        <w:rFonts w:ascii="Arial" w:hAnsi="Arial"/>
        <w:sz w:val="16"/>
      </w:rPr>
      <w:fldChar w:fldCharType="end"/>
    </w:r>
  </w:p>
  <w:p w:rsidR="00035A3D" w:rsidRPr="0073328C">
    <w:pPr>
      <w:pStyle w:val="Footer"/>
      <w:rPr>
        <w:rFonts w:ascii="Arial" w:hAnsi="Arial"/>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733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733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73328C" w:rsidP="00E72EF2">
    <w:pPr>
      <w:pStyle w:val="Header"/>
      <w:jc w:val="center"/>
    </w:pPr>
    <w:r>
      <w:rPr>
        <w:rFonts w:ascii="Arial" w:hAnsi="Arial"/>
        <w:noProof/>
      </w:rPr>
      <w:drawing>
        <wp:inline distT="0" distB="0" distL="0" distR="0">
          <wp:extent cx="1908175" cy="508635"/>
          <wp:effectExtent l="0" t="0" r="0" b="5715"/>
          <wp:docPr id="5" name="Picture 5"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73328C" w:rsidP="00E72EF2">
    <w:pPr>
      <w:pStyle w:val="Header"/>
      <w:jc w:val="center"/>
    </w:pPr>
    <w:r>
      <w:rPr>
        <w:rFonts w:ascii="Arial" w:hAnsi="Arial"/>
        <w:noProof/>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1E04B03"/>
    <w:multiLevelType w:val="hybridMultilevel"/>
    <w:tmpl w:val="DE0E5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4">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5">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num w:numId="1">
    <w:abstractNumId w:val="4"/>
  </w:num>
  <w:num w:numId="2">
    <w:abstractNumId w:val="3"/>
  </w:num>
  <w:num w:numId="3">
    <w:abstractNumId w:val="5"/>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NORMAL"/>
    <w:docVar w:name="Stamp" w:val="\\dossiers.dgt.cec.eu.int\dossiers\MOVE\MOVE-2024-00745\MOVE-2024-00745-00-00-EN-EDT-00.20240430151834140449.DOCX"/>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 w:val="20"/>
      <w:szCs w:val="20"/>
    </w:rPr>
  </w:style>
  <w:style w:type="character" w:styleId="FootnoteReference">
    <w:name w:val="footnote reference"/>
    <w:aliases w:val=" BVI fnr,BVI fnr,Footnote Reference Superscript,Footnote symbol"/>
    <w:semiHidden/>
    <w:rsid w:val="009E6661"/>
    <w:rPr>
      <w:vertAlign w:val="superscript"/>
    </w:rPr>
  </w:style>
  <w:style w:type="character" w:customStyle="1" w:styleId="FootnoteTextChar">
    <w:name w:val="Footnote Text Char"/>
    <w:link w:val="FootnoteText"/>
    <w:rsid w:val="009E6661"/>
    <w:rPr>
      <w:lang w:val="et-EE" w:eastAsia="en-GB" w:bidi="ar-SA"/>
    </w:rPr>
  </w:style>
  <w:style w:type="paragraph" w:styleId="ListBullet">
    <w:name w:val="List Bullet"/>
    <w:basedOn w:val="Normal"/>
    <w:rsid w:val="009E6661"/>
    <w:pPr>
      <w:numPr>
        <w:numId w:val="1"/>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2"/>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et-EE" w:eastAsia="en-GB" w:bidi="ar-SA"/>
    </w:rPr>
  </w:style>
  <w:style w:type="paragraph" w:customStyle="1" w:styleId="ListDash4">
    <w:name w:val="List Dash 4"/>
    <w:basedOn w:val="Normal"/>
    <w:rsid w:val="00D03063"/>
    <w:pPr>
      <w:numPr>
        <w:numId w:val="3"/>
      </w:numPr>
    </w:p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rsid w:val="000E132C"/>
    <w:rPr>
      <w:sz w:val="20"/>
      <w:szCs w:val="20"/>
    </w:rPr>
  </w:style>
  <w:style w:type="character" w:customStyle="1" w:styleId="CommentTextChar">
    <w:name w:val="Comment Text Char"/>
    <w:basedOn w:val="DefaultParagraphFont"/>
    <w:link w:val="CommentTex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style>
  <w:style w:type="paragraph" w:styleId="ListParagraph">
    <w:name w:val="List Paragraph"/>
    <w:basedOn w:val="Normal"/>
    <w:uiPriority w:val="34"/>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
    <w:name w:val="Unresolved Mention"/>
    <w:basedOn w:val="DefaultParagraphFont"/>
    <w:uiPriority w:val="99"/>
    <w:semiHidden/>
    <w:unhideWhenUsed/>
    <w:rsid w:val="008A5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33f916-ce21-4f98-a771-0bef3058cb3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237e0e33-a802-4302-8cc8-d84d7732b0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00AEB0B91E7464E95EBA7AA7632CE11" ma:contentTypeVersion="16" ma:contentTypeDescription="Create a new document." ma:contentTypeScope="" ma:versionID="27c668fd5abe0ba2b809abbb42f766f8">
  <xsd:schema xmlns:xsd="http://www.w3.org/2001/XMLSchema" xmlns:xs="http://www.w3.org/2001/XMLSchema" xmlns:p="http://schemas.microsoft.com/office/2006/metadata/properties" xmlns:ns2="f133f916-ce21-4f98-a771-0bef3058cb3e" xmlns:ns3="237e0e33-a802-4302-8cc8-d84d7732b0d9" targetNamespace="http://schemas.microsoft.com/office/2006/metadata/properties" ma:root="true" ma:fieldsID="f75860206572ddcab9373c0d7f4841d4" ns2:_="" ns3:_="">
    <xsd:import namespace="f133f916-ce21-4f98-a771-0bef3058cb3e"/>
    <xsd:import namespace="237e0e33-a802-4302-8cc8-d84d7732b0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3f916-ce21-4f98-a771-0bef3058c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e0e33-a802-4302-8cc8-d84d7732b0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7dfdb3-8c71-4595-9b02-2349378e6ae9}" ma:internalName="TaxCatchAll" ma:showField="CatchAllData" ma:web="237e0e33-a802-4302-8cc8-d84d7732b0d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DF71C-59A8-4C6F-A3C1-8CF867750A43}">
  <ds:schemaRefs>
    <ds:schemaRef ds:uri="http://schemas.microsoft.com/office/2006/metadata/longProperties"/>
  </ds:schemaRefs>
</ds:datastoreItem>
</file>

<file path=customXml/itemProps2.xml><?xml version="1.0" encoding="utf-8"?>
<ds:datastoreItem xmlns:ds="http://schemas.openxmlformats.org/officeDocument/2006/customXml" ds:itemID="{4D8AD5CF-E8B4-447F-AE82-B85FCBFC32F4}">
  <ds:schemaRefs>
    <ds:schemaRef ds:uri="http://schemas.microsoft.com/office/2006/metadata/properties"/>
    <ds:schemaRef ds:uri="http://schemas.microsoft.com/office/infopath/2007/PartnerControls"/>
    <ds:schemaRef ds:uri="f133f916-ce21-4f98-a771-0bef3058cb3e"/>
    <ds:schemaRef ds:uri="237e0e33-a802-4302-8cc8-d84d7732b0d9"/>
  </ds:schemaRefs>
</ds:datastoreItem>
</file>

<file path=customXml/itemProps3.xml><?xml version="1.0" encoding="utf-8"?>
<ds:datastoreItem xmlns:ds="http://schemas.openxmlformats.org/officeDocument/2006/customXml" ds:itemID="{05DDC3C4-2292-4C4E-BF8F-969950C98C37}">
  <ds:schemaRefs>
    <ds:schemaRef ds:uri="http://schemas.microsoft.com/sharepoint/v3/contenttype/forms"/>
  </ds:schemaRefs>
</ds:datastoreItem>
</file>

<file path=customXml/itemProps4.xml><?xml version="1.0" encoding="utf-8"?>
<ds:datastoreItem xmlns:ds="http://schemas.openxmlformats.org/officeDocument/2006/customXml" ds:itemID="{C019C7C2-FFD0-42A3-8379-592EFD88BF9E}">
  <ds:schemaRefs>
    <ds:schemaRef ds:uri="http://schemas.openxmlformats.org/officeDocument/2006/bibliography"/>
  </ds:schemaRefs>
</ds:datastoreItem>
</file>

<file path=customXml/itemProps5.xml><?xml version="1.0" encoding="utf-8"?>
<ds:datastoreItem xmlns:ds="http://schemas.openxmlformats.org/officeDocument/2006/customXml" ds:itemID="{BE264D60-ED6E-4DD2-B86C-B80F17D8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3f916-ce21-4f98-a771-0bef3058cb3e"/>
    <ds:schemaRef ds:uri="237e0e33-a802-4302-8cc8-d84d7732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