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0F4272" w14:textId="58F2B788" w:rsidR="00405DAE" w:rsidRPr="00A33D16" w:rsidRDefault="00A740DC" w:rsidP="00A740DC">
      <w:pPr>
        <w:pStyle w:val="Pagedecouverture"/>
        <w:rPr>
          <w:noProof/>
        </w:rPr>
      </w:pPr>
      <w:bookmarkStart w:id="0" w:name="LW_BM_COVERPAGE"/>
      <w:r>
        <w:rPr>
          <w:noProof/>
        </w:rPr>
        <w:pict w14:anchorId="1A014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6302A2EE-19D4-4F77-91A2-BE7A972A6526" style="width:455.25pt;height:342pt">
            <v:imagedata r:id="rId11" o:title=""/>
          </v:shape>
        </w:pict>
      </w:r>
    </w:p>
    <w:bookmarkEnd w:id="0"/>
    <w:p w14:paraId="7C750CC4" w14:textId="77777777" w:rsidR="00405DAE" w:rsidRPr="00A33D16" w:rsidRDefault="00405DAE" w:rsidP="00405DAE">
      <w:pPr>
        <w:rPr>
          <w:noProof/>
        </w:rPr>
        <w:sectPr w:rsidR="00405DAE" w:rsidRPr="00A33D16" w:rsidSect="00A740DC">
          <w:headerReference w:type="even" r:id="rId12"/>
          <w:headerReference w:type="default" r:id="rId13"/>
          <w:footerReference w:type="even" r:id="rId14"/>
          <w:footerReference w:type="default" r:id="rId15"/>
          <w:headerReference w:type="first" r:id="rId16"/>
          <w:footerReference w:type="first" r:id="rId17"/>
          <w:pgSz w:w="11906" w:h="16838" w:code="9"/>
          <w:pgMar w:top="1134" w:right="1417" w:bottom="1134" w:left="1417" w:header="709" w:footer="709" w:gutter="0"/>
          <w:pgNumType w:start="0"/>
          <w:cols w:space="720"/>
          <w:docGrid w:linePitch="326"/>
        </w:sectPr>
      </w:pPr>
    </w:p>
    <w:p w14:paraId="68D8BD85" w14:textId="00AF1019" w:rsidR="00275D3E" w:rsidRPr="00A33D16" w:rsidRDefault="00F029CA" w:rsidP="008B2403">
      <w:pPr>
        <w:pStyle w:val="Heading1"/>
        <w:numPr>
          <w:ilvl w:val="0"/>
          <w:numId w:val="22"/>
        </w:numPr>
        <w:rPr>
          <w:rFonts w:ascii="Times New Roman Bold" w:hAnsi="Times New Roman Bold" w:cs="Times New Roman" w:hint="eastAsia"/>
          <w:b/>
          <w:bCs/>
          <w:smallCaps/>
          <w:noProof/>
          <w:color w:val="auto"/>
          <w:sz w:val="24"/>
          <w:szCs w:val="24"/>
        </w:rPr>
      </w:pPr>
      <w:bookmarkStart w:id="1" w:name="_GoBack"/>
      <w:bookmarkEnd w:id="1"/>
      <w:r w:rsidRPr="00A33D16">
        <w:rPr>
          <w:rFonts w:ascii="Times New Roman Bold" w:hAnsi="Times New Roman Bold"/>
          <w:b/>
          <w:smallCaps/>
          <w:noProof/>
          <w:color w:val="auto"/>
          <w:sz w:val="24"/>
        </w:rPr>
        <w:lastRenderedPageBreak/>
        <w:t>Sissejuhatus</w:t>
      </w:r>
    </w:p>
    <w:p w14:paraId="53B672A9" w14:textId="4A6F480F" w:rsidR="00E06994" w:rsidRPr="00A33D16" w:rsidRDefault="03B3FCF4" w:rsidP="00E06994">
      <w:pPr>
        <w:pStyle w:val="Text1"/>
        <w:rPr>
          <w:noProof/>
          <w:shd w:val="clear" w:color="auto" w:fill="FFFFFF"/>
        </w:rPr>
      </w:pPr>
      <w:bookmarkStart w:id="2" w:name="_Toc66088924"/>
      <w:bookmarkStart w:id="3" w:name="_Toc66214557"/>
      <w:bookmarkStart w:id="4" w:name="_Toc66216743"/>
      <w:bookmarkStart w:id="5" w:name="_Toc63329291"/>
      <w:bookmarkStart w:id="6" w:name="_Toc63355566"/>
      <w:bookmarkStart w:id="7" w:name="_Toc66088923"/>
      <w:bookmarkStart w:id="8" w:name="_Toc66214556"/>
      <w:bookmarkStart w:id="9" w:name="_Toc66216742"/>
      <w:bookmarkStart w:id="10" w:name="_Toc64585806"/>
      <w:bookmarkStart w:id="11" w:name="_Toc64627748"/>
      <w:bookmarkStart w:id="12" w:name="_Toc64629560"/>
      <w:bookmarkStart w:id="13" w:name="_Toc64629696"/>
      <w:bookmarkStart w:id="14" w:name="_Toc64631996"/>
      <w:bookmarkStart w:id="15" w:name="_Toc64635266"/>
      <w:bookmarkStart w:id="16" w:name="_Toc64638189"/>
      <w:bookmarkStart w:id="17" w:name="_Toc64638311"/>
      <w:bookmarkStart w:id="18" w:name="_Toc64644056"/>
      <w:bookmarkStart w:id="19" w:name="_Toc64648443"/>
      <w:bookmarkStart w:id="20" w:name="_Toc65007736"/>
      <w:bookmarkStart w:id="21" w:name="_Toc65009151"/>
      <w:bookmarkStart w:id="22" w:name="_Toc65009702"/>
      <w:bookmarkStart w:id="23" w:name="_Toc65010811"/>
      <w:bookmarkStart w:id="24" w:name="_Toc65013151"/>
      <w:bookmarkStart w:id="25" w:name="_Toc65050114"/>
      <w:bookmarkStart w:id="26" w:name="_Toc65056271"/>
      <w:bookmarkStart w:id="27" w:name="_Toc65056475"/>
      <w:bookmarkStart w:id="28" w:name="_Toc65056560"/>
      <w:r w:rsidRPr="00A33D16">
        <w:rPr>
          <w:b/>
          <w:noProof/>
        </w:rPr>
        <w:t>Aruanne „Euroopa keskkond 2025“</w:t>
      </w:r>
      <w:r w:rsidRPr="00A33D16">
        <w:rPr>
          <w:rStyle w:val="FootnoteReference"/>
          <w:b/>
          <w:bCs/>
          <w:noProof/>
        </w:rPr>
        <w:footnoteReference w:id="2"/>
      </w:r>
      <w:r w:rsidRPr="00A33D16">
        <w:rPr>
          <w:b/>
          <w:noProof/>
        </w:rPr>
        <w:t xml:space="preserve"> sisaldab teaduslikke tõendeid selle kohta, et </w:t>
      </w:r>
      <w:r w:rsidRPr="00A33D16">
        <w:rPr>
          <w:b/>
          <w:noProof/>
          <w:shd w:val="clear" w:color="auto" w:fill="FFFFFF"/>
        </w:rPr>
        <w:t>kliimamuutused ja keskkonnaseisundi halvenemine mõjutavad jätkuvalt Euroopa konkurentsivõimet, majandust ja vastupanuvõimet</w:t>
      </w:r>
      <w:r w:rsidRPr="00A33D16">
        <w:rPr>
          <w:noProof/>
          <w:shd w:val="clear" w:color="auto" w:fill="FFFFFF"/>
        </w:rPr>
        <w:t>. On pakiliselt vajalik kiirendada Euroopa rohelise kokkuleppe raames juba kokku lepitud poliitika ja pikaajalist kestlikkust soodustavate meetmete rakendamist. Sellised meetmed on kooskõlas</w:t>
      </w:r>
      <w:r w:rsidRPr="00A33D16">
        <w:rPr>
          <w:noProof/>
        </w:rPr>
        <w:t xml:space="preserve"> </w:t>
      </w:r>
      <w:r w:rsidRPr="00A33D16">
        <w:rPr>
          <w:noProof/>
          <w:shd w:val="clear" w:color="auto" w:fill="FFFFFF"/>
        </w:rPr>
        <w:t xml:space="preserve">Euroopa Komisjoni konkurentsivõime kompassi ja puhta tööstuse kokkuleppe prioriteetidega innovatsiooni, süsinikuheite vähendamise ja julgeoleku valdkonnas. </w:t>
      </w:r>
    </w:p>
    <w:p w14:paraId="19598E8B" w14:textId="545BDB78" w:rsidR="00E06994" w:rsidRPr="00A33D16" w:rsidRDefault="00E06994" w:rsidP="00E06994">
      <w:pPr>
        <w:pStyle w:val="Text1"/>
        <w:spacing w:line="259" w:lineRule="auto"/>
        <w:rPr>
          <w:noProof/>
        </w:rPr>
      </w:pPr>
      <w:r w:rsidRPr="00A33D16">
        <w:rPr>
          <w:b/>
          <w:noProof/>
        </w:rPr>
        <w:t>Puhas keskkond on nii inimeste kui ka planeedi jaoks toimiva konkurentsivõimelise ja kestliku majanduse eeltingimus</w:t>
      </w:r>
      <w:r w:rsidRPr="00A33D16">
        <w:rPr>
          <w:noProof/>
        </w:rPr>
        <w:t>. On tõestatud, et puhas õhk vähendab töötajate haiguspäevade arvu. Samuti vähendab see tervishoiukulusid</w:t>
      </w:r>
      <w:r w:rsidRPr="00A33D16">
        <w:rPr>
          <w:rStyle w:val="FootnoteReference"/>
          <w:noProof/>
        </w:rPr>
        <w:footnoteReference w:id="3"/>
      </w:r>
      <w:r w:rsidRPr="00A33D16">
        <w:rPr>
          <w:noProof/>
        </w:rPr>
        <w:t>. Puhas ookean ja magevesi on vajalikud mitmesuguse majandustegevuse jaoks, näiteks põllumajandus, kalandus ja vesiviljelus, toiduainete töötlemine või tööstustoodete tootmine. Juurdepääs puhtale joogiveele ja sanitaartingimustele on vajalik ka rahvatervise ja heaolu jaoks. Puhas ja heas seisundis muld on oluline kestliku põllumajanduse jaoks, sellel on positiivne mõju saagikusele ning see tagab toiduga kindlustatuse ja toiduohutuse. Ohtlike kemikaalide toodetes kasutamise reguleerimine vähendab ohtu inimeste tervisele ja keskkonnale, toetab jäätmehierarhiaga kooskõlas olevaid jäätmekäitlustavasid ning soodustab konkurentsivõimelist ringmajandust, võimaldades uuenduslikke saastevabu lahendusi. Maailma Majandusfoorum tegi 2025. aastal kindlaks, et saaste on üks kümnest peamisest ülemaailmsest riskist</w:t>
      </w:r>
      <w:r w:rsidRPr="00A33D16">
        <w:rPr>
          <w:rStyle w:val="FootnoteReference"/>
          <w:noProof/>
        </w:rPr>
        <w:footnoteReference w:id="4"/>
      </w:r>
      <w:r w:rsidRPr="00A33D16">
        <w:rPr>
          <w:noProof/>
        </w:rPr>
        <w:t>.</w:t>
      </w:r>
    </w:p>
    <w:p w14:paraId="1BBE3979" w14:textId="259CF6A0" w:rsidR="00E06994" w:rsidRPr="00A33D16" w:rsidRDefault="03B3FCF4" w:rsidP="00E06994">
      <w:pPr>
        <w:pStyle w:val="Text1"/>
        <w:rPr>
          <w:noProof/>
        </w:rPr>
      </w:pPr>
      <w:r w:rsidRPr="00A33D16">
        <w:rPr>
          <w:b/>
          <w:noProof/>
        </w:rPr>
        <w:t>Euroopa on koostanud kava keskkonna puhtamaks muutmiseks.</w:t>
      </w:r>
      <w:r w:rsidRPr="00A33D16">
        <w:rPr>
          <w:noProof/>
        </w:rPr>
        <w:t xml:space="preserve"> 2021. aasta nullsaaste tegevuskavas</w:t>
      </w:r>
      <w:r w:rsidRPr="00A33D16">
        <w:rPr>
          <w:rStyle w:val="FootnoteReference"/>
          <w:noProof/>
        </w:rPr>
        <w:footnoteReference w:id="5"/>
      </w:r>
      <w:r w:rsidRPr="00A33D16">
        <w:rPr>
          <w:noProof/>
        </w:rPr>
        <w:t xml:space="preserve"> on sätestatud pikaajaline eesmärk kujundada keskkond mürgivabaks</w:t>
      </w:r>
      <w:r w:rsidRPr="00A33D16">
        <w:rPr>
          <w:rStyle w:val="FootnoteReference"/>
          <w:noProof/>
        </w:rPr>
        <w:footnoteReference w:id="6"/>
      </w:r>
      <w:r w:rsidRPr="00A33D16">
        <w:rPr>
          <w:noProof/>
        </w:rPr>
        <w:t xml:space="preserve"> ning see on ELi puhta ja ringluspõhise konkurentsivõime tegevuskava peamine tugisammas. 2050. aasta eesmärk on sätestatud ka hiljutistes seadustes,</w:t>
      </w:r>
      <w:r w:rsidRPr="00A33D16">
        <w:rPr>
          <w:rStyle w:val="FootnoteReference"/>
          <w:noProof/>
        </w:rPr>
        <w:footnoteReference w:id="7"/>
      </w:r>
      <w:r w:rsidRPr="00A33D16">
        <w:rPr>
          <w:noProof/>
        </w:rPr>
        <w:t xml:space="preserve"> et aidata suunata rohepööret. Peamised vahe-eesmärgid on 2030. aasta eesmärgid, mida kasutatakse nullsaaste tegevuskava rakendamisel tehtud edusammude mõõtmiseks</w:t>
      </w:r>
      <w:r w:rsidRPr="00A33D16">
        <w:rPr>
          <w:rStyle w:val="FootnoteReference"/>
          <w:noProof/>
        </w:rPr>
        <w:footnoteReference w:id="8"/>
      </w:r>
      <w:r w:rsidRPr="00A33D16">
        <w:rPr>
          <w:noProof/>
        </w:rPr>
        <w:t>. Koos kestlikkust toetava kemikaalistrateegiaga</w:t>
      </w:r>
      <w:r w:rsidRPr="00A33D16">
        <w:rPr>
          <w:rStyle w:val="FootnoteReference"/>
          <w:noProof/>
        </w:rPr>
        <w:footnoteReference w:id="9"/>
      </w:r>
      <w:r w:rsidRPr="00A33D16">
        <w:rPr>
          <w:noProof/>
        </w:rPr>
        <w:t xml:space="preserve"> esitati tegevuskavas konkreetsed meetmed, et aidata ELil liikuda nullsaaste eesmärgi poole, mis täiendab liidu kliima- ja looduse taastamise eesmärke. Seeläbi tegeletakse planeedi kolmikkriisiga. Geopoliitiliselt rahutul ajal on Euroopa plaan strateegilise autonoomia säilitamiseks püsida kaugeleulatuvate keskkonnaeesmärkide saavutamise kursil.</w:t>
      </w:r>
    </w:p>
    <w:p w14:paraId="3D88A1DF" w14:textId="3A07BD24" w:rsidR="00B176B2" w:rsidRPr="00A33D16" w:rsidRDefault="03B3FCF4" w:rsidP="00E06994">
      <w:pPr>
        <w:pStyle w:val="Text1"/>
        <w:rPr>
          <w:noProof/>
        </w:rPr>
      </w:pPr>
      <w:r w:rsidRPr="00A33D16">
        <w:rPr>
          <w:b/>
          <w:noProof/>
        </w:rPr>
        <w:t>Ümberkujundavaid meetmeid on võetud ja lähiaastatel sellega jätkatakse</w:t>
      </w:r>
      <w:r w:rsidRPr="00A33D16">
        <w:rPr>
          <w:rStyle w:val="FootnoteReference"/>
          <w:noProof/>
        </w:rPr>
        <w:footnoteReference w:id="10"/>
      </w:r>
      <w:r w:rsidRPr="00A33D16">
        <w:rPr>
          <w:noProof/>
        </w:rPr>
        <w:t>. Komisjon on selgelt väljendanud, et nullsaaste eesmärgid on kindlalt seotud konkurentsivõimelise ja vastupanuvõimelise Euroopa prioriteetidega. Keskendutakse kokkulepitud õigusaktide rakendamisele, pöörates erilist tähelepanu sellele, et liikmesriikidel ja ettevõtjatel oleks lihtsam neid järgida</w:t>
      </w:r>
      <w:r w:rsidRPr="00A33D16">
        <w:rPr>
          <w:rStyle w:val="FootnoteReference"/>
          <w:noProof/>
        </w:rPr>
        <w:footnoteReference w:id="11"/>
      </w:r>
      <w:r w:rsidRPr="00A33D16">
        <w:rPr>
          <w:noProof/>
        </w:rPr>
        <w:t>. See on nullsaaste eesmärgi suunas liikumise eeltingimus. 2024.–2029. aasta poliitiliste suuniste kohaselt on mitmes peamises poliitikavaldkonnas, nagu puhta tööstuse kokkulepe, konkurentsivõime kompass, veekerksuse strateegia, Euroopa maailmamerepakt, ELi põllumajanduse ja toidutootmise visioon ning keemiatööstuse tegevuskava ja biomajanduse strateegia,</w:t>
      </w:r>
      <w:r w:rsidRPr="00A33D16">
        <w:rPr>
          <w:rStyle w:val="FootnoteReference"/>
          <w:noProof/>
        </w:rPr>
        <w:footnoteReference w:id="12"/>
      </w:r>
      <w:r w:rsidRPr="00A33D16">
        <w:rPr>
          <w:noProof/>
        </w:rPr>
        <w:t xml:space="preserve"> teatatud täiendavatest meetmetest, mis aitavad nullsaastet saavutada. Mõningate tuvastatud puuduste kõrvaldamiseks on ühtlasi väga tähtsad ulatuslikud strateegilised algatused, nagu tulevane ringmajanduse õigusakt, kemikaalide registreerimist, hindamist, autoriseerimist ja piiramist käsitleva määruse (REACH) läbivaatamine ning terviseühtsuse tegevuskavaga seotud meetmed, nagu ennetav tervishoid. </w:t>
      </w:r>
    </w:p>
    <w:p w14:paraId="4AF3B840" w14:textId="2C6B1CA3" w:rsidR="00E06994" w:rsidRPr="00A33D16" w:rsidRDefault="03B3FCF4" w:rsidP="00E06994">
      <w:pPr>
        <w:pStyle w:val="Text1"/>
        <w:rPr>
          <w:noProof/>
        </w:rPr>
      </w:pPr>
      <w:r w:rsidRPr="00A33D16">
        <w:rPr>
          <w:b/>
          <w:noProof/>
        </w:rPr>
        <w:t>Nullsaaste saavutamiseks on vaja jõulisemalt ära kasutada innovatsiooni potentsiaali</w:t>
      </w:r>
      <w:r w:rsidRPr="00A33D16">
        <w:rPr>
          <w:noProof/>
        </w:rPr>
        <w:t>. ELi keskkonnamajandus</w:t>
      </w:r>
      <w:r w:rsidRPr="00A33D16">
        <w:rPr>
          <w:rStyle w:val="FootnoteReference"/>
          <w:noProof/>
        </w:rPr>
        <w:footnoteReference w:id="13"/>
      </w:r>
      <w:r w:rsidRPr="00A33D16">
        <w:rPr>
          <w:noProof/>
        </w:rPr>
        <w:t xml:space="preserve"> kasvas 2022. aastal jätkuvalt kiiremini kui majandus tervikuna, seda nii tööhõive kui ka lisandväärtuse poolest</w:t>
      </w:r>
      <w:r w:rsidRPr="00A33D16">
        <w:rPr>
          <w:rStyle w:val="FootnoteReference"/>
          <w:noProof/>
        </w:rPr>
        <w:footnoteReference w:id="14"/>
      </w:r>
      <w:r w:rsidRPr="00A33D16">
        <w:rPr>
          <w:noProof/>
        </w:rPr>
        <w:t>. Ühiskonna kestlikku jõukust ja konkurentsivõimet on võimalik saavutada rohetööstuse toetamise, tööjõu ümberõppe, ärimudelite ümberkujundamise ja halduskoormuse vähendamisega, eelkõige väikeste ja keskmise suurusega ettevõtjate (VKEd) ning mikroettevõtjate puhul. Viimastel aastatel on programmide „Euroopa horisont“ ja LIFE rahastamine aidanud välja töötada läbimurdelisi lahendusi. See on kaasa toonud palju edulugusid, sealhulgas käesolevas dokumendis nimetatud valitud näited. Väga arenenud on ELi ökoinnovatsioon. Seda tuleb ELis veelgi rohkem kommertsrakendustes ära kasutada, et toetada ELi rohemajanduse konkurentsivõimet kõrgtehnoloogia valdkonnas.</w:t>
      </w:r>
    </w:p>
    <w:p w14:paraId="02F053E2" w14:textId="24367501" w:rsidR="00E06994" w:rsidRPr="00A33D16" w:rsidRDefault="00E06994" w:rsidP="00E06994">
      <w:pPr>
        <w:pStyle w:val="Text1"/>
        <w:rPr>
          <w:noProof/>
        </w:rPr>
      </w:pPr>
      <w:r w:rsidRPr="00A33D16">
        <w:rPr>
          <w:b/>
          <w:noProof/>
        </w:rPr>
        <w:t>Rangemad keskkonnanormid mõjutavad ka ettevõtjaid uuendusi tegema.</w:t>
      </w:r>
      <w:r w:rsidRPr="00A33D16">
        <w:rPr>
          <w:noProof/>
        </w:rPr>
        <w:t xml:space="preserve"> ELi keskkonnaalaste õigusaktidega saab toetada keskkonnahoidlike ja saastevabade uuenduslike lahenduste kasutuselevõttu. Keskkonnahoidlik ja saastevaba innovatsioon võib suurendada tootlikkust ja luua uusi turge</w:t>
      </w:r>
      <w:r w:rsidRPr="00A33D16">
        <w:rPr>
          <w:rStyle w:val="FootnoteReference"/>
          <w:noProof/>
        </w:rPr>
        <w:footnoteReference w:id="15"/>
      </w:r>
      <w:r w:rsidRPr="00A33D16">
        <w:rPr>
          <w:noProof/>
        </w:rPr>
        <w:t>. OECD on juhtinud tähelepanu sellele, et keskkonnahoidlikud sektorid loovad uusi väärtusahelaid ja uusi lahendusi, mis suurendavad tõhusust ja võimaldavad kulusid kokku hoida. Maailma Majandusfoorum usub, et tekkivatel turgudel võivad domineerida keskkonnahoidliku tehnoloogia valdkonnas juhtivad riigid. Samuti on ta juhtinud tähelepanu sellele, et nüüd integreerib 80 % maailma ettevõtetest kestlikkuse oma innovatsioonistrateegiatesse</w:t>
      </w:r>
      <w:r w:rsidRPr="00A33D16">
        <w:rPr>
          <w:rStyle w:val="FootnoteReference"/>
          <w:noProof/>
        </w:rPr>
        <w:footnoteReference w:id="16"/>
      </w:r>
      <w:r w:rsidRPr="00A33D16">
        <w:rPr>
          <w:noProof/>
        </w:rPr>
        <w:t>. Hiljuti kinnitas OECD, et isegi tagasihoidlik õhukvaliteedi paranemine võib suurendada tootlikkust</w:t>
      </w:r>
      <w:r w:rsidRPr="00A33D16">
        <w:rPr>
          <w:rStyle w:val="FootnoteReference"/>
          <w:noProof/>
        </w:rPr>
        <w:footnoteReference w:id="17"/>
      </w:r>
      <w:r w:rsidRPr="00A33D16">
        <w:rPr>
          <w:noProof/>
        </w:rPr>
        <w:t xml:space="preserve">. </w:t>
      </w:r>
    </w:p>
    <w:p w14:paraId="58CEB667" w14:textId="39CAC0E3" w:rsidR="00E06994" w:rsidRPr="00A33D16" w:rsidRDefault="00E06994" w:rsidP="00E06994">
      <w:pPr>
        <w:pStyle w:val="Text1"/>
        <w:rPr>
          <w:noProof/>
        </w:rPr>
      </w:pPr>
      <w:r w:rsidRPr="00A33D16">
        <w:rPr>
          <w:b/>
          <w:noProof/>
        </w:rPr>
        <w:t xml:space="preserve">Innovatsioonipotentsiaali vallandamiseks on vaja investeeringuid. </w:t>
      </w:r>
      <w:r w:rsidRPr="00A33D16">
        <w:rPr>
          <w:noProof/>
        </w:rPr>
        <w:t>Praegu on potentsiaalne investeerimispuudujääk ELi keskkonnaalaste õigusaktide rakendamisel 58 miljardit eurot aastas (0,4 % ELi SKPst)</w:t>
      </w:r>
      <w:r w:rsidRPr="00A33D16">
        <w:rPr>
          <w:rStyle w:val="FootnoteReference"/>
          <w:noProof/>
        </w:rPr>
        <w:footnoteReference w:id="18"/>
      </w:r>
      <w:r w:rsidRPr="00A33D16">
        <w:rPr>
          <w:noProof/>
        </w:rPr>
        <w:t>. Uus mitmeaastane finantsraamistik pakub uusi võimalusi avaliku sektori esialgse rahastamise tagamiseks. Vaja on ka erainvesteeringuid ning avaliku ja erasektori algatused võivad aidata neid kaasata. Saaste vähendamisse investeerimise tasuvus on palju suurem kui kulud. Õhusaaste vähendamise valdkonnas on see hinnanguliselt 700 % tänu väiksematele tervishoiukulutustele, väiksemale osoonist tingitud saagikuse langusele, harvemale haiguse tõttu töölt puudumisele ja suuremale tööviljakusele</w:t>
      </w:r>
      <w:r w:rsidRPr="00A33D16">
        <w:rPr>
          <w:rStyle w:val="FootnoteReference"/>
          <w:noProof/>
        </w:rPr>
        <w:footnoteReference w:id="19"/>
      </w:r>
      <w:r w:rsidRPr="00A33D16">
        <w:rPr>
          <w:noProof/>
        </w:rPr>
        <w:t xml:space="preserve">. </w:t>
      </w:r>
    </w:p>
    <w:p w14:paraId="0D387B32" w14:textId="7F2226C4" w:rsidR="00E06994" w:rsidRPr="00A33D16" w:rsidRDefault="00E06994" w:rsidP="00E06994">
      <w:pPr>
        <w:pStyle w:val="Text1"/>
        <w:rPr>
          <w:noProof/>
        </w:rPr>
      </w:pPr>
      <w:r w:rsidRPr="00A33D16">
        <w:rPr>
          <w:b/>
          <w:noProof/>
        </w:rPr>
        <w:t>Üha rohkem ettevõtjaid, linnu ja piirkondi on võtmas juhtrolli</w:t>
      </w:r>
      <w:r w:rsidRPr="00A33D16">
        <w:rPr>
          <w:noProof/>
        </w:rPr>
        <w:t xml:space="preserve">. Nad näitavad, et rohepööre, sealhulgas nullsaastele üleminek, on võimalik ja toob kaasa käegakatsutavaid eeliseid. Käesoleva aruande eesmärk on tutvustada, kuigi mitte ammendavalt, mõningaid juhtivaid tegijaid. </w:t>
      </w:r>
    </w:p>
    <w:p w14:paraId="4ADAD540" w14:textId="5C361ABF" w:rsidR="00E06994" w:rsidRPr="00A33D16" w:rsidRDefault="00E06994" w:rsidP="00E06994">
      <w:pPr>
        <w:pStyle w:val="Text1"/>
        <w:rPr>
          <w:noProof/>
        </w:rPr>
      </w:pPr>
      <w:r w:rsidRPr="00A33D16">
        <w:rPr>
          <w:b/>
          <w:noProof/>
        </w:rPr>
        <w:t>Praegu on aeg vaadata üle edusammud ja kavandada järgmised sammud.</w:t>
      </w:r>
      <w:r w:rsidRPr="00A33D16">
        <w:rPr>
          <w:noProof/>
        </w:rPr>
        <w:t xml:space="preserve"> Käesolevas aruandes esitatakse 2021. aastal väljakuulutatud tegevuskava vahekokkuvõte</w:t>
      </w:r>
      <w:r w:rsidRPr="00A33D16">
        <w:rPr>
          <w:rStyle w:val="FootnoteReference"/>
          <w:noProof/>
        </w:rPr>
        <w:footnoteReference w:id="20"/>
      </w:r>
      <w:r w:rsidRPr="00A33D16">
        <w:rPr>
          <w:noProof/>
        </w:rPr>
        <w:t>. See tugineb Euroopa Keskkonnaameti (EEA) viimase aruande „Euroopa keskkond 2025“</w:t>
      </w:r>
      <w:r w:rsidRPr="00A33D16">
        <w:rPr>
          <w:rStyle w:val="FootnoteReference"/>
          <w:noProof/>
        </w:rPr>
        <w:footnoteReference w:id="21"/>
      </w:r>
      <w:r w:rsidRPr="00A33D16">
        <w:rPr>
          <w:noProof/>
        </w:rPr>
        <w:t xml:space="preserve"> järeldustele, mida on arvesse võetud teises nullsaaste seire- ja väljavaatearuandes (2025)</w:t>
      </w:r>
      <w:r w:rsidRPr="00A33D16">
        <w:rPr>
          <w:rStyle w:val="FootnoteReference"/>
          <w:noProof/>
        </w:rPr>
        <w:footnoteReference w:id="22"/>
      </w:r>
      <w:bookmarkEnd w:id="2"/>
      <w:bookmarkEnd w:id="3"/>
      <w:bookmarkEnd w:id="4"/>
      <w:r w:rsidRPr="00A33D16">
        <w:rPr>
          <w:noProof/>
        </w:rPr>
        <w:t xml:space="preserve">. </w:t>
      </w:r>
    </w:p>
    <w:p w14:paraId="4833D8E8" w14:textId="77777777" w:rsidR="00E06994" w:rsidRPr="00A33D16" w:rsidRDefault="00E06994" w:rsidP="00E06994">
      <w:pPr>
        <w:pStyle w:val="Heading1"/>
        <w:numPr>
          <w:ilvl w:val="0"/>
          <w:numId w:val="22"/>
        </w:numPr>
        <w:rPr>
          <w:rFonts w:ascii="Times New Roman Bold" w:hAnsi="Times New Roman Bold" w:cs="Times New Roman" w:hint="eastAsia"/>
          <w:b/>
          <w:bCs/>
          <w:smallCaps/>
          <w:noProof/>
          <w:color w:val="auto"/>
          <w:sz w:val="24"/>
          <w:szCs w:val="24"/>
        </w:rPr>
      </w:pPr>
      <w:r w:rsidRPr="00A33D16">
        <w:rPr>
          <w:rFonts w:ascii="Times New Roman Bold" w:hAnsi="Times New Roman Bold"/>
          <w:b/>
          <w:smallCaps/>
          <w:noProof/>
          <w:color w:val="auto"/>
          <w:sz w:val="24"/>
        </w:rPr>
        <w:t xml:space="preserve">Edusammud puhta </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A33D16">
        <w:rPr>
          <w:rFonts w:ascii="Times New Roman Bold" w:hAnsi="Times New Roman Bold"/>
          <w:b/>
          <w:smallCaps/>
          <w:noProof/>
          <w:color w:val="auto"/>
          <w:sz w:val="24"/>
        </w:rPr>
        <w:t>keskkonna suunas (alates 2021. aastast)</w:t>
      </w:r>
    </w:p>
    <w:p w14:paraId="08152243" w14:textId="38C41A64" w:rsidR="00E06994" w:rsidRPr="00A33D16" w:rsidRDefault="03B3FCF4" w:rsidP="00E06994">
      <w:pPr>
        <w:pStyle w:val="Text1"/>
        <w:rPr>
          <w:noProof/>
        </w:rPr>
      </w:pPr>
      <w:r w:rsidRPr="00A33D16">
        <w:rPr>
          <w:b/>
          <w:noProof/>
        </w:rPr>
        <w:t>Nullsaaste eesmärkide saavutamiseks tehtud edusammud on julgustavad, kuigi ebaühtlased.</w:t>
      </w:r>
      <w:r w:rsidRPr="00A33D16">
        <w:rPr>
          <w:noProof/>
        </w:rPr>
        <w:t xml:space="preserve"> Viimases hindamises leiti, et märkimisväärselt on vähenenud õhusaaste,</w:t>
      </w:r>
      <w:r w:rsidRPr="00A33D16">
        <w:rPr>
          <w:rStyle w:val="FootnoteReference"/>
          <w:noProof/>
        </w:rPr>
        <w:footnoteReference w:id="23"/>
      </w:r>
      <w:r w:rsidRPr="00A33D16">
        <w:rPr>
          <w:noProof/>
        </w:rPr>
        <w:t xml:space="preserve"> pestitsiidide kasutamine ja ohud, antimikroobikumide müük ja plastireostus merel (mida jälgitakse rannaprügi koguste kaudu)</w:t>
      </w:r>
      <w:r w:rsidRPr="00A33D16">
        <w:rPr>
          <w:rStyle w:val="FootnoteReference"/>
          <w:noProof/>
        </w:rPr>
        <w:footnoteReference w:id="24"/>
      </w:r>
      <w:r w:rsidRPr="00A33D16">
        <w:rPr>
          <w:noProof/>
        </w:rPr>
        <w:t>. Veealuse müra,</w:t>
      </w:r>
      <w:r w:rsidRPr="00A33D16">
        <w:rPr>
          <w:rStyle w:val="FootnoteReference"/>
          <w:noProof/>
        </w:rPr>
        <w:footnoteReference w:id="25"/>
      </w:r>
      <w:r w:rsidRPr="00A33D16">
        <w:rPr>
          <w:noProof/>
        </w:rPr>
        <w:t xml:space="preserve"> merevee toitainetega saastumise ja jäätmete valdkonnas on suundumused stabiilsed, kuid hinnangute järgi on viimastel aastatel suurenenud mikroplastireostus. Edusammude piiratust või puudumist võib mõnes valdkonnas osaliselt põhjendada viivitustega uute meetmete rakendamise ja nende mõju ilmnemise vahel</w:t>
      </w:r>
      <w:r w:rsidRPr="00A33D16">
        <w:rPr>
          <w:rStyle w:val="FootnoteReference"/>
          <w:noProof/>
        </w:rPr>
        <w:footnoteReference w:id="26"/>
      </w:r>
      <w:r w:rsidRPr="00A33D16">
        <w:rPr>
          <w:noProof/>
        </w:rPr>
        <w:t xml:space="preserve"> ning andmete piiratusega. </w:t>
      </w:r>
    </w:p>
    <w:p w14:paraId="2DD01FFC" w14:textId="5C7B63F3" w:rsidR="00E06994" w:rsidRPr="00A33D16" w:rsidRDefault="03B3FCF4" w:rsidP="00E06994">
      <w:pPr>
        <w:pStyle w:val="Text1"/>
        <w:rPr>
          <w:noProof/>
        </w:rPr>
      </w:pPr>
      <w:r w:rsidRPr="00A33D16">
        <w:rPr>
          <w:b/>
          <w:noProof/>
        </w:rPr>
        <w:t xml:space="preserve">Nullsaastet puudutav õigusraamistik on enamjaolt paigas. </w:t>
      </w:r>
      <w:r w:rsidRPr="00A33D16">
        <w:rPr>
          <w:noProof/>
        </w:rPr>
        <w:t xml:space="preserve">Viimase kuue aasta jooksul </w:t>
      </w:r>
      <w:r w:rsidRPr="00A33D16">
        <w:rPr>
          <w:rStyle w:val="normaltextrun"/>
          <w:noProof/>
          <w:color w:val="333333"/>
        </w:rPr>
        <w:t xml:space="preserve">on ELi norme muudetud, et suurendada tahet saavutada </w:t>
      </w:r>
      <w:r w:rsidRPr="00A33D16">
        <w:rPr>
          <w:rStyle w:val="normaltextrun"/>
          <w:noProof/>
        </w:rPr>
        <w:t>2050. aasta visioon ja 2030. aasta eesmärgid.</w:t>
      </w:r>
      <w:r w:rsidRPr="00A33D16">
        <w:rPr>
          <w:rStyle w:val="normaltextrun"/>
          <w:noProof/>
          <w:color w:val="333333"/>
        </w:rPr>
        <w:t xml:space="preserve"> Mõnes valdkonnas on ELi õigusaktide kohaldamisala laiendatud nii, et selles käsitletakse ka saastavamat tegevust. </w:t>
      </w:r>
      <w:r w:rsidRPr="00A33D16">
        <w:rPr>
          <w:noProof/>
        </w:rPr>
        <w:t>Lisaks on kokku lepitud looduse taastamise meetmetes. Komisjonil ja liikmesriikidel on vaja teha jõupingutusi tegevuslubade jälgimisel ja ajakohastatud lubade väljastamisel (näiteks õhu, vee ja tööstusheite valdkonnas), et saavutada kohapeal julgustavaid tulemusi</w:t>
      </w:r>
      <w:r w:rsidRPr="00A33D16">
        <w:rPr>
          <w:rStyle w:val="FootnoteReference"/>
          <w:noProof/>
        </w:rPr>
        <w:footnoteReference w:id="27"/>
      </w:r>
      <w:r w:rsidRPr="00A33D16">
        <w:rPr>
          <w:noProof/>
        </w:rPr>
        <w:t xml:space="preserve">. </w:t>
      </w:r>
      <w:r w:rsidRPr="00A33D16">
        <w:rPr>
          <w:rStyle w:val="normaltextrun"/>
          <w:noProof/>
          <w:color w:val="333333"/>
        </w:rPr>
        <w:t xml:space="preserve">Kui võetavad meetmed on rakendatud, </w:t>
      </w:r>
      <w:r w:rsidRPr="00A33D16">
        <w:rPr>
          <w:noProof/>
        </w:rPr>
        <w:t>ennetavad või vähendavad need saastet.</w:t>
      </w:r>
    </w:p>
    <w:p w14:paraId="2467D081" w14:textId="62FF7B95" w:rsidR="00E06994" w:rsidRPr="00A33D16" w:rsidRDefault="03B3FCF4" w:rsidP="00E06994">
      <w:pPr>
        <w:pStyle w:val="Text1"/>
        <w:rPr>
          <w:noProof/>
        </w:rPr>
      </w:pPr>
      <w:r w:rsidRPr="00A33D16">
        <w:rPr>
          <w:b/>
          <w:noProof/>
        </w:rPr>
        <w:t>Toetavad ja ettevalmistavad meetmed on pannud aluse tulevikuks</w:t>
      </w:r>
      <w:r w:rsidRPr="00A33D16">
        <w:rPr>
          <w:rStyle w:val="FootnoteReference"/>
          <w:noProof/>
        </w:rPr>
        <w:footnoteReference w:id="28"/>
      </w:r>
      <w:r w:rsidRPr="00A33D16">
        <w:rPr>
          <w:noProof/>
        </w:rPr>
        <w:t>. Näiteks on merestrateegia raamdirektiivi hindamise tulemusena teatatud selle eelseisvast läbivaatamisest,</w:t>
      </w:r>
      <w:r w:rsidRPr="00A33D16">
        <w:rPr>
          <w:rStyle w:val="FootnoteReference"/>
          <w:noProof/>
        </w:rPr>
        <w:footnoteReference w:id="29"/>
      </w:r>
      <w:r w:rsidRPr="00A33D16">
        <w:rPr>
          <w:noProof/>
        </w:rPr>
        <w:t xml:space="preserve"> mis on maailmamerepakti kasutuselevõtu tähtis osa. Muudes, näiteks suplusvee, õhusaaste ja reoveesetete hindamistes on kindlaks tehtud valdkonnad, kus on vajalik parem rakendamine</w:t>
      </w:r>
      <w:r w:rsidRPr="00A33D16">
        <w:rPr>
          <w:rStyle w:val="FootnoteReference"/>
          <w:noProof/>
        </w:rPr>
        <w:footnoteReference w:id="30"/>
      </w:r>
      <w:r w:rsidRPr="00A33D16">
        <w:rPr>
          <w:noProof/>
        </w:rPr>
        <w:t>. Siseõhu kvaliteeti käsitlevas tõendavas dokumendis on kindlaks määratud mitu ELi normi, mis võivad aidata liikmesriikidel teha nende tingimustega kohandatud täiustusi</w:t>
      </w:r>
      <w:r w:rsidRPr="00A33D16">
        <w:rPr>
          <w:rStyle w:val="FootnoteReference"/>
          <w:noProof/>
        </w:rPr>
        <w:footnoteReference w:id="31"/>
      </w:r>
      <w:r w:rsidRPr="00A33D16">
        <w:rPr>
          <w:noProof/>
        </w:rPr>
        <w:t>. Ka tegevuskava üheksa juhtalgatusega on suuremal või vähemal määral õnnestunud integreerida nullsaaste teistesse poliitikavaldkondadesse</w:t>
      </w:r>
      <w:r w:rsidRPr="00A33D16">
        <w:rPr>
          <w:rStyle w:val="FootnoteReference"/>
          <w:noProof/>
        </w:rPr>
        <w:footnoteReference w:id="32"/>
      </w:r>
      <w:r w:rsidRPr="00A33D16">
        <w:rPr>
          <w:noProof/>
        </w:rPr>
        <w:t xml:space="preserve">. </w:t>
      </w:r>
    </w:p>
    <w:p w14:paraId="3DB6A30E" w14:textId="7E350008" w:rsidR="00E06994" w:rsidRPr="00A33D16" w:rsidRDefault="03B3FCF4" w:rsidP="00E06994">
      <w:pPr>
        <w:pStyle w:val="Text1"/>
        <w:rPr>
          <w:noProof/>
        </w:rPr>
      </w:pPr>
      <w:r w:rsidRPr="00A33D16">
        <w:rPr>
          <w:b/>
          <w:noProof/>
        </w:rPr>
        <w:t>Osa nullsaaste meetmeid on veel võtmata</w:t>
      </w:r>
      <w:r w:rsidRPr="00A33D16">
        <w:rPr>
          <w:noProof/>
        </w:rPr>
        <w:t>. Olulised seadusandlikud ettepanekud, näiteks veesaasteainete,</w:t>
      </w:r>
      <w:r w:rsidRPr="00A33D16">
        <w:rPr>
          <w:rStyle w:val="FootnoteReference"/>
          <w:noProof/>
        </w:rPr>
        <w:footnoteReference w:id="33"/>
      </w:r>
      <w:r w:rsidRPr="00A33D16">
        <w:rPr>
          <w:noProof/>
        </w:rPr>
        <w:t xml:space="preserve"> heas seisundis muldade</w:t>
      </w:r>
      <w:r w:rsidRPr="00A33D16">
        <w:rPr>
          <w:rStyle w:val="FootnoteReference"/>
          <w:noProof/>
        </w:rPr>
        <w:footnoteReference w:id="34"/>
      </w:r>
      <w:r w:rsidRPr="00A33D16">
        <w:rPr>
          <w:noProof/>
        </w:rPr>
        <w:t xml:space="preserve"> ja põhimõtte „üks aine – üks hindamine“ kohta,</w:t>
      </w:r>
      <w:r w:rsidRPr="00A33D16">
        <w:rPr>
          <w:rStyle w:val="FootnoteReference"/>
          <w:noProof/>
        </w:rPr>
        <w:footnoteReference w:id="35"/>
      </w:r>
      <w:r w:rsidRPr="00A33D16">
        <w:rPr>
          <w:noProof/>
        </w:rPr>
        <w:t xml:space="preserve"> on pärast pikki läbirääkimisi just jõustunud või jõustuvad peatselt. Mõned hindamised, eelkõige põhimõtte „saastaja maksab“ toimivuskontroll või keskkonnavastutuse direktiivi hindamine, on veel lõpule viimata. Teised käimasolevad hindamised puudutavad ühekordseid plasttooteid ja nitraate. Toitainete majandamise lõimitud kava edasilükkamise tõttu on edasi lükatud meetmed, mille eesmärk on aidata põllumajandustootjatel võtta kasutusele vähem saastavaid toitainete majandamise tavasid</w:t>
      </w:r>
      <w:r w:rsidRPr="00A33D16">
        <w:rPr>
          <w:rStyle w:val="FootnoteReference"/>
          <w:noProof/>
        </w:rPr>
        <w:footnoteReference w:id="36"/>
      </w:r>
      <w:r w:rsidRPr="00A33D16">
        <w:rPr>
          <w:noProof/>
        </w:rPr>
        <w:t>. Vahepeal on Euroopa veekerksuse strateegiasse</w:t>
      </w:r>
      <w:r w:rsidRPr="00A33D16">
        <w:rPr>
          <w:rStyle w:val="FootnoteReference"/>
          <w:noProof/>
        </w:rPr>
        <w:footnoteReference w:id="37"/>
      </w:r>
      <w:r w:rsidRPr="00A33D16">
        <w:rPr>
          <w:noProof/>
        </w:rPr>
        <w:t xml:space="preserve"> lisatud mõned asjakohased meetmed. Komisjon võttis tagasi taimekaitsevahendite säästvat kasutamist käsitleva määruse ettepaneku, kuna puudus kaasseadusandjate poliitiline toetus. </w:t>
      </w:r>
    </w:p>
    <w:p w14:paraId="229A20C9" w14:textId="6D664689" w:rsidR="00E06994" w:rsidRPr="00A33D16" w:rsidRDefault="00584A5B" w:rsidP="00E06994">
      <w:pPr>
        <w:pStyle w:val="Text1"/>
        <w:rPr>
          <w:b/>
          <w:bCs/>
          <w:noProof/>
        </w:rPr>
      </w:pPr>
      <w:r w:rsidRPr="00A33D16">
        <w:rPr>
          <w:b/>
          <w:noProof/>
        </w:rPr>
        <w:t>EL on viinud oma nullsaaste visiooni järgmisele tasemele</w:t>
      </w:r>
      <w:r w:rsidRPr="00A33D16">
        <w:rPr>
          <w:noProof/>
        </w:rPr>
        <w:t>. Nullsaaste seire- ja väljavaatearuande väljatöötamise ning kahe hindamisaruande</w:t>
      </w:r>
      <w:r w:rsidRPr="00A33D16">
        <w:rPr>
          <w:rStyle w:val="FootnoteReference"/>
          <w:noProof/>
        </w:rPr>
        <w:footnoteReference w:id="38"/>
      </w:r>
      <w:r w:rsidRPr="00A33D16">
        <w:rPr>
          <w:noProof/>
        </w:rPr>
        <w:t xml:space="preserve"> esitamisega on vahepeal antud integreeritud, terviklik ja tulevikku suunatud ülevaade igat liiki saastest ning selle mõjust inimeste tervisele ja elurikkusele. Seda tööd toetab märkimisväärne valdkondlik töö, näiteks modelleerimine, mis oli aluseks puhta õhu poliitika aruandele,</w:t>
      </w:r>
      <w:r w:rsidRPr="00A33D16">
        <w:rPr>
          <w:rStyle w:val="FootnoteReference"/>
          <w:noProof/>
        </w:rPr>
        <w:footnoteReference w:id="39"/>
      </w:r>
      <w:r w:rsidRPr="00A33D16">
        <w:rPr>
          <w:noProof/>
        </w:rPr>
        <w:t xml:space="preserve"> milles hinnatakse õhusaasteainete heite vähendamise mõju ning selle kulusid ja kasu ühiskonnale, või uus ELi kemikaale käsitlevate näitajate raamistik,</w:t>
      </w:r>
      <w:r w:rsidRPr="00A33D16">
        <w:rPr>
          <w:rStyle w:val="FootnoteReference"/>
          <w:noProof/>
        </w:rPr>
        <w:footnoteReference w:id="40"/>
      </w:r>
      <w:r w:rsidRPr="00A33D16">
        <w:rPr>
          <w:noProof/>
        </w:rPr>
        <w:t xml:space="preserve"> milles vaadeldakse keemilise saaste põhjuseid ja mõju.</w:t>
      </w:r>
      <w:r w:rsidRPr="00A33D16">
        <w:rPr>
          <w:b/>
          <w:noProof/>
        </w:rPr>
        <w:t xml:space="preserve"> </w:t>
      </w:r>
    </w:p>
    <w:p w14:paraId="0DE88A8D" w14:textId="4FB33269" w:rsidR="00E06994" w:rsidRPr="00A33D16" w:rsidRDefault="00430515" w:rsidP="00E06994">
      <w:pPr>
        <w:pStyle w:val="Text1"/>
        <w:rPr>
          <w:noProof/>
        </w:rPr>
      </w:pPr>
      <w:r w:rsidRPr="00A33D16">
        <w:rPr>
          <w:b/>
          <w:noProof/>
        </w:rPr>
        <w:t xml:space="preserve">Endiselt on lünki teadmistes ja andmetes. </w:t>
      </w:r>
      <w:r w:rsidRPr="00A33D16">
        <w:rPr>
          <w:noProof/>
        </w:rPr>
        <w:t xml:space="preserve">Mõned nullsaaste eesmärkide saavutamisel tehtud edusammude jälgimise näitajad ei sobi vee- või pinnasesaaste (nt pestitsiidide ja antimikroobikumide kasutamise) vähenemise näitamiseks või puuduvad korrapärased andmevood nende (nt toitainete kao ja mikroplasti) hindamiseks. Vahel andmed hilinevad või on puudulikud või ebapiisava kvaliteediga. Puuduseks on ka andmete kättesaadavus probleemsete ainete esinemise kohta nii toodetes kui ka jäätmevoogudes. Neid probleeme võib aidata lahendada digitaliseerimise parem kasutamine ja uuemad seiremeetodid, sealhulgas Maa satelliitseire ja reaalajas toimuv (veebipõhine) seire asjakohaste andurite abil. Eriti puudulikud on teadmised teatavate saasteainete, eelkõige mikroplasti, inimtekkelise müra ja valgusreostuse mõju kohta tervisele ja elurikkusele. Lisaks on vähe teadmisi selle kohta, millist tervisemõju avaldab inimeste kokkupuude mitmesuguste saasteainetega, sealhulgas nn kokteiliefekt, mis tekib siis, kui inimene puutub samaaegselt kokku mitme kemikaaliga. ELi veekerksuse strateegias ning ELi ookeanialaste teadusuuringute ja innovatsiooni strateegiates hinnatakse veekerksuse ja ookeanide kaitse valdkonnas olemasolevaid teadmuslünki ning määratakse kindlaks asjakohased prioriteedid ka nullsaaste saavutamiseks. </w:t>
      </w:r>
    </w:p>
    <w:p w14:paraId="2D17FA4C" w14:textId="77777777"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Komisjon teeb järgmist: </w:t>
      </w:r>
    </w:p>
    <w:p w14:paraId="2A88412C" w14:textId="4AF9B1D3"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b/>
          <w:noProof/>
        </w:rPr>
        <w:t>jätkab parimate tavade jagamist ja uuenduslike lahenduste toetamist;</w:t>
      </w:r>
    </w:p>
    <w:p w14:paraId="474C0230" w14:textId="78A07320" w:rsidR="00006022"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b/>
          <w:noProof/>
        </w:rPr>
        <w:t xml:space="preserve">loob varajase hoiatamise ja meetmete süsteemi (rakendades nõuetekohaselt põhimõtet „üks aine – üks hindamine“ käsitlevaid õigusakte); </w:t>
      </w:r>
    </w:p>
    <w:p w14:paraId="4838EED4" w14:textId="0EAEEC3C" w:rsidR="00E06994" w:rsidRPr="00A33D16" w:rsidRDefault="00006022"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b/>
          <w:noProof/>
        </w:rPr>
        <w:t xml:space="preserve">valmistab ette teadus- ja innovatsioonistrateegiad veekerksuse ja ookeanide kaitse kohta ning </w:t>
      </w:r>
    </w:p>
    <w:p w14:paraId="4B2F1D8C" w14:textId="524F2B3E"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b/>
          <w:noProof/>
        </w:rPr>
        <w:t xml:space="preserve">investeerib rohkem paremate andmete, näitajate, hindamiste ja modelleerimise tõendusbaasi täiustamisse. </w:t>
      </w:r>
    </w:p>
    <w:p w14:paraId="698D583A" w14:textId="77777777" w:rsidR="00E06994" w:rsidRPr="00A33D16" w:rsidRDefault="00E06994" w:rsidP="00E06994">
      <w:pPr>
        <w:pStyle w:val="Heading1"/>
        <w:numPr>
          <w:ilvl w:val="0"/>
          <w:numId w:val="22"/>
        </w:numPr>
        <w:rPr>
          <w:rFonts w:ascii="Times New Roman Bold" w:hAnsi="Times New Roman Bold" w:cs="Times New Roman" w:hint="eastAsia"/>
          <w:b/>
          <w:bCs/>
          <w:smallCaps/>
          <w:noProof/>
          <w:color w:val="auto"/>
          <w:sz w:val="24"/>
          <w:szCs w:val="24"/>
        </w:rPr>
      </w:pPr>
      <w:r w:rsidRPr="00A33D16">
        <w:rPr>
          <w:rFonts w:ascii="Times New Roman Bold" w:hAnsi="Times New Roman Bold"/>
          <w:b/>
          <w:smallCaps/>
          <w:noProof/>
          <w:color w:val="auto"/>
          <w:sz w:val="24"/>
        </w:rPr>
        <w:t>Väljavaated puhta keskkonna saavutamiseks 2030. aastaks ja pärast seda</w:t>
      </w:r>
    </w:p>
    <w:p w14:paraId="6E7E9723" w14:textId="28A5F3C4" w:rsidR="00E06994" w:rsidRPr="00A33D16" w:rsidRDefault="03B3FCF4" w:rsidP="00E06994">
      <w:pPr>
        <w:pStyle w:val="Text1"/>
        <w:rPr>
          <w:noProof/>
        </w:rPr>
      </w:pPr>
      <w:bookmarkStart w:id="29" w:name="_Toc63329293"/>
      <w:bookmarkStart w:id="30" w:name="_Toc63355568"/>
      <w:bookmarkEnd w:id="29"/>
      <w:bookmarkEnd w:id="30"/>
      <w:r w:rsidRPr="00A33D16">
        <w:rPr>
          <w:b/>
          <w:noProof/>
        </w:rPr>
        <w:t>2030. aasta eesmärkide saavutamiseks tehtavad edusammud olenevad suurel määral riikide rakendusalastest jõupingutustest.</w:t>
      </w:r>
      <w:r w:rsidRPr="00A33D16">
        <w:rPr>
          <w:noProof/>
        </w:rPr>
        <w:t xml:space="preserve"> Isegi kui väljavaated on näidanud, et kõigi eesmärkide täielik saavutamine 2030. aastaks on ebatõenäoline, on siiski võimalik teha märkimisväärseid edusamme, kui riikide, piirkondade ja kohalikud osalejad rakendavad kokkulepitud õigusakte ja poliitikameetmeid kiiresti ja ambitsioonikalt. Näiteks transpordimüra puhul (eesmärk vähendada 2030. aastaks transpordist pidevalt häiritud inimeste osakaalu 30 %) võib positiivne stsenaarium koos lisameetmetega tuua kaasa kuni 23 % vähenemise. Samuti prognoositakse õhust lämmastiku sadestumise puhul (eesmärk vähendada 2030. aastaks heidet 25 %) 19 % vähenemist, kui liikmesriigid täidavad õigeks ajaks oma praegused heitkoguste vähendamise kohustused. Kui liikmesriigid võtavad täiendavaid tehnilisi meetmeid, võib see langus olla isegi kuni 31 %</w:t>
      </w:r>
      <w:r w:rsidRPr="00A33D16">
        <w:rPr>
          <w:rStyle w:val="FootnoteReference"/>
          <w:noProof/>
        </w:rPr>
        <w:footnoteReference w:id="41"/>
      </w:r>
      <w:r w:rsidRPr="00A33D16">
        <w:rPr>
          <w:noProof/>
        </w:rPr>
        <w:t>. Prognoosid aastani 2030 koos tarbimise keskkonnamõjuga näitavad samuti, et ELil on potentsiaali vähendada mõju mitmes keskkonnamõõtmes</w:t>
      </w:r>
      <w:r w:rsidRPr="00A33D16">
        <w:rPr>
          <w:rStyle w:val="FootnoteReference"/>
          <w:noProof/>
        </w:rPr>
        <w:footnoteReference w:id="42"/>
      </w:r>
      <w:r w:rsidRPr="00A33D16">
        <w:rPr>
          <w:noProof/>
        </w:rPr>
        <w:t>. Need näited viitavad, et sarnaseid edusamme on võimalik teha ka muude eesmärkide puhul.</w:t>
      </w:r>
    </w:p>
    <w:p w14:paraId="09791367" w14:textId="063CA1E0" w:rsidR="00E06994" w:rsidRPr="00A33D16" w:rsidRDefault="03B3FCF4" w:rsidP="00E06994">
      <w:pPr>
        <w:pStyle w:val="Text1"/>
        <w:rPr>
          <w:noProof/>
        </w:rPr>
      </w:pPr>
      <w:r w:rsidRPr="00A33D16">
        <w:rPr>
          <w:b/>
          <w:noProof/>
        </w:rPr>
        <w:t xml:space="preserve">Paljud linnad ja piirkonnad on asunud tegutsema. </w:t>
      </w:r>
      <w:r w:rsidRPr="00A33D16">
        <w:rPr>
          <w:noProof/>
        </w:rPr>
        <w:t>ELi linnade ja piirkondade rohealgatused meelitavad ligi üha rohkem kohalikke ja piirkonna kodanikke ja otsustajaid. ELi kliimaneutraalsete ja arukate linnade missiooni raames soovib 112 linna ELis ja kaheksas naaberriigis saada 2030. aastaks süsinikuneutraalseks. ELi missioonimärgis on antud 103 linnale. Need linnad on esitanud oma kliimaneutraalsete linnade lepingud, milles on nimetatud õhu-, vee- ja mürasaaste vähendamise konkreetsed eesmärgid ning märkimisväärsed saaste vähendamisega kaasnevad eelised. Roheliste linnade leppe raames on 123 linna võtnud kohustuse vähendada 2030. aastaks oma saastejalajälge, võttes meetmeid õhukvaliteedi, müra ja veekvaliteedi valdkonnas koos jäätmekäitluse ja ringmajanduse ning linnaruumi haljastamise jõupingutustega. Alates 2010. aastast on Euroopa Komisjon tunnustanud parimate tulemustega ja suurima pühendumusega linnu Euroopa rohelise pealinna auhinna ja Euroopa rohelise lehe auhinnaga.</w:t>
      </w:r>
    </w:p>
    <w:p w14:paraId="19FCB4B3" w14:textId="6A69233E" w:rsidR="00114E1F" w:rsidRPr="00012E94" w:rsidRDefault="00114E1F" w:rsidP="00114E1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b/>
          <w:i/>
          <w:noProof/>
          <w:sz w:val="22"/>
          <w:szCs w:val="22"/>
        </w:rPr>
        <w:t>ELi rohelised linnad ja piirkonnad liiguvad nullsaaste suunas</w:t>
      </w:r>
    </w:p>
    <w:p w14:paraId="0B1AD113" w14:textId="2F7861EE" w:rsidR="7D20BBAA" w:rsidRPr="00012E94" w:rsidRDefault="00A740DC" w:rsidP="7D20BBA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hyperlink r:id="rId18" w:history="1">
        <w:r w:rsidR="00114E1F" w:rsidRPr="00012E94">
          <w:rPr>
            <w:rStyle w:val="Hyperlink"/>
            <w:b/>
            <w:i/>
            <w:noProof/>
            <w:sz w:val="22"/>
            <w:szCs w:val="22"/>
          </w:rPr>
          <w:t>Nullsaaste tulemustabel</w:t>
        </w:r>
      </w:hyperlink>
      <w:r w:rsidR="00114E1F" w:rsidRPr="00012E94">
        <w:rPr>
          <w:i/>
          <w:noProof/>
          <w:sz w:val="22"/>
          <w:szCs w:val="22"/>
        </w:rPr>
        <w:t xml:space="preserve"> näitab, et enamik piirkondi on viimastel aastatel suutnud saastet vähendada. </w:t>
      </w:r>
      <w:hyperlink r:id="rId19" w:history="1">
        <w:r w:rsidR="00114E1F" w:rsidRPr="00012E94">
          <w:rPr>
            <w:rStyle w:val="Hyperlink"/>
            <w:b/>
            <w:i/>
            <w:noProof/>
            <w:sz w:val="22"/>
            <w:szCs w:val="22"/>
          </w:rPr>
          <w:t>Roheliste linnade leppe</w:t>
        </w:r>
      </w:hyperlink>
      <w:r w:rsidR="00114E1F" w:rsidRPr="00012E94">
        <w:rPr>
          <w:i/>
          <w:noProof/>
          <w:sz w:val="22"/>
          <w:szCs w:val="22"/>
        </w:rPr>
        <w:t xml:space="preserve"> raames on paljud linnad rakendanud terviklikke strateegiaid saaste vähendamiseks ja linnaelanike üldiste elutingimuste parandamiseks. Hea näide on </w:t>
      </w:r>
      <w:r w:rsidR="00114E1F" w:rsidRPr="00012E94">
        <w:rPr>
          <w:b/>
          <w:i/>
          <w:noProof/>
          <w:sz w:val="22"/>
          <w:szCs w:val="22"/>
        </w:rPr>
        <w:t>Guimarãesi</w:t>
      </w:r>
      <w:r w:rsidR="00114E1F" w:rsidRPr="00012E94">
        <w:rPr>
          <w:i/>
          <w:noProof/>
          <w:sz w:val="22"/>
          <w:szCs w:val="22"/>
        </w:rPr>
        <w:t xml:space="preserve"> (roheliste linnade leppe allakirjutanu ja 2026. aasta Euroopa roheline pealinn) programm </w:t>
      </w:r>
      <w:hyperlink r:id="rId20" w:history="1">
        <w:r w:rsidR="00114E1F" w:rsidRPr="00012E94">
          <w:rPr>
            <w:rStyle w:val="Hyperlink"/>
            <w:b/>
            <w:i/>
            <w:noProof/>
            <w:sz w:val="22"/>
            <w:szCs w:val="22"/>
          </w:rPr>
          <w:t>Limp.AR</w:t>
        </w:r>
      </w:hyperlink>
      <w:r w:rsidR="00114E1F" w:rsidRPr="00012E94">
        <w:rPr>
          <w:noProof/>
          <w:sz w:val="22"/>
          <w:szCs w:val="22"/>
        </w:rPr>
        <w:t>.</w:t>
      </w:r>
      <w:r w:rsidR="00114E1F" w:rsidRPr="00012E94">
        <w:rPr>
          <w:i/>
          <w:noProof/>
          <w:sz w:val="22"/>
          <w:szCs w:val="22"/>
        </w:rPr>
        <w:t xml:space="preserve"> Limp.AR keskendub õhukvaliteedi parandamisele ja müra vähendamisele linnakeskustes taimestiku ja aktiivse liikuvuse lahenduste kasutamise ja keskkonnateadlikkuse suurendamise kaudu. Teine hea näide on </w:t>
      </w:r>
      <w:r w:rsidR="00114E1F" w:rsidRPr="00012E94">
        <w:rPr>
          <w:b/>
          <w:i/>
          <w:noProof/>
          <w:sz w:val="22"/>
          <w:szCs w:val="22"/>
        </w:rPr>
        <w:t>Lahti</w:t>
      </w:r>
      <w:r w:rsidR="00114E1F" w:rsidRPr="00012E94">
        <w:rPr>
          <w:i/>
          <w:noProof/>
          <w:sz w:val="22"/>
          <w:szCs w:val="22"/>
        </w:rPr>
        <w:t xml:space="preserve"> linn (2021. aasta Euroopa roheline pealinn). Linn on rakendanud mitmeid väikeseid ja suuremahulisi keskkonnameetmeid, sealhulgas väga saastunud järve puhastamine (</w:t>
      </w:r>
      <w:hyperlink r:id="rId21" w:tgtFrame="_blank" w:history="1">
        <w:r w:rsidR="00114E1F" w:rsidRPr="00012E94">
          <w:rPr>
            <w:rStyle w:val="Hyperlink"/>
            <w:b/>
            <w:i/>
            <w:noProof/>
            <w:sz w:val="22"/>
            <w:szCs w:val="22"/>
          </w:rPr>
          <w:t>Vesijärvi järve</w:t>
        </w:r>
      </w:hyperlink>
      <w:r w:rsidR="00114E1F" w:rsidRPr="00012E94">
        <w:rPr>
          <w:i/>
          <w:noProof/>
          <w:sz w:val="22"/>
          <w:szCs w:val="22"/>
        </w:rPr>
        <w:t xml:space="preserve"> projekt</w:t>
      </w:r>
      <w:r w:rsidR="00114E1F" w:rsidRPr="00012E94">
        <w:rPr>
          <w:noProof/>
          <w:sz w:val="22"/>
          <w:szCs w:val="22"/>
        </w:rPr>
        <w:t>).</w:t>
      </w:r>
      <w:r w:rsidR="00114E1F" w:rsidRPr="00012E94">
        <w:rPr>
          <w:i/>
          <w:noProof/>
          <w:sz w:val="22"/>
          <w:szCs w:val="22"/>
        </w:rPr>
        <w:t xml:space="preserve"> Lahtist sai üks Euroopa edumeelsemaid keskkonnasõbralikke linnu. Paljud linnad on esirinnas ka linnaruumi haljastamisel ja haljasalade taastamisel. Näiteks </w:t>
      </w:r>
      <w:r w:rsidR="00114E1F" w:rsidRPr="00012E94">
        <w:rPr>
          <w:b/>
          <w:i/>
          <w:noProof/>
          <w:sz w:val="22"/>
          <w:szCs w:val="22"/>
        </w:rPr>
        <w:t>Madridis, Bolognas</w:t>
      </w:r>
      <w:r w:rsidR="00114E1F" w:rsidRPr="00012E94">
        <w:rPr>
          <w:i/>
          <w:noProof/>
          <w:sz w:val="22"/>
          <w:szCs w:val="22"/>
        </w:rPr>
        <w:t xml:space="preserve"> ja </w:t>
      </w:r>
      <w:r w:rsidR="00114E1F" w:rsidRPr="00012E94">
        <w:rPr>
          <w:b/>
          <w:i/>
          <w:noProof/>
          <w:sz w:val="22"/>
          <w:szCs w:val="22"/>
        </w:rPr>
        <w:t>Milanos</w:t>
      </w:r>
      <w:r w:rsidR="00114E1F" w:rsidRPr="00012E94">
        <w:rPr>
          <w:i/>
          <w:noProof/>
          <w:sz w:val="22"/>
          <w:szCs w:val="22"/>
        </w:rPr>
        <w:t xml:space="preserve"> rakendatakse projekti </w:t>
      </w:r>
      <w:hyperlink r:id="rId22" w:tgtFrame="_blank" w:history="1">
        <w:r w:rsidR="00114E1F" w:rsidRPr="00012E94">
          <w:rPr>
            <w:rStyle w:val="Hyperlink"/>
            <w:b/>
            <w:i/>
            <w:noProof/>
            <w:sz w:val="22"/>
            <w:szCs w:val="22"/>
          </w:rPr>
          <w:t>LIFE VEG GAP</w:t>
        </w:r>
      </w:hyperlink>
      <w:r w:rsidR="00114E1F" w:rsidRPr="00012E94">
        <w:rPr>
          <w:i/>
          <w:noProof/>
          <w:sz w:val="22"/>
          <w:szCs w:val="22"/>
        </w:rPr>
        <w:t>,</w:t>
      </w:r>
      <w:r w:rsidR="00114E1F" w:rsidRPr="00012E94">
        <w:rPr>
          <w:b/>
          <w:i/>
          <w:noProof/>
          <w:sz w:val="22"/>
          <w:szCs w:val="22"/>
        </w:rPr>
        <w:t xml:space="preserve"> </w:t>
      </w:r>
      <w:r w:rsidR="00114E1F" w:rsidRPr="00012E94">
        <w:rPr>
          <w:i/>
          <w:noProof/>
          <w:sz w:val="22"/>
          <w:szCs w:val="22"/>
        </w:rPr>
        <w:t xml:space="preserve">mille raames uuritakse, kuidas taimestiku ökosüsteemid saavad nii allika kui ka sidujana aidata kaasa õhusaaste vähendamisele ja mõjutada õhutemperatuuri. Rohkem häid näiteid leiab Regioonide Komitee andmebaasist </w:t>
      </w:r>
      <w:hyperlink r:id="rId23" w:history="1">
        <w:r w:rsidR="00114E1F" w:rsidRPr="00012E94">
          <w:rPr>
            <w:rStyle w:val="Hyperlink"/>
            <w:b/>
            <w:i/>
            <w:noProof/>
            <w:sz w:val="22"/>
            <w:szCs w:val="22"/>
          </w:rPr>
          <w:t>„Roheline kokkulepe kohalikul tasandil: parimad tavad“</w:t>
        </w:r>
      </w:hyperlink>
      <w:r w:rsidR="00114E1F" w:rsidRPr="00012E94">
        <w:rPr>
          <w:noProof/>
          <w:sz w:val="22"/>
          <w:szCs w:val="22"/>
        </w:rPr>
        <w:t>.</w:t>
      </w:r>
      <w:r w:rsidR="00114E1F" w:rsidRPr="00012E94">
        <w:rPr>
          <w:i/>
          <w:noProof/>
          <w:sz w:val="22"/>
          <w:szCs w:val="22"/>
        </w:rPr>
        <w:t xml:space="preserve"> </w:t>
      </w:r>
    </w:p>
    <w:p w14:paraId="3F7ACAB4" w14:textId="3017AB09" w:rsidR="00E06994" w:rsidRPr="00A33D16" w:rsidRDefault="00E06994" w:rsidP="00DC776D">
      <w:pPr>
        <w:pStyle w:val="Text1"/>
        <w:spacing w:before="240"/>
        <w:ind w:left="425"/>
        <w:rPr>
          <w:noProof/>
        </w:rPr>
      </w:pPr>
      <w:r w:rsidRPr="00A33D16">
        <w:rPr>
          <w:b/>
          <w:noProof/>
        </w:rPr>
        <w:t>Mõned saasteprobleemid nõuavad täiendavaid ELi meetmeid.</w:t>
      </w:r>
      <w:r w:rsidRPr="00A33D16">
        <w:rPr>
          <w:noProof/>
        </w:rPr>
        <w:t xml:space="preserve"> Euroopa veekerksuse strateegias</w:t>
      </w:r>
      <w:r w:rsidRPr="00A33D16">
        <w:rPr>
          <w:rStyle w:val="FootnoteReference"/>
          <w:noProof/>
        </w:rPr>
        <w:footnoteReference w:id="43"/>
      </w:r>
      <w:r w:rsidRPr="00A33D16">
        <w:rPr>
          <w:noProof/>
        </w:rPr>
        <w:t xml:space="preserve"> ning põllumajanduse ja toidutootmise visioonis</w:t>
      </w:r>
      <w:r w:rsidRPr="00A33D16">
        <w:rPr>
          <w:rStyle w:val="FootnoteReference"/>
          <w:noProof/>
        </w:rPr>
        <w:footnoteReference w:id="44"/>
      </w:r>
      <w:r w:rsidRPr="00A33D16">
        <w:rPr>
          <w:noProof/>
        </w:rPr>
        <w:t xml:space="preserve"> on kindlaks tehtud, et </w:t>
      </w:r>
      <w:r w:rsidRPr="00A33D16">
        <w:rPr>
          <w:b/>
          <w:noProof/>
        </w:rPr>
        <w:t>toitainetega saastumine</w:t>
      </w:r>
      <w:r w:rsidRPr="00A33D16">
        <w:rPr>
          <w:noProof/>
        </w:rPr>
        <w:t xml:space="preserve"> on püsiv prioriteetne probleem, mille lahendamiseks on välja kuulutatud mitu meedet. Heitkoguste vähendamise riiklike kohustuste direktiivi</w:t>
      </w:r>
      <w:r w:rsidRPr="00A33D16">
        <w:rPr>
          <w:rStyle w:val="FootnoteReference"/>
          <w:noProof/>
        </w:rPr>
        <w:footnoteReference w:id="45"/>
      </w:r>
      <w:r w:rsidRPr="00A33D16">
        <w:rPr>
          <w:noProof/>
        </w:rPr>
        <w:t xml:space="preserve"> hindamisel analüüsiti ja nitraadidirektiivi käimasoleval hindamisel analüüsitakse, kas need peamised toitainetega saastumise vähendamise meetmed on jätkuvalt eesmärgipärased. Toitainete ja muude ainetega saastumise vähendamist toetatakse jätkuvalt ka ÜPP riiklike strateegiakavade rakendamisega. </w:t>
      </w:r>
      <w:r w:rsidRPr="00A33D16">
        <w:rPr>
          <w:b/>
          <w:noProof/>
        </w:rPr>
        <w:t>Vesiviljeluse</w:t>
      </w:r>
      <w:r w:rsidRPr="00A33D16">
        <w:rPr>
          <w:noProof/>
        </w:rPr>
        <w:t xml:space="preserve"> valdkonnas edendatakse toitainetega (ja muude ainetega) saastumise vähendamist ELi vesiviljeluse strateegiliste suunistega</w:t>
      </w:r>
      <w:r w:rsidRPr="00A33D16">
        <w:rPr>
          <w:rStyle w:val="FootnoteReference"/>
          <w:noProof/>
          <w:szCs w:val="24"/>
        </w:rPr>
        <w:footnoteReference w:id="46"/>
      </w:r>
      <w:r w:rsidRPr="00A33D16">
        <w:rPr>
          <w:noProof/>
        </w:rPr>
        <w:t xml:space="preserve">. </w:t>
      </w:r>
      <w:r w:rsidRPr="00A33D16">
        <w:rPr>
          <w:b/>
          <w:bCs/>
          <w:noProof/>
        </w:rPr>
        <w:t>Loomakasvatusest</w:t>
      </w:r>
      <w:r w:rsidRPr="00A33D16">
        <w:rPr>
          <w:noProof/>
        </w:rPr>
        <w:t xml:space="preserve"> tuleneva heite osas töötab komisjon välja terviklikku strateegiat, milles käsitletakse loomakasvatuse kõiki aspekte, sealhulgas sektori keskkonna- ja kliimakestlikkust.</w:t>
      </w:r>
      <w:r w:rsidRPr="00A33D16">
        <w:rPr>
          <w:noProof/>
          <w:color w:val="000000" w:themeColor="text1"/>
        </w:rPr>
        <w:t xml:space="preserve"> </w:t>
      </w:r>
      <w:r w:rsidRPr="00A33D16">
        <w:rPr>
          <w:noProof/>
        </w:rPr>
        <w:t>Komisjon esitab artikli 73 kohase aruande 31. detsembriks 2026. Lisaks jätkab komisjon põllumajandustootjate ja teiste toetusesaajate toetamist prioriteetsetes keskkonna- ja kliimavaldkondades. Lisaks valmistab komisjon liikmesriikidele ette abivahendid, et toetada toitainetega saastumise vähendamise meetmeid, sealhulgas põllumajandustootjate loomakasvatussüsteemide ekstensiivsemaks muutmist või mitmekesistamist muu põllumajandusliku tegevusega</w:t>
      </w:r>
      <w:r w:rsidRPr="00A33D16">
        <w:rPr>
          <w:rStyle w:val="FootnoteReference"/>
          <w:noProof/>
        </w:rPr>
        <w:footnoteReference w:id="47"/>
      </w:r>
      <w:r w:rsidRPr="00A33D16">
        <w:rPr>
          <w:noProof/>
        </w:rPr>
        <w:t>. Aina keerulisemaks muutub</w:t>
      </w:r>
      <w:r w:rsidRPr="00A33D16">
        <w:rPr>
          <w:b/>
          <w:noProof/>
        </w:rPr>
        <w:t xml:space="preserve"> pestitsiidide</w:t>
      </w:r>
      <w:r w:rsidRPr="00A33D16">
        <w:rPr>
          <w:noProof/>
        </w:rPr>
        <w:t xml:space="preserve"> ja nende </w:t>
      </w:r>
      <w:r w:rsidRPr="00A33D16">
        <w:rPr>
          <w:b/>
          <w:noProof/>
        </w:rPr>
        <w:t>metaboliitide</w:t>
      </w:r>
      <w:r w:rsidRPr="00A33D16">
        <w:rPr>
          <w:noProof/>
        </w:rPr>
        <w:t xml:space="preserve"> eemaldamine põhja- ja joogiveest, eelkõige maakeskkonnas valgalade lähedal toimuva põllumajandustegevuse tõttu. Lisaks hiljuti läbi vaadatud põhja-, pinna- ja joogivee kvaliteedistandardite järgimise tagamisele nõutakse uuesti sõnastatud joogiveedirektiivi rakendamisel, et liikmesriigid tagaksid veevõtukohtade valgalade riskihindamise tegemise ja asjakohase riskijuhtimise kehtestamise hiljemalt 2027. aasta juuliks. </w:t>
      </w:r>
    </w:p>
    <w:p w14:paraId="01A3051A" w14:textId="73E29D43" w:rsidR="004A66AF" w:rsidRPr="00012E94" w:rsidRDefault="004A66AF" w:rsidP="004A66A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b/>
          <w:i/>
          <w:noProof/>
          <w:sz w:val="22"/>
          <w:szCs w:val="22"/>
        </w:rPr>
        <w:t>Puhtad jõed ja järved – vee nullsaaste</w:t>
      </w:r>
      <w:r w:rsidRPr="00012E94">
        <w:rPr>
          <w:rStyle w:val="FootnoteReference"/>
          <w:b/>
          <w:bCs/>
          <w:i/>
          <w:iCs/>
          <w:noProof/>
          <w:sz w:val="22"/>
          <w:szCs w:val="22"/>
        </w:rPr>
        <w:footnoteReference w:id="48"/>
      </w:r>
      <w:r w:rsidRPr="00012E94">
        <w:rPr>
          <w:b/>
          <w:i/>
          <w:noProof/>
          <w:sz w:val="22"/>
          <w:szCs w:val="22"/>
        </w:rPr>
        <w:t xml:space="preserve"> </w:t>
      </w:r>
    </w:p>
    <w:p w14:paraId="79147DFE" w14:textId="2BCA8C47" w:rsidR="004A66AF" w:rsidRPr="00012E94" w:rsidRDefault="004A66AF" w:rsidP="00DC776D">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i/>
          <w:noProof/>
          <w:sz w:val="22"/>
          <w:szCs w:val="22"/>
        </w:rPr>
        <w:t>Teadusklastris „Vee nullsaaste“(</w:t>
      </w:r>
      <w:hyperlink r:id="rId24" w:tgtFrame="_blank" w:history="1">
        <w:r w:rsidRPr="00012E94">
          <w:rPr>
            <w:rStyle w:val="Hyperlink"/>
            <w:b/>
            <w:i/>
            <w:noProof/>
            <w:sz w:val="22"/>
            <w:szCs w:val="22"/>
          </w:rPr>
          <w:t>ZP4Water</w:t>
        </w:r>
      </w:hyperlink>
      <w:r w:rsidRPr="00012E94">
        <w:rPr>
          <w:i/>
          <w:noProof/>
          <w:sz w:val="22"/>
          <w:szCs w:val="22"/>
        </w:rPr>
        <w:t xml:space="preserve">) vaadeldakse saastet kogu veeringluses. </w:t>
      </w:r>
      <w:hyperlink r:id="rId25" w:history="1">
        <w:r w:rsidRPr="00012E94">
          <w:rPr>
            <w:rStyle w:val="Hyperlink"/>
            <w:i/>
            <w:noProof/>
            <w:sz w:val="22"/>
            <w:szCs w:val="22"/>
          </w:rPr>
          <w:t>32 juhtumiuuringus</w:t>
        </w:r>
      </w:hyperlink>
      <w:r w:rsidRPr="00012E94">
        <w:rPr>
          <w:i/>
          <w:noProof/>
          <w:sz w:val="22"/>
          <w:szCs w:val="22"/>
        </w:rPr>
        <w:t xml:space="preserve"> uuritakse joogi- ja põhjavee nullsaaste lahendusi ja esitatakse </w:t>
      </w:r>
      <w:hyperlink r:id="rId26" w:history="1">
        <w:r w:rsidRPr="00012E94">
          <w:rPr>
            <w:rStyle w:val="Hyperlink"/>
            <w:i/>
            <w:noProof/>
            <w:sz w:val="22"/>
            <w:szCs w:val="22"/>
          </w:rPr>
          <w:t>poliitikasoovitusi</w:t>
        </w:r>
      </w:hyperlink>
      <w:r w:rsidRPr="00012E94">
        <w:rPr>
          <w:i/>
          <w:noProof/>
          <w:sz w:val="22"/>
          <w:szCs w:val="22"/>
        </w:rPr>
        <w:t xml:space="preserve"> (</w:t>
      </w:r>
      <w:hyperlink r:id="rId27" w:tgtFrame="_blank" w:history="1">
        <w:r w:rsidRPr="00012E94">
          <w:rPr>
            <w:rStyle w:val="Hyperlink"/>
            <w:b/>
            <w:i/>
            <w:noProof/>
            <w:sz w:val="22"/>
            <w:szCs w:val="22"/>
          </w:rPr>
          <w:t>MAR2PROTECT</w:t>
        </w:r>
      </w:hyperlink>
      <w:r w:rsidRPr="00012E94">
        <w:rPr>
          <w:b/>
          <w:i/>
          <w:noProof/>
          <w:sz w:val="22"/>
          <w:szCs w:val="22"/>
        </w:rPr>
        <w:t xml:space="preserve">, </w:t>
      </w:r>
      <w:hyperlink r:id="rId28" w:tgtFrame="_blank" w:history="1">
        <w:r w:rsidRPr="00012E94">
          <w:rPr>
            <w:rStyle w:val="Hyperlink"/>
            <w:b/>
            <w:i/>
            <w:noProof/>
            <w:sz w:val="22"/>
            <w:szCs w:val="22"/>
          </w:rPr>
          <w:t>NINFA</w:t>
        </w:r>
      </w:hyperlink>
      <w:r w:rsidRPr="00012E94">
        <w:rPr>
          <w:b/>
          <w:i/>
          <w:noProof/>
          <w:sz w:val="22"/>
          <w:szCs w:val="22"/>
        </w:rPr>
        <w:t xml:space="preserve">, </w:t>
      </w:r>
      <w:hyperlink r:id="rId29" w:tgtFrame="_blank" w:history="1">
        <w:r w:rsidRPr="00012E94">
          <w:rPr>
            <w:rStyle w:val="Hyperlink"/>
            <w:b/>
            <w:i/>
            <w:noProof/>
            <w:sz w:val="22"/>
            <w:szCs w:val="22"/>
          </w:rPr>
          <w:t>UPWATER</w:t>
        </w:r>
      </w:hyperlink>
      <w:r w:rsidRPr="00012E94">
        <w:rPr>
          <w:b/>
          <w:i/>
          <w:noProof/>
          <w:sz w:val="22"/>
          <w:szCs w:val="22"/>
        </w:rPr>
        <w:t xml:space="preserve">, </w:t>
      </w:r>
      <w:hyperlink r:id="rId30" w:tgtFrame="_blank" w:history="1">
        <w:r w:rsidRPr="00012E94">
          <w:rPr>
            <w:rStyle w:val="Hyperlink"/>
            <w:b/>
            <w:i/>
            <w:noProof/>
            <w:sz w:val="22"/>
            <w:szCs w:val="22"/>
          </w:rPr>
          <w:t>H2OforAll</w:t>
        </w:r>
      </w:hyperlink>
      <w:r w:rsidRPr="00012E94">
        <w:rPr>
          <w:b/>
          <w:i/>
          <w:noProof/>
          <w:sz w:val="22"/>
          <w:szCs w:val="22"/>
        </w:rPr>
        <w:t xml:space="preserve">, </w:t>
      </w:r>
      <w:hyperlink r:id="rId31" w:tgtFrame="_blank" w:history="1">
        <w:r w:rsidRPr="00012E94">
          <w:rPr>
            <w:rStyle w:val="Hyperlink"/>
            <w:b/>
            <w:i/>
            <w:noProof/>
            <w:sz w:val="22"/>
            <w:szCs w:val="22"/>
          </w:rPr>
          <w:t>intoDBP</w:t>
        </w:r>
      </w:hyperlink>
      <w:r w:rsidRPr="00012E94">
        <w:rPr>
          <w:b/>
          <w:i/>
          <w:noProof/>
          <w:sz w:val="22"/>
          <w:szCs w:val="22"/>
        </w:rPr>
        <w:t xml:space="preserve">, </w:t>
      </w:r>
      <w:hyperlink r:id="rId32" w:tgtFrame="_blank" w:history="1">
        <w:r w:rsidRPr="00012E94">
          <w:rPr>
            <w:rStyle w:val="Hyperlink"/>
            <w:b/>
            <w:i/>
            <w:noProof/>
            <w:sz w:val="22"/>
            <w:szCs w:val="22"/>
          </w:rPr>
          <w:t>SafeCREW</w:t>
        </w:r>
      </w:hyperlink>
      <w:r w:rsidRPr="00012E94">
        <w:rPr>
          <w:b/>
          <w:i/>
          <w:noProof/>
          <w:sz w:val="22"/>
          <w:szCs w:val="22"/>
        </w:rPr>
        <w:t xml:space="preserve">, </w:t>
      </w:r>
      <w:hyperlink r:id="rId33" w:tgtFrame="_blank" w:history="1">
        <w:r w:rsidRPr="00012E94">
          <w:rPr>
            <w:rStyle w:val="Hyperlink"/>
            <w:b/>
            <w:i/>
            <w:noProof/>
            <w:sz w:val="22"/>
            <w:szCs w:val="22"/>
          </w:rPr>
          <w:t>ToDrinQ</w:t>
        </w:r>
      </w:hyperlink>
      <w:hyperlink r:id="rId34" w:tgtFrame="_blank" w:history="1">
        <w:r w:rsidRPr="00012E94">
          <w:rPr>
            <w:rStyle w:val="Hyperlink"/>
            <w:b/>
            <w:i/>
            <w:noProof/>
            <w:sz w:val="22"/>
            <w:szCs w:val="22"/>
          </w:rPr>
          <w:t>WATERPROTECT</w:t>
        </w:r>
      </w:hyperlink>
      <w:r w:rsidRPr="00012E94">
        <w:rPr>
          <w:b/>
          <w:i/>
          <w:noProof/>
          <w:sz w:val="22"/>
          <w:szCs w:val="22"/>
        </w:rPr>
        <w:t xml:space="preserve">, </w:t>
      </w:r>
      <w:hyperlink r:id="rId35" w:tgtFrame="_blank" w:history="1">
        <w:r w:rsidRPr="00012E94">
          <w:rPr>
            <w:rStyle w:val="Hyperlink"/>
            <w:b/>
            <w:i/>
            <w:noProof/>
            <w:sz w:val="22"/>
            <w:szCs w:val="22"/>
          </w:rPr>
          <w:t>NIAGARA</w:t>
        </w:r>
      </w:hyperlink>
      <w:r w:rsidRPr="00012E94">
        <w:rPr>
          <w:b/>
          <w:i/>
          <w:noProof/>
          <w:sz w:val="22"/>
          <w:szCs w:val="22"/>
        </w:rPr>
        <w:t xml:space="preserve">, </w:t>
      </w:r>
      <w:hyperlink r:id="rId36" w:tgtFrame="_blank" w:history="1">
        <w:r w:rsidRPr="00012E94">
          <w:rPr>
            <w:rStyle w:val="Hyperlink"/>
            <w:b/>
            <w:i/>
            <w:noProof/>
            <w:sz w:val="22"/>
            <w:szCs w:val="22"/>
          </w:rPr>
          <w:t>D4RUNOFF</w:t>
        </w:r>
      </w:hyperlink>
      <w:r w:rsidRPr="00012E94">
        <w:rPr>
          <w:b/>
          <w:i/>
          <w:noProof/>
          <w:sz w:val="22"/>
          <w:szCs w:val="22"/>
        </w:rPr>
        <w:t xml:space="preserve">, </w:t>
      </w:r>
      <w:hyperlink r:id="rId37" w:tgtFrame="_blank" w:history="1">
        <w:r w:rsidRPr="00012E94">
          <w:rPr>
            <w:rStyle w:val="Hyperlink"/>
            <w:b/>
            <w:i/>
            <w:noProof/>
            <w:sz w:val="22"/>
            <w:szCs w:val="22"/>
          </w:rPr>
          <w:t>LIFE ELEKTRA</w:t>
        </w:r>
      </w:hyperlink>
      <w:r w:rsidRPr="00012E94">
        <w:rPr>
          <w:b/>
          <w:i/>
          <w:noProof/>
          <w:sz w:val="22"/>
          <w:szCs w:val="22"/>
        </w:rPr>
        <w:t xml:space="preserve">, </w:t>
      </w:r>
      <w:hyperlink r:id="rId38" w:tgtFrame="_blank" w:history="1">
        <w:r w:rsidRPr="00012E94">
          <w:rPr>
            <w:rStyle w:val="Hyperlink"/>
            <w:b/>
            <w:i/>
            <w:noProof/>
            <w:sz w:val="22"/>
            <w:szCs w:val="22"/>
          </w:rPr>
          <w:t>LIFE PRISTINE</w:t>
        </w:r>
      </w:hyperlink>
      <w:r w:rsidRPr="00012E94">
        <w:rPr>
          <w:b/>
          <w:i/>
          <w:noProof/>
          <w:sz w:val="22"/>
          <w:szCs w:val="22"/>
        </w:rPr>
        <w:t xml:space="preserve">, </w:t>
      </w:r>
      <w:hyperlink r:id="rId39" w:tgtFrame="_blank" w:history="1">
        <w:r w:rsidRPr="00012E94">
          <w:rPr>
            <w:rStyle w:val="Hyperlink"/>
            <w:b/>
            <w:i/>
            <w:noProof/>
            <w:sz w:val="22"/>
            <w:szCs w:val="22"/>
          </w:rPr>
          <w:t>LIFE CASCADE</w:t>
        </w:r>
      </w:hyperlink>
      <w:r w:rsidRPr="00012E94">
        <w:rPr>
          <w:i/>
          <w:noProof/>
          <w:sz w:val="22"/>
          <w:szCs w:val="22"/>
        </w:rPr>
        <w:t>). </w:t>
      </w:r>
    </w:p>
    <w:p w14:paraId="488D0422" w14:textId="4B2E565D" w:rsidR="00175F23" w:rsidRPr="00A33D16" w:rsidRDefault="00175F23" w:rsidP="00175F23">
      <w:pPr>
        <w:pStyle w:val="Text1"/>
        <w:spacing w:before="240"/>
        <w:ind w:left="425"/>
        <w:rPr>
          <w:noProof/>
        </w:rPr>
      </w:pPr>
      <w:r w:rsidRPr="00A33D16">
        <w:rPr>
          <w:b/>
          <w:noProof/>
        </w:rPr>
        <w:t>Eraldi keskendutakse valdkonnaüleselt ookeanireostusele.</w:t>
      </w:r>
      <w:r w:rsidRPr="00A33D16">
        <w:rPr>
          <w:noProof/>
        </w:rPr>
        <w:t xml:space="preserve"> Ulatuslik mereprügi probleem näitab, et õhu-, magevee- ja pinnasesaaste jõuab merre. Tuginedes Euroopa veekerksuse strateegias ja Euroopa maailmamerepaktis sätestatud lähenemisviisile „allikast </w:t>
      </w:r>
      <w:bookmarkStart w:id="31" w:name="_Int_WHkXESJV"/>
      <w:r w:rsidRPr="00A33D16">
        <w:rPr>
          <w:noProof/>
        </w:rPr>
        <w:t>mereni</w:t>
      </w:r>
      <w:bookmarkEnd w:id="31"/>
      <w:r w:rsidRPr="00A33D16">
        <w:rPr>
          <w:noProof/>
        </w:rPr>
        <w:t>“,</w:t>
      </w:r>
      <w:r w:rsidRPr="00A33D16">
        <w:rPr>
          <w:rStyle w:val="FootnoteReference"/>
          <w:noProof/>
        </w:rPr>
        <w:footnoteReference w:id="49"/>
      </w:r>
      <w:r w:rsidRPr="00A33D16">
        <w:rPr>
          <w:noProof/>
        </w:rPr>
        <w:t xml:space="preserve"> võimaldab merestrateegia raamdirektiivi ja maailmamerd käsitleva õigusakti ettepaneku läbivaatamine muuta õigusraamistikku tõhusamaks ja lihtsamaks, et paremini</w:t>
      </w:r>
      <w:r w:rsidRPr="00A33D16">
        <w:rPr>
          <w:i/>
          <w:noProof/>
        </w:rPr>
        <w:t xml:space="preserve"> </w:t>
      </w:r>
      <w:r w:rsidRPr="00A33D16">
        <w:rPr>
          <w:noProof/>
        </w:rPr>
        <w:t>saavutada eesmärke, sh puhas ja elujõuline merekeskkond. Seda läbivaatamist suunavad 2030. aasta nullsaaste eesmärgid ja üldine visioon 2050. aastaks, mis täiendavad kliimaneutraalsuse ja elurikkuse eesmärke. Liikmesriigid peavad tegema rohkem, et jälgida ja tagada kalapüügi ning karploomade kasvatamise alade kvaliteeti, kuna veesaaste põhjustab sellele sektorile märkimisväärset kahju.</w:t>
      </w:r>
    </w:p>
    <w:p w14:paraId="2953ABBB" w14:textId="4BB407EC" w:rsidR="004C4A20" w:rsidRPr="00012E94" w:rsidRDefault="0099646A" w:rsidP="004C4A20">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b/>
          <w:i/>
          <w:noProof/>
          <w:sz w:val="22"/>
          <w:szCs w:val="22"/>
        </w:rPr>
        <w:t>Puhas maailmameri – nullsaaste meredes</w:t>
      </w:r>
    </w:p>
    <w:p w14:paraId="23523E70" w14:textId="54A0D647" w:rsidR="0099646A" w:rsidRPr="00012E94" w:rsidRDefault="000C5343" w:rsidP="004C4A20">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i/>
          <w:noProof/>
          <w:sz w:val="22"/>
          <w:szCs w:val="22"/>
        </w:rPr>
      </w:pPr>
      <w:r w:rsidRPr="00012E94">
        <w:rPr>
          <w:i/>
          <w:noProof/>
          <w:sz w:val="22"/>
          <w:szCs w:val="22"/>
        </w:rPr>
        <w:t xml:space="preserve">Maailmameri on saastunud ja </w:t>
      </w:r>
      <w:r w:rsidRPr="00012E94">
        <w:rPr>
          <w:b/>
          <w:i/>
          <w:noProof/>
          <w:sz w:val="22"/>
          <w:szCs w:val="22"/>
        </w:rPr>
        <w:t>prügi</w:t>
      </w:r>
      <w:r w:rsidRPr="00012E94">
        <w:rPr>
          <w:i/>
          <w:noProof/>
          <w:sz w:val="22"/>
          <w:szCs w:val="22"/>
        </w:rPr>
        <w:t xml:space="preserve"> on üks kõige nähtavamaid probleeme. Ometi on tänu reguleerimisele hakanud olukord muutuma. </w:t>
      </w:r>
      <w:hyperlink r:id="rId40" w:anchor=":~:text=The%20newly-published%20EU%20Coastline%20Macro%20Litter%20Trend%20report,baseline%20period%20%282015-2016%29%20and%20the%20assessment%20period%20%282020-2021%29." w:history="1">
        <w:r w:rsidRPr="00012E94">
          <w:rPr>
            <w:rStyle w:val="Hyperlink"/>
            <w:b/>
            <w:i/>
            <w:noProof/>
            <w:sz w:val="22"/>
            <w:szCs w:val="22"/>
          </w:rPr>
          <w:t>JRC aruanne „EU Coastline Macro Litter Trend“</w:t>
        </w:r>
      </w:hyperlink>
      <w:r w:rsidRPr="00012E94">
        <w:rPr>
          <w:i/>
          <w:noProof/>
          <w:sz w:val="22"/>
          <w:szCs w:val="22"/>
        </w:rPr>
        <w:t xml:space="preserve"> (Makroprügiga seotud suundumused ELi rannikul) näitas, et mere makroprügi kogus ELi rannikul on ELi õigusaktide tulemusena vähenenud 29 %. Mitmel projektil on tähtis roll Euroopa merepiirkondade, näiteks Atlandi ookeani kirdeosa (</w:t>
      </w:r>
      <w:hyperlink r:id="rId41" w:history="1">
        <w:r w:rsidRPr="00012E94">
          <w:rPr>
            <w:rStyle w:val="Hyperlink"/>
            <w:b/>
            <w:i/>
            <w:noProof/>
            <w:sz w:val="22"/>
            <w:szCs w:val="22"/>
          </w:rPr>
          <w:t>Free LitterAT</w:t>
        </w:r>
      </w:hyperlink>
      <w:r w:rsidRPr="00012E94">
        <w:rPr>
          <w:i/>
          <w:noProof/>
          <w:sz w:val="22"/>
          <w:szCs w:val="22"/>
        </w:rPr>
        <w:t>), Läänemere (</w:t>
      </w:r>
      <w:hyperlink r:id="rId42" w:tgtFrame="_blank" w:history="1">
        <w:r w:rsidRPr="00012E94">
          <w:rPr>
            <w:rStyle w:val="Hyperlink"/>
            <w:b/>
            <w:i/>
            <w:noProof/>
            <w:sz w:val="22"/>
            <w:szCs w:val="22"/>
          </w:rPr>
          <w:t>Circular Ocean)</w:t>
        </w:r>
      </w:hyperlink>
      <w:r w:rsidRPr="00012E94">
        <w:rPr>
          <w:i/>
          <w:noProof/>
          <w:sz w:val="22"/>
          <w:szCs w:val="22"/>
        </w:rPr>
        <w:t xml:space="preserve"> ja Vahemere (</w:t>
      </w:r>
      <w:hyperlink r:id="rId43" w:tgtFrame="_blank" w:history="1">
        <w:r w:rsidRPr="00012E94">
          <w:rPr>
            <w:rStyle w:val="Hyperlink"/>
            <w:b/>
            <w:i/>
            <w:noProof/>
            <w:sz w:val="22"/>
            <w:szCs w:val="22"/>
          </w:rPr>
          <w:t>Marine Litter MED PLUS</w:t>
        </w:r>
      </w:hyperlink>
      <w:r w:rsidRPr="00012E94">
        <w:rPr>
          <w:i/>
          <w:noProof/>
          <w:sz w:val="22"/>
          <w:szCs w:val="22"/>
        </w:rPr>
        <w:t xml:space="preserve">) puhastamisel. </w:t>
      </w:r>
      <w:r w:rsidRPr="00012E94">
        <w:rPr>
          <w:b/>
          <w:i/>
          <w:noProof/>
          <w:sz w:val="22"/>
          <w:szCs w:val="22"/>
        </w:rPr>
        <w:t>Vesiviljelus</w:t>
      </w:r>
      <w:r w:rsidRPr="00012E94">
        <w:rPr>
          <w:i/>
          <w:noProof/>
          <w:sz w:val="22"/>
          <w:szCs w:val="22"/>
        </w:rPr>
        <w:t xml:space="preserve"> vajab puhast vett või aitab seda puhastada, kuid see võib olla ka saasteallikas. </w:t>
      </w:r>
      <w:r w:rsidRPr="00012E94">
        <w:rPr>
          <w:noProof/>
          <w:sz w:val="22"/>
          <w:szCs w:val="22"/>
        </w:rPr>
        <w:t xml:space="preserve">Uuenduslik tehnoloogia võib luua ärivõimalusi, vähendades samal ajal vesiviljeluse keskkonnamõju ja aidates kaasa biotervendamisele </w:t>
      </w:r>
      <w:r w:rsidRPr="00012E94">
        <w:rPr>
          <w:i/>
          <w:noProof/>
          <w:sz w:val="22"/>
          <w:szCs w:val="22"/>
        </w:rPr>
        <w:t>(</w:t>
      </w:r>
      <w:hyperlink r:id="rId44" w:history="1">
        <w:r w:rsidRPr="00012E94">
          <w:rPr>
            <w:rStyle w:val="Hyperlink"/>
            <w:b/>
            <w:i/>
            <w:noProof/>
            <w:sz w:val="22"/>
            <w:szCs w:val="22"/>
          </w:rPr>
          <w:t>Baltic MUPPETS</w:t>
        </w:r>
      </w:hyperlink>
      <w:r w:rsidRPr="00012E94">
        <w:rPr>
          <w:b/>
          <w:i/>
          <w:noProof/>
          <w:sz w:val="22"/>
          <w:szCs w:val="22"/>
        </w:rPr>
        <w:t xml:space="preserve">, </w:t>
      </w:r>
      <w:hyperlink r:id="rId45" w:history="1">
        <w:r w:rsidRPr="00012E94">
          <w:rPr>
            <w:rStyle w:val="Hyperlink"/>
            <w:b/>
            <w:i/>
            <w:noProof/>
            <w:sz w:val="22"/>
            <w:szCs w:val="22"/>
          </w:rPr>
          <w:t>OLAMUR</w:t>
        </w:r>
      </w:hyperlink>
      <w:r w:rsidRPr="00012E94">
        <w:rPr>
          <w:b/>
          <w:i/>
          <w:noProof/>
          <w:sz w:val="22"/>
          <w:szCs w:val="22"/>
        </w:rPr>
        <w:t xml:space="preserve">, </w:t>
      </w:r>
      <w:hyperlink r:id="rId46" w:history="1">
        <w:r w:rsidRPr="00012E94">
          <w:rPr>
            <w:rStyle w:val="Hyperlink"/>
            <w:b/>
            <w:i/>
            <w:noProof/>
            <w:sz w:val="22"/>
            <w:szCs w:val="22"/>
          </w:rPr>
          <w:t>ASTRAL</w:t>
        </w:r>
      </w:hyperlink>
      <w:r w:rsidRPr="00012E94">
        <w:rPr>
          <w:b/>
          <w:i/>
          <w:noProof/>
          <w:sz w:val="22"/>
          <w:szCs w:val="22"/>
        </w:rPr>
        <w:t xml:space="preserve">, </w:t>
      </w:r>
      <w:hyperlink r:id="rId47" w:history="1">
        <w:r w:rsidRPr="00012E94">
          <w:rPr>
            <w:rStyle w:val="Hyperlink"/>
            <w:b/>
            <w:i/>
            <w:noProof/>
            <w:sz w:val="22"/>
            <w:szCs w:val="22"/>
          </w:rPr>
          <w:t>REMEDIA LIFE</w:t>
        </w:r>
      </w:hyperlink>
      <w:r w:rsidRPr="00012E94">
        <w:rPr>
          <w:i/>
          <w:noProof/>
          <w:sz w:val="22"/>
          <w:szCs w:val="22"/>
        </w:rPr>
        <w:t xml:space="preserve">). Saaste ennetamisel on aina tähtsam </w:t>
      </w:r>
      <w:r w:rsidRPr="00012E94">
        <w:rPr>
          <w:b/>
          <w:i/>
          <w:noProof/>
          <w:sz w:val="22"/>
          <w:szCs w:val="22"/>
        </w:rPr>
        <w:t>Maa seire</w:t>
      </w:r>
      <w:r w:rsidRPr="00012E94">
        <w:rPr>
          <w:i/>
          <w:noProof/>
          <w:sz w:val="22"/>
          <w:szCs w:val="22"/>
        </w:rPr>
        <w:t>. Copernicuse andmeid kasutatakse laevateede optimeerimiseks, millega vähendatakse kütusekulu ja saastet ning ennetatakse juhuslikke saastejuhtumeid, suurendades tõhusust ja ohutust laevaomanike ja sadamavaldajate, sealhulgas kindlustusandjate jaoks (</w:t>
      </w:r>
      <w:hyperlink r:id="rId48" w:tgtFrame="_blank" w:history="1">
        <w:r w:rsidRPr="00012E94">
          <w:rPr>
            <w:rStyle w:val="Hyperlink"/>
            <w:b/>
            <w:i/>
            <w:noProof/>
            <w:sz w:val="22"/>
            <w:szCs w:val="22"/>
          </w:rPr>
          <w:t>OHB LuxSpace</w:t>
        </w:r>
      </w:hyperlink>
      <w:r w:rsidRPr="00012E94">
        <w:rPr>
          <w:b/>
          <w:i/>
          <w:noProof/>
          <w:sz w:val="22"/>
          <w:szCs w:val="22"/>
        </w:rPr>
        <w:t xml:space="preserve">, </w:t>
      </w:r>
      <w:hyperlink r:id="rId49" w:tgtFrame="_blank" w:history="1">
        <w:r w:rsidRPr="00012E94">
          <w:rPr>
            <w:rStyle w:val="Hyperlink"/>
            <w:b/>
            <w:i/>
            <w:noProof/>
            <w:sz w:val="22"/>
            <w:szCs w:val="22"/>
          </w:rPr>
          <w:t>SeaCras</w:t>
        </w:r>
      </w:hyperlink>
      <w:r w:rsidRPr="00012E94">
        <w:rPr>
          <w:b/>
          <w:i/>
          <w:noProof/>
          <w:sz w:val="22"/>
          <w:szCs w:val="22"/>
        </w:rPr>
        <w:t xml:space="preserve">, </w:t>
      </w:r>
      <w:hyperlink r:id="rId50" w:history="1">
        <w:r w:rsidRPr="00012E94">
          <w:rPr>
            <w:rStyle w:val="Hyperlink"/>
            <w:b/>
            <w:i/>
            <w:noProof/>
            <w:sz w:val="22"/>
            <w:szCs w:val="22"/>
          </w:rPr>
          <w:t>EOMAP</w:t>
        </w:r>
      </w:hyperlink>
      <w:r w:rsidRPr="00012E94">
        <w:rPr>
          <w:i/>
          <w:noProof/>
          <w:sz w:val="22"/>
          <w:szCs w:val="22"/>
        </w:rPr>
        <w:t xml:space="preserve">). </w:t>
      </w:r>
      <w:r w:rsidRPr="00012E94">
        <w:rPr>
          <w:b/>
          <w:i/>
          <w:noProof/>
          <w:sz w:val="22"/>
          <w:szCs w:val="22"/>
        </w:rPr>
        <w:t>Kodanikukaitse</w:t>
      </w:r>
      <w:r w:rsidRPr="00012E94">
        <w:rPr>
          <w:i/>
          <w:noProof/>
          <w:sz w:val="22"/>
          <w:szCs w:val="22"/>
        </w:rPr>
        <w:t xml:space="preserve"> valdkonnas käimasolevates projektides tegeletakse Läänemere merekeskkonnas toimuvatest laevaõnnetustest tuleneva nafta ja ohtlike ainete saaste pikaajalise riskianalüüsiga (</w:t>
      </w:r>
      <w:hyperlink r:id="rId51" w:history="1">
        <w:r w:rsidRPr="00012E94">
          <w:rPr>
            <w:rStyle w:val="Hyperlink"/>
            <w:b/>
            <w:i/>
            <w:noProof/>
            <w:sz w:val="22"/>
            <w:szCs w:val="22"/>
          </w:rPr>
          <w:t>BRISK II</w:t>
        </w:r>
      </w:hyperlink>
      <w:r w:rsidRPr="00012E94">
        <w:rPr>
          <w:i/>
          <w:noProof/>
          <w:sz w:val="22"/>
          <w:szCs w:val="22"/>
        </w:rPr>
        <w:t>) ning madala väävlisisaldusega laevakütuse leketega seotud mõju kindlaksmääramise ja reageerimisvõimaluste väljatöötamisega (</w:t>
      </w:r>
      <w:hyperlink r:id="rId52" w:history="1">
        <w:r w:rsidRPr="00012E94">
          <w:rPr>
            <w:rStyle w:val="Hyperlink"/>
            <w:b/>
            <w:i/>
            <w:noProof/>
            <w:sz w:val="22"/>
            <w:szCs w:val="22"/>
          </w:rPr>
          <w:t>IMAROS II</w:t>
        </w:r>
      </w:hyperlink>
      <w:r w:rsidRPr="00012E94">
        <w:rPr>
          <w:i/>
          <w:noProof/>
          <w:sz w:val="22"/>
          <w:szCs w:val="22"/>
        </w:rPr>
        <w:t>).</w:t>
      </w:r>
    </w:p>
    <w:p w14:paraId="028775CA" w14:textId="7083BBBC" w:rsidR="00E06994" w:rsidRPr="00A33D16" w:rsidRDefault="000E1AFB" w:rsidP="00DC776D">
      <w:pPr>
        <w:pStyle w:val="Text1"/>
        <w:spacing w:before="240"/>
        <w:ind w:left="425"/>
        <w:rPr>
          <w:noProof/>
        </w:rPr>
      </w:pPr>
      <w:r w:rsidRPr="00A33D16">
        <w:rPr>
          <w:noProof/>
        </w:rPr>
        <w:t xml:space="preserve">Nullsaaste saavutamisele </w:t>
      </w:r>
      <w:r w:rsidRPr="00A33D16">
        <w:rPr>
          <w:b/>
          <w:noProof/>
        </w:rPr>
        <w:t xml:space="preserve">plasti- ja jäätmereostuse valdkonnas </w:t>
      </w:r>
      <w:r w:rsidRPr="00A33D16">
        <w:rPr>
          <w:noProof/>
        </w:rPr>
        <w:t>aitavad kaasa mitu jäätmeid käsitlevat läbivaadatud ELi õigusakti (näiteks uus kestlike toodete ökodisaini määrus, läbivaadatud jäätmete raamdirektiiv, uus jäätmesaadetiste määrus, ühekordsete plasttoodete direktiiv, uus pakendite ja pakendijäätmete määrus ning uus plastigraanulite määrus). Nende meetmete täiendamiseks on komisjon avaldanud biomajanduse strateegia</w:t>
      </w:r>
      <w:r w:rsidRPr="00A33D16">
        <w:rPr>
          <w:rStyle w:val="FootnoteReference"/>
          <w:noProof/>
        </w:rPr>
        <w:footnoteReference w:id="50"/>
      </w:r>
      <w:r w:rsidRPr="00A33D16">
        <w:rPr>
          <w:noProof/>
        </w:rPr>
        <w:t xml:space="preserve"> ja töötab välja ringmajanduse õigusakti, mis toetab konkurentsivõime kompassi peamisi tugisambaid.</w:t>
      </w:r>
    </w:p>
    <w:p w14:paraId="21BE6734" w14:textId="5C658DEB" w:rsidR="00E06994" w:rsidRPr="00A33D16" w:rsidRDefault="002C589F" w:rsidP="00E06994">
      <w:pPr>
        <w:pStyle w:val="Text1"/>
        <w:ind w:left="426"/>
        <w:rPr>
          <w:noProof/>
        </w:rPr>
      </w:pPr>
      <w:bookmarkStart w:id="32" w:name="_Hlk210147602"/>
      <w:r w:rsidRPr="00A33D16">
        <w:rPr>
          <w:b/>
          <w:noProof/>
        </w:rPr>
        <w:t>Mürasaaste</w:t>
      </w:r>
      <w:r w:rsidRPr="00A33D16">
        <w:rPr>
          <w:noProof/>
        </w:rPr>
        <w:t xml:space="preserve"> valdkonnas võetakse praegu meetmeid</w:t>
      </w:r>
      <w:r w:rsidRPr="00A33D16">
        <w:rPr>
          <w:rStyle w:val="FootnoteReference"/>
          <w:noProof/>
        </w:rPr>
        <w:footnoteReference w:id="51"/>
      </w:r>
      <w:r w:rsidRPr="00A33D16">
        <w:rPr>
          <w:noProof/>
        </w:rPr>
        <w:t xml:space="preserve"> ELi sõidukite tehnoseisundi parandamiseks, et vähendada ka nende transpordiliikide tekitatavat müra. </w:t>
      </w:r>
      <w:bookmarkEnd w:id="32"/>
      <w:r w:rsidRPr="00A33D16">
        <w:rPr>
          <w:noProof/>
          <w:color w:val="000000" w:themeColor="text1"/>
        </w:rPr>
        <w:t>Raudteesektoris on suur samm müra vähendamise suunas olnud üksnes vaiksete kaubavagunite kasutuselevõtt raudteeliinidel, kus öösiti toimub tihe kaubavedu</w:t>
      </w:r>
      <w:r w:rsidRPr="00A33D16">
        <w:rPr>
          <w:rStyle w:val="FootnoteReference"/>
          <w:noProof/>
          <w:color w:val="000000" w:themeColor="text1"/>
        </w:rPr>
        <w:footnoteReference w:id="52"/>
      </w:r>
      <w:r w:rsidRPr="00A33D16">
        <w:rPr>
          <w:noProof/>
          <w:color w:val="000000" w:themeColor="text1"/>
        </w:rPr>
        <w:t xml:space="preserve">. Määruse edasisi muudatusi on oodata 2029. aastaks. </w:t>
      </w:r>
      <w:r w:rsidRPr="00A33D16">
        <w:rPr>
          <w:noProof/>
        </w:rPr>
        <w:t>Komisjon hindab ka keskkonnamüra direktiivis müra vähendamise ELi eesmärkide ja piirnormide kehtestamise teostatavust kooskõlas Euroopa Kontrollikoja soovitustega</w:t>
      </w:r>
      <w:r w:rsidRPr="00A33D16">
        <w:rPr>
          <w:rStyle w:val="FootnoteReference"/>
          <w:noProof/>
        </w:rPr>
        <w:footnoteReference w:id="53"/>
      </w:r>
      <w:r w:rsidRPr="00A33D16">
        <w:rPr>
          <w:noProof/>
        </w:rPr>
        <w:t xml:space="preserve">. </w:t>
      </w:r>
    </w:p>
    <w:p w14:paraId="172FD685" w14:textId="15884D57" w:rsidR="00A12040" w:rsidRPr="00A33D16" w:rsidRDefault="00175F23" w:rsidP="00A12040">
      <w:pPr>
        <w:pStyle w:val="Text1"/>
        <w:ind w:left="426"/>
        <w:rPr>
          <w:noProof/>
        </w:rPr>
      </w:pPr>
      <w:r w:rsidRPr="00A33D16">
        <w:rPr>
          <w:b/>
          <w:noProof/>
        </w:rPr>
        <w:t>Keskkonna- ja tervishoiupoliitika on omavahel tihedalt seotud – terviseühtsuse põhimõtte rakendamine praktikas.</w:t>
      </w:r>
      <w:r w:rsidRPr="00A33D16">
        <w:rPr>
          <w:noProof/>
        </w:rPr>
        <w:t xml:space="preserve"> Terviseühtsuse põhimõtte keskkonna- ja kliimamõõde on kriitilise tähtsusega, sest need kujundavad tervisenäitajaid ning mõjutavad haiguste teket ja levikut loomadel ja inimestel. Komisjon keskendub jätkuvalt ennetavale tervishoiule, tuginedes vähktõvevastase võitluse kava ja uue ELi südame-veresoonkonna tervise kava edukatele näidetele. Komisjon suurendab ka jõupingutusi, et rakendada terviseühtsuse põhimõttest lähtuvat juhtimist</w:t>
      </w:r>
      <w:r w:rsidRPr="00A33D16">
        <w:rPr>
          <w:rStyle w:val="FootnoteReference"/>
          <w:noProof/>
        </w:rPr>
        <w:footnoteReference w:id="54"/>
      </w:r>
      <w:r w:rsidRPr="00A33D16">
        <w:rPr>
          <w:noProof/>
        </w:rPr>
        <w:t xml:space="preserve"> ja tagada, et keskkonnakaalutlused lisatakse mittenakkuslike haiguste ennetamisele suunatud ELi algatustesse</w:t>
      </w:r>
      <w:r w:rsidRPr="00A33D16">
        <w:rPr>
          <w:rStyle w:val="FootnoteReference"/>
          <w:noProof/>
        </w:rPr>
        <w:footnoteReference w:id="55"/>
      </w:r>
      <w:r w:rsidRPr="00A33D16">
        <w:rPr>
          <w:noProof/>
        </w:rPr>
        <w:t>.</w:t>
      </w:r>
    </w:p>
    <w:p w14:paraId="6628BFF3" w14:textId="77777777" w:rsidR="0068177F" w:rsidRPr="00012E94" w:rsidRDefault="0068177F" w:rsidP="0068177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b/>
          <w:i/>
          <w:noProof/>
          <w:sz w:val="22"/>
          <w:szCs w:val="22"/>
        </w:rPr>
        <w:t>Tervislikum keskkond – õhu ja müra nullsaaste</w:t>
      </w:r>
    </w:p>
    <w:p w14:paraId="478D8EF2" w14:textId="61C7AB14" w:rsidR="0068177F" w:rsidRPr="00012E94" w:rsidRDefault="0068177F" w:rsidP="00175F23">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i/>
          <w:noProof/>
          <w:sz w:val="22"/>
          <w:szCs w:val="22"/>
        </w:rPr>
        <w:t>Puhas õhk ja vaiksed piirkonnad on tervisliku elu tähtsad tegurid. Paljud projektid on näidanud, kuidas on võimalik parandada piirkondade õhukvaliteeti (</w:t>
      </w:r>
      <w:hyperlink r:id="rId53" w:history="1">
        <w:r w:rsidRPr="00012E94">
          <w:rPr>
            <w:rStyle w:val="Hyperlink"/>
            <w:b/>
            <w:i/>
            <w:noProof/>
            <w:sz w:val="22"/>
            <w:szCs w:val="22"/>
          </w:rPr>
          <w:t>LIFE Małopolska</w:t>
        </w:r>
      </w:hyperlink>
      <w:r w:rsidRPr="00012E94">
        <w:rPr>
          <w:b/>
          <w:i/>
          <w:noProof/>
          <w:sz w:val="22"/>
          <w:szCs w:val="22"/>
        </w:rPr>
        <w:t xml:space="preserve">, </w:t>
      </w:r>
      <w:hyperlink r:id="rId54" w:history="1">
        <w:r w:rsidRPr="00012E94">
          <w:rPr>
            <w:rStyle w:val="Hyperlink"/>
            <w:b/>
            <w:i/>
            <w:noProof/>
            <w:sz w:val="22"/>
            <w:szCs w:val="22"/>
          </w:rPr>
          <w:t>LIFE Prepair</w:t>
        </w:r>
      </w:hyperlink>
      <w:r w:rsidRPr="00012E94">
        <w:rPr>
          <w:b/>
          <w:i/>
          <w:noProof/>
          <w:sz w:val="22"/>
          <w:szCs w:val="22"/>
        </w:rPr>
        <w:t xml:space="preserve">, </w:t>
      </w:r>
      <w:hyperlink r:id="rId55" w:history="1">
        <w:r w:rsidRPr="00012E94">
          <w:rPr>
            <w:rStyle w:val="Hyperlink"/>
            <w:b/>
            <w:i/>
            <w:noProof/>
            <w:sz w:val="22"/>
            <w:szCs w:val="22"/>
          </w:rPr>
          <w:t>LIFE Sirius</w:t>
        </w:r>
      </w:hyperlink>
      <w:r w:rsidRPr="00012E94">
        <w:rPr>
          <w:i/>
          <w:noProof/>
          <w:sz w:val="22"/>
          <w:szCs w:val="22"/>
        </w:rPr>
        <w:t>) ning et puhas linnakeskkond on kasulik heaolule, sealhulgas südame-veresoonkonnale, hingamisteedele ja vaimsele tervisele</w:t>
      </w:r>
      <w:r w:rsidRPr="00012E94">
        <w:rPr>
          <w:b/>
          <w:i/>
          <w:noProof/>
          <w:sz w:val="22"/>
          <w:szCs w:val="22"/>
        </w:rPr>
        <w:t xml:space="preserve"> (</w:t>
      </w:r>
      <w:hyperlink r:id="rId56" w:tgtFrame="_blank" w:history="1">
        <w:r w:rsidRPr="00012E94">
          <w:rPr>
            <w:rStyle w:val="Hyperlink"/>
            <w:b/>
            <w:i/>
            <w:noProof/>
            <w:sz w:val="22"/>
            <w:szCs w:val="22"/>
          </w:rPr>
          <w:t>eMOTIONAL Cities</w:t>
        </w:r>
      </w:hyperlink>
      <w:r w:rsidRPr="00012E94">
        <w:rPr>
          <w:b/>
          <w:i/>
          <w:noProof/>
          <w:sz w:val="22"/>
          <w:szCs w:val="22"/>
        </w:rPr>
        <w:t xml:space="preserve">, </w:t>
      </w:r>
      <w:hyperlink r:id="rId57" w:tgtFrame="_blank" w:history="1">
        <w:r w:rsidRPr="00012E94">
          <w:rPr>
            <w:rStyle w:val="Hyperlink"/>
            <w:b/>
            <w:i/>
            <w:noProof/>
            <w:sz w:val="22"/>
            <w:szCs w:val="22"/>
          </w:rPr>
          <w:t>EXPANSE</w:t>
        </w:r>
      </w:hyperlink>
      <w:r w:rsidRPr="00012E94">
        <w:rPr>
          <w:b/>
          <w:i/>
          <w:noProof/>
          <w:sz w:val="22"/>
          <w:szCs w:val="22"/>
        </w:rPr>
        <w:t xml:space="preserve">, </w:t>
      </w:r>
      <w:hyperlink r:id="rId58" w:tgtFrame="_blank" w:history="1">
        <w:r w:rsidRPr="00012E94">
          <w:rPr>
            <w:rStyle w:val="Hyperlink"/>
            <w:b/>
            <w:i/>
            <w:noProof/>
            <w:sz w:val="22"/>
            <w:szCs w:val="22"/>
          </w:rPr>
          <w:t>LongITools</w:t>
        </w:r>
      </w:hyperlink>
      <w:r w:rsidRPr="00012E94">
        <w:rPr>
          <w:i/>
          <w:noProof/>
          <w:sz w:val="22"/>
          <w:szCs w:val="22"/>
        </w:rPr>
        <w:t>). Samuti näitavad need, kuidas äärmuslik kuumus võib suurendada õhusaastet (</w:t>
      </w:r>
      <w:hyperlink r:id="rId59" w:tgtFrame="_blank" w:history="1">
        <w:r w:rsidRPr="00012E94">
          <w:rPr>
            <w:rStyle w:val="Hyperlink"/>
            <w:b/>
            <w:i/>
            <w:noProof/>
            <w:sz w:val="22"/>
            <w:szCs w:val="22"/>
          </w:rPr>
          <w:t>EXHAUSTION</w:t>
        </w:r>
      </w:hyperlink>
      <w:r w:rsidRPr="00012E94">
        <w:rPr>
          <w:i/>
          <w:noProof/>
          <w:sz w:val="22"/>
          <w:szCs w:val="22"/>
        </w:rPr>
        <w:t>) ja kuidas linnaruumi haljastamine vähendab seda mõju ning samas muudab uute puude istutamise majanduslikult tasuvaks (</w:t>
      </w:r>
      <w:hyperlink r:id="rId60" w:tgtFrame="_blank" w:history="1">
        <w:r w:rsidRPr="00012E94">
          <w:rPr>
            <w:rStyle w:val="Hyperlink"/>
            <w:b/>
            <w:i/>
            <w:noProof/>
            <w:sz w:val="22"/>
            <w:szCs w:val="22"/>
          </w:rPr>
          <w:t>100KTREES</w:t>
        </w:r>
      </w:hyperlink>
      <w:r w:rsidRPr="00012E94">
        <w:rPr>
          <w:i/>
          <w:noProof/>
          <w:sz w:val="22"/>
          <w:szCs w:val="22"/>
        </w:rPr>
        <w:t xml:space="preserve">, </w:t>
      </w:r>
      <w:hyperlink r:id="rId61" w:tgtFrame="_blank" w:history="1">
        <w:r w:rsidRPr="00012E94">
          <w:rPr>
            <w:rStyle w:val="Hyperlink"/>
            <w:b/>
            <w:i/>
            <w:noProof/>
            <w:sz w:val="22"/>
            <w:szCs w:val="22"/>
          </w:rPr>
          <w:t>LIFE AIRFRESH</w:t>
        </w:r>
      </w:hyperlink>
      <w:r w:rsidRPr="00012E94">
        <w:rPr>
          <w:i/>
          <w:noProof/>
          <w:sz w:val="22"/>
          <w:szCs w:val="22"/>
        </w:rPr>
        <w:t>).</w:t>
      </w:r>
    </w:p>
    <w:p w14:paraId="7F726019" w14:textId="3A4DE139" w:rsidR="004172DA" w:rsidRPr="00A33D16" w:rsidRDefault="00E06994" w:rsidP="00AC7C80">
      <w:pPr>
        <w:pStyle w:val="Text1"/>
        <w:spacing w:before="240"/>
        <w:rPr>
          <w:rFonts w:eastAsia="Calibri"/>
          <w:noProof/>
        </w:rPr>
      </w:pPr>
      <w:r w:rsidRPr="00A33D16">
        <w:rPr>
          <w:b/>
          <w:noProof/>
        </w:rPr>
        <w:t xml:space="preserve">Aina rohkem tekitavad muret saasteainete segud, sealhulgas uued segud, nagu endokriinfunktsiooni kahjustavad kemikaalid ja ravimid. </w:t>
      </w:r>
      <w:r w:rsidRPr="00A33D16">
        <w:rPr>
          <w:noProof/>
        </w:rPr>
        <w:t>Inimeste bioseire annab näiteid kemikaalide koosmõjust inimeste tervisele</w:t>
      </w:r>
      <w:r w:rsidRPr="00A33D16">
        <w:rPr>
          <w:rStyle w:val="FootnoteReference"/>
          <w:noProof/>
        </w:rPr>
        <w:footnoteReference w:id="56"/>
      </w:r>
      <w:r w:rsidRPr="00A33D16">
        <w:rPr>
          <w:noProof/>
        </w:rPr>
        <w:t xml:space="preserve"> ja mitmest aruandest nähtub, et teatavate kemikaalidega kokkupuutest tulenev mõju võib põhjustada märkimisväärseid tervisekulusid</w:t>
      </w:r>
      <w:r w:rsidRPr="00A33D16">
        <w:rPr>
          <w:rStyle w:val="FootnoteReference"/>
          <w:noProof/>
        </w:rPr>
        <w:footnoteReference w:id="57"/>
      </w:r>
      <w:r w:rsidRPr="00A33D16">
        <w:rPr>
          <w:noProof/>
        </w:rPr>
        <w:t>. Samas näitavad need andmed, et tõhus reguleerimine vähendab kokkupuudet ja võib kaasa tuua mõõdetava paranemise lühikese aja jooksul. Teatavad ohtlikud kemikaalid mõjutavad ka eluslooduse elurikkust</w:t>
      </w:r>
      <w:r w:rsidRPr="00A33D16">
        <w:rPr>
          <w:rStyle w:val="FootnoteReference"/>
          <w:noProof/>
        </w:rPr>
        <w:footnoteReference w:id="58"/>
      </w:r>
      <w:r w:rsidRPr="00A33D16">
        <w:rPr>
          <w:noProof/>
        </w:rPr>
        <w:t>. Alates 2019. aastast on strateegilise lähenemisviisiga ravimitele keskkonnas</w:t>
      </w:r>
      <w:r w:rsidRPr="00A33D16">
        <w:rPr>
          <w:rStyle w:val="FootnoteReference"/>
          <w:noProof/>
        </w:rPr>
        <w:footnoteReference w:id="59"/>
      </w:r>
      <w:r w:rsidRPr="00A33D16">
        <w:rPr>
          <w:noProof/>
        </w:rPr>
        <w:t xml:space="preserve"> kasutusele võetud terviklikum lähenemisviis selle probleemiga tegelemiseks. Meetmed, millega ennetatakse ohtlike kemikaalide heitkoguste teket tarneahela eelnevates lülides, võivad vähendada tervendamise, näiteks vee puhastamise kulusid. </w:t>
      </w:r>
    </w:p>
    <w:p w14:paraId="22F742CF" w14:textId="77777777" w:rsidR="0057731F" w:rsidRPr="00012E94" w:rsidRDefault="0057731F" w:rsidP="0057731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b/>
          <w:i/>
          <w:noProof/>
          <w:sz w:val="22"/>
          <w:szCs w:val="22"/>
        </w:rPr>
        <w:t>Puhtam keskkond – ravimite nullsaaste</w:t>
      </w:r>
    </w:p>
    <w:p w14:paraId="16B53ACC" w14:textId="25A2BBAE" w:rsidR="006E3C9C" w:rsidRPr="00A33D16" w:rsidRDefault="0057731F" w:rsidP="00175F23">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18"/>
        </w:rPr>
      </w:pPr>
      <w:r w:rsidRPr="00012E94">
        <w:rPr>
          <w:i/>
          <w:noProof/>
          <w:sz w:val="22"/>
          <w:szCs w:val="22"/>
        </w:rPr>
        <w:t>Keskkonnajalajälje minimeerimiseks võetakse kasutusele uuenduslikumaid lähenemisviise, kasutades tipptasemel tehnoloogiat ning majanduslikult elujõulist ja kulutõhusat meetodit ravimitootmise heitvee puhastamiseks enam kui 80 % ulatuses (</w:t>
      </w:r>
      <w:hyperlink r:id="rId62" w:tgtFrame="_blank" w:history="1">
        <w:r w:rsidRPr="00012E94">
          <w:rPr>
            <w:rStyle w:val="Hyperlink"/>
            <w:b/>
            <w:i/>
            <w:noProof/>
            <w:sz w:val="22"/>
            <w:szCs w:val="22"/>
          </w:rPr>
          <w:t>LIFE PHARMA-DETOX)</w:t>
        </w:r>
      </w:hyperlink>
      <w:r w:rsidRPr="00012E94">
        <w:rPr>
          <w:i/>
          <w:noProof/>
          <w:sz w:val="22"/>
          <w:szCs w:val="22"/>
        </w:rPr>
        <w:t>.</w:t>
      </w:r>
      <w:r w:rsidRPr="00012E94">
        <w:rPr>
          <w:b/>
          <w:i/>
          <w:noProof/>
          <w:sz w:val="22"/>
          <w:szCs w:val="22"/>
        </w:rPr>
        <w:t xml:space="preserve"> </w:t>
      </w:r>
      <w:r w:rsidRPr="00012E94">
        <w:rPr>
          <w:i/>
          <w:noProof/>
          <w:sz w:val="22"/>
          <w:szCs w:val="22"/>
        </w:rPr>
        <w:t xml:space="preserve">Samuti on </w:t>
      </w:r>
      <w:hyperlink r:id="rId63" w:history="1">
        <w:r w:rsidRPr="00012E94">
          <w:rPr>
            <w:rStyle w:val="Hyperlink"/>
            <w:b/>
            <w:i/>
            <w:noProof/>
            <w:sz w:val="22"/>
            <w:szCs w:val="22"/>
          </w:rPr>
          <w:t>RECOPHARMA</w:t>
        </w:r>
      </w:hyperlink>
      <w:r w:rsidRPr="00012E94">
        <w:rPr>
          <w:i/>
          <w:noProof/>
          <w:sz w:val="22"/>
          <w:szCs w:val="22"/>
        </w:rPr>
        <w:t xml:space="preserve"> projekti raames välja töötatud täiustatud veepuhastuslahendused, mis on mitmekülgsed, kiired, tõhusad ja soodsad.</w:t>
      </w:r>
      <w:r w:rsidRPr="00A33D16">
        <w:rPr>
          <w:i/>
          <w:noProof/>
          <w:sz w:val="22"/>
        </w:rPr>
        <w:t xml:space="preserve"> </w:t>
      </w:r>
    </w:p>
    <w:p w14:paraId="011EED99" w14:textId="0D4D12C0" w:rsidR="00E06994" w:rsidRPr="00A33D16" w:rsidRDefault="03B3FCF4" w:rsidP="00175F23">
      <w:pPr>
        <w:pStyle w:val="Text1"/>
        <w:spacing w:before="240"/>
        <w:rPr>
          <w:noProof/>
        </w:rPr>
      </w:pPr>
      <w:r w:rsidRPr="00A33D16">
        <w:rPr>
          <w:b/>
          <w:noProof/>
        </w:rPr>
        <w:t>Jääk- ja püsireostus kui alahinnatud probleem.</w:t>
      </w:r>
      <w:r w:rsidRPr="00A33D16">
        <w:rPr>
          <w:noProof/>
        </w:rPr>
        <w:t xml:space="preserve"> Hoolimata suurenevast teadlikkusest nn igaveste kemikaalidega seotud riskidest ja nende suurest kontsentratsioonist keskkonnas,</w:t>
      </w:r>
      <w:r w:rsidRPr="00A33D16">
        <w:rPr>
          <w:rStyle w:val="FootnoteReference"/>
          <w:noProof/>
        </w:rPr>
        <w:footnoteReference w:id="60"/>
      </w:r>
      <w:r w:rsidRPr="00A33D16">
        <w:rPr>
          <w:noProof/>
        </w:rPr>
        <w:t xml:space="preserve"> hakatakse alles nüüd mõistma per- ja polüfluoritud alküülühenditest (PFAS) ja muudest püsivatest kemikaalidest tuleneva ulatusliku saaste täielikku ulatust ja tõsiseid tagajärgi. Näiteks ei ole nullsaaste seire- ja väljavaatearuandes veel piisavalt käsitletud teatavate PFASide lagunemise tavasaaduse trifluoroatsetaadi (TFA)</w:t>
      </w:r>
      <w:r w:rsidRPr="00A33D16">
        <w:rPr>
          <w:rStyle w:val="FootnoteReference"/>
          <w:noProof/>
        </w:rPr>
        <w:footnoteReference w:id="61"/>
      </w:r>
      <w:r w:rsidRPr="00A33D16">
        <w:rPr>
          <w:noProof/>
        </w:rPr>
        <w:t xml:space="preserve"> laialdast esinemist. Hiljutised otsused veesaasteainete kohta,</w:t>
      </w:r>
      <w:r w:rsidRPr="00A33D16">
        <w:rPr>
          <w:rStyle w:val="FootnoteReference"/>
          <w:noProof/>
        </w:rPr>
        <w:footnoteReference w:id="62"/>
      </w:r>
      <w:r w:rsidRPr="00A33D16">
        <w:rPr>
          <w:noProof/>
        </w:rPr>
        <w:t xml:space="preserve"> PFASide kasutamise piiramine tulekustutusvahtudes</w:t>
      </w:r>
      <w:r w:rsidRPr="00A33D16">
        <w:rPr>
          <w:rStyle w:val="FootnoteReference"/>
          <w:noProof/>
        </w:rPr>
        <w:footnoteReference w:id="63"/>
      </w:r>
      <w:r w:rsidRPr="00A33D16">
        <w:rPr>
          <w:noProof/>
        </w:rPr>
        <w:t xml:space="preserve"> ja eelseisev töö kemikaale käsitlevate (sealhulgas töö üldise PFAS-ainete piiranguga)</w:t>
      </w:r>
      <w:r w:rsidRPr="00A33D16">
        <w:rPr>
          <w:rStyle w:val="FootnoteReference"/>
          <w:noProof/>
        </w:rPr>
        <w:footnoteReference w:id="64"/>
      </w:r>
      <w:r w:rsidRPr="00A33D16">
        <w:rPr>
          <w:noProof/>
        </w:rPr>
        <w:t xml:space="preserve"> ning muude hiljuti kokku lepitud õigusaktide alusel heidavad aga rohkem valgust probleemi ulatusele kogu ELis. Seoses PFASidega joogivees on komisjon allkirjastanud Maailma Terviseorganisatsiooniga (WHO) lepingu,</w:t>
      </w:r>
      <w:r w:rsidRPr="00A33D16">
        <w:rPr>
          <w:rStyle w:val="FootnoteReference"/>
          <w:noProof/>
        </w:rPr>
        <w:footnoteReference w:id="65"/>
      </w:r>
      <w:r w:rsidRPr="00A33D16">
        <w:rPr>
          <w:noProof/>
        </w:rPr>
        <w:t xml:space="preserve"> et hinnata uusimaid teaduslikke tõendeid joogivees sisalduvate asjaomaste PFASide, sealhulgas TFA võimaliku tervisemõju kohta. Samal ajal on käimas uuring,</w:t>
      </w:r>
      <w:r w:rsidRPr="00A33D16">
        <w:rPr>
          <w:rStyle w:val="FootnoteReference"/>
          <w:noProof/>
        </w:rPr>
        <w:footnoteReference w:id="66"/>
      </w:r>
      <w:r w:rsidRPr="00A33D16">
        <w:rPr>
          <w:noProof/>
        </w:rPr>
        <w:t xml:space="preserve"> milles analüüsitakse puhastusmeetodeid ja nendega seotud kulusid PFASide (sealhulgas TFA) eemaldamiseks joogiveest. Samuti on toimumas uuring PFASide sisalduse kohta jäätmevoogudes, arvestades pakendites ja pakendijäätmetes PFASide kasutamise keeldu</w:t>
      </w:r>
      <w:r w:rsidRPr="00A33D16">
        <w:rPr>
          <w:rStyle w:val="FootnoteReference"/>
          <w:noProof/>
        </w:rPr>
        <w:footnoteReference w:id="67"/>
      </w:r>
      <w:r w:rsidRPr="00A33D16">
        <w:rPr>
          <w:noProof/>
        </w:rPr>
        <w:t>. Selle põhjal kaalub komisjon, milline on parim tegutsemisviis. Lisaks käsitletakse keemiatööstuse tegevuskavas</w:t>
      </w:r>
      <w:r w:rsidRPr="00A33D16">
        <w:rPr>
          <w:rStyle w:val="FootnoteReference"/>
          <w:noProof/>
        </w:rPr>
        <w:footnoteReference w:id="68"/>
      </w:r>
      <w:r w:rsidRPr="00A33D16">
        <w:rPr>
          <w:noProof/>
        </w:rPr>
        <w:t xml:space="preserve"> ja Euroopa veekerksuse strateegias</w:t>
      </w:r>
      <w:r w:rsidRPr="00A33D16">
        <w:rPr>
          <w:rStyle w:val="FootnoteReference"/>
          <w:noProof/>
        </w:rPr>
        <w:footnoteReference w:id="69"/>
      </w:r>
      <w:r w:rsidRPr="00A33D16">
        <w:rPr>
          <w:noProof/>
        </w:rPr>
        <w:t xml:space="preserve"> välja kuulutatud PFASide vähendamise, kõrvaldamise ja alternatiivide toetamise meetmetega probleemi terviklikult koostöös kõigi asjaosalistega.</w:t>
      </w:r>
    </w:p>
    <w:p w14:paraId="2E89E524" w14:textId="475A86A0" w:rsidR="005E7FAF" w:rsidRPr="00012E94" w:rsidRDefault="005E7FAF" w:rsidP="005E7FA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b/>
          <w:i/>
          <w:noProof/>
          <w:sz w:val="22"/>
          <w:szCs w:val="22"/>
        </w:rPr>
        <w:t>Keskkonna puhastamine – tervendamise kaudu nullsaasteni</w:t>
      </w:r>
    </w:p>
    <w:p w14:paraId="4DD6995C" w14:textId="1DE6A504" w:rsidR="0057731F" w:rsidRPr="00012E94" w:rsidRDefault="005E7FAF" w:rsidP="00175F23">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rFonts w:eastAsiaTheme="majorEastAsia"/>
          <w:i/>
          <w:iCs/>
          <w:noProof/>
          <w:sz w:val="22"/>
          <w:szCs w:val="22"/>
        </w:rPr>
      </w:pPr>
      <w:r w:rsidRPr="00012E94">
        <w:rPr>
          <w:i/>
          <w:noProof/>
          <w:sz w:val="22"/>
          <w:szCs w:val="22"/>
        </w:rPr>
        <w:t>Esmatähtis peab olema saastet vältida, kuid see ei ole alati võimalik. Aina rohkem on turul uuenduslikke ja kulutõhusaid viise püsivate ja liikuvate saasteainete, nagu PFASide tuvastamiseks ja kõrvaldamiseks</w:t>
      </w:r>
      <w:r w:rsidRPr="00012E94">
        <w:rPr>
          <w:noProof/>
          <w:sz w:val="22"/>
          <w:szCs w:val="22"/>
        </w:rPr>
        <w:t xml:space="preserve"> </w:t>
      </w:r>
      <w:r w:rsidRPr="00012E94">
        <w:rPr>
          <w:i/>
          <w:noProof/>
          <w:sz w:val="22"/>
          <w:szCs w:val="22"/>
        </w:rPr>
        <w:t>(</w:t>
      </w:r>
      <w:hyperlink r:id="rId64" w:tgtFrame="_blank" w:history="1">
        <w:r w:rsidRPr="00012E94">
          <w:rPr>
            <w:rStyle w:val="Hyperlink"/>
            <w:b/>
            <w:i/>
            <w:noProof/>
            <w:sz w:val="22"/>
            <w:szCs w:val="22"/>
          </w:rPr>
          <w:t>SCENARIOS</w:t>
        </w:r>
      </w:hyperlink>
      <w:r w:rsidRPr="00012E94">
        <w:rPr>
          <w:i/>
          <w:noProof/>
          <w:sz w:val="22"/>
          <w:szCs w:val="22"/>
        </w:rPr>
        <w:t xml:space="preserve">, </w:t>
      </w:r>
      <w:hyperlink r:id="rId65" w:tgtFrame="_blank" w:history="1">
        <w:r w:rsidRPr="00012E94">
          <w:rPr>
            <w:rStyle w:val="Hyperlink"/>
            <w:b/>
            <w:i/>
            <w:noProof/>
            <w:sz w:val="22"/>
            <w:szCs w:val="22"/>
          </w:rPr>
          <w:t>ZeroPM</w:t>
        </w:r>
      </w:hyperlink>
      <w:r w:rsidRPr="00012E94">
        <w:rPr>
          <w:b/>
          <w:i/>
          <w:noProof/>
          <w:sz w:val="22"/>
          <w:szCs w:val="22"/>
        </w:rPr>
        <w:t xml:space="preserve">, </w:t>
      </w:r>
      <w:hyperlink r:id="rId66" w:tgtFrame="_blank" w:history="1">
        <w:r w:rsidRPr="00012E94">
          <w:rPr>
            <w:rStyle w:val="Hyperlink"/>
            <w:b/>
            <w:i/>
            <w:noProof/>
            <w:sz w:val="22"/>
            <w:szCs w:val="22"/>
          </w:rPr>
          <w:t>LIFE SOuRCE</w:t>
        </w:r>
      </w:hyperlink>
      <w:r w:rsidRPr="00012E94">
        <w:rPr>
          <w:i/>
          <w:noProof/>
          <w:sz w:val="22"/>
          <w:szCs w:val="22"/>
        </w:rPr>
        <w:t xml:space="preserve">, </w:t>
      </w:r>
      <w:hyperlink r:id="rId67" w:tgtFrame="_blank" w:history="1">
        <w:r w:rsidRPr="00012E94">
          <w:rPr>
            <w:rStyle w:val="Hyperlink"/>
            <w:b/>
            <w:i/>
            <w:noProof/>
            <w:sz w:val="22"/>
            <w:szCs w:val="22"/>
          </w:rPr>
          <w:t>CHROMOFORA</w:t>
        </w:r>
      </w:hyperlink>
      <w:r w:rsidRPr="00012E94">
        <w:rPr>
          <w:noProof/>
          <w:sz w:val="22"/>
          <w:szCs w:val="22"/>
        </w:rPr>
        <w:t xml:space="preserve"> </w:t>
      </w:r>
      <w:r w:rsidRPr="00012E94">
        <w:rPr>
          <w:i/>
          <w:noProof/>
          <w:sz w:val="22"/>
          <w:szCs w:val="22"/>
        </w:rPr>
        <w:t xml:space="preserve">ja </w:t>
      </w:r>
      <w:hyperlink r:id="rId68" w:history="1">
        <w:r w:rsidRPr="00012E94">
          <w:rPr>
            <w:rStyle w:val="Hyperlink"/>
            <w:b/>
            <w:i/>
            <w:noProof/>
            <w:sz w:val="22"/>
            <w:szCs w:val="22"/>
          </w:rPr>
          <w:t>PROMISCES</w:t>
        </w:r>
      </w:hyperlink>
      <w:r w:rsidRPr="00012E94">
        <w:rPr>
          <w:i/>
          <w:noProof/>
          <w:sz w:val="22"/>
          <w:szCs w:val="22"/>
        </w:rPr>
        <w:t>). Looduspõhised lahendused võivad ka aidata vähendada toitainetega saastumist või kõrvaldada minevikus tekitatud metallireostuse jõesetetest ja pinnasest (</w:t>
      </w:r>
      <w:hyperlink r:id="rId69" w:tgtFrame="_blank" w:history="1">
        <w:r w:rsidRPr="00012E94">
          <w:rPr>
            <w:rStyle w:val="Hyperlink"/>
            <w:b/>
            <w:i/>
            <w:noProof/>
            <w:sz w:val="22"/>
            <w:szCs w:val="22"/>
          </w:rPr>
          <w:t>LIFE NARMENA</w:t>
        </w:r>
      </w:hyperlink>
      <w:r w:rsidRPr="00012E94">
        <w:rPr>
          <w:i/>
          <w:noProof/>
          <w:sz w:val="22"/>
          <w:szCs w:val="22"/>
        </w:rPr>
        <w:t xml:space="preserve">, </w:t>
      </w:r>
      <w:hyperlink r:id="rId70" w:tgtFrame="_blank" w:history="1">
        <w:r w:rsidRPr="00012E94">
          <w:rPr>
            <w:rStyle w:val="Hyperlink"/>
            <w:b/>
            <w:i/>
            <w:noProof/>
            <w:sz w:val="22"/>
            <w:szCs w:val="22"/>
          </w:rPr>
          <w:t>LIFE BELINI</w:t>
        </w:r>
      </w:hyperlink>
      <w:r w:rsidRPr="00012E94">
        <w:rPr>
          <w:b/>
          <w:i/>
          <w:noProof/>
          <w:sz w:val="22"/>
          <w:szCs w:val="22"/>
        </w:rPr>
        <w:t xml:space="preserve">, </w:t>
      </w:r>
      <w:hyperlink r:id="rId71" w:tgtFrame="_blank" w:history="1">
        <w:r w:rsidRPr="00012E94">
          <w:rPr>
            <w:rStyle w:val="Hyperlink"/>
            <w:b/>
            <w:i/>
            <w:noProof/>
            <w:sz w:val="22"/>
            <w:szCs w:val="22"/>
          </w:rPr>
          <w:t>LIFE POPWAT</w:t>
        </w:r>
      </w:hyperlink>
      <w:r w:rsidRPr="00012E94">
        <w:rPr>
          <w:i/>
          <w:noProof/>
          <w:sz w:val="22"/>
          <w:szCs w:val="22"/>
        </w:rPr>
        <w:t>). Looduspõhised mulla tervendamise lahendused on üha uuenduslikumad ja vähendavad saastet, kuid ka saastest puhastamise kulusid</w:t>
      </w:r>
      <w:r w:rsidRPr="00012E94">
        <w:rPr>
          <w:noProof/>
          <w:sz w:val="22"/>
          <w:szCs w:val="22"/>
        </w:rPr>
        <w:t xml:space="preserve"> </w:t>
      </w:r>
      <w:r w:rsidRPr="00012E94">
        <w:rPr>
          <w:i/>
          <w:noProof/>
          <w:sz w:val="22"/>
          <w:szCs w:val="22"/>
        </w:rPr>
        <w:t>(</w:t>
      </w:r>
      <w:hyperlink r:id="rId72" w:tgtFrame="_blank" w:history="1">
        <w:r w:rsidRPr="00012E94">
          <w:rPr>
            <w:rStyle w:val="Hyperlink"/>
            <w:b/>
            <w:i/>
            <w:noProof/>
            <w:sz w:val="22"/>
            <w:szCs w:val="22"/>
          </w:rPr>
          <w:t>POSIDON</w:t>
        </w:r>
      </w:hyperlink>
      <w:r w:rsidRPr="00012E94">
        <w:rPr>
          <w:i/>
          <w:noProof/>
          <w:sz w:val="22"/>
          <w:szCs w:val="22"/>
        </w:rPr>
        <w:t xml:space="preserve">, </w:t>
      </w:r>
      <w:hyperlink r:id="rId73" w:tgtFrame="_blank" w:history="1">
        <w:r w:rsidRPr="00012E94">
          <w:rPr>
            <w:rStyle w:val="Hyperlink"/>
            <w:b/>
            <w:i/>
            <w:noProof/>
            <w:sz w:val="22"/>
            <w:szCs w:val="22"/>
          </w:rPr>
          <w:t>ARAGON</w:t>
        </w:r>
      </w:hyperlink>
      <w:r w:rsidRPr="00012E94">
        <w:rPr>
          <w:i/>
          <w:noProof/>
          <w:sz w:val="22"/>
          <w:szCs w:val="22"/>
        </w:rPr>
        <w:t xml:space="preserve">, </w:t>
      </w:r>
      <w:hyperlink r:id="rId74" w:history="1">
        <w:r w:rsidRPr="00012E94">
          <w:rPr>
            <w:rStyle w:val="Hyperlink"/>
            <w:b/>
            <w:i/>
            <w:noProof/>
            <w:sz w:val="22"/>
            <w:szCs w:val="22"/>
          </w:rPr>
          <w:t>EDAPHOS</w:t>
        </w:r>
      </w:hyperlink>
      <w:r w:rsidRPr="00012E94">
        <w:rPr>
          <w:i/>
          <w:noProof/>
          <w:sz w:val="22"/>
          <w:szCs w:val="22"/>
        </w:rPr>
        <w:t>).</w:t>
      </w:r>
    </w:p>
    <w:p w14:paraId="6F3152DA" w14:textId="60D4F609" w:rsidR="00E06994" w:rsidRPr="00A33D16" w:rsidRDefault="00E06994" w:rsidP="00175F23">
      <w:pPr>
        <w:pStyle w:val="Text1"/>
        <w:spacing w:before="240"/>
        <w:rPr>
          <w:noProof/>
        </w:rPr>
      </w:pPr>
      <w:r w:rsidRPr="00A33D16">
        <w:rPr>
          <w:noProof/>
        </w:rPr>
        <w:t xml:space="preserve">Euroopa Keskkonnaamet ja Teadusuuringute Ühiskeskus jätkavad </w:t>
      </w:r>
      <w:r w:rsidRPr="00A33D16">
        <w:rPr>
          <w:b/>
          <w:noProof/>
        </w:rPr>
        <w:t>nullsaaste seire- ja väljavaa</w:t>
      </w:r>
      <w:r w:rsidRPr="00A33D16">
        <w:rPr>
          <w:b/>
          <w:bCs/>
          <w:noProof/>
        </w:rPr>
        <w:t>tearuande</w:t>
      </w:r>
      <w:r w:rsidRPr="00A33D16">
        <w:rPr>
          <w:rStyle w:val="FootnoteReference"/>
          <w:noProof/>
        </w:rPr>
        <w:footnoteReference w:id="70"/>
      </w:r>
      <w:r w:rsidRPr="00A33D16">
        <w:rPr>
          <w:noProof/>
        </w:rPr>
        <w:t xml:space="preserve"> ajakohastamist iga kahe aasta tagant. Tulevastes väljaannetes on aina rohkem abi hiljuti kokku lepitud õigusraamistikust, milles lähtutakse põhimõttest „üks aine – üks hindamine“. See aitab parandada andmete kogumist, integreeritud analüüsi ja varajast hoiatamist keemilise saaste eest ning võtta kasutusele kogu ELi hõlmava alalise inimeste bioseire, mis tagaks väärtusliku andmekogumi. Seire ja väljavaadete hindamisel keskendutakse jätkuvalt 2030. aasta eesmärkide saavutamiseks tehtud edusammude jälgimisele, kuid tulevastes väljaannetes prognoositakse edusamme kuni 2040. ja 2050. aastani ning vaadatakse teaduslikust seisukohast läbi olemasolevad eesmärgid, et teha kindlaks, kas 2040. aastaks on vaja rangemaid või täiendavaid eesmärke. Ühtlasi viiakse nullsaaste seire- ja väljavaatearuanne paremini kooskõlla käimasoleva või kavandatava riikliku seirega. Andmete ja hindamiste (näiteks Copernicuse programmi teabe alusel) integreerimine võib samuti aidata kaasa </w:t>
      </w:r>
      <w:r w:rsidRPr="00A33D16">
        <w:rPr>
          <w:b/>
          <w:noProof/>
        </w:rPr>
        <w:t>lihtsustamisele</w:t>
      </w:r>
      <w:r w:rsidRPr="00A33D16">
        <w:rPr>
          <w:noProof/>
        </w:rPr>
        <w:t>, nii et selmet üksnes nõuda aruandlust liikmesriikidelt, kasutatakse avalikult kättesaadavate andmete kogumiseks digivahendeid ja tehisintellekti.</w:t>
      </w:r>
    </w:p>
    <w:p w14:paraId="52445E82" w14:textId="4132780C" w:rsidR="00E06994" w:rsidRPr="00A33D16" w:rsidRDefault="00E06994" w:rsidP="00E06994">
      <w:pPr>
        <w:pStyle w:val="Text1"/>
        <w:rPr>
          <w:noProof/>
        </w:rPr>
      </w:pPr>
      <w:r w:rsidRPr="00A33D16">
        <w:rPr>
          <w:noProof/>
        </w:rPr>
        <w:t xml:space="preserve">Nullsaaste poliitilise tegevuskava kaudu otsib komisjon võimalusi </w:t>
      </w:r>
      <w:r w:rsidRPr="00A33D16">
        <w:rPr>
          <w:b/>
          <w:noProof/>
        </w:rPr>
        <w:t>haldus- ja regulatiivse koormuse vähendamiseks</w:t>
      </w:r>
      <w:r w:rsidRPr="00A33D16">
        <w:rPr>
          <w:noProof/>
        </w:rPr>
        <w:t>.</w:t>
      </w:r>
      <w:r w:rsidRPr="00A33D16">
        <w:rPr>
          <w:b/>
          <w:noProof/>
        </w:rPr>
        <w:t xml:space="preserve"> </w:t>
      </w:r>
      <w:r w:rsidRPr="00A33D16">
        <w:rPr>
          <w:noProof/>
        </w:rPr>
        <w:t>See ei suuna mitte ainult õigusaktide läbivaatamist, nagu REACHi määruse või merestrateegia raamdirektiivi läbivaatamine, vaid ka tööd delegeeritud õigusaktide ja rakendusaktidega. Mõned nullsaaste valdkonna tööga seotud lihtsustamismeetmed on kindlaks määratud ka kemikaale ja keskkonda käsitlevates koondettepanekutes</w:t>
      </w:r>
      <w:r w:rsidRPr="00A33D16">
        <w:rPr>
          <w:rStyle w:val="FootnoteReference"/>
          <w:noProof/>
        </w:rPr>
        <w:footnoteReference w:id="71"/>
      </w:r>
      <w:r w:rsidRPr="00A33D16">
        <w:rPr>
          <w:noProof/>
        </w:rPr>
        <w:t>. Komisjon jätkab ELi õiguse stressiteste ka nullsaaste valdkonnas, näiteks mõne eelseisva hindamise ja dialoogi kaudu.</w:t>
      </w:r>
    </w:p>
    <w:p w14:paraId="42C7B77B" w14:textId="77777777" w:rsidR="00753475" w:rsidRPr="00A33D16" w:rsidRDefault="00753475">
      <w:pPr>
        <w:rPr>
          <w:b/>
          <w:bCs/>
          <w:noProof/>
          <w:kern w:val="0"/>
          <w:szCs w:val="20"/>
          <w14:ligatures w14:val="none"/>
        </w:rPr>
      </w:pPr>
      <w:bookmarkStart w:id="33" w:name="_Toc66088929"/>
      <w:bookmarkStart w:id="34" w:name="_Toc66214562"/>
      <w:bookmarkStart w:id="35" w:name="_Toc66216748"/>
      <w:bookmarkStart w:id="36" w:name="_Toc66088930"/>
      <w:bookmarkStart w:id="37" w:name="_Toc66214563"/>
      <w:bookmarkStart w:id="38" w:name="_Toc66216749"/>
      <w:r w:rsidRPr="00A33D16">
        <w:rPr>
          <w:noProof/>
        </w:rPr>
        <w:br w:type="page"/>
      </w:r>
    </w:p>
    <w:p w14:paraId="23EA7346" w14:textId="69A0396B"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Komisjon teeb järgmist: </w:t>
      </w:r>
    </w:p>
    <w:p w14:paraId="74551A4B" w14:textId="77777777"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noProof/>
        </w:rPr>
        <w:tab/>
      </w:r>
      <w:r w:rsidRPr="00A33D16">
        <w:rPr>
          <w:b/>
          <w:noProof/>
        </w:rPr>
        <w:t>jätkab linnade ja piirkondade toetamist nende nullsaaste meetmete rakendamisel;</w:t>
      </w:r>
    </w:p>
    <w:p w14:paraId="7FDEB597" w14:textId="4834361B"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noProof/>
        </w:rPr>
        <w:tab/>
      </w:r>
      <w:r w:rsidRPr="00A33D16">
        <w:rPr>
          <w:b/>
          <w:noProof/>
        </w:rPr>
        <w:t>vaatab läbi REACHi määruse, et seda lihtsustada ja ajakohastada, tagades seejuures keskkonna ja inimeste tervise kaitse;</w:t>
      </w:r>
    </w:p>
    <w:p w14:paraId="1DE955EC" w14:textId="1237E116"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noProof/>
        </w:rPr>
        <w:tab/>
      </w:r>
      <w:r w:rsidRPr="00A33D16">
        <w:rPr>
          <w:b/>
          <w:noProof/>
        </w:rPr>
        <w:t xml:space="preserve">korraldab nitraadidirektiivi ja ühekordsete plasttoodete direktiivi hindamise; </w:t>
      </w:r>
    </w:p>
    <w:p w14:paraId="1B920026" w14:textId="17094E37"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noProof/>
        </w:rPr>
        <w:tab/>
      </w:r>
      <w:r w:rsidRPr="00A33D16">
        <w:rPr>
          <w:b/>
          <w:noProof/>
        </w:rPr>
        <w:t>esitab tervikliku loomakasvatusstrateegia ja avaldab tööstusheidete direktiivi artikli 73 kohase aruande tööstusheidete kohta [2026. aastaks];</w:t>
      </w:r>
    </w:p>
    <w:p w14:paraId="4B1C7B3C" w14:textId="77777777"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noProof/>
        </w:rPr>
        <w:tab/>
      </w:r>
      <w:r w:rsidRPr="00A33D16">
        <w:rPr>
          <w:b/>
          <w:noProof/>
        </w:rPr>
        <w:t>hindab keskkonnamüra direktiivis müra vähendamise ELi eesmärkide ja müra piirnormide kehtestamise teostatavust [2029. aastaks];</w:t>
      </w:r>
    </w:p>
    <w:p w14:paraId="159EB3E4" w14:textId="04C2B8F3" w:rsidR="00653617"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noProof/>
        </w:rPr>
        <w:tab/>
      </w:r>
      <w:r w:rsidRPr="00A33D16">
        <w:rPr>
          <w:b/>
          <w:noProof/>
        </w:rPr>
        <w:t>rakendab veekerksuse strateegias ja maailmamerepaktis esitatud saastealaseid meetmeid;</w:t>
      </w:r>
    </w:p>
    <w:p w14:paraId="1EB086F0" w14:textId="7B4F8B03" w:rsidR="00E06994" w:rsidRPr="00A33D16" w:rsidRDefault="00653617"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rakendab keemiatööstuse tegevuskavas esitatud PFASidega seotud meetmeid;</w:t>
      </w:r>
    </w:p>
    <w:p w14:paraId="75356C5E" w14:textId="71389382"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b/>
          <w:noProof/>
        </w:rPr>
        <w:t>aitab nullsaaste meetmete kaudu rakendada ELi südame-veresoonkonna tervise kava ja vähktõvevastase võitluse kava;</w:t>
      </w:r>
    </w:p>
    <w:p w14:paraId="1D8B416B" w14:textId="0231EBDE"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noProof/>
          <w:szCs w:val="24"/>
        </w:rPr>
      </w:pPr>
      <w:r w:rsidRPr="00A33D16">
        <w:rPr>
          <w:b/>
          <w:noProof/>
        </w:rPr>
        <w:t xml:space="preserve">– </w:t>
      </w:r>
      <w:r w:rsidRPr="00A33D16">
        <w:rPr>
          <w:noProof/>
        </w:rPr>
        <w:tab/>
      </w:r>
      <w:r w:rsidRPr="00A33D16">
        <w:rPr>
          <w:b/>
          <w:noProof/>
        </w:rPr>
        <w:t xml:space="preserve">avaldab komisjoni talituste töödokumendi ELi vesiviljeluse keskkonnatoime kohta [2026. aastaks] ja vesiviljeluse keskkonnakasu edendamise kohta [2027. aastaks] ning pakub sellega seotud koolitust liikmesriikidele ja vesiviljelustööstusele. </w:t>
      </w:r>
    </w:p>
    <w:p w14:paraId="025975AC" w14:textId="77777777" w:rsidR="00E06994" w:rsidRPr="00A33D16" w:rsidRDefault="00E06994" w:rsidP="00E06994">
      <w:pPr>
        <w:pStyle w:val="Heading1"/>
        <w:numPr>
          <w:ilvl w:val="0"/>
          <w:numId w:val="22"/>
        </w:numPr>
        <w:rPr>
          <w:rFonts w:ascii="Times New Roman Bold" w:hAnsi="Times New Roman Bold" w:cs="Times New Roman" w:hint="eastAsia"/>
          <w:b/>
          <w:bCs/>
          <w:smallCaps/>
          <w:noProof/>
          <w:color w:val="auto"/>
          <w:sz w:val="24"/>
          <w:szCs w:val="24"/>
        </w:rPr>
      </w:pPr>
      <w:r w:rsidRPr="00A33D16">
        <w:rPr>
          <w:rFonts w:ascii="Times New Roman Bold" w:hAnsi="Times New Roman Bold"/>
          <w:b/>
          <w:smallCaps/>
          <w:noProof/>
          <w:color w:val="auto"/>
          <w:sz w:val="24"/>
        </w:rPr>
        <w:t>Nullsaastele ülemineku toetamine</w:t>
      </w:r>
    </w:p>
    <w:p w14:paraId="3D040C1F" w14:textId="10AD9739" w:rsidR="00E06994" w:rsidRPr="00A33D16" w:rsidRDefault="00E06994" w:rsidP="00E06994">
      <w:pPr>
        <w:pStyle w:val="Text1"/>
        <w:rPr>
          <w:noProof/>
        </w:rPr>
      </w:pPr>
      <w:r w:rsidRPr="00A33D16">
        <w:rPr>
          <w:noProof/>
        </w:rPr>
        <w:t>Komisjon jätkab liikmesriikide abistamist nende rakendamisalastes jõupingutustes, keskendudes peamistele soodustavatele teguritele: integratsioon, investeeringud ja innovatsioon. Komisjon jätkab ka saaste vältimise ja vähendamise alase rahvusvahelise koostöö edendamist, osaledes nii mitme- kui ka kahepoolses rahvusvahelises koostöös.</w:t>
      </w:r>
    </w:p>
    <w:p w14:paraId="5F51C36D" w14:textId="77777777" w:rsidR="00E06994" w:rsidRPr="00A33D16" w:rsidRDefault="00E06994" w:rsidP="00371BF5">
      <w:pPr>
        <w:pStyle w:val="Heading2"/>
        <w:keepLines w:val="0"/>
        <w:numPr>
          <w:ilvl w:val="1"/>
          <w:numId w:val="22"/>
        </w:numPr>
        <w:spacing w:before="240" w:after="240"/>
        <w:jc w:val="both"/>
        <w:rPr>
          <w:rFonts w:ascii="Times New Roman" w:eastAsia="Times New Roman" w:hAnsi="Times New Roman" w:cs="Times New Roman"/>
          <w:b/>
          <w:noProof/>
          <w:color w:val="auto"/>
          <w:kern w:val="0"/>
          <w:sz w:val="24"/>
          <w:szCs w:val="20"/>
          <w14:ligatures w14:val="none"/>
        </w:rPr>
      </w:pPr>
      <w:r w:rsidRPr="00A33D16">
        <w:rPr>
          <w:rFonts w:ascii="Times New Roman" w:hAnsi="Times New Roman"/>
          <w:b/>
          <w:noProof/>
          <w:color w:val="auto"/>
          <w:sz w:val="24"/>
        </w:rPr>
        <w:t>Rakendamine, investeeringud ja integratsioon muutuste hoogustamiseks</w:t>
      </w:r>
    </w:p>
    <w:p w14:paraId="5EC305FC" w14:textId="7CE76D28" w:rsidR="00E06994" w:rsidRPr="00A33D16" w:rsidRDefault="00E06994" w:rsidP="00E06994">
      <w:pPr>
        <w:pStyle w:val="Text1"/>
        <w:rPr>
          <w:noProof/>
        </w:rPr>
      </w:pPr>
      <w:r w:rsidRPr="00A33D16">
        <w:rPr>
          <w:b/>
          <w:noProof/>
        </w:rPr>
        <w:t>Prioriteet peab olema rakendamine.</w:t>
      </w:r>
      <w:r w:rsidRPr="00A33D16">
        <w:rPr>
          <w:noProof/>
        </w:rPr>
        <w:t xml:space="preserve"> Viimases keskkonnapoliitika rakendamise läbivaatamise aruandes,</w:t>
      </w:r>
      <w:r w:rsidRPr="00A33D16">
        <w:rPr>
          <w:noProof/>
          <w:vertAlign w:val="superscript"/>
        </w:rPr>
        <w:footnoteReference w:id="72"/>
      </w:r>
      <w:r w:rsidRPr="00A33D16">
        <w:rPr>
          <w:noProof/>
        </w:rPr>
        <w:t xml:space="preserve"> mis on perioodiline aruanne ELi keskkonnaõiguse ja -poliitika rakendamise seisu kohta, on kindlaks määratud poliitikavaldkonnad, kus on ELi keskkonnaalaste õigusaktide rakendamisel olulisi probleeme, nimelt ringmajandus ja jäätmed; nullsaaste, sealhulgas kemikaalid; loodus ja elurikkus ning kliimameetmed. Selles on kindlaks määratud liikmesriikide head tavad ja probleemid. Aruandes soovitatakse parandusi ja lahendusi ning prioriteetseid meetmeid</w:t>
      </w:r>
      <w:r w:rsidRPr="00A33D16">
        <w:rPr>
          <w:rStyle w:val="FootnoteReference"/>
          <w:noProof/>
        </w:rPr>
        <w:footnoteReference w:id="73"/>
      </w:r>
      <w:r w:rsidRPr="00A33D16">
        <w:rPr>
          <w:noProof/>
        </w:rPr>
        <w:t>. 2025. aasta keskkonnapoliitika rakendamise läbivaatamise aruandes nimetati viis peamist tegurit, mis eristavad head ja puudulikku rakendamist. Need on: 1) </w:t>
      </w:r>
      <w:r w:rsidRPr="00A33D16">
        <w:rPr>
          <w:b/>
          <w:noProof/>
        </w:rPr>
        <w:t>keskkonnaeesmärkide integreerimine</w:t>
      </w:r>
      <w:r w:rsidRPr="00A33D16">
        <w:rPr>
          <w:noProof/>
        </w:rPr>
        <w:t xml:space="preserve"> avalikku poliitikasse poliitiliste dialoogide abil ja rakenduskulude jagamine sidusrühmade vahel; 2) </w:t>
      </w:r>
      <w:r w:rsidRPr="00A33D16">
        <w:rPr>
          <w:b/>
          <w:noProof/>
        </w:rPr>
        <w:t>rahastamine</w:t>
      </w:r>
      <w:r w:rsidRPr="00A33D16">
        <w:rPr>
          <w:noProof/>
        </w:rPr>
        <w:t>; 3) </w:t>
      </w:r>
      <w:r w:rsidRPr="00A33D16">
        <w:rPr>
          <w:b/>
          <w:noProof/>
        </w:rPr>
        <w:t>haldussuutlikkus</w:t>
      </w:r>
      <w:r w:rsidRPr="00A33D16">
        <w:rPr>
          <w:noProof/>
        </w:rPr>
        <w:t>, eelkõige nõuetekohase kavandamise ja koordineerimise tagamiseks; 4) </w:t>
      </w:r>
      <w:r w:rsidRPr="00A33D16">
        <w:rPr>
          <w:b/>
          <w:noProof/>
        </w:rPr>
        <w:t>digiandmed</w:t>
      </w:r>
      <w:r w:rsidRPr="00A33D16">
        <w:rPr>
          <w:noProof/>
        </w:rPr>
        <w:t xml:space="preserve"> ning 5) </w:t>
      </w:r>
      <w:r w:rsidRPr="00A33D16">
        <w:rPr>
          <w:b/>
          <w:noProof/>
        </w:rPr>
        <w:t>üldsuse roll</w:t>
      </w:r>
      <w:r w:rsidRPr="00A33D16">
        <w:rPr>
          <w:noProof/>
        </w:rPr>
        <w:t xml:space="preserve"> keskkonnaalaste otsuste tegemisel koos </w:t>
      </w:r>
      <w:r w:rsidRPr="00A33D16">
        <w:rPr>
          <w:b/>
          <w:noProof/>
        </w:rPr>
        <w:t>õiguskaitse ja õiguskaitsevahendite parema kättesaadavusega</w:t>
      </w:r>
      <w:r w:rsidRPr="00A33D16">
        <w:rPr>
          <w:noProof/>
        </w:rPr>
        <w:t xml:space="preserve">. </w:t>
      </w:r>
    </w:p>
    <w:p w14:paraId="7AC98922" w14:textId="3014DF63" w:rsidR="00E06994" w:rsidRPr="00A33D16" w:rsidRDefault="00E06994" w:rsidP="00E06994">
      <w:pPr>
        <w:pStyle w:val="Text1"/>
        <w:rPr>
          <w:noProof/>
        </w:rPr>
      </w:pPr>
      <w:r w:rsidRPr="00A33D16">
        <w:rPr>
          <w:b/>
          <w:noProof/>
        </w:rPr>
        <w:t>Kõigil sidusrühmadel – alates komisjonist kuni liikmesriikide, sealhulgas piirkondlike ja kohalike omavalitsuste, erasektori, kodanikuühiskonna ja kodumajapidamisteni – on oma roll keskkonnapoliitika rakendamisel</w:t>
      </w:r>
      <w:r w:rsidRPr="00A33D16">
        <w:rPr>
          <w:noProof/>
        </w:rPr>
        <w:t xml:space="preserve">. Parema rakendamise ja täitmise tagamise toetamiseks korraldab komisjon </w:t>
      </w:r>
      <w:r w:rsidRPr="00A33D16">
        <w:rPr>
          <w:b/>
          <w:bCs/>
          <w:noProof/>
        </w:rPr>
        <w:t>rakendamisdialooge</w:t>
      </w:r>
      <w:r w:rsidRPr="00A33D16">
        <w:rPr>
          <w:noProof/>
        </w:rPr>
        <w:t>,</w:t>
      </w:r>
      <w:r w:rsidRPr="00A33D16">
        <w:rPr>
          <w:rStyle w:val="FootnoteReference"/>
          <w:noProof/>
        </w:rPr>
        <w:footnoteReference w:id="74"/>
      </w:r>
      <w:r w:rsidRPr="00A33D16">
        <w:rPr>
          <w:b/>
          <w:noProof/>
        </w:rPr>
        <w:t xml:space="preserve"> </w:t>
      </w:r>
      <w:r w:rsidRPr="00A33D16">
        <w:rPr>
          <w:noProof/>
        </w:rPr>
        <w:t>mis põhinevad keskkonnapoliitika rakendamise läbivaatamise aruandes ja poliitikapõhistes hindamistes</w:t>
      </w:r>
      <w:r w:rsidRPr="00A33D16">
        <w:rPr>
          <w:rStyle w:val="FootnoteReference"/>
          <w:noProof/>
        </w:rPr>
        <w:footnoteReference w:id="75"/>
      </w:r>
      <w:r w:rsidRPr="00A33D16">
        <w:rPr>
          <w:noProof/>
        </w:rPr>
        <w:t xml:space="preserve"> esitatud riigipõhistel hindamistel ja prioriteetsete meetmete soovitustel. Tähtis osa on ka </w:t>
      </w:r>
      <w:r w:rsidRPr="00A33D16">
        <w:rPr>
          <w:b/>
          <w:noProof/>
        </w:rPr>
        <w:t>nullsaaste sidusrühmade platvormil</w:t>
      </w:r>
      <w:r w:rsidRPr="00A33D16">
        <w:rPr>
          <w:noProof/>
        </w:rPr>
        <w:t>, kuna selle kaaseesistuja on Euroopa Regioonide Komitee, kes arutab eelkõige kohaliku ja piirkondliku tasandi rakendamisprobleeme</w:t>
      </w:r>
      <w:r w:rsidRPr="00A33D16">
        <w:rPr>
          <w:rStyle w:val="FootnoteReference"/>
          <w:noProof/>
        </w:rPr>
        <w:footnoteReference w:id="76"/>
      </w:r>
      <w:r w:rsidRPr="00A33D16">
        <w:rPr>
          <w:noProof/>
        </w:rPr>
        <w:t xml:space="preserve">. Lisaks jätkuvad dialoogid sidusrühmadega, sealhulgas ettevõtjate ja kodanikuühiskonnaga, ning nendes </w:t>
      </w:r>
      <w:r w:rsidRPr="00A33D16">
        <w:rPr>
          <w:b/>
          <w:noProof/>
        </w:rPr>
        <w:t>kontrollitakse</w:t>
      </w:r>
      <w:r w:rsidRPr="00A33D16">
        <w:rPr>
          <w:noProof/>
        </w:rPr>
        <w:t xml:space="preserve">, kas ELi õigusakte on </w:t>
      </w:r>
      <w:r w:rsidRPr="00A33D16">
        <w:rPr>
          <w:b/>
          <w:noProof/>
        </w:rPr>
        <w:t xml:space="preserve">tegelikult </w:t>
      </w:r>
      <w:r w:rsidRPr="00A33D16">
        <w:rPr>
          <w:noProof/>
        </w:rPr>
        <w:t>võimalik tulemuslikult kohaldada. Komisjon jätkab ka liikmesriikide toetamist, pakkudes tehnilist suutlikkust ja rahastamist</w:t>
      </w:r>
      <w:r w:rsidRPr="00A33D16">
        <w:rPr>
          <w:rStyle w:val="FootnoteReference"/>
          <w:noProof/>
        </w:rPr>
        <w:footnoteReference w:id="77"/>
      </w:r>
      <w:r w:rsidRPr="00A33D16">
        <w:rPr>
          <w:noProof/>
        </w:rPr>
        <w:t xml:space="preserve"> ning lihtsustades õigusraamistikke, mida vajaduse korral täiendavad täitemeetmed. </w:t>
      </w:r>
      <w:r w:rsidRPr="00A33D16">
        <w:rPr>
          <w:b/>
          <w:noProof/>
        </w:rPr>
        <w:t>Programm LIFE</w:t>
      </w:r>
      <w:r w:rsidRPr="00A33D16">
        <w:rPr>
          <w:noProof/>
        </w:rPr>
        <w:t xml:space="preserve"> kui ELi keskkonna, kliimameetmete ja puhtale energiale ülemineku rahastamisvahend on </w:t>
      </w:r>
      <w:r w:rsidRPr="00A33D16">
        <w:rPr>
          <w:b/>
          <w:noProof/>
        </w:rPr>
        <w:t>aidanud kõrvaldada rakendamise puudujääke</w:t>
      </w:r>
      <w:r w:rsidRPr="00A33D16">
        <w:rPr>
          <w:noProof/>
        </w:rPr>
        <w:t>, pakkudes sihipärast kaasrahastamist ja tehnilist abi erimeetmete toetamiseks (nt reovee, tööstus- ja põllumajandusheite ning kemikaalide käitlemise valdkonnas), tugevdades haldussuutlikkust ja digivahendeid ning hoogustades mitmetasandilist valitsemist.</w:t>
      </w:r>
    </w:p>
    <w:p w14:paraId="209ECF78" w14:textId="7A1D5DB9" w:rsidR="00E06994" w:rsidRPr="00A33D16" w:rsidRDefault="00E06994" w:rsidP="00E06994">
      <w:pPr>
        <w:pStyle w:val="Text1"/>
        <w:rPr>
          <w:noProof/>
        </w:rPr>
      </w:pPr>
      <w:r w:rsidRPr="00A33D16">
        <w:rPr>
          <w:b/>
          <w:noProof/>
        </w:rPr>
        <w:t>Peamine rakendamist võimaldav tegur on rahastamine.</w:t>
      </w:r>
      <w:r w:rsidRPr="00A33D16">
        <w:rPr>
          <w:noProof/>
        </w:rPr>
        <w:t xml:space="preserve"> Keskkonnapoliitika rakendamise läbivaatamise 2025. aasta aruandes on esitatud </w:t>
      </w:r>
      <w:bookmarkStart w:id="39" w:name="_Hlk219997974"/>
      <w:r w:rsidRPr="00A33D16">
        <w:rPr>
          <w:noProof/>
        </w:rPr>
        <w:t>üksikasjalik analüüs ELi keskkonnaõiguse rakendamiseks vajalike investeeringute ja tekkinud rakendamispuuduste kohta, mille kulu ELis on 122 miljardit eurot aastas ehk 0,8 % ELi SKPst</w:t>
      </w:r>
      <w:r w:rsidRPr="00A33D16">
        <w:rPr>
          <w:rStyle w:val="FootnoteReference"/>
          <w:noProof/>
        </w:rPr>
        <w:footnoteReference w:id="78"/>
      </w:r>
      <w:bookmarkEnd w:id="39"/>
      <w:r w:rsidRPr="00A33D16">
        <w:rPr>
          <w:noProof/>
        </w:rPr>
        <w:t>. Hiljutine uuring</w:t>
      </w:r>
      <w:r w:rsidRPr="00A33D16">
        <w:rPr>
          <w:rStyle w:val="FootnoteReference"/>
          <w:noProof/>
        </w:rPr>
        <w:footnoteReference w:id="79"/>
      </w:r>
      <w:r w:rsidRPr="00A33D16">
        <w:rPr>
          <w:noProof/>
        </w:rPr>
        <w:t xml:space="preserve"> näitab, et tegevusetusest tulenevad kulud kaaluvad kaugelt üles investeerimiskulud, kusjuures hinnanguline rakendamise puudujääk on 180 miljardit eurot aastas, mis on palju suurem kui rakendamise puudujäägi kõrvaldamise kulud. Saaste vältimise ja kontrolli ning veekaitsega (mis on peamiselt seotud vee- ja reoveetaristuga) seotud investeerimispuudujääk on hinnanguliselt 58 miljardit eurot aastas (ehk 48 % kogupuudujäägist). </w:t>
      </w:r>
      <w:r w:rsidRPr="00A33D16">
        <w:rPr>
          <w:b/>
          <w:noProof/>
        </w:rPr>
        <w:t>ELi rahastamisel</w:t>
      </w:r>
      <w:r w:rsidRPr="00A33D16">
        <w:rPr>
          <w:noProof/>
        </w:rPr>
        <w:t xml:space="preserve"> on tähtis roll rakendamise puudujääkide kõrvaldamisel. Näiteks tegi komisjon hiljutises </w:t>
      </w:r>
      <w:r w:rsidRPr="00A33D16">
        <w:rPr>
          <w:b/>
          <w:bCs/>
          <w:noProof/>
        </w:rPr>
        <w:t>ühtekuuluvuspoliitika vahehindamises</w:t>
      </w:r>
      <w:r w:rsidRPr="00A33D16">
        <w:rPr>
          <w:rStyle w:val="FootnoteReference"/>
          <w:noProof/>
        </w:rPr>
        <w:footnoteReference w:id="80"/>
      </w:r>
      <w:r w:rsidRPr="00A33D16">
        <w:rPr>
          <w:noProof/>
        </w:rPr>
        <w:t xml:space="preserve"> ettepaneku lisameetmete kohta, et julgustada liikmesriike ja piirkondi investeerima veekerksusesse. Kokkulepitud määrus</w:t>
      </w:r>
      <w:r w:rsidRPr="00A33D16">
        <w:rPr>
          <w:rStyle w:val="FootnoteReference"/>
          <w:noProof/>
        </w:rPr>
        <w:footnoteReference w:id="81"/>
      </w:r>
      <w:r w:rsidRPr="00A33D16">
        <w:rPr>
          <w:noProof/>
        </w:rPr>
        <w:t xml:space="preserve"> hõlmab täiendavat 10 % ELi rahastust ja kuni 20 % suurust eelmakset veekerksuse investeeringuteks, sealhulgas veesaastet vähendada aitavateks investeeringuteks. </w:t>
      </w:r>
    </w:p>
    <w:p w14:paraId="02F56A6B" w14:textId="77777777" w:rsidR="00753475" w:rsidRPr="00A33D16" w:rsidRDefault="00753475">
      <w:pPr>
        <w:rPr>
          <w:b/>
          <w:bCs/>
          <w:i/>
          <w:iCs/>
          <w:noProof/>
          <w:kern w:val="0"/>
          <w:sz w:val="22"/>
          <w:szCs w:val="22"/>
          <w14:ligatures w14:val="none"/>
        </w:rPr>
      </w:pPr>
      <w:r w:rsidRPr="00A33D16">
        <w:rPr>
          <w:noProof/>
        </w:rPr>
        <w:br w:type="page"/>
      </w:r>
    </w:p>
    <w:p w14:paraId="0071758A" w14:textId="02D6BBF5" w:rsidR="0082245B" w:rsidRPr="00A33D16" w:rsidRDefault="0082245B" w:rsidP="0082245B">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sidRPr="00A33D16">
        <w:rPr>
          <w:b/>
          <w:i/>
          <w:noProof/>
          <w:sz w:val="22"/>
        </w:rPr>
        <w:t>Puhtam keskkond – nullsaaste rahastamine</w:t>
      </w:r>
      <w:r w:rsidRPr="00A33D16">
        <w:rPr>
          <w:i/>
          <w:noProof/>
          <w:sz w:val="22"/>
        </w:rPr>
        <w:t xml:space="preserve"> </w:t>
      </w:r>
    </w:p>
    <w:p w14:paraId="2021152D" w14:textId="01EB7B94" w:rsidR="005E7FAF" w:rsidRPr="00A33D16" w:rsidRDefault="00C51D5B" w:rsidP="0082245B">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noProof/>
        </w:rPr>
      </w:pPr>
      <w:r w:rsidRPr="00A33D16">
        <w:rPr>
          <w:i/>
          <w:noProof/>
          <w:sz w:val="22"/>
        </w:rPr>
        <w:t>ELi investeeringud on otse või kaudselt aidanud kaasa puhta õhu eesmärgi saavutamisega seotud meetmetele</w:t>
      </w:r>
      <w:r w:rsidRPr="00A33D16">
        <w:rPr>
          <w:rStyle w:val="FootnoteReference"/>
          <w:i/>
          <w:iCs/>
          <w:noProof/>
          <w:sz w:val="22"/>
          <w:szCs w:val="22"/>
        </w:rPr>
        <w:footnoteReference w:id="82"/>
      </w:r>
      <w:r w:rsidRPr="00A33D16">
        <w:rPr>
          <w:i/>
          <w:noProof/>
          <w:sz w:val="22"/>
        </w:rPr>
        <w:t>. ELi rahastamine on tehtud liikmesriikidele kättesaadavaks ja liikmesriigid on seda edukalt kasutanud, toetades otseselt puhta õhu projekte või lisades puhta õhu eesmärgid muude investeeringute alla (nt taristuinvesteeringud). Alates 2007. aastast on EL investeerinud suuremahulisse veetaristusse 84 eurot inimese kohta. Kesk- ja Ida-Euroopa piirkondades on investeeringud olnud palju suuremad, ulatudes 100 eurost kuni üle 300 euroni inimese kohta. See on kaasa toonud saaste märkimisväärse vähendamise ja seeläbi veekvaliteedi paranemise.</w:t>
      </w:r>
      <w:r w:rsidRPr="00A33D16">
        <w:rPr>
          <w:i/>
          <w:noProof/>
          <w:sz w:val="20"/>
          <w:szCs w:val="18"/>
        </w:rPr>
        <w:t xml:space="preserve"> </w:t>
      </w:r>
      <w:r w:rsidRPr="00A33D16">
        <w:rPr>
          <w:i/>
          <w:noProof/>
          <w:sz w:val="22"/>
          <w:szCs w:val="18"/>
        </w:rPr>
        <w:t>Ülevaade nendest edusammudest on esitatud</w:t>
      </w:r>
      <w:r w:rsidRPr="00A33D16">
        <w:rPr>
          <w:noProof/>
          <w:sz w:val="22"/>
          <w:szCs w:val="18"/>
        </w:rPr>
        <w:t xml:space="preserve"> </w:t>
      </w:r>
      <w:hyperlink r:id="rId75" w:tgtFrame="_blank" w:history="1">
        <w:r w:rsidRPr="00A33D16">
          <w:rPr>
            <w:rStyle w:val="Hyperlink"/>
            <w:i/>
            <w:noProof/>
            <w:sz w:val="22"/>
          </w:rPr>
          <w:t>tulemustabelis</w:t>
        </w:r>
      </w:hyperlink>
      <w:r w:rsidRPr="00A33D16">
        <w:rPr>
          <w:noProof/>
        </w:rPr>
        <w:t xml:space="preserve"> </w:t>
      </w:r>
      <w:r w:rsidRPr="00A33D16">
        <w:rPr>
          <w:i/>
          <w:noProof/>
          <w:sz w:val="22"/>
          <w:szCs w:val="18"/>
        </w:rPr>
        <w:t>„Nullsaaste edendamine piirkondades“</w:t>
      </w:r>
      <w:r w:rsidRPr="00A33D16">
        <w:rPr>
          <w:noProof/>
          <w:sz w:val="22"/>
          <w:szCs w:val="18"/>
        </w:rPr>
        <w:t>.</w:t>
      </w:r>
    </w:p>
    <w:p w14:paraId="1B197876" w14:textId="7406BF7B" w:rsidR="00E06994" w:rsidRPr="00A33D16" w:rsidRDefault="00E06994" w:rsidP="00175F23">
      <w:pPr>
        <w:pStyle w:val="Text1"/>
        <w:spacing w:before="240" w:line="259" w:lineRule="auto"/>
        <w:rPr>
          <w:noProof/>
        </w:rPr>
      </w:pPr>
      <w:r w:rsidRPr="00A33D16">
        <w:rPr>
          <w:b/>
          <w:noProof/>
        </w:rPr>
        <w:t>ELi rahastus puhtama keskkonna saavutamiseks on kättesaadav ka tulevikus.</w:t>
      </w:r>
      <w:r w:rsidRPr="00A33D16">
        <w:rPr>
          <w:noProof/>
        </w:rPr>
        <w:t xml:space="preserve"> </w:t>
      </w:r>
      <w:r w:rsidRPr="00A33D16">
        <w:rPr>
          <w:b/>
          <w:noProof/>
        </w:rPr>
        <w:t>Uue mitmeaastase finantsraamistiku</w:t>
      </w:r>
      <w:r w:rsidRPr="00A33D16">
        <w:rPr>
          <w:rStyle w:val="FootnoteReference"/>
          <w:noProof/>
        </w:rPr>
        <w:footnoteReference w:id="83"/>
      </w:r>
      <w:r w:rsidRPr="00A33D16">
        <w:rPr>
          <w:b/>
          <w:noProof/>
        </w:rPr>
        <w:t xml:space="preserve"> </w:t>
      </w:r>
      <w:r w:rsidRPr="00A33D16">
        <w:rPr>
          <w:noProof/>
        </w:rPr>
        <w:t xml:space="preserve">ettepanekutes on nullsaastega seotud investeeringud osa 35 % kliima- ja keskkonnakulutuste eesmärgist. See võimaldab jätkuvat ja veelgi tugevamat koostoimet kliimaneutraalsusele ja/või elurikkuse kaitsele ning nullsaastele tehtavate kulutuste vahel. Kavandatav </w:t>
      </w:r>
      <w:r w:rsidRPr="00A33D16">
        <w:rPr>
          <w:b/>
          <w:noProof/>
        </w:rPr>
        <w:t>Euroopa Konkurentsivõime Fond</w:t>
      </w:r>
      <w:r w:rsidRPr="00A33D16">
        <w:rPr>
          <w:noProof/>
        </w:rPr>
        <w:t xml:space="preserve"> ning kavandatav </w:t>
      </w:r>
      <w:r w:rsidRPr="00A33D16">
        <w:rPr>
          <w:b/>
          <w:noProof/>
        </w:rPr>
        <w:t>Euroopa majandusliku, sotsiaalse ja territoriaalse ühtekuuluvuse, põllumajanduse ja maaelu, kalanduse ja merenduse, heaolu ja julgeoleku fond</w:t>
      </w:r>
      <w:r w:rsidRPr="00A33D16">
        <w:rPr>
          <w:noProof/>
        </w:rPr>
        <w:t xml:space="preserve">, mille raames liikmesriigid peaksid koostama </w:t>
      </w:r>
      <w:r w:rsidRPr="00A33D16">
        <w:rPr>
          <w:b/>
          <w:noProof/>
        </w:rPr>
        <w:t>riikliku ja piirkondliku partnerluse kavad</w:t>
      </w:r>
      <w:r w:rsidRPr="00A33D16">
        <w:rPr>
          <w:noProof/>
        </w:rPr>
        <w:t xml:space="preserve">, aitavad kaitsta, taastada ja parandada keskkonna, sealhulgas magevee, ranniku, maailmamere ja mulla kvaliteeti, vähendada saastet, peatada ja pöörata tagasi elurikkuse vähenemine ning võidelda maismaa- ja mereökosüsteemide kahjustumise vastu, suurendades samal ajal kliima- ja veekerksust. </w:t>
      </w:r>
      <w:r w:rsidRPr="00A33D16">
        <w:rPr>
          <w:b/>
          <w:noProof/>
        </w:rPr>
        <w:t xml:space="preserve">Programmi „Euroopa horisont“ </w:t>
      </w:r>
      <w:r w:rsidRPr="00A33D16">
        <w:rPr>
          <w:noProof/>
        </w:rPr>
        <w:t xml:space="preserve">ettepanekutes ajavahemikuks 2028–2034 juhiti tähelepanu sellele, et tegevusse on vaja lõimida keskkonnateadus, et vältida keskkonnakahju, hoida keskkond puhtana ja taastada elujõulised ökosüsteemid. Samuti määratleti selles „ELis vee nullsaaste eesmärgi poole liikumine“ ühe võimaliku murrangulise valdkonnana. Nullsaaste saavutamisele aitavad jätkuvalt kaasa ka </w:t>
      </w:r>
      <w:r w:rsidRPr="00A33D16">
        <w:rPr>
          <w:b/>
          <w:noProof/>
        </w:rPr>
        <w:t>ühine põllumajanduspoliitika</w:t>
      </w:r>
      <w:r w:rsidRPr="00A33D16">
        <w:rPr>
          <w:noProof/>
        </w:rPr>
        <w:t xml:space="preserve">, </w:t>
      </w:r>
      <w:r w:rsidRPr="00A33D16">
        <w:rPr>
          <w:b/>
          <w:noProof/>
        </w:rPr>
        <w:t>ühine kalanduspoliitika</w:t>
      </w:r>
      <w:r w:rsidRPr="00A33D16">
        <w:rPr>
          <w:noProof/>
        </w:rPr>
        <w:t xml:space="preserve">, </w:t>
      </w:r>
      <w:r w:rsidRPr="00A33D16">
        <w:rPr>
          <w:b/>
          <w:noProof/>
        </w:rPr>
        <w:t>Euroopa Merendus-, Kalandus- ja Vesiviljelusfond</w:t>
      </w:r>
      <w:r w:rsidRPr="00A33D16">
        <w:rPr>
          <w:noProof/>
        </w:rPr>
        <w:t xml:space="preserve">, </w:t>
      </w:r>
      <w:r w:rsidRPr="00A33D16">
        <w:rPr>
          <w:b/>
          <w:noProof/>
        </w:rPr>
        <w:t>Euroopa Regionaalarengu Fond</w:t>
      </w:r>
      <w:r w:rsidRPr="00A33D16">
        <w:rPr>
          <w:noProof/>
        </w:rPr>
        <w:t xml:space="preserve"> ja </w:t>
      </w:r>
      <w:r w:rsidRPr="00A33D16">
        <w:rPr>
          <w:b/>
          <w:noProof/>
        </w:rPr>
        <w:t>Ühtekuuluvusfond</w:t>
      </w:r>
      <w:r w:rsidRPr="00A33D16">
        <w:rPr>
          <w:noProof/>
        </w:rPr>
        <w:t xml:space="preserve">. </w:t>
      </w:r>
    </w:p>
    <w:p w14:paraId="3B2F0E6D" w14:textId="2F3ED9BC" w:rsidR="00E06994" w:rsidRPr="00A33D16" w:rsidRDefault="003C5E4B" w:rsidP="00E06994">
      <w:pPr>
        <w:pStyle w:val="Text1"/>
        <w:rPr>
          <w:noProof/>
        </w:rPr>
      </w:pPr>
      <w:r w:rsidRPr="00A33D16">
        <w:rPr>
          <w:b/>
          <w:noProof/>
        </w:rPr>
        <w:t>Kuna ELi rahastamisest ei piisa, on vaja ka märkimisväärset riiklikku rahastamist.</w:t>
      </w:r>
      <w:r w:rsidRPr="00A33D16">
        <w:rPr>
          <w:noProof/>
        </w:rPr>
        <w:t xml:space="preserve"> Sellega seoses peaksid liikmesriigid paremini kasutama </w:t>
      </w:r>
      <w:r w:rsidRPr="00A33D16">
        <w:rPr>
          <w:b/>
          <w:noProof/>
        </w:rPr>
        <w:t>makse</w:t>
      </w:r>
      <w:r w:rsidRPr="00A33D16">
        <w:rPr>
          <w:noProof/>
        </w:rPr>
        <w:t xml:space="preserve">, </w:t>
      </w:r>
      <w:r w:rsidRPr="00A33D16">
        <w:rPr>
          <w:b/>
          <w:noProof/>
        </w:rPr>
        <w:t xml:space="preserve">laiendatud tootjavastutuse süsteeme </w:t>
      </w:r>
      <w:r w:rsidRPr="00A33D16">
        <w:rPr>
          <w:noProof/>
        </w:rPr>
        <w:t xml:space="preserve">ja muid vahendeid eesmärgiga tõhusamalt rakendada </w:t>
      </w:r>
      <w:r w:rsidRPr="00A33D16">
        <w:rPr>
          <w:b/>
          <w:noProof/>
        </w:rPr>
        <w:t>põhimõtet, et saastaja maksab</w:t>
      </w:r>
      <w:r w:rsidRPr="00A33D16">
        <w:rPr>
          <w:noProof/>
        </w:rPr>
        <w:t>. Liikmesriigid ei kasuta praegu kuigi palju keskkonnamakse</w:t>
      </w:r>
      <w:r w:rsidRPr="00A33D16">
        <w:rPr>
          <w:rStyle w:val="FootnoteReference"/>
          <w:noProof/>
        </w:rPr>
        <w:footnoteReference w:id="84"/>
      </w:r>
      <w:r w:rsidRPr="00A33D16">
        <w:rPr>
          <w:noProof/>
        </w:rPr>
        <w:t>. Keskkonnapoliitika rakendamise läbivaatamise 2025. aasta aruandes ja 2024. aasta Euroopa poolaasta paketis</w:t>
      </w:r>
      <w:r w:rsidRPr="00A33D16">
        <w:rPr>
          <w:rStyle w:val="FootnoteReference"/>
          <w:noProof/>
        </w:rPr>
        <w:footnoteReference w:id="85"/>
      </w:r>
      <w:r w:rsidRPr="00A33D16">
        <w:rPr>
          <w:noProof/>
        </w:rPr>
        <w:t xml:space="preserve"> soovitatakse reformida keskkonnakahjulikke toetusi. Liikmesriigid võivad ka kaaluda, kuidas suunata ettevõtjate ja tarbijate valikuid ja koguda samal ajal maksutulu, mida saaks kasutada investeeringute puudujäägi vähendamiseks. </w:t>
      </w:r>
      <w:r w:rsidRPr="00A33D16">
        <w:rPr>
          <w:b/>
          <w:noProof/>
        </w:rPr>
        <w:t>Põhimõtte „saastaja maksab“ toimivuskontroll</w:t>
      </w:r>
      <w:r w:rsidRPr="00A33D16">
        <w:rPr>
          <w:noProof/>
        </w:rPr>
        <w:t xml:space="preserve"> annab väärtuslikku teavet selle kohta, mis on praktikas toiminud, ning selles leiti, et saastaja maksma kohustamine on väga tõhus viis anda hinnasignaale, mis muudavad keskkonnapoliitika tõhusamaks, tingimusel et selle kavandamisel on nõuetekohaselt arvesse võetud õiglast üleminekut, konkurentsivõimet, toiduga kindlustatust ja üldkulusid.</w:t>
      </w:r>
    </w:p>
    <w:p w14:paraId="174930FC" w14:textId="7F53D0A2" w:rsidR="00E06994" w:rsidRPr="00A33D16" w:rsidRDefault="00E06994" w:rsidP="00E06994">
      <w:pPr>
        <w:pStyle w:val="Text1"/>
        <w:rPr>
          <w:noProof/>
        </w:rPr>
      </w:pPr>
      <w:r w:rsidRPr="00A33D16">
        <w:rPr>
          <w:b/>
          <w:noProof/>
        </w:rPr>
        <w:t>Puhtama keskkonna kiiremaks saavutamiseks on tähtis kaasata erainvesteeringuid.</w:t>
      </w:r>
      <w:r w:rsidRPr="00A33D16">
        <w:rPr>
          <w:noProof/>
        </w:rPr>
        <w:t xml:space="preserve"> Komisjon teeb koostööd </w:t>
      </w:r>
      <w:r w:rsidRPr="00A33D16">
        <w:rPr>
          <w:b/>
          <w:noProof/>
        </w:rPr>
        <w:t>Euroopa Investeerimispanga (EIP) Grupiga</w:t>
      </w:r>
      <w:r w:rsidRPr="00A33D16">
        <w:rPr>
          <w:noProof/>
        </w:rPr>
        <w:t xml:space="preserve">, et suurendada avaliku ja erasektori investeeringuid keskkonda (näiteks veekerksuse strateegia raames) nii ELis kui ka kogu maailmas. Koostöö finantsasutustega võib tuua rohkem erasektori raha, kui kasutatakse segarahastamise lähenemisviise ja uuenduslikke mudeleid, nagu roheliste ja siniste võlakirjade struktureeritud ökosüsteemid. Samuti kavatsetakse suurendada ELi ettevõtjate rahastamise võimalusi </w:t>
      </w:r>
      <w:r w:rsidRPr="00A33D16">
        <w:rPr>
          <w:b/>
          <w:noProof/>
        </w:rPr>
        <w:t xml:space="preserve">ELi kestliku rahanduse </w:t>
      </w:r>
      <w:r w:rsidRPr="00A33D16">
        <w:rPr>
          <w:noProof/>
        </w:rPr>
        <w:t xml:space="preserve">lihtsustatud </w:t>
      </w:r>
      <w:r w:rsidRPr="00A33D16">
        <w:rPr>
          <w:b/>
          <w:noProof/>
        </w:rPr>
        <w:t>raamistiku</w:t>
      </w:r>
      <w:r w:rsidRPr="00A33D16">
        <w:rPr>
          <w:noProof/>
        </w:rPr>
        <w:t xml:space="preserve"> ning </w:t>
      </w:r>
      <w:r w:rsidRPr="00A33D16">
        <w:rPr>
          <w:b/>
          <w:noProof/>
        </w:rPr>
        <w:t>hoiuste ja investeeringute liidu</w:t>
      </w:r>
      <w:r w:rsidRPr="00A33D16">
        <w:rPr>
          <w:noProof/>
        </w:rPr>
        <w:t xml:space="preserve"> loomisega. Näitajate kohaselt kasutab mõnes sektoris </w:t>
      </w:r>
      <w:r w:rsidRPr="00A33D16">
        <w:rPr>
          <w:b/>
          <w:bCs/>
          <w:noProof/>
        </w:rPr>
        <w:t>ELi kestliku rahanduse taksonoomiat</w:t>
      </w:r>
      <w:r w:rsidRPr="00A33D16">
        <w:rPr>
          <w:noProof/>
        </w:rPr>
        <w:t xml:space="preserve"> aina suurem arv investoreid</w:t>
      </w:r>
      <w:r w:rsidRPr="00A33D16">
        <w:rPr>
          <w:rStyle w:val="FootnoteReference"/>
          <w:noProof/>
        </w:rPr>
        <w:footnoteReference w:id="86"/>
      </w:r>
      <w:r w:rsidRPr="00A33D16">
        <w:rPr>
          <w:noProof/>
        </w:rPr>
        <w:t xml:space="preserve">. Veelgi rohkem keskkonnasäästlikke investeeringuid kaasatakse </w:t>
      </w:r>
      <w:r w:rsidRPr="00A33D16">
        <w:rPr>
          <w:b/>
          <w:noProof/>
        </w:rPr>
        <w:t>puhta tööstuse kokkuleppega</w:t>
      </w:r>
      <w:r w:rsidRPr="00A33D16">
        <w:rPr>
          <w:noProof/>
        </w:rPr>
        <w:t>,</w:t>
      </w:r>
      <w:r w:rsidRPr="00A33D16">
        <w:rPr>
          <w:b/>
          <w:noProof/>
        </w:rPr>
        <w:t xml:space="preserve"> </w:t>
      </w:r>
      <w:r w:rsidRPr="00A33D16">
        <w:rPr>
          <w:noProof/>
        </w:rPr>
        <w:t xml:space="preserve">tugevdades </w:t>
      </w:r>
      <w:r w:rsidRPr="00A33D16">
        <w:rPr>
          <w:b/>
          <w:noProof/>
        </w:rPr>
        <w:t>innovatsioonifondi</w:t>
      </w:r>
      <w:r w:rsidRPr="00A33D16">
        <w:rPr>
          <w:noProof/>
        </w:rPr>
        <w:t xml:space="preserve"> ja tehes ettepaneku luua </w:t>
      </w:r>
      <w:r w:rsidRPr="00A33D16">
        <w:rPr>
          <w:b/>
          <w:noProof/>
        </w:rPr>
        <w:t>tööstuse süsinikuheite vähendamise rahastu</w:t>
      </w:r>
      <w:r w:rsidRPr="00A33D16">
        <w:rPr>
          <w:noProof/>
        </w:rPr>
        <w:t xml:space="preserve">. </w:t>
      </w:r>
      <w:r w:rsidRPr="00A33D16">
        <w:rPr>
          <w:b/>
          <w:noProof/>
        </w:rPr>
        <w:t xml:space="preserve">II koondmäärusega </w:t>
      </w:r>
      <w:r w:rsidRPr="00A33D16">
        <w:rPr>
          <w:noProof/>
        </w:rPr>
        <w:t xml:space="preserve">muudetakse </w:t>
      </w:r>
      <w:r w:rsidRPr="00A33D16">
        <w:rPr>
          <w:b/>
          <w:noProof/>
        </w:rPr>
        <w:t xml:space="preserve">InvestEU </w:t>
      </w:r>
      <w:r w:rsidRPr="00A33D16">
        <w:rPr>
          <w:noProof/>
        </w:rPr>
        <w:t xml:space="preserve">määrust, et suurendada finantstagatiste summat, mida InvestEU saab anda, et toetada investeeringuid puhta tehnoloogia kasutuselevõttu, keskkonnahoidlikku liikuvusse, jäätmetekke vältimisse ning jäätmete vähendamisse ja ringlussevõttu. Need jõupingutused aitavad ilmtingimata kaasa nullsaaste saavutamisele. Lisaks loob komisjon veekerksuse strateegia raames ka veekerksuse investeeringute kiirendi ning käivitab taastamise toetamiseks roheliste ja siniste koridoride algatuse. See toetab investeeringuid puhtama vee valdkonnas. </w:t>
      </w:r>
    </w:p>
    <w:p w14:paraId="6DE8EEAA" w14:textId="7798C730" w:rsidR="00E06994" w:rsidRPr="00A33D16" w:rsidRDefault="03B3FCF4" w:rsidP="00E06994">
      <w:pPr>
        <w:pStyle w:val="Text1"/>
        <w:rPr>
          <w:noProof/>
        </w:rPr>
      </w:pPr>
      <w:r w:rsidRPr="00A33D16">
        <w:rPr>
          <w:b/>
          <w:noProof/>
        </w:rPr>
        <w:t xml:space="preserve">Integratsioon peab olema kiirem ja ulatuslikum. </w:t>
      </w:r>
      <w:r w:rsidRPr="00A33D16">
        <w:rPr>
          <w:noProof/>
        </w:rPr>
        <w:t>Rakendamise kogemus näitab, et väga oluline on tagada keskkonnapoliitika piisav integreerimine avaliku poliitika väljatöötamisse ja rakendamisse juba varases etapis süstemaatiliselt ja valdkonnaüleselt. Samuti on väga tähtis võtta arvesse keskkonna mõju avalikule poliitikale, eelarvele ja majandusele. Seepärast annab integreeritum ja terviklikum lähenemisviis – mis näiteks toob kokku eri poliitikavaldkondade või piirkondade ametiasutused – pikas perspektiivis tavaliselt paremaid tulemusi ning on kaasavam, järjepidevam, tulemuslikum ja tõhusam. Seetõttu esitati 2021. aasta nullsaaste tegevuskavas juhtalgatus „Nullsaaste tagamine üheskoos“,</w:t>
      </w:r>
      <w:r w:rsidRPr="00A33D16">
        <w:rPr>
          <w:rStyle w:val="FootnoteReference"/>
          <w:noProof/>
        </w:rPr>
        <w:footnoteReference w:id="87"/>
      </w:r>
      <w:r w:rsidRPr="00A33D16">
        <w:rPr>
          <w:noProof/>
        </w:rPr>
        <w:t xml:space="preserve"> mille raames alustatakse esialgu tegevust koostöös keskkonnaõiguse rakendamise ja jõustamise ELi võrgustikuga (IMPEL). See töö jätkub ka 2026. aastal. Veealaste õigusaktide rakendamiseks kavandatavatesse struktureeritud dialoogidesse püütakse kaasata riikide (ja piirkondlike) valitsuste kõik asjaomased osalejad. </w:t>
      </w:r>
    </w:p>
    <w:p w14:paraId="11185390" w14:textId="1CF70730" w:rsidR="00EC0C3C" w:rsidRPr="004C52CD"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sidRPr="004C52CD">
        <w:rPr>
          <w:b/>
          <w:i/>
          <w:noProof/>
          <w:sz w:val="22"/>
          <w:szCs w:val="22"/>
        </w:rPr>
        <w:t>Puhtam transport – nullsaastega liikuvus</w:t>
      </w:r>
    </w:p>
    <w:p w14:paraId="73F350D9" w14:textId="77FE38B2" w:rsidR="00EC0C3C" w:rsidRPr="00012E94"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sidRPr="004C52CD">
        <w:rPr>
          <w:i/>
          <w:noProof/>
          <w:sz w:val="22"/>
          <w:szCs w:val="22"/>
        </w:rPr>
        <w:t>Transpordi süsinikuheite vähendamine toob kasu ka õhukvaliteedi ja mürataseme osas. Turuvalmis prototüübid aitavad tuvastada mürarohkeid ja saastavaid sõidukeid ning vähendada saastet mitmeotstarbeliste barjääride ja spetsiaalsete kõnniteede abil (</w:t>
      </w:r>
      <w:hyperlink r:id="rId76" w:tgtFrame="_blank" w:history="1">
        <w:r w:rsidRPr="004C52CD">
          <w:rPr>
            <w:rStyle w:val="Hyperlink"/>
            <w:b/>
            <w:i/>
            <w:noProof/>
            <w:sz w:val="22"/>
            <w:szCs w:val="22"/>
          </w:rPr>
          <w:t>NEMO</w:t>
        </w:r>
      </w:hyperlink>
      <w:r w:rsidRPr="004C52CD">
        <w:rPr>
          <w:i/>
          <w:noProof/>
          <w:sz w:val="22"/>
          <w:szCs w:val="22"/>
        </w:rPr>
        <w:t>). Süsihappegaasi, õhusaastet ja müra aitavad samuti vähendada parem linnaplaneerimine ja viimase kilomeetri logistika korraldamine</w:t>
      </w:r>
      <w:r w:rsidRPr="004C52CD">
        <w:rPr>
          <w:i/>
          <w:noProof/>
          <w:szCs w:val="22"/>
        </w:rPr>
        <w:t xml:space="preserve"> </w:t>
      </w:r>
      <w:r w:rsidRPr="00A33D16">
        <w:rPr>
          <w:i/>
          <w:noProof/>
        </w:rPr>
        <w:t>(</w:t>
      </w:r>
      <w:hyperlink r:id="rId77" w:tgtFrame="_blank" w:history="1">
        <w:r w:rsidRPr="00A33D16">
          <w:rPr>
            <w:rStyle w:val="Hyperlink"/>
            <w:b/>
            <w:i/>
            <w:noProof/>
            <w:sz w:val="22"/>
          </w:rPr>
          <w:t>SENATOR</w:t>
        </w:r>
      </w:hyperlink>
      <w:r w:rsidRPr="00A33D16">
        <w:rPr>
          <w:i/>
          <w:noProof/>
          <w:sz w:val="22"/>
        </w:rPr>
        <w:t xml:space="preserve">, </w:t>
      </w:r>
      <w:hyperlink r:id="rId78" w:history="1">
        <w:r w:rsidRPr="00A33D16">
          <w:rPr>
            <w:rStyle w:val="Hyperlink"/>
            <w:b/>
            <w:i/>
            <w:noProof/>
            <w:sz w:val="22"/>
          </w:rPr>
          <w:t>LIFE ASPIRE</w:t>
        </w:r>
      </w:hyperlink>
      <w:r w:rsidRPr="004C52CD">
        <w:rPr>
          <w:i/>
          <w:noProof/>
          <w:sz w:val="22"/>
          <w:szCs w:val="22"/>
        </w:rPr>
        <w:t xml:space="preserve">). </w:t>
      </w:r>
      <w:r w:rsidRPr="00012E94">
        <w:rPr>
          <w:i/>
          <w:noProof/>
          <w:sz w:val="22"/>
          <w:szCs w:val="22"/>
        </w:rPr>
        <w:t>Siseveetranspordis kasutatavad uuenduslikud heitkoguste vähendamise meetodid ja kütused aitavad vähendada õhusaastet ja kasvuhoonegaaside heitkoguseid tegelikes tingimustes (</w:t>
      </w:r>
      <w:hyperlink r:id="rId79" w:tgtFrame="_blank" w:history="1">
        <w:r w:rsidRPr="00012E94">
          <w:rPr>
            <w:rStyle w:val="Hyperlink"/>
            <w:b/>
            <w:i/>
            <w:noProof/>
            <w:sz w:val="22"/>
            <w:szCs w:val="22"/>
          </w:rPr>
          <w:t>LIFE CLINSH)</w:t>
        </w:r>
      </w:hyperlink>
      <w:r w:rsidRPr="00012E94">
        <w:rPr>
          <w:i/>
          <w:noProof/>
          <w:sz w:val="22"/>
          <w:szCs w:val="22"/>
        </w:rPr>
        <w:t>.</w:t>
      </w:r>
    </w:p>
    <w:p w14:paraId="37A4A437" w14:textId="77777777" w:rsidR="00EC0C3C" w:rsidRPr="00012E94"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b/>
          <w:i/>
          <w:noProof/>
          <w:sz w:val="22"/>
          <w:szCs w:val="22"/>
        </w:rPr>
        <w:t>Puhtam põllumajandus – nullsaastega põllumajandus</w:t>
      </w:r>
    </w:p>
    <w:p w14:paraId="681273DE" w14:textId="4BDB8EC9" w:rsidR="00EC0C3C" w:rsidRPr="00012E94"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sidRPr="00012E94">
        <w:rPr>
          <w:i/>
          <w:noProof/>
          <w:sz w:val="22"/>
          <w:szCs w:val="22"/>
        </w:rPr>
        <w:t xml:space="preserve">Saastet võivad märkimisväärselt vähendada muutused põllumajandustavades. </w:t>
      </w:r>
      <w:r w:rsidRPr="00012E94">
        <w:rPr>
          <w:b/>
          <w:bCs/>
          <w:i/>
          <w:iCs/>
          <w:noProof/>
          <w:sz w:val="22"/>
          <w:szCs w:val="22"/>
        </w:rPr>
        <w:t xml:space="preserve">Intensiivsest </w:t>
      </w:r>
      <w:r w:rsidRPr="000728B7">
        <w:rPr>
          <w:b/>
          <w:bCs/>
          <w:i/>
          <w:iCs/>
          <w:noProof/>
          <w:sz w:val="22"/>
          <w:szCs w:val="22"/>
        </w:rPr>
        <w:t>liha- (sead ja kodulinnud) ja</w:t>
      </w:r>
      <w:r w:rsidRPr="000728B7">
        <w:rPr>
          <w:b/>
          <w:bCs/>
          <w:noProof/>
          <w:sz w:val="22"/>
          <w:szCs w:val="22"/>
        </w:rPr>
        <w:t xml:space="preserve"> </w:t>
      </w:r>
      <w:r w:rsidRPr="000728B7">
        <w:rPr>
          <w:b/>
          <w:bCs/>
          <w:i/>
          <w:iCs/>
          <w:noProof/>
          <w:sz w:val="22"/>
          <w:szCs w:val="22"/>
        </w:rPr>
        <w:t>piimakarjakasvatusest tulenevat õhusaastet</w:t>
      </w:r>
      <w:r w:rsidRPr="00012E94">
        <w:rPr>
          <w:i/>
          <w:iCs/>
          <w:noProof/>
          <w:sz w:val="22"/>
          <w:szCs w:val="22"/>
        </w:rPr>
        <w:t xml:space="preserve"> saab vähendada uuenduslike tehnoloogialahenduste ja majandamistavade abil, nagu jäätmevoogude eraldamine ja robotite kasutamine, heitkoguste vähendamine ja ladustatud sõnniku muutmine kaubanduslikuks väetiseks, mis võimaldab sulgeda põllumajandusettevõtte lämmastikuringe </w:t>
      </w:r>
      <w:r w:rsidRPr="00012E94">
        <w:rPr>
          <w:b/>
          <w:i/>
          <w:noProof/>
          <w:sz w:val="22"/>
          <w:szCs w:val="22"/>
        </w:rPr>
        <w:t>(</w:t>
      </w:r>
      <w:hyperlink r:id="rId80" w:tgtFrame="_blank" w:history="1">
        <w:r w:rsidRPr="00012E94">
          <w:rPr>
            <w:rStyle w:val="Hyperlink"/>
            <w:b/>
            <w:i/>
            <w:noProof/>
            <w:sz w:val="22"/>
            <w:szCs w:val="22"/>
          </w:rPr>
          <w:t>LIFE CMCD</w:t>
        </w:r>
      </w:hyperlink>
      <w:r w:rsidRPr="00012E94">
        <w:rPr>
          <w:b/>
          <w:i/>
          <w:noProof/>
          <w:sz w:val="22"/>
          <w:szCs w:val="22"/>
        </w:rPr>
        <w:t xml:space="preserve">, </w:t>
      </w:r>
      <w:hyperlink r:id="rId81" w:anchor=":~:text=The%20main%20objective%20of%20the%20LIFE%20Green%20Ammonia,the%20farm%20and%20in%20the%20manure%20storage%20tanks." w:tgtFrame="_blank" w:history="1">
        <w:r w:rsidRPr="00012E94">
          <w:rPr>
            <w:rStyle w:val="Hyperlink"/>
            <w:b/>
            <w:i/>
            <w:noProof/>
            <w:sz w:val="22"/>
            <w:szCs w:val="22"/>
          </w:rPr>
          <w:t>LIFE Green Ammonia</w:t>
        </w:r>
      </w:hyperlink>
      <w:r w:rsidRPr="00012E94">
        <w:rPr>
          <w:i/>
          <w:noProof/>
          <w:sz w:val="22"/>
          <w:szCs w:val="22"/>
        </w:rPr>
        <w:t xml:space="preserve">, </w:t>
      </w:r>
      <w:hyperlink r:id="rId82" w:tgtFrame="_blank" w:history="1">
        <w:r w:rsidRPr="00012E94">
          <w:rPr>
            <w:rStyle w:val="Hyperlink"/>
            <w:b/>
            <w:i/>
            <w:noProof/>
            <w:sz w:val="22"/>
            <w:szCs w:val="22"/>
          </w:rPr>
          <w:t>LIFE Clean Air Farming</w:t>
        </w:r>
      </w:hyperlink>
      <w:r w:rsidRPr="00012E94">
        <w:rPr>
          <w:i/>
          <w:noProof/>
          <w:sz w:val="22"/>
          <w:szCs w:val="22"/>
        </w:rPr>
        <w:t>,</w:t>
      </w:r>
      <w:r w:rsidRPr="00012E94">
        <w:rPr>
          <w:b/>
          <w:i/>
          <w:noProof/>
          <w:sz w:val="22"/>
          <w:szCs w:val="22"/>
        </w:rPr>
        <w:t xml:space="preserve"> </w:t>
      </w:r>
      <w:hyperlink r:id="rId83" w:history="1">
        <w:r w:rsidRPr="00012E94">
          <w:rPr>
            <w:rStyle w:val="Hyperlink"/>
            <w:b/>
            <w:i/>
            <w:noProof/>
            <w:sz w:val="22"/>
            <w:szCs w:val="22"/>
          </w:rPr>
          <w:t>Econutri</w:t>
        </w:r>
      </w:hyperlink>
      <w:r w:rsidRPr="00012E94">
        <w:rPr>
          <w:i/>
          <w:noProof/>
          <w:sz w:val="22"/>
          <w:szCs w:val="22"/>
        </w:rPr>
        <w:t xml:space="preserve">, </w:t>
      </w:r>
      <w:hyperlink r:id="rId84" w:tgtFrame="_blank" w:history="1">
        <w:r w:rsidRPr="00012E94">
          <w:rPr>
            <w:rStyle w:val="Hyperlink"/>
            <w:b/>
            <w:i/>
            <w:noProof/>
            <w:sz w:val="22"/>
            <w:szCs w:val="22"/>
          </w:rPr>
          <w:t>SOLACE</w:t>
        </w:r>
      </w:hyperlink>
      <w:r w:rsidRPr="00012E94">
        <w:rPr>
          <w:i/>
          <w:noProof/>
          <w:sz w:val="22"/>
          <w:szCs w:val="22"/>
        </w:rPr>
        <w:t>).</w:t>
      </w:r>
      <w:r w:rsidRPr="00012E94">
        <w:rPr>
          <w:b/>
          <w:i/>
          <w:noProof/>
          <w:sz w:val="22"/>
          <w:szCs w:val="22"/>
        </w:rPr>
        <w:t xml:space="preserve"> </w:t>
      </w:r>
      <w:r w:rsidRPr="00012E94">
        <w:rPr>
          <w:i/>
          <w:noProof/>
          <w:sz w:val="22"/>
          <w:szCs w:val="22"/>
        </w:rPr>
        <w:t xml:space="preserve">Lisaks valmistab komisjon ette väetiste tegevuskava, milles käsitletakse muu hulgas väetiste ja ringlussevõetud toitainete tõhusat kasutamist, mis omakorda aitab vähendada väetiste kasutamisest tulenevat reostust. Uuenduslikud kestlikumale taimekaitsele ülemineku viisid võimaldavad vähendada taimekaitsekulusid ja samas ka </w:t>
      </w:r>
      <w:r w:rsidRPr="00012E94">
        <w:rPr>
          <w:b/>
          <w:i/>
          <w:noProof/>
          <w:sz w:val="22"/>
          <w:szCs w:val="22"/>
        </w:rPr>
        <w:t>pestitsiidide põhjustatud õhu-, vee- ja pinnasesaastet</w:t>
      </w:r>
      <w:r w:rsidRPr="00012E94">
        <w:rPr>
          <w:i/>
          <w:noProof/>
          <w:sz w:val="22"/>
          <w:szCs w:val="22"/>
        </w:rPr>
        <w:t xml:space="preserve"> ning toota tervislikumat toitu </w:t>
      </w:r>
      <w:r w:rsidRPr="00012E94">
        <w:rPr>
          <w:b/>
          <w:i/>
          <w:noProof/>
          <w:sz w:val="22"/>
          <w:szCs w:val="22"/>
        </w:rPr>
        <w:t>(</w:t>
      </w:r>
      <w:hyperlink r:id="rId85" w:tgtFrame="_blank" w:history="1">
        <w:r w:rsidRPr="00012E94">
          <w:rPr>
            <w:rStyle w:val="Hyperlink"/>
            <w:b/>
            <w:i/>
            <w:noProof/>
            <w:sz w:val="22"/>
            <w:szCs w:val="22"/>
          </w:rPr>
          <w:t>SPRINT</w:t>
        </w:r>
      </w:hyperlink>
      <w:r w:rsidRPr="00012E94">
        <w:rPr>
          <w:b/>
          <w:i/>
          <w:noProof/>
          <w:sz w:val="22"/>
          <w:szCs w:val="22"/>
        </w:rPr>
        <w:t>).</w:t>
      </w:r>
      <w:r w:rsidRPr="00012E94">
        <w:rPr>
          <w:i/>
          <w:noProof/>
          <w:sz w:val="22"/>
          <w:szCs w:val="22"/>
        </w:rPr>
        <w:t xml:space="preserve"> Põllumajandustootjate ja organisatsioonidega tehtav koostöö </w:t>
      </w:r>
      <w:r w:rsidRPr="00012E94">
        <w:rPr>
          <w:b/>
          <w:i/>
          <w:noProof/>
          <w:sz w:val="22"/>
          <w:szCs w:val="22"/>
        </w:rPr>
        <w:t xml:space="preserve">mikro- ja nanoplasti </w:t>
      </w:r>
      <w:r w:rsidRPr="00012E94">
        <w:rPr>
          <w:i/>
          <w:noProof/>
          <w:sz w:val="22"/>
          <w:szCs w:val="22"/>
        </w:rPr>
        <w:t>kestliku käitlemise tavade kindlakstegemiseks on võimaldanud samaaegselt tervendada keskkonda ja suurendada põllumajanduse tootlikkust (</w:t>
      </w:r>
      <w:hyperlink r:id="rId86" w:tgtFrame="_blank" w:history="1">
        <w:r w:rsidRPr="00012E94">
          <w:rPr>
            <w:rStyle w:val="Hyperlink"/>
            <w:b/>
            <w:i/>
            <w:noProof/>
            <w:sz w:val="22"/>
            <w:szCs w:val="22"/>
          </w:rPr>
          <w:t>PAPILLONS</w:t>
        </w:r>
      </w:hyperlink>
      <w:r w:rsidRPr="00012E94">
        <w:rPr>
          <w:i/>
          <w:noProof/>
          <w:sz w:val="22"/>
          <w:szCs w:val="22"/>
        </w:rPr>
        <w:t xml:space="preserve">, </w:t>
      </w:r>
      <w:hyperlink r:id="rId87" w:history="1">
        <w:r w:rsidRPr="00012E94">
          <w:rPr>
            <w:rStyle w:val="Hyperlink"/>
            <w:b/>
            <w:i/>
            <w:noProof/>
            <w:sz w:val="22"/>
            <w:szCs w:val="22"/>
          </w:rPr>
          <w:t>MINAGRIS</w:t>
        </w:r>
      </w:hyperlink>
      <w:r w:rsidRPr="00012E94">
        <w:rPr>
          <w:i/>
          <w:noProof/>
          <w:sz w:val="22"/>
          <w:szCs w:val="22"/>
        </w:rPr>
        <w:t xml:space="preserve">). </w:t>
      </w:r>
    </w:p>
    <w:p w14:paraId="7A21F93A" w14:textId="77777777" w:rsidR="00EC0C3C" w:rsidRPr="00012E94"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b/>
          <w:i/>
          <w:noProof/>
          <w:sz w:val="22"/>
          <w:szCs w:val="22"/>
        </w:rPr>
        <w:t>Puhtam elu – nullsaaste ehituses</w:t>
      </w:r>
    </w:p>
    <w:p w14:paraId="4C6EC027" w14:textId="77D92B75" w:rsidR="007C4698" w:rsidRPr="00012E94"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sidRPr="00012E94">
        <w:rPr>
          <w:i/>
          <w:noProof/>
          <w:sz w:val="22"/>
          <w:szCs w:val="22"/>
        </w:rPr>
        <w:t>Keskkonnasäästliku ja ringluspõhise taristuga linnaarendus võib vähendada kasvuhoonegaase, jäätmeid ja saastet ning soodustada kestlikku tarbimist. Kolme eraldi toruga kanalisatsioonisüsteemi kasutamine võimaldab vee ja jäätmete ringlussevõttu ning energia ja toitainete taaskasutamist</w:t>
      </w:r>
      <w:r w:rsidRPr="00012E94">
        <w:rPr>
          <w:b/>
          <w:i/>
          <w:noProof/>
          <w:sz w:val="22"/>
          <w:szCs w:val="22"/>
        </w:rPr>
        <w:t xml:space="preserve"> </w:t>
      </w:r>
      <w:r w:rsidRPr="00012E94">
        <w:rPr>
          <w:i/>
          <w:noProof/>
          <w:sz w:val="22"/>
          <w:szCs w:val="22"/>
        </w:rPr>
        <w:t>(</w:t>
      </w:r>
      <w:hyperlink r:id="rId88" w:tgtFrame="_blank" w:history="1">
        <w:r w:rsidRPr="00012E94">
          <w:rPr>
            <w:rStyle w:val="Hyperlink"/>
            <w:b/>
            <w:i/>
            <w:noProof/>
            <w:sz w:val="22"/>
            <w:szCs w:val="22"/>
          </w:rPr>
          <w:t>RecoLab</w:t>
        </w:r>
      </w:hyperlink>
      <w:r w:rsidRPr="00012E94">
        <w:rPr>
          <w:i/>
          <w:noProof/>
          <w:sz w:val="22"/>
          <w:szCs w:val="22"/>
        </w:rPr>
        <w:t>). Looduslike materjalide kasutamine ja hoone sellise digiteisiku väljatöötamine, mis on varustatud anduritega oluliste parameetrite, nagu niiskussisalduse jälgimiseks, võimaldab ennetavat hooldust ja näitab tehniliste muudatuste mõju hoone energiatõhususele (</w:t>
      </w:r>
      <w:hyperlink r:id="rId89" w:tgtFrame="_blank" w:history="1">
        <w:r w:rsidRPr="00012E94">
          <w:rPr>
            <w:rStyle w:val="Hyperlink"/>
            <w:b/>
            <w:i/>
            <w:noProof/>
            <w:sz w:val="22"/>
            <w:szCs w:val="22"/>
          </w:rPr>
          <w:t>Build-in-Wood</w:t>
        </w:r>
      </w:hyperlink>
      <w:r w:rsidRPr="00012E94">
        <w:rPr>
          <w:i/>
          <w:noProof/>
          <w:sz w:val="22"/>
          <w:szCs w:val="22"/>
        </w:rPr>
        <w:t>). </w:t>
      </w:r>
    </w:p>
    <w:p w14:paraId="453CC219" w14:textId="77777777" w:rsidR="00E06994" w:rsidRPr="00A33D16" w:rsidRDefault="00E06994" w:rsidP="00D50E80">
      <w:pPr>
        <w:pStyle w:val="Text2"/>
        <w:rPr>
          <w:noProof/>
        </w:rPr>
      </w:pPr>
    </w:p>
    <w:p w14:paraId="46EF11DF" w14:textId="77777777" w:rsidR="00E06994" w:rsidRPr="00A33D16" w:rsidRDefault="00E06994" w:rsidP="00D50E80">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Komisjon teeb järgmist: </w:t>
      </w:r>
    </w:p>
    <w:p w14:paraId="5C8D7B37" w14:textId="61651832"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b/>
          <w:noProof/>
        </w:rPr>
        <w:t>käsitleb riigipõhiseid saasteprobleeme kõigi liikmesriikidega peetavates struktureeritud dialoogides, mis kuulutati välja veekerksuse strateegias;</w:t>
      </w:r>
    </w:p>
    <w:p w14:paraId="3ABCD9B4" w14:textId="4F42F180"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b/>
          <w:noProof/>
        </w:rPr>
        <w:t xml:space="preserve">jätkab koos IMPELiga parimate tavade vahetamist ja toetab valdkondadevahelisi nõuete täitmise meetmeid. </w:t>
      </w:r>
    </w:p>
    <w:p w14:paraId="79F8975E" w14:textId="77777777" w:rsidR="00E06994" w:rsidRPr="00A33D16" w:rsidRDefault="00E06994" w:rsidP="00371BF5">
      <w:pPr>
        <w:pStyle w:val="Heading2"/>
        <w:keepLines w:val="0"/>
        <w:numPr>
          <w:ilvl w:val="1"/>
          <w:numId w:val="22"/>
        </w:numPr>
        <w:spacing w:before="240" w:after="240"/>
        <w:jc w:val="both"/>
        <w:rPr>
          <w:rFonts w:ascii="Times New Roman" w:eastAsia="Times New Roman" w:hAnsi="Times New Roman" w:cs="Times New Roman"/>
          <w:b/>
          <w:noProof/>
          <w:color w:val="auto"/>
          <w:kern w:val="0"/>
          <w:sz w:val="24"/>
          <w:szCs w:val="20"/>
          <w14:ligatures w14:val="none"/>
        </w:rPr>
      </w:pPr>
      <w:r w:rsidRPr="00A33D16">
        <w:rPr>
          <w:rFonts w:ascii="Times New Roman" w:hAnsi="Times New Roman"/>
          <w:b/>
          <w:noProof/>
          <w:color w:val="auto"/>
          <w:sz w:val="24"/>
        </w:rPr>
        <w:t xml:space="preserve">Innovatsioon ja oskused konkurentsivõime tugevdamiseks </w:t>
      </w:r>
    </w:p>
    <w:p w14:paraId="50D3EE34" w14:textId="4674C0B3" w:rsidR="00E06994" w:rsidRPr="00A33D16" w:rsidRDefault="00E06994" w:rsidP="00E06994">
      <w:pPr>
        <w:pStyle w:val="Text1"/>
        <w:rPr>
          <w:noProof/>
        </w:rPr>
      </w:pPr>
      <w:r w:rsidRPr="00A33D16">
        <w:rPr>
          <w:b/>
          <w:noProof/>
        </w:rPr>
        <w:t>Innovatsioon juhib edasiminekut puhtama keskkonna suunas.</w:t>
      </w:r>
      <w:r w:rsidRPr="00A33D16">
        <w:rPr>
          <w:noProof/>
        </w:rPr>
        <w:t xml:space="preserve"> Praeguses majanduskriisis on tähtis toetada tööstust sihipäraselt, et säilitada kulutõhusus ja hoida kriitilise tähtsusega tootmine ELis. Väga tähtis on lihtsustada õigusraamistikku, et EL oleks ettevõtjate jaoks jätkuvalt atraktiivne. Ometi on praeguse kriisi algpõhjus innovatsiooni puudumine viimase kahe aastakümne jooksul, nagu on märgitud konkurentsivõime kompassis. Hoolikalt kavandatud meetmed puhtale ringmajandusele ülemineku soodustamiseks võivad lisaks inimeste tervise ja keskkonna kaitsmisele luua ka vajalikud ärivõimalused, et uuendusliku ja tulevikku suunatud tehnoloogia abil tugevdada ELi pikaajalist ülemaailmset konkurentsivõimet. Puhta tööstuse kokkuleppega toetatakse seda innovatsioonihoogu rahastamise (innovatsioonifondi ja programmi „InvestEU“ kaudu) või konkreetsete algatuste, näiteks ELi idu- ja kasvufirmade strateegia</w:t>
      </w:r>
      <w:r w:rsidRPr="00A33D16">
        <w:rPr>
          <w:rStyle w:val="FootnoteReference"/>
          <w:noProof/>
        </w:rPr>
        <w:footnoteReference w:id="88"/>
      </w:r>
      <w:r w:rsidRPr="00A33D16">
        <w:rPr>
          <w:noProof/>
        </w:rPr>
        <w:t xml:space="preserve"> abil. Saaste valdkonnas teeb uus tööstuspöörde ja tööstusheite innovatsioonikeskus (INCITE)</w:t>
      </w:r>
      <w:r w:rsidRPr="00A33D16">
        <w:rPr>
          <w:rStyle w:val="FootnoteReference"/>
          <w:noProof/>
        </w:rPr>
        <w:footnoteReference w:id="89"/>
      </w:r>
      <w:r w:rsidRPr="00A33D16">
        <w:rPr>
          <w:noProof/>
        </w:rPr>
        <w:t xml:space="preserve"> kindlaks uuenduslikud tehnoloogialahendused ja hindab nende küpsustaset, et näidata nende potentsiaali ja toetada lahenduste laiemat kasutuselevõttu. Lisaks analüüsib INCITE igakülgse keskkonnamõju hindamise raames süsinikuheite vähendamist, ressursitõhusust, sealhulgas seoses energia, toorme ja veega, ohtlike kemikaalide vähesemat ja ohutumat kasutamist ning uuendusliku tehnoloogia ringmajanduse potentsiaali. Komisjon loob INCITE’i eeskujul ELi innovatsiooni- ja asenduskeskuse(d),</w:t>
      </w:r>
      <w:r w:rsidRPr="00A33D16">
        <w:rPr>
          <w:rStyle w:val="FootnoteReference"/>
          <w:noProof/>
        </w:rPr>
        <w:footnoteReference w:id="90"/>
      </w:r>
      <w:r w:rsidRPr="00A33D16">
        <w:rPr>
          <w:noProof/>
        </w:rPr>
        <w:t xml:space="preserve"> et ületada innovatsioonitõkked ja kiirendada ohutumate ja kestlikumate lahenduste väljatöötamist, pöörates erilist tähelepanu VKEde vajadustele. Samuti uurib ta koostööl põhinevaid lähenemisviise sihtkemikaalide asendamiseks. Innovatsioonikeskustesse integreeritakse ohutuks ja kestlikuks kavandatud kemikaalide raamistik</w:t>
      </w:r>
      <w:r w:rsidRPr="00A33D16">
        <w:rPr>
          <w:rStyle w:val="FootnoteReference"/>
          <w:noProof/>
        </w:rPr>
        <w:footnoteReference w:id="91"/>
      </w:r>
      <w:r w:rsidRPr="00A33D16">
        <w:rPr>
          <w:noProof/>
        </w:rPr>
        <w:t xml:space="preserve"> ning antakse tehnilisi suuniseid innovatsiooni varajaste etappide kohta. </w:t>
      </w:r>
    </w:p>
    <w:p w14:paraId="3A21E243" w14:textId="77777777" w:rsidR="004D3AE8" w:rsidRPr="00A33D16" w:rsidRDefault="004D3AE8" w:rsidP="004D3AE8">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A33D16">
        <w:rPr>
          <w:b/>
          <w:i/>
          <w:noProof/>
          <w:sz w:val="22"/>
        </w:rPr>
        <w:t>Puhtamad tooted ja protsessid – nullsaastega seotud uuendused</w:t>
      </w:r>
    </w:p>
    <w:p w14:paraId="3F110571" w14:textId="41018066" w:rsidR="009D7924" w:rsidRPr="00012E94" w:rsidRDefault="004D3AE8" w:rsidP="004D3AE8">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b/>
          <w:i/>
          <w:noProof/>
          <w:sz w:val="22"/>
          <w:szCs w:val="22"/>
        </w:rPr>
        <w:t>Biomajanduse uuendused</w:t>
      </w:r>
      <w:r w:rsidRPr="00012E94">
        <w:rPr>
          <w:i/>
          <w:noProof/>
          <w:sz w:val="22"/>
          <w:szCs w:val="22"/>
        </w:rPr>
        <w:t>, nagu biolagunevad plastpakendid, imavad hügieenitooted või toidukandikute biopõhised alternatiivid ja uued võrgustikumudelid terves põllumajandusliku toidutööstuse plasti väärtusahelas vähendavad märkimisväärselt plastijäätmeid ning seeläbi ka prügilasse ladestamist ja saastet (</w:t>
      </w:r>
      <w:hyperlink r:id="rId90" w:tgtFrame="_blank" w:history="1">
        <w:r w:rsidRPr="00012E94">
          <w:rPr>
            <w:rStyle w:val="Hyperlink"/>
            <w:b/>
            <w:i/>
            <w:noProof/>
            <w:sz w:val="22"/>
            <w:szCs w:val="22"/>
          </w:rPr>
          <w:t>Circpack</w:t>
        </w:r>
      </w:hyperlink>
      <w:r w:rsidRPr="00012E94">
        <w:rPr>
          <w:i/>
          <w:noProof/>
          <w:sz w:val="22"/>
          <w:szCs w:val="22"/>
        </w:rPr>
        <w:t xml:space="preserve">, </w:t>
      </w:r>
      <w:hyperlink r:id="rId91" w:tgtFrame="_blank" w:history="1">
        <w:r w:rsidRPr="00012E94">
          <w:rPr>
            <w:rStyle w:val="Hyperlink"/>
            <w:b/>
            <w:i/>
            <w:noProof/>
            <w:sz w:val="22"/>
            <w:szCs w:val="22"/>
          </w:rPr>
          <w:t>EMBRACED</w:t>
        </w:r>
      </w:hyperlink>
      <w:r w:rsidRPr="00012E94">
        <w:rPr>
          <w:b/>
          <w:i/>
          <w:noProof/>
          <w:sz w:val="22"/>
          <w:szCs w:val="22"/>
        </w:rPr>
        <w:t xml:space="preserve">, </w:t>
      </w:r>
      <w:hyperlink r:id="rId92" w:tgtFrame="_blank" w:history="1">
        <w:r w:rsidRPr="00012E94">
          <w:rPr>
            <w:rStyle w:val="Hyperlink"/>
            <w:b/>
            <w:i/>
            <w:noProof/>
            <w:sz w:val="22"/>
            <w:szCs w:val="22"/>
          </w:rPr>
          <w:t>FRESH</w:t>
        </w:r>
      </w:hyperlink>
      <w:r w:rsidRPr="00012E94">
        <w:rPr>
          <w:i/>
          <w:noProof/>
          <w:sz w:val="22"/>
          <w:szCs w:val="22"/>
        </w:rPr>
        <w:t>,</w:t>
      </w:r>
      <w:r w:rsidRPr="00012E94">
        <w:rPr>
          <w:b/>
          <w:i/>
          <w:noProof/>
          <w:sz w:val="22"/>
          <w:szCs w:val="22"/>
        </w:rPr>
        <w:t xml:space="preserve"> </w:t>
      </w:r>
      <w:hyperlink r:id="rId93" w:tgtFrame="_blank" w:history="1">
        <w:r w:rsidRPr="00012E94">
          <w:rPr>
            <w:rStyle w:val="Hyperlink"/>
            <w:b/>
            <w:i/>
            <w:noProof/>
            <w:sz w:val="22"/>
            <w:szCs w:val="22"/>
          </w:rPr>
          <w:t>LIFE CLOOVER2</w:t>
        </w:r>
      </w:hyperlink>
      <w:r w:rsidRPr="00012E94">
        <w:rPr>
          <w:i/>
          <w:noProof/>
          <w:sz w:val="22"/>
          <w:szCs w:val="22"/>
        </w:rPr>
        <w:t>). </w:t>
      </w:r>
      <w:r w:rsidRPr="00012E94">
        <w:rPr>
          <w:b/>
          <w:i/>
          <w:noProof/>
          <w:sz w:val="22"/>
          <w:szCs w:val="22"/>
        </w:rPr>
        <w:t>Uuendusliku tekstiilitehnoloogia</w:t>
      </w:r>
      <w:r w:rsidRPr="00012E94">
        <w:rPr>
          <w:noProof/>
          <w:sz w:val="22"/>
          <w:szCs w:val="22"/>
        </w:rPr>
        <w:t xml:space="preserve"> </w:t>
      </w:r>
      <w:r w:rsidRPr="00012E94">
        <w:rPr>
          <w:i/>
          <w:noProof/>
          <w:sz w:val="22"/>
          <w:szCs w:val="22"/>
        </w:rPr>
        <w:t>abil muudetakse vanad puuvillatekstiilid kestlikeks ja kvaliteetseteks kiududeks vähem saastavaid kemikaale kasutades (</w:t>
      </w:r>
      <w:hyperlink r:id="rId94" w:tgtFrame="_blank" w:history="1">
        <w:r w:rsidRPr="00012E94">
          <w:rPr>
            <w:rStyle w:val="Hyperlink"/>
            <w:b/>
            <w:i/>
            <w:noProof/>
            <w:sz w:val="22"/>
            <w:szCs w:val="22"/>
          </w:rPr>
          <w:t>TeKiDe</w:t>
        </w:r>
      </w:hyperlink>
      <w:r w:rsidRPr="00012E94">
        <w:rPr>
          <w:i/>
          <w:noProof/>
          <w:sz w:val="22"/>
          <w:szCs w:val="22"/>
        </w:rPr>
        <w:t xml:space="preserve">). Ohtlike </w:t>
      </w:r>
      <w:r w:rsidRPr="00012E94">
        <w:rPr>
          <w:b/>
          <w:i/>
          <w:noProof/>
          <w:sz w:val="22"/>
          <w:szCs w:val="22"/>
        </w:rPr>
        <w:t>elektri-</w:t>
      </w:r>
      <w:r w:rsidRPr="00012E94">
        <w:rPr>
          <w:i/>
          <w:noProof/>
          <w:sz w:val="22"/>
          <w:szCs w:val="22"/>
        </w:rPr>
        <w:t xml:space="preserve"> </w:t>
      </w:r>
      <w:r w:rsidRPr="00012E94">
        <w:rPr>
          <w:b/>
          <w:i/>
          <w:noProof/>
          <w:sz w:val="22"/>
          <w:szCs w:val="22"/>
        </w:rPr>
        <w:t>ja elektroonikaseadmete</w:t>
      </w:r>
      <w:r w:rsidRPr="00012E94">
        <w:rPr>
          <w:i/>
          <w:noProof/>
          <w:sz w:val="22"/>
          <w:szCs w:val="22"/>
        </w:rPr>
        <w:t xml:space="preserve"> jäätmete uuenduslikud ringlussevõtu tavad võimaldavad plastist ohutult eraldada puhtaid polümeere, broomi ja antimontrioksiidi, toetades suletud ahelaga ringlussevõtusüsteemi ja aidates seeläbi vähendada ELi sõltuvust imporditud antimonist (</w:t>
      </w:r>
      <w:hyperlink r:id="rId95" w:tgtFrame="_blank" w:history="1">
        <w:r w:rsidRPr="00012E94">
          <w:rPr>
            <w:rStyle w:val="Hyperlink"/>
            <w:b/>
            <w:i/>
            <w:noProof/>
            <w:sz w:val="22"/>
            <w:szCs w:val="22"/>
          </w:rPr>
          <w:t>PLAST2bCLEANED</w:t>
        </w:r>
      </w:hyperlink>
      <w:r w:rsidRPr="00012E94">
        <w:rPr>
          <w:i/>
          <w:noProof/>
          <w:sz w:val="22"/>
          <w:szCs w:val="22"/>
        </w:rPr>
        <w:t xml:space="preserve">). Uuendusliku tehnoloogiaga eraldatakse </w:t>
      </w:r>
      <w:r w:rsidRPr="00012E94">
        <w:rPr>
          <w:b/>
          <w:i/>
          <w:noProof/>
          <w:sz w:val="22"/>
          <w:szCs w:val="22"/>
        </w:rPr>
        <w:t>reoveest ressursse</w:t>
      </w:r>
      <w:r w:rsidRPr="00012E94">
        <w:rPr>
          <w:i/>
          <w:noProof/>
          <w:sz w:val="22"/>
          <w:szCs w:val="22"/>
        </w:rPr>
        <w:t xml:space="preserve"> (nt bioväetised, tselluloos, bioplast, biometaan ning mitmesugused toidu- ja joogilisandid), mis aitab märkimisväärselt vähendada reoveepuhastusjaamade tegevuskulusid ja keskkonnamõju ning luua omakorda uusi ärivõimalusi ja töökohti (</w:t>
      </w:r>
      <w:hyperlink r:id="rId96" w:tgtFrame="_blank" w:history="1">
        <w:r w:rsidRPr="00012E94">
          <w:rPr>
            <w:rStyle w:val="Hyperlink"/>
            <w:b/>
            <w:i/>
            <w:noProof/>
            <w:sz w:val="22"/>
            <w:szCs w:val="22"/>
          </w:rPr>
          <w:t>AFTERLIFE</w:t>
        </w:r>
      </w:hyperlink>
      <w:r w:rsidRPr="00012E94">
        <w:rPr>
          <w:i/>
          <w:noProof/>
          <w:sz w:val="22"/>
          <w:szCs w:val="22"/>
        </w:rPr>
        <w:t>,</w:t>
      </w:r>
      <w:r w:rsidRPr="00012E94">
        <w:rPr>
          <w:b/>
          <w:i/>
          <w:noProof/>
          <w:sz w:val="22"/>
          <w:szCs w:val="22"/>
        </w:rPr>
        <w:t xml:space="preserve"> </w:t>
      </w:r>
      <w:hyperlink r:id="rId97" w:tgtFrame="_blank" w:history="1">
        <w:r w:rsidRPr="00012E94">
          <w:rPr>
            <w:rStyle w:val="Hyperlink"/>
            <w:b/>
            <w:i/>
            <w:noProof/>
            <w:sz w:val="22"/>
            <w:szCs w:val="22"/>
          </w:rPr>
          <w:t>INCOVER</w:t>
        </w:r>
      </w:hyperlink>
      <w:r w:rsidRPr="00012E94">
        <w:rPr>
          <w:i/>
          <w:noProof/>
          <w:sz w:val="22"/>
          <w:szCs w:val="22"/>
        </w:rPr>
        <w:t>,</w:t>
      </w:r>
      <w:r w:rsidRPr="00012E94">
        <w:rPr>
          <w:b/>
          <w:i/>
          <w:noProof/>
          <w:sz w:val="22"/>
          <w:szCs w:val="22"/>
        </w:rPr>
        <w:t xml:space="preserve"> </w:t>
      </w:r>
      <w:hyperlink r:id="rId98" w:tgtFrame="_blank" w:history="1">
        <w:r w:rsidRPr="00012E94">
          <w:rPr>
            <w:rStyle w:val="Hyperlink"/>
            <w:b/>
            <w:i/>
            <w:noProof/>
            <w:sz w:val="22"/>
            <w:szCs w:val="22"/>
          </w:rPr>
          <w:t>SMART-Plant</w:t>
        </w:r>
      </w:hyperlink>
      <w:r w:rsidRPr="00012E94">
        <w:rPr>
          <w:i/>
          <w:noProof/>
          <w:sz w:val="22"/>
          <w:szCs w:val="22"/>
        </w:rPr>
        <w:t xml:space="preserve">, </w:t>
      </w:r>
      <w:hyperlink r:id="rId99" w:tgtFrame="_blank" w:history="1">
        <w:r w:rsidRPr="00012E94">
          <w:rPr>
            <w:rStyle w:val="Hyperlink"/>
            <w:b/>
            <w:i/>
            <w:noProof/>
            <w:sz w:val="22"/>
            <w:szCs w:val="22"/>
          </w:rPr>
          <w:t>LIFE ENRICH</w:t>
        </w:r>
      </w:hyperlink>
      <w:r w:rsidRPr="00012E94">
        <w:rPr>
          <w:i/>
          <w:noProof/>
          <w:sz w:val="22"/>
          <w:szCs w:val="22"/>
        </w:rPr>
        <w:t xml:space="preserve">, </w:t>
      </w:r>
      <w:hyperlink r:id="rId100" w:tgtFrame="_blank" w:history="1">
        <w:r w:rsidRPr="00012E94">
          <w:rPr>
            <w:rStyle w:val="Hyperlink"/>
            <w:b/>
            <w:i/>
            <w:noProof/>
            <w:sz w:val="22"/>
            <w:szCs w:val="22"/>
          </w:rPr>
          <w:t>24Water</w:t>
        </w:r>
      </w:hyperlink>
      <w:r w:rsidRPr="00012E94">
        <w:rPr>
          <w:i/>
          <w:noProof/>
          <w:sz w:val="22"/>
          <w:szCs w:val="22"/>
        </w:rPr>
        <w:t xml:space="preserve">). Ehituses ja linnade keskkonnahoidlikus hoolduses vähendavad </w:t>
      </w:r>
      <w:r w:rsidRPr="00012E94">
        <w:rPr>
          <w:b/>
          <w:i/>
          <w:noProof/>
          <w:sz w:val="22"/>
          <w:szCs w:val="22"/>
        </w:rPr>
        <w:t>uuenduslikud elektrigeneraatorid</w:t>
      </w:r>
      <w:r w:rsidRPr="00012E94">
        <w:rPr>
          <w:i/>
          <w:noProof/>
          <w:sz w:val="22"/>
          <w:szCs w:val="22"/>
        </w:rPr>
        <w:t xml:space="preserve"> heitkoguseid ja on samal ajal väiksemad, kergemad ja võimsamad kaasaskantavad toiteallikad, mis meelitavad ligi märkimisväärseid rahastamissummasid erainvestoritelt (</w:t>
      </w:r>
      <w:hyperlink r:id="rId101" w:tgtFrame="_blank" w:history="1">
        <w:r w:rsidRPr="00012E94">
          <w:rPr>
            <w:rStyle w:val="Hyperlink"/>
            <w:b/>
            <w:i/>
            <w:noProof/>
            <w:sz w:val="22"/>
            <w:szCs w:val="22"/>
          </w:rPr>
          <w:t>LIFE CLEANAIRMM</w:t>
        </w:r>
      </w:hyperlink>
      <w:r w:rsidRPr="00012E94">
        <w:rPr>
          <w:i/>
          <w:noProof/>
          <w:sz w:val="22"/>
          <w:szCs w:val="22"/>
        </w:rPr>
        <w:t>). </w:t>
      </w:r>
      <w:r w:rsidRPr="00012E94">
        <w:rPr>
          <w:b/>
          <w:i/>
          <w:noProof/>
          <w:sz w:val="22"/>
          <w:szCs w:val="22"/>
        </w:rPr>
        <w:t>Uuenduslikes jõuseadmetes</w:t>
      </w:r>
      <w:r w:rsidRPr="00012E94">
        <w:rPr>
          <w:i/>
          <w:noProof/>
          <w:sz w:val="22"/>
          <w:szCs w:val="22"/>
        </w:rPr>
        <w:t xml:space="preserve"> kasutatakse puhtamat ja ringluspõhisemat satelliitide orbiidile saatmise tehnoloogiat (</w:t>
      </w:r>
      <w:hyperlink r:id="rId102" w:tgtFrame="_blank" w:history="1">
        <w:r w:rsidRPr="00012E94">
          <w:rPr>
            <w:rStyle w:val="Hyperlink"/>
            <w:b/>
            <w:i/>
            <w:noProof/>
            <w:sz w:val="22"/>
            <w:szCs w:val="22"/>
          </w:rPr>
          <w:t>HyImpulse</w:t>
        </w:r>
      </w:hyperlink>
      <w:r w:rsidRPr="00012E94">
        <w:rPr>
          <w:i/>
          <w:noProof/>
          <w:sz w:val="22"/>
          <w:szCs w:val="22"/>
        </w:rPr>
        <w:t xml:space="preserve">, </w:t>
      </w:r>
      <w:hyperlink r:id="rId103" w:tgtFrame="_blank" w:history="1">
        <w:r w:rsidRPr="00012E94">
          <w:rPr>
            <w:rStyle w:val="Hyperlink"/>
            <w:b/>
            <w:i/>
            <w:noProof/>
            <w:sz w:val="22"/>
            <w:szCs w:val="22"/>
          </w:rPr>
          <w:t>Pangea</w:t>
        </w:r>
      </w:hyperlink>
      <w:r w:rsidRPr="00012E94">
        <w:rPr>
          <w:i/>
          <w:noProof/>
          <w:sz w:val="22"/>
          <w:szCs w:val="22"/>
        </w:rPr>
        <w:t>).</w:t>
      </w:r>
    </w:p>
    <w:p w14:paraId="48241D55" w14:textId="4B2DDBDA" w:rsidR="00E06994" w:rsidRPr="00A33D16" w:rsidRDefault="00E06994" w:rsidP="00D50E80">
      <w:pPr>
        <w:pStyle w:val="Text1"/>
        <w:spacing w:before="240"/>
        <w:rPr>
          <w:noProof/>
        </w:rPr>
      </w:pPr>
      <w:r w:rsidRPr="00A33D16">
        <w:rPr>
          <w:b/>
          <w:noProof/>
        </w:rPr>
        <w:t>ELi teadusuuringud ja innovatsioon on seda üleminekut toetanud juba aastaid ja toetavad seda ka edaspidi</w:t>
      </w:r>
      <w:r w:rsidRPr="00A33D16">
        <w:rPr>
          <w:noProof/>
        </w:rPr>
        <w:t xml:space="preserve">. Traditsiooniliselt on saaste vältimist, kontrolli ja kõrvaldamist käsitlevad keskkonnauuringud ja näidisprojektid olnud ELi teadusuuringute ja LIFE programmide prioriteedid. </w:t>
      </w:r>
    </w:p>
    <w:p w14:paraId="2C861F45" w14:textId="0F664B7B" w:rsidR="00E06994" w:rsidRPr="00A33D16" w:rsidRDefault="00E06994" w:rsidP="00E06994">
      <w:pPr>
        <w:pStyle w:val="Text1"/>
        <w:rPr>
          <w:noProof/>
        </w:rPr>
      </w:pPr>
      <w:r w:rsidRPr="00A33D16">
        <w:rPr>
          <w:noProof/>
        </w:rPr>
        <w:t xml:space="preserve">Praeguse mitmeaastase finantsraamistiku jooksul on </w:t>
      </w:r>
      <w:r w:rsidRPr="00A33D16">
        <w:rPr>
          <w:b/>
          <w:noProof/>
        </w:rPr>
        <w:t xml:space="preserve">EL suurendanud oma toetust </w:t>
      </w:r>
      <w:r w:rsidRPr="00A33D16">
        <w:rPr>
          <w:noProof/>
        </w:rPr>
        <w:t>programmi „Euroopa horisont“ ja programmi LIFE rahastamisprogrammide kaudu. Teadusuuringute ja innovatsiooni valdkonnas on eriti mõjukas erieesmärk „Puhas keskkond ja nullsaaste“ koos sihtotstarbeliste vahenditega, nagu ELi missioonid</w:t>
      </w:r>
      <w:r w:rsidRPr="00A33D16">
        <w:rPr>
          <w:rStyle w:val="FootnoteReference"/>
          <w:noProof/>
        </w:rPr>
        <w:footnoteReference w:id="92"/>
      </w:r>
      <w:r w:rsidRPr="00A33D16">
        <w:rPr>
          <w:noProof/>
        </w:rPr>
        <w:t xml:space="preserve"> ja partnerlused,</w:t>
      </w:r>
      <w:r w:rsidRPr="00A33D16">
        <w:rPr>
          <w:rStyle w:val="FootnoteReference"/>
          <w:noProof/>
        </w:rPr>
        <w:footnoteReference w:id="93"/>
      </w:r>
      <w:r w:rsidRPr="00A33D16">
        <w:rPr>
          <w:noProof/>
        </w:rPr>
        <w:t xml:space="preserve"> ning eesmärk „Elamine ja töötamine tervist edendavas keskkonnas“, milles käsitletakse keskkonnaga kokkupuute mõju inimeste tervisele. Kogu programm hõlmab ka saaste vähendamise alaseid teadusuuringuid ja innovatsiooni. </w:t>
      </w:r>
    </w:p>
    <w:p w14:paraId="306A684B" w14:textId="48BC068F" w:rsidR="00E06994" w:rsidRPr="00A33D16" w:rsidRDefault="00E06994" w:rsidP="00E06994">
      <w:pPr>
        <w:pStyle w:val="Text1"/>
        <w:rPr>
          <w:noProof/>
        </w:rPr>
      </w:pPr>
      <w:r w:rsidRPr="00A33D16">
        <w:rPr>
          <w:noProof/>
        </w:rPr>
        <w:t xml:space="preserve">Paljud </w:t>
      </w:r>
      <w:r w:rsidRPr="00A33D16">
        <w:rPr>
          <w:b/>
          <w:bCs/>
          <w:noProof/>
        </w:rPr>
        <w:t>programmide „Horisont 2020“ ja „Euroopa horisont“ projektid on toetanud ja toetavad jätkuvalt nullsaaste saavutamiseks tehtavaid jõupingutusi</w:t>
      </w:r>
      <w:r w:rsidRPr="00A33D16">
        <w:rPr>
          <w:noProof/>
        </w:rPr>
        <w:t>,</w:t>
      </w:r>
      <w:r w:rsidRPr="00A33D16">
        <w:rPr>
          <w:rStyle w:val="FootnoteReference"/>
          <w:noProof/>
        </w:rPr>
        <w:footnoteReference w:id="94"/>
      </w:r>
      <w:r w:rsidRPr="00A33D16">
        <w:rPr>
          <w:noProof/>
        </w:rPr>
        <w:t xml:space="preserve"> eelkõige järgmistes valdkondades: haiguste ennetamine ja tervise edendamine, veekasutus ja -majandus, õhu, magevee ja pinnase kvaliteet, merekeskkonna kaitse, ohutuks ja kestlikuks kavandatud kemikaalide ja materjalide väljatöötamine, ringlus, põllumajandus, toidusüsteemid (sealhulgas algatuse „Food 2030“ ja nullsaastega toidusüsteemide kaudu), tööstusinnovatsioon, biomajandus, transport, energeetika, keskkonnaseire ja -vaatlus. Kliimameetmetega seotud teadusuuringute ja innovatsiooniga kaasnev kasu keskkonnale toob sageli kaasa saaste vältimise ja vähendamise, mis aitab kaitsta elurikkust ja looduslikke ökosüsteeme. Üks näide on ELi kliimaneutraalsete ja arukate linnade missiooni 2024. aasta spetsiaalne projektikonkurss, milles keskenduti linnade saastevabaks muutmisele ja mille raames esitati üle 100 taotluse</w:t>
      </w:r>
      <w:r w:rsidRPr="00A33D16">
        <w:rPr>
          <w:rStyle w:val="FootnoteReference"/>
          <w:noProof/>
        </w:rPr>
        <w:footnoteReference w:id="95"/>
      </w:r>
      <w:r w:rsidRPr="00A33D16">
        <w:rPr>
          <w:noProof/>
        </w:rPr>
        <w:t xml:space="preserve">. </w:t>
      </w:r>
    </w:p>
    <w:p w14:paraId="7D2FD0FF" w14:textId="65007151" w:rsidR="00E06994" w:rsidRPr="00A33D16" w:rsidRDefault="00E06994" w:rsidP="00E06994">
      <w:pPr>
        <w:pStyle w:val="Text1"/>
        <w:rPr>
          <w:rFonts w:ascii="Aptos" w:eastAsia="Aptos" w:hAnsi="Aptos" w:cs="Aptos"/>
          <w:noProof/>
          <w:sz w:val="22"/>
          <w:szCs w:val="22"/>
        </w:rPr>
      </w:pPr>
      <w:r w:rsidRPr="00A33D16">
        <w:rPr>
          <w:b/>
          <w:noProof/>
        </w:rPr>
        <w:t>Programm LIFE</w:t>
      </w:r>
      <w:r w:rsidRPr="00A33D16">
        <w:rPr>
          <w:noProof/>
        </w:rPr>
        <w:t xml:space="preserve"> on jätkuvalt keskkonnasäästlike lahenduste tutvustamise, kasutuselevõtu ja poliitika elluviimise liikumapanev jõud kõigis liikmesriikides. LIFE täiendab programmi „Euroopa horisont“, see vähendab turustamiseelsete lahendustega seotud riske ning toetab nende kasutuselevõttu ametiasutuste, kommunaalteenuste osutajate ja VKEde poolt. Katseprojektide ja ulatuslike näidisprojektide, juhtimise parandamise, suutlikkuse suurendamise ja sihipärase poliitilise toetuse kaudu aitab LIFE muuta ökoinnovatsiooni korratavateks ja investeerimiskõlblikeks nullsaaste tavadeks kogu ELis ja selle naabruses. Alates 2014. aastast on üle 170 LIFE-projekti, mida EL on rahastanud 400 miljoni euroga, tegelenud õhu-, vee- ja pinnasesaaste probleemidega, kusjuures see on andnud kohapeal mõõdetavaid tulemusi ning seda on arvesse võetud ELi õigusaktides ja standardites</w:t>
      </w:r>
      <w:r w:rsidRPr="00A33D16">
        <w:rPr>
          <w:rStyle w:val="FootnoteReference"/>
          <w:noProof/>
        </w:rPr>
        <w:footnoteReference w:id="96"/>
      </w:r>
      <w:r w:rsidRPr="00A33D16">
        <w:rPr>
          <w:noProof/>
        </w:rPr>
        <w:t>.</w:t>
      </w:r>
      <w:r w:rsidRPr="00A33D16">
        <w:rPr>
          <w:rFonts w:ascii="Aptos" w:hAnsi="Aptos"/>
          <w:noProof/>
          <w:sz w:val="22"/>
        </w:rPr>
        <w:t xml:space="preserve"> </w:t>
      </w:r>
      <w:r w:rsidRPr="00A33D16">
        <w:rPr>
          <w:noProof/>
        </w:rPr>
        <w:t>Ka tulevikus on ELi rahastamisel tähtis osa, kuna kõik programmi LIFE põhijooned on lisatud Euroopa Konkurentsivõime Fondi ettepanekusse.</w:t>
      </w:r>
    </w:p>
    <w:p w14:paraId="2982A0A7" w14:textId="2B251CCC" w:rsidR="00E06994" w:rsidRPr="00A33D16" w:rsidRDefault="00E06994" w:rsidP="00D50E80">
      <w:pPr>
        <w:pStyle w:val="Text1"/>
        <w:spacing w:before="240"/>
        <w:rPr>
          <w:noProof/>
        </w:rPr>
      </w:pPr>
      <w:r w:rsidRPr="00A33D16">
        <w:rPr>
          <w:b/>
          <w:noProof/>
        </w:rPr>
        <w:t>Peamine tulevane innovatsiooniteema on pärand- ja jääkreostuse kõrvaldamine.</w:t>
      </w:r>
      <w:r w:rsidRPr="00A33D16">
        <w:rPr>
          <w:noProof/>
        </w:rPr>
        <w:t xml:space="preserve"> Vee- ja mullaseire näitab saastekollete suurt arvu kogu ELis</w:t>
      </w:r>
      <w:r w:rsidRPr="00A33D16">
        <w:rPr>
          <w:rStyle w:val="FootnoteReference"/>
          <w:noProof/>
        </w:rPr>
        <w:footnoteReference w:id="97"/>
      </w:r>
      <w:r w:rsidRPr="00A33D16">
        <w:rPr>
          <w:noProof/>
        </w:rPr>
        <w:t>. Uue mullaseire direktiivi ja looduse taastamise määruse rakendamisega aidatakse seda probleemi teataval määral lahendada. Siin võivad kulutõhusaks osutuda looduspõhised lahendused ja biotervendus. Selliste lahenduste väljatöötamist püütakse toetada avaliku ja erasektori algatusega, mille eesmärk on saavutada tehnoloogiline läbimurre teostatavates ja taskukohastes PFASide ja muude püsivate kemikaalide avastamise ja kõrvaldamise meetodites</w:t>
      </w:r>
      <w:r w:rsidRPr="00A33D16">
        <w:rPr>
          <w:rStyle w:val="FootnoteReference"/>
          <w:noProof/>
        </w:rPr>
        <w:footnoteReference w:id="98"/>
      </w:r>
      <w:r w:rsidRPr="00A33D16">
        <w:rPr>
          <w:noProof/>
        </w:rPr>
        <w:t xml:space="preserve">. </w:t>
      </w:r>
    </w:p>
    <w:p w14:paraId="63344318" w14:textId="6ED20B28" w:rsidR="00E06994" w:rsidRPr="00A33D16" w:rsidRDefault="03B3FCF4" w:rsidP="00D50E80">
      <w:pPr>
        <w:pStyle w:val="Text1"/>
        <w:spacing w:before="240"/>
        <w:rPr>
          <w:noProof/>
        </w:rPr>
      </w:pPr>
      <w:r w:rsidRPr="00A33D16">
        <w:rPr>
          <w:b/>
          <w:noProof/>
        </w:rPr>
        <w:t>Nullsaaste saavutamiseks on olemas digilahendused,</w:t>
      </w:r>
      <w:r w:rsidRPr="00A33D16">
        <w:rPr>
          <w:rStyle w:val="FootnoteReference"/>
          <w:noProof/>
        </w:rPr>
        <w:footnoteReference w:id="99"/>
      </w:r>
      <w:r w:rsidRPr="00A33D16">
        <w:rPr>
          <w:b/>
          <w:noProof/>
        </w:rPr>
        <w:t xml:space="preserve"> kuid ületada tuleb nende kasutuselevõttu takistavad tegurid</w:t>
      </w:r>
      <w:r w:rsidRPr="00A33D16">
        <w:rPr>
          <w:noProof/>
        </w:rPr>
        <w:t>. Eluslaborite Euroopa võrgustik (ENoLL) on esitanud mõned soovitused</w:t>
      </w:r>
      <w:r w:rsidRPr="00A33D16">
        <w:rPr>
          <w:rStyle w:val="FootnoteReference"/>
          <w:noProof/>
        </w:rPr>
        <w:footnoteReference w:id="100"/>
      </w:r>
      <w:r w:rsidRPr="00A33D16">
        <w:rPr>
          <w:noProof/>
        </w:rPr>
        <w:t xml:space="preserve"> nullsaaste toetamise eluslaborite kohta, mis võivad aidata suurendada digilahenduste kasutuselevõttu. Uued võimalused tekivad andmete, näiteks Maa seire andmete kombineerimisel tehisintellekti ja modelleerimisega. Uued Copernicuse Sentineli satelliidid annavad täpsemaid ja ajakohasemaid andmeid näiteks õhukvaliteedi ja heitkoguste kohta. Algatusega </w:t>
      </w:r>
      <w:r w:rsidRPr="00A33D16">
        <w:rPr>
          <w:b/>
          <w:bCs/>
          <w:noProof/>
        </w:rPr>
        <w:t>„Destination Earth“</w:t>
      </w:r>
      <w:r w:rsidRPr="00A33D16">
        <w:rPr>
          <w:rStyle w:val="FootnoteReference"/>
          <w:noProof/>
        </w:rPr>
        <w:footnoteReference w:id="101"/>
      </w:r>
      <w:r w:rsidRPr="00A33D16">
        <w:rPr>
          <w:noProof/>
        </w:rPr>
        <w:t xml:space="preserve"> ja</w:t>
      </w:r>
      <w:r w:rsidRPr="00A33D16">
        <w:rPr>
          <w:noProof/>
          <w:color w:val="D13438"/>
          <w:shd w:val="clear" w:color="auto" w:fill="FFFFFF"/>
        </w:rPr>
        <w:t xml:space="preserve"> </w:t>
      </w:r>
      <w:r w:rsidRPr="00A33D16">
        <w:rPr>
          <w:b/>
          <w:bCs/>
          <w:noProof/>
        </w:rPr>
        <w:t xml:space="preserve">maailmamere digiteisikuga </w:t>
      </w:r>
      <w:r w:rsidRPr="00A33D16">
        <w:rPr>
          <w:noProof/>
        </w:rPr>
        <w:t xml:space="preserve">– </w:t>
      </w:r>
      <w:r w:rsidRPr="00A33D16">
        <w:rPr>
          <w:noProof/>
          <w:u w:val="single"/>
        </w:rPr>
        <w:t>tihedas koostoimes tulevase maailmamere seire algatuse ja maailmamerd käsitleva õigusaktiga</w:t>
      </w:r>
      <w:r w:rsidRPr="00A33D16">
        <w:rPr>
          <w:noProof/>
        </w:rPr>
        <w:t xml:space="preserve"> – soovitakse toetada selliseid tipptasemel vahendeid muu hulgas saasteprobleemidega tegelemisel. Selles valdkonnas annab oma panuse ka Euroopa Komisjoni Teadusuuringute Ühiskeskus (JRC), kasutades nullsaaste väljavaatearuande merereostusmudeleid. </w:t>
      </w:r>
    </w:p>
    <w:p w14:paraId="44FC89A2" w14:textId="77777777" w:rsidR="008A341A" w:rsidRPr="00012E94" w:rsidRDefault="005F4747" w:rsidP="008A341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b/>
          <w:i/>
          <w:noProof/>
          <w:sz w:val="22"/>
          <w:szCs w:val="22"/>
        </w:rPr>
        <w:t>Puhtam keskkond – nullsaaste Maa seire ja digiteisikute abil</w:t>
      </w:r>
    </w:p>
    <w:p w14:paraId="3F87494A" w14:textId="0B02FF89" w:rsidR="005F4747" w:rsidRPr="00012E94" w:rsidRDefault="000120D9" w:rsidP="008A341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noProof/>
          <w:sz w:val="22"/>
          <w:szCs w:val="22"/>
        </w:rPr>
      </w:pPr>
      <w:r w:rsidRPr="00012E94">
        <w:rPr>
          <w:i/>
          <w:noProof/>
          <w:sz w:val="22"/>
          <w:szCs w:val="22"/>
        </w:rPr>
        <w:t xml:space="preserve">ELi kosmoseprogrammi Maa seire komponent </w:t>
      </w:r>
      <w:hyperlink r:id="rId104" w:history="1">
        <w:r w:rsidRPr="00012E94">
          <w:rPr>
            <w:rStyle w:val="Hyperlink"/>
            <w:b/>
            <w:i/>
            <w:noProof/>
            <w:sz w:val="22"/>
            <w:szCs w:val="22"/>
          </w:rPr>
          <w:t>Copernicus</w:t>
        </w:r>
      </w:hyperlink>
      <w:r w:rsidRPr="00012E94">
        <w:rPr>
          <w:i/>
          <w:noProof/>
          <w:sz w:val="22"/>
          <w:szCs w:val="22"/>
        </w:rPr>
        <w:t xml:space="preserve"> on võimaldanud välja töötada mitu majanduslikku lahendust nullsaaste saavutamiseks. Maa seire, tehisintellekti ja masinõppe kasutamisega võib märkimisväärselt parandada õhu, maailmamere, magevee ja mulla kvaliteedi, maa degradeerumise ja raadamise ning tarneahela mõju keskkonnaseiret (</w:t>
      </w:r>
      <w:hyperlink r:id="rId105" w:tgtFrame="_blank" w:history="1">
        <w:r w:rsidRPr="00012E94">
          <w:rPr>
            <w:rStyle w:val="Hyperlink"/>
            <w:b/>
            <w:i/>
            <w:noProof/>
            <w:sz w:val="22"/>
            <w:szCs w:val="22"/>
          </w:rPr>
          <w:t>Orbify</w:t>
        </w:r>
      </w:hyperlink>
      <w:r w:rsidRPr="00012E94">
        <w:rPr>
          <w:i/>
          <w:noProof/>
          <w:sz w:val="22"/>
          <w:szCs w:val="22"/>
        </w:rPr>
        <w:t>). Samuti on see võimaldanud välja töötada saastekriiside ohjamise platvormi, mis jälgib jõgesid, veehoidlaid ja linnapiirkondi ning aitab kohalikel omavalitsustel saastet jälgida ja reostusjuhtumitele kiiresti reageerida (</w:t>
      </w:r>
      <w:hyperlink r:id="rId106" w:tgtFrame="_blank" w:history="1">
        <w:r w:rsidRPr="00012E94">
          <w:rPr>
            <w:rStyle w:val="Hyperlink"/>
            <w:b/>
            <w:i/>
            <w:noProof/>
            <w:sz w:val="22"/>
            <w:szCs w:val="22"/>
          </w:rPr>
          <w:t>Azulfy</w:t>
        </w:r>
      </w:hyperlink>
      <w:r w:rsidRPr="00012E94">
        <w:rPr>
          <w:i/>
          <w:noProof/>
          <w:sz w:val="22"/>
          <w:szCs w:val="22"/>
        </w:rPr>
        <w:t>).</w:t>
      </w:r>
      <w:r w:rsidRPr="00012E94">
        <w:rPr>
          <w:b/>
          <w:i/>
          <w:noProof/>
          <w:sz w:val="22"/>
          <w:szCs w:val="22"/>
        </w:rPr>
        <w:t xml:space="preserve"> </w:t>
      </w:r>
      <w:r w:rsidRPr="00012E94">
        <w:rPr>
          <w:i/>
          <w:noProof/>
          <w:sz w:val="22"/>
          <w:szCs w:val="22"/>
        </w:rPr>
        <w:t>On ka selliseid digiplatvorme, mis võimaldavad kodanikel teha oma kogukondades reaalajas kindlaks ebaseaduslikud jäätmehoidlad ja neist teatada, aidates suurendada teadlikkust ja toetada kiireid kohalikke meetmeid (</w:t>
      </w:r>
      <w:hyperlink r:id="rId107" w:tgtFrame="_blank" w:history="1">
        <w:r w:rsidRPr="00012E94">
          <w:rPr>
            <w:rStyle w:val="Hyperlink"/>
            <w:b/>
            <w:i/>
            <w:noProof/>
            <w:sz w:val="22"/>
            <w:szCs w:val="22"/>
          </w:rPr>
          <w:t>WasteNoTime</w:t>
        </w:r>
      </w:hyperlink>
      <w:r w:rsidRPr="00012E94">
        <w:rPr>
          <w:i/>
          <w:noProof/>
          <w:sz w:val="22"/>
          <w:szCs w:val="22"/>
        </w:rPr>
        <w:t xml:space="preserve">). Need vahendid aitavad ka ettevõtjatel liikuda nullsaaste suunas. </w:t>
      </w:r>
      <w:r w:rsidRPr="00012E94">
        <w:rPr>
          <w:b/>
          <w:i/>
          <w:noProof/>
          <w:sz w:val="22"/>
          <w:szCs w:val="22"/>
        </w:rPr>
        <w:t>Nutipõllumajanduse</w:t>
      </w:r>
      <w:r w:rsidRPr="00012E94">
        <w:rPr>
          <w:i/>
          <w:noProof/>
          <w:sz w:val="22"/>
          <w:szCs w:val="22"/>
        </w:rPr>
        <w:t xml:space="preserve"> rakendused võivad vähendada saastet ja säästa kulusid, sest aitavad põllumajandustootjatel viia põllumajanduslikud sisendid (väetised, pestitsiidid, vesi) vastavusse põllukultuuride tegelike vajadustega (</w:t>
      </w:r>
      <w:hyperlink r:id="rId108" w:tgtFrame="_blank" w:history="1">
        <w:r w:rsidRPr="00012E94">
          <w:rPr>
            <w:rStyle w:val="Hyperlink"/>
            <w:b/>
            <w:i/>
            <w:noProof/>
            <w:sz w:val="22"/>
            <w:szCs w:val="22"/>
          </w:rPr>
          <w:t>SQAT</w:t>
        </w:r>
      </w:hyperlink>
      <w:r w:rsidRPr="00012E94">
        <w:rPr>
          <w:i/>
          <w:noProof/>
          <w:sz w:val="22"/>
          <w:szCs w:val="22"/>
        </w:rPr>
        <w:t>,</w:t>
      </w:r>
      <w:r w:rsidRPr="00012E94">
        <w:rPr>
          <w:b/>
          <w:i/>
          <w:noProof/>
          <w:sz w:val="22"/>
          <w:szCs w:val="22"/>
        </w:rPr>
        <w:t xml:space="preserve"> </w:t>
      </w:r>
      <w:hyperlink r:id="rId109" w:tgtFrame="_blank" w:history="1">
        <w:r w:rsidRPr="00012E94">
          <w:rPr>
            <w:rStyle w:val="Hyperlink"/>
            <w:b/>
            <w:i/>
            <w:noProof/>
            <w:sz w:val="22"/>
            <w:szCs w:val="22"/>
          </w:rPr>
          <w:t>DINOSAR</w:t>
        </w:r>
      </w:hyperlink>
      <w:r w:rsidRPr="00012E94">
        <w:rPr>
          <w:i/>
          <w:noProof/>
          <w:sz w:val="22"/>
          <w:szCs w:val="22"/>
        </w:rPr>
        <w:t xml:space="preserve">, </w:t>
      </w:r>
      <w:hyperlink r:id="rId110" w:history="1">
        <w:r w:rsidRPr="00012E94">
          <w:rPr>
            <w:rStyle w:val="Hyperlink"/>
            <w:b/>
            <w:i/>
            <w:noProof/>
            <w:sz w:val="22"/>
            <w:szCs w:val="22"/>
          </w:rPr>
          <w:t>TerraMetallum</w:t>
        </w:r>
      </w:hyperlink>
      <w:r w:rsidRPr="00012E94">
        <w:rPr>
          <w:i/>
          <w:noProof/>
          <w:sz w:val="22"/>
          <w:szCs w:val="22"/>
        </w:rPr>
        <w:t xml:space="preserve">). </w:t>
      </w:r>
      <w:r w:rsidRPr="00012E94">
        <w:rPr>
          <w:b/>
          <w:i/>
          <w:noProof/>
          <w:sz w:val="22"/>
          <w:szCs w:val="22"/>
        </w:rPr>
        <w:t>Lennujaamade ja lennutrajektooride</w:t>
      </w:r>
      <w:r w:rsidRPr="00012E94">
        <w:rPr>
          <w:i/>
          <w:noProof/>
          <w:sz w:val="22"/>
          <w:szCs w:val="22"/>
        </w:rPr>
        <w:t xml:space="preserve"> toimimise optimeerimine aitab vähendada müra, kütusekulu ning õhu- ja kasvuhoonegaaside heidet (</w:t>
      </w:r>
      <w:hyperlink r:id="rId111" w:tgtFrame="_blank" w:history="1">
        <w:r w:rsidRPr="00012E94">
          <w:rPr>
            <w:rStyle w:val="Hyperlink"/>
            <w:b/>
            <w:i/>
            <w:noProof/>
            <w:sz w:val="22"/>
            <w:szCs w:val="22"/>
          </w:rPr>
          <w:t>EDGAR</w:t>
        </w:r>
      </w:hyperlink>
      <w:r w:rsidRPr="00012E94">
        <w:rPr>
          <w:i/>
          <w:noProof/>
          <w:sz w:val="22"/>
          <w:szCs w:val="22"/>
        </w:rPr>
        <w:t xml:space="preserve">, </w:t>
      </w:r>
      <w:hyperlink r:id="rId112" w:tgtFrame="_blank" w:history="1">
        <w:r w:rsidRPr="00012E94">
          <w:rPr>
            <w:rStyle w:val="Hyperlink"/>
            <w:b/>
            <w:i/>
            <w:noProof/>
            <w:sz w:val="22"/>
            <w:szCs w:val="22"/>
          </w:rPr>
          <w:t>VITOLMINS</w:t>
        </w:r>
      </w:hyperlink>
      <w:r w:rsidRPr="00012E94">
        <w:rPr>
          <w:i/>
          <w:noProof/>
          <w:sz w:val="22"/>
          <w:szCs w:val="22"/>
        </w:rPr>
        <w:t xml:space="preserve">). Teenused </w:t>
      </w:r>
      <w:r w:rsidRPr="00012E94">
        <w:rPr>
          <w:b/>
          <w:i/>
          <w:noProof/>
          <w:sz w:val="22"/>
          <w:szCs w:val="22"/>
        </w:rPr>
        <w:t>kaevandustegevuse</w:t>
      </w:r>
      <w:r w:rsidRPr="00012E94">
        <w:rPr>
          <w:i/>
          <w:noProof/>
          <w:sz w:val="22"/>
          <w:szCs w:val="22"/>
        </w:rPr>
        <w:t xml:space="preserve"> paremaks geotehniliseks ja keskkonnaseireks kogu olelusringi jooksul alates uurimisest kuni sulgemiseni aitavad parandada käitamisohutust ja -tõhusust ning võimaldavad samal ajal kaevandusettevõtjatel piirata saastet ja jäätmeid ning tegeleda materjalide ringluspõhisema kasutamisega</w:t>
      </w:r>
      <w:r w:rsidRPr="00012E94">
        <w:rPr>
          <w:b/>
          <w:i/>
          <w:noProof/>
          <w:sz w:val="22"/>
          <w:szCs w:val="22"/>
        </w:rPr>
        <w:t xml:space="preserve"> </w:t>
      </w:r>
      <w:r w:rsidRPr="00012E94">
        <w:rPr>
          <w:i/>
          <w:noProof/>
          <w:sz w:val="22"/>
          <w:szCs w:val="22"/>
        </w:rPr>
        <w:t>(</w:t>
      </w:r>
      <w:hyperlink r:id="rId113" w:tgtFrame="_blank" w:history="1">
        <w:r w:rsidRPr="00012E94">
          <w:rPr>
            <w:rStyle w:val="Hyperlink"/>
            <w:b/>
            <w:i/>
            <w:noProof/>
            <w:sz w:val="22"/>
            <w:szCs w:val="22"/>
          </w:rPr>
          <w:t>MOSMIN</w:t>
        </w:r>
      </w:hyperlink>
      <w:r w:rsidRPr="00012E94">
        <w:rPr>
          <w:i/>
          <w:noProof/>
          <w:sz w:val="22"/>
          <w:szCs w:val="22"/>
        </w:rPr>
        <w:t xml:space="preserve">, </w:t>
      </w:r>
      <w:hyperlink r:id="rId114" w:tgtFrame="_blank" w:history="1">
        <w:r w:rsidRPr="00012E94">
          <w:rPr>
            <w:rStyle w:val="Hyperlink"/>
            <w:b/>
            <w:i/>
            <w:noProof/>
            <w:sz w:val="22"/>
            <w:szCs w:val="22"/>
          </w:rPr>
          <w:t>TerraEye</w:t>
        </w:r>
      </w:hyperlink>
      <w:r w:rsidRPr="00012E94">
        <w:rPr>
          <w:i/>
          <w:noProof/>
          <w:sz w:val="22"/>
          <w:szCs w:val="22"/>
        </w:rPr>
        <w:t>). </w:t>
      </w:r>
    </w:p>
    <w:p w14:paraId="74370467" w14:textId="4376202E" w:rsidR="00E06994" w:rsidRPr="00A33D16" w:rsidRDefault="00E06994" w:rsidP="00CD65EB">
      <w:pPr>
        <w:pStyle w:val="Text1"/>
        <w:spacing w:before="240"/>
        <w:rPr>
          <w:noProof/>
        </w:rPr>
      </w:pPr>
      <w:r w:rsidRPr="00A33D16">
        <w:rPr>
          <w:b/>
          <w:noProof/>
        </w:rPr>
        <w:t>Digiüleminek oleneb kvaliteetsete andmete kättesaadavusest ja kasutatavusest.</w:t>
      </w:r>
      <w:r w:rsidRPr="00A33D16">
        <w:rPr>
          <w:noProof/>
        </w:rPr>
        <w:t xml:space="preserve"> Mitme projektiga edendatakse keskkonnaandmetel põhinevaid teenuseid ja pannakse rakendamise kiirendamisel rõhku nullsaaste tähtsusele</w:t>
      </w:r>
      <w:r w:rsidRPr="00A33D16">
        <w:rPr>
          <w:rStyle w:val="FootnoteReference"/>
          <w:noProof/>
        </w:rPr>
        <w:footnoteReference w:id="102"/>
      </w:r>
      <w:r w:rsidRPr="00A33D16">
        <w:rPr>
          <w:noProof/>
        </w:rPr>
        <w:t>. Ühtlasi on käivitatud mitu arukate kogukondade katseprojekti, et koguda andmeid nullsaaste kohta linnades</w:t>
      </w:r>
      <w:r w:rsidRPr="00A33D16">
        <w:rPr>
          <w:rStyle w:val="FootnoteReference"/>
          <w:noProof/>
        </w:rPr>
        <w:footnoteReference w:id="103"/>
      </w:r>
      <w:r w:rsidRPr="00A33D16">
        <w:rPr>
          <w:noProof/>
        </w:rPr>
        <w:t>. Peamine vahend saasteandmete kättesaadavuse parandamiseks on uus õigusraamistik, milles lähtutakse põhimõttest „</w:t>
      </w:r>
      <w:r w:rsidRPr="00A33D16">
        <w:rPr>
          <w:b/>
          <w:bCs/>
          <w:noProof/>
        </w:rPr>
        <w:t>üks aine – üks hindamine</w:t>
      </w:r>
      <w:r w:rsidRPr="00A33D16">
        <w:rPr>
          <w:noProof/>
        </w:rPr>
        <w:t>“ ja millega luuakse muu hulgas ühine andmeplatvorm</w:t>
      </w:r>
      <w:r w:rsidRPr="00A33D16">
        <w:rPr>
          <w:rStyle w:val="FootnoteReference"/>
          <w:noProof/>
        </w:rPr>
        <w:footnoteReference w:id="104"/>
      </w:r>
      <w:r w:rsidRPr="00A33D16">
        <w:rPr>
          <w:noProof/>
        </w:rPr>
        <w:t xml:space="preserve"> ja ühtne kontaktpunkt kemikaaliandmetele juurdepääsuks. Komisjon valmistab ette ka veesektori digitaliseerimise tegevuskava, et suurendada teadlikkust sellistest suundumustest ja toetada neid süstemaatilisemalt. </w:t>
      </w:r>
      <w:r w:rsidRPr="00A33D16">
        <w:rPr>
          <w:b/>
          <w:noProof/>
        </w:rPr>
        <w:t>Digivahendid võivad aidata ka tarbijatel ja kodanikel teha keskkonnasõbralikke valikuid</w:t>
      </w:r>
      <w:r w:rsidRPr="00A33D16">
        <w:rPr>
          <w:noProof/>
        </w:rPr>
        <w:t>, mis toetavad nullsaaste eesmärke</w:t>
      </w:r>
      <w:r w:rsidRPr="00A33D16">
        <w:rPr>
          <w:b/>
          <w:noProof/>
        </w:rPr>
        <w:t>.</w:t>
      </w:r>
      <w:r w:rsidRPr="00A33D16">
        <w:rPr>
          <w:noProof/>
        </w:rPr>
        <w:t xml:space="preserve"> Kodanikud tahavad üha enam teada, kui puhas on õhk, mida nad sisse hingavad, või kas teatavad tooted sisaldavad ohtlikke kemikaale. </w:t>
      </w:r>
    </w:p>
    <w:p w14:paraId="1F6C0DE1" w14:textId="77777777" w:rsidR="00E561CA" w:rsidRPr="00012E94" w:rsidRDefault="00E561CA" w:rsidP="00E561C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b/>
          <w:i/>
          <w:noProof/>
          <w:sz w:val="22"/>
          <w:szCs w:val="22"/>
        </w:rPr>
        <w:t>Puhtad tooted – nullsaastega seotud valikute tegemine</w:t>
      </w:r>
    </w:p>
    <w:p w14:paraId="4F48EC85" w14:textId="0CD5B610" w:rsidR="008A341A" w:rsidRPr="00012E94" w:rsidRDefault="00E561CA" w:rsidP="00E561C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012E94">
        <w:rPr>
          <w:i/>
          <w:noProof/>
          <w:sz w:val="22"/>
          <w:szCs w:val="22"/>
        </w:rPr>
        <w:t>Mitmed kasutajasõbralikud tarbijarakendused võimaldavad kindlaks teha tooted, mille puhul välditakse ohtlike omadustega kemikaalide kasutamist (</w:t>
      </w:r>
      <w:hyperlink r:id="rId115" w:history="1">
        <w:r w:rsidRPr="00012E94">
          <w:rPr>
            <w:rStyle w:val="Hyperlink"/>
            <w:b/>
            <w:i/>
            <w:noProof/>
            <w:sz w:val="22"/>
            <w:szCs w:val="22"/>
          </w:rPr>
          <w:t>Yuka</w:t>
        </w:r>
      </w:hyperlink>
      <w:r w:rsidRPr="00012E94">
        <w:rPr>
          <w:b/>
          <w:i/>
          <w:noProof/>
          <w:sz w:val="22"/>
          <w:szCs w:val="22"/>
        </w:rPr>
        <w:t xml:space="preserve">, </w:t>
      </w:r>
      <w:hyperlink r:id="rId116" w:tgtFrame="_blank" w:history="1">
        <w:r w:rsidRPr="00012E94">
          <w:rPr>
            <w:rStyle w:val="Hyperlink"/>
            <w:b/>
            <w:i/>
            <w:noProof/>
            <w:sz w:val="22"/>
            <w:szCs w:val="22"/>
          </w:rPr>
          <w:t>ToxFox</w:t>
        </w:r>
      </w:hyperlink>
      <w:r w:rsidRPr="00012E94">
        <w:rPr>
          <w:i/>
          <w:noProof/>
          <w:sz w:val="22"/>
          <w:szCs w:val="22"/>
        </w:rPr>
        <w:t xml:space="preserve">, </w:t>
      </w:r>
      <w:hyperlink r:id="rId117" w:tgtFrame="_blank" w:history="1">
        <w:r w:rsidRPr="00012E94">
          <w:rPr>
            <w:rStyle w:val="Hyperlink"/>
            <w:b/>
            <w:i/>
            <w:noProof/>
            <w:sz w:val="22"/>
            <w:szCs w:val="22"/>
          </w:rPr>
          <w:t>KEMILUPPEN</w:t>
        </w:r>
      </w:hyperlink>
      <w:r w:rsidRPr="00012E94">
        <w:rPr>
          <w:b/>
          <w:i/>
          <w:noProof/>
          <w:sz w:val="22"/>
          <w:szCs w:val="22"/>
        </w:rPr>
        <w:t xml:space="preserve">, </w:t>
      </w:r>
      <w:hyperlink r:id="rId118" w:tgtFrame="_blank" w:history="1">
        <w:r w:rsidRPr="00012E94">
          <w:rPr>
            <w:rStyle w:val="Hyperlink"/>
            <w:b/>
            <w:i/>
            <w:noProof/>
            <w:sz w:val="22"/>
            <w:szCs w:val="22"/>
          </w:rPr>
          <w:t>CheckED yourself</w:t>
        </w:r>
      </w:hyperlink>
      <w:r w:rsidRPr="00012E94">
        <w:rPr>
          <w:i/>
          <w:noProof/>
          <w:sz w:val="22"/>
          <w:szCs w:val="22"/>
        </w:rPr>
        <w:t xml:space="preserve">, </w:t>
      </w:r>
      <w:hyperlink r:id="rId119" w:history="1">
        <w:r w:rsidRPr="00012E94">
          <w:rPr>
            <w:rStyle w:val="Hyperlink"/>
            <w:b/>
            <w:i/>
            <w:noProof/>
            <w:sz w:val="22"/>
            <w:szCs w:val="22"/>
          </w:rPr>
          <w:t>SIN List</w:t>
        </w:r>
      </w:hyperlink>
      <w:r w:rsidRPr="00012E94">
        <w:rPr>
          <w:i/>
          <w:noProof/>
          <w:sz w:val="22"/>
          <w:szCs w:val="22"/>
        </w:rPr>
        <w:t>). Mõned rakendused keskenduvad mitmesugustele igapäevastele toodetele, nagu toiduained, kosmeetika, hügieenitooted, mänguasjad, mööbel, vaibad, spordijalatsid, tekstiilid ja elektroonikaseadmed. Teised uurivad ohtlikke omadusi, sealhulgas endokriinfunktsiooni kahjustavaid kemikaale, ning pakuvad asendusvõimalusi või annavad personaalseid soovitusi kodukeskkonna, elustiili ja igapäevaste harjumuste kohta. Need rakendused aitavad kaasa innovatsioonile ja suurendavad tarbijate (ja seega ka ettevõtjate) teadlikkust soovimatutest kemikaalidest. </w:t>
      </w:r>
    </w:p>
    <w:p w14:paraId="5CF25164" w14:textId="7DB62E5E" w:rsidR="00E06994" w:rsidRPr="00A33D16" w:rsidRDefault="00E06994" w:rsidP="00A758E6">
      <w:pPr>
        <w:pStyle w:val="Text1"/>
        <w:spacing w:before="240"/>
        <w:rPr>
          <w:noProof/>
        </w:rPr>
      </w:pPr>
      <w:r w:rsidRPr="00A33D16">
        <w:rPr>
          <w:b/>
          <w:noProof/>
        </w:rPr>
        <w:t>Puhta keskkonna saavutamist takistab oskuste ja koolituse nappus.</w:t>
      </w:r>
      <w:r w:rsidRPr="00A33D16">
        <w:rPr>
          <w:noProof/>
        </w:rPr>
        <w:t xml:space="preserve"> </w:t>
      </w:r>
      <w:bookmarkStart w:id="40" w:name="_Toc66088931"/>
      <w:bookmarkStart w:id="41" w:name="_Toc66214564"/>
      <w:bookmarkStart w:id="42" w:name="_Toc66216750"/>
      <w:bookmarkStart w:id="43" w:name="_Toc63329300"/>
      <w:bookmarkStart w:id="44" w:name="_Toc63355575"/>
      <w:bookmarkStart w:id="45" w:name="_Toc64546938"/>
      <w:bookmarkStart w:id="46" w:name="_Toc64638196"/>
      <w:bookmarkStart w:id="47" w:name="_Toc64638318"/>
      <w:bookmarkStart w:id="48" w:name="_Toc64644063"/>
      <w:bookmarkStart w:id="49" w:name="_Toc64648450"/>
      <w:bookmarkStart w:id="50" w:name="_Toc65056278"/>
      <w:bookmarkStart w:id="51" w:name="_Toc65056482"/>
      <w:bookmarkStart w:id="52" w:name="_Toc65056567"/>
      <w:bookmarkStart w:id="53" w:name="_Toc64627755"/>
      <w:bookmarkStart w:id="54" w:name="_Toc64629567"/>
      <w:bookmarkStart w:id="55" w:name="_Toc64629703"/>
      <w:bookmarkStart w:id="56" w:name="_Toc64632003"/>
      <w:bookmarkStart w:id="57" w:name="_Toc64635273"/>
      <w:bookmarkStart w:id="58" w:name="_Toc65007743"/>
      <w:bookmarkStart w:id="59" w:name="_Toc65009158"/>
      <w:bookmarkStart w:id="60" w:name="_Toc65009709"/>
      <w:bookmarkStart w:id="61" w:name="_Toc65010818"/>
      <w:bookmarkStart w:id="62" w:name="_Toc65013158"/>
      <w:bookmarkStart w:id="63" w:name="_Toc65050121"/>
      <w:bookmarkEnd w:id="33"/>
      <w:bookmarkEnd w:id="34"/>
      <w:bookmarkEnd w:id="35"/>
      <w:bookmarkEnd w:id="36"/>
      <w:bookmarkEnd w:id="37"/>
      <w:bookmarkEnd w:id="38"/>
      <w:r w:rsidRPr="00A33D16">
        <w:rPr>
          <w:noProof/>
        </w:rPr>
        <w:t>Roheoskuste nappus on laialt levinud, eriti VKEdes ning sellistes olulistes sektorites nagu ehitus, transport, jäätmekäitlus, energeetika ja inseneeria. Digi- ja rohepööre, mis suunab tööhõivesuundumusi kuni 2035. aastani, nõuab igas vanuses ja iga valdkonna inimestelt uute oskuste arendamist</w:t>
      </w:r>
      <w:r w:rsidRPr="00A33D16">
        <w:rPr>
          <w:rStyle w:val="FootnoteReference"/>
          <w:noProof/>
        </w:rPr>
        <w:footnoteReference w:id="105"/>
      </w:r>
      <w:r w:rsidRPr="00A33D16">
        <w:rPr>
          <w:noProof/>
        </w:rPr>
        <w:t>. Tööjõu roheoskuste puudumine on üha suurem probleem. Koolitus ja ümberõpe ei suuda endiselt nõudlusega sammu pidada</w:t>
      </w:r>
      <w:r w:rsidRPr="00A33D16">
        <w:rPr>
          <w:rStyle w:val="FootnoteReference"/>
          <w:noProof/>
        </w:rPr>
        <w:footnoteReference w:id="106"/>
      </w:r>
      <w:r w:rsidRPr="00A33D16">
        <w:rPr>
          <w:noProof/>
        </w:rPr>
        <w:t>. Lisaks üldmeetmetele, millega toetatakse roheoskusi oskuste pakti</w:t>
      </w:r>
      <w:r w:rsidRPr="00A33D16">
        <w:rPr>
          <w:rStyle w:val="FootnoteReference"/>
          <w:noProof/>
        </w:rPr>
        <w:footnoteReference w:id="107"/>
      </w:r>
      <w:r w:rsidRPr="00A33D16">
        <w:rPr>
          <w:noProof/>
        </w:rPr>
        <w:t xml:space="preserve"> (nt piirkondlik partnerlus, mida oskuste pakti raames juhib Euroopa keemiatööstuspiirkondade võrgustik)</w:t>
      </w:r>
      <w:r w:rsidRPr="00A33D16">
        <w:rPr>
          <w:rStyle w:val="FootnoteReference"/>
          <w:noProof/>
        </w:rPr>
        <w:footnoteReference w:id="108"/>
      </w:r>
      <w:r w:rsidRPr="00A33D16">
        <w:rPr>
          <w:noProof/>
        </w:rPr>
        <w:t xml:space="preserve"> kaudu, käivitab komisjon Euroopa veekerksuse strateegia raames sihtotstarbelised algatused (nt arukat veekasutust toetav tööstusliit ja Euroopa Veeakadeemia),</w:t>
      </w:r>
      <w:r w:rsidRPr="00A33D16">
        <w:rPr>
          <w:b/>
          <w:noProof/>
        </w:rPr>
        <w:t xml:space="preserve"> </w:t>
      </w:r>
      <w:r w:rsidRPr="00A33D16">
        <w:rPr>
          <w:noProof/>
        </w:rPr>
        <w:t xml:space="preserve">mis hõlmavad nullsaaste saavutamiseks vajalikke oskusi. </w:t>
      </w:r>
    </w:p>
    <w:p w14:paraId="57295FDD" w14:textId="4121B944" w:rsidR="00E06994" w:rsidRPr="00A33D16" w:rsidRDefault="00E06994" w:rsidP="00E06994">
      <w:pPr>
        <w:pStyle w:val="Text1"/>
        <w:rPr>
          <w:noProof/>
        </w:rPr>
      </w:pPr>
      <w:r w:rsidRPr="00A33D16">
        <w:rPr>
          <w:b/>
          <w:noProof/>
        </w:rPr>
        <w:t xml:space="preserve">Liikmesriikide keskkonnaasutuste suutlikkus on juba praegu väike ja olukord halveneb, kui meetmeid ei võeta. </w:t>
      </w:r>
      <w:r w:rsidRPr="00A33D16">
        <w:rPr>
          <w:noProof/>
        </w:rPr>
        <w:t>Avalik sektor seisab</w:t>
      </w:r>
      <w:r w:rsidRPr="00A33D16">
        <w:rPr>
          <w:b/>
          <w:noProof/>
        </w:rPr>
        <w:t xml:space="preserve"> </w:t>
      </w:r>
      <w:r w:rsidRPr="00A33D16">
        <w:rPr>
          <w:noProof/>
        </w:rPr>
        <w:t>silmitsi tööjõu vananemise ja oskuste nappusega, eelkõige sellistes tehnilistes valdkondades nagu saastekontroll, veepuhastus ja -majandus ning digioskused. Keskkonnapoliitika rakendamise läbivaatamisel rõhutati, et see on väga tähtis aspekt ELi õigusaktide kohapeal rakendamisel</w:t>
      </w:r>
      <w:r w:rsidRPr="00A33D16">
        <w:rPr>
          <w:rStyle w:val="FootnoteReference"/>
          <w:noProof/>
        </w:rPr>
        <w:footnoteReference w:id="109"/>
      </w:r>
      <w:r w:rsidRPr="00A33D16">
        <w:rPr>
          <w:noProof/>
        </w:rPr>
        <w:t xml:space="preserve">. </w:t>
      </w:r>
    </w:p>
    <w:p w14:paraId="694F88C2" w14:textId="77777777"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Komisjon teeb järgmist: </w:t>
      </w:r>
    </w:p>
    <w:p w14:paraId="2B3E74C3" w14:textId="3445B336"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noProof/>
        </w:rPr>
        <w:tab/>
      </w:r>
      <w:r w:rsidRPr="00A33D16">
        <w:rPr>
          <w:b/>
          <w:noProof/>
        </w:rPr>
        <w:t xml:space="preserve">rahastab programmide </w:t>
      </w:r>
      <w:hyperlink r:id="rId120" w:history="1">
        <w:r w:rsidRPr="00A33D16">
          <w:rPr>
            <w:rStyle w:val="Hyperlink"/>
            <w:b/>
            <w:noProof/>
          </w:rPr>
          <w:t>„Euroopa horisont“</w:t>
        </w:r>
      </w:hyperlink>
      <w:r w:rsidRPr="00A33D16">
        <w:rPr>
          <w:b/>
          <w:noProof/>
        </w:rPr>
        <w:t xml:space="preserve"> ja LIFE 2026. ja 2027. aasta tööprogrammide prioriteetseid projekte;</w:t>
      </w:r>
    </w:p>
    <w:p w14:paraId="1612211A" w14:textId="70F8E4AC"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b/>
          <w:noProof/>
        </w:rPr>
        <w:t>kiirendab ja laiendab keemiasektori innovatsiooni vabatahtlike ELi kemikaalivaldkonna innovatsioonikeskuste abil (nagu on sätestatud keemiatööstuse tegevuskavas);</w:t>
      </w:r>
    </w:p>
    <w:p w14:paraId="508CA821" w14:textId="41467D01"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noProof/>
        </w:rPr>
        <w:tab/>
      </w:r>
      <w:r w:rsidRPr="00A33D16">
        <w:rPr>
          <w:b/>
          <w:noProof/>
        </w:rPr>
        <w:t>koostab [2026. aastaks] veesektori digitaliseerimise tegevuskava, nagu on välja kuulutatud Euroopa veekerksuse strateegias.</w:t>
      </w:r>
    </w:p>
    <w:p w14:paraId="3F1AD0FB" w14:textId="77777777" w:rsidR="00E06994" w:rsidRPr="00A33D16" w:rsidRDefault="00E06994" w:rsidP="00371BF5">
      <w:pPr>
        <w:pStyle w:val="Heading2"/>
        <w:keepLines w:val="0"/>
        <w:numPr>
          <w:ilvl w:val="1"/>
          <w:numId w:val="22"/>
        </w:numPr>
        <w:spacing w:before="240" w:after="240"/>
        <w:jc w:val="both"/>
        <w:rPr>
          <w:rFonts w:ascii="Times New Roman" w:eastAsia="Times New Roman" w:hAnsi="Times New Roman" w:cs="Times New Roman"/>
          <w:b/>
          <w:noProof/>
          <w:color w:val="auto"/>
          <w:kern w:val="0"/>
          <w:sz w:val="24"/>
          <w:szCs w:val="20"/>
          <w14:ligatures w14:val="none"/>
        </w:rPr>
      </w:pPr>
      <w:r w:rsidRPr="00A33D16">
        <w:rPr>
          <w:rFonts w:ascii="Times New Roman" w:hAnsi="Times New Roman"/>
          <w:b/>
          <w:noProof/>
          <w:color w:val="auto"/>
          <w:sz w:val="24"/>
        </w:rPr>
        <w:t xml:space="preserve">Rahvusvaheline koostöö – nullsaaste saavutamiseks tehtavate ülemaailmsete muutuste edendamine </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02D0029B" w14:textId="06706C0D" w:rsidR="00E06994" w:rsidRPr="00A33D16" w:rsidRDefault="00EA0374" w:rsidP="00E06994">
      <w:pPr>
        <w:pStyle w:val="Text1"/>
        <w:rPr>
          <w:noProof/>
        </w:rPr>
      </w:pPr>
      <w:r w:rsidRPr="00A33D16">
        <w:rPr>
          <w:noProof/>
        </w:rPr>
        <w:t xml:space="preserve">Rahvusvaheliste mitmepoolsete jõupingutustega, mille eesmärk on liikuda saastevaba maailma suunas, on tehtud märkimisväärseid ja püsivaid, kuigi mõneti aeglasi edusamme. Ajalooliselt tähtis otsus on </w:t>
      </w:r>
      <w:r w:rsidRPr="00A33D16">
        <w:rPr>
          <w:b/>
          <w:noProof/>
        </w:rPr>
        <w:t xml:space="preserve">kemikaalide, jäätmete ja reostuse teaduslik-poliitilise eksperdirühma </w:t>
      </w:r>
      <w:r w:rsidRPr="00A33D16">
        <w:rPr>
          <w:noProof/>
        </w:rPr>
        <w:t xml:space="preserve">loomine 2025. aasta juulis. Koos hiljutiste kokkulepetega, nagu </w:t>
      </w:r>
      <w:r w:rsidRPr="00A33D16">
        <w:rPr>
          <w:b/>
          <w:noProof/>
        </w:rPr>
        <w:t>ülemaailmne kemikaalide raamistik ja mitmepoolsed keskkonnalepingud</w:t>
      </w:r>
      <w:r w:rsidRPr="00A33D16">
        <w:rPr>
          <w:noProof/>
        </w:rPr>
        <w:t xml:space="preserve">, tõstab see saaste vastu võitlemisel lati veelgi kõrgemale, seades selle käsitlemise samale tasemele jõupingutustega, mida tehakse kliimamuutuste ja elurikkuse vähenemise vastu võitlemiseks. </w:t>
      </w:r>
      <w:r w:rsidRPr="00A33D16">
        <w:rPr>
          <w:b/>
          <w:noProof/>
        </w:rPr>
        <w:t xml:space="preserve">Ülemaailmse plastileppe </w:t>
      </w:r>
      <w:r w:rsidRPr="00A33D16">
        <w:rPr>
          <w:noProof/>
        </w:rPr>
        <w:t>üle jätkatakse läbirääkimisi ning ELi eesmärk on sõlmida ulatuslik kokkulepe, mis läheb kaugemale jäätmekäitlusest, et käsitleda plasti kogu olelusringi. Olemasolevaid ülemaailmseid ja/või ÜRO Euroopa Majanduskomisjoni vahendeid</w:t>
      </w:r>
      <w:r w:rsidRPr="00A33D16">
        <w:rPr>
          <w:b/>
          <w:noProof/>
        </w:rPr>
        <w:t xml:space="preserve">, nagu Minamata, Baseli, Rotterdami ja Stockholmi konventsioonid </w:t>
      </w:r>
      <w:r w:rsidRPr="00A33D16">
        <w:rPr>
          <w:noProof/>
        </w:rPr>
        <w:t>ning</w:t>
      </w:r>
      <w:r w:rsidRPr="00A33D16">
        <w:rPr>
          <w:b/>
          <w:noProof/>
        </w:rPr>
        <w:t xml:space="preserve"> Göteborgi protokoll</w:t>
      </w:r>
      <w:r w:rsidRPr="00A33D16">
        <w:rPr>
          <w:noProof/>
        </w:rPr>
        <w:t xml:space="preserve">, rakendatakse järjepidevalt, et luua võrdsed tingimused üha suurema hulga kemikaalide ja saasteallikate puhul. </w:t>
      </w:r>
    </w:p>
    <w:p w14:paraId="0100AA7C" w14:textId="148049BC" w:rsidR="00E06994" w:rsidRPr="00A33D16" w:rsidRDefault="00E06994" w:rsidP="00E06994">
      <w:pPr>
        <w:pStyle w:val="Text1"/>
        <w:rPr>
          <w:noProof/>
        </w:rPr>
      </w:pPr>
      <w:r w:rsidRPr="00A33D16">
        <w:rPr>
          <w:b/>
          <w:noProof/>
        </w:rPr>
        <w:t>Üleilmses elurikkuse raamistikus</w:t>
      </w:r>
      <w:r w:rsidRPr="00A33D16">
        <w:rPr>
          <w:noProof/>
        </w:rPr>
        <w:t xml:space="preserve"> on seatud eesmärk vähendada saastet elurikkusele ohutu tasemeni</w:t>
      </w:r>
      <w:r w:rsidRPr="00A33D16">
        <w:rPr>
          <w:rStyle w:val="FootnoteReference"/>
          <w:noProof/>
        </w:rPr>
        <w:footnoteReference w:id="110"/>
      </w:r>
      <w:r w:rsidRPr="00A33D16">
        <w:rPr>
          <w:noProof/>
        </w:rPr>
        <w:t xml:space="preserve">. ELi liikmesriikide eesmärgid, mis esitati 2024. aastal bioloogilise mitmekesisuse konventsiooni osalejatele ülemaailmse elurikkuse raamistiku rakendamiseks, tuginevad nullsaaste tegevuskavale. 2026. aastal annavad konventsiooniosalised aru nende eesmärkide saavutamisel tehtud edusammudest ja nende nimel võetud meetmetest. </w:t>
      </w:r>
    </w:p>
    <w:p w14:paraId="1199170B" w14:textId="2D712DE6" w:rsidR="00E06994" w:rsidRPr="00A33D16" w:rsidRDefault="00E06994" w:rsidP="00E06994">
      <w:pPr>
        <w:pStyle w:val="Text1"/>
        <w:rPr>
          <w:noProof/>
        </w:rPr>
      </w:pPr>
      <w:r w:rsidRPr="00A33D16">
        <w:rPr>
          <w:noProof/>
        </w:rPr>
        <w:t xml:space="preserve">Õhusaaste valdkonnas ühendab </w:t>
      </w:r>
      <w:r w:rsidRPr="00A33D16">
        <w:rPr>
          <w:b/>
          <w:noProof/>
        </w:rPr>
        <w:t>üleilmne metaaniheite vähendamise lubadus</w:t>
      </w:r>
      <w:r w:rsidRPr="00A33D16">
        <w:rPr>
          <w:rStyle w:val="FootnoteReference"/>
          <w:noProof/>
        </w:rPr>
        <w:footnoteReference w:id="111"/>
      </w:r>
      <w:r w:rsidRPr="00A33D16">
        <w:rPr>
          <w:b/>
          <w:noProof/>
        </w:rPr>
        <w:t xml:space="preserve"> </w:t>
      </w:r>
      <w:r w:rsidRPr="00A33D16">
        <w:rPr>
          <w:noProof/>
        </w:rPr>
        <w:t xml:space="preserve">159 osalevat riiki ja Euroopa Komisjoni, et saavutada eesmärk vähendada 2030. aastaks metaaniheidet 30 % võrreldes 2020. aasta tasemega. </w:t>
      </w:r>
    </w:p>
    <w:p w14:paraId="1ACE245F" w14:textId="77777777" w:rsidR="00E64351" w:rsidRPr="00A33D16" w:rsidRDefault="4C30D291" w:rsidP="44453D6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sidRPr="00A33D16">
        <w:rPr>
          <w:b/>
          <w:i/>
          <w:noProof/>
          <w:sz w:val="22"/>
        </w:rPr>
        <w:t>Puhtam planeet – nullsaaste koostöö kaudu</w:t>
      </w:r>
    </w:p>
    <w:p w14:paraId="049094A8" w14:textId="4D7F37DC" w:rsidR="00E561CA" w:rsidRPr="00A33D16" w:rsidRDefault="00A740DC" w:rsidP="44453D6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hyperlink r:id="rId121">
        <w:r w:rsidR="4C30D291" w:rsidRPr="00A33D16">
          <w:rPr>
            <w:rStyle w:val="Hyperlink"/>
            <w:b/>
            <w:i/>
            <w:noProof/>
            <w:sz w:val="22"/>
          </w:rPr>
          <w:t>Minamata konventsioon</w:t>
        </w:r>
      </w:hyperlink>
      <w:r w:rsidR="4C30D291" w:rsidRPr="00A33D16">
        <w:rPr>
          <w:noProof/>
        </w:rPr>
        <w:t xml:space="preserve"> </w:t>
      </w:r>
      <w:r w:rsidR="4C30D291" w:rsidRPr="00A33D16">
        <w:rPr>
          <w:i/>
          <w:noProof/>
        </w:rPr>
        <w:t>on olnud väga edukas elavhõbedasaaste kõrvaldamisel kogu maailmas.</w:t>
      </w:r>
      <w:r w:rsidR="4C30D291" w:rsidRPr="00A33D16">
        <w:rPr>
          <w:i/>
          <w:noProof/>
          <w:sz w:val="22"/>
        </w:rPr>
        <w:t xml:space="preserve"> 2023. aastal lepiti konventsiooniosaliste konverentsil kokku, et keelustatakse viis elavhõbedat sisaldavat lambikategooriat ning akud, lülitid, releed ja kosmeetikatooted. 2025. aastal oli võimalik kokku leppida hambaamalgaamis sisalduva elavhõbeda ülemaailmses keelustamises. Need ülemaailmsed otsused toetavad veelgi rahvatervise ja keskkonna kaitset elavhõbeda kahjuliku mõju eest. </w:t>
      </w:r>
    </w:p>
    <w:p w14:paraId="7C2A5852" w14:textId="630AB9FB" w:rsidR="00E06994" w:rsidRPr="00A33D16" w:rsidRDefault="00A05D05" w:rsidP="00A758E6">
      <w:pPr>
        <w:pStyle w:val="Text1"/>
        <w:spacing w:before="240"/>
        <w:rPr>
          <w:noProof/>
        </w:rPr>
      </w:pPr>
      <w:r w:rsidRPr="00A33D16">
        <w:rPr>
          <w:b/>
          <w:noProof/>
        </w:rPr>
        <w:t>Komisjon jätkab koostööd liikmesriikidega, et tagada nende mitmepoolsete lepingute edukas rakendamine.</w:t>
      </w:r>
      <w:r w:rsidRPr="00A33D16">
        <w:rPr>
          <w:noProof/>
        </w:rPr>
        <w:t xml:space="preserve"> Eelkõige kemikaalide, jäätmete ja reostuse teaduslik-poliitilise eksperdirühma loomisel on tähtis muuta see toimivaks ja leppida kokku tööprogrammis, mis vastab selle eesmärkidele ning täiendab tööd, mida teevad valitsustevahelised kliimamuutuste, elurikkuse ja ökosüsteemi teenuste eksperdirühmad. Ülemaailmne saaste väljavaatearuanne oleks ideaalne lähtepunkt ülemaailmsete meetmete ulatuse ja prioriteetsete valdkondade kindlaksmääramiseks. EL jätkab ka tihedat koostööd naabritega, kellega tal on ühine merepiirkond</w:t>
      </w:r>
      <w:r w:rsidRPr="00A33D16">
        <w:rPr>
          <w:rStyle w:val="FootnoteReference"/>
          <w:noProof/>
        </w:rPr>
        <w:footnoteReference w:id="112"/>
      </w:r>
      <w:r w:rsidRPr="00A33D16">
        <w:rPr>
          <w:noProof/>
        </w:rPr>
        <w:t xml:space="preserve"> või piiriülesed jõed. Seejuures on väga tähtis rõhutada </w:t>
      </w:r>
      <w:bookmarkStart w:id="64" w:name="_Hlk219999249"/>
      <w:r w:rsidRPr="00A33D16">
        <w:rPr>
          <w:noProof/>
        </w:rPr>
        <w:t>ELi toetust</w:t>
      </w:r>
      <w:r w:rsidRPr="00A33D16">
        <w:rPr>
          <w:noProof/>
          <w:vertAlign w:val="superscript"/>
        </w:rPr>
        <w:footnoteReference w:id="113"/>
      </w:r>
      <w:r w:rsidRPr="00A33D16">
        <w:rPr>
          <w:noProof/>
        </w:rPr>
        <w:t xml:space="preserve"> </w:t>
      </w:r>
      <w:r w:rsidRPr="00A33D16">
        <w:rPr>
          <w:b/>
          <w:noProof/>
        </w:rPr>
        <w:t>Lääne-Balkani riikidele ja teistele laienemisprotsessis osalevatele riikidele</w:t>
      </w:r>
      <w:r w:rsidRPr="00A33D16">
        <w:rPr>
          <w:noProof/>
        </w:rPr>
        <w:t>, kuna paljude nende riikide majanduses on väga saastavaid tööstusharusid ning ebatõhusad vee- ja jäätmekäitlustaristud.</w:t>
      </w:r>
      <w:bookmarkEnd w:id="64"/>
      <w:r w:rsidRPr="00A33D16">
        <w:rPr>
          <w:noProof/>
        </w:rPr>
        <w:t xml:space="preserve"> Need probleemid põhjustavad ka piiriülest saastet, mis mõjutab otseselt naabruses asuvate ELi liikmesriikide suutlikkust saavutada oma eesmärgid</w:t>
      </w:r>
      <w:r w:rsidRPr="00A33D16">
        <w:rPr>
          <w:rStyle w:val="FootnoteReference"/>
          <w:noProof/>
        </w:rPr>
        <w:footnoteReference w:id="114"/>
      </w:r>
      <w:r w:rsidRPr="00A33D16">
        <w:rPr>
          <w:noProof/>
        </w:rPr>
        <w:t xml:space="preserve">. </w:t>
      </w:r>
    </w:p>
    <w:p w14:paraId="7F8B419D" w14:textId="71A7988D" w:rsidR="00E06994" w:rsidRPr="00A33D16" w:rsidRDefault="0068639F" w:rsidP="00E06994">
      <w:pPr>
        <w:pStyle w:val="Text1"/>
        <w:rPr>
          <w:noProof/>
        </w:rPr>
      </w:pPr>
      <w:r w:rsidRPr="00A33D16">
        <w:rPr>
          <w:noProof/>
        </w:rPr>
        <w:t xml:space="preserve">Komisjon jätkab saaste vältimise ja kontrolli alast tööd ka kahepoolsetes aruteludes oma partneritega kogu maailmas. Sellised </w:t>
      </w:r>
      <w:r w:rsidRPr="00A33D16">
        <w:rPr>
          <w:b/>
          <w:noProof/>
        </w:rPr>
        <w:t xml:space="preserve">keskkonnasäästliku kaubanduse ja keskkonnasäästlike investeeringute partnerlused </w:t>
      </w:r>
      <w:r w:rsidRPr="00A33D16">
        <w:rPr>
          <w:noProof/>
        </w:rPr>
        <w:t xml:space="preserve">pakuvad võimalust luua koostoimet kliima- ja saastepoliitika vahel. </w:t>
      </w:r>
    </w:p>
    <w:p w14:paraId="1C611FBF" w14:textId="77777777"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Komisjon teeb järgmist: </w:t>
      </w:r>
    </w:p>
    <w:p w14:paraId="550B91AA" w14:textId="45944EB6"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b/>
          <w:noProof/>
        </w:rPr>
        <w:t xml:space="preserve">jätkab tööd, et rakendada mitmepoolseid keskkonnalepinguid, millele EL on alla kirjutanud, ja </w:t>
      </w:r>
    </w:p>
    <w:p w14:paraId="37E01833" w14:textId="5C3B25BE" w:rsidR="00E06994" w:rsidRPr="00A33D16"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sidRPr="00A33D16">
        <w:rPr>
          <w:b/>
          <w:noProof/>
        </w:rPr>
        <w:t xml:space="preserve">– </w:t>
      </w:r>
      <w:r w:rsidRPr="00A33D16">
        <w:rPr>
          <w:noProof/>
        </w:rPr>
        <w:tab/>
      </w:r>
      <w:r w:rsidRPr="00A33D16">
        <w:rPr>
          <w:b/>
          <w:noProof/>
        </w:rPr>
        <w:t xml:space="preserve">on teenäitaja uue kemikaalide, jäätmete ja reostuse teaduslik-poliitilise eksperdirühma loomisel. </w:t>
      </w:r>
    </w:p>
    <w:p w14:paraId="2B0D3685" w14:textId="77777777" w:rsidR="00E06994" w:rsidRPr="00A33D16" w:rsidRDefault="00E06994" w:rsidP="00371BF5">
      <w:pPr>
        <w:pStyle w:val="Heading2"/>
        <w:keepLines w:val="0"/>
        <w:numPr>
          <w:ilvl w:val="0"/>
          <w:numId w:val="22"/>
        </w:numPr>
        <w:spacing w:before="240" w:after="240"/>
        <w:jc w:val="both"/>
        <w:rPr>
          <w:rFonts w:ascii="Times New Roman" w:eastAsia="Times New Roman" w:hAnsi="Times New Roman" w:cs="Times New Roman"/>
          <w:b/>
          <w:noProof/>
          <w:color w:val="auto"/>
          <w:kern w:val="0"/>
          <w:sz w:val="24"/>
          <w:szCs w:val="20"/>
          <w14:ligatures w14:val="none"/>
        </w:rPr>
      </w:pPr>
      <w:bookmarkStart w:id="65" w:name="_Toc63329301"/>
      <w:bookmarkStart w:id="66" w:name="_Toc63355576"/>
      <w:bookmarkStart w:id="67" w:name="_Toc64546939"/>
      <w:bookmarkStart w:id="68" w:name="_Toc64627756"/>
      <w:bookmarkStart w:id="69" w:name="_Toc64629568"/>
      <w:bookmarkStart w:id="70" w:name="_Toc64629704"/>
      <w:bookmarkStart w:id="71" w:name="_Toc64632004"/>
      <w:bookmarkStart w:id="72" w:name="_Toc64635274"/>
      <w:bookmarkStart w:id="73" w:name="_Toc64638197"/>
      <w:bookmarkStart w:id="74" w:name="_Toc64638319"/>
      <w:bookmarkStart w:id="75" w:name="_Toc64644064"/>
      <w:bookmarkStart w:id="76" w:name="_Toc64648451"/>
      <w:bookmarkStart w:id="77" w:name="_Toc65007744"/>
      <w:bookmarkStart w:id="78" w:name="_Toc65009159"/>
      <w:bookmarkStart w:id="79" w:name="_Toc65009710"/>
      <w:bookmarkStart w:id="80" w:name="_Toc65010819"/>
      <w:bookmarkStart w:id="81" w:name="_Toc65013159"/>
      <w:bookmarkStart w:id="82" w:name="_Toc65050122"/>
      <w:bookmarkStart w:id="83" w:name="_Toc65056279"/>
      <w:bookmarkStart w:id="84" w:name="_Toc65056483"/>
      <w:bookmarkStart w:id="85" w:name="_Toc65056568"/>
      <w:bookmarkStart w:id="86" w:name="_Toc66088933"/>
      <w:bookmarkStart w:id="87" w:name="_Toc66214566"/>
      <w:bookmarkStart w:id="88" w:name="_Toc66216752"/>
      <w:r w:rsidRPr="00A33D16">
        <w:rPr>
          <w:rFonts w:ascii="Times New Roman" w:hAnsi="Times New Roman"/>
          <w:b/>
          <w:noProof/>
          <w:color w:val="auto"/>
          <w:sz w:val="24"/>
        </w:rPr>
        <w:t>Järeldused</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A33D16">
        <w:rPr>
          <w:rFonts w:ascii="Times New Roman" w:hAnsi="Times New Roman"/>
          <w:b/>
          <w:noProof/>
          <w:color w:val="auto"/>
          <w:sz w:val="24"/>
        </w:rPr>
        <w:t xml:space="preserve"> ja edasised sammud</w:t>
      </w:r>
    </w:p>
    <w:p w14:paraId="34F14590" w14:textId="71C16327" w:rsidR="00E06994" w:rsidRPr="00A33D16" w:rsidRDefault="00E06994" w:rsidP="00E06994">
      <w:pPr>
        <w:pStyle w:val="Text1"/>
        <w:rPr>
          <w:noProof/>
        </w:rPr>
      </w:pPr>
      <w:r w:rsidRPr="00A33D16">
        <w:rPr>
          <w:noProof/>
        </w:rPr>
        <w:t>2021. aasta mais alustas EL seniolematut teekonda nullsaaste suunas, mis aitab kaasa Euroopa pikaajalisele kestlikule konkurentsi- ja vastupanuvõimele. Käesolevas vahehindamises tuuakse esile edusammud, mida on tehtud 2030. aasta eesmärkide saavutamisel, millega vähendati märkimisväärselt õhusaastet, pestitsiidide kasutamist ja plastireostust merel. Siiski esineb endiselt probleeme, eelkõige jäätmekäitluse, mikroplasti, müra ja toitainetega saastumise valdkonnas.</w:t>
      </w:r>
    </w:p>
    <w:p w14:paraId="403C9939" w14:textId="77777777" w:rsidR="00FF5E98" w:rsidRPr="00A33D16" w:rsidRDefault="00E06994" w:rsidP="00E06994">
      <w:pPr>
        <w:pStyle w:val="Text1"/>
        <w:rPr>
          <w:rFonts w:eastAsia="Aptos"/>
          <w:noProof/>
        </w:rPr>
      </w:pPr>
      <w:r w:rsidRPr="00A33D16">
        <w:rPr>
          <w:b/>
          <w:noProof/>
        </w:rPr>
        <w:t>Üleminek nullsaastega majandusele on teostatav pikas perspektiivis ja ka majanduslikult kasulik</w:t>
      </w:r>
      <w:r w:rsidRPr="00A33D16">
        <w:rPr>
          <w:noProof/>
        </w:rPr>
        <w:t xml:space="preserve">, kui seda juhib kaasav ja tulevikku suunatud poliitika ning toetab piisav rahastamine mitmesugustest allikatest. </w:t>
      </w:r>
    </w:p>
    <w:p w14:paraId="67C33F59" w14:textId="77777777" w:rsidR="00FF5E98" w:rsidRPr="00A33D16" w:rsidRDefault="00E06994" w:rsidP="00E06994">
      <w:pPr>
        <w:pStyle w:val="Text1"/>
        <w:rPr>
          <w:noProof/>
        </w:rPr>
      </w:pPr>
      <w:r w:rsidRPr="00A33D16">
        <w:rPr>
          <w:noProof/>
        </w:rPr>
        <w:t xml:space="preserve">Osana 2024.–2029. aasta poliitilisest tegevuskavast </w:t>
      </w:r>
      <w:r w:rsidRPr="00A33D16">
        <w:rPr>
          <w:b/>
          <w:noProof/>
        </w:rPr>
        <w:t>aitab komisjon rakendada rohe- ja digipöörde aluseks olevaid poliitikameetmeid</w:t>
      </w:r>
      <w:r w:rsidRPr="00A33D16">
        <w:rPr>
          <w:noProof/>
        </w:rPr>
        <w:t xml:space="preserve">, mille puhul süsinikuheite vähendamine, kliimamuutustega kohanemine, ringluspõhisus, elurikkuse kaitse, veekerksus ja nullsaaste käivad käsikäes terviseühtsuse põhimõttega, mida toetab konkurentsivõimeline, vastupidav ja kaasav ringmajandus. </w:t>
      </w:r>
    </w:p>
    <w:p w14:paraId="3E049AA7" w14:textId="77777777" w:rsidR="00FF5E98" w:rsidRPr="00A33D16" w:rsidRDefault="00E06994" w:rsidP="00E06994">
      <w:pPr>
        <w:pStyle w:val="Text1"/>
        <w:rPr>
          <w:noProof/>
        </w:rPr>
      </w:pPr>
      <w:r w:rsidRPr="00A33D16">
        <w:rPr>
          <w:noProof/>
        </w:rPr>
        <w:t xml:space="preserve">Järgmiste sammudena keskendub komisjon kokkulepitud õigusaktide ja poliitikameetmete, sealhulgas </w:t>
      </w:r>
      <w:r w:rsidRPr="00A33D16">
        <w:rPr>
          <w:b/>
          <w:noProof/>
        </w:rPr>
        <w:t>veekerksuse strateegia, maailmamerepakti</w:t>
      </w:r>
      <w:r w:rsidRPr="00A33D16">
        <w:rPr>
          <w:noProof/>
        </w:rPr>
        <w:t xml:space="preserve"> ja </w:t>
      </w:r>
      <w:r w:rsidRPr="00A33D16">
        <w:rPr>
          <w:b/>
          <w:noProof/>
        </w:rPr>
        <w:t>keemiatööstuse tegevuskava</w:t>
      </w:r>
      <w:r w:rsidRPr="00A33D16">
        <w:rPr>
          <w:noProof/>
        </w:rPr>
        <w:t xml:space="preserve"> rakendamisele. </w:t>
      </w:r>
    </w:p>
    <w:p w14:paraId="2D6A2033" w14:textId="04122B1F" w:rsidR="00567D44" w:rsidRPr="00A33D16" w:rsidRDefault="00E06994" w:rsidP="00E06994">
      <w:pPr>
        <w:pStyle w:val="Text1"/>
        <w:rPr>
          <w:noProof/>
        </w:rPr>
      </w:pPr>
      <w:r w:rsidRPr="00A33D16">
        <w:rPr>
          <w:noProof/>
        </w:rPr>
        <w:t xml:space="preserve">Uue </w:t>
      </w:r>
      <w:r w:rsidRPr="00A33D16">
        <w:rPr>
          <w:b/>
          <w:noProof/>
        </w:rPr>
        <w:t>ELi südame-veresoonkonna tervise kavaga</w:t>
      </w:r>
      <w:r w:rsidRPr="00A33D16">
        <w:rPr>
          <w:noProof/>
        </w:rPr>
        <w:t xml:space="preserve"> edendatakse ennetavaid meetmeid kooskõlas terviseühtsuse põhimõttega, aidates seeläbi parandada inimeste ja ökosüsteemide tervisenäitajaid. </w:t>
      </w:r>
      <w:r w:rsidRPr="00A33D16">
        <w:rPr>
          <w:b/>
          <w:noProof/>
        </w:rPr>
        <w:t>ELi biomajanduse strateegia</w:t>
      </w:r>
      <w:r w:rsidRPr="00A33D16">
        <w:rPr>
          <w:noProof/>
        </w:rPr>
        <w:t xml:space="preserve"> ja </w:t>
      </w:r>
      <w:r w:rsidRPr="00A33D16">
        <w:rPr>
          <w:b/>
          <w:noProof/>
        </w:rPr>
        <w:t>kavandatav ringmajanduse õigusakt</w:t>
      </w:r>
      <w:r w:rsidRPr="00A33D16">
        <w:rPr>
          <w:noProof/>
        </w:rPr>
        <w:t xml:space="preserve"> on osa laiematest jõupingutustest integreerida ringmajanduse põhimõtted paremini avalikku poliitikasse, et tagada kulu- ja ressursitõhus ning õiglane üleminek. </w:t>
      </w:r>
    </w:p>
    <w:p w14:paraId="27067676" w14:textId="7ECD84BC" w:rsidR="00E06994" w:rsidRPr="00A33D16" w:rsidRDefault="00E06994" w:rsidP="00E06994">
      <w:pPr>
        <w:pStyle w:val="Text1"/>
        <w:rPr>
          <w:noProof/>
        </w:rPr>
      </w:pPr>
      <w:r w:rsidRPr="00A33D16">
        <w:rPr>
          <w:b/>
          <w:noProof/>
        </w:rPr>
        <w:t>Puhta tööstuse kokkuleppe</w:t>
      </w:r>
      <w:r w:rsidRPr="00A33D16">
        <w:rPr>
          <w:noProof/>
        </w:rPr>
        <w:t xml:space="preserve"> ja </w:t>
      </w:r>
      <w:r w:rsidRPr="00A33D16">
        <w:rPr>
          <w:b/>
          <w:noProof/>
        </w:rPr>
        <w:t>konkurentsivõime kompassi</w:t>
      </w:r>
      <w:r w:rsidRPr="00A33D16">
        <w:rPr>
          <w:noProof/>
        </w:rPr>
        <w:t xml:space="preserve"> rakendamisel seob komisjon kliimaeesmärgid tihedalt hüvedega, mis kaasnevad saaste vähendamise, mürgivaba keskkonna tagamise, kestliku majanduskasvu edendamise ning teisese toorme ja jäätmete ühtse turu loomisega.</w:t>
      </w:r>
    </w:p>
    <w:p w14:paraId="3DFB5BD8" w14:textId="225BF427" w:rsidR="00E06994" w:rsidRPr="00A33D16" w:rsidRDefault="00E06994" w:rsidP="00E06994">
      <w:pPr>
        <w:pStyle w:val="Text1"/>
        <w:rPr>
          <w:noProof/>
        </w:rPr>
      </w:pPr>
      <w:r w:rsidRPr="00A33D16">
        <w:rPr>
          <w:b/>
          <w:noProof/>
        </w:rPr>
        <w:t xml:space="preserve">Komisjon teeb edusammudest kokkuvõtte, ajakohastades korrapäraselt nullsaaste seire- ja väljavaatearuandeid </w:t>
      </w:r>
      <w:r w:rsidRPr="00A33D16">
        <w:rPr>
          <w:noProof/>
        </w:rPr>
        <w:t xml:space="preserve">(praegu kavandatud 2026. ja 2028. aastaks), ning analüüsib võimalikke trajektoore saastevaba keskkonna saavutamiseks 2040. aastaks, täiendades 2040. aasta kliimaeesmärke realistlikus mahus saaste-eesmärkidega, </w:t>
      </w:r>
      <w:r w:rsidRPr="00A33D16">
        <w:rPr>
          <w:noProof/>
          <w:u w:val="single"/>
        </w:rPr>
        <w:t>mis toetavad kindlalt nende seadusandliku rakendamise kava</w:t>
      </w:r>
      <w:r w:rsidRPr="00A33D16">
        <w:rPr>
          <w:noProof/>
        </w:rPr>
        <w:t>.</w:t>
      </w:r>
    </w:p>
    <w:p w14:paraId="56B325AF" w14:textId="37743F89" w:rsidR="00625723" w:rsidRPr="00A33D16" w:rsidRDefault="00E06994" w:rsidP="00E45839">
      <w:pPr>
        <w:pStyle w:val="Text1"/>
        <w:rPr>
          <w:noProof/>
        </w:rPr>
      </w:pPr>
      <w:r w:rsidRPr="00A33D16">
        <w:rPr>
          <w:b/>
          <w:noProof/>
        </w:rPr>
        <w:t>Nullsaaste suunas liikumine on tähtis samm tervema, kestlikuma ja vastupidavama tuleviku suunas.</w:t>
      </w:r>
      <w:r w:rsidRPr="00A33D16">
        <w:rPr>
          <w:noProof/>
        </w:rPr>
        <w:t xml:space="preserve"> Kui seame esikohale saastevaba ja ringluspõhise konkurentsivõime ning edendame keskkonnasõbralikke tavasid, on võimalik tagada tulevastele põlvkondadele vastupanuvõimeline ja elujõuline Euroopa. </w:t>
      </w:r>
    </w:p>
    <w:sectPr w:rsidR="00625723" w:rsidRPr="00A33D16" w:rsidSect="00275D3E">
      <w:headerReference w:type="even" r:id="rId122"/>
      <w:headerReference w:type="default" r:id="rId123"/>
      <w:footerReference w:type="even" r:id="rId124"/>
      <w:footerReference w:type="default" r:id="rId125"/>
      <w:headerReference w:type="first" r:id="rId126"/>
      <w:footerReference w:type="first" r:id="rId127"/>
      <w:pgSz w:w="11906" w:h="16838"/>
      <w:pgMar w:top="1020" w:right="1701" w:bottom="1020" w:left="1587" w:header="601" w:footer="107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EC7D3" w14:textId="77777777" w:rsidR="00C507E6" w:rsidRPr="00874CDA" w:rsidRDefault="00C507E6" w:rsidP="00275D3E">
      <w:r>
        <w:separator/>
      </w:r>
    </w:p>
  </w:endnote>
  <w:endnote w:type="continuationSeparator" w:id="0">
    <w:p w14:paraId="3D4DC385" w14:textId="77777777" w:rsidR="00C507E6" w:rsidRPr="00874CDA" w:rsidRDefault="00C507E6" w:rsidP="00275D3E">
      <w:r>
        <w:continuationSeparator/>
      </w:r>
    </w:p>
  </w:endnote>
  <w:endnote w:type="continuationNotice" w:id="1">
    <w:p w14:paraId="59B3CA18" w14:textId="77777777" w:rsidR="00C507E6" w:rsidRDefault="00C507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Times New Roman Bold">
    <w:panose1 w:val="020208030705050203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EC Square Sans Pro">
    <w:altName w:val="Calibri"/>
    <w:charset w:val="00"/>
    <w:family w:val="swiss"/>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ptos">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9C1CA" w14:textId="2134F32A" w:rsidR="00A740DC" w:rsidRPr="00A740DC" w:rsidRDefault="00A740DC" w:rsidP="00A740DC">
    <w:pPr>
      <w:pStyle w:val="FooterCoverPage"/>
      <w:rPr>
        <w:rFonts w:ascii="Arial" w:hAnsi="Arial" w:cs="Arial"/>
        <w:b/>
        <w:sz w:val="48"/>
      </w:rPr>
    </w:pPr>
    <w:r w:rsidRPr="00A740DC">
      <w:rPr>
        <w:rFonts w:ascii="Arial" w:hAnsi="Arial" w:cs="Arial"/>
        <w:b/>
        <w:sz w:val="48"/>
      </w:rPr>
      <w:t>ET</w:t>
    </w:r>
    <w:r w:rsidRPr="00A740DC">
      <w:rPr>
        <w:rFonts w:ascii="Arial" w:hAnsi="Arial" w:cs="Arial"/>
        <w:b/>
        <w:sz w:val="48"/>
      </w:rPr>
      <w:tab/>
    </w:r>
    <w:r w:rsidRPr="00A740DC">
      <w:rPr>
        <w:rFonts w:ascii="Arial" w:hAnsi="Arial" w:cs="Arial"/>
        <w:b/>
        <w:sz w:val="48"/>
      </w:rPr>
      <w:tab/>
    </w:r>
    <w:r w:rsidRPr="00A740DC">
      <w:tab/>
    </w:r>
    <w:r w:rsidRPr="00A740DC">
      <w:rPr>
        <w:rFonts w:ascii="Arial" w:hAnsi="Arial" w:cs="Arial"/>
        <w:b/>
        <w:sz w:val="48"/>
      </w:rPr>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79214" w14:textId="4C7DADBF" w:rsidR="00A740DC" w:rsidRPr="00A740DC" w:rsidRDefault="00A740DC" w:rsidP="00A740DC">
    <w:pPr>
      <w:pStyle w:val="FooterCoverPage"/>
      <w:rPr>
        <w:rFonts w:ascii="Arial" w:hAnsi="Arial" w:cs="Arial"/>
        <w:b/>
        <w:sz w:val="48"/>
      </w:rPr>
    </w:pPr>
    <w:r w:rsidRPr="00A740DC">
      <w:rPr>
        <w:rFonts w:ascii="Arial" w:hAnsi="Arial" w:cs="Arial"/>
        <w:b/>
        <w:sz w:val="48"/>
      </w:rPr>
      <w:t>ET</w:t>
    </w:r>
    <w:r w:rsidRPr="00A740DC">
      <w:rPr>
        <w:rFonts w:ascii="Arial" w:hAnsi="Arial" w:cs="Arial"/>
        <w:b/>
        <w:sz w:val="48"/>
      </w:rPr>
      <w:tab/>
    </w:r>
    <w:r w:rsidRPr="00A740DC">
      <w:rPr>
        <w:rFonts w:ascii="Arial" w:hAnsi="Arial" w:cs="Arial"/>
        <w:b/>
        <w:sz w:val="48"/>
      </w:rPr>
      <w:tab/>
    </w:r>
    <w:r w:rsidRPr="00A740DC">
      <w:tab/>
    </w:r>
    <w:r w:rsidRPr="00A740DC">
      <w:rPr>
        <w:rFonts w:ascii="Arial" w:hAnsi="Arial" w:cs="Arial"/>
        <w:b/>
        <w:sz w:val="48"/>
      </w:rPr>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2F43A" w14:textId="77777777" w:rsidR="00A740DC" w:rsidRPr="00A740DC" w:rsidRDefault="00A740DC" w:rsidP="00A740DC">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E7486" w14:textId="77777777" w:rsidR="00F029CA" w:rsidRPr="00874CDA" w:rsidRDefault="00F029CA">
    <w:pPr>
      <w:pStyle w:val="FooterLine"/>
      <w:jc w:val="center"/>
    </w:pPr>
    <w:r>
      <w:rPr>
        <w:color w:val="2B579A"/>
        <w:shd w:val="clear" w:color="auto" w:fill="E6E6E6"/>
      </w:rPr>
      <w:fldChar w:fldCharType="begin"/>
    </w:r>
    <w:r>
      <w:instrText>PAGE   \* MERGEFORMAT</w:instrText>
    </w:r>
    <w:r>
      <w:rPr>
        <w:color w:val="2B579A"/>
        <w:shd w:val="clear" w:color="auto" w:fill="E6E6E6"/>
      </w:rPr>
      <w:fldChar w:fldCharType="separate"/>
    </w:r>
    <w:r>
      <w:t>1</w:t>
    </w:r>
    <w:r>
      <w:rPr>
        <w:color w:val="2B579A"/>
        <w:shd w:val="clear" w:color="auto" w:fill="E6E6E6"/>
      </w:rPr>
      <w:fldChar w:fldCharType="end"/>
    </w:r>
  </w:p>
  <w:p w14:paraId="0999045C" w14:textId="77777777" w:rsidR="00F029CA" w:rsidRPr="00874CDA" w:rsidRDefault="00F029CA"/>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F1AF6" w14:textId="65959BE1" w:rsidR="00F029CA" w:rsidRPr="00874CDA" w:rsidRDefault="00F029CA">
    <w:pPr>
      <w:pStyle w:val="FooterLine"/>
      <w:jc w:val="center"/>
    </w:pPr>
    <w:r>
      <w:rPr>
        <w:color w:val="2B579A"/>
        <w:shd w:val="clear" w:color="auto" w:fill="E6E6E6"/>
      </w:rPr>
      <w:fldChar w:fldCharType="begin"/>
    </w:r>
    <w:r>
      <w:instrText>PAGE   \* MERGEFORMAT</w:instrText>
    </w:r>
    <w:r>
      <w:rPr>
        <w:color w:val="2B579A"/>
        <w:shd w:val="clear" w:color="auto" w:fill="E6E6E6"/>
      </w:rPr>
      <w:fldChar w:fldCharType="separate"/>
    </w:r>
    <w:r w:rsidR="00A740DC">
      <w:rPr>
        <w:noProof/>
      </w:rPr>
      <w:t>10</w:t>
    </w:r>
    <w:r>
      <w:rPr>
        <w:color w:val="2B579A"/>
        <w:shd w:val="clear" w:color="auto" w:fill="E6E6E6"/>
      </w:rPr>
      <w:fldChar w:fldCharType="end"/>
    </w:r>
  </w:p>
  <w:p w14:paraId="2CEA49E0" w14:textId="77777777" w:rsidR="00F029CA" w:rsidRPr="00874CDA" w:rsidRDefault="00F029CA"/>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312DA" w14:textId="7C8A1C58" w:rsidR="00F029CA" w:rsidRPr="00874CDA" w:rsidRDefault="00F029CA">
    <w:pPr>
      <w:pStyle w:val="Footer"/>
      <w:jc w:val="center"/>
    </w:pPr>
    <w:r>
      <w:fldChar w:fldCharType="begin"/>
    </w:r>
    <w:r>
      <w:instrText xml:space="preserve"> PAGE   \* MERGEFORMAT </w:instrText>
    </w:r>
    <w:r>
      <w:fldChar w:fldCharType="separate"/>
    </w:r>
    <w:r w:rsidR="00A740DC">
      <w:rPr>
        <w:noProof/>
      </w:rPr>
      <w:t>1</w:t>
    </w:r>
    <w:r>
      <w:fldChar w:fldCharType="end"/>
    </w:r>
  </w:p>
  <w:p w14:paraId="2D96FA48" w14:textId="77777777" w:rsidR="00F029CA" w:rsidRPr="00874CDA" w:rsidRDefault="00F02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78BA7" w14:textId="77777777" w:rsidR="00C507E6" w:rsidRPr="00874CDA" w:rsidRDefault="00C507E6" w:rsidP="00275D3E">
      <w:r>
        <w:separator/>
      </w:r>
    </w:p>
  </w:footnote>
  <w:footnote w:type="continuationSeparator" w:id="0">
    <w:p w14:paraId="7C008441" w14:textId="77777777" w:rsidR="00C507E6" w:rsidRPr="00874CDA" w:rsidRDefault="00C507E6" w:rsidP="00275D3E">
      <w:r>
        <w:continuationSeparator/>
      </w:r>
    </w:p>
  </w:footnote>
  <w:footnote w:type="continuationNotice" w:id="1">
    <w:p w14:paraId="0E2FDB77" w14:textId="77777777" w:rsidR="00C507E6" w:rsidRDefault="00C507E6"/>
  </w:footnote>
  <w:footnote w:id="2">
    <w:p w14:paraId="6EC32DF0" w14:textId="53373F81" w:rsidR="00E06994" w:rsidRPr="00A33D16" w:rsidRDefault="00E06994" w:rsidP="00E06994">
      <w:pPr>
        <w:pStyle w:val="FootnoteText"/>
        <w:spacing w:after="0"/>
      </w:pPr>
      <w:r w:rsidRPr="00A33D16">
        <w:rPr>
          <w:rStyle w:val="FootnoteReference"/>
        </w:rPr>
        <w:footnoteRef/>
      </w:r>
      <w:r w:rsidRPr="00A33D16">
        <w:tab/>
        <w:t xml:space="preserve">EEA (2025), </w:t>
      </w:r>
      <w:hyperlink r:id="rId1" w:history="1">
        <w:r w:rsidRPr="00A33D16">
          <w:rPr>
            <w:rStyle w:val="Hyperlink"/>
          </w:rPr>
          <w:t>Europe’s environment and climate</w:t>
        </w:r>
      </w:hyperlink>
      <w:r w:rsidRPr="00A33D16">
        <w:t xml:space="preserve"> (Euroopa keskkond ja kliima).</w:t>
      </w:r>
    </w:p>
  </w:footnote>
  <w:footnote w:id="3">
    <w:p w14:paraId="50C64C91" w14:textId="3BD0085B" w:rsidR="00E06994" w:rsidRPr="00A33D16" w:rsidRDefault="00E06994" w:rsidP="00E06994">
      <w:pPr>
        <w:pStyle w:val="FootnoteText"/>
        <w:spacing w:after="0"/>
      </w:pPr>
      <w:r w:rsidRPr="00A33D16">
        <w:rPr>
          <w:rStyle w:val="FootnoteReference"/>
        </w:rPr>
        <w:footnoteRef/>
      </w:r>
      <w:r w:rsidRPr="00A33D16">
        <w:tab/>
        <w:t xml:space="preserve">OECD (2025): </w:t>
      </w:r>
      <w:hyperlink r:id="rId2" w:history="1">
        <w:r w:rsidRPr="00A33D16">
          <w:rPr>
            <w:rStyle w:val="Hyperlink"/>
          </w:rPr>
          <w:t>Want stronger growth in Europe?</w:t>
        </w:r>
      </w:hyperlink>
      <w:hyperlink r:id="rId3" w:history="1">
        <w:r w:rsidRPr="00A33D16">
          <w:rPr>
            <w:rStyle w:val="Hyperlink"/>
          </w:rPr>
          <w:t xml:space="preserve"> Start with the air we breathe</w:t>
        </w:r>
      </w:hyperlink>
      <w:r w:rsidRPr="00A33D16">
        <w:t xml:space="preserve"> (Soovite Euroopas tugevamat majanduskasvu? Alustage õhust, mida hingame), „</w:t>
      </w:r>
      <w:hyperlink r:id="rId4" w:history="1">
        <w:r w:rsidRPr="00A33D16">
          <w:rPr>
            <w:rStyle w:val="Hyperlink"/>
          </w:rPr>
          <w:t>The impact of air pollution on labour productivity:</w:t>
        </w:r>
      </w:hyperlink>
      <w:hyperlink r:id="rId5" w:history="1">
        <w:r w:rsidRPr="00A33D16">
          <w:rPr>
            <w:rStyle w:val="Hyperlink"/>
          </w:rPr>
          <w:t xml:space="preserve"> Large-scale micro evidence from Europe</w:t>
        </w:r>
      </w:hyperlink>
      <w:r w:rsidRPr="00A33D16">
        <w:t>“ (Õhusaaste mõju tööviljakusele: ulatuslikud mikroandmed Euroopast).</w:t>
      </w:r>
    </w:p>
  </w:footnote>
  <w:footnote w:id="4">
    <w:p w14:paraId="62744498" w14:textId="36DD6366" w:rsidR="00E06994" w:rsidRPr="00A33D16" w:rsidRDefault="00E06994" w:rsidP="00E06994">
      <w:pPr>
        <w:pStyle w:val="FootnoteText"/>
        <w:spacing w:after="0"/>
      </w:pPr>
      <w:r w:rsidRPr="00A33D16">
        <w:rPr>
          <w:rStyle w:val="FootnoteReference"/>
        </w:rPr>
        <w:footnoteRef/>
      </w:r>
      <w:r w:rsidRPr="00A33D16">
        <w:tab/>
        <w:t>Maailma Majandusfoorum: „</w:t>
      </w:r>
      <w:hyperlink r:id="rId6" w:history="1">
        <w:r w:rsidRPr="00A33D16">
          <w:rPr>
            <w:rStyle w:val="Hyperlink"/>
          </w:rPr>
          <w:t>Global Risks 2025:</w:t>
        </w:r>
      </w:hyperlink>
      <w:hyperlink r:id="rId7" w:history="1">
        <w:r w:rsidRPr="00A33D16">
          <w:rPr>
            <w:rStyle w:val="Hyperlink"/>
          </w:rPr>
          <w:t>The point of no return</w:t>
        </w:r>
      </w:hyperlink>
      <w:r w:rsidRPr="00A33D16">
        <w:t xml:space="preserve">“ (Globaalsed riskid 2025: punkt, kust tagasiteed ei ole). </w:t>
      </w:r>
    </w:p>
  </w:footnote>
  <w:footnote w:id="5">
    <w:p w14:paraId="217866F8" w14:textId="77777777" w:rsidR="00E06994" w:rsidRPr="00A33D16" w:rsidRDefault="00E06994" w:rsidP="00E06994">
      <w:pPr>
        <w:pStyle w:val="FootnoteText"/>
        <w:spacing w:after="0"/>
      </w:pPr>
      <w:r w:rsidRPr="00A33D16">
        <w:rPr>
          <w:rStyle w:val="FootnoteReference"/>
        </w:rPr>
        <w:footnoteRef/>
      </w:r>
      <w:r w:rsidRPr="00A33D16">
        <w:tab/>
        <w:t>COM(2021) 400.</w:t>
      </w:r>
    </w:p>
  </w:footnote>
  <w:footnote w:id="6">
    <w:p w14:paraId="2312F337" w14:textId="77777777" w:rsidR="00E06994" w:rsidRPr="00A33D16" w:rsidRDefault="00E06994" w:rsidP="00E06994">
      <w:pPr>
        <w:pStyle w:val="FootnoteText"/>
        <w:spacing w:after="0"/>
      </w:pPr>
      <w:r w:rsidRPr="00A33D16">
        <w:rPr>
          <w:rStyle w:val="FootnoteReference"/>
        </w:rPr>
        <w:footnoteRef/>
      </w:r>
      <w:r w:rsidRPr="00A33D16">
        <w:tab/>
      </w:r>
      <w:r w:rsidRPr="00A33D16">
        <w:rPr>
          <w:rStyle w:val="FootnoteReference"/>
          <w:vertAlign w:val="baseline"/>
        </w:rPr>
        <w:t>„</w:t>
      </w:r>
      <w:r w:rsidRPr="00A33D16">
        <w:rPr>
          <w:rStyle w:val="FootnoteReference"/>
          <w:i/>
          <w:vertAlign w:val="baseline"/>
        </w:rPr>
        <w:t>Heas seisundis planeet kõigi jaoks. Õhu-, vee- ja pinnasesaastet vähendatakse tasemeni, mida ei peeta enam tervisele ja looduslikele ökosüsteemidele kahjulikuks ning mille puhul arvestatakse meie planeedi taluvuspiire, luues seega mürgivaba keskkonna.</w:t>
      </w:r>
      <w:r w:rsidRPr="00A33D16">
        <w:rPr>
          <w:rStyle w:val="FootnoteReference"/>
          <w:vertAlign w:val="baseline"/>
        </w:rPr>
        <w:t>“.</w:t>
      </w:r>
    </w:p>
  </w:footnote>
  <w:footnote w:id="7">
    <w:p w14:paraId="29094485" w14:textId="7802F573" w:rsidR="00E06994" w:rsidRPr="00A33D16" w:rsidRDefault="00E06994" w:rsidP="00E06994">
      <w:pPr>
        <w:pStyle w:val="FootnoteText"/>
        <w:spacing w:after="0"/>
      </w:pPr>
      <w:r w:rsidRPr="00A33D16">
        <w:rPr>
          <w:rStyle w:val="FootnoteReference"/>
        </w:rPr>
        <w:footnoteRef/>
      </w:r>
      <w:r w:rsidRPr="00A33D16">
        <w:tab/>
        <w:t>Läbivaadatud välisõhu kvaliteedi direktiivi (EL) 2024/2881 artikli 1 lõige 1 ja mullaseire direktiivi (EL) 2025/2360 artikli 1 lõige 1.</w:t>
      </w:r>
    </w:p>
  </w:footnote>
  <w:footnote w:id="8">
    <w:p w14:paraId="742A0B07" w14:textId="69F741AB" w:rsidR="00714BA8" w:rsidRPr="00A33D16" w:rsidRDefault="00714BA8" w:rsidP="00EA58EC">
      <w:pPr>
        <w:pStyle w:val="FootnoteText"/>
        <w:spacing w:after="0"/>
      </w:pPr>
      <w:r w:rsidRPr="00A33D16">
        <w:rPr>
          <w:rStyle w:val="FootnoteReference"/>
        </w:rPr>
        <w:footnoteRef/>
      </w:r>
      <w:r w:rsidRPr="00A33D16">
        <w:tab/>
      </w:r>
      <w:hyperlink r:id="rId8" w:history="1">
        <w:r w:rsidRPr="00A33D16">
          <w:rPr>
            <w:rStyle w:val="Hyperlink"/>
          </w:rPr>
          <w:t>Zero pollution targets</w:t>
        </w:r>
      </w:hyperlink>
      <w:r w:rsidRPr="00A33D16">
        <w:t xml:space="preserve"> (Nullsaaste eesmärgid).</w:t>
      </w:r>
    </w:p>
  </w:footnote>
  <w:footnote w:id="9">
    <w:p w14:paraId="63967D5A" w14:textId="77777777" w:rsidR="00E06994" w:rsidRPr="00A33D16" w:rsidRDefault="00E06994" w:rsidP="00E06994">
      <w:pPr>
        <w:pStyle w:val="FootnoteText"/>
        <w:spacing w:after="0"/>
      </w:pPr>
      <w:r w:rsidRPr="00A33D16">
        <w:rPr>
          <w:rStyle w:val="FootnoteReference"/>
        </w:rPr>
        <w:footnoteRef/>
      </w:r>
      <w:r w:rsidRPr="00A33D16">
        <w:tab/>
        <w:t>COM(2020) 667.</w:t>
      </w:r>
    </w:p>
  </w:footnote>
  <w:footnote w:id="10">
    <w:p w14:paraId="1F53DA23" w14:textId="77777777" w:rsidR="00E06994" w:rsidRPr="00A33D16" w:rsidRDefault="00E06994" w:rsidP="00E06994">
      <w:pPr>
        <w:pStyle w:val="FootnoteText"/>
        <w:spacing w:after="0"/>
      </w:pPr>
      <w:r w:rsidRPr="00A33D16">
        <w:rPr>
          <w:rStyle w:val="FootnoteReference"/>
        </w:rPr>
        <w:footnoteRef/>
      </w:r>
      <w:r w:rsidRPr="00A33D16">
        <w:tab/>
        <w:t xml:space="preserve">Vt </w:t>
      </w:r>
      <w:hyperlink r:id="rId9" w:history="1">
        <w:r w:rsidRPr="00A33D16">
          <w:rPr>
            <w:rStyle w:val="Hyperlink"/>
          </w:rPr>
          <w:t>nullsaaste meetmete jälgimise vahend</w:t>
        </w:r>
      </w:hyperlink>
      <w:r w:rsidRPr="00A33D16">
        <w:t xml:space="preserve"> ja </w:t>
      </w:r>
      <w:hyperlink r:id="rId10" w:history="1">
        <w:r w:rsidRPr="00A33D16">
          <w:rPr>
            <w:rStyle w:val="Hyperlink"/>
          </w:rPr>
          <w:t>kemikaalistrateegia rakendamine</w:t>
        </w:r>
      </w:hyperlink>
      <w:r w:rsidRPr="00A33D16">
        <w:t>.</w:t>
      </w:r>
    </w:p>
  </w:footnote>
  <w:footnote w:id="11">
    <w:p w14:paraId="2249C3FD" w14:textId="77B36083" w:rsidR="00FA2822" w:rsidRPr="00A33D16" w:rsidRDefault="00FA2822" w:rsidP="00EA58EC">
      <w:pPr>
        <w:pStyle w:val="FootnoteText"/>
        <w:spacing w:after="0"/>
      </w:pPr>
      <w:r w:rsidRPr="00A33D16">
        <w:rPr>
          <w:rStyle w:val="FootnoteReference"/>
        </w:rPr>
        <w:footnoteRef/>
      </w:r>
      <w:r w:rsidRPr="00A33D16">
        <w:t xml:space="preserve"> </w:t>
      </w:r>
      <w:r w:rsidRPr="00A33D16">
        <w:tab/>
        <w:t>COM(2025) 980.</w:t>
      </w:r>
    </w:p>
  </w:footnote>
  <w:footnote w:id="12">
    <w:p w14:paraId="6EE42E87" w14:textId="4F01F6A2" w:rsidR="00E06994" w:rsidRPr="00A33D16" w:rsidRDefault="00E06994" w:rsidP="00E06994">
      <w:pPr>
        <w:pStyle w:val="FootnoteText"/>
        <w:spacing w:after="0"/>
      </w:pPr>
      <w:r w:rsidRPr="00A33D16">
        <w:rPr>
          <w:rStyle w:val="FootnoteReference"/>
        </w:rPr>
        <w:footnoteRef/>
      </w:r>
      <w:r w:rsidRPr="00A33D16">
        <w:tab/>
        <w:t>COM(2025) 30, COM(2025) 85, COM(2025) 280, COM(2025) 281, COM(2025) 75, COM(2025) 530, COM(2025) 960.</w:t>
      </w:r>
    </w:p>
  </w:footnote>
  <w:footnote w:id="13">
    <w:p w14:paraId="42D9EBA0" w14:textId="248F35B7" w:rsidR="00E06994" w:rsidRPr="00A33D16" w:rsidRDefault="00E06994" w:rsidP="00E06994">
      <w:pPr>
        <w:pStyle w:val="FootnoteText"/>
        <w:spacing w:after="0"/>
      </w:pPr>
      <w:r w:rsidRPr="00A33D16">
        <w:rPr>
          <w:rStyle w:val="FootnoteReference"/>
        </w:rPr>
        <w:footnoteRef/>
      </w:r>
      <w:r w:rsidRPr="00A33D16">
        <w:tab/>
        <w:t xml:space="preserve">Paljud neist sektoritest aitavad otse või kaudselt kaasa nullsaaste saavutamisele (vt </w:t>
      </w:r>
      <w:hyperlink r:id="rId11" w:history="1">
        <w:r w:rsidRPr="00A33D16">
          <w:rPr>
            <w:rStyle w:val="Hyperlink"/>
          </w:rPr>
          <w:t>EUROSTAT</w:t>
        </w:r>
      </w:hyperlink>
      <w:r w:rsidRPr="00A33D16">
        <w:t>).</w:t>
      </w:r>
    </w:p>
  </w:footnote>
  <w:footnote w:id="14">
    <w:p w14:paraId="3D313942" w14:textId="77777777" w:rsidR="00E06994" w:rsidRPr="00A33D16" w:rsidRDefault="00E06994" w:rsidP="00E06994">
      <w:pPr>
        <w:pStyle w:val="FootnoteText"/>
        <w:spacing w:after="0"/>
      </w:pPr>
      <w:r w:rsidRPr="00A33D16">
        <w:rPr>
          <w:rStyle w:val="FootnoteReference"/>
        </w:rPr>
        <w:footnoteRef/>
      </w:r>
      <w:r w:rsidRPr="00A33D16">
        <w:tab/>
        <w:t xml:space="preserve">ESTAT (2025): </w:t>
      </w:r>
      <w:hyperlink r:id="rId12" w:history="1">
        <w:r w:rsidRPr="00A33D16">
          <w:rPr>
            <w:rStyle w:val="Hyperlink"/>
          </w:rPr>
          <w:t>Environmental economy – statistics on employment and growth</w:t>
        </w:r>
      </w:hyperlink>
      <w:r w:rsidRPr="00A33D16">
        <w:t xml:space="preserve"> (Keskkonnamajandus – tööhõive ja majanduskasvu statistika).</w:t>
      </w:r>
    </w:p>
  </w:footnote>
  <w:footnote w:id="15">
    <w:p w14:paraId="246E748A" w14:textId="246CBCA9" w:rsidR="00E06994" w:rsidRPr="00A33D16" w:rsidRDefault="00E06994" w:rsidP="00E06994">
      <w:pPr>
        <w:pStyle w:val="FootnoteText"/>
        <w:spacing w:after="0"/>
      </w:pPr>
      <w:r w:rsidRPr="00A33D16">
        <w:rPr>
          <w:rStyle w:val="FootnoteReference"/>
        </w:rPr>
        <w:footnoteRef/>
      </w:r>
      <w:r w:rsidRPr="00A33D16">
        <w:tab/>
        <w:t xml:space="preserve">OECD: </w:t>
      </w:r>
      <w:hyperlink r:id="rId13" w:history="1">
        <w:r w:rsidRPr="00A33D16">
          <w:rPr>
            <w:rStyle w:val="Hyperlink"/>
          </w:rPr>
          <w:t>Economic and environmental outcomes of innovation</w:t>
        </w:r>
      </w:hyperlink>
      <w:r w:rsidRPr="00A33D16">
        <w:t xml:space="preserve"> (Innovatsiooni majandus- ja keskkonnatulemused).</w:t>
      </w:r>
    </w:p>
  </w:footnote>
  <w:footnote w:id="16">
    <w:p w14:paraId="3C79AAA0" w14:textId="0C257FBD" w:rsidR="00E06994" w:rsidRPr="00A33D16" w:rsidRDefault="00E06994" w:rsidP="00E06994">
      <w:pPr>
        <w:pStyle w:val="FootnoteText"/>
        <w:spacing w:after="0"/>
      </w:pPr>
      <w:r w:rsidRPr="00A33D16">
        <w:rPr>
          <w:rStyle w:val="FootnoteReference"/>
        </w:rPr>
        <w:footnoteRef/>
      </w:r>
      <w:r w:rsidRPr="00A33D16">
        <w:tab/>
        <w:t xml:space="preserve">OECD andmetel kasvasid keskkonnakaupade ja -teenuste turud aastatel 2010–2020 igal aastal 4,5 %, ületades SKP kasvu. </w:t>
      </w:r>
    </w:p>
  </w:footnote>
  <w:footnote w:id="17">
    <w:p w14:paraId="22938375" w14:textId="609B91FC" w:rsidR="00E06994" w:rsidRPr="00A33D16" w:rsidRDefault="00E06994" w:rsidP="00E06994">
      <w:pPr>
        <w:pStyle w:val="FootnoteText"/>
        <w:spacing w:after="0"/>
      </w:pPr>
      <w:r w:rsidRPr="00A33D16">
        <w:rPr>
          <w:rStyle w:val="FootnoteReference"/>
        </w:rPr>
        <w:footnoteRef/>
      </w:r>
      <w:r w:rsidRPr="00A33D16">
        <w:tab/>
        <w:t xml:space="preserve">OECD (2025), vt allmärkus 2. </w:t>
      </w:r>
    </w:p>
  </w:footnote>
  <w:footnote w:id="18">
    <w:p w14:paraId="1026F659" w14:textId="63F5BE83" w:rsidR="00E06994" w:rsidRPr="00A33D16" w:rsidRDefault="00E06994" w:rsidP="00E06994">
      <w:pPr>
        <w:pStyle w:val="FootnoteText"/>
        <w:spacing w:after="0"/>
      </w:pPr>
      <w:r w:rsidRPr="00A33D16">
        <w:rPr>
          <w:rStyle w:val="FootnoteReference"/>
        </w:rPr>
        <w:footnoteRef/>
      </w:r>
      <w:r w:rsidRPr="00A33D16">
        <w:tab/>
        <w:t>COM(2025) 420.</w:t>
      </w:r>
    </w:p>
  </w:footnote>
  <w:footnote w:id="19">
    <w:p w14:paraId="502BBF57" w14:textId="250C678D" w:rsidR="00E06994" w:rsidRPr="00A33D16" w:rsidRDefault="00E06994" w:rsidP="00E06994">
      <w:pPr>
        <w:pStyle w:val="FootnoteText"/>
        <w:spacing w:after="0"/>
      </w:pPr>
      <w:r w:rsidRPr="00A33D16">
        <w:rPr>
          <w:rStyle w:val="FootnoteReference"/>
        </w:rPr>
        <w:footnoteRef/>
      </w:r>
      <w:r w:rsidRPr="00A33D16">
        <w:tab/>
        <w:t>SWD(2022) 345.</w:t>
      </w:r>
    </w:p>
  </w:footnote>
  <w:footnote w:id="20">
    <w:p w14:paraId="39585235" w14:textId="77777777" w:rsidR="00E06994" w:rsidRPr="00A33D16" w:rsidRDefault="00E06994" w:rsidP="00E06994">
      <w:pPr>
        <w:tabs>
          <w:tab w:val="left" w:pos="5352"/>
        </w:tabs>
        <w:ind w:left="340" w:hanging="340"/>
      </w:pPr>
      <w:r w:rsidRPr="00A33D16">
        <w:rPr>
          <w:rStyle w:val="FootnoteReference"/>
          <w:sz w:val="20"/>
        </w:rPr>
        <w:footnoteRef/>
      </w:r>
      <w:r w:rsidRPr="00A33D16">
        <w:t xml:space="preserve"> </w:t>
      </w:r>
      <w:r w:rsidRPr="00A33D16">
        <w:tab/>
      </w:r>
      <w:r w:rsidRPr="00A33D16">
        <w:rPr>
          <w:sz w:val="20"/>
        </w:rPr>
        <w:t>„Kuna paljudes töösuundades tegevus veel käib või alles hakkab tulemusi andma, teeb komisjon 2025. aastaks kokkuvõtte tegevuskava rakendamise ulatusest, tuginedes teisele nullsaaste seire- ja väljavaatearuandele.</w:t>
      </w:r>
      <w:r w:rsidRPr="00A33D16">
        <w:rPr>
          <w:i/>
          <w:sz w:val="20"/>
        </w:rPr>
        <w:t xml:space="preserve"> </w:t>
      </w:r>
      <w:r w:rsidRPr="00A33D16">
        <w:rPr>
          <w:sz w:val="20"/>
        </w:rPr>
        <w:t>Aruandes selgitatakse välja, kas on vaja võtta lisameetmeid uute muret tekitavate küsimuste lahendamiseks ning vaadata läbi seni kindlaks määratud eesmärgid, juhtalgatused ja meetmed, et EL suunduks käesoleval kümnendil nullsaaste eesmärgi poole[---]“</w:t>
      </w:r>
      <w:r w:rsidRPr="00A33D16">
        <w:rPr>
          <w:i/>
          <w:sz w:val="20"/>
        </w:rPr>
        <w:t>.</w:t>
      </w:r>
      <w:r w:rsidRPr="00A33D16">
        <w:rPr>
          <w:sz w:val="20"/>
        </w:rPr>
        <w:t xml:space="preserve"> </w:t>
      </w:r>
    </w:p>
  </w:footnote>
  <w:footnote w:id="21">
    <w:p w14:paraId="0C56A0C9" w14:textId="4F7200AF" w:rsidR="00E06994" w:rsidRPr="00A33D16" w:rsidRDefault="00E06994" w:rsidP="00E06994">
      <w:pPr>
        <w:pStyle w:val="FootnoteText"/>
        <w:spacing w:after="0"/>
      </w:pPr>
      <w:r w:rsidRPr="00A33D16">
        <w:rPr>
          <w:rStyle w:val="FootnoteReference"/>
        </w:rPr>
        <w:footnoteRef/>
      </w:r>
      <w:r w:rsidRPr="00A33D16">
        <w:tab/>
      </w:r>
      <w:hyperlink r:id="rId14" w:history="1">
        <w:r w:rsidRPr="00A33D16">
          <w:rPr>
            <w:rStyle w:val="Hyperlink"/>
          </w:rPr>
          <w:t>EEA (2025):</w:t>
        </w:r>
      </w:hyperlink>
      <w:hyperlink r:id="rId15" w:history="1">
        <w:r w:rsidRPr="00A33D16">
          <w:rPr>
            <w:rStyle w:val="Hyperlink"/>
          </w:rPr>
          <w:t xml:space="preserve"> Europe's Environment 2025</w:t>
        </w:r>
      </w:hyperlink>
      <w:r w:rsidRPr="00A33D16">
        <w:t xml:space="preserve"> (Euroopa keskkond 2025), mis tugineb saaste valdkonnas teisele nullsaaste seire- ja väljavaatearuandele.</w:t>
      </w:r>
    </w:p>
  </w:footnote>
  <w:footnote w:id="22">
    <w:p w14:paraId="7262F737" w14:textId="047E2704" w:rsidR="00E06994" w:rsidRPr="00A33D16" w:rsidRDefault="00E06994" w:rsidP="00E06994">
      <w:pPr>
        <w:pStyle w:val="FootnoteText"/>
        <w:spacing w:after="0"/>
      </w:pPr>
      <w:r w:rsidRPr="00A33D16">
        <w:rPr>
          <w:rStyle w:val="FootnoteReference"/>
        </w:rPr>
        <w:footnoteRef/>
      </w:r>
      <w:r w:rsidRPr="00A33D16">
        <w:tab/>
        <w:t xml:space="preserve">EEA ja JRC (2025): </w:t>
      </w:r>
      <w:hyperlink r:id="rId16" w:history="1">
        <w:r w:rsidRPr="00A33D16">
          <w:rPr>
            <w:rStyle w:val="Hyperlink"/>
          </w:rPr>
          <w:t>Zero Pollution Monitoring and Outlook 2025</w:t>
        </w:r>
      </w:hyperlink>
      <w:r w:rsidRPr="00A33D16">
        <w:t xml:space="preserve"> (2025. aasta nullsaaste seire- ja väljavaatearuanne) ning vastavad temaatilised hindamised (nt neljas puhta õhu poliitika aruanne (</w:t>
      </w:r>
      <w:hyperlink r:id="rId17" w:history="1">
        <w:r w:rsidRPr="00A33D16">
          <w:rPr>
            <w:rStyle w:val="Hyperlink"/>
          </w:rPr>
          <w:t>COM/2025/64)</w:t>
        </w:r>
      </w:hyperlink>
      <w:r w:rsidRPr="00A33D16">
        <w:t xml:space="preserve"> või </w:t>
      </w:r>
      <w:hyperlink r:id="rId18" w:history="1">
        <w:r w:rsidRPr="00A33D16">
          <w:rPr>
            <w:rStyle w:val="Hyperlink"/>
          </w:rPr>
          <w:t>Environmental Noise in Europe report</w:t>
        </w:r>
      </w:hyperlink>
      <w:r w:rsidRPr="00A33D16">
        <w:t>) (Euroopa keskkonnamüra aruanne 2025)).</w:t>
      </w:r>
    </w:p>
  </w:footnote>
  <w:footnote w:id="23">
    <w:p w14:paraId="59B2DBA9" w14:textId="77777777" w:rsidR="00E06994" w:rsidRPr="00A33D16" w:rsidRDefault="00E06994" w:rsidP="00E06994">
      <w:pPr>
        <w:pStyle w:val="FootnoteText"/>
        <w:spacing w:after="0"/>
      </w:pPr>
      <w:r w:rsidRPr="00A33D16">
        <w:rPr>
          <w:rStyle w:val="FootnoteReference"/>
        </w:rPr>
        <w:footnoteRef/>
      </w:r>
      <w:r w:rsidRPr="00A33D16">
        <w:tab/>
        <w:t>Vt ka EEA aruanne 1/2025 Air Quality Status (Õhukvaliteedi seisundi aruanne 2025).</w:t>
      </w:r>
    </w:p>
  </w:footnote>
  <w:footnote w:id="24">
    <w:p w14:paraId="3DA1C4C7" w14:textId="52E155CE" w:rsidR="00E06994" w:rsidRPr="00A33D16" w:rsidRDefault="00E06994" w:rsidP="00E06994">
      <w:pPr>
        <w:pStyle w:val="FootnoteText"/>
        <w:spacing w:after="0"/>
      </w:pPr>
      <w:r w:rsidRPr="00A33D16">
        <w:rPr>
          <w:rStyle w:val="FootnoteReference"/>
        </w:rPr>
        <w:footnoteRef/>
      </w:r>
      <w:r w:rsidRPr="00A33D16">
        <w:tab/>
        <w:t xml:space="preserve">Pestitsiidide kasutamise ja antimikroobikumide müügi tulemustesse tuleb suhtuda ettevaatusega, kuna neis ei ole piisavalt arvesse võetud riske, mida need võivad põhjustada inimeste tervisele ja keskkonnale. </w:t>
      </w:r>
    </w:p>
  </w:footnote>
  <w:footnote w:id="25">
    <w:p w14:paraId="0206CCBB" w14:textId="77777777" w:rsidR="00E06994" w:rsidRPr="00A33D16" w:rsidRDefault="00E06994" w:rsidP="00E06994">
      <w:pPr>
        <w:pStyle w:val="FootnoteText"/>
        <w:spacing w:after="0"/>
      </w:pPr>
      <w:r w:rsidRPr="00A33D16">
        <w:rPr>
          <w:rStyle w:val="FootnoteReference"/>
        </w:rPr>
        <w:footnoteRef/>
      </w:r>
      <w:r w:rsidRPr="00A33D16">
        <w:tab/>
        <w:t xml:space="preserve">Vt ka </w:t>
      </w:r>
      <w:hyperlink r:id="rId19" w:history="1">
        <w:r w:rsidRPr="00A33D16">
          <w:rPr>
            <w:rStyle w:val="Hyperlink"/>
          </w:rPr>
          <w:t>EEA report 5/2025 Environmental Noise in Europe</w:t>
        </w:r>
      </w:hyperlink>
      <w:r w:rsidRPr="00A33D16">
        <w:t xml:space="preserve"> (EEA aruanne 5/2025 „Keskkonnamüra Euroopas“).</w:t>
      </w:r>
    </w:p>
  </w:footnote>
  <w:footnote w:id="26">
    <w:p w14:paraId="59E8CB84" w14:textId="50B1F745" w:rsidR="00E06994" w:rsidRPr="00A33D16" w:rsidRDefault="00E06994" w:rsidP="00E06994">
      <w:pPr>
        <w:pStyle w:val="FootnoteText"/>
        <w:spacing w:after="0"/>
      </w:pPr>
      <w:r w:rsidRPr="00A33D16">
        <w:rPr>
          <w:rStyle w:val="FootnoteReference"/>
        </w:rPr>
        <w:footnoteRef/>
      </w:r>
      <w:r w:rsidRPr="00A33D16">
        <w:tab/>
        <w:t>COM(2025) 420.</w:t>
      </w:r>
    </w:p>
  </w:footnote>
  <w:footnote w:id="27">
    <w:p w14:paraId="03EDBAF2" w14:textId="72597ED8" w:rsidR="00F62276" w:rsidRPr="00A33D16" w:rsidRDefault="00F62276" w:rsidP="00F62276">
      <w:pPr>
        <w:pStyle w:val="FootnoteText"/>
        <w:spacing w:after="0"/>
      </w:pPr>
      <w:r w:rsidRPr="00A33D16">
        <w:rPr>
          <w:rStyle w:val="FootnoteReference"/>
        </w:rPr>
        <w:footnoteRef/>
      </w:r>
      <w:r w:rsidRPr="00A33D16">
        <w:t xml:space="preserve"> </w:t>
      </w:r>
      <w:r w:rsidRPr="00A33D16">
        <w:tab/>
        <w:t>Koos täiendavate ettepanekutega keskkonnamõju hindamise kiirendamiseks (COM(2025) 984).</w:t>
      </w:r>
    </w:p>
  </w:footnote>
  <w:footnote w:id="28">
    <w:p w14:paraId="52D47FE4" w14:textId="77777777" w:rsidR="00E06994" w:rsidRPr="00A33D16" w:rsidRDefault="00E06994" w:rsidP="00E06994">
      <w:pPr>
        <w:pStyle w:val="FootnoteText"/>
        <w:spacing w:after="0"/>
      </w:pPr>
      <w:r w:rsidRPr="00A33D16">
        <w:rPr>
          <w:rStyle w:val="FootnoteReference"/>
        </w:rPr>
        <w:footnoteRef/>
      </w:r>
      <w:r w:rsidRPr="00A33D16">
        <w:tab/>
      </w:r>
      <w:hyperlink r:id="rId20" w:history="1">
        <w:r w:rsidRPr="00A33D16">
          <w:rPr>
            <w:rStyle w:val="Hyperlink"/>
          </w:rPr>
          <w:t>Nullsaaste meetmete jälgimise vahend</w:t>
        </w:r>
      </w:hyperlink>
      <w:r w:rsidRPr="00A33D16">
        <w:t>.</w:t>
      </w:r>
    </w:p>
  </w:footnote>
  <w:footnote w:id="29">
    <w:p w14:paraId="3419E788" w14:textId="77777777" w:rsidR="000669B1" w:rsidRPr="00A33D16" w:rsidRDefault="000669B1" w:rsidP="000669B1">
      <w:pPr>
        <w:pStyle w:val="FootnoteText"/>
        <w:spacing w:after="0"/>
      </w:pPr>
      <w:r w:rsidRPr="00A33D16">
        <w:rPr>
          <w:rStyle w:val="FootnoteReference"/>
        </w:rPr>
        <w:footnoteRef/>
      </w:r>
      <w:r w:rsidRPr="00A33D16">
        <w:tab/>
        <w:t>Vt COM(2025) 280 ja COM(2025) 281.</w:t>
      </w:r>
    </w:p>
  </w:footnote>
  <w:footnote w:id="30">
    <w:p w14:paraId="20178C2F" w14:textId="5667EFE0" w:rsidR="00E06994" w:rsidRPr="00A33D16" w:rsidRDefault="00E06994" w:rsidP="00E06994">
      <w:pPr>
        <w:pStyle w:val="FootnoteText"/>
        <w:spacing w:after="0"/>
      </w:pPr>
      <w:r w:rsidRPr="00A33D16">
        <w:rPr>
          <w:rStyle w:val="FootnoteReference"/>
        </w:rPr>
        <w:footnoteRef/>
      </w:r>
      <w:r w:rsidRPr="00A33D16">
        <w:tab/>
        <w:t>SWD(2025) 52, SWD(2023) 157, SWD(2025) 394 ja SWD(2025) 395.</w:t>
      </w:r>
    </w:p>
  </w:footnote>
  <w:footnote w:id="31">
    <w:p w14:paraId="4269B826" w14:textId="73473C79" w:rsidR="00E06994" w:rsidRPr="00A33D16" w:rsidRDefault="00E06994" w:rsidP="00E06994">
      <w:pPr>
        <w:pStyle w:val="FootnoteText"/>
        <w:spacing w:after="0"/>
      </w:pPr>
      <w:r w:rsidRPr="00A33D16">
        <w:rPr>
          <w:rStyle w:val="FootnoteReference"/>
        </w:rPr>
        <w:footnoteRef/>
      </w:r>
      <w:r w:rsidRPr="00A33D16">
        <w:tab/>
        <w:t>SWD(2024) 147.</w:t>
      </w:r>
    </w:p>
  </w:footnote>
  <w:footnote w:id="32">
    <w:p w14:paraId="6CCA51CF" w14:textId="77777777" w:rsidR="00E06994" w:rsidRPr="00A33D16" w:rsidRDefault="00E06994" w:rsidP="00E06994">
      <w:pPr>
        <w:pStyle w:val="FootnoteText"/>
        <w:spacing w:after="0"/>
      </w:pPr>
      <w:r w:rsidRPr="00A33D16">
        <w:rPr>
          <w:rStyle w:val="FootnoteReference"/>
        </w:rPr>
        <w:footnoteRef/>
      </w:r>
      <w:r w:rsidRPr="00A33D16">
        <w:tab/>
        <w:t xml:space="preserve">Vt ajakohastatud teave juhtalgatuste kohta </w:t>
      </w:r>
      <w:hyperlink r:id="rId21" w:history="1">
        <w:r w:rsidRPr="00A33D16">
          <w:rPr>
            <w:rStyle w:val="Hyperlink"/>
          </w:rPr>
          <w:t>nullsaaste meetmete jälgimise vahendis</w:t>
        </w:r>
      </w:hyperlink>
      <w:r w:rsidRPr="00A33D16">
        <w:t>.</w:t>
      </w:r>
    </w:p>
  </w:footnote>
  <w:footnote w:id="33">
    <w:p w14:paraId="28B16165" w14:textId="77777777" w:rsidR="00E06994" w:rsidRPr="00A33D16" w:rsidRDefault="00E06994" w:rsidP="00E06994">
      <w:pPr>
        <w:pStyle w:val="FootnoteText"/>
        <w:spacing w:after="0"/>
      </w:pPr>
      <w:r w:rsidRPr="00A33D16">
        <w:rPr>
          <w:rStyle w:val="FootnoteReference"/>
        </w:rPr>
        <w:footnoteRef/>
      </w:r>
      <w:r w:rsidRPr="00A33D16">
        <w:tab/>
        <w:t>COM(2022) 540.</w:t>
      </w:r>
    </w:p>
  </w:footnote>
  <w:footnote w:id="34">
    <w:p w14:paraId="37F22873" w14:textId="67ED5D4B" w:rsidR="00E06994" w:rsidRPr="00A33D16" w:rsidRDefault="00E06994" w:rsidP="00E06994">
      <w:pPr>
        <w:pStyle w:val="FootnoteText"/>
        <w:spacing w:after="0"/>
      </w:pPr>
      <w:r w:rsidRPr="00A33D16">
        <w:rPr>
          <w:rStyle w:val="FootnoteReference"/>
        </w:rPr>
        <w:footnoteRef/>
      </w:r>
      <w:r w:rsidRPr="00A33D16">
        <w:tab/>
        <w:t>Direktiiv (EL) 2025/2360.</w:t>
      </w:r>
    </w:p>
  </w:footnote>
  <w:footnote w:id="35">
    <w:p w14:paraId="60068590" w14:textId="1820F49E" w:rsidR="00E06994" w:rsidRPr="00A33D16" w:rsidRDefault="00E06994" w:rsidP="00E06994">
      <w:pPr>
        <w:pStyle w:val="FootnoteText"/>
        <w:spacing w:after="0"/>
      </w:pPr>
      <w:r w:rsidRPr="00A33D16">
        <w:rPr>
          <w:rStyle w:val="FootnoteReference"/>
        </w:rPr>
        <w:footnoteRef/>
      </w:r>
      <w:r w:rsidRPr="00A33D16">
        <w:tab/>
        <w:t>Määrus (EL) 2025/2455, määrus (EL) 2025/2457, direktiiv (EL) 2025/2456.</w:t>
      </w:r>
    </w:p>
  </w:footnote>
  <w:footnote w:id="36">
    <w:p w14:paraId="753ED195" w14:textId="77777777" w:rsidR="00E06994" w:rsidRPr="00A33D16" w:rsidRDefault="00E06994" w:rsidP="00E06994">
      <w:pPr>
        <w:pStyle w:val="FootnoteText"/>
        <w:spacing w:after="0"/>
      </w:pPr>
      <w:r w:rsidRPr="00A33D16">
        <w:rPr>
          <w:rStyle w:val="FootnoteReference"/>
        </w:rPr>
        <w:footnoteRef/>
      </w:r>
      <w:r w:rsidRPr="00A33D16">
        <w:tab/>
        <w:t xml:space="preserve">COM(2021) 400: meede 22 „Suurendada põllumajandustootjatele mõeldud riiklike nõuandeteenuste abil teadmisi vähem saastavatest tavadest ning suutlikkust neid kasutada“ ja meede 23 „Koondada kokku ja teha digitaalsel kujul kättesaadavaks kõik ELi õigusest tulenevad peamised toitainete majandamisega seotud kohustused, et piirata põllumajandustegevuse ökoloogilist jalajälge“. </w:t>
      </w:r>
    </w:p>
  </w:footnote>
  <w:footnote w:id="37">
    <w:p w14:paraId="05FB2D08" w14:textId="77777777" w:rsidR="00E06994" w:rsidRPr="00A33D16" w:rsidRDefault="00E06994" w:rsidP="00E06994">
      <w:pPr>
        <w:pStyle w:val="FootnoteText"/>
        <w:spacing w:after="0"/>
      </w:pPr>
      <w:r w:rsidRPr="00A33D16">
        <w:rPr>
          <w:rStyle w:val="FootnoteReference"/>
        </w:rPr>
        <w:footnoteRef/>
      </w:r>
      <w:r w:rsidRPr="00A33D16">
        <w:tab/>
        <w:t>COM(2025) 280: „võtta kasutusele liikmesriikidele mõeldud abivahendite kogum, et toetada toitainetega saastumise vähendamise meetmeid, sealhulgas täiustatud modelleerimise, interaktiivsete kaartide ja parimate tavade vahetamise kaudu“.</w:t>
      </w:r>
    </w:p>
  </w:footnote>
  <w:footnote w:id="38">
    <w:p w14:paraId="0FFB2E9A" w14:textId="77777777" w:rsidR="00E06994" w:rsidRPr="00A33D16" w:rsidRDefault="00E06994" w:rsidP="00E06994">
      <w:pPr>
        <w:pStyle w:val="FootnoteText"/>
        <w:spacing w:after="0"/>
      </w:pPr>
      <w:r w:rsidRPr="00A33D16">
        <w:rPr>
          <w:rStyle w:val="FootnoteReference"/>
        </w:rPr>
        <w:footnoteRef/>
      </w:r>
      <w:r w:rsidRPr="00A33D16">
        <w:tab/>
      </w:r>
      <w:hyperlink r:id="rId22" w:history="1">
        <w:r w:rsidRPr="00A33D16">
          <w:rPr>
            <w:rStyle w:val="Hyperlink"/>
          </w:rPr>
          <w:t>2025. aasta aruanne</w:t>
        </w:r>
      </w:hyperlink>
      <w:r w:rsidRPr="00A33D16">
        <w:t xml:space="preserve"> ja </w:t>
      </w:r>
      <w:hyperlink r:id="rId23" w:history="1">
        <w:r w:rsidRPr="00A33D16">
          <w:rPr>
            <w:rStyle w:val="Hyperlink"/>
          </w:rPr>
          <w:t>2022. aasta aruanne</w:t>
        </w:r>
      </w:hyperlink>
      <w:r w:rsidRPr="00A33D16">
        <w:t xml:space="preserve">, ülevaate saamiseks vt: </w:t>
      </w:r>
      <w:hyperlink r:id="rId24" w:history="1">
        <w:r w:rsidRPr="00A33D16">
          <w:rPr>
            <w:rStyle w:val="Hyperlink"/>
          </w:rPr>
          <w:t>nullsaaste eesmärgid</w:t>
        </w:r>
      </w:hyperlink>
      <w:r w:rsidRPr="00A33D16">
        <w:t>.</w:t>
      </w:r>
    </w:p>
  </w:footnote>
  <w:footnote w:id="39">
    <w:p w14:paraId="3237813E" w14:textId="77777777" w:rsidR="00E06994" w:rsidRPr="00A33D16" w:rsidRDefault="00E06994" w:rsidP="00E06994">
      <w:pPr>
        <w:pStyle w:val="FootnoteText"/>
        <w:spacing w:after="0"/>
      </w:pPr>
      <w:r w:rsidRPr="00A33D16">
        <w:rPr>
          <w:rStyle w:val="FootnoteReference"/>
        </w:rPr>
        <w:footnoteRef/>
      </w:r>
      <w:r w:rsidRPr="00A33D16">
        <w:tab/>
      </w:r>
      <w:hyperlink r:id="rId25" w:history="1">
        <w:r w:rsidRPr="00A33D16">
          <w:rPr>
            <w:rStyle w:val="Hyperlink"/>
          </w:rPr>
          <w:t>Clean Air Outlook</w:t>
        </w:r>
      </w:hyperlink>
      <w:r w:rsidRPr="00A33D16">
        <w:t>, puhta õhu poliitika neljas aruanne COM(2025) 64.</w:t>
      </w:r>
    </w:p>
  </w:footnote>
  <w:footnote w:id="40">
    <w:p w14:paraId="16660350" w14:textId="107AB96A" w:rsidR="00E06994" w:rsidRPr="00A33D16" w:rsidRDefault="00E06994" w:rsidP="00E06994">
      <w:pPr>
        <w:pStyle w:val="FootnoteText"/>
        <w:spacing w:after="0"/>
      </w:pPr>
      <w:r w:rsidRPr="00A33D16">
        <w:rPr>
          <w:rStyle w:val="FootnoteReference"/>
        </w:rPr>
        <w:footnoteRef/>
      </w:r>
      <w:r w:rsidRPr="00A33D16">
        <w:tab/>
        <w:t>EEA / Euroopa Kemikaaliameti (ECHA) aruanne (2024): „</w:t>
      </w:r>
      <w:hyperlink r:id="rId26" w:history="1">
        <w:r w:rsidRPr="00A33D16">
          <w:rPr>
            <w:rStyle w:val="Hyperlink"/>
          </w:rPr>
          <w:t>EU Agencies:</w:t>
        </w:r>
      </w:hyperlink>
      <w:hyperlink r:id="rId27" w:history="1">
        <w:r w:rsidRPr="00A33D16">
          <w:rPr>
            <w:rStyle w:val="Hyperlink"/>
          </w:rPr>
          <w:t xml:space="preserve"> more work needed to make chemicals safe and sustainable</w:t>
        </w:r>
      </w:hyperlink>
      <w:r w:rsidRPr="00A33D16">
        <w:t xml:space="preserve">“ (ELi ametid: kemikaalide ohutuks ja jätkusuutlikuks muutmiseks on vaja rohkem tööd teha) ja veebipõhine tulemustabel </w:t>
      </w:r>
      <w:hyperlink r:id="rId28" w:history="1">
        <w:r w:rsidRPr="00A33D16">
          <w:rPr>
            <w:rStyle w:val="Hyperlink"/>
          </w:rPr>
          <w:t>ELi kemikaalipoliitika näitajate raamistik</w:t>
        </w:r>
      </w:hyperlink>
      <w:r w:rsidRPr="00A33D16">
        <w:t>.</w:t>
      </w:r>
    </w:p>
  </w:footnote>
  <w:footnote w:id="41">
    <w:p w14:paraId="6299DB18" w14:textId="6C6A4E19" w:rsidR="00E06994" w:rsidRPr="00A33D16" w:rsidRDefault="00E06994" w:rsidP="00E06994">
      <w:pPr>
        <w:pStyle w:val="FootnoteText"/>
        <w:spacing w:after="0"/>
      </w:pPr>
      <w:r w:rsidRPr="00A33D16">
        <w:rPr>
          <w:rStyle w:val="FootnoteReference"/>
        </w:rPr>
        <w:footnoteRef/>
      </w:r>
      <w:r w:rsidRPr="00A33D16">
        <w:tab/>
        <w:t>COM(2025) 64.</w:t>
      </w:r>
    </w:p>
  </w:footnote>
  <w:footnote w:id="42">
    <w:p w14:paraId="13413E60" w14:textId="1593254F" w:rsidR="00E744BF" w:rsidRPr="00A33D16" w:rsidRDefault="00E744BF" w:rsidP="00DE6E55">
      <w:pPr>
        <w:pStyle w:val="FootnoteText"/>
        <w:spacing w:after="0"/>
      </w:pPr>
      <w:r w:rsidRPr="00A33D16">
        <w:rPr>
          <w:rStyle w:val="FootnoteReference"/>
        </w:rPr>
        <w:footnoteRef/>
      </w:r>
      <w:r w:rsidRPr="00A33D16">
        <w:t xml:space="preserve"> </w:t>
      </w:r>
      <w:r w:rsidRPr="00A33D16">
        <w:tab/>
        <w:t xml:space="preserve">Vt </w:t>
      </w:r>
      <w:hyperlink r:id="rId29" w:history="1">
        <w:r w:rsidRPr="00A33D16">
          <w:rPr>
            <w:rStyle w:val="Hyperlink"/>
          </w:rPr>
          <w:t>Zero Pollution Monitoring and Outlook 2025</w:t>
        </w:r>
      </w:hyperlink>
      <w:r w:rsidRPr="00A33D16">
        <w:t xml:space="preserve"> (2025. aasta nullsaaste seire- ja väljavaatearuanne), peatükk 3.5 tarbimisest tuleneva saaste kohta, mis on kättesaadav ka aruandes </w:t>
      </w:r>
      <w:hyperlink r:id="rId30" w:history="1">
        <w:r w:rsidRPr="00A33D16">
          <w:rPr>
            <w:rStyle w:val="Hyperlink"/>
          </w:rPr>
          <w:t>Consumption Footprint and Domestic Footprint Outlook Report 2025</w:t>
        </w:r>
      </w:hyperlink>
      <w:r w:rsidRPr="00A33D16">
        <w:t xml:space="preserve"> (Tarbimise keskkonnamõju ja riikide jalajälg, väljavaatearuanne 2025).</w:t>
      </w:r>
    </w:p>
  </w:footnote>
  <w:footnote w:id="43">
    <w:p w14:paraId="4377090D" w14:textId="77777777" w:rsidR="00E06994" w:rsidRPr="00A33D16" w:rsidRDefault="00E06994" w:rsidP="00E06994">
      <w:pPr>
        <w:pStyle w:val="FootnoteText"/>
        <w:spacing w:after="0"/>
      </w:pPr>
      <w:r w:rsidRPr="00A33D16">
        <w:rPr>
          <w:rStyle w:val="FootnoteReference"/>
        </w:rPr>
        <w:footnoteRef/>
      </w:r>
      <w:r w:rsidRPr="00A33D16">
        <w:tab/>
        <w:t>COM(2025) 280.</w:t>
      </w:r>
    </w:p>
  </w:footnote>
  <w:footnote w:id="44">
    <w:p w14:paraId="48A30FB0" w14:textId="77777777" w:rsidR="00E06994" w:rsidRPr="00A33D16" w:rsidRDefault="00E06994" w:rsidP="00E06994">
      <w:pPr>
        <w:pStyle w:val="FootnoteText"/>
        <w:spacing w:after="0"/>
      </w:pPr>
      <w:r w:rsidRPr="00A33D16">
        <w:rPr>
          <w:rStyle w:val="FootnoteReference"/>
        </w:rPr>
        <w:footnoteRef/>
      </w:r>
      <w:r w:rsidRPr="00A33D16">
        <w:tab/>
        <w:t>COM(2025) 75.</w:t>
      </w:r>
    </w:p>
  </w:footnote>
  <w:footnote w:id="45">
    <w:p w14:paraId="22A762A8" w14:textId="7EC47AD3" w:rsidR="002D0519" w:rsidRPr="00A33D16" w:rsidRDefault="002D0519" w:rsidP="00EC7C5E">
      <w:pPr>
        <w:pStyle w:val="FootnoteText"/>
        <w:spacing w:after="0"/>
      </w:pPr>
      <w:r w:rsidRPr="00A33D16">
        <w:rPr>
          <w:rStyle w:val="FootnoteReference"/>
        </w:rPr>
        <w:footnoteRef/>
      </w:r>
      <w:r w:rsidRPr="00A33D16">
        <w:t xml:space="preserve"> </w:t>
      </w:r>
      <w:r w:rsidRPr="00A33D16">
        <w:tab/>
        <w:t>SWD(2025) 394.</w:t>
      </w:r>
    </w:p>
  </w:footnote>
  <w:footnote w:id="46">
    <w:p w14:paraId="329DB638" w14:textId="0B689568" w:rsidR="00E06994" w:rsidRPr="00A33D16" w:rsidRDefault="00E06994" w:rsidP="00E06994">
      <w:pPr>
        <w:pStyle w:val="FootnoteText"/>
        <w:spacing w:after="0"/>
      </w:pPr>
      <w:r w:rsidRPr="00A33D16">
        <w:rPr>
          <w:rStyle w:val="FootnoteReference"/>
        </w:rPr>
        <w:footnoteRef/>
      </w:r>
      <w:r w:rsidRPr="00A33D16">
        <w:tab/>
        <w:t>COM(2021) 236.</w:t>
      </w:r>
    </w:p>
  </w:footnote>
  <w:footnote w:id="47">
    <w:p w14:paraId="0E513E59" w14:textId="77777777" w:rsidR="00E06994" w:rsidRPr="00A33D16" w:rsidRDefault="00E06994" w:rsidP="00E06994">
      <w:pPr>
        <w:pStyle w:val="FootnoteText"/>
        <w:spacing w:after="0"/>
      </w:pPr>
      <w:r w:rsidRPr="00A33D16">
        <w:rPr>
          <w:rStyle w:val="FootnoteReference"/>
        </w:rPr>
        <w:footnoteRef/>
      </w:r>
      <w:r w:rsidRPr="00A33D16">
        <w:tab/>
        <w:t>Vt uut ühist põllumajanduspoliitikat käsitleva ettepaneku artikli 4 lõige 1, COM(2025) 560.</w:t>
      </w:r>
    </w:p>
  </w:footnote>
  <w:footnote w:id="48">
    <w:p w14:paraId="57B7FDBD" w14:textId="3346963C" w:rsidR="0049283E" w:rsidRPr="00A33D16" w:rsidRDefault="0049283E" w:rsidP="00EA58EC">
      <w:pPr>
        <w:pStyle w:val="FootnoteText"/>
        <w:spacing w:after="0"/>
      </w:pPr>
      <w:r w:rsidRPr="00A33D16">
        <w:rPr>
          <w:rStyle w:val="FootnoteReference"/>
        </w:rPr>
        <w:footnoteRef/>
      </w:r>
      <w:r w:rsidRPr="00A33D16">
        <w:t xml:space="preserve"> </w:t>
      </w:r>
      <w:r w:rsidRPr="00A33D16">
        <w:tab/>
      </w:r>
      <w:hyperlink r:id="rId31" w:history="1">
        <w:r w:rsidRPr="00A33D16">
          <w:rPr>
            <w:rStyle w:val="Hyperlink"/>
          </w:rPr>
          <w:t>Water - Research and innovation</w:t>
        </w:r>
      </w:hyperlink>
      <w:r w:rsidRPr="00A33D16">
        <w:t xml:space="preserve"> (Vesi – teadusuuringud ja innovatsioon).</w:t>
      </w:r>
    </w:p>
  </w:footnote>
  <w:footnote w:id="49">
    <w:p w14:paraId="27DB26DD" w14:textId="77777777" w:rsidR="00175F23" w:rsidRPr="00A33D16" w:rsidRDefault="00175F23" w:rsidP="00175F23">
      <w:pPr>
        <w:pStyle w:val="FootnoteText"/>
        <w:spacing w:after="0"/>
      </w:pPr>
      <w:r w:rsidRPr="00A33D16">
        <w:rPr>
          <w:rStyle w:val="FootnoteReference"/>
        </w:rPr>
        <w:footnoteRef/>
      </w:r>
      <w:r w:rsidRPr="00A33D16">
        <w:tab/>
        <w:t xml:space="preserve">EEA (2023): </w:t>
      </w:r>
      <w:hyperlink r:id="rId32" w:history="1">
        <w:r w:rsidRPr="00A33D16">
          <w:rPr>
            <w:rStyle w:val="Hyperlink"/>
          </w:rPr>
          <w:t>„From source to sea — The untold story of marine litter“</w:t>
        </w:r>
      </w:hyperlink>
      <w:r w:rsidRPr="00A33D16">
        <w:t xml:space="preserve"> (Allikast mereni – mereprügi rääkimata lugu).</w:t>
      </w:r>
    </w:p>
  </w:footnote>
  <w:footnote w:id="50">
    <w:p w14:paraId="07C547C5" w14:textId="77777777" w:rsidR="00E44270" w:rsidRPr="00A33D16" w:rsidRDefault="00E44270" w:rsidP="00E44270">
      <w:pPr>
        <w:pStyle w:val="FootnoteText"/>
        <w:spacing w:after="0"/>
      </w:pPr>
      <w:r w:rsidRPr="00A33D16">
        <w:rPr>
          <w:rStyle w:val="FootnoteReference"/>
        </w:rPr>
        <w:footnoteRef/>
      </w:r>
      <w:r w:rsidRPr="00A33D16">
        <w:t xml:space="preserve"> </w:t>
      </w:r>
      <w:r w:rsidRPr="00A33D16">
        <w:tab/>
        <w:t>COM(12025) 960.</w:t>
      </w:r>
    </w:p>
  </w:footnote>
  <w:footnote w:id="51">
    <w:p w14:paraId="2124E343" w14:textId="77777777" w:rsidR="004C438B" w:rsidRPr="00A33D16" w:rsidRDefault="004C438B" w:rsidP="004C438B">
      <w:pPr>
        <w:pStyle w:val="FootnoteText"/>
        <w:spacing w:after="0"/>
      </w:pPr>
      <w:r w:rsidRPr="00A33D16">
        <w:rPr>
          <w:rStyle w:val="FootnoteReference"/>
        </w:rPr>
        <w:footnoteRef/>
      </w:r>
      <w:r w:rsidRPr="00A33D16">
        <w:tab/>
        <w:t xml:space="preserve">Vt </w:t>
      </w:r>
      <w:hyperlink r:id="rId33">
        <w:r w:rsidRPr="00A33D16">
          <w:rPr>
            <w:rStyle w:val="Hyperlink"/>
          </w:rPr>
          <w:t>ajakohastatud eeskirjad ohutumate teede, väiksema õhusaaste ja digitaalsete sõidukidokumentide kohta</w:t>
        </w:r>
      </w:hyperlink>
      <w:r w:rsidRPr="00A33D16">
        <w:t>.</w:t>
      </w:r>
    </w:p>
  </w:footnote>
  <w:footnote w:id="52">
    <w:p w14:paraId="4B1C6EA8" w14:textId="43551A3B" w:rsidR="00E06994" w:rsidRPr="00A33D16" w:rsidRDefault="00E06994" w:rsidP="00E06994">
      <w:pPr>
        <w:pStyle w:val="FootnoteText"/>
        <w:spacing w:after="0"/>
      </w:pPr>
      <w:r w:rsidRPr="00A33D16">
        <w:rPr>
          <w:rStyle w:val="FootnoteReference"/>
        </w:rPr>
        <w:footnoteRef/>
      </w:r>
      <w:r w:rsidRPr="00A33D16">
        <w:tab/>
        <w:t xml:space="preserve">Kooskõlas määruse (EL) nr 1304/2014 (müra KTK) muudatusega või hiljuti sõlmitud </w:t>
      </w:r>
      <w:hyperlink r:id="rId34" w:anchor=":~:text=The%20European%20Commission%20welcomes%20the%20political%20agreement%20reached,calculating%20greenhouse%E2%80%91gas%20emissions%20from%20freight%20and%20passenger%20transport." w:history="1">
        <w:r w:rsidRPr="00A33D16">
          <w:rPr>
            <w:rStyle w:val="Hyperlink"/>
            <w:color w:val="000000" w:themeColor="text1"/>
          </w:rPr>
          <w:t>CountEmissionsEU</w:t>
        </w:r>
      </w:hyperlink>
      <w:r w:rsidRPr="00A33D16">
        <w:t xml:space="preserve"> kokkuleppega.</w:t>
      </w:r>
    </w:p>
  </w:footnote>
  <w:footnote w:id="53">
    <w:p w14:paraId="1CCDFB73" w14:textId="659C6EC3" w:rsidR="00E06994" w:rsidRPr="00A33D16" w:rsidRDefault="00E06994" w:rsidP="00E06994">
      <w:pPr>
        <w:pStyle w:val="FootnoteText"/>
        <w:spacing w:after="0"/>
      </w:pPr>
      <w:r w:rsidRPr="00A33D16">
        <w:rPr>
          <w:rStyle w:val="FootnoteReference"/>
        </w:rPr>
        <w:footnoteRef/>
      </w:r>
      <w:r w:rsidRPr="00A33D16">
        <w:tab/>
      </w:r>
      <w:hyperlink r:id="rId35" w:history="1">
        <w:r w:rsidRPr="00A33D16">
          <w:rPr>
            <w:rStyle w:val="Hyperlink"/>
          </w:rPr>
          <w:t>Euroopa Kontrollikoja eriaruanne 02/2025</w:t>
        </w:r>
      </w:hyperlink>
      <w:r w:rsidRPr="00A33D16">
        <w:t>: „Linnade saastatus ELis – linnade õhk on puhtamaks muutunud, kuid nad on ikka veel liiga mürarikkad“. </w:t>
      </w:r>
    </w:p>
  </w:footnote>
  <w:footnote w:id="54">
    <w:p w14:paraId="1A6F6909" w14:textId="29836B3B" w:rsidR="00F5467C" w:rsidRPr="00A33D16" w:rsidRDefault="00F5467C" w:rsidP="00EA58EC">
      <w:pPr>
        <w:pStyle w:val="FootnoteText"/>
        <w:spacing w:after="0"/>
      </w:pPr>
      <w:r w:rsidRPr="00A33D16">
        <w:rPr>
          <w:rStyle w:val="FootnoteReference"/>
        </w:rPr>
        <w:footnoteRef/>
      </w:r>
      <w:r w:rsidRPr="00A33D16">
        <w:t xml:space="preserve"> </w:t>
      </w:r>
      <w:r w:rsidRPr="00A33D16">
        <w:tab/>
      </w:r>
      <w:hyperlink r:id="rId36" w:history="1">
        <w:r w:rsidRPr="00A33D16">
          <w:rPr>
            <w:rStyle w:val="Hyperlink"/>
          </w:rPr>
          <w:t>Teadusnõustamise mehhanism:</w:t>
        </w:r>
      </w:hyperlink>
      <w:hyperlink r:id="rId37" w:history="1">
        <w:r w:rsidRPr="00A33D16">
          <w:rPr>
            <w:rStyle w:val="Hyperlink"/>
          </w:rPr>
          <w:t xml:space="preserve"> „One Health governance in the EU“</w:t>
        </w:r>
      </w:hyperlink>
      <w:r w:rsidRPr="00A33D16">
        <w:t xml:space="preserve"> (Terviseühtsuse põhimõttest lähtuv juhtimine Euroopa Liidus).</w:t>
      </w:r>
    </w:p>
  </w:footnote>
  <w:footnote w:id="55">
    <w:p w14:paraId="2C604885" w14:textId="2AB2D268" w:rsidR="00ED33B8" w:rsidRPr="00A33D16" w:rsidRDefault="00ED33B8" w:rsidP="00EA58EC">
      <w:pPr>
        <w:pStyle w:val="FootnoteText"/>
        <w:spacing w:after="0"/>
      </w:pPr>
      <w:r w:rsidRPr="00A33D16">
        <w:rPr>
          <w:rStyle w:val="FootnoteReference"/>
        </w:rPr>
        <w:footnoteRef/>
      </w:r>
      <w:r w:rsidRPr="00A33D16">
        <w:t xml:space="preserve"> </w:t>
      </w:r>
      <w:r w:rsidRPr="00A33D16">
        <w:tab/>
        <w:t>Nõukogu soovitus 2023/C 220/01.</w:t>
      </w:r>
    </w:p>
  </w:footnote>
  <w:footnote w:id="56">
    <w:p w14:paraId="5046860F" w14:textId="77777777" w:rsidR="00785059" w:rsidRPr="00A33D16" w:rsidRDefault="00785059" w:rsidP="00785059">
      <w:pPr>
        <w:pStyle w:val="FootnoteText"/>
        <w:spacing w:after="0"/>
      </w:pPr>
      <w:r w:rsidRPr="00A33D16">
        <w:rPr>
          <w:rStyle w:val="FootnoteReference"/>
        </w:rPr>
        <w:footnoteRef/>
      </w:r>
      <w:r w:rsidRPr="00A33D16">
        <w:tab/>
        <w:t xml:space="preserve">EEA (2025): </w:t>
      </w:r>
      <w:hyperlink r:id="rId38" w:history="1">
        <w:r w:rsidRPr="00A33D16">
          <w:rPr>
            <w:rStyle w:val="Hyperlink"/>
          </w:rPr>
          <w:t>Risks of chemical mixtures for human health in Europe</w:t>
        </w:r>
      </w:hyperlink>
      <w:r w:rsidRPr="00A33D16">
        <w:t xml:space="preserve"> (Kemikaalisegude oht inimeste tervisele Euroopas).</w:t>
      </w:r>
    </w:p>
  </w:footnote>
  <w:footnote w:id="57">
    <w:p w14:paraId="3FC6B7E6" w14:textId="77777777" w:rsidR="00785059" w:rsidRPr="00A33D16" w:rsidRDefault="00785059" w:rsidP="00785059">
      <w:pPr>
        <w:pStyle w:val="FootnoteText"/>
        <w:spacing w:after="0"/>
      </w:pPr>
      <w:r w:rsidRPr="00A33D16">
        <w:rPr>
          <w:rStyle w:val="FootnoteReference"/>
        </w:rPr>
        <w:footnoteRef/>
      </w:r>
      <w:r w:rsidRPr="00A33D16">
        <w:t xml:space="preserve"> </w:t>
      </w:r>
      <w:r w:rsidRPr="00A33D16">
        <w:tab/>
        <w:t xml:space="preserve">Nt </w:t>
      </w:r>
      <w:hyperlink r:id="rId39" w:history="1">
        <w:r w:rsidRPr="00A33D16">
          <w:rPr>
            <w:rStyle w:val="Hyperlink"/>
          </w:rPr>
          <w:t>HEAL (2025):</w:t>
        </w:r>
      </w:hyperlink>
      <w:hyperlink r:id="rId40" w:history="1">
        <w:r w:rsidRPr="00A33D16">
          <w:rPr>
            <w:rStyle w:val="Hyperlink"/>
          </w:rPr>
          <w:t>Chemical pollution driving men’s health crisis</w:t>
        </w:r>
      </w:hyperlink>
      <w:r w:rsidRPr="00A33D16">
        <w:t xml:space="preserve"> (Keemiline saaste, mis põhjustab meeste tervisekriis); „Koormus tervishoiule ja majandusele on märkimisväärne: seotud kulud ületavad hinnanguliselt 15 miljardit eurot aastas.“.</w:t>
      </w:r>
    </w:p>
  </w:footnote>
  <w:footnote w:id="58">
    <w:p w14:paraId="46A065AA" w14:textId="77777777" w:rsidR="00785059" w:rsidRPr="00A33D16" w:rsidRDefault="00785059" w:rsidP="00785059">
      <w:pPr>
        <w:pStyle w:val="FootnoteText"/>
        <w:spacing w:after="0"/>
      </w:pPr>
      <w:r w:rsidRPr="00A33D16">
        <w:rPr>
          <w:rStyle w:val="FootnoteReference"/>
        </w:rPr>
        <w:footnoteRef/>
      </w:r>
      <w:r w:rsidRPr="00A33D16">
        <w:tab/>
        <w:t xml:space="preserve">EEA (2025): </w:t>
      </w:r>
      <w:hyperlink r:id="rId41" w:history="1">
        <w:r w:rsidRPr="00A33D16">
          <w:rPr>
            <w:rStyle w:val="Hyperlink"/>
          </w:rPr>
          <w:t>Mixtures of chemicals in Europe’s rivers and lakes</w:t>
        </w:r>
      </w:hyperlink>
      <w:r w:rsidRPr="00A33D16">
        <w:t xml:space="preserve"> (Kemikaalisegud Euroopa jõgedes ja järvedes) ning Saskia Finckh </w:t>
      </w:r>
      <w:r w:rsidRPr="00A33D16">
        <w:rPr>
          <w:i/>
        </w:rPr>
        <w:t>et al.</w:t>
      </w:r>
      <w:r w:rsidRPr="00A33D16">
        <w:t xml:space="preserve"> (2022): „</w:t>
      </w:r>
      <w:hyperlink r:id="rId42" w:history="1">
        <w:r w:rsidRPr="00A33D16">
          <w:rPr>
            <w:rStyle w:val="Hyperlink"/>
          </w:rPr>
          <w:t>Endocrine disrupting chemicals entering European rivers:</w:t>
        </w:r>
      </w:hyperlink>
      <w:hyperlink r:id="rId43" w:history="1">
        <w:r w:rsidRPr="00A33D16">
          <w:rPr>
            <w:rStyle w:val="Hyperlink"/>
          </w:rPr>
          <w:t xml:space="preserve"> Occurrence and adverse mixture effects in treated wastewater</w:t>
        </w:r>
      </w:hyperlink>
      <w:r w:rsidRPr="00A33D16">
        <w:t xml:space="preserve">“ (Euroopa jõgedesse sisenevad endokriinfunktsiooni kahjustavad kemikaalid: segude esinemine ja kahjulik toime puhastatud reovees) (samuti Pistocchi, A. </w:t>
      </w:r>
      <w:r w:rsidRPr="00A33D16">
        <w:rPr>
          <w:i/>
        </w:rPr>
        <w:t>et al.</w:t>
      </w:r>
      <w:r w:rsidRPr="00A33D16">
        <w:t xml:space="preserve"> (2022): „</w:t>
      </w:r>
      <w:hyperlink r:id="rId44" w:history="1">
        <w:r w:rsidRPr="00A33D16">
          <w:rPr>
            <w:rStyle w:val="Hyperlink"/>
          </w:rPr>
          <w:t>European scale assessment of the potential of ozonation and activated carbon treatment to reduce micropollutant emissions with wastewater</w:t>
        </w:r>
      </w:hyperlink>
      <w:r w:rsidRPr="00A33D16">
        <w:t xml:space="preserve">“ (Osoonimise ja aktiivsöega töötlemise potentsiaali hindamine Euroopa tasandil reoveega kaasnevate mikrosaasteainete heitkoguste vähendamiseks). </w:t>
      </w:r>
    </w:p>
  </w:footnote>
  <w:footnote w:id="59">
    <w:p w14:paraId="1BD620DB" w14:textId="77777777" w:rsidR="00785059" w:rsidRPr="00A33D16" w:rsidRDefault="00785059" w:rsidP="00785059">
      <w:pPr>
        <w:pStyle w:val="FootnoteText"/>
        <w:spacing w:after="0"/>
      </w:pPr>
      <w:r w:rsidRPr="00A33D16">
        <w:rPr>
          <w:rStyle w:val="FootnoteReference"/>
        </w:rPr>
        <w:footnoteRef/>
      </w:r>
      <w:r w:rsidRPr="00A33D16">
        <w:tab/>
        <w:t>COM(2019) 128, lisateabe saamiseks vt: https://environment.ec.europa.eu/topics/water/surface-water_en.</w:t>
      </w:r>
    </w:p>
  </w:footnote>
  <w:footnote w:id="60">
    <w:p w14:paraId="5C37C71B" w14:textId="7E2E9595" w:rsidR="00E06994" w:rsidRPr="00A33D16" w:rsidRDefault="00E06994" w:rsidP="00E06994">
      <w:pPr>
        <w:pStyle w:val="Text1"/>
        <w:spacing w:after="0"/>
        <w:ind w:left="357" w:hanging="357"/>
      </w:pPr>
      <w:r w:rsidRPr="00A33D16">
        <w:rPr>
          <w:rStyle w:val="FootnoteReference"/>
          <w:sz w:val="20"/>
          <w:szCs w:val="16"/>
        </w:rPr>
        <w:footnoteRef/>
      </w:r>
      <w:r w:rsidRPr="00A33D16">
        <w:rPr>
          <w:sz w:val="20"/>
        </w:rPr>
        <w:t xml:space="preserve"> </w:t>
      </w:r>
      <w:r w:rsidR="00A33D16">
        <w:rPr>
          <w:sz w:val="20"/>
        </w:rPr>
        <w:tab/>
      </w:r>
      <w:r w:rsidRPr="00A33D16">
        <w:rPr>
          <w:sz w:val="20"/>
        </w:rPr>
        <w:t xml:space="preserve">Vt </w:t>
      </w:r>
      <w:hyperlink r:id="rId45" w:history="1">
        <w:r w:rsidRPr="00A33D16">
          <w:rPr>
            <w:rStyle w:val="Hyperlink"/>
            <w:sz w:val="20"/>
          </w:rPr>
          <w:t>nullsaaste seire- ja väljavaatearuanne 2025</w:t>
        </w:r>
      </w:hyperlink>
      <w:r w:rsidRPr="00A33D16">
        <w:rPr>
          <w:sz w:val="20"/>
        </w:rPr>
        <w:t xml:space="preserve"> ning EEA väljaanne „Signaalid“: 1) </w:t>
      </w:r>
      <w:hyperlink r:id="rId46" w:history="1">
        <w:r w:rsidRPr="00A33D16">
          <w:rPr>
            <w:rStyle w:val="Hyperlink"/>
            <w:sz w:val="20"/>
          </w:rPr>
          <w:t>Treatment of drinking water to remove PFAS</w:t>
        </w:r>
      </w:hyperlink>
      <w:r w:rsidRPr="00A33D16">
        <w:rPr>
          <w:sz w:val="20"/>
        </w:rPr>
        <w:t xml:space="preserve"> (Joogivee töötlemine PFASide eemaldamiseks), 2) </w:t>
      </w:r>
      <w:hyperlink r:id="rId47" w:history="1">
        <w:r w:rsidRPr="00A33D16">
          <w:rPr>
            <w:rStyle w:val="Hyperlink"/>
            <w:sz w:val="20"/>
          </w:rPr>
          <w:t>PFAS contamination and soil remediation</w:t>
        </w:r>
      </w:hyperlink>
      <w:r w:rsidRPr="00A33D16">
        <w:rPr>
          <w:sz w:val="20"/>
        </w:rPr>
        <w:t xml:space="preserve"> (PFAS-saaste ja pinnase tervendamine) ning 3) </w:t>
      </w:r>
      <w:hyperlink r:id="rId48" w:history="1">
        <w:r w:rsidRPr="00A33D16">
          <w:rPr>
            <w:rStyle w:val="Hyperlink"/>
            <w:sz w:val="20"/>
          </w:rPr>
          <w:t>Leachate pollution from landfills</w:t>
        </w:r>
      </w:hyperlink>
      <w:r w:rsidRPr="00A33D16">
        <w:rPr>
          <w:sz w:val="20"/>
          <w:szCs w:val="16"/>
        </w:rPr>
        <w:t xml:space="preserve"> (Prügilate nõrgveereostus).</w:t>
      </w:r>
    </w:p>
  </w:footnote>
  <w:footnote w:id="61">
    <w:p w14:paraId="62DE3045" w14:textId="4638689C" w:rsidR="00E06994" w:rsidRPr="00A33D16" w:rsidRDefault="00E06994" w:rsidP="00E06994">
      <w:pPr>
        <w:pStyle w:val="FootnoteText"/>
        <w:spacing w:after="0"/>
      </w:pPr>
      <w:r w:rsidRPr="00A33D16">
        <w:rPr>
          <w:rStyle w:val="FootnoteReference"/>
        </w:rPr>
        <w:footnoteRef/>
      </w:r>
      <w:r w:rsidRPr="00A33D16">
        <w:tab/>
      </w:r>
      <w:hyperlink r:id="rId49" w:history="1">
        <w:r w:rsidRPr="00A33D16">
          <w:rPr>
            <w:rStyle w:val="Hyperlink"/>
          </w:rPr>
          <w:t>2025. aasta aprillis esitati ECHA-le ettepanek</w:t>
        </w:r>
      </w:hyperlink>
      <w:r w:rsidRPr="00A33D16">
        <w:t xml:space="preserve"> TFA ühtlustatud klassifitseerimiseks 1B reproduktiivtoksiliseks aineks ning püsivaks, liikuvaks ja toksiliseks või väga püsivaks ja väga liikuvaks aineks (PMT/vPvM). </w:t>
      </w:r>
    </w:p>
  </w:footnote>
  <w:footnote w:id="62">
    <w:p w14:paraId="00EEC2A1" w14:textId="77777777" w:rsidR="00E06994" w:rsidRPr="00A33D16" w:rsidRDefault="00E06994" w:rsidP="00E06994">
      <w:pPr>
        <w:pStyle w:val="FootnoteText"/>
        <w:spacing w:after="0"/>
      </w:pPr>
      <w:r w:rsidRPr="00A33D16">
        <w:rPr>
          <w:rStyle w:val="FootnoteReference"/>
        </w:rPr>
        <w:footnoteRef/>
      </w:r>
      <w:r w:rsidRPr="00A33D16">
        <w:tab/>
      </w:r>
      <w:hyperlink r:id="rId50" w:history="1">
        <w:r w:rsidRPr="00A33D16">
          <w:rPr>
            <w:rStyle w:val="Hyperlink"/>
          </w:rPr>
          <w:t>„Veereostus:</w:t>
        </w:r>
      </w:hyperlink>
      <w:hyperlink r:id="rId51" w:history="1">
        <w:r w:rsidRPr="00A33D16">
          <w:rPr>
            <w:rStyle w:val="Hyperlink"/>
          </w:rPr>
          <w:t xml:space="preserve"> nõukogu ja parlament jõudsid esialgsele kokkuleppele, et ajakohastada prioriteetseid aineid pinna- ja põhjavees“</w:t>
        </w:r>
      </w:hyperlink>
      <w:r w:rsidRPr="00A33D16">
        <w:t>.</w:t>
      </w:r>
    </w:p>
  </w:footnote>
  <w:footnote w:id="63">
    <w:p w14:paraId="62AD3BC1" w14:textId="77777777" w:rsidR="00E06994" w:rsidRPr="00A33D16" w:rsidRDefault="00E06994" w:rsidP="00E06994">
      <w:pPr>
        <w:pStyle w:val="FootnoteText"/>
        <w:spacing w:after="0"/>
      </w:pPr>
      <w:r w:rsidRPr="00A33D16">
        <w:rPr>
          <w:rStyle w:val="FootnoteReference"/>
        </w:rPr>
        <w:footnoteRef/>
      </w:r>
      <w:r w:rsidRPr="00A33D16">
        <w:tab/>
      </w:r>
      <w:hyperlink r:id="rId52" w:history="1">
        <w:r w:rsidRPr="00A33D16">
          <w:rPr>
            <w:rStyle w:val="Hyperlink"/>
          </w:rPr>
          <w:t>„Komisjon piirab tulekustutusvahtudes nn igavese toimega kemikaalide kasutamist“</w:t>
        </w:r>
      </w:hyperlink>
      <w:r w:rsidRPr="00A33D16">
        <w:t>.</w:t>
      </w:r>
    </w:p>
  </w:footnote>
  <w:footnote w:id="64">
    <w:p w14:paraId="2ADA4DD5" w14:textId="77777777" w:rsidR="00E06994" w:rsidRPr="00A33D16" w:rsidRDefault="00E06994" w:rsidP="00E06994">
      <w:pPr>
        <w:pStyle w:val="FootnoteText"/>
        <w:spacing w:after="0"/>
      </w:pPr>
      <w:r w:rsidRPr="00A33D16">
        <w:rPr>
          <w:rStyle w:val="FootnoteReference"/>
        </w:rPr>
        <w:footnoteRef/>
      </w:r>
      <w:r w:rsidRPr="00A33D16">
        <w:tab/>
        <w:t xml:space="preserve">ECHA (2025): </w:t>
      </w:r>
      <w:hyperlink r:id="rId53" w:history="1">
        <w:r w:rsidRPr="00A33D16">
          <w:rPr>
            <w:rStyle w:val="Hyperlink"/>
          </w:rPr>
          <w:t>Per- ja polüfluoroalküülained (PFAS)</w:t>
        </w:r>
      </w:hyperlink>
      <w:r w:rsidRPr="00A33D16">
        <w:t>.</w:t>
      </w:r>
    </w:p>
  </w:footnote>
  <w:footnote w:id="65">
    <w:p w14:paraId="13E8A6D8" w14:textId="77777777" w:rsidR="00E06994" w:rsidRPr="00A33D16" w:rsidRDefault="00E06994" w:rsidP="00E06994">
      <w:pPr>
        <w:pStyle w:val="FootnoteText"/>
        <w:spacing w:after="0"/>
      </w:pPr>
      <w:r w:rsidRPr="00A33D16">
        <w:rPr>
          <w:rStyle w:val="FootnoteReference"/>
        </w:rPr>
        <w:footnoteRef/>
      </w:r>
      <w:r w:rsidRPr="00A33D16">
        <w:tab/>
        <w:t>WHO / keskkonna peadirektoraadi (ENV) rahalist toetust käsitlev leping „Assessing health effects of PFAS in drinking water“ (Joogivees sisalduvate PFASide tervisemõju hindamine).</w:t>
      </w:r>
    </w:p>
  </w:footnote>
  <w:footnote w:id="66">
    <w:p w14:paraId="5F55645D" w14:textId="77777777" w:rsidR="00E06994" w:rsidRPr="00A33D16" w:rsidRDefault="00E06994" w:rsidP="00E06994">
      <w:pPr>
        <w:ind w:left="357" w:hanging="357"/>
      </w:pPr>
      <w:r w:rsidRPr="00A33D16">
        <w:rPr>
          <w:rStyle w:val="FootnoteReference"/>
          <w:sz w:val="20"/>
        </w:rPr>
        <w:footnoteRef/>
      </w:r>
      <w:r w:rsidRPr="00A33D16">
        <w:tab/>
      </w:r>
      <w:r w:rsidRPr="00A33D16">
        <w:rPr>
          <w:sz w:val="20"/>
        </w:rPr>
        <w:t>Leping „Analysis of treatment techniques: removal of specific pollutants and feasibility assessment of an EPR system for PFAS“ (Puhastusmeetodite analüüs: teatavate saasteainete kõrvaldamine ja PFASide puhul laiendatud tootjavastuse süsteemi teostatavuse hindamine).</w:t>
      </w:r>
      <w:r w:rsidRPr="00A33D16">
        <w:rPr>
          <w:sz w:val="20"/>
          <w:u w:val="single"/>
        </w:rPr>
        <w:t xml:space="preserve"> </w:t>
      </w:r>
    </w:p>
  </w:footnote>
  <w:footnote w:id="67">
    <w:p w14:paraId="69F830F4" w14:textId="77777777" w:rsidR="00E06994" w:rsidRPr="00A33D16" w:rsidRDefault="00E06994" w:rsidP="00E06994">
      <w:pPr>
        <w:pStyle w:val="FootnoteText"/>
        <w:spacing w:after="0"/>
      </w:pPr>
      <w:r w:rsidRPr="00A33D16">
        <w:rPr>
          <w:rStyle w:val="FootnoteReference"/>
        </w:rPr>
        <w:footnoteRef/>
      </w:r>
      <w:r w:rsidRPr="00A33D16">
        <w:tab/>
        <w:t>Määrus (EL) 2025/40.</w:t>
      </w:r>
    </w:p>
  </w:footnote>
  <w:footnote w:id="68">
    <w:p w14:paraId="717AF36E" w14:textId="77777777" w:rsidR="00E06994" w:rsidRPr="00A33D16" w:rsidRDefault="00E06994" w:rsidP="00E06994">
      <w:pPr>
        <w:pStyle w:val="FootnoteText"/>
        <w:spacing w:after="0"/>
      </w:pPr>
      <w:r w:rsidRPr="00A33D16">
        <w:rPr>
          <w:rStyle w:val="FootnoteReference"/>
        </w:rPr>
        <w:footnoteRef/>
      </w:r>
      <w:r w:rsidRPr="00A33D16">
        <w:tab/>
        <w:t>COM(2025) 530.</w:t>
      </w:r>
    </w:p>
  </w:footnote>
  <w:footnote w:id="69">
    <w:p w14:paraId="14D9A74B" w14:textId="77777777" w:rsidR="00E06994" w:rsidRPr="00A33D16" w:rsidRDefault="00E06994" w:rsidP="00E06994">
      <w:pPr>
        <w:pStyle w:val="FootnoteText"/>
        <w:spacing w:after="0"/>
      </w:pPr>
      <w:r w:rsidRPr="00A33D16">
        <w:rPr>
          <w:rStyle w:val="FootnoteReference"/>
        </w:rPr>
        <w:footnoteRef/>
      </w:r>
      <w:r w:rsidRPr="00A33D16">
        <w:tab/>
        <w:t>COM(2025) 280.</w:t>
      </w:r>
    </w:p>
  </w:footnote>
  <w:footnote w:id="70">
    <w:p w14:paraId="7CF3A41C" w14:textId="77777777" w:rsidR="00E06994" w:rsidRPr="00A33D16" w:rsidRDefault="00E06994" w:rsidP="00E06994">
      <w:pPr>
        <w:pStyle w:val="FootnoteText"/>
        <w:spacing w:after="0"/>
      </w:pPr>
      <w:r w:rsidRPr="00A33D16">
        <w:rPr>
          <w:rStyle w:val="FootnoteReference"/>
        </w:rPr>
        <w:footnoteRef/>
      </w:r>
      <w:r w:rsidRPr="00A33D16">
        <w:tab/>
        <w:t xml:space="preserve">Rakendamisel tagatakse tihe koordineeritus </w:t>
      </w:r>
      <w:hyperlink r:id="rId54" w:history="1">
        <w:r w:rsidRPr="00A33D16">
          <w:rPr>
            <w:rStyle w:val="Hyperlink"/>
          </w:rPr>
          <w:t>ELi kemikaalipoliitika näitajate raamistikuga</w:t>
        </w:r>
      </w:hyperlink>
      <w:r w:rsidRPr="00A33D16">
        <w:t>.</w:t>
      </w:r>
    </w:p>
  </w:footnote>
  <w:footnote w:id="71">
    <w:p w14:paraId="29EBCB65" w14:textId="7D11FA7D" w:rsidR="00E06994" w:rsidRPr="00A33D16" w:rsidRDefault="00E06994" w:rsidP="00E06994">
      <w:pPr>
        <w:pStyle w:val="FootnoteText"/>
        <w:spacing w:after="0"/>
      </w:pPr>
      <w:r w:rsidRPr="00A33D16">
        <w:rPr>
          <w:rStyle w:val="FootnoteReference"/>
        </w:rPr>
        <w:footnoteRef/>
      </w:r>
      <w:r w:rsidRPr="00A33D16">
        <w:tab/>
        <w:t xml:space="preserve">COM(2025) 526, COM(2025) 531, COM(2025) 980, COM(2025) 981, COM(2025) 982, COM(2025) 983, COM(2025) 984, COM(2025) 985 ja COM(2025) 986. </w:t>
      </w:r>
    </w:p>
  </w:footnote>
  <w:footnote w:id="72">
    <w:p w14:paraId="55E6BA08" w14:textId="77777777" w:rsidR="00E06994" w:rsidRPr="00A33D16" w:rsidRDefault="00E06994" w:rsidP="00E06994">
      <w:pPr>
        <w:pStyle w:val="FootnoteText"/>
        <w:spacing w:after="0"/>
        <w:jc w:val="left"/>
      </w:pPr>
      <w:r w:rsidRPr="00A33D16">
        <w:rPr>
          <w:rStyle w:val="FootnoteReference"/>
        </w:rPr>
        <w:footnoteRef/>
      </w:r>
      <w:r w:rsidRPr="00A33D16">
        <w:tab/>
        <w:t xml:space="preserve">COM(2025) 420, lisateave: </w:t>
      </w:r>
      <w:hyperlink r:id="rId55" w:history="1">
        <w:r w:rsidRPr="00A33D16">
          <w:rPr>
            <w:rStyle w:val="Hyperlink"/>
          </w:rPr>
          <w:t>„Environmental Implementation Review“</w:t>
        </w:r>
      </w:hyperlink>
      <w:r w:rsidRPr="00A33D16">
        <w:t xml:space="preserve"> (Keskkonnapoliitika rakendamise läbivaatamine).</w:t>
      </w:r>
    </w:p>
  </w:footnote>
  <w:footnote w:id="73">
    <w:p w14:paraId="0F7BA4AB" w14:textId="77777777" w:rsidR="00E06994" w:rsidRPr="00A33D16" w:rsidRDefault="00E06994" w:rsidP="00E06994">
      <w:pPr>
        <w:pStyle w:val="FootnoteText"/>
        <w:spacing w:after="0"/>
      </w:pPr>
      <w:r w:rsidRPr="00A33D16">
        <w:rPr>
          <w:rStyle w:val="FootnoteReference"/>
        </w:rPr>
        <w:footnoteRef/>
      </w:r>
      <w:r w:rsidRPr="00A33D16">
        <w:tab/>
        <w:t>Liikmesriikidele soovitatud 96 prioriteetsest meetmest 36 puudutavad saastega seotud õigusakte (vt COM(2025) 420 1. lisa).</w:t>
      </w:r>
    </w:p>
  </w:footnote>
  <w:footnote w:id="74">
    <w:p w14:paraId="1568ECD8" w14:textId="2E93FA56" w:rsidR="00E06994" w:rsidRPr="00A33D16" w:rsidRDefault="00E06994" w:rsidP="00E06994">
      <w:pPr>
        <w:pStyle w:val="FootnoteText"/>
        <w:spacing w:after="0"/>
      </w:pPr>
      <w:r w:rsidRPr="00A33D16">
        <w:rPr>
          <w:rStyle w:val="FootnoteReference"/>
        </w:rPr>
        <w:footnoteRef/>
      </w:r>
      <w:r w:rsidRPr="00A33D16">
        <w:tab/>
        <w:t xml:space="preserve">Eelkõige veekerksuse strateegia raames välja kuulutatud struktureeritud dialoogid. </w:t>
      </w:r>
    </w:p>
  </w:footnote>
  <w:footnote w:id="75">
    <w:p w14:paraId="7552E133" w14:textId="77777777" w:rsidR="00E06994" w:rsidRPr="00A33D16" w:rsidRDefault="00E06994" w:rsidP="00E06994">
      <w:pPr>
        <w:pStyle w:val="FootnoteText"/>
        <w:spacing w:after="0"/>
      </w:pPr>
      <w:r w:rsidRPr="00A33D16">
        <w:rPr>
          <w:rStyle w:val="FootnoteReference"/>
        </w:rPr>
        <w:footnoteRef/>
      </w:r>
      <w:r w:rsidRPr="00A33D16">
        <w:tab/>
        <w:t>COM(2025) 2, COM(2025) 3 ja nendega seotud komisjoni talituste töödokumendid.</w:t>
      </w:r>
    </w:p>
  </w:footnote>
  <w:footnote w:id="76">
    <w:p w14:paraId="54C54992" w14:textId="128A8DF2" w:rsidR="00F457FB" w:rsidRPr="00A33D16" w:rsidRDefault="00F457FB" w:rsidP="00EA58EC">
      <w:pPr>
        <w:pStyle w:val="FootnoteText"/>
        <w:spacing w:after="0"/>
      </w:pPr>
      <w:r w:rsidRPr="00A33D16">
        <w:rPr>
          <w:rStyle w:val="FootnoteReference"/>
        </w:rPr>
        <w:footnoteRef/>
      </w:r>
      <w:r w:rsidRPr="00A33D16">
        <w:t xml:space="preserve"> </w:t>
      </w:r>
      <w:r w:rsidRPr="00A33D16">
        <w:tab/>
      </w:r>
      <w:hyperlink r:id="rId56" w:history="1">
        <w:r w:rsidRPr="00A33D16">
          <w:rPr>
            <w:rStyle w:val="Hyperlink"/>
          </w:rPr>
          <w:t>Zero Pollution Going Local |</w:t>
        </w:r>
      </w:hyperlink>
      <w:r w:rsidRPr="00A33D16">
        <w:t xml:space="preserve"> (Nullsaaste kohalikul tasandil) |</w:t>
      </w:r>
      <w:hyperlink r:id="rId57" w:history="1">
        <w:r w:rsidRPr="00A33D16">
          <w:rPr>
            <w:rStyle w:val="Hyperlink"/>
          </w:rPr>
          <w:t>Euroopa Regioonide Komitee</w:t>
        </w:r>
      </w:hyperlink>
      <w:r w:rsidRPr="00A33D16">
        <w:t>.</w:t>
      </w:r>
    </w:p>
  </w:footnote>
  <w:footnote w:id="77">
    <w:p w14:paraId="07964D5A" w14:textId="77777777" w:rsidR="00E06994" w:rsidRPr="00A33D16" w:rsidRDefault="00E06994" w:rsidP="00E06994">
      <w:pPr>
        <w:pStyle w:val="FootnoteText"/>
        <w:spacing w:after="0"/>
      </w:pPr>
      <w:r w:rsidRPr="00A33D16">
        <w:rPr>
          <w:rStyle w:val="FootnoteReference"/>
        </w:rPr>
        <w:footnoteRef/>
      </w:r>
      <w:r w:rsidRPr="00A33D16">
        <w:tab/>
        <w:t xml:space="preserve">Nt Euroopa poolaasta tehnilise toe instrumendi </w:t>
      </w:r>
      <w:hyperlink r:id="rId58" w:history="1">
        <w:r w:rsidRPr="00A33D16">
          <w:rPr>
            <w:rStyle w:val="Hyperlink"/>
          </w:rPr>
          <w:t>TAIEX EIR Peer-to-Peer</w:t>
        </w:r>
      </w:hyperlink>
      <w:r w:rsidRPr="00A33D16">
        <w:t xml:space="preserve"> või Euroopa veekerksuse strateegias välja kuulutatud EIP veeprogrammi ja kestliku veekasutuse nõustamisvahendi kaudu. </w:t>
      </w:r>
    </w:p>
  </w:footnote>
  <w:footnote w:id="78">
    <w:p w14:paraId="2C2237DC" w14:textId="77777777" w:rsidR="00E06994" w:rsidRPr="00A33D16" w:rsidRDefault="00E06994" w:rsidP="00E06994">
      <w:pPr>
        <w:pStyle w:val="FootnoteText"/>
        <w:spacing w:after="0"/>
      </w:pPr>
      <w:r w:rsidRPr="00A33D16">
        <w:rPr>
          <w:rStyle w:val="FootnoteReference"/>
        </w:rPr>
        <w:footnoteRef/>
      </w:r>
      <w:r w:rsidRPr="00A33D16">
        <w:tab/>
        <w:t xml:space="preserve">COM(2025) 420 ja keskkonnapoliitika rakendamise läbivaatamise tulemustabel: </w:t>
      </w:r>
      <w:hyperlink r:id="rId59" w:history="1">
        <w:r w:rsidRPr="00A33D16">
          <w:rPr>
            <w:rStyle w:val="Hyperlink"/>
          </w:rPr>
          <w:t>https://environment.ec.europa.eu/app/eir-dashboard-on-environmental-investment-needs-and-gaps</w:t>
        </w:r>
      </w:hyperlink>
      <w:r w:rsidRPr="00A33D16">
        <w:t>.</w:t>
      </w:r>
    </w:p>
  </w:footnote>
  <w:footnote w:id="79">
    <w:p w14:paraId="37C5B54F" w14:textId="61906E24" w:rsidR="00E06994" w:rsidRPr="00A33D16" w:rsidRDefault="00E06994" w:rsidP="00E06994">
      <w:pPr>
        <w:pStyle w:val="FootnoteText"/>
        <w:spacing w:after="0"/>
      </w:pPr>
      <w:r w:rsidRPr="00A33D16">
        <w:rPr>
          <w:rStyle w:val="FootnoteReference"/>
        </w:rPr>
        <w:footnoteRef/>
      </w:r>
      <w:r w:rsidRPr="00A33D16">
        <w:tab/>
      </w:r>
      <w:hyperlink r:id="rId60" w:history="1">
        <w:r w:rsidRPr="00A33D16">
          <w:rPr>
            <w:rStyle w:val="Hyperlink"/>
          </w:rPr>
          <w:t>„Update of the costs of not implementing EU environmental law“</w:t>
        </w:r>
      </w:hyperlink>
      <w:r w:rsidRPr="00A33D16">
        <w:t xml:space="preserve"> (ELi keskkonnaõiguse rakendamata jätmise kulude uuendatud hinnang).</w:t>
      </w:r>
    </w:p>
  </w:footnote>
  <w:footnote w:id="80">
    <w:p w14:paraId="68B3D133" w14:textId="77777777" w:rsidR="00E06994" w:rsidRPr="00A33D16" w:rsidRDefault="00E06994" w:rsidP="00E06994">
      <w:pPr>
        <w:pStyle w:val="FootnoteText"/>
        <w:spacing w:after="0"/>
      </w:pPr>
      <w:r w:rsidRPr="00A33D16">
        <w:rPr>
          <w:rStyle w:val="FootnoteReference"/>
        </w:rPr>
        <w:footnoteRef/>
      </w:r>
      <w:r w:rsidRPr="00A33D16">
        <w:tab/>
      </w:r>
      <w:hyperlink r:id="rId61" w:history="1">
        <w:r w:rsidRPr="00A33D16">
          <w:rPr>
            <w:rStyle w:val="Hyperlink"/>
          </w:rPr>
          <w:t>A modernised Cohesion policy:</w:t>
        </w:r>
      </w:hyperlink>
      <w:hyperlink r:id="rId62" w:history="1">
        <w:r w:rsidRPr="00A33D16">
          <w:rPr>
            <w:rStyle w:val="Hyperlink"/>
          </w:rPr>
          <w:t xml:space="preserve"> The mid-term review</w:t>
        </w:r>
      </w:hyperlink>
      <w:r w:rsidRPr="00A33D16">
        <w:t xml:space="preserve"> (Ajakohastatud ühtekuuluvuspoliitika: vahehindamine).</w:t>
      </w:r>
    </w:p>
  </w:footnote>
  <w:footnote w:id="81">
    <w:p w14:paraId="556D83F1" w14:textId="77777777" w:rsidR="00E06994" w:rsidRPr="00A33D16" w:rsidRDefault="00E06994" w:rsidP="00E06994">
      <w:pPr>
        <w:pStyle w:val="FootnoteText"/>
        <w:spacing w:after="0"/>
      </w:pPr>
      <w:r w:rsidRPr="00A33D16">
        <w:rPr>
          <w:rStyle w:val="FootnoteReference"/>
        </w:rPr>
        <w:footnoteRef/>
      </w:r>
      <w:r w:rsidRPr="00A33D16">
        <w:tab/>
        <w:t>Määrus (EL) 2025/1914.</w:t>
      </w:r>
    </w:p>
  </w:footnote>
  <w:footnote w:id="82">
    <w:p w14:paraId="10085EF8" w14:textId="6FEAD062" w:rsidR="00C51D5B" w:rsidRPr="00A33D16" w:rsidRDefault="00C51D5B" w:rsidP="00EA58EC">
      <w:pPr>
        <w:pStyle w:val="FootnoteText"/>
        <w:spacing w:after="0"/>
      </w:pPr>
      <w:r w:rsidRPr="00A33D16">
        <w:rPr>
          <w:rStyle w:val="FootnoteReference"/>
        </w:rPr>
        <w:footnoteRef/>
      </w:r>
      <w:r w:rsidRPr="00A33D16">
        <w:t xml:space="preserve"> </w:t>
      </w:r>
      <w:r w:rsidRPr="00A33D16">
        <w:tab/>
      </w:r>
      <w:hyperlink r:id="rId63" w:history="1">
        <w:r w:rsidRPr="00A33D16">
          <w:rPr>
            <w:rStyle w:val="Hyperlink"/>
          </w:rPr>
          <w:t>„Clean-air tracking“</w:t>
        </w:r>
      </w:hyperlink>
      <w:r w:rsidRPr="00A33D16">
        <w:t xml:space="preserve"> (Puhta õhu meetmete jälgimine).</w:t>
      </w:r>
    </w:p>
  </w:footnote>
  <w:footnote w:id="83">
    <w:p w14:paraId="656B9C66" w14:textId="42FE0CAD" w:rsidR="00E06994" w:rsidRPr="00A33D16" w:rsidRDefault="00E06994" w:rsidP="00E06994">
      <w:pPr>
        <w:pStyle w:val="FootnoteText"/>
        <w:spacing w:after="0"/>
      </w:pPr>
      <w:r w:rsidRPr="00A33D16">
        <w:rPr>
          <w:rStyle w:val="FootnoteReference"/>
        </w:rPr>
        <w:footnoteRef/>
      </w:r>
      <w:r w:rsidRPr="00A33D16">
        <w:tab/>
      </w:r>
      <w:hyperlink r:id="rId64" w:history="1">
        <w:r w:rsidRPr="00A33D16">
          <w:rPr>
            <w:rStyle w:val="Hyperlink"/>
          </w:rPr>
          <w:t>ELi eelarve 2028–2034 tugevama Euroopa nimel</w:t>
        </w:r>
      </w:hyperlink>
      <w:r w:rsidRPr="00A33D16">
        <w:t xml:space="preserve"> (COM(2025) 555, COM(2025) 565, COM(2025) 543, COM(2025) 560, COM(2025) 559 ja COM(2025) 552).</w:t>
      </w:r>
    </w:p>
  </w:footnote>
  <w:footnote w:id="84">
    <w:p w14:paraId="6727083A" w14:textId="6DE63408" w:rsidR="00E06994" w:rsidRPr="00A33D16" w:rsidRDefault="00E06994" w:rsidP="00E06994">
      <w:pPr>
        <w:pStyle w:val="FootnoteText"/>
        <w:spacing w:after="0"/>
      </w:pPr>
      <w:r w:rsidRPr="00A33D16">
        <w:rPr>
          <w:rStyle w:val="FootnoteReference"/>
        </w:rPr>
        <w:footnoteRef/>
      </w:r>
      <w:r w:rsidRPr="00A33D16">
        <w:tab/>
        <w:t xml:space="preserve">Vt näiteks 2025. aasta aruanne </w:t>
      </w:r>
      <w:hyperlink r:id="rId65" w:history="1">
        <w:r w:rsidRPr="00A33D16">
          <w:rPr>
            <w:rStyle w:val="Hyperlink"/>
          </w:rPr>
          <w:t>„Annual Report on Taxation“</w:t>
        </w:r>
      </w:hyperlink>
      <w:r w:rsidRPr="00A33D16">
        <w:t xml:space="preserve"> (Aruanne maksustamise kohta).</w:t>
      </w:r>
    </w:p>
  </w:footnote>
  <w:footnote w:id="85">
    <w:p w14:paraId="5F738D82" w14:textId="77777777" w:rsidR="00E06994" w:rsidRPr="00A33D16" w:rsidRDefault="00E06994" w:rsidP="00E06994">
      <w:pPr>
        <w:pStyle w:val="FootnoteText"/>
        <w:spacing w:after="0"/>
      </w:pPr>
      <w:r w:rsidRPr="00A33D16">
        <w:rPr>
          <w:rStyle w:val="FootnoteReference"/>
        </w:rPr>
        <w:footnoteRef/>
      </w:r>
      <w:r w:rsidRPr="00A33D16">
        <w:tab/>
      </w:r>
      <w:hyperlink r:id="rId66" w:history="1">
        <w:r w:rsidRPr="00A33D16">
          <w:rPr>
            <w:rStyle w:val="Hyperlink"/>
          </w:rPr>
          <w:t>„2024 European Semester: Spring package“</w:t>
        </w:r>
      </w:hyperlink>
      <w:r w:rsidRPr="00A33D16">
        <w:t xml:space="preserve"> (2024. aasta Euroopa poolaasta: kevadpakett).</w:t>
      </w:r>
    </w:p>
  </w:footnote>
  <w:footnote w:id="86">
    <w:p w14:paraId="37CBA200" w14:textId="77777777" w:rsidR="00E06994" w:rsidRPr="00A33D16" w:rsidRDefault="00E06994" w:rsidP="00E06994">
      <w:pPr>
        <w:pStyle w:val="FootnoteText"/>
        <w:spacing w:after="0"/>
      </w:pPr>
      <w:r w:rsidRPr="00A33D16">
        <w:rPr>
          <w:rStyle w:val="FootnoteReference"/>
        </w:rPr>
        <w:footnoteRef/>
      </w:r>
      <w:r w:rsidRPr="00A33D16">
        <w:tab/>
      </w:r>
      <w:hyperlink r:id="rId67" w:history="1">
        <w:r w:rsidRPr="00A33D16">
          <w:rPr>
            <w:rStyle w:val="Hyperlink"/>
          </w:rPr>
          <w:t>„The EU Taxonomy’s uptake on the ground“</w:t>
        </w:r>
      </w:hyperlink>
      <w:r w:rsidRPr="00A33D16">
        <w:t xml:space="preserve"> (ELi taksonoomia kasutuselevõtt kohapeal).</w:t>
      </w:r>
    </w:p>
  </w:footnote>
  <w:footnote w:id="87">
    <w:p w14:paraId="1A12BA23" w14:textId="77777777" w:rsidR="00E06994" w:rsidRPr="00A33D16" w:rsidRDefault="00E06994" w:rsidP="00E06994">
      <w:pPr>
        <w:pStyle w:val="FootnoteText"/>
        <w:spacing w:after="0"/>
      </w:pPr>
      <w:r w:rsidRPr="00A33D16">
        <w:rPr>
          <w:rStyle w:val="FootnoteReference"/>
        </w:rPr>
        <w:footnoteRef/>
      </w:r>
      <w:r w:rsidRPr="00A33D16">
        <w:tab/>
        <w:t>„toob [---] kokku keskkonna- ja muud täitevasutused (nt need, kes vastutavad ELi transpordi-, energeetika-, põllumajandus- või tarbijakaitsealaste õigusaktide eest), et algatada parimate tavade vahetamine ja julgustada liikmesriike töötama välja valdkondadevahelised nõuete täitmise meetmed, et saavutada saaste suhtes nulltolerants riikide ja piiriülesel tasandil.“</w:t>
      </w:r>
    </w:p>
  </w:footnote>
  <w:footnote w:id="88">
    <w:p w14:paraId="5B7B85EA" w14:textId="77777777" w:rsidR="00E06994" w:rsidRPr="00A33D16" w:rsidRDefault="00E06994" w:rsidP="00E06994">
      <w:pPr>
        <w:pStyle w:val="FootnoteText"/>
        <w:spacing w:after="0"/>
      </w:pPr>
      <w:r w:rsidRPr="00A33D16">
        <w:rPr>
          <w:rStyle w:val="FootnoteReference"/>
        </w:rPr>
        <w:footnoteRef/>
      </w:r>
      <w:r w:rsidRPr="00A33D16">
        <w:tab/>
        <w:t>COM(2025) 270.</w:t>
      </w:r>
    </w:p>
  </w:footnote>
  <w:footnote w:id="89">
    <w:p w14:paraId="2CCD3A80" w14:textId="77777777" w:rsidR="00E06994" w:rsidRPr="00A33D16" w:rsidRDefault="00E06994" w:rsidP="00E06994">
      <w:pPr>
        <w:pStyle w:val="FootnoteText"/>
        <w:spacing w:after="0"/>
      </w:pPr>
      <w:r w:rsidRPr="00A33D16">
        <w:rPr>
          <w:rStyle w:val="FootnoteReference"/>
        </w:rPr>
        <w:footnoteRef/>
      </w:r>
      <w:r w:rsidRPr="00A33D16">
        <w:tab/>
        <w:t xml:space="preserve">Loodud läbivaadatud tööstusheidete direktiivi (EL) 2024/1785 kontekstis, vt </w:t>
      </w:r>
      <w:hyperlink r:id="rId68" w:history="1">
        <w:r w:rsidRPr="00A33D16">
          <w:rPr>
            <w:rStyle w:val="Hyperlink"/>
          </w:rPr>
          <w:t>Euroopa tööstuspöörde ja tööstusheite innovatsioonikeskus | INCITE</w:t>
        </w:r>
      </w:hyperlink>
      <w:r w:rsidRPr="00A33D16">
        <w:t>.</w:t>
      </w:r>
    </w:p>
  </w:footnote>
  <w:footnote w:id="90">
    <w:p w14:paraId="584A07D5" w14:textId="77777777" w:rsidR="00E06994" w:rsidRPr="00A33D16" w:rsidRDefault="00E06994" w:rsidP="00E06994">
      <w:pPr>
        <w:pStyle w:val="FootnoteText"/>
        <w:spacing w:after="0"/>
      </w:pPr>
      <w:r w:rsidRPr="00A33D16">
        <w:rPr>
          <w:rStyle w:val="FootnoteReference"/>
        </w:rPr>
        <w:footnoteRef/>
      </w:r>
      <w:r w:rsidRPr="00A33D16">
        <w:tab/>
        <w:t>COM(2025) 530.</w:t>
      </w:r>
    </w:p>
  </w:footnote>
  <w:footnote w:id="91">
    <w:p w14:paraId="07737366" w14:textId="46BC09C1" w:rsidR="003E207A" w:rsidRPr="00A33D16" w:rsidRDefault="003E207A" w:rsidP="00A2117D">
      <w:pPr>
        <w:pStyle w:val="FootnoteText"/>
        <w:spacing w:after="0"/>
      </w:pPr>
      <w:r w:rsidRPr="00A33D16">
        <w:rPr>
          <w:vertAlign w:val="superscript"/>
        </w:rPr>
        <w:footnoteRef/>
      </w:r>
      <w:r w:rsidRPr="00A33D16">
        <w:tab/>
        <w:t>Safe and Sustainable by Design for Chemicals and Materials. Revised Framework (2025) (Ohutuks ja kestlikuks kavandatud kemikaalid ja materjalid. Läbivaadatud raamistik (2025)). JRC143022 (</w:t>
      </w:r>
      <w:hyperlink r:id="rId69" w:history="1">
        <w:r w:rsidRPr="00A33D16">
          <w:rPr>
            <w:rStyle w:val="Hyperlink"/>
          </w:rPr>
          <w:t>koostamisel</w:t>
        </w:r>
      </w:hyperlink>
      <w:r w:rsidRPr="00A33D16">
        <w:t>).</w:t>
      </w:r>
    </w:p>
  </w:footnote>
  <w:footnote w:id="92">
    <w:p w14:paraId="2B1B4D39" w14:textId="77777777" w:rsidR="00E06994" w:rsidRPr="00A33D16" w:rsidRDefault="00E06994" w:rsidP="00E06994">
      <w:pPr>
        <w:pStyle w:val="FootnoteText"/>
        <w:spacing w:after="0"/>
      </w:pPr>
      <w:r w:rsidRPr="00A33D16">
        <w:rPr>
          <w:rStyle w:val="FootnoteReference"/>
        </w:rPr>
        <w:footnoteRef/>
      </w:r>
      <w:r w:rsidRPr="00A33D16">
        <w:tab/>
        <w:t>„Euroopa mullakokkulepe“, „Meie ookeanide ja veekogude taastamine“ ning „Kliimaneutraalsed ja arukad linnad“.</w:t>
      </w:r>
    </w:p>
  </w:footnote>
  <w:footnote w:id="93">
    <w:p w14:paraId="516E4B30" w14:textId="7DF7760D" w:rsidR="00E06994" w:rsidRPr="00A33D16" w:rsidRDefault="00E06994" w:rsidP="00E06994">
      <w:pPr>
        <w:pStyle w:val="FootnoteText"/>
        <w:spacing w:after="0"/>
      </w:pPr>
      <w:r w:rsidRPr="00A33D16">
        <w:rPr>
          <w:rStyle w:val="FootnoteReference"/>
        </w:rPr>
        <w:footnoteRef/>
      </w:r>
      <w:r w:rsidRPr="00A33D16">
        <w:tab/>
        <w:t>Kemikaalidest tulenevate riskide hindamise partnerlus (PARC) või planeedi veega kindlustatuse Euroopa partnerlus Water4All.</w:t>
      </w:r>
    </w:p>
  </w:footnote>
  <w:footnote w:id="94">
    <w:p w14:paraId="0F475538" w14:textId="1978D580" w:rsidR="00E06994" w:rsidRPr="00A33D16" w:rsidRDefault="00E06994" w:rsidP="00E06994">
      <w:pPr>
        <w:pStyle w:val="FootnoteText"/>
        <w:spacing w:after="0"/>
      </w:pPr>
      <w:r w:rsidRPr="00A33D16">
        <w:rPr>
          <w:rStyle w:val="FootnoteReference"/>
        </w:rPr>
        <w:footnoteRef/>
      </w:r>
      <w:r w:rsidRPr="00A33D16">
        <w:tab/>
      </w:r>
      <w:hyperlink r:id="rId70" w:history="1">
        <w:r w:rsidRPr="00A33D16">
          <w:rPr>
            <w:rStyle w:val="Hyperlink"/>
          </w:rPr>
          <w:t>„Horizon projects supporting the zero pollution action plan“</w:t>
        </w:r>
      </w:hyperlink>
      <w:r w:rsidRPr="00A33D16">
        <w:t xml:space="preserve"> (Nullsaaste tegevuskava toetavad programmi „Euroopa Horisont“ projektid).</w:t>
      </w:r>
    </w:p>
  </w:footnote>
  <w:footnote w:id="95">
    <w:p w14:paraId="3E9D0495" w14:textId="77777777" w:rsidR="00E06994" w:rsidRPr="00A33D16" w:rsidRDefault="00E06994" w:rsidP="00E06994">
      <w:pPr>
        <w:pStyle w:val="FootnoteText"/>
        <w:spacing w:after="0"/>
      </w:pPr>
      <w:r w:rsidRPr="00A33D16">
        <w:rPr>
          <w:rStyle w:val="FootnoteReference"/>
        </w:rPr>
        <w:footnoteRef/>
      </w:r>
      <w:r w:rsidRPr="00A33D16">
        <w:tab/>
        <w:t>Kuigi rahastada oli võimalik ainult nelja valitud projekti kogusummaga 20 miljonit eurot.</w:t>
      </w:r>
    </w:p>
  </w:footnote>
  <w:footnote w:id="96">
    <w:p w14:paraId="28C5ADA9" w14:textId="77777777" w:rsidR="00E06994" w:rsidRPr="00A33D16" w:rsidRDefault="00E06994" w:rsidP="00E06994">
      <w:pPr>
        <w:pStyle w:val="FootnoteText"/>
        <w:spacing w:after="0"/>
      </w:pPr>
      <w:r w:rsidRPr="00A33D16">
        <w:rPr>
          <w:rStyle w:val="FootnoteReference"/>
        </w:rPr>
        <w:footnoteRef/>
      </w:r>
      <w:r w:rsidRPr="00A33D16">
        <w:tab/>
      </w:r>
      <w:hyperlink r:id="rId71" w:history="1">
        <w:r w:rsidRPr="00A33D16">
          <w:rPr>
            <w:rStyle w:val="Hyperlink"/>
          </w:rPr>
          <w:t>LIFE-projektide portfell – ülevaade</w:t>
        </w:r>
      </w:hyperlink>
      <w:r w:rsidRPr="00A33D16">
        <w:t xml:space="preserve"> (alates 2014. aastast).</w:t>
      </w:r>
    </w:p>
  </w:footnote>
  <w:footnote w:id="97">
    <w:p w14:paraId="2485578A" w14:textId="77777777" w:rsidR="00E06994" w:rsidRPr="00A33D16" w:rsidRDefault="00E06994" w:rsidP="00E06994">
      <w:pPr>
        <w:pStyle w:val="FootnoteText"/>
        <w:spacing w:after="0"/>
      </w:pPr>
      <w:r w:rsidRPr="00A33D16">
        <w:rPr>
          <w:rStyle w:val="FootnoteReference"/>
        </w:rPr>
        <w:footnoteRef/>
      </w:r>
      <w:r w:rsidRPr="00A33D16">
        <w:tab/>
      </w:r>
      <w:hyperlink r:id="rId72" w:history="1">
        <w:r w:rsidRPr="00A33D16">
          <w:rPr>
            <w:rStyle w:val="Hyperlink"/>
          </w:rPr>
          <w:t>2025. aasta nullsaaste seire- ja väljavaatearuanne</w:t>
        </w:r>
      </w:hyperlink>
      <w:r w:rsidRPr="00A33D16">
        <w:t>.</w:t>
      </w:r>
    </w:p>
  </w:footnote>
  <w:footnote w:id="98">
    <w:p w14:paraId="2A7C0514" w14:textId="5DEB61AF" w:rsidR="00E06994" w:rsidRPr="00A33D16" w:rsidRDefault="00E06994" w:rsidP="00E06994">
      <w:pPr>
        <w:pStyle w:val="FootnoteText"/>
        <w:spacing w:after="0"/>
      </w:pPr>
      <w:r w:rsidRPr="00A33D16">
        <w:rPr>
          <w:rStyle w:val="FootnoteReference"/>
        </w:rPr>
        <w:footnoteRef/>
      </w:r>
      <w:r w:rsidRPr="00A33D16">
        <w:tab/>
        <w:t xml:space="preserve">Algatust toetatakse teadusprojektidega, nt ELi missiooniga „Euroopa mullakokkulepe“ (2025. aasta projektikonkurss, mis hõlmab spetsiaalseid eluslaboreid mulla tervendamiseks). </w:t>
      </w:r>
    </w:p>
  </w:footnote>
  <w:footnote w:id="99">
    <w:p w14:paraId="72DB8FBA" w14:textId="77777777" w:rsidR="00E06994" w:rsidRPr="00A33D16" w:rsidRDefault="00E06994" w:rsidP="00E06994">
      <w:pPr>
        <w:pStyle w:val="FootnoteText"/>
        <w:spacing w:after="0"/>
      </w:pPr>
      <w:r w:rsidRPr="00A33D16">
        <w:rPr>
          <w:rStyle w:val="FootnoteReference"/>
        </w:rPr>
        <w:footnoteRef/>
      </w:r>
      <w:r w:rsidRPr="00A33D16">
        <w:tab/>
        <w:t>SWD(2021) 140.</w:t>
      </w:r>
    </w:p>
  </w:footnote>
  <w:footnote w:id="100">
    <w:p w14:paraId="6C25CD00" w14:textId="4BA33DE1" w:rsidR="00E06994" w:rsidRPr="00A33D16" w:rsidRDefault="00E06994" w:rsidP="00E06994">
      <w:pPr>
        <w:pStyle w:val="FootnoteText"/>
        <w:spacing w:after="0"/>
      </w:pPr>
      <w:r w:rsidRPr="00A33D16">
        <w:rPr>
          <w:rStyle w:val="FootnoteReference"/>
        </w:rPr>
        <w:footnoteRef/>
      </w:r>
      <w:r w:rsidRPr="00A33D16">
        <w:tab/>
      </w:r>
      <w:hyperlink r:id="rId73" w:history="1">
        <w:r w:rsidRPr="00A33D16">
          <w:rPr>
            <w:rStyle w:val="Hyperlink"/>
          </w:rPr>
          <w:t>ENoLLi 2023. aasta soovitused</w:t>
        </w:r>
      </w:hyperlink>
      <w:r w:rsidRPr="00A33D16">
        <w:t xml:space="preserve">. </w:t>
      </w:r>
    </w:p>
  </w:footnote>
  <w:footnote w:id="101">
    <w:p w14:paraId="013671B7" w14:textId="2B4F71B9" w:rsidR="00E06994" w:rsidRPr="00A33D16" w:rsidRDefault="00E06994" w:rsidP="00E06994">
      <w:pPr>
        <w:pStyle w:val="FootnoteText"/>
        <w:spacing w:after="0"/>
      </w:pPr>
      <w:r w:rsidRPr="00A33D16">
        <w:rPr>
          <w:rStyle w:val="FootnoteReference"/>
        </w:rPr>
        <w:footnoteRef/>
      </w:r>
      <w:r w:rsidRPr="00A33D16">
        <w:tab/>
      </w:r>
      <w:hyperlink r:id="rId74" w:history="1">
        <w:r w:rsidRPr="00A33D16">
          <w:rPr>
            <w:rStyle w:val="Hyperlink"/>
          </w:rPr>
          <w:t>„Destination Earth (DestinE) - digital model of the earth“</w:t>
        </w:r>
      </w:hyperlink>
      <w:r w:rsidRPr="00A33D16">
        <w:t xml:space="preserve"> (Algatus „Destination Earth“ (DestinE) –Maa digitaalne mudel) ja </w:t>
      </w:r>
      <w:hyperlink r:id="rId75" w:history="1">
        <w:r w:rsidRPr="00A33D16">
          <w:rPr>
            <w:rStyle w:val="Hyperlink"/>
          </w:rPr>
          <w:t xml:space="preserve">„European Digital Twin of the Ocean (European DTO)“ </w:t>
        </w:r>
      </w:hyperlink>
      <w:r w:rsidRPr="00A33D16">
        <w:t>(Maailmamere Euroopa digiteisik).</w:t>
      </w:r>
    </w:p>
  </w:footnote>
  <w:footnote w:id="102">
    <w:p w14:paraId="4A2C1EFE" w14:textId="77777777" w:rsidR="00895893" w:rsidRPr="00A33D16" w:rsidRDefault="00895893" w:rsidP="00895893">
      <w:pPr>
        <w:pStyle w:val="FootnoteText"/>
        <w:spacing w:after="0"/>
      </w:pPr>
      <w:r w:rsidRPr="00A33D16">
        <w:rPr>
          <w:rStyle w:val="FootnoteReference"/>
        </w:rPr>
        <w:footnoteRef/>
      </w:r>
      <w:r w:rsidRPr="00A33D16">
        <w:tab/>
        <w:t>„Andmeruum kestliku rohelise Euroopa jaoks“ (</w:t>
      </w:r>
      <w:hyperlink r:id="rId76" w:history="1">
        <w:r w:rsidRPr="00A33D16">
          <w:rPr>
            <w:rStyle w:val="Hyperlink"/>
          </w:rPr>
          <w:t>projekt SAGE</w:t>
        </w:r>
      </w:hyperlink>
      <w:r w:rsidRPr="00A33D16">
        <w:t xml:space="preserve">) või eelmine </w:t>
      </w:r>
      <w:hyperlink r:id="rId77" w:history="1">
        <w:r w:rsidRPr="00A33D16">
          <w:rPr>
            <w:rStyle w:val="Hyperlink"/>
          </w:rPr>
          <w:t>rohelise kokkuleppe andmeruumi projekt GREAT</w:t>
        </w:r>
      </w:hyperlink>
      <w:r w:rsidRPr="00A33D16">
        <w:t>.</w:t>
      </w:r>
    </w:p>
  </w:footnote>
  <w:footnote w:id="103">
    <w:p w14:paraId="5F629D82" w14:textId="77777777" w:rsidR="00E06994" w:rsidRPr="00A33D16" w:rsidRDefault="00E06994" w:rsidP="00E06994">
      <w:pPr>
        <w:pStyle w:val="FootnoteText"/>
        <w:spacing w:after="0"/>
      </w:pPr>
      <w:r w:rsidRPr="00A33D16">
        <w:rPr>
          <w:rStyle w:val="FootnoteReference"/>
        </w:rPr>
        <w:footnoteRef/>
      </w:r>
      <w:r w:rsidRPr="00A33D16">
        <w:tab/>
      </w:r>
      <w:hyperlink r:id="rId78" w:history="1">
        <w:r w:rsidRPr="00A33D16">
          <w:rPr>
            <w:rStyle w:val="Hyperlink"/>
          </w:rPr>
          <w:t>Euroopa andmeruum arukate kogukondade jaoks</w:t>
        </w:r>
      </w:hyperlink>
      <w:r w:rsidRPr="00A33D16">
        <w:t xml:space="preserve">, vt katseprojektid StiD, IPPCP ja Geo4Water. </w:t>
      </w:r>
    </w:p>
  </w:footnote>
  <w:footnote w:id="104">
    <w:p w14:paraId="40189FC4" w14:textId="77777777" w:rsidR="005254CF" w:rsidRPr="00A33D16" w:rsidRDefault="005254CF" w:rsidP="005254CF">
      <w:pPr>
        <w:pStyle w:val="FootnoteText"/>
        <w:spacing w:after="0"/>
      </w:pPr>
      <w:r w:rsidRPr="00A33D16">
        <w:rPr>
          <w:rStyle w:val="FootnoteReference"/>
        </w:rPr>
        <w:footnoteRef/>
      </w:r>
      <w:r w:rsidRPr="00A33D16">
        <w:tab/>
      </w:r>
      <w:hyperlink r:id="rId79" w:history="1">
        <w:r w:rsidRPr="00A33D16">
          <w:rPr>
            <w:rStyle w:val="Hyperlink"/>
          </w:rPr>
          <w:t>Määrus</w:t>
        </w:r>
      </w:hyperlink>
      <w:r w:rsidRPr="00A33D16">
        <w:t xml:space="preserve"> (EL) 2025/2455.</w:t>
      </w:r>
    </w:p>
  </w:footnote>
  <w:footnote w:id="105">
    <w:p w14:paraId="174299A5" w14:textId="77777777" w:rsidR="00E06994" w:rsidRPr="00A33D16" w:rsidRDefault="00E06994" w:rsidP="00E06994">
      <w:pPr>
        <w:pStyle w:val="FootnoteText"/>
        <w:spacing w:after="0"/>
      </w:pPr>
      <w:r w:rsidRPr="00A33D16">
        <w:rPr>
          <w:rStyle w:val="FootnoteReference"/>
        </w:rPr>
        <w:footnoteRef/>
      </w:r>
      <w:r w:rsidRPr="00A33D16">
        <w:t xml:space="preserve"> </w:t>
      </w:r>
      <w:r w:rsidRPr="00A33D16">
        <w:tab/>
        <w:t xml:space="preserve">Cedefop (2023) </w:t>
      </w:r>
      <w:hyperlink r:id="rId80" w:history="1">
        <w:r w:rsidRPr="00A33D16">
          <w:rPr>
            <w:rStyle w:val="Hyperlink"/>
          </w:rPr>
          <w:t>„Skills in Transition – the way to 2035“</w:t>
        </w:r>
      </w:hyperlink>
      <w:r w:rsidRPr="00A33D16">
        <w:t xml:space="preserve"> (Oskused üleminekul – tee 2035. aastani) ja OECD (2023) </w:t>
      </w:r>
      <w:hyperlink r:id="rId81" w:history="1">
        <w:r w:rsidRPr="00A33D16">
          <w:rPr>
            <w:rStyle w:val="Hyperlink"/>
          </w:rPr>
          <w:t>„Assessing and Anticipating Skills for the Green Transition: Unlocking Talent for a Sustainable Future, Getting Skills Right“</w:t>
        </w:r>
      </w:hyperlink>
      <w:r w:rsidRPr="00A33D16">
        <w:t xml:space="preserve"> (Rohepöörde oskuste hindamine ja prognoosimine: talendi kasutamine kestliku tuleviku jaoks, õigete oskuste omandamine). </w:t>
      </w:r>
    </w:p>
  </w:footnote>
  <w:footnote w:id="106">
    <w:p w14:paraId="710CFD05" w14:textId="77777777" w:rsidR="00E06994" w:rsidRPr="00A33D16" w:rsidRDefault="00E06994" w:rsidP="00E06994">
      <w:pPr>
        <w:pStyle w:val="FootnoteText"/>
        <w:spacing w:after="0"/>
      </w:pPr>
      <w:r w:rsidRPr="00A33D16">
        <w:rPr>
          <w:rStyle w:val="FootnoteReference"/>
        </w:rPr>
        <w:footnoteRef/>
      </w:r>
      <w:r w:rsidRPr="00A33D16">
        <w:t xml:space="preserve"> </w:t>
      </w:r>
      <w:r w:rsidRPr="00A33D16">
        <w:tab/>
      </w:r>
      <w:hyperlink r:id="rId82" w:anchor="inline-nav-2" w:history="1">
        <w:r w:rsidRPr="00A33D16">
          <w:rPr>
            <w:rStyle w:val="Hyperlink"/>
          </w:rPr>
          <w:t>„Employment and Social Developments in Europe (ESDE) 2024“</w:t>
        </w:r>
      </w:hyperlink>
      <w:r w:rsidRPr="00A33D16">
        <w:t xml:space="preserve"> (Euroopa tööhõive ja sotsiaalareng 2024).</w:t>
      </w:r>
    </w:p>
  </w:footnote>
  <w:footnote w:id="107">
    <w:p w14:paraId="1A539DDB" w14:textId="2A0F518A" w:rsidR="00E06994" w:rsidRPr="00A33D16" w:rsidRDefault="00E06994" w:rsidP="00E06994">
      <w:pPr>
        <w:pStyle w:val="FootnoteText"/>
        <w:spacing w:after="0"/>
      </w:pPr>
      <w:r w:rsidRPr="00A33D16">
        <w:rPr>
          <w:rStyle w:val="FootnoteReference"/>
        </w:rPr>
        <w:footnoteRef/>
      </w:r>
      <w:r w:rsidRPr="00A33D16">
        <w:tab/>
        <w:t xml:space="preserve">Näiteks </w:t>
      </w:r>
      <w:hyperlink r:id="rId83" w:history="1">
        <w:r w:rsidRPr="00A33D16">
          <w:rPr>
            <w:rStyle w:val="Hyperlink"/>
          </w:rPr>
          <w:t>nõukogu soovitus rohepööret ja kestlikku arengut toetava õppe kohta</w:t>
        </w:r>
      </w:hyperlink>
      <w:r w:rsidRPr="00A33D16">
        <w:t>.</w:t>
      </w:r>
    </w:p>
  </w:footnote>
  <w:footnote w:id="108">
    <w:p w14:paraId="74B0DA98" w14:textId="77777777" w:rsidR="00E44C35" w:rsidRPr="00A33D16" w:rsidRDefault="00E44C35" w:rsidP="00E44C35">
      <w:pPr>
        <w:pStyle w:val="FootnoteText"/>
        <w:spacing w:after="0"/>
      </w:pPr>
      <w:r w:rsidRPr="00A33D16">
        <w:rPr>
          <w:rStyle w:val="FootnoteReference"/>
        </w:rPr>
        <w:footnoteRef/>
      </w:r>
      <w:r w:rsidRPr="00A33D16">
        <w:tab/>
        <w:t>Oskuste pakti raames on Euroopa keemiatööstuspiirkondade võrgustiku juhitud piirkondliku partnerluse peamine kohustus aidata piirkondadel toime tulla probleemidega, mis tulenevad tööstuse üleminekust rohe- ja digipöörde tavadele.</w:t>
      </w:r>
    </w:p>
  </w:footnote>
  <w:footnote w:id="109">
    <w:p w14:paraId="4A1210D5" w14:textId="77777777" w:rsidR="00E06994" w:rsidRPr="00A33D16" w:rsidRDefault="00E06994" w:rsidP="00E06994">
      <w:pPr>
        <w:pStyle w:val="FootnoteText"/>
        <w:tabs>
          <w:tab w:val="left" w:pos="2977"/>
        </w:tabs>
        <w:spacing w:after="0"/>
      </w:pPr>
      <w:r w:rsidRPr="00A33D16">
        <w:rPr>
          <w:rStyle w:val="FootnoteReference"/>
        </w:rPr>
        <w:footnoteRef/>
      </w:r>
      <w:r w:rsidRPr="00A33D16">
        <w:t xml:space="preserve"> </w:t>
      </w:r>
      <w:r w:rsidRPr="00A33D16">
        <w:tab/>
        <w:t>COM(2025) 420.</w:t>
      </w:r>
    </w:p>
  </w:footnote>
  <w:footnote w:id="110">
    <w:p w14:paraId="321C9645" w14:textId="587C1C7E" w:rsidR="00E06994" w:rsidRPr="00A33D16" w:rsidRDefault="00E06994" w:rsidP="00E06994">
      <w:pPr>
        <w:pStyle w:val="Text2"/>
        <w:spacing w:after="0" w:line="259" w:lineRule="auto"/>
        <w:ind w:left="357" w:hanging="357"/>
      </w:pPr>
      <w:r w:rsidRPr="00A33D16">
        <w:rPr>
          <w:rStyle w:val="FootnoteReference"/>
          <w:sz w:val="20"/>
        </w:rPr>
        <w:footnoteRef/>
      </w:r>
      <w:r w:rsidRPr="00A33D16">
        <w:tab/>
      </w:r>
      <w:hyperlink r:id="rId84" w:history="1">
        <w:r w:rsidRPr="00A33D16">
          <w:rPr>
            <w:rStyle w:val="Hyperlink"/>
            <w:sz w:val="20"/>
          </w:rPr>
          <w:t>Eesmärk 7</w:t>
        </w:r>
      </w:hyperlink>
      <w:r w:rsidRPr="00A33D16">
        <w:t>.</w:t>
      </w:r>
    </w:p>
  </w:footnote>
  <w:footnote w:id="111">
    <w:p w14:paraId="3D11D850" w14:textId="2C5DE73D" w:rsidR="00E06994" w:rsidRPr="00A33D16" w:rsidRDefault="00E06994" w:rsidP="00E06994">
      <w:pPr>
        <w:pStyle w:val="FootnoteText"/>
        <w:spacing w:after="0"/>
      </w:pPr>
      <w:r w:rsidRPr="00A33D16">
        <w:rPr>
          <w:rStyle w:val="FootnoteReference"/>
        </w:rPr>
        <w:footnoteRef/>
      </w:r>
      <w:r w:rsidRPr="00A33D16">
        <w:tab/>
      </w:r>
      <w:hyperlink r:id="rId85" w:history="1">
        <w:r w:rsidRPr="00A33D16">
          <w:rPr>
            <w:rStyle w:val="Hyperlink"/>
          </w:rPr>
          <w:t>https://www.ccacoalition.org/news/factsheet-2024-global-methane-pledge-ministerial</w:t>
        </w:r>
      </w:hyperlink>
      <w:r w:rsidRPr="00A33D16">
        <w:t xml:space="preserve">, kasutades </w:t>
      </w:r>
      <w:hyperlink r:id="rId86" w:history="1">
        <w:r w:rsidRPr="00A33D16">
          <w:rPr>
            <w:rStyle w:val="Hyperlink"/>
          </w:rPr>
          <w:t>metaaniheite tuvastamiseks Copernicuse seirerakendust „Methane Hotspot Explorer“</w:t>
        </w:r>
      </w:hyperlink>
      <w:r w:rsidRPr="00A33D16">
        <w:t xml:space="preserve">. </w:t>
      </w:r>
    </w:p>
  </w:footnote>
  <w:footnote w:id="112">
    <w:p w14:paraId="7DA4D61E" w14:textId="62F5EF49" w:rsidR="00835218" w:rsidRPr="00A33D16" w:rsidRDefault="00835218" w:rsidP="00EA58EC">
      <w:pPr>
        <w:pStyle w:val="FootnoteText"/>
        <w:spacing w:after="0"/>
      </w:pPr>
      <w:r w:rsidRPr="00A33D16">
        <w:rPr>
          <w:rStyle w:val="FootnoteReference"/>
        </w:rPr>
        <w:footnoteRef/>
      </w:r>
      <w:r w:rsidRPr="00A33D16">
        <w:tab/>
        <w:t xml:space="preserve">Vt näiteks Vahemere piirkonna lepe (JOIN(2025) 26). </w:t>
      </w:r>
    </w:p>
  </w:footnote>
  <w:footnote w:id="113">
    <w:p w14:paraId="4EEA9DAB" w14:textId="3A7A88DC" w:rsidR="008C1611" w:rsidRPr="00A33D16" w:rsidRDefault="008C1611" w:rsidP="00EA58EC">
      <w:pPr>
        <w:pStyle w:val="FootnoteText"/>
        <w:spacing w:after="0"/>
      </w:pPr>
      <w:r w:rsidRPr="00A33D16">
        <w:rPr>
          <w:rStyle w:val="FootnoteReference"/>
          <w:rFonts w:eastAsiaTheme="majorEastAsia"/>
        </w:rPr>
        <w:footnoteRef/>
      </w:r>
      <w:r w:rsidRPr="00A33D16">
        <w:t xml:space="preserve"> </w:t>
      </w:r>
      <w:r w:rsidRPr="00A33D16">
        <w:tab/>
        <w:t>COM(2024) 146.</w:t>
      </w:r>
    </w:p>
  </w:footnote>
  <w:footnote w:id="114">
    <w:p w14:paraId="3056FCE4" w14:textId="3BEDFAD6" w:rsidR="00E35D17" w:rsidRPr="00A33D16" w:rsidRDefault="00E35D17" w:rsidP="00AC7B98">
      <w:pPr>
        <w:pStyle w:val="FootnoteText"/>
        <w:rPr>
          <w:rFonts w:asciiTheme="minorHAnsi" w:hAnsiTheme="minorHAnsi" w:cstheme="minorBidi"/>
          <w:kern w:val="2"/>
          <w14:ligatures w14:val="standardContextual"/>
        </w:rPr>
      </w:pPr>
      <w:r w:rsidRPr="00A33D16">
        <w:rPr>
          <w:rStyle w:val="FootnoteReference"/>
        </w:rPr>
        <w:footnoteRef/>
      </w:r>
      <w:r w:rsidRPr="00A33D16">
        <w:t xml:space="preserve"> </w:t>
      </w:r>
      <w:r w:rsidRPr="00A33D16">
        <w:tab/>
      </w:r>
      <w:r w:rsidRPr="00A33D16">
        <w:rPr>
          <w:rStyle w:val="Hyperlink"/>
        </w:rPr>
        <w:t xml:space="preserve">Vt </w:t>
      </w:r>
      <w:r w:rsidRPr="00A33D16">
        <w:t>„</w:t>
      </w:r>
      <w:r w:rsidRPr="00A33D16">
        <w:rPr>
          <w:color w:val="0000FF" w:themeColor="hyperlink"/>
          <w:u w:val="single"/>
        </w:rPr>
        <w:t>Scenario analysis of PM</w:t>
      </w:r>
      <w:r w:rsidRPr="00A33D16">
        <w:rPr>
          <w:color w:val="0000FF" w:themeColor="hyperlink"/>
          <w:u w:val="single"/>
          <w:vertAlign w:val="subscript"/>
        </w:rPr>
        <w:t>2.5</w:t>
      </w:r>
      <w:r w:rsidRPr="00A33D16">
        <w:rPr>
          <w:color w:val="0000FF" w:themeColor="hyperlink"/>
          <w:u w:val="single"/>
        </w:rPr>
        <w:t xml:space="preserve"> and ozone impacts on health, crops and climate with </w:t>
      </w:r>
      <w:hyperlink r:id="rId87" w:history="1">
        <w:r w:rsidRPr="00A33D16">
          <w:rPr>
            <w:rStyle w:val="Hyperlink"/>
          </w:rPr>
          <w:t>TM5-FASST</w:t>
        </w:r>
      </w:hyperlink>
      <w:r w:rsidRPr="00A33D16">
        <w:rPr>
          <w:rStyle w:val="Hyperlink"/>
        </w:rPr>
        <w:t>: A case study in the Western Balkans“</w:t>
      </w:r>
      <w:r w:rsidRPr="00A33D16">
        <w:t xml:space="preserve"> (Stsenaariumianalüüs, mis käsitleb PM2,5 ja osooni mõju tervisele, põllukultuuridele ja kliimale vahendi TM5-FASST abil: juhtumiuuring Lääne-Balkanil) ja </w:t>
      </w:r>
      <w:hyperlink r:id="rId88" w:history="1">
        <w:r w:rsidRPr="00A33D16">
          <w:rPr>
            <w:rStyle w:val="Hyperlink"/>
          </w:rPr>
          <w:t>JRC uuring</w:t>
        </w:r>
      </w:hyperlink>
      <w:r w:rsidRPr="00A33D16">
        <w:t xml:space="preserve">, mis näitab, et Lääne-Balkani riikide kooskõlastamine nullsaaste tegevuskava eesmärkidega tooks kaasa suure tulude-kulude suhte, mis näitab vajadust vähendada õhusaastet.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813E9" w14:textId="77777777" w:rsidR="00A740DC" w:rsidRPr="00A740DC" w:rsidRDefault="00A740DC" w:rsidP="00A740DC">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DEF8C" w14:textId="77777777" w:rsidR="00A740DC" w:rsidRPr="00A740DC" w:rsidRDefault="00A740DC" w:rsidP="00A740DC">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68882" w14:textId="77777777" w:rsidR="00A740DC" w:rsidRPr="00A740DC" w:rsidRDefault="00A740DC" w:rsidP="00A740DC">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10E22" w14:textId="77777777" w:rsidR="00F029CA" w:rsidRPr="00874CDA" w:rsidRDefault="00F029CA">
    <w:pPr>
      <w:pStyle w:val="Header"/>
    </w:pPr>
  </w:p>
  <w:p w14:paraId="081815FB" w14:textId="77777777" w:rsidR="00F029CA" w:rsidRPr="00874CDA" w:rsidRDefault="00F029CA"/>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D2419" w14:textId="77777777" w:rsidR="00F029CA" w:rsidRPr="00874CDA" w:rsidRDefault="00F029CA">
    <w:pPr>
      <w:pStyle w:val="Header"/>
    </w:pPr>
  </w:p>
  <w:p w14:paraId="1E8EBBC2" w14:textId="77777777" w:rsidR="00F029CA" w:rsidRPr="00874CDA" w:rsidRDefault="00F029CA"/>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260D2" w14:textId="77777777" w:rsidR="00F029CA" w:rsidRPr="00874CDA" w:rsidRDefault="00F029CA" w:rsidP="00E262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900F7"/>
    <w:multiLevelType w:val="multilevel"/>
    <w:tmpl w:val="74D6CC0A"/>
    <w:name w:val="ListDash4Numbering"/>
    <w:lvl w:ilvl="0">
      <w:start w:val="1"/>
      <w:numFmt w:val="bullet"/>
      <w:pStyle w:val="ListDash4"/>
      <w:lvlText w:val="–"/>
      <w:lvlJc w:val="left"/>
      <w:pPr>
        <w:tabs>
          <w:tab w:val="num" w:pos="1485"/>
        </w:tabs>
        <w:ind w:left="1485" w:hanging="283"/>
      </w:pPr>
      <w:rPr>
        <w:rFonts w:ascii="Times New Roman" w:hAnsi="Times New Roman"/>
      </w:rPr>
    </w:lvl>
    <w:lvl w:ilvl="1">
      <w:start w:val="1"/>
      <w:numFmt w:val="bullet"/>
      <w:pStyle w:val="ListDash4Level2"/>
      <w:lvlText w:val="–"/>
      <w:lvlJc w:val="left"/>
      <w:pPr>
        <w:tabs>
          <w:tab w:val="num" w:pos="1769"/>
        </w:tabs>
        <w:ind w:left="1769" w:hanging="284"/>
      </w:pPr>
      <w:rPr>
        <w:rFonts w:ascii="Times New Roman" w:hAnsi="Times New Roman"/>
      </w:rPr>
    </w:lvl>
    <w:lvl w:ilvl="2">
      <w:start w:val="1"/>
      <w:numFmt w:val="bullet"/>
      <w:pStyle w:val="ListDash4Level3"/>
      <w:lvlText w:val="–"/>
      <w:lvlJc w:val="left"/>
      <w:pPr>
        <w:tabs>
          <w:tab w:val="num" w:pos="2052"/>
        </w:tabs>
        <w:ind w:left="2052" w:hanging="283"/>
      </w:pPr>
      <w:rPr>
        <w:rFonts w:ascii="Times New Roman" w:hAnsi="Times New Roman"/>
      </w:rPr>
    </w:lvl>
    <w:lvl w:ilvl="3">
      <w:start w:val="1"/>
      <w:numFmt w:val="bullet"/>
      <w:pStyle w:val="ListDash4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0EFB7115"/>
    <w:multiLevelType w:val="multilevel"/>
    <w:tmpl w:val="DB6E8B38"/>
    <w:name w:val="ListNumber3Numbering"/>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120B7201"/>
    <w:multiLevelType w:val="multilevel"/>
    <w:tmpl w:val="B7885FDC"/>
    <w:name w:val="ListNumberNumbering"/>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 w15:restartNumberingAfterBreak="0">
    <w:nsid w:val="120B8345"/>
    <w:multiLevelType w:val="multilevel"/>
    <w:tmpl w:val="748CAFF4"/>
    <w:name w:val="TableListNumberNumbering"/>
    <w:lvl w:ilvl="0">
      <w:start w:val="1"/>
      <w:numFmt w:val="decimal"/>
      <w:pStyle w:val="TableListNumber"/>
      <w:lvlText w:val="(%1)"/>
      <w:lvlJc w:val="left"/>
      <w:pPr>
        <w:tabs>
          <w:tab w:val="num" w:pos="454"/>
        </w:tabs>
        <w:ind w:left="454" w:hanging="454"/>
      </w:pPr>
    </w:lvl>
    <w:lvl w:ilvl="1">
      <w:start w:val="1"/>
      <w:numFmt w:val="lowerLetter"/>
      <w:pStyle w:val="TableListNumberLevel2"/>
      <w:lvlText w:val="(%2)"/>
      <w:lvlJc w:val="left"/>
      <w:pPr>
        <w:tabs>
          <w:tab w:val="num" w:pos="907"/>
        </w:tabs>
        <w:ind w:left="907" w:hanging="453"/>
      </w:pPr>
    </w:lvl>
    <w:lvl w:ilvl="2">
      <w:start w:val="1"/>
      <w:numFmt w:val="bullet"/>
      <w:pStyle w:val="TableListNumberLevel3"/>
      <w:lvlText w:val="–"/>
      <w:lvlJc w:val="left"/>
      <w:pPr>
        <w:tabs>
          <w:tab w:val="num" w:pos="1361"/>
        </w:tabs>
        <w:ind w:left="1361" w:hanging="454"/>
      </w:pPr>
      <w:rPr>
        <w:rFonts w:ascii="Times New Roman" w:hAnsi="Times New Roman"/>
      </w:rPr>
    </w:lvl>
    <w:lvl w:ilvl="3">
      <w:start w:val="1"/>
      <w:numFmt w:val="bullet"/>
      <w:pStyle w:val="TableListNumberLevel4"/>
      <w:lvlText w:val=""/>
      <w:lvlJc w:val="left"/>
      <w:pPr>
        <w:tabs>
          <w:tab w:val="num" w:pos="1814"/>
        </w:tabs>
        <w:ind w:left="1814" w:hanging="453"/>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4" w15:restartNumberingAfterBreak="0">
    <w:nsid w:val="1262685D"/>
    <w:multiLevelType w:val="multilevel"/>
    <w:tmpl w:val="FD844BBC"/>
    <w:name w:val="ListBullet4Numbering"/>
    <w:lvl w:ilvl="0">
      <w:start w:val="1"/>
      <w:numFmt w:val="bullet"/>
      <w:pStyle w:val="ListBullet4"/>
      <w:lvlText w:val=""/>
      <w:lvlJc w:val="left"/>
      <w:pPr>
        <w:tabs>
          <w:tab w:val="num" w:pos="1485"/>
        </w:tabs>
        <w:ind w:left="1485" w:hanging="283"/>
      </w:pPr>
      <w:rPr>
        <w:rFonts w:ascii="Symbol" w:hAnsi="Symbol"/>
      </w:rPr>
    </w:lvl>
    <w:lvl w:ilvl="1">
      <w:start w:val="1"/>
      <w:numFmt w:val="bullet"/>
      <w:pStyle w:val="ListBullet4Level2"/>
      <w:lvlText w:val=""/>
      <w:lvlJc w:val="left"/>
      <w:pPr>
        <w:tabs>
          <w:tab w:val="num" w:pos="1769"/>
        </w:tabs>
        <w:ind w:left="1769" w:hanging="284"/>
      </w:pPr>
      <w:rPr>
        <w:rFonts w:ascii="Symbol" w:hAnsi="Symbol"/>
      </w:rPr>
    </w:lvl>
    <w:lvl w:ilvl="2">
      <w:start w:val="1"/>
      <w:numFmt w:val="bullet"/>
      <w:pStyle w:val="ListBullet4Level3"/>
      <w:lvlText w:val=""/>
      <w:lvlJc w:val="left"/>
      <w:pPr>
        <w:tabs>
          <w:tab w:val="num" w:pos="2052"/>
        </w:tabs>
        <w:ind w:left="2052" w:hanging="283"/>
      </w:pPr>
      <w:rPr>
        <w:rFonts w:ascii="Symbol" w:hAnsi="Symbol"/>
      </w:rPr>
    </w:lvl>
    <w:lvl w:ilvl="3">
      <w:start w:val="1"/>
      <w:numFmt w:val="bullet"/>
      <w:pStyle w:val="ListBullet4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 w15:restartNumberingAfterBreak="0">
    <w:nsid w:val="143D0A16"/>
    <w:multiLevelType w:val="multilevel"/>
    <w:tmpl w:val="01824BA8"/>
    <w:name w:val="ListBullet3Numbering"/>
    <w:lvl w:ilvl="0">
      <w:start w:val="1"/>
      <w:numFmt w:val="bullet"/>
      <w:pStyle w:val="ListBullet3"/>
      <w:lvlText w:val=""/>
      <w:lvlJc w:val="left"/>
      <w:pPr>
        <w:tabs>
          <w:tab w:val="num" w:pos="1485"/>
        </w:tabs>
        <w:ind w:left="1485" w:hanging="283"/>
      </w:pPr>
      <w:rPr>
        <w:rFonts w:ascii="Symbol" w:hAnsi="Symbol"/>
      </w:rPr>
    </w:lvl>
    <w:lvl w:ilvl="1">
      <w:start w:val="1"/>
      <w:numFmt w:val="bullet"/>
      <w:pStyle w:val="ListBullet3Level2"/>
      <w:lvlText w:val=""/>
      <w:lvlJc w:val="left"/>
      <w:pPr>
        <w:tabs>
          <w:tab w:val="num" w:pos="1769"/>
        </w:tabs>
        <w:ind w:left="1769" w:hanging="284"/>
      </w:pPr>
      <w:rPr>
        <w:rFonts w:ascii="Symbol" w:hAnsi="Symbol"/>
      </w:rPr>
    </w:lvl>
    <w:lvl w:ilvl="2">
      <w:start w:val="1"/>
      <w:numFmt w:val="bullet"/>
      <w:pStyle w:val="ListBullet3Level3"/>
      <w:lvlText w:val=""/>
      <w:lvlJc w:val="left"/>
      <w:pPr>
        <w:tabs>
          <w:tab w:val="num" w:pos="2052"/>
        </w:tabs>
        <w:ind w:left="2052" w:hanging="283"/>
      </w:pPr>
      <w:rPr>
        <w:rFonts w:ascii="Symbol" w:hAnsi="Symbol"/>
      </w:rPr>
    </w:lvl>
    <w:lvl w:ilvl="3">
      <w:start w:val="1"/>
      <w:numFmt w:val="bullet"/>
      <w:pStyle w:val="ListBullet3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6" w15:restartNumberingAfterBreak="0">
    <w:nsid w:val="172F0AC5"/>
    <w:multiLevelType w:val="multilevel"/>
    <w:tmpl w:val="591CEFCC"/>
    <w:name w:val="ListNumber2Numbering"/>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7" w15:restartNumberingAfterBreak="0">
    <w:nsid w:val="1C7B624F"/>
    <w:multiLevelType w:val="multilevel"/>
    <w:tmpl w:val="5238B298"/>
    <w:name w:val="ListDash2Numbering"/>
    <w:lvl w:ilvl="0">
      <w:start w:val="1"/>
      <w:numFmt w:val="bullet"/>
      <w:pStyle w:val="ListDash2"/>
      <w:lvlText w:val="–"/>
      <w:lvlJc w:val="left"/>
      <w:pPr>
        <w:tabs>
          <w:tab w:val="num" w:pos="1485"/>
        </w:tabs>
        <w:ind w:left="1485" w:hanging="283"/>
      </w:pPr>
      <w:rPr>
        <w:rFonts w:ascii="Times New Roman" w:hAnsi="Times New Roman"/>
      </w:rPr>
    </w:lvl>
    <w:lvl w:ilvl="1">
      <w:start w:val="1"/>
      <w:numFmt w:val="bullet"/>
      <w:pStyle w:val="ListDash2Level2"/>
      <w:lvlText w:val="–"/>
      <w:lvlJc w:val="left"/>
      <w:pPr>
        <w:tabs>
          <w:tab w:val="num" w:pos="1769"/>
        </w:tabs>
        <w:ind w:left="1769" w:hanging="284"/>
      </w:pPr>
      <w:rPr>
        <w:rFonts w:ascii="Times New Roman" w:hAnsi="Times New Roman"/>
      </w:rPr>
    </w:lvl>
    <w:lvl w:ilvl="2">
      <w:start w:val="1"/>
      <w:numFmt w:val="bullet"/>
      <w:pStyle w:val="ListDash2Level3"/>
      <w:lvlText w:val="–"/>
      <w:lvlJc w:val="left"/>
      <w:pPr>
        <w:tabs>
          <w:tab w:val="num" w:pos="2052"/>
        </w:tabs>
        <w:ind w:left="2052" w:hanging="283"/>
      </w:pPr>
      <w:rPr>
        <w:rFonts w:ascii="Times New Roman" w:hAnsi="Times New Roman"/>
      </w:rPr>
    </w:lvl>
    <w:lvl w:ilvl="3">
      <w:start w:val="1"/>
      <w:numFmt w:val="bullet"/>
      <w:pStyle w:val="ListDash2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8" w15:restartNumberingAfterBreak="0">
    <w:nsid w:val="2A0831EB"/>
    <w:multiLevelType w:val="multilevel"/>
    <w:tmpl w:val="080C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C8DFDF8"/>
    <w:multiLevelType w:val="multilevel"/>
    <w:tmpl w:val="DEA4E79C"/>
    <w:name w:val="ListBullet2Numbering"/>
    <w:lvl w:ilvl="0">
      <w:start w:val="1"/>
      <w:numFmt w:val="bullet"/>
      <w:pStyle w:val="ListBullet2"/>
      <w:lvlText w:val=""/>
      <w:lvlJc w:val="left"/>
      <w:pPr>
        <w:tabs>
          <w:tab w:val="num" w:pos="1485"/>
        </w:tabs>
        <w:ind w:left="1485" w:hanging="283"/>
      </w:pPr>
      <w:rPr>
        <w:rFonts w:ascii="Symbol" w:hAnsi="Symbol"/>
      </w:rPr>
    </w:lvl>
    <w:lvl w:ilvl="1">
      <w:start w:val="1"/>
      <w:numFmt w:val="bullet"/>
      <w:pStyle w:val="ListBullet2Level2"/>
      <w:lvlText w:val=""/>
      <w:lvlJc w:val="left"/>
      <w:pPr>
        <w:tabs>
          <w:tab w:val="num" w:pos="1769"/>
        </w:tabs>
        <w:ind w:left="1769" w:hanging="284"/>
      </w:pPr>
      <w:rPr>
        <w:rFonts w:ascii="Symbol" w:hAnsi="Symbol"/>
      </w:rPr>
    </w:lvl>
    <w:lvl w:ilvl="2">
      <w:start w:val="1"/>
      <w:numFmt w:val="bullet"/>
      <w:pStyle w:val="ListBullet2Level3"/>
      <w:lvlText w:val=""/>
      <w:lvlJc w:val="left"/>
      <w:pPr>
        <w:tabs>
          <w:tab w:val="num" w:pos="2052"/>
        </w:tabs>
        <w:ind w:left="2052" w:hanging="283"/>
      </w:pPr>
      <w:rPr>
        <w:rFonts w:ascii="Symbol" w:hAnsi="Symbol"/>
      </w:rPr>
    </w:lvl>
    <w:lvl w:ilvl="3">
      <w:start w:val="1"/>
      <w:numFmt w:val="bullet"/>
      <w:pStyle w:val="ListBullet2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0" w15:restartNumberingAfterBreak="0">
    <w:nsid w:val="2D293CE3"/>
    <w:multiLevelType w:val="multilevel"/>
    <w:tmpl w:val="1818A060"/>
    <w:name w:val="LegalNumParNumbering"/>
    <w:lvl w:ilvl="0">
      <w:start w:val="1"/>
      <w:numFmt w:val="decimal"/>
      <w:pStyle w:val="LegalNumPar"/>
      <w:lvlText w:val="%1."/>
      <w:lvlJc w:val="left"/>
      <w:pPr>
        <w:tabs>
          <w:tab w:val="num" w:pos="476"/>
        </w:tabs>
        <w:ind w:left="476" w:hanging="476"/>
      </w:pPr>
      <w:rPr>
        <w:rFonts w:hint="default"/>
      </w:rPr>
    </w:lvl>
    <w:lvl w:ilvl="1">
      <w:start w:val="1"/>
      <w:numFmt w:val="lowerLetter"/>
      <w:pStyle w:val="LegalNumPar2"/>
      <w:lvlText w:val="%2."/>
      <w:lvlJc w:val="left"/>
      <w:pPr>
        <w:tabs>
          <w:tab w:val="num" w:pos="952"/>
        </w:tabs>
        <w:ind w:left="952" w:hanging="476"/>
      </w:pPr>
      <w:rPr>
        <w:rFonts w:hint="default"/>
      </w:rPr>
    </w:lvl>
    <w:lvl w:ilvl="2">
      <w:start w:val="1"/>
      <w:numFmt w:val="lowerRoman"/>
      <w:pStyle w:val="LegalNumPar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1" w15:restartNumberingAfterBreak="0">
    <w:nsid w:val="2D293CF4"/>
    <w:multiLevelType w:val="multilevel"/>
    <w:tmpl w:val="160899EE"/>
    <w:name w:val="ContNumNumbering"/>
    <w:lvl w:ilvl="0">
      <w:start w:val="1"/>
      <w:numFmt w:val="decimal"/>
      <w:pStyle w:val="ContNum"/>
      <w:lvlText w:val="%1."/>
      <w:lvlJc w:val="left"/>
      <w:pPr>
        <w:tabs>
          <w:tab w:val="num" w:pos="476"/>
        </w:tabs>
        <w:ind w:left="476" w:hanging="476"/>
      </w:pPr>
      <w:rPr>
        <w:rFonts w:hint="default"/>
      </w:rPr>
    </w:lvl>
    <w:lvl w:ilvl="1">
      <w:start w:val="1"/>
      <w:numFmt w:val="lowerLetter"/>
      <w:pStyle w:val="ContNumLevel2"/>
      <w:lvlText w:val="%2."/>
      <w:lvlJc w:val="left"/>
      <w:pPr>
        <w:tabs>
          <w:tab w:val="num" w:pos="952"/>
        </w:tabs>
        <w:ind w:left="952" w:hanging="476"/>
      </w:pPr>
      <w:rPr>
        <w:rFonts w:hint="default"/>
      </w:rPr>
    </w:lvl>
    <w:lvl w:ilvl="2">
      <w:start w:val="1"/>
      <w:numFmt w:val="lowerRoman"/>
      <w:pStyle w:val="ContNumLevel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2" w15:restartNumberingAfterBreak="0">
    <w:nsid w:val="36324F1E"/>
    <w:multiLevelType w:val="multilevel"/>
    <w:tmpl w:val="2E780BDC"/>
    <w:name w:val="ListDash3Numbering"/>
    <w:lvl w:ilvl="0">
      <w:start w:val="1"/>
      <w:numFmt w:val="bullet"/>
      <w:pStyle w:val="ListDash3"/>
      <w:lvlText w:val="–"/>
      <w:lvlJc w:val="left"/>
      <w:pPr>
        <w:tabs>
          <w:tab w:val="num" w:pos="1485"/>
        </w:tabs>
        <w:ind w:left="1485" w:hanging="283"/>
      </w:pPr>
      <w:rPr>
        <w:rFonts w:ascii="Times New Roman" w:hAnsi="Times New Roman"/>
      </w:rPr>
    </w:lvl>
    <w:lvl w:ilvl="1">
      <w:start w:val="1"/>
      <w:numFmt w:val="bullet"/>
      <w:pStyle w:val="ListDash3Level2"/>
      <w:lvlText w:val="–"/>
      <w:lvlJc w:val="left"/>
      <w:pPr>
        <w:tabs>
          <w:tab w:val="num" w:pos="1769"/>
        </w:tabs>
        <w:ind w:left="1769" w:hanging="284"/>
      </w:pPr>
      <w:rPr>
        <w:rFonts w:ascii="Times New Roman" w:hAnsi="Times New Roman"/>
      </w:rPr>
    </w:lvl>
    <w:lvl w:ilvl="2">
      <w:start w:val="1"/>
      <w:numFmt w:val="bullet"/>
      <w:pStyle w:val="ListDash3Level3"/>
      <w:lvlText w:val="–"/>
      <w:lvlJc w:val="left"/>
      <w:pPr>
        <w:tabs>
          <w:tab w:val="num" w:pos="2052"/>
        </w:tabs>
        <w:ind w:left="2052" w:hanging="283"/>
      </w:pPr>
      <w:rPr>
        <w:rFonts w:ascii="Times New Roman" w:hAnsi="Times New Roman"/>
      </w:rPr>
    </w:lvl>
    <w:lvl w:ilvl="3">
      <w:start w:val="1"/>
      <w:numFmt w:val="bullet"/>
      <w:pStyle w:val="ListDash3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3" w15:restartNumberingAfterBreak="0">
    <w:nsid w:val="37CB1E1C"/>
    <w:multiLevelType w:val="multilevel"/>
    <w:tmpl w:val="120A75E4"/>
    <w:name w:val="ListDash1Numbering"/>
    <w:lvl w:ilvl="0">
      <w:start w:val="1"/>
      <w:numFmt w:val="bullet"/>
      <w:pStyle w:val="ListDash1"/>
      <w:lvlText w:val="–"/>
      <w:lvlJc w:val="left"/>
      <w:pPr>
        <w:tabs>
          <w:tab w:val="num" w:pos="765"/>
        </w:tabs>
        <w:ind w:left="765" w:hanging="283"/>
      </w:pPr>
      <w:rPr>
        <w:rFonts w:ascii="Times New Roman" w:hAnsi="Times New Roman"/>
      </w:rPr>
    </w:lvl>
    <w:lvl w:ilvl="1">
      <w:start w:val="1"/>
      <w:numFmt w:val="bullet"/>
      <w:pStyle w:val="ListDash1Level2"/>
      <w:lvlText w:val="–"/>
      <w:lvlJc w:val="left"/>
      <w:pPr>
        <w:tabs>
          <w:tab w:val="num" w:pos="1049"/>
        </w:tabs>
        <w:ind w:left="1049" w:hanging="284"/>
      </w:pPr>
      <w:rPr>
        <w:rFonts w:ascii="Times New Roman" w:hAnsi="Times New Roman"/>
      </w:rPr>
    </w:lvl>
    <w:lvl w:ilvl="2">
      <w:start w:val="1"/>
      <w:numFmt w:val="bullet"/>
      <w:pStyle w:val="ListDash1Level3"/>
      <w:lvlText w:val="–"/>
      <w:lvlJc w:val="left"/>
      <w:pPr>
        <w:tabs>
          <w:tab w:val="num" w:pos="1332"/>
        </w:tabs>
        <w:ind w:left="1332" w:hanging="283"/>
      </w:pPr>
      <w:rPr>
        <w:rFonts w:ascii="Times New Roman" w:hAnsi="Times New Roman"/>
      </w:rPr>
    </w:lvl>
    <w:lvl w:ilvl="3">
      <w:start w:val="1"/>
      <w:numFmt w:val="bullet"/>
      <w:pStyle w:val="ListDash1Level4"/>
      <w:lvlText w:val="–"/>
      <w:lvlJc w:val="left"/>
      <w:pPr>
        <w:tabs>
          <w:tab w:val="num" w:pos="1616"/>
        </w:tabs>
        <w:ind w:left="161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4" w15:restartNumberingAfterBreak="0">
    <w:nsid w:val="3A7730C4"/>
    <w:multiLevelType w:val="multilevel"/>
    <w:tmpl w:val="FE84B660"/>
    <w:name w:val="ListBullet1Numbering"/>
    <w:lvl w:ilvl="0">
      <w:start w:val="1"/>
      <w:numFmt w:val="bullet"/>
      <w:pStyle w:val="ListBullet1"/>
      <w:lvlText w:val=""/>
      <w:lvlJc w:val="left"/>
      <w:pPr>
        <w:tabs>
          <w:tab w:val="num" w:pos="765"/>
        </w:tabs>
        <w:ind w:left="765" w:hanging="283"/>
      </w:pPr>
      <w:rPr>
        <w:rFonts w:ascii="Symbol" w:hAnsi="Symbol"/>
      </w:rPr>
    </w:lvl>
    <w:lvl w:ilvl="1">
      <w:start w:val="1"/>
      <w:numFmt w:val="bullet"/>
      <w:pStyle w:val="ListBullet1Level2"/>
      <w:lvlText w:val=""/>
      <w:lvlJc w:val="left"/>
      <w:pPr>
        <w:tabs>
          <w:tab w:val="num" w:pos="1049"/>
        </w:tabs>
        <w:ind w:left="1049" w:hanging="284"/>
      </w:pPr>
      <w:rPr>
        <w:rFonts w:ascii="Symbol" w:hAnsi="Symbol"/>
      </w:rPr>
    </w:lvl>
    <w:lvl w:ilvl="2">
      <w:start w:val="1"/>
      <w:numFmt w:val="bullet"/>
      <w:pStyle w:val="ListBullet1Level3"/>
      <w:lvlText w:val=""/>
      <w:lvlJc w:val="left"/>
      <w:pPr>
        <w:tabs>
          <w:tab w:val="num" w:pos="1332"/>
        </w:tabs>
        <w:ind w:left="1332" w:hanging="283"/>
      </w:pPr>
      <w:rPr>
        <w:rFonts w:ascii="Symbol" w:hAnsi="Symbol"/>
      </w:rPr>
    </w:lvl>
    <w:lvl w:ilvl="3">
      <w:start w:val="1"/>
      <w:numFmt w:val="bullet"/>
      <w:pStyle w:val="ListBullet1Level4"/>
      <w:lvlText w:val=""/>
      <w:lvlJc w:val="left"/>
      <w:pPr>
        <w:tabs>
          <w:tab w:val="num" w:pos="1616"/>
        </w:tabs>
        <w:ind w:left="161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5" w15:restartNumberingAfterBreak="0">
    <w:nsid w:val="429E662A"/>
    <w:multiLevelType w:val="multilevel"/>
    <w:tmpl w:val="2866315A"/>
    <w:name w:val="ListNumber1Numbering"/>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6" w15:restartNumberingAfterBreak="0">
    <w:nsid w:val="468220A3"/>
    <w:multiLevelType w:val="multilevel"/>
    <w:tmpl w:val="080C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E1A63DF"/>
    <w:multiLevelType w:val="multilevel"/>
    <w:tmpl w:val="B528683E"/>
    <w:name w:val="TableListBulletNumbering"/>
    <w:lvl w:ilvl="0">
      <w:start w:val="1"/>
      <w:numFmt w:val="bullet"/>
      <w:pStyle w:val="TableListBullet"/>
      <w:lvlText w:val=""/>
      <w:lvlJc w:val="left"/>
      <w:pPr>
        <w:tabs>
          <w:tab w:val="num" w:pos="283"/>
        </w:tabs>
        <w:ind w:left="283" w:hanging="283"/>
      </w:pPr>
      <w:rPr>
        <w:rFonts w:ascii="Symbol" w:hAnsi="Symbol"/>
      </w:rPr>
    </w:lvl>
    <w:lvl w:ilvl="1">
      <w:start w:val="1"/>
      <w:numFmt w:val="bullet"/>
      <w:pStyle w:val="TableListBulletLevel2"/>
      <w:lvlText w:val=""/>
      <w:lvlJc w:val="left"/>
      <w:pPr>
        <w:tabs>
          <w:tab w:val="num" w:pos="567"/>
        </w:tabs>
        <w:ind w:left="567" w:hanging="284"/>
      </w:pPr>
      <w:rPr>
        <w:rFonts w:ascii="Symbol" w:hAnsi="Symbol"/>
      </w:rPr>
    </w:lvl>
    <w:lvl w:ilvl="2">
      <w:start w:val="1"/>
      <w:numFmt w:val="bullet"/>
      <w:pStyle w:val="TableListBulletLevel3"/>
      <w:lvlText w:val=""/>
      <w:lvlJc w:val="left"/>
      <w:pPr>
        <w:tabs>
          <w:tab w:val="num" w:pos="850"/>
        </w:tabs>
        <w:ind w:left="850" w:hanging="283"/>
      </w:pPr>
      <w:rPr>
        <w:rFonts w:ascii="Symbol" w:hAnsi="Symbol"/>
      </w:rPr>
    </w:lvl>
    <w:lvl w:ilvl="3">
      <w:start w:val="1"/>
      <w:numFmt w:val="bullet"/>
      <w:pStyle w:val="Table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8" w15:restartNumberingAfterBreak="0">
    <w:nsid w:val="4E1A982C"/>
    <w:multiLevelType w:val="multilevel"/>
    <w:tmpl w:val="F632A7F8"/>
    <w:name w:val="ListBulletNumbering"/>
    <w:lvl w:ilvl="0">
      <w:start w:val="1"/>
      <w:numFmt w:val="bullet"/>
      <w:pStyle w:val="ListBullet"/>
      <w:lvlText w:val=""/>
      <w:lvlJc w:val="left"/>
      <w:pPr>
        <w:tabs>
          <w:tab w:val="num" w:pos="283"/>
        </w:tabs>
        <w:ind w:left="283" w:hanging="283"/>
      </w:pPr>
      <w:rPr>
        <w:rFonts w:ascii="Symbol" w:hAnsi="Symbol"/>
      </w:rPr>
    </w:lvl>
    <w:lvl w:ilvl="1">
      <w:start w:val="1"/>
      <w:numFmt w:val="bullet"/>
      <w:pStyle w:val="ListBulletLevel2"/>
      <w:lvlText w:val=""/>
      <w:lvlJc w:val="left"/>
      <w:pPr>
        <w:tabs>
          <w:tab w:val="num" w:pos="567"/>
        </w:tabs>
        <w:ind w:left="567" w:hanging="284"/>
      </w:pPr>
      <w:rPr>
        <w:rFonts w:ascii="Symbol" w:hAnsi="Symbol"/>
      </w:rPr>
    </w:lvl>
    <w:lvl w:ilvl="2">
      <w:start w:val="1"/>
      <w:numFmt w:val="bullet"/>
      <w:pStyle w:val="ListBulletLevel3"/>
      <w:lvlText w:val=""/>
      <w:lvlJc w:val="left"/>
      <w:pPr>
        <w:tabs>
          <w:tab w:val="num" w:pos="850"/>
        </w:tabs>
        <w:ind w:left="850" w:hanging="283"/>
      </w:pPr>
      <w:rPr>
        <w:rFonts w:ascii="Symbol" w:hAnsi="Symbol"/>
      </w:rPr>
    </w:lvl>
    <w:lvl w:ilvl="3">
      <w:start w:val="1"/>
      <w:numFmt w:val="bullet"/>
      <w:pStyle w:val="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9" w15:restartNumberingAfterBreak="0">
    <w:nsid w:val="5072619B"/>
    <w:multiLevelType w:val="multilevel"/>
    <w:tmpl w:val="325EA2A6"/>
    <w:name w:val="ListDashNumbering"/>
    <w:lvl w:ilvl="0">
      <w:start w:val="1"/>
      <w:numFmt w:val="bullet"/>
      <w:pStyle w:val="ListDash"/>
      <w:lvlText w:val="–"/>
      <w:lvlJc w:val="left"/>
      <w:pPr>
        <w:tabs>
          <w:tab w:val="num" w:pos="283"/>
        </w:tabs>
        <w:ind w:left="283" w:hanging="283"/>
      </w:pPr>
      <w:rPr>
        <w:rFonts w:ascii="Times New Roman" w:hAnsi="Times New Roman"/>
      </w:rPr>
    </w:lvl>
    <w:lvl w:ilvl="1">
      <w:start w:val="1"/>
      <w:numFmt w:val="bullet"/>
      <w:pStyle w:val="ListDashLevel2"/>
      <w:lvlText w:val="–"/>
      <w:lvlJc w:val="left"/>
      <w:pPr>
        <w:tabs>
          <w:tab w:val="num" w:pos="567"/>
        </w:tabs>
        <w:ind w:left="567" w:hanging="284"/>
      </w:pPr>
      <w:rPr>
        <w:rFonts w:ascii="Times New Roman" w:hAnsi="Times New Roman"/>
      </w:rPr>
    </w:lvl>
    <w:lvl w:ilvl="2">
      <w:start w:val="1"/>
      <w:numFmt w:val="bullet"/>
      <w:pStyle w:val="ListDashLevel3"/>
      <w:lvlText w:val="–"/>
      <w:lvlJc w:val="left"/>
      <w:pPr>
        <w:tabs>
          <w:tab w:val="num" w:pos="850"/>
        </w:tabs>
        <w:ind w:left="850" w:hanging="283"/>
      </w:pPr>
      <w:rPr>
        <w:rFonts w:ascii="Times New Roman" w:hAnsi="Times New Roman"/>
      </w:rPr>
    </w:lvl>
    <w:lvl w:ilvl="3">
      <w:start w:val="1"/>
      <w:numFmt w:val="bullet"/>
      <w:pStyle w:val="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0" w15:restartNumberingAfterBreak="0">
    <w:nsid w:val="50729B52"/>
    <w:multiLevelType w:val="multilevel"/>
    <w:tmpl w:val="B30E98B8"/>
    <w:name w:val="TableListDashNumbering"/>
    <w:lvl w:ilvl="0">
      <w:start w:val="1"/>
      <w:numFmt w:val="bullet"/>
      <w:pStyle w:val="TableListDash"/>
      <w:lvlText w:val="–"/>
      <w:lvlJc w:val="left"/>
      <w:pPr>
        <w:tabs>
          <w:tab w:val="num" w:pos="283"/>
        </w:tabs>
        <w:ind w:left="283" w:hanging="283"/>
      </w:pPr>
      <w:rPr>
        <w:rFonts w:ascii="Times New Roman" w:hAnsi="Times New Roman"/>
      </w:rPr>
    </w:lvl>
    <w:lvl w:ilvl="1">
      <w:start w:val="1"/>
      <w:numFmt w:val="bullet"/>
      <w:pStyle w:val="TableListDashLevel2"/>
      <w:lvlText w:val="–"/>
      <w:lvlJc w:val="left"/>
      <w:pPr>
        <w:tabs>
          <w:tab w:val="num" w:pos="567"/>
        </w:tabs>
        <w:ind w:left="567" w:hanging="284"/>
      </w:pPr>
      <w:rPr>
        <w:rFonts w:ascii="Times New Roman" w:hAnsi="Times New Roman"/>
      </w:rPr>
    </w:lvl>
    <w:lvl w:ilvl="2">
      <w:start w:val="1"/>
      <w:numFmt w:val="bullet"/>
      <w:pStyle w:val="TableListDashLevel3"/>
      <w:lvlText w:val="–"/>
      <w:lvlJc w:val="left"/>
      <w:pPr>
        <w:tabs>
          <w:tab w:val="num" w:pos="850"/>
        </w:tabs>
        <w:ind w:left="850" w:hanging="283"/>
      </w:pPr>
      <w:rPr>
        <w:rFonts w:ascii="Times New Roman" w:hAnsi="Times New Roman"/>
      </w:rPr>
    </w:lvl>
    <w:lvl w:ilvl="3">
      <w:start w:val="1"/>
      <w:numFmt w:val="bullet"/>
      <w:pStyle w:val="Table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1" w15:restartNumberingAfterBreak="0">
    <w:nsid w:val="6977472E"/>
    <w:multiLevelType w:val="multilevel"/>
    <w:tmpl w:val="518CD548"/>
    <w:name w:val="ListNumber4Numbering"/>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2" w15:restartNumberingAfterBreak="0">
    <w:nsid w:val="7C651460"/>
    <w:multiLevelType w:val="singleLevel"/>
    <w:tmpl w:val="DCAA060D"/>
    <w:name w:val="AnnexNumbering"/>
    <w:lvl w:ilvl="0">
      <w:start w:val="1"/>
      <w:numFmt w:val="upperLetter"/>
      <w:pStyle w:val="AnnexTitle"/>
      <w:lvlText w:val="Annex %1"/>
      <w:lvlJc w:val="left"/>
      <w:pPr>
        <w:tabs>
          <w:tab w:val="num" w:pos="2268"/>
        </w:tabs>
        <w:ind w:left="2268" w:hanging="2268"/>
      </w:pPr>
      <w:rPr>
        <w:rFonts w:hint="default"/>
      </w:rPr>
    </w:lvl>
  </w:abstractNum>
  <w:num w:numId="1">
    <w:abstractNumId w:val="0"/>
  </w:num>
  <w:num w:numId="2">
    <w:abstractNumId w:val="12"/>
  </w:num>
  <w:num w:numId="3">
    <w:abstractNumId w:val="7"/>
  </w:num>
  <w:num w:numId="4">
    <w:abstractNumId w:val="13"/>
  </w:num>
  <w:num w:numId="5">
    <w:abstractNumId w:val="19"/>
  </w:num>
  <w:num w:numId="6">
    <w:abstractNumId w:val="21"/>
  </w:num>
  <w:num w:numId="7">
    <w:abstractNumId w:val="1"/>
  </w:num>
  <w:num w:numId="8">
    <w:abstractNumId w:val="6"/>
  </w:num>
  <w:num w:numId="9">
    <w:abstractNumId w:val="15"/>
  </w:num>
  <w:num w:numId="10">
    <w:abstractNumId w:val="2"/>
  </w:num>
  <w:num w:numId="11">
    <w:abstractNumId w:val="4"/>
  </w:num>
  <w:num w:numId="12">
    <w:abstractNumId w:val="5"/>
  </w:num>
  <w:num w:numId="13">
    <w:abstractNumId w:val="9"/>
  </w:num>
  <w:num w:numId="14">
    <w:abstractNumId w:val="14"/>
  </w:num>
  <w:num w:numId="15">
    <w:abstractNumId w:val="18"/>
  </w:num>
  <w:num w:numId="16">
    <w:abstractNumId w:val="10"/>
  </w:num>
  <w:num w:numId="17">
    <w:abstractNumId w:val="11"/>
  </w:num>
  <w:num w:numId="18">
    <w:abstractNumId w:val="22"/>
  </w:num>
  <w:num w:numId="19">
    <w:abstractNumId w:val="17"/>
  </w:num>
  <w:num w:numId="20">
    <w:abstractNumId w:val="20"/>
  </w:num>
  <w:num w:numId="21">
    <w:abstractNumId w:val="3"/>
  </w:num>
  <w:num w:numId="22">
    <w:abstractNumId w:val="1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6302A2EE-19D4-4F77-91A2-BE7A972A6526"/>
    <w:docVar w:name="LW_COVERPAGE_TYPE" w:val="1"/>
    <w:docVar w:name="LW_CROSSREFERENCE" w:val="&lt;UNUSED&gt;"/>
    <w:docVar w:name="LW_DocType" w:val="NORMAL"/>
    <w:docVar w:name="LW_EMISSION" w:val="29.1.2026"/>
    <w:docVar w:name="LW_EMISSION_ISODATE" w:val="2026-01-29"/>
    <w:docVar w:name="LW_EMISSION_LOCATION" w:val="BRX"/>
    <w:docVar w:name="LW_EMISSION_PREFIX" w:val="Brüssel,"/>
    <w:docVar w:name="LW_EMISSION_SUFFIX" w:val=" "/>
    <w:docVar w:name="LW_ID_DOCTYPE_NONLW" w:val="CP-008"/>
    <w:docVar w:name="LW_LANGUE" w:val="ET"/>
    <w:docVar w:name="LW_LEVEL_OF_SENSITIVITY" w:val="Standard treatment"/>
    <w:docVar w:name="LW_NOM.INST" w:val="EUROOPA KOMISJON"/>
    <w:docVar w:name="LW_NOM.INST_JOINTDOC" w:val="&lt;EMPTY&gt;"/>
    <w:docVar w:name="LW_PART_NBR" w:val="1"/>
    <w:docVar w:name="LW_PART_NBR_TOTAL" w:val="1"/>
    <w:docVar w:name="LW_REF.INST.NEW" w:val="COM"/>
    <w:docVar w:name="LW_REF.INST.NEW_ADOPTED" w:val="final"/>
    <w:docVar w:name="LW_REF.INST.NEW_TEXT" w:val="(2026) 42"/>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Bold&gt;Nullsaaste tegevuskava vahehindamine&lt;/FMT&gt;_x000d__x000d__x000d__x000d__x000d__x000b_&lt;FMT:Bold&gt;\u8222?Eesmärk: puhas õhk, maailmameri, magevesi ja muld\u8220?&lt;/FMT&gt;_x000d__x000d__x000d__x000d__x000d__x000b__x000d__x000d__x000d__x000d__x000d__x000d__x000b__x000d__x000d__x000d__x000d__x000d__x000d__x000d__x000b_"/>
    <w:docVar w:name="LW_TYPE.DOC.CP" w:val="KOMISJONI ARUANNE EUROOPA PARLAMENDILE, NÕUKOGULE, EUROOPA MAJANDUS- JA SOTSIAALKOMITEELE NING REGIOONIDE KOMITEELE"/>
    <w:docVar w:name="LwApiVersions" w:val="LW4CoDe 1.24.5.0; LW 9.2, Build 20251112"/>
  </w:docVars>
  <w:rsids>
    <w:rsidRoot w:val="00275D3E"/>
    <w:rsid w:val="00000439"/>
    <w:rsid w:val="00000591"/>
    <w:rsid w:val="00000893"/>
    <w:rsid w:val="00000D75"/>
    <w:rsid w:val="0000158E"/>
    <w:rsid w:val="00002A5F"/>
    <w:rsid w:val="00002C09"/>
    <w:rsid w:val="00003802"/>
    <w:rsid w:val="00003AD4"/>
    <w:rsid w:val="00004E43"/>
    <w:rsid w:val="00005728"/>
    <w:rsid w:val="00005879"/>
    <w:rsid w:val="000058E7"/>
    <w:rsid w:val="00005C68"/>
    <w:rsid w:val="00005DB3"/>
    <w:rsid w:val="00006022"/>
    <w:rsid w:val="0000605F"/>
    <w:rsid w:val="00006A43"/>
    <w:rsid w:val="000104D4"/>
    <w:rsid w:val="000108E0"/>
    <w:rsid w:val="00011C06"/>
    <w:rsid w:val="000120D9"/>
    <w:rsid w:val="00012299"/>
    <w:rsid w:val="00012940"/>
    <w:rsid w:val="00012C18"/>
    <w:rsid w:val="00012E94"/>
    <w:rsid w:val="00013080"/>
    <w:rsid w:val="00013963"/>
    <w:rsid w:val="00015191"/>
    <w:rsid w:val="000151CA"/>
    <w:rsid w:val="000155C9"/>
    <w:rsid w:val="00016221"/>
    <w:rsid w:val="0001651C"/>
    <w:rsid w:val="00016FD9"/>
    <w:rsid w:val="0002020B"/>
    <w:rsid w:val="00020379"/>
    <w:rsid w:val="0002118A"/>
    <w:rsid w:val="00021835"/>
    <w:rsid w:val="00021E7E"/>
    <w:rsid w:val="000231BC"/>
    <w:rsid w:val="00023AA1"/>
    <w:rsid w:val="00023BB3"/>
    <w:rsid w:val="00025B54"/>
    <w:rsid w:val="000262DF"/>
    <w:rsid w:val="00026429"/>
    <w:rsid w:val="0002679E"/>
    <w:rsid w:val="00026BA8"/>
    <w:rsid w:val="00027821"/>
    <w:rsid w:val="00027ECF"/>
    <w:rsid w:val="00030392"/>
    <w:rsid w:val="00031721"/>
    <w:rsid w:val="00031C80"/>
    <w:rsid w:val="00032C28"/>
    <w:rsid w:val="0003311E"/>
    <w:rsid w:val="00033B21"/>
    <w:rsid w:val="00033B4C"/>
    <w:rsid w:val="00033CD9"/>
    <w:rsid w:val="00034030"/>
    <w:rsid w:val="00034ED0"/>
    <w:rsid w:val="00034F10"/>
    <w:rsid w:val="00035C0C"/>
    <w:rsid w:val="00035DC5"/>
    <w:rsid w:val="000365A7"/>
    <w:rsid w:val="00036B40"/>
    <w:rsid w:val="0004023F"/>
    <w:rsid w:val="000405F1"/>
    <w:rsid w:val="00040D59"/>
    <w:rsid w:val="00040D82"/>
    <w:rsid w:val="00041A5B"/>
    <w:rsid w:val="00041ABB"/>
    <w:rsid w:val="00041CFD"/>
    <w:rsid w:val="00042A6B"/>
    <w:rsid w:val="00042BD4"/>
    <w:rsid w:val="0004304E"/>
    <w:rsid w:val="000435BF"/>
    <w:rsid w:val="0004370D"/>
    <w:rsid w:val="000439E8"/>
    <w:rsid w:val="00043FDA"/>
    <w:rsid w:val="00045408"/>
    <w:rsid w:val="00045C67"/>
    <w:rsid w:val="00046E2E"/>
    <w:rsid w:val="00047079"/>
    <w:rsid w:val="00047424"/>
    <w:rsid w:val="00050720"/>
    <w:rsid w:val="00050A75"/>
    <w:rsid w:val="00050E27"/>
    <w:rsid w:val="00050E88"/>
    <w:rsid w:val="0005183F"/>
    <w:rsid w:val="00051D0F"/>
    <w:rsid w:val="00051F90"/>
    <w:rsid w:val="00051FF3"/>
    <w:rsid w:val="00054E21"/>
    <w:rsid w:val="0005503F"/>
    <w:rsid w:val="00055C8A"/>
    <w:rsid w:val="0005625E"/>
    <w:rsid w:val="00057B93"/>
    <w:rsid w:val="000601BB"/>
    <w:rsid w:val="00060645"/>
    <w:rsid w:val="00060C01"/>
    <w:rsid w:val="00060C7C"/>
    <w:rsid w:val="00060F02"/>
    <w:rsid w:val="000611BF"/>
    <w:rsid w:val="00062263"/>
    <w:rsid w:val="0006233C"/>
    <w:rsid w:val="00062A59"/>
    <w:rsid w:val="000647CF"/>
    <w:rsid w:val="00064A06"/>
    <w:rsid w:val="00064A52"/>
    <w:rsid w:val="000658CA"/>
    <w:rsid w:val="00065A0D"/>
    <w:rsid w:val="00065BE2"/>
    <w:rsid w:val="00065E63"/>
    <w:rsid w:val="00065EAB"/>
    <w:rsid w:val="0006642D"/>
    <w:rsid w:val="00066923"/>
    <w:rsid w:val="000669B1"/>
    <w:rsid w:val="00066A0C"/>
    <w:rsid w:val="000705C4"/>
    <w:rsid w:val="000707A5"/>
    <w:rsid w:val="000708BB"/>
    <w:rsid w:val="00070B73"/>
    <w:rsid w:val="00070CAE"/>
    <w:rsid w:val="00070D3E"/>
    <w:rsid w:val="00071CCD"/>
    <w:rsid w:val="00071CDE"/>
    <w:rsid w:val="00072219"/>
    <w:rsid w:val="0007232D"/>
    <w:rsid w:val="00072588"/>
    <w:rsid w:val="00072753"/>
    <w:rsid w:val="000728B7"/>
    <w:rsid w:val="00073189"/>
    <w:rsid w:val="00073268"/>
    <w:rsid w:val="00073A03"/>
    <w:rsid w:val="00073DB0"/>
    <w:rsid w:val="00074096"/>
    <w:rsid w:val="00074119"/>
    <w:rsid w:val="000742F3"/>
    <w:rsid w:val="0007457F"/>
    <w:rsid w:val="00075360"/>
    <w:rsid w:val="0007577B"/>
    <w:rsid w:val="00075A0E"/>
    <w:rsid w:val="00076642"/>
    <w:rsid w:val="00077E7C"/>
    <w:rsid w:val="000810C6"/>
    <w:rsid w:val="00081106"/>
    <w:rsid w:val="00081310"/>
    <w:rsid w:val="0008199D"/>
    <w:rsid w:val="00082DD3"/>
    <w:rsid w:val="0008316E"/>
    <w:rsid w:val="00084012"/>
    <w:rsid w:val="00084266"/>
    <w:rsid w:val="00084CC6"/>
    <w:rsid w:val="00085444"/>
    <w:rsid w:val="00085500"/>
    <w:rsid w:val="00087428"/>
    <w:rsid w:val="00087D87"/>
    <w:rsid w:val="00090761"/>
    <w:rsid w:val="00090B50"/>
    <w:rsid w:val="00090D5F"/>
    <w:rsid w:val="00091273"/>
    <w:rsid w:val="00091584"/>
    <w:rsid w:val="00091631"/>
    <w:rsid w:val="000931AE"/>
    <w:rsid w:val="00093A68"/>
    <w:rsid w:val="000942FF"/>
    <w:rsid w:val="00094618"/>
    <w:rsid w:val="000951AB"/>
    <w:rsid w:val="00095AFE"/>
    <w:rsid w:val="000960C6"/>
    <w:rsid w:val="00096A18"/>
    <w:rsid w:val="00096CC2"/>
    <w:rsid w:val="00096F43"/>
    <w:rsid w:val="00097548"/>
    <w:rsid w:val="00097D4F"/>
    <w:rsid w:val="000A09AE"/>
    <w:rsid w:val="000A0E78"/>
    <w:rsid w:val="000A0ECE"/>
    <w:rsid w:val="000A1CAB"/>
    <w:rsid w:val="000A20B2"/>
    <w:rsid w:val="000A23C0"/>
    <w:rsid w:val="000A2483"/>
    <w:rsid w:val="000A2735"/>
    <w:rsid w:val="000A300F"/>
    <w:rsid w:val="000A427D"/>
    <w:rsid w:val="000A4372"/>
    <w:rsid w:val="000A4E25"/>
    <w:rsid w:val="000A539A"/>
    <w:rsid w:val="000A61ED"/>
    <w:rsid w:val="000A774E"/>
    <w:rsid w:val="000A778C"/>
    <w:rsid w:val="000A7855"/>
    <w:rsid w:val="000A799A"/>
    <w:rsid w:val="000A7AFF"/>
    <w:rsid w:val="000B029C"/>
    <w:rsid w:val="000B0350"/>
    <w:rsid w:val="000B1B2D"/>
    <w:rsid w:val="000B31E8"/>
    <w:rsid w:val="000B4712"/>
    <w:rsid w:val="000B48D6"/>
    <w:rsid w:val="000B54CB"/>
    <w:rsid w:val="000B559D"/>
    <w:rsid w:val="000B5B8E"/>
    <w:rsid w:val="000B5E9D"/>
    <w:rsid w:val="000B65F9"/>
    <w:rsid w:val="000B687F"/>
    <w:rsid w:val="000B6E19"/>
    <w:rsid w:val="000B6EE9"/>
    <w:rsid w:val="000B784E"/>
    <w:rsid w:val="000C04D7"/>
    <w:rsid w:val="000C089D"/>
    <w:rsid w:val="000C29E3"/>
    <w:rsid w:val="000C2AF3"/>
    <w:rsid w:val="000C3806"/>
    <w:rsid w:val="000C409C"/>
    <w:rsid w:val="000C4385"/>
    <w:rsid w:val="000C5343"/>
    <w:rsid w:val="000C56A2"/>
    <w:rsid w:val="000C5AA6"/>
    <w:rsid w:val="000C5EDF"/>
    <w:rsid w:val="000C6CEB"/>
    <w:rsid w:val="000C7084"/>
    <w:rsid w:val="000C7496"/>
    <w:rsid w:val="000C7725"/>
    <w:rsid w:val="000D084E"/>
    <w:rsid w:val="000D1E7C"/>
    <w:rsid w:val="000D294F"/>
    <w:rsid w:val="000D3116"/>
    <w:rsid w:val="000D3387"/>
    <w:rsid w:val="000D3C02"/>
    <w:rsid w:val="000D4B3F"/>
    <w:rsid w:val="000D530E"/>
    <w:rsid w:val="000D54EC"/>
    <w:rsid w:val="000D5815"/>
    <w:rsid w:val="000D60E3"/>
    <w:rsid w:val="000D69FA"/>
    <w:rsid w:val="000D6A94"/>
    <w:rsid w:val="000D7228"/>
    <w:rsid w:val="000D7998"/>
    <w:rsid w:val="000D7C3E"/>
    <w:rsid w:val="000D7EAC"/>
    <w:rsid w:val="000E04DA"/>
    <w:rsid w:val="000E133C"/>
    <w:rsid w:val="000E195D"/>
    <w:rsid w:val="000E1AFB"/>
    <w:rsid w:val="000E1F5C"/>
    <w:rsid w:val="000E21E5"/>
    <w:rsid w:val="000E2979"/>
    <w:rsid w:val="000E2DBF"/>
    <w:rsid w:val="000E2E9F"/>
    <w:rsid w:val="000E394A"/>
    <w:rsid w:val="000E397D"/>
    <w:rsid w:val="000E3A79"/>
    <w:rsid w:val="000E3CF6"/>
    <w:rsid w:val="000E3DA5"/>
    <w:rsid w:val="000E43C2"/>
    <w:rsid w:val="000E45D9"/>
    <w:rsid w:val="000E49C3"/>
    <w:rsid w:val="000E4BB9"/>
    <w:rsid w:val="000E4C83"/>
    <w:rsid w:val="000E4E36"/>
    <w:rsid w:val="000E521F"/>
    <w:rsid w:val="000E561D"/>
    <w:rsid w:val="000E6535"/>
    <w:rsid w:val="000E7222"/>
    <w:rsid w:val="000E741C"/>
    <w:rsid w:val="000E79E3"/>
    <w:rsid w:val="000F0D23"/>
    <w:rsid w:val="000F0D31"/>
    <w:rsid w:val="000F0FEB"/>
    <w:rsid w:val="000F23E6"/>
    <w:rsid w:val="000F301F"/>
    <w:rsid w:val="000F33D0"/>
    <w:rsid w:val="000F3B22"/>
    <w:rsid w:val="000F4B19"/>
    <w:rsid w:val="000F622D"/>
    <w:rsid w:val="000F6BFD"/>
    <w:rsid w:val="000F6ED8"/>
    <w:rsid w:val="000F6F70"/>
    <w:rsid w:val="000F733C"/>
    <w:rsid w:val="000F7C98"/>
    <w:rsid w:val="00100347"/>
    <w:rsid w:val="0010067E"/>
    <w:rsid w:val="00100698"/>
    <w:rsid w:val="00101217"/>
    <w:rsid w:val="00101647"/>
    <w:rsid w:val="001016C0"/>
    <w:rsid w:val="001021B9"/>
    <w:rsid w:val="001029BA"/>
    <w:rsid w:val="00102C76"/>
    <w:rsid w:val="00102FA2"/>
    <w:rsid w:val="001037BD"/>
    <w:rsid w:val="00103C05"/>
    <w:rsid w:val="00104E4D"/>
    <w:rsid w:val="00106240"/>
    <w:rsid w:val="00106717"/>
    <w:rsid w:val="00107850"/>
    <w:rsid w:val="00107D5C"/>
    <w:rsid w:val="00110867"/>
    <w:rsid w:val="00110CBA"/>
    <w:rsid w:val="001123A8"/>
    <w:rsid w:val="0011242B"/>
    <w:rsid w:val="001125EB"/>
    <w:rsid w:val="001126E9"/>
    <w:rsid w:val="00112907"/>
    <w:rsid w:val="0011363C"/>
    <w:rsid w:val="00114172"/>
    <w:rsid w:val="001149DE"/>
    <w:rsid w:val="00114E1F"/>
    <w:rsid w:val="0011525F"/>
    <w:rsid w:val="00115368"/>
    <w:rsid w:val="001158C6"/>
    <w:rsid w:val="00115FB5"/>
    <w:rsid w:val="00116E87"/>
    <w:rsid w:val="00116E95"/>
    <w:rsid w:val="001171C7"/>
    <w:rsid w:val="00117E04"/>
    <w:rsid w:val="001200B8"/>
    <w:rsid w:val="001202D4"/>
    <w:rsid w:val="001208A2"/>
    <w:rsid w:val="00120BAC"/>
    <w:rsid w:val="00120F1F"/>
    <w:rsid w:val="001210E0"/>
    <w:rsid w:val="00121A8F"/>
    <w:rsid w:val="00121E76"/>
    <w:rsid w:val="00122379"/>
    <w:rsid w:val="00122817"/>
    <w:rsid w:val="00122F44"/>
    <w:rsid w:val="00123014"/>
    <w:rsid w:val="001246A2"/>
    <w:rsid w:val="001247AF"/>
    <w:rsid w:val="001254F5"/>
    <w:rsid w:val="00125B65"/>
    <w:rsid w:val="00125C82"/>
    <w:rsid w:val="00125F27"/>
    <w:rsid w:val="00127545"/>
    <w:rsid w:val="00127E5C"/>
    <w:rsid w:val="0013069C"/>
    <w:rsid w:val="001309EE"/>
    <w:rsid w:val="00131F91"/>
    <w:rsid w:val="0013270E"/>
    <w:rsid w:val="0013293D"/>
    <w:rsid w:val="001332F2"/>
    <w:rsid w:val="0013343B"/>
    <w:rsid w:val="001353D2"/>
    <w:rsid w:val="00135D75"/>
    <w:rsid w:val="00136074"/>
    <w:rsid w:val="00136205"/>
    <w:rsid w:val="0013624F"/>
    <w:rsid w:val="001363EE"/>
    <w:rsid w:val="001366B8"/>
    <w:rsid w:val="00136703"/>
    <w:rsid w:val="00136A01"/>
    <w:rsid w:val="00136E89"/>
    <w:rsid w:val="001376EE"/>
    <w:rsid w:val="00137710"/>
    <w:rsid w:val="0013784F"/>
    <w:rsid w:val="001415AD"/>
    <w:rsid w:val="001416E9"/>
    <w:rsid w:val="00141AD8"/>
    <w:rsid w:val="00141DBA"/>
    <w:rsid w:val="001425F1"/>
    <w:rsid w:val="00142BDF"/>
    <w:rsid w:val="00142D0B"/>
    <w:rsid w:val="00143D43"/>
    <w:rsid w:val="001444A8"/>
    <w:rsid w:val="00144532"/>
    <w:rsid w:val="001453E6"/>
    <w:rsid w:val="00145D7B"/>
    <w:rsid w:val="00146A32"/>
    <w:rsid w:val="00146B87"/>
    <w:rsid w:val="00146E4C"/>
    <w:rsid w:val="0014717B"/>
    <w:rsid w:val="00147548"/>
    <w:rsid w:val="0014771A"/>
    <w:rsid w:val="0014828E"/>
    <w:rsid w:val="0015009C"/>
    <w:rsid w:val="001505C5"/>
    <w:rsid w:val="001519D8"/>
    <w:rsid w:val="001528AE"/>
    <w:rsid w:val="00152A2B"/>
    <w:rsid w:val="00152EDF"/>
    <w:rsid w:val="00152F63"/>
    <w:rsid w:val="001537AB"/>
    <w:rsid w:val="00153843"/>
    <w:rsid w:val="001539BB"/>
    <w:rsid w:val="00153EFC"/>
    <w:rsid w:val="0015429B"/>
    <w:rsid w:val="00155216"/>
    <w:rsid w:val="001552B5"/>
    <w:rsid w:val="00155807"/>
    <w:rsid w:val="00156700"/>
    <w:rsid w:val="00156AE8"/>
    <w:rsid w:val="0015737A"/>
    <w:rsid w:val="001577ED"/>
    <w:rsid w:val="00160DD2"/>
    <w:rsid w:val="00160EF7"/>
    <w:rsid w:val="001616DE"/>
    <w:rsid w:val="00161C73"/>
    <w:rsid w:val="00161EB6"/>
    <w:rsid w:val="0016255C"/>
    <w:rsid w:val="00162A43"/>
    <w:rsid w:val="00162CD4"/>
    <w:rsid w:val="0016317A"/>
    <w:rsid w:val="00163399"/>
    <w:rsid w:val="001637BE"/>
    <w:rsid w:val="00164227"/>
    <w:rsid w:val="001642C8"/>
    <w:rsid w:val="00164833"/>
    <w:rsid w:val="00164F4C"/>
    <w:rsid w:val="001657E8"/>
    <w:rsid w:val="0016655B"/>
    <w:rsid w:val="00166BB5"/>
    <w:rsid w:val="001676CF"/>
    <w:rsid w:val="00167867"/>
    <w:rsid w:val="0017044E"/>
    <w:rsid w:val="0017055C"/>
    <w:rsid w:val="001707D8"/>
    <w:rsid w:val="00171433"/>
    <w:rsid w:val="00171887"/>
    <w:rsid w:val="0017369B"/>
    <w:rsid w:val="00175F23"/>
    <w:rsid w:val="0017655A"/>
    <w:rsid w:val="001772C2"/>
    <w:rsid w:val="001774F8"/>
    <w:rsid w:val="00177748"/>
    <w:rsid w:val="00181DD3"/>
    <w:rsid w:val="00182C3F"/>
    <w:rsid w:val="001830B3"/>
    <w:rsid w:val="001832D1"/>
    <w:rsid w:val="0018335C"/>
    <w:rsid w:val="001843B1"/>
    <w:rsid w:val="00184BC3"/>
    <w:rsid w:val="00184F6D"/>
    <w:rsid w:val="001854AF"/>
    <w:rsid w:val="00185D9E"/>
    <w:rsid w:val="00185DBD"/>
    <w:rsid w:val="00185E2A"/>
    <w:rsid w:val="00185FDF"/>
    <w:rsid w:val="00186359"/>
    <w:rsid w:val="001868E7"/>
    <w:rsid w:val="00186CF4"/>
    <w:rsid w:val="00186ECD"/>
    <w:rsid w:val="00187631"/>
    <w:rsid w:val="001877FD"/>
    <w:rsid w:val="00187832"/>
    <w:rsid w:val="0018790C"/>
    <w:rsid w:val="00187BF1"/>
    <w:rsid w:val="001900D3"/>
    <w:rsid w:val="00190F9B"/>
    <w:rsid w:val="00190FED"/>
    <w:rsid w:val="0019140F"/>
    <w:rsid w:val="001914B1"/>
    <w:rsid w:val="00191965"/>
    <w:rsid w:val="00192397"/>
    <w:rsid w:val="00192636"/>
    <w:rsid w:val="00192F9C"/>
    <w:rsid w:val="00193982"/>
    <w:rsid w:val="00193ACE"/>
    <w:rsid w:val="00193B12"/>
    <w:rsid w:val="00193B27"/>
    <w:rsid w:val="00194581"/>
    <w:rsid w:val="00195B92"/>
    <w:rsid w:val="00197B27"/>
    <w:rsid w:val="001A132A"/>
    <w:rsid w:val="001A18CD"/>
    <w:rsid w:val="001A2408"/>
    <w:rsid w:val="001A261B"/>
    <w:rsid w:val="001A2B8D"/>
    <w:rsid w:val="001A3155"/>
    <w:rsid w:val="001A3303"/>
    <w:rsid w:val="001A3704"/>
    <w:rsid w:val="001A3866"/>
    <w:rsid w:val="001A3F7F"/>
    <w:rsid w:val="001A459F"/>
    <w:rsid w:val="001A4CF8"/>
    <w:rsid w:val="001A4D7A"/>
    <w:rsid w:val="001A5538"/>
    <w:rsid w:val="001A59ED"/>
    <w:rsid w:val="001A620D"/>
    <w:rsid w:val="001A699B"/>
    <w:rsid w:val="001A6C51"/>
    <w:rsid w:val="001A6D7D"/>
    <w:rsid w:val="001A72AA"/>
    <w:rsid w:val="001A7D75"/>
    <w:rsid w:val="001B0189"/>
    <w:rsid w:val="001B021A"/>
    <w:rsid w:val="001B04C9"/>
    <w:rsid w:val="001B2169"/>
    <w:rsid w:val="001B30A4"/>
    <w:rsid w:val="001B36DB"/>
    <w:rsid w:val="001B3835"/>
    <w:rsid w:val="001B3CF7"/>
    <w:rsid w:val="001B464D"/>
    <w:rsid w:val="001B4FB3"/>
    <w:rsid w:val="001B5897"/>
    <w:rsid w:val="001B6706"/>
    <w:rsid w:val="001B6AA8"/>
    <w:rsid w:val="001B72D3"/>
    <w:rsid w:val="001B7DBC"/>
    <w:rsid w:val="001C153B"/>
    <w:rsid w:val="001C1662"/>
    <w:rsid w:val="001C23A6"/>
    <w:rsid w:val="001C3304"/>
    <w:rsid w:val="001C3455"/>
    <w:rsid w:val="001C34F4"/>
    <w:rsid w:val="001C353E"/>
    <w:rsid w:val="001C3FCC"/>
    <w:rsid w:val="001C4143"/>
    <w:rsid w:val="001C41ED"/>
    <w:rsid w:val="001C5187"/>
    <w:rsid w:val="001C52A9"/>
    <w:rsid w:val="001C64A8"/>
    <w:rsid w:val="001C680F"/>
    <w:rsid w:val="001C6DD5"/>
    <w:rsid w:val="001C70C0"/>
    <w:rsid w:val="001C739C"/>
    <w:rsid w:val="001C7CFA"/>
    <w:rsid w:val="001D0CBD"/>
    <w:rsid w:val="001D0E2E"/>
    <w:rsid w:val="001D1047"/>
    <w:rsid w:val="001D16FB"/>
    <w:rsid w:val="001D17A7"/>
    <w:rsid w:val="001D1E96"/>
    <w:rsid w:val="001D2A2E"/>
    <w:rsid w:val="001D4629"/>
    <w:rsid w:val="001D4E6C"/>
    <w:rsid w:val="001D5470"/>
    <w:rsid w:val="001E0618"/>
    <w:rsid w:val="001E07C3"/>
    <w:rsid w:val="001E2184"/>
    <w:rsid w:val="001E279F"/>
    <w:rsid w:val="001E337C"/>
    <w:rsid w:val="001E43B0"/>
    <w:rsid w:val="001E4431"/>
    <w:rsid w:val="001E4715"/>
    <w:rsid w:val="001E48F0"/>
    <w:rsid w:val="001E5ED4"/>
    <w:rsid w:val="001E628B"/>
    <w:rsid w:val="001E6845"/>
    <w:rsid w:val="001E702F"/>
    <w:rsid w:val="001E72F0"/>
    <w:rsid w:val="001E7624"/>
    <w:rsid w:val="001E7AE4"/>
    <w:rsid w:val="001F04F9"/>
    <w:rsid w:val="001F07C9"/>
    <w:rsid w:val="001F1773"/>
    <w:rsid w:val="001F2275"/>
    <w:rsid w:val="001F22F9"/>
    <w:rsid w:val="001F3646"/>
    <w:rsid w:val="001F3804"/>
    <w:rsid w:val="001F3E72"/>
    <w:rsid w:val="001F4E46"/>
    <w:rsid w:val="001F5104"/>
    <w:rsid w:val="001F54C2"/>
    <w:rsid w:val="001F56A0"/>
    <w:rsid w:val="001F5EC9"/>
    <w:rsid w:val="001F68F4"/>
    <w:rsid w:val="001F6D45"/>
    <w:rsid w:val="001F74F5"/>
    <w:rsid w:val="00200ADF"/>
    <w:rsid w:val="00200BE2"/>
    <w:rsid w:val="00200EF4"/>
    <w:rsid w:val="002014C6"/>
    <w:rsid w:val="00202A3A"/>
    <w:rsid w:val="00203125"/>
    <w:rsid w:val="002039A5"/>
    <w:rsid w:val="00203EAF"/>
    <w:rsid w:val="0020435A"/>
    <w:rsid w:val="0020471D"/>
    <w:rsid w:val="0020531E"/>
    <w:rsid w:val="00205913"/>
    <w:rsid w:val="002059CD"/>
    <w:rsid w:val="00205D8A"/>
    <w:rsid w:val="00206084"/>
    <w:rsid w:val="00206713"/>
    <w:rsid w:val="00206D71"/>
    <w:rsid w:val="0020726E"/>
    <w:rsid w:val="00207452"/>
    <w:rsid w:val="00207830"/>
    <w:rsid w:val="00210C1C"/>
    <w:rsid w:val="00210DB7"/>
    <w:rsid w:val="00211103"/>
    <w:rsid w:val="0021147E"/>
    <w:rsid w:val="002126EF"/>
    <w:rsid w:val="00212A65"/>
    <w:rsid w:val="00213F10"/>
    <w:rsid w:val="0021472A"/>
    <w:rsid w:val="002160FC"/>
    <w:rsid w:val="002163A4"/>
    <w:rsid w:val="00216A51"/>
    <w:rsid w:val="00216C36"/>
    <w:rsid w:val="00217047"/>
    <w:rsid w:val="002174DF"/>
    <w:rsid w:val="00217B7F"/>
    <w:rsid w:val="00220440"/>
    <w:rsid w:val="0022060F"/>
    <w:rsid w:val="00220CA7"/>
    <w:rsid w:val="00220FF8"/>
    <w:rsid w:val="0022185C"/>
    <w:rsid w:val="00221B3F"/>
    <w:rsid w:val="00222FEE"/>
    <w:rsid w:val="00223679"/>
    <w:rsid w:val="002238FD"/>
    <w:rsid w:val="00223EB4"/>
    <w:rsid w:val="00224034"/>
    <w:rsid w:val="00224232"/>
    <w:rsid w:val="00224781"/>
    <w:rsid w:val="00224AF5"/>
    <w:rsid w:val="00224DFB"/>
    <w:rsid w:val="002253B9"/>
    <w:rsid w:val="00225575"/>
    <w:rsid w:val="00225939"/>
    <w:rsid w:val="002259E3"/>
    <w:rsid w:val="00225AAC"/>
    <w:rsid w:val="00225BB1"/>
    <w:rsid w:val="002261A9"/>
    <w:rsid w:val="00226D68"/>
    <w:rsid w:val="00227CB7"/>
    <w:rsid w:val="00230BEA"/>
    <w:rsid w:val="00231279"/>
    <w:rsid w:val="0023217A"/>
    <w:rsid w:val="002335B0"/>
    <w:rsid w:val="002337CB"/>
    <w:rsid w:val="00233D59"/>
    <w:rsid w:val="00234F01"/>
    <w:rsid w:val="00234F6C"/>
    <w:rsid w:val="0023542F"/>
    <w:rsid w:val="00235703"/>
    <w:rsid w:val="00240786"/>
    <w:rsid w:val="0024081B"/>
    <w:rsid w:val="00240D03"/>
    <w:rsid w:val="00241130"/>
    <w:rsid w:val="00241FB0"/>
    <w:rsid w:val="00242002"/>
    <w:rsid w:val="00242ED2"/>
    <w:rsid w:val="002430EC"/>
    <w:rsid w:val="002436E4"/>
    <w:rsid w:val="00243B5F"/>
    <w:rsid w:val="00243FBF"/>
    <w:rsid w:val="00243FF3"/>
    <w:rsid w:val="0024536A"/>
    <w:rsid w:val="0024560D"/>
    <w:rsid w:val="00247B99"/>
    <w:rsid w:val="00247DE8"/>
    <w:rsid w:val="00250187"/>
    <w:rsid w:val="00250D18"/>
    <w:rsid w:val="00251550"/>
    <w:rsid w:val="0025240A"/>
    <w:rsid w:val="00252C18"/>
    <w:rsid w:val="00252CAA"/>
    <w:rsid w:val="00252EFC"/>
    <w:rsid w:val="002551B2"/>
    <w:rsid w:val="0025599C"/>
    <w:rsid w:val="00255C9A"/>
    <w:rsid w:val="00256254"/>
    <w:rsid w:val="002573C0"/>
    <w:rsid w:val="00260D38"/>
    <w:rsid w:val="00261277"/>
    <w:rsid w:val="00261B20"/>
    <w:rsid w:val="002624D5"/>
    <w:rsid w:val="00262A05"/>
    <w:rsid w:val="00262C0C"/>
    <w:rsid w:val="002640F4"/>
    <w:rsid w:val="0026420E"/>
    <w:rsid w:val="0026451D"/>
    <w:rsid w:val="002648B0"/>
    <w:rsid w:val="00264A80"/>
    <w:rsid w:val="00264AFD"/>
    <w:rsid w:val="00265C89"/>
    <w:rsid w:val="00266C54"/>
    <w:rsid w:val="00266F4D"/>
    <w:rsid w:val="00267536"/>
    <w:rsid w:val="002675C0"/>
    <w:rsid w:val="00267CD3"/>
    <w:rsid w:val="00267FDE"/>
    <w:rsid w:val="00271220"/>
    <w:rsid w:val="002717DA"/>
    <w:rsid w:val="00271DF1"/>
    <w:rsid w:val="0027206B"/>
    <w:rsid w:val="00272641"/>
    <w:rsid w:val="0027350A"/>
    <w:rsid w:val="002738EE"/>
    <w:rsid w:val="00273DD3"/>
    <w:rsid w:val="002741B3"/>
    <w:rsid w:val="00274E2E"/>
    <w:rsid w:val="002757A0"/>
    <w:rsid w:val="002758FD"/>
    <w:rsid w:val="00275C18"/>
    <w:rsid w:val="00275D3E"/>
    <w:rsid w:val="002762BF"/>
    <w:rsid w:val="0027700E"/>
    <w:rsid w:val="002777DD"/>
    <w:rsid w:val="00280D08"/>
    <w:rsid w:val="00280EA6"/>
    <w:rsid w:val="00281365"/>
    <w:rsid w:val="002816A0"/>
    <w:rsid w:val="002821FE"/>
    <w:rsid w:val="00282849"/>
    <w:rsid w:val="00282914"/>
    <w:rsid w:val="002830E3"/>
    <w:rsid w:val="002833CE"/>
    <w:rsid w:val="002836CB"/>
    <w:rsid w:val="00283DE7"/>
    <w:rsid w:val="00284ECD"/>
    <w:rsid w:val="002850A9"/>
    <w:rsid w:val="002859D3"/>
    <w:rsid w:val="002862C6"/>
    <w:rsid w:val="00287372"/>
    <w:rsid w:val="0028755D"/>
    <w:rsid w:val="00290190"/>
    <w:rsid w:val="00290900"/>
    <w:rsid w:val="00290C94"/>
    <w:rsid w:val="002913AC"/>
    <w:rsid w:val="00291CC8"/>
    <w:rsid w:val="00291F8B"/>
    <w:rsid w:val="002931DE"/>
    <w:rsid w:val="00293244"/>
    <w:rsid w:val="002935A9"/>
    <w:rsid w:val="002935AF"/>
    <w:rsid w:val="00293646"/>
    <w:rsid w:val="002939B6"/>
    <w:rsid w:val="00293F1B"/>
    <w:rsid w:val="00294344"/>
    <w:rsid w:val="0029442F"/>
    <w:rsid w:val="00294D1F"/>
    <w:rsid w:val="00295E2A"/>
    <w:rsid w:val="00295FFC"/>
    <w:rsid w:val="00296F8E"/>
    <w:rsid w:val="002976D5"/>
    <w:rsid w:val="002A010B"/>
    <w:rsid w:val="002A01CB"/>
    <w:rsid w:val="002A02C4"/>
    <w:rsid w:val="002A02DB"/>
    <w:rsid w:val="002A02F2"/>
    <w:rsid w:val="002A259D"/>
    <w:rsid w:val="002A3832"/>
    <w:rsid w:val="002A3E18"/>
    <w:rsid w:val="002A53A4"/>
    <w:rsid w:val="002A53ED"/>
    <w:rsid w:val="002A6026"/>
    <w:rsid w:val="002A619C"/>
    <w:rsid w:val="002A7677"/>
    <w:rsid w:val="002A76DA"/>
    <w:rsid w:val="002B0299"/>
    <w:rsid w:val="002B0490"/>
    <w:rsid w:val="002B0971"/>
    <w:rsid w:val="002B114E"/>
    <w:rsid w:val="002B21EF"/>
    <w:rsid w:val="002B2D7F"/>
    <w:rsid w:val="002B43D1"/>
    <w:rsid w:val="002B49AF"/>
    <w:rsid w:val="002B52C9"/>
    <w:rsid w:val="002B5C54"/>
    <w:rsid w:val="002B5FF6"/>
    <w:rsid w:val="002B7161"/>
    <w:rsid w:val="002B7C3A"/>
    <w:rsid w:val="002C10B5"/>
    <w:rsid w:val="002C11AB"/>
    <w:rsid w:val="002C1EC9"/>
    <w:rsid w:val="002C2375"/>
    <w:rsid w:val="002C2611"/>
    <w:rsid w:val="002C3734"/>
    <w:rsid w:val="002C3DF9"/>
    <w:rsid w:val="002C47A9"/>
    <w:rsid w:val="002C4851"/>
    <w:rsid w:val="002C4DE5"/>
    <w:rsid w:val="002C5285"/>
    <w:rsid w:val="002C5496"/>
    <w:rsid w:val="002C5811"/>
    <w:rsid w:val="002C583B"/>
    <w:rsid w:val="002C589F"/>
    <w:rsid w:val="002C594C"/>
    <w:rsid w:val="002C5BA3"/>
    <w:rsid w:val="002C637A"/>
    <w:rsid w:val="002C64E9"/>
    <w:rsid w:val="002C671D"/>
    <w:rsid w:val="002C79D4"/>
    <w:rsid w:val="002C7BA2"/>
    <w:rsid w:val="002C7D89"/>
    <w:rsid w:val="002D0519"/>
    <w:rsid w:val="002D0557"/>
    <w:rsid w:val="002D0BC6"/>
    <w:rsid w:val="002D0F7E"/>
    <w:rsid w:val="002D1095"/>
    <w:rsid w:val="002D1DED"/>
    <w:rsid w:val="002D3576"/>
    <w:rsid w:val="002D3841"/>
    <w:rsid w:val="002D3E1A"/>
    <w:rsid w:val="002D3F20"/>
    <w:rsid w:val="002D400C"/>
    <w:rsid w:val="002D4A1C"/>
    <w:rsid w:val="002D4EEE"/>
    <w:rsid w:val="002D50F5"/>
    <w:rsid w:val="002D55E2"/>
    <w:rsid w:val="002D5926"/>
    <w:rsid w:val="002D5970"/>
    <w:rsid w:val="002D5C89"/>
    <w:rsid w:val="002D63DC"/>
    <w:rsid w:val="002D684D"/>
    <w:rsid w:val="002D6ACE"/>
    <w:rsid w:val="002D6C75"/>
    <w:rsid w:val="002D796B"/>
    <w:rsid w:val="002D7ABA"/>
    <w:rsid w:val="002E05AB"/>
    <w:rsid w:val="002E0621"/>
    <w:rsid w:val="002E0864"/>
    <w:rsid w:val="002E1D5B"/>
    <w:rsid w:val="002E291D"/>
    <w:rsid w:val="002E2D18"/>
    <w:rsid w:val="002E2F71"/>
    <w:rsid w:val="002E31E4"/>
    <w:rsid w:val="002E35D6"/>
    <w:rsid w:val="002E5305"/>
    <w:rsid w:val="002E5A6A"/>
    <w:rsid w:val="002E6D8B"/>
    <w:rsid w:val="002E79D5"/>
    <w:rsid w:val="002E7A98"/>
    <w:rsid w:val="002E7BD5"/>
    <w:rsid w:val="002E7D98"/>
    <w:rsid w:val="002F0BC9"/>
    <w:rsid w:val="002F18B8"/>
    <w:rsid w:val="002F19AC"/>
    <w:rsid w:val="002F1F57"/>
    <w:rsid w:val="002F2160"/>
    <w:rsid w:val="002F28DA"/>
    <w:rsid w:val="002F32F1"/>
    <w:rsid w:val="002F32FA"/>
    <w:rsid w:val="002F33F3"/>
    <w:rsid w:val="002F3F93"/>
    <w:rsid w:val="002F4120"/>
    <w:rsid w:val="002F49EC"/>
    <w:rsid w:val="002F518C"/>
    <w:rsid w:val="002F5EE0"/>
    <w:rsid w:val="002F65BF"/>
    <w:rsid w:val="002F681A"/>
    <w:rsid w:val="002F68B0"/>
    <w:rsid w:val="002F6EB7"/>
    <w:rsid w:val="002F7049"/>
    <w:rsid w:val="002F7A40"/>
    <w:rsid w:val="002F7DB5"/>
    <w:rsid w:val="003005FE"/>
    <w:rsid w:val="00300D56"/>
    <w:rsid w:val="00301F4B"/>
    <w:rsid w:val="0030221E"/>
    <w:rsid w:val="003034F9"/>
    <w:rsid w:val="0030439B"/>
    <w:rsid w:val="0030535A"/>
    <w:rsid w:val="00305856"/>
    <w:rsid w:val="00305BB9"/>
    <w:rsid w:val="0030676F"/>
    <w:rsid w:val="003067F0"/>
    <w:rsid w:val="00307A56"/>
    <w:rsid w:val="003104F4"/>
    <w:rsid w:val="00310C3D"/>
    <w:rsid w:val="003119C6"/>
    <w:rsid w:val="00312E34"/>
    <w:rsid w:val="00313135"/>
    <w:rsid w:val="00313721"/>
    <w:rsid w:val="003141CB"/>
    <w:rsid w:val="00314E75"/>
    <w:rsid w:val="0031527E"/>
    <w:rsid w:val="003157F9"/>
    <w:rsid w:val="00315D0F"/>
    <w:rsid w:val="00315DF1"/>
    <w:rsid w:val="00316F45"/>
    <w:rsid w:val="0031768F"/>
    <w:rsid w:val="00317A29"/>
    <w:rsid w:val="00317DC7"/>
    <w:rsid w:val="0032058E"/>
    <w:rsid w:val="0032078A"/>
    <w:rsid w:val="003207B4"/>
    <w:rsid w:val="00320BBC"/>
    <w:rsid w:val="0032133C"/>
    <w:rsid w:val="00321AEA"/>
    <w:rsid w:val="00322580"/>
    <w:rsid w:val="00323B4B"/>
    <w:rsid w:val="00324442"/>
    <w:rsid w:val="0032482A"/>
    <w:rsid w:val="00325CDA"/>
    <w:rsid w:val="00325F4E"/>
    <w:rsid w:val="003263B9"/>
    <w:rsid w:val="003266D8"/>
    <w:rsid w:val="00326833"/>
    <w:rsid w:val="00326D02"/>
    <w:rsid w:val="0032790F"/>
    <w:rsid w:val="00327D02"/>
    <w:rsid w:val="00327FEB"/>
    <w:rsid w:val="003300F5"/>
    <w:rsid w:val="00330626"/>
    <w:rsid w:val="00330CCE"/>
    <w:rsid w:val="00331CEB"/>
    <w:rsid w:val="00332B3B"/>
    <w:rsid w:val="00332EB8"/>
    <w:rsid w:val="00332F6C"/>
    <w:rsid w:val="00333600"/>
    <w:rsid w:val="0033368A"/>
    <w:rsid w:val="00334241"/>
    <w:rsid w:val="003342EF"/>
    <w:rsid w:val="0033466F"/>
    <w:rsid w:val="00334DBE"/>
    <w:rsid w:val="0033518A"/>
    <w:rsid w:val="00335BA2"/>
    <w:rsid w:val="00336261"/>
    <w:rsid w:val="00336371"/>
    <w:rsid w:val="00337335"/>
    <w:rsid w:val="00337E5A"/>
    <w:rsid w:val="0034084E"/>
    <w:rsid w:val="0034121E"/>
    <w:rsid w:val="00341C80"/>
    <w:rsid w:val="00342571"/>
    <w:rsid w:val="00342641"/>
    <w:rsid w:val="003428EF"/>
    <w:rsid w:val="00343745"/>
    <w:rsid w:val="00343CE9"/>
    <w:rsid w:val="003447BD"/>
    <w:rsid w:val="00344F04"/>
    <w:rsid w:val="00344F83"/>
    <w:rsid w:val="0034530D"/>
    <w:rsid w:val="003460B1"/>
    <w:rsid w:val="003471B3"/>
    <w:rsid w:val="00351032"/>
    <w:rsid w:val="00353C51"/>
    <w:rsid w:val="00353DE5"/>
    <w:rsid w:val="003544F0"/>
    <w:rsid w:val="00354AE5"/>
    <w:rsid w:val="00354B2B"/>
    <w:rsid w:val="00355231"/>
    <w:rsid w:val="00355F83"/>
    <w:rsid w:val="0035600F"/>
    <w:rsid w:val="003568BD"/>
    <w:rsid w:val="00356E3C"/>
    <w:rsid w:val="00357893"/>
    <w:rsid w:val="003578A2"/>
    <w:rsid w:val="00361175"/>
    <w:rsid w:val="00361E8C"/>
    <w:rsid w:val="00361F42"/>
    <w:rsid w:val="00362142"/>
    <w:rsid w:val="0036317D"/>
    <w:rsid w:val="00363679"/>
    <w:rsid w:val="00363A9E"/>
    <w:rsid w:val="00364018"/>
    <w:rsid w:val="00364BDC"/>
    <w:rsid w:val="00364CE4"/>
    <w:rsid w:val="003652B2"/>
    <w:rsid w:val="00365DBE"/>
    <w:rsid w:val="00365DDB"/>
    <w:rsid w:val="003664FC"/>
    <w:rsid w:val="003665F4"/>
    <w:rsid w:val="00367F85"/>
    <w:rsid w:val="00370D5F"/>
    <w:rsid w:val="00371BF5"/>
    <w:rsid w:val="00373980"/>
    <w:rsid w:val="00373B06"/>
    <w:rsid w:val="00374023"/>
    <w:rsid w:val="00375726"/>
    <w:rsid w:val="003758A2"/>
    <w:rsid w:val="00375B02"/>
    <w:rsid w:val="003769F3"/>
    <w:rsid w:val="003773E7"/>
    <w:rsid w:val="00380864"/>
    <w:rsid w:val="003834D1"/>
    <w:rsid w:val="003834EE"/>
    <w:rsid w:val="00385828"/>
    <w:rsid w:val="00385A2C"/>
    <w:rsid w:val="003860D2"/>
    <w:rsid w:val="00386BCF"/>
    <w:rsid w:val="00386D7F"/>
    <w:rsid w:val="00390BD5"/>
    <w:rsid w:val="003911EA"/>
    <w:rsid w:val="00391BB7"/>
    <w:rsid w:val="0039291E"/>
    <w:rsid w:val="0039382D"/>
    <w:rsid w:val="00393B30"/>
    <w:rsid w:val="00393C33"/>
    <w:rsid w:val="00393CF0"/>
    <w:rsid w:val="00394FD5"/>
    <w:rsid w:val="00395573"/>
    <w:rsid w:val="00395CCE"/>
    <w:rsid w:val="00396890"/>
    <w:rsid w:val="00396C01"/>
    <w:rsid w:val="00397B5F"/>
    <w:rsid w:val="003A0C2D"/>
    <w:rsid w:val="003A0C6F"/>
    <w:rsid w:val="003A1025"/>
    <w:rsid w:val="003A2737"/>
    <w:rsid w:val="003A37A7"/>
    <w:rsid w:val="003A4134"/>
    <w:rsid w:val="003A4BB5"/>
    <w:rsid w:val="003A4FAF"/>
    <w:rsid w:val="003A5036"/>
    <w:rsid w:val="003A60D4"/>
    <w:rsid w:val="003A6B7C"/>
    <w:rsid w:val="003A6D97"/>
    <w:rsid w:val="003A6DB4"/>
    <w:rsid w:val="003B14EF"/>
    <w:rsid w:val="003B3136"/>
    <w:rsid w:val="003B3802"/>
    <w:rsid w:val="003B3D3F"/>
    <w:rsid w:val="003B52BC"/>
    <w:rsid w:val="003B5409"/>
    <w:rsid w:val="003B5DD5"/>
    <w:rsid w:val="003B6D10"/>
    <w:rsid w:val="003B6E1B"/>
    <w:rsid w:val="003C1D4A"/>
    <w:rsid w:val="003C2CE8"/>
    <w:rsid w:val="003C3427"/>
    <w:rsid w:val="003C4C53"/>
    <w:rsid w:val="003C535D"/>
    <w:rsid w:val="003C5E1F"/>
    <w:rsid w:val="003C5E4B"/>
    <w:rsid w:val="003C7015"/>
    <w:rsid w:val="003C7023"/>
    <w:rsid w:val="003D0992"/>
    <w:rsid w:val="003D1A60"/>
    <w:rsid w:val="003D1ECE"/>
    <w:rsid w:val="003D1FDA"/>
    <w:rsid w:val="003D226F"/>
    <w:rsid w:val="003D22F3"/>
    <w:rsid w:val="003D26FE"/>
    <w:rsid w:val="003D4708"/>
    <w:rsid w:val="003D5307"/>
    <w:rsid w:val="003D5336"/>
    <w:rsid w:val="003D5435"/>
    <w:rsid w:val="003D555A"/>
    <w:rsid w:val="003D5FD6"/>
    <w:rsid w:val="003D6AAC"/>
    <w:rsid w:val="003D713D"/>
    <w:rsid w:val="003D74AA"/>
    <w:rsid w:val="003D75B1"/>
    <w:rsid w:val="003E0D29"/>
    <w:rsid w:val="003E1832"/>
    <w:rsid w:val="003E200D"/>
    <w:rsid w:val="003E207A"/>
    <w:rsid w:val="003E264C"/>
    <w:rsid w:val="003E2C1A"/>
    <w:rsid w:val="003E3E8E"/>
    <w:rsid w:val="003E416F"/>
    <w:rsid w:val="003E42FA"/>
    <w:rsid w:val="003E4766"/>
    <w:rsid w:val="003E6178"/>
    <w:rsid w:val="003E705B"/>
    <w:rsid w:val="003E7498"/>
    <w:rsid w:val="003E74D5"/>
    <w:rsid w:val="003E74E5"/>
    <w:rsid w:val="003E7B06"/>
    <w:rsid w:val="003E7DCE"/>
    <w:rsid w:val="003F052A"/>
    <w:rsid w:val="003F0565"/>
    <w:rsid w:val="003F0C65"/>
    <w:rsid w:val="003F1A9D"/>
    <w:rsid w:val="003F1F3C"/>
    <w:rsid w:val="003F295E"/>
    <w:rsid w:val="003F2B81"/>
    <w:rsid w:val="003F2C7E"/>
    <w:rsid w:val="003F368D"/>
    <w:rsid w:val="003F4449"/>
    <w:rsid w:val="003F522A"/>
    <w:rsid w:val="003F5408"/>
    <w:rsid w:val="003F58AA"/>
    <w:rsid w:val="003F5C50"/>
    <w:rsid w:val="003F74DF"/>
    <w:rsid w:val="003F7FCE"/>
    <w:rsid w:val="0040043F"/>
    <w:rsid w:val="00401DAF"/>
    <w:rsid w:val="00401F3E"/>
    <w:rsid w:val="0040219E"/>
    <w:rsid w:val="0040220E"/>
    <w:rsid w:val="00402305"/>
    <w:rsid w:val="004028D2"/>
    <w:rsid w:val="00404334"/>
    <w:rsid w:val="00404443"/>
    <w:rsid w:val="00404F5E"/>
    <w:rsid w:val="004056C1"/>
    <w:rsid w:val="00405B6C"/>
    <w:rsid w:val="00405D0E"/>
    <w:rsid w:val="00405DAE"/>
    <w:rsid w:val="0040630B"/>
    <w:rsid w:val="004063BE"/>
    <w:rsid w:val="00406EA9"/>
    <w:rsid w:val="004076F7"/>
    <w:rsid w:val="00407E57"/>
    <w:rsid w:val="00410BFB"/>
    <w:rsid w:val="004114F2"/>
    <w:rsid w:val="004117AC"/>
    <w:rsid w:val="004123FB"/>
    <w:rsid w:val="004126E0"/>
    <w:rsid w:val="004134B0"/>
    <w:rsid w:val="004136AE"/>
    <w:rsid w:val="00413A34"/>
    <w:rsid w:val="00413F70"/>
    <w:rsid w:val="00414870"/>
    <w:rsid w:val="004151A1"/>
    <w:rsid w:val="004152F0"/>
    <w:rsid w:val="00415DDC"/>
    <w:rsid w:val="00415ED9"/>
    <w:rsid w:val="004167AE"/>
    <w:rsid w:val="004169DC"/>
    <w:rsid w:val="00416D72"/>
    <w:rsid w:val="00417074"/>
    <w:rsid w:val="004172DA"/>
    <w:rsid w:val="00417789"/>
    <w:rsid w:val="00420571"/>
    <w:rsid w:val="00420C29"/>
    <w:rsid w:val="0042112E"/>
    <w:rsid w:val="00421710"/>
    <w:rsid w:val="00422238"/>
    <w:rsid w:val="0042228D"/>
    <w:rsid w:val="0042284E"/>
    <w:rsid w:val="00422A2C"/>
    <w:rsid w:val="00423394"/>
    <w:rsid w:val="00423779"/>
    <w:rsid w:val="00423DE2"/>
    <w:rsid w:val="00424AB1"/>
    <w:rsid w:val="00425AD9"/>
    <w:rsid w:val="00425F15"/>
    <w:rsid w:val="0042609D"/>
    <w:rsid w:val="00426803"/>
    <w:rsid w:val="00426CBB"/>
    <w:rsid w:val="00426F9F"/>
    <w:rsid w:val="0042711B"/>
    <w:rsid w:val="00427C54"/>
    <w:rsid w:val="00430044"/>
    <w:rsid w:val="004304F7"/>
    <w:rsid w:val="00430515"/>
    <w:rsid w:val="004305A8"/>
    <w:rsid w:val="004307F4"/>
    <w:rsid w:val="004308EB"/>
    <w:rsid w:val="00430B7E"/>
    <w:rsid w:val="00430CD9"/>
    <w:rsid w:val="00430EDE"/>
    <w:rsid w:val="004310D2"/>
    <w:rsid w:val="0043145F"/>
    <w:rsid w:val="00431DBC"/>
    <w:rsid w:val="00432972"/>
    <w:rsid w:val="00432E78"/>
    <w:rsid w:val="004344D6"/>
    <w:rsid w:val="0043456B"/>
    <w:rsid w:val="00434607"/>
    <w:rsid w:val="004349F9"/>
    <w:rsid w:val="0043571A"/>
    <w:rsid w:val="004357C8"/>
    <w:rsid w:val="00436F6D"/>
    <w:rsid w:val="004372A1"/>
    <w:rsid w:val="004373A0"/>
    <w:rsid w:val="0044028C"/>
    <w:rsid w:val="00440A15"/>
    <w:rsid w:val="00442735"/>
    <w:rsid w:val="00442932"/>
    <w:rsid w:val="00443AF5"/>
    <w:rsid w:val="00445858"/>
    <w:rsid w:val="00445CC8"/>
    <w:rsid w:val="00446780"/>
    <w:rsid w:val="004468DE"/>
    <w:rsid w:val="00446C15"/>
    <w:rsid w:val="00450922"/>
    <w:rsid w:val="00450D9B"/>
    <w:rsid w:val="00450EA4"/>
    <w:rsid w:val="00450F0E"/>
    <w:rsid w:val="00451024"/>
    <w:rsid w:val="00451769"/>
    <w:rsid w:val="0045257A"/>
    <w:rsid w:val="0045258E"/>
    <w:rsid w:val="00453004"/>
    <w:rsid w:val="00453436"/>
    <w:rsid w:val="00453EDD"/>
    <w:rsid w:val="004549D5"/>
    <w:rsid w:val="00454A1A"/>
    <w:rsid w:val="00454EA4"/>
    <w:rsid w:val="00454F3B"/>
    <w:rsid w:val="004551AA"/>
    <w:rsid w:val="00456896"/>
    <w:rsid w:val="00457991"/>
    <w:rsid w:val="00460A3B"/>
    <w:rsid w:val="00460EF9"/>
    <w:rsid w:val="00461339"/>
    <w:rsid w:val="00461A63"/>
    <w:rsid w:val="0046205C"/>
    <w:rsid w:val="00463560"/>
    <w:rsid w:val="00464303"/>
    <w:rsid w:val="004653D4"/>
    <w:rsid w:val="0046591C"/>
    <w:rsid w:val="00465EF7"/>
    <w:rsid w:val="00466950"/>
    <w:rsid w:val="00466E7A"/>
    <w:rsid w:val="00467335"/>
    <w:rsid w:val="00467551"/>
    <w:rsid w:val="0046792A"/>
    <w:rsid w:val="0047247B"/>
    <w:rsid w:val="00472C41"/>
    <w:rsid w:val="00473118"/>
    <w:rsid w:val="0047333D"/>
    <w:rsid w:val="00473A57"/>
    <w:rsid w:val="00473AC2"/>
    <w:rsid w:val="00476BD9"/>
    <w:rsid w:val="00476C24"/>
    <w:rsid w:val="00477874"/>
    <w:rsid w:val="00480FC0"/>
    <w:rsid w:val="00481B68"/>
    <w:rsid w:val="00482036"/>
    <w:rsid w:val="004823BA"/>
    <w:rsid w:val="00482BB0"/>
    <w:rsid w:val="00483103"/>
    <w:rsid w:val="0048408A"/>
    <w:rsid w:val="00484D3A"/>
    <w:rsid w:val="00485286"/>
    <w:rsid w:val="004853AC"/>
    <w:rsid w:val="004853E5"/>
    <w:rsid w:val="00485AB7"/>
    <w:rsid w:val="0048606D"/>
    <w:rsid w:val="00486A8B"/>
    <w:rsid w:val="00486FA8"/>
    <w:rsid w:val="00487044"/>
    <w:rsid w:val="004871C2"/>
    <w:rsid w:val="00487650"/>
    <w:rsid w:val="0048765F"/>
    <w:rsid w:val="00487E9A"/>
    <w:rsid w:val="00490014"/>
    <w:rsid w:val="0049002F"/>
    <w:rsid w:val="00491764"/>
    <w:rsid w:val="004918C1"/>
    <w:rsid w:val="00491B9E"/>
    <w:rsid w:val="00491BF3"/>
    <w:rsid w:val="004921A8"/>
    <w:rsid w:val="004921C5"/>
    <w:rsid w:val="00492215"/>
    <w:rsid w:val="0049239C"/>
    <w:rsid w:val="004926EE"/>
    <w:rsid w:val="0049283E"/>
    <w:rsid w:val="00492FCC"/>
    <w:rsid w:val="0049306D"/>
    <w:rsid w:val="00493146"/>
    <w:rsid w:val="00493547"/>
    <w:rsid w:val="00493FCF"/>
    <w:rsid w:val="004946FB"/>
    <w:rsid w:val="004977B4"/>
    <w:rsid w:val="004A0B4D"/>
    <w:rsid w:val="004A0C5E"/>
    <w:rsid w:val="004A1826"/>
    <w:rsid w:val="004A2198"/>
    <w:rsid w:val="004A2CEA"/>
    <w:rsid w:val="004A2EC2"/>
    <w:rsid w:val="004A3EBF"/>
    <w:rsid w:val="004A49E6"/>
    <w:rsid w:val="004A4CED"/>
    <w:rsid w:val="004A5289"/>
    <w:rsid w:val="004A53F9"/>
    <w:rsid w:val="004A5765"/>
    <w:rsid w:val="004A5B49"/>
    <w:rsid w:val="004A66AF"/>
    <w:rsid w:val="004B0219"/>
    <w:rsid w:val="004B1476"/>
    <w:rsid w:val="004B2C87"/>
    <w:rsid w:val="004B333F"/>
    <w:rsid w:val="004B3409"/>
    <w:rsid w:val="004B3E1F"/>
    <w:rsid w:val="004B3FA8"/>
    <w:rsid w:val="004B4335"/>
    <w:rsid w:val="004B66F0"/>
    <w:rsid w:val="004B66FD"/>
    <w:rsid w:val="004C01F3"/>
    <w:rsid w:val="004C1555"/>
    <w:rsid w:val="004C1636"/>
    <w:rsid w:val="004C184E"/>
    <w:rsid w:val="004C1986"/>
    <w:rsid w:val="004C248E"/>
    <w:rsid w:val="004C2AEC"/>
    <w:rsid w:val="004C32B3"/>
    <w:rsid w:val="004C3796"/>
    <w:rsid w:val="004C3D15"/>
    <w:rsid w:val="004C3D43"/>
    <w:rsid w:val="004C403C"/>
    <w:rsid w:val="004C438B"/>
    <w:rsid w:val="004C4A20"/>
    <w:rsid w:val="004C52CD"/>
    <w:rsid w:val="004C585A"/>
    <w:rsid w:val="004C625E"/>
    <w:rsid w:val="004C6FB1"/>
    <w:rsid w:val="004D06D9"/>
    <w:rsid w:val="004D0998"/>
    <w:rsid w:val="004D099E"/>
    <w:rsid w:val="004D0F7F"/>
    <w:rsid w:val="004D1690"/>
    <w:rsid w:val="004D26C2"/>
    <w:rsid w:val="004D35F4"/>
    <w:rsid w:val="004D3AE8"/>
    <w:rsid w:val="004D4CC2"/>
    <w:rsid w:val="004D57C5"/>
    <w:rsid w:val="004D58DB"/>
    <w:rsid w:val="004D6D9E"/>
    <w:rsid w:val="004D6F27"/>
    <w:rsid w:val="004D7249"/>
    <w:rsid w:val="004D72DC"/>
    <w:rsid w:val="004D754F"/>
    <w:rsid w:val="004D75CC"/>
    <w:rsid w:val="004D776F"/>
    <w:rsid w:val="004E020F"/>
    <w:rsid w:val="004E07E2"/>
    <w:rsid w:val="004E0889"/>
    <w:rsid w:val="004E0F10"/>
    <w:rsid w:val="004E2641"/>
    <w:rsid w:val="004E27F2"/>
    <w:rsid w:val="004E3FC6"/>
    <w:rsid w:val="004E473B"/>
    <w:rsid w:val="004E4848"/>
    <w:rsid w:val="004E484E"/>
    <w:rsid w:val="004E51FE"/>
    <w:rsid w:val="004E533A"/>
    <w:rsid w:val="004E5FD3"/>
    <w:rsid w:val="004E657F"/>
    <w:rsid w:val="004E6593"/>
    <w:rsid w:val="004E6B6E"/>
    <w:rsid w:val="004E7D3E"/>
    <w:rsid w:val="004F0207"/>
    <w:rsid w:val="004F03EA"/>
    <w:rsid w:val="004F0F20"/>
    <w:rsid w:val="004F254E"/>
    <w:rsid w:val="004F360A"/>
    <w:rsid w:val="004F3734"/>
    <w:rsid w:val="004F4556"/>
    <w:rsid w:val="004F4B09"/>
    <w:rsid w:val="004F4CC8"/>
    <w:rsid w:val="004F676A"/>
    <w:rsid w:val="004F6812"/>
    <w:rsid w:val="004F6CF8"/>
    <w:rsid w:val="00500A3C"/>
    <w:rsid w:val="00501902"/>
    <w:rsid w:val="00501EB7"/>
    <w:rsid w:val="00502149"/>
    <w:rsid w:val="00502314"/>
    <w:rsid w:val="00502DBD"/>
    <w:rsid w:val="005037B3"/>
    <w:rsid w:val="00503A3E"/>
    <w:rsid w:val="00504241"/>
    <w:rsid w:val="00504652"/>
    <w:rsid w:val="00504BF7"/>
    <w:rsid w:val="00504CEB"/>
    <w:rsid w:val="0050707D"/>
    <w:rsid w:val="005115A8"/>
    <w:rsid w:val="005129F5"/>
    <w:rsid w:val="00513D94"/>
    <w:rsid w:val="00514CCC"/>
    <w:rsid w:val="00514D5E"/>
    <w:rsid w:val="00514D9D"/>
    <w:rsid w:val="0051570B"/>
    <w:rsid w:val="0051577E"/>
    <w:rsid w:val="00516BEA"/>
    <w:rsid w:val="00520598"/>
    <w:rsid w:val="005205E1"/>
    <w:rsid w:val="0052166F"/>
    <w:rsid w:val="0052465E"/>
    <w:rsid w:val="005254CF"/>
    <w:rsid w:val="00525C8E"/>
    <w:rsid w:val="0052640D"/>
    <w:rsid w:val="00526839"/>
    <w:rsid w:val="00526D65"/>
    <w:rsid w:val="00527093"/>
    <w:rsid w:val="00527ECB"/>
    <w:rsid w:val="00527FB2"/>
    <w:rsid w:val="00531E95"/>
    <w:rsid w:val="00531EA8"/>
    <w:rsid w:val="005328E3"/>
    <w:rsid w:val="00533D49"/>
    <w:rsid w:val="005341E2"/>
    <w:rsid w:val="00534F31"/>
    <w:rsid w:val="005362EB"/>
    <w:rsid w:val="005362FA"/>
    <w:rsid w:val="00536692"/>
    <w:rsid w:val="0053734E"/>
    <w:rsid w:val="00537525"/>
    <w:rsid w:val="00541033"/>
    <w:rsid w:val="00541115"/>
    <w:rsid w:val="0054138C"/>
    <w:rsid w:val="00541E6B"/>
    <w:rsid w:val="00542068"/>
    <w:rsid w:val="0054292D"/>
    <w:rsid w:val="00545CE4"/>
    <w:rsid w:val="005473D7"/>
    <w:rsid w:val="005475D3"/>
    <w:rsid w:val="005508A1"/>
    <w:rsid w:val="005509B4"/>
    <w:rsid w:val="00550E8D"/>
    <w:rsid w:val="005519E7"/>
    <w:rsid w:val="0055221D"/>
    <w:rsid w:val="00552BAF"/>
    <w:rsid w:val="00552D24"/>
    <w:rsid w:val="00553114"/>
    <w:rsid w:val="0055370B"/>
    <w:rsid w:val="00553B6F"/>
    <w:rsid w:val="00553CEC"/>
    <w:rsid w:val="005541F9"/>
    <w:rsid w:val="005548AB"/>
    <w:rsid w:val="00554EAA"/>
    <w:rsid w:val="00555BDC"/>
    <w:rsid w:val="005563CA"/>
    <w:rsid w:val="005568EE"/>
    <w:rsid w:val="00557B58"/>
    <w:rsid w:val="00557BC6"/>
    <w:rsid w:val="00557F4A"/>
    <w:rsid w:val="0056042A"/>
    <w:rsid w:val="00560C8F"/>
    <w:rsid w:val="005619CD"/>
    <w:rsid w:val="00561E7C"/>
    <w:rsid w:val="00562F71"/>
    <w:rsid w:val="005630D8"/>
    <w:rsid w:val="0056346D"/>
    <w:rsid w:val="0056361B"/>
    <w:rsid w:val="00563A58"/>
    <w:rsid w:val="00563B02"/>
    <w:rsid w:val="00564053"/>
    <w:rsid w:val="005645A1"/>
    <w:rsid w:val="005648EB"/>
    <w:rsid w:val="0056571A"/>
    <w:rsid w:val="0056571F"/>
    <w:rsid w:val="005659B6"/>
    <w:rsid w:val="00565AF6"/>
    <w:rsid w:val="0056740D"/>
    <w:rsid w:val="005677CB"/>
    <w:rsid w:val="00567C40"/>
    <w:rsid w:val="00567D44"/>
    <w:rsid w:val="005700F4"/>
    <w:rsid w:val="00571C82"/>
    <w:rsid w:val="00571EFA"/>
    <w:rsid w:val="00572C8A"/>
    <w:rsid w:val="00573045"/>
    <w:rsid w:val="00573D82"/>
    <w:rsid w:val="00574939"/>
    <w:rsid w:val="005750AA"/>
    <w:rsid w:val="00575608"/>
    <w:rsid w:val="005764F4"/>
    <w:rsid w:val="00576C26"/>
    <w:rsid w:val="0057731F"/>
    <w:rsid w:val="00577496"/>
    <w:rsid w:val="00577ECD"/>
    <w:rsid w:val="00580CFF"/>
    <w:rsid w:val="005811E7"/>
    <w:rsid w:val="0058123F"/>
    <w:rsid w:val="0058152A"/>
    <w:rsid w:val="00583316"/>
    <w:rsid w:val="00583B92"/>
    <w:rsid w:val="00583EAA"/>
    <w:rsid w:val="005844AB"/>
    <w:rsid w:val="00584A5B"/>
    <w:rsid w:val="005851EC"/>
    <w:rsid w:val="00585235"/>
    <w:rsid w:val="005854F9"/>
    <w:rsid w:val="00585909"/>
    <w:rsid w:val="00587B21"/>
    <w:rsid w:val="00590278"/>
    <w:rsid w:val="00590354"/>
    <w:rsid w:val="00590CDA"/>
    <w:rsid w:val="005917A6"/>
    <w:rsid w:val="00591D38"/>
    <w:rsid w:val="00593A31"/>
    <w:rsid w:val="00593CB9"/>
    <w:rsid w:val="00594352"/>
    <w:rsid w:val="00594878"/>
    <w:rsid w:val="0059694E"/>
    <w:rsid w:val="00596B4E"/>
    <w:rsid w:val="00597432"/>
    <w:rsid w:val="00597546"/>
    <w:rsid w:val="005975F4"/>
    <w:rsid w:val="00597A9A"/>
    <w:rsid w:val="00597C9A"/>
    <w:rsid w:val="005A008C"/>
    <w:rsid w:val="005A076D"/>
    <w:rsid w:val="005A0EEF"/>
    <w:rsid w:val="005A0F23"/>
    <w:rsid w:val="005A0F48"/>
    <w:rsid w:val="005A1146"/>
    <w:rsid w:val="005A1B03"/>
    <w:rsid w:val="005A22E5"/>
    <w:rsid w:val="005A2524"/>
    <w:rsid w:val="005A2591"/>
    <w:rsid w:val="005A3511"/>
    <w:rsid w:val="005A3721"/>
    <w:rsid w:val="005A3F6F"/>
    <w:rsid w:val="005A677E"/>
    <w:rsid w:val="005A7916"/>
    <w:rsid w:val="005A7D4C"/>
    <w:rsid w:val="005B01E2"/>
    <w:rsid w:val="005B02C9"/>
    <w:rsid w:val="005B0390"/>
    <w:rsid w:val="005B04D5"/>
    <w:rsid w:val="005B073A"/>
    <w:rsid w:val="005B12A8"/>
    <w:rsid w:val="005B1409"/>
    <w:rsid w:val="005B1D58"/>
    <w:rsid w:val="005B2229"/>
    <w:rsid w:val="005B2B73"/>
    <w:rsid w:val="005B3034"/>
    <w:rsid w:val="005B343A"/>
    <w:rsid w:val="005B3448"/>
    <w:rsid w:val="005B3BA3"/>
    <w:rsid w:val="005B3D2D"/>
    <w:rsid w:val="005B4452"/>
    <w:rsid w:val="005B47AB"/>
    <w:rsid w:val="005B4AC5"/>
    <w:rsid w:val="005B4DD2"/>
    <w:rsid w:val="005B5027"/>
    <w:rsid w:val="005B6322"/>
    <w:rsid w:val="005B655D"/>
    <w:rsid w:val="005B65F8"/>
    <w:rsid w:val="005B71B4"/>
    <w:rsid w:val="005B7223"/>
    <w:rsid w:val="005C083F"/>
    <w:rsid w:val="005C0F4F"/>
    <w:rsid w:val="005C1148"/>
    <w:rsid w:val="005C1D9C"/>
    <w:rsid w:val="005C1DBD"/>
    <w:rsid w:val="005C2FC0"/>
    <w:rsid w:val="005C49E8"/>
    <w:rsid w:val="005C4AB5"/>
    <w:rsid w:val="005C4CE3"/>
    <w:rsid w:val="005C573C"/>
    <w:rsid w:val="005C5A59"/>
    <w:rsid w:val="005C6142"/>
    <w:rsid w:val="005C65E1"/>
    <w:rsid w:val="005C6617"/>
    <w:rsid w:val="005C6D87"/>
    <w:rsid w:val="005D0996"/>
    <w:rsid w:val="005D0CE7"/>
    <w:rsid w:val="005D0CF7"/>
    <w:rsid w:val="005D1B54"/>
    <w:rsid w:val="005D1CC6"/>
    <w:rsid w:val="005D28A0"/>
    <w:rsid w:val="005D2992"/>
    <w:rsid w:val="005D2D3C"/>
    <w:rsid w:val="005D341F"/>
    <w:rsid w:val="005D36EE"/>
    <w:rsid w:val="005D4F1E"/>
    <w:rsid w:val="005D5476"/>
    <w:rsid w:val="005D54A1"/>
    <w:rsid w:val="005D5963"/>
    <w:rsid w:val="005D5F46"/>
    <w:rsid w:val="005D71DA"/>
    <w:rsid w:val="005D7475"/>
    <w:rsid w:val="005D750E"/>
    <w:rsid w:val="005D75A0"/>
    <w:rsid w:val="005D76DE"/>
    <w:rsid w:val="005D7841"/>
    <w:rsid w:val="005D7A79"/>
    <w:rsid w:val="005E0221"/>
    <w:rsid w:val="005E0563"/>
    <w:rsid w:val="005E08BB"/>
    <w:rsid w:val="005E18FA"/>
    <w:rsid w:val="005E2149"/>
    <w:rsid w:val="005E23FE"/>
    <w:rsid w:val="005E3090"/>
    <w:rsid w:val="005E309C"/>
    <w:rsid w:val="005E30CD"/>
    <w:rsid w:val="005E3162"/>
    <w:rsid w:val="005E3242"/>
    <w:rsid w:val="005E35D1"/>
    <w:rsid w:val="005E49E6"/>
    <w:rsid w:val="005E4C3A"/>
    <w:rsid w:val="005E6715"/>
    <w:rsid w:val="005E6D6D"/>
    <w:rsid w:val="005E7348"/>
    <w:rsid w:val="005E76E3"/>
    <w:rsid w:val="005E794B"/>
    <w:rsid w:val="005E7FAF"/>
    <w:rsid w:val="005E7FD2"/>
    <w:rsid w:val="005F0550"/>
    <w:rsid w:val="005F0BAF"/>
    <w:rsid w:val="005F11DE"/>
    <w:rsid w:val="005F2294"/>
    <w:rsid w:val="005F2E89"/>
    <w:rsid w:val="005F301B"/>
    <w:rsid w:val="005F374B"/>
    <w:rsid w:val="005F39E9"/>
    <w:rsid w:val="005F4549"/>
    <w:rsid w:val="005F4747"/>
    <w:rsid w:val="005F5094"/>
    <w:rsid w:val="005F533E"/>
    <w:rsid w:val="005F581C"/>
    <w:rsid w:val="005F5B60"/>
    <w:rsid w:val="005F5D0D"/>
    <w:rsid w:val="005F6B0E"/>
    <w:rsid w:val="005F7B6B"/>
    <w:rsid w:val="005F7D04"/>
    <w:rsid w:val="006013AF"/>
    <w:rsid w:val="006016F9"/>
    <w:rsid w:val="00602369"/>
    <w:rsid w:val="00602449"/>
    <w:rsid w:val="00602512"/>
    <w:rsid w:val="00602AA0"/>
    <w:rsid w:val="00603C38"/>
    <w:rsid w:val="0060433D"/>
    <w:rsid w:val="006047EC"/>
    <w:rsid w:val="0060675B"/>
    <w:rsid w:val="00606F04"/>
    <w:rsid w:val="00607163"/>
    <w:rsid w:val="006072D9"/>
    <w:rsid w:val="00607DD9"/>
    <w:rsid w:val="006105B4"/>
    <w:rsid w:val="006107C1"/>
    <w:rsid w:val="00610CA6"/>
    <w:rsid w:val="006119DA"/>
    <w:rsid w:val="006125D8"/>
    <w:rsid w:val="0061286C"/>
    <w:rsid w:val="0061384F"/>
    <w:rsid w:val="00613E74"/>
    <w:rsid w:val="00615408"/>
    <w:rsid w:val="006155DF"/>
    <w:rsid w:val="006159E9"/>
    <w:rsid w:val="00615DAF"/>
    <w:rsid w:val="00615E7E"/>
    <w:rsid w:val="00616160"/>
    <w:rsid w:val="0061616B"/>
    <w:rsid w:val="00616F7F"/>
    <w:rsid w:val="0061719D"/>
    <w:rsid w:val="006178C4"/>
    <w:rsid w:val="00617A3C"/>
    <w:rsid w:val="006200DB"/>
    <w:rsid w:val="00620C81"/>
    <w:rsid w:val="00621EA9"/>
    <w:rsid w:val="006221D0"/>
    <w:rsid w:val="0062235B"/>
    <w:rsid w:val="00622A7B"/>
    <w:rsid w:val="006237F0"/>
    <w:rsid w:val="006239FA"/>
    <w:rsid w:val="00624011"/>
    <w:rsid w:val="006242AA"/>
    <w:rsid w:val="00624394"/>
    <w:rsid w:val="00625723"/>
    <w:rsid w:val="00625B03"/>
    <w:rsid w:val="006264E2"/>
    <w:rsid w:val="00626A3B"/>
    <w:rsid w:val="00626D2E"/>
    <w:rsid w:val="006315C6"/>
    <w:rsid w:val="00631693"/>
    <w:rsid w:val="00631972"/>
    <w:rsid w:val="00632B66"/>
    <w:rsid w:val="00633054"/>
    <w:rsid w:val="006330CD"/>
    <w:rsid w:val="00633CE6"/>
    <w:rsid w:val="00633F92"/>
    <w:rsid w:val="0063405D"/>
    <w:rsid w:val="0063453E"/>
    <w:rsid w:val="0063473F"/>
    <w:rsid w:val="00634A85"/>
    <w:rsid w:val="00634E4D"/>
    <w:rsid w:val="006351C9"/>
    <w:rsid w:val="0063545B"/>
    <w:rsid w:val="00635CBF"/>
    <w:rsid w:val="0063671E"/>
    <w:rsid w:val="00640B2C"/>
    <w:rsid w:val="006410C0"/>
    <w:rsid w:val="006411CC"/>
    <w:rsid w:val="006419D7"/>
    <w:rsid w:val="00641C18"/>
    <w:rsid w:val="00641EA6"/>
    <w:rsid w:val="006431BC"/>
    <w:rsid w:val="0064341D"/>
    <w:rsid w:val="00643774"/>
    <w:rsid w:val="006439BC"/>
    <w:rsid w:val="00644105"/>
    <w:rsid w:val="0064447A"/>
    <w:rsid w:val="00644599"/>
    <w:rsid w:val="00644CEB"/>
    <w:rsid w:val="00645FAB"/>
    <w:rsid w:val="00646E11"/>
    <w:rsid w:val="00646E66"/>
    <w:rsid w:val="00650B25"/>
    <w:rsid w:val="0065134D"/>
    <w:rsid w:val="0065154D"/>
    <w:rsid w:val="006516FC"/>
    <w:rsid w:val="00652509"/>
    <w:rsid w:val="0065254C"/>
    <w:rsid w:val="006526ED"/>
    <w:rsid w:val="00653617"/>
    <w:rsid w:val="006537A4"/>
    <w:rsid w:val="00654EFB"/>
    <w:rsid w:val="00654F88"/>
    <w:rsid w:val="00655067"/>
    <w:rsid w:val="0065665F"/>
    <w:rsid w:val="00656A99"/>
    <w:rsid w:val="00656F50"/>
    <w:rsid w:val="006572C6"/>
    <w:rsid w:val="00657ACE"/>
    <w:rsid w:val="006609FC"/>
    <w:rsid w:val="00660EFA"/>
    <w:rsid w:val="00662269"/>
    <w:rsid w:val="006623F3"/>
    <w:rsid w:val="00662D70"/>
    <w:rsid w:val="0066317F"/>
    <w:rsid w:val="006632F8"/>
    <w:rsid w:val="00663538"/>
    <w:rsid w:val="0066358A"/>
    <w:rsid w:val="006646B2"/>
    <w:rsid w:val="00664779"/>
    <w:rsid w:val="00665614"/>
    <w:rsid w:val="00666EC1"/>
    <w:rsid w:val="00667506"/>
    <w:rsid w:val="0067026E"/>
    <w:rsid w:val="006702BC"/>
    <w:rsid w:val="006710D6"/>
    <w:rsid w:val="00671ABE"/>
    <w:rsid w:val="006721CD"/>
    <w:rsid w:val="0067258A"/>
    <w:rsid w:val="00672B4E"/>
    <w:rsid w:val="0067373D"/>
    <w:rsid w:val="00674C1D"/>
    <w:rsid w:val="00674F4F"/>
    <w:rsid w:val="00675ABF"/>
    <w:rsid w:val="006764CB"/>
    <w:rsid w:val="006770A0"/>
    <w:rsid w:val="006776F2"/>
    <w:rsid w:val="0067795C"/>
    <w:rsid w:val="006804BD"/>
    <w:rsid w:val="006804E1"/>
    <w:rsid w:val="0068177F"/>
    <w:rsid w:val="00682EF7"/>
    <w:rsid w:val="00683035"/>
    <w:rsid w:val="0068305D"/>
    <w:rsid w:val="00683165"/>
    <w:rsid w:val="00683CA4"/>
    <w:rsid w:val="00683D4A"/>
    <w:rsid w:val="00683F80"/>
    <w:rsid w:val="00684192"/>
    <w:rsid w:val="006842DC"/>
    <w:rsid w:val="0068453B"/>
    <w:rsid w:val="00684D0E"/>
    <w:rsid w:val="0068524A"/>
    <w:rsid w:val="00685444"/>
    <w:rsid w:val="00685600"/>
    <w:rsid w:val="0068639F"/>
    <w:rsid w:val="0069145E"/>
    <w:rsid w:val="006921AF"/>
    <w:rsid w:val="006923A8"/>
    <w:rsid w:val="00693E2D"/>
    <w:rsid w:val="00693E43"/>
    <w:rsid w:val="00694014"/>
    <w:rsid w:val="0069414E"/>
    <w:rsid w:val="0069422D"/>
    <w:rsid w:val="00694CEF"/>
    <w:rsid w:val="00694DEC"/>
    <w:rsid w:val="0069573D"/>
    <w:rsid w:val="00695AC8"/>
    <w:rsid w:val="00695E63"/>
    <w:rsid w:val="00696137"/>
    <w:rsid w:val="0069614F"/>
    <w:rsid w:val="00697241"/>
    <w:rsid w:val="00697B70"/>
    <w:rsid w:val="00697F51"/>
    <w:rsid w:val="006A047A"/>
    <w:rsid w:val="006A0D01"/>
    <w:rsid w:val="006A150B"/>
    <w:rsid w:val="006A1BFE"/>
    <w:rsid w:val="006A1C7B"/>
    <w:rsid w:val="006A1D0E"/>
    <w:rsid w:val="006A24F5"/>
    <w:rsid w:val="006A2568"/>
    <w:rsid w:val="006A4B4D"/>
    <w:rsid w:val="006A5263"/>
    <w:rsid w:val="006A58A5"/>
    <w:rsid w:val="006A6CB7"/>
    <w:rsid w:val="006A72DD"/>
    <w:rsid w:val="006A7415"/>
    <w:rsid w:val="006A7601"/>
    <w:rsid w:val="006A7F51"/>
    <w:rsid w:val="006B00BB"/>
    <w:rsid w:val="006B0FEE"/>
    <w:rsid w:val="006B2BAD"/>
    <w:rsid w:val="006B439C"/>
    <w:rsid w:val="006B4D61"/>
    <w:rsid w:val="006B5C86"/>
    <w:rsid w:val="006B63D1"/>
    <w:rsid w:val="006B651C"/>
    <w:rsid w:val="006B6C7B"/>
    <w:rsid w:val="006B7541"/>
    <w:rsid w:val="006B76E3"/>
    <w:rsid w:val="006B7A1D"/>
    <w:rsid w:val="006B7A38"/>
    <w:rsid w:val="006C020A"/>
    <w:rsid w:val="006C0E96"/>
    <w:rsid w:val="006C166C"/>
    <w:rsid w:val="006C1B01"/>
    <w:rsid w:val="006C277B"/>
    <w:rsid w:val="006C2B6E"/>
    <w:rsid w:val="006C2CC2"/>
    <w:rsid w:val="006C2D07"/>
    <w:rsid w:val="006C332B"/>
    <w:rsid w:val="006C3874"/>
    <w:rsid w:val="006C3912"/>
    <w:rsid w:val="006C3A22"/>
    <w:rsid w:val="006C3B6B"/>
    <w:rsid w:val="006C3DB7"/>
    <w:rsid w:val="006C50FB"/>
    <w:rsid w:val="006C53CD"/>
    <w:rsid w:val="006C5FE2"/>
    <w:rsid w:val="006C63A4"/>
    <w:rsid w:val="006C6DB0"/>
    <w:rsid w:val="006C79CF"/>
    <w:rsid w:val="006D02D6"/>
    <w:rsid w:val="006D0327"/>
    <w:rsid w:val="006D08A3"/>
    <w:rsid w:val="006D2A24"/>
    <w:rsid w:val="006D33CF"/>
    <w:rsid w:val="006D34D6"/>
    <w:rsid w:val="006D39CC"/>
    <w:rsid w:val="006D39FC"/>
    <w:rsid w:val="006D3C9C"/>
    <w:rsid w:val="006D3FF8"/>
    <w:rsid w:val="006D4298"/>
    <w:rsid w:val="006D4C6A"/>
    <w:rsid w:val="006D4CEF"/>
    <w:rsid w:val="006D50A4"/>
    <w:rsid w:val="006D59DC"/>
    <w:rsid w:val="006D5A00"/>
    <w:rsid w:val="006D5A82"/>
    <w:rsid w:val="006D5CD8"/>
    <w:rsid w:val="006D5E0C"/>
    <w:rsid w:val="006D5ED2"/>
    <w:rsid w:val="006D66CC"/>
    <w:rsid w:val="006D70F6"/>
    <w:rsid w:val="006E1114"/>
    <w:rsid w:val="006E1189"/>
    <w:rsid w:val="006E2997"/>
    <w:rsid w:val="006E36A8"/>
    <w:rsid w:val="006E3B9C"/>
    <w:rsid w:val="006E3C46"/>
    <w:rsid w:val="006E3C9C"/>
    <w:rsid w:val="006E489F"/>
    <w:rsid w:val="006E48AD"/>
    <w:rsid w:val="006E49A3"/>
    <w:rsid w:val="006E4B5B"/>
    <w:rsid w:val="006E51D4"/>
    <w:rsid w:val="006E5624"/>
    <w:rsid w:val="006E5877"/>
    <w:rsid w:val="006E61BA"/>
    <w:rsid w:val="006E68D3"/>
    <w:rsid w:val="006E7A71"/>
    <w:rsid w:val="006F05B9"/>
    <w:rsid w:val="006F192F"/>
    <w:rsid w:val="006F19E4"/>
    <w:rsid w:val="006F2222"/>
    <w:rsid w:val="006F2859"/>
    <w:rsid w:val="006F28CF"/>
    <w:rsid w:val="006F2F21"/>
    <w:rsid w:val="006F329B"/>
    <w:rsid w:val="006F40A1"/>
    <w:rsid w:val="006F4343"/>
    <w:rsid w:val="006F4417"/>
    <w:rsid w:val="006F47F3"/>
    <w:rsid w:val="006F4C22"/>
    <w:rsid w:val="006F50CC"/>
    <w:rsid w:val="006F5632"/>
    <w:rsid w:val="006F6844"/>
    <w:rsid w:val="006F68C6"/>
    <w:rsid w:val="006F6A1F"/>
    <w:rsid w:val="00700224"/>
    <w:rsid w:val="00700608"/>
    <w:rsid w:val="00700D72"/>
    <w:rsid w:val="00700D8A"/>
    <w:rsid w:val="00701109"/>
    <w:rsid w:val="007012A2"/>
    <w:rsid w:val="0070143A"/>
    <w:rsid w:val="00701CB0"/>
    <w:rsid w:val="00701CB9"/>
    <w:rsid w:val="00702560"/>
    <w:rsid w:val="00704734"/>
    <w:rsid w:val="00705B7B"/>
    <w:rsid w:val="00706521"/>
    <w:rsid w:val="00706F21"/>
    <w:rsid w:val="007072E8"/>
    <w:rsid w:val="00710F75"/>
    <w:rsid w:val="00711503"/>
    <w:rsid w:val="007116EC"/>
    <w:rsid w:val="00712590"/>
    <w:rsid w:val="00712D29"/>
    <w:rsid w:val="00713101"/>
    <w:rsid w:val="00713172"/>
    <w:rsid w:val="00713887"/>
    <w:rsid w:val="007139FA"/>
    <w:rsid w:val="00713B27"/>
    <w:rsid w:val="00713C37"/>
    <w:rsid w:val="007143A3"/>
    <w:rsid w:val="00714BA8"/>
    <w:rsid w:val="0071507E"/>
    <w:rsid w:val="007152E2"/>
    <w:rsid w:val="00715BB5"/>
    <w:rsid w:val="0071628C"/>
    <w:rsid w:val="00716AB8"/>
    <w:rsid w:val="00716DE4"/>
    <w:rsid w:val="007177F8"/>
    <w:rsid w:val="007179F4"/>
    <w:rsid w:val="00717C99"/>
    <w:rsid w:val="007208D3"/>
    <w:rsid w:val="00720DD5"/>
    <w:rsid w:val="00720E6E"/>
    <w:rsid w:val="00722268"/>
    <w:rsid w:val="00722753"/>
    <w:rsid w:val="007228C7"/>
    <w:rsid w:val="00722BDD"/>
    <w:rsid w:val="00723598"/>
    <w:rsid w:val="00723749"/>
    <w:rsid w:val="00723EA7"/>
    <w:rsid w:val="00724652"/>
    <w:rsid w:val="0072501D"/>
    <w:rsid w:val="0072557D"/>
    <w:rsid w:val="007257A8"/>
    <w:rsid w:val="007258F5"/>
    <w:rsid w:val="00727069"/>
    <w:rsid w:val="00727FCF"/>
    <w:rsid w:val="00730B7A"/>
    <w:rsid w:val="0073165C"/>
    <w:rsid w:val="00731E99"/>
    <w:rsid w:val="007329C6"/>
    <w:rsid w:val="0073354A"/>
    <w:rsid w:val="00733861"/>
    <w:rsid w:val="0073418C"/>
    <w:rsid w:val="0073445E"/>
    <w:rsid w:val="00734846"/>
    <w:rsid w:val="0073673E"/>
    <w:rsid w:val="00736971"/>
    <w:rsid w:val="007375D2"/>
    <w:rsid w:val="00741683"/>
    <w:rsid w:val="00741EAA"/>
    <w:rsid w:val="0074278B"/>
    <w:rsid w:val="007428D9"/>
    <w:rsid w:val="00742A29"/>
    <w:rsid w:val="00742CF1"/>
    <w:rsid w:val="0074310D"/>
    <w:rsid w:val="00743AC4"/>
    <w:rsid w:val="00743AF1"/>
    <w:rsid w:val="00743CB7"/>
    <w:rsid w:val="00744251"/>
    <w:rsid w:val="00744734"/>
    <w:rsid w:val="00744A53"/>
    <w:rsid w:val="00745BEF"/>
    <w:rsid w:val="00745CAB"/>
    <w:rsid w:val="00746478"/>
    <w:rsid w:val="00750556"/>
    <w:rsid w:val="00750894"/>
    <w:rsid w:val="00751F8A"/>
    <w:rsid w:val="00752E8C"/>
    <w:rsid w:val="00753475"/>
    <w:rsid w:val="00753897"/>
    <w:rsid w:val="007541A8"/>
    <w:rsid w:val="0075514E"/>
    <w:rsid w:val="007554CC"/>
    <w:rsid w:val="007559E6"/>
    <w:rsid w:val="00755AD3"/>
    <w:rsid w:val="0075605D"/>
    <w:rsid w:val="007568C7"/>
    <w:rsid w:val="00757DB5"/>
    <w:rsid w:val="00760701"/>
    <w:rsid w:val="00760A73"/>
    <w:rsid w:val="00761828"/>
    <w:rsid w:val="00762547"/>
    <w:rsid w:val="00763103"/>
    <w:rsid w:val="00763789"/>
    <w:rsid w:val="00763CF0"/>
    <w:rsid w:val="00763DDC"/>
    <w:rsid w:val="0076491D"/>
    <w:rsid w:val="00764C17"/>
    <w:rsid w:val="00765807"/>
    <w:rsid w:val="00765F71"/>
    <w:rsid w:val="007661EB"/>
    <w:rsid w:val="0076628B"/>
    <w:rsid w:val="00766298"/>
    <w:rsid w:val="007664A3"/>
    <w:rsid w:val="00766E3E"/>
    <w:rsid w:val="00770336"/>
    <w:rsid w:val="0077090A"/>
    <w:rsid w:val="00770A80"/>
    <w:rsid w:val="00770F8C"/>
    <w:rsid w:val="007721BC"/>
    <w:rsid w:val="00772444"/>
    <w:rsid w:val="00772E42"/>
    <w:rsid w:val="007734D6"/>
    <w:rsid w:val="00773AB0"/>
    <w:rsid w:val="00773E00"/>
    <w:rsid w:val="00774942"/>
    <w:rsid w:val="00774D3A"/>
    <w:rsid w:val="00774EB2"/>
    <w:rsid w:val="007750CA"/>
    <w:rsid w:val="0077510A"/>
    <w:rsid w:val="00775414"/>
    <w:rsid w:val="007772C3"/>
    <w:rsid w:val="0077765D"/>
    <w:rsid w:val="0077781C"/>
    <w:rsid w:val="00777A04"/>
    <w:rsid w:val="00777C7B"/>
    <w:rsid w:val="00780086"/>
    <w:rsid w:val="00780808"/>
    <w:rsid w:val="00781010"/>
    <w:rsid w:val="007816EE"/>
    <w:rsid w:val="00781724"/>
    <w:rsid w:val="00781870"/>
    <w:rsid w:val="00781906"/>
    <w:rsid w:val="00782036"/>
    <w:rsid w:val="00782391"/>
    <w:rsid w:val="00782468"/>
    <w:rsid w:val="007827A4"/>
    <w:rsid w:val="00782E68"/>
    <w:rsid w:val="00784078"/>
    <w:rsid w:val="00784A26"/>
    <w:rsid w:val="00784D65"/>
    <w:rsid w:val="00784EEF"/>
    <w:rsid w:val="00785059"/>
    <w:rsid w:val="007850C4"/>
    <w:rsid w:val="0078581E"/>
    <w:rsid w:val="007863AE"/>
    <w:rsid w:val="007864C1"/>
    <w:rsid w:val="00786EEC"/>
    <w:rsid w:val="00786F37"/>
    <w:rsid w:val="00787A6D"/>
    <w:rsid w:val="00787ABD"/>
    <w:rsid w:val="00790A9B"/>
    <w:rsid w:val="00790FBA"/>
    <w:rsid w:val="007916D8"/>
    <w:rsid w:val="00791ADF"/>
    <w:rsid w:val="007924DA"/>
    <w:rsid w:val="00793031"/>
    <w:rsid w:val="0079309E"/>
    <w:rsid w:val="007934D2"/>
    <w:rsid w:val="007939F6"/>
    <w:rsid w:val="0079439D"/>
    <w:rsid w:val="00794ADB"/>
    <w:rsid w:val="00795355"/>
    <w:rsid w:val="00795462"/>
    <w:rsid w:val="00795DFF"/>
    <w:rsid w:val="007964BD"/>
    <w:rsid w:val="00796B4F"/>
    <w:rsid w:val="00796FBF"/>
    <w:rsid w:val="007979DE"/>
    <w:rsid w:val="00797FD1"/>
    <w:rsid w:val="007A0943"/>
    <w:rsid w:val="007A0B4B"/>
    <w:rsid w:val="007A18AE"/>
    <w:rsid w:val="007A196B"/>
    <w:rsid w:val="007A1CA9"/>
    <w:rsid w:val="007A30CC"/>
    <w:rsid w:val="007A33B6"/>
    <w:rsid w:val="007A4B12"/>
    <w:rsid w:val="007A5A6C"/>
    <w:rsid w:val="007A5DC0"/>
    <w:rsid w:val="007A62E2"/>
    <w:rsid w:val="007A6888"/>
    <w:rsid w:val="007A6D61"/>
    <w:rsid w:val="007B0568"/>
    <w:rsid w:val="007B0702"/>
    <w:rsid w:val="007B0B95"/>
    <w:rsid w:val="007B0C98"/>
    <w:rsid w:val="007B10CA"/>
    <w:rsid w:val="007B115F"/>
    <w:rsid w:val="007B1BAE"/>
    <w:rsid w:val="007B1C24"/>
    <w:rsid w:val="007B3090"/>
    <w:rsid w:val="007B41CC"/>
    <w:rsid w:val="007B4659"/>
    <w:rsid w:val="007B5D3D"/>
    <w:rsid w:val="007B602A"/>
    <w:rsid w:val="007B6367"/>
    <w:rsid w:val="007B7583"/>
    <w:rsid w:val="007B7656"/>
    <w:rsid w:val="007B7696"/>
    <w:rsid w:val="007B7823"/>
    <w:rsid w:val="007C05F9"/>
    <w:rsid w:val="007C0639"/>
    <w:rsid w:val="007C0702"/>
    <w:rsid w:val="007C0964"/>
    <w:rsid w:val="007C122B"/>
    <w:rsid w:val="007C1CFF"/>
    <w:rsid w:val="007C22BC"/>
    <w:rsid w:val="007C2388"/>
    <w:rsid w:val="007C2F50"/>
    <w:rsid w:val="007C3AC0"/>
    <w:rsid w:val="007C3EFF"/>
    <w:rsid w:val="007C4698"/>
    <w:rsid w:val="007C46CD"/>
    <w:rsid w:val="007C4FD4"/>
    <w:rsid w:val="007C533F"/>
    <w:rsid w:val="007C6069"/>
    <w:rsid w:val="007C7FD8"/>
    <w:rsid w:val="007D00A8"/>
    <w:rsid w:val="007D0132"/>
    <w:rsid w:val="007D0237"/>
    <w:rsid w:val="007D084E"/>
    <w:rsid w:val="007D0E84"/>
    <w:rsid w:val="007D19FD"/>
    <w:rsid w:val="007D21F3"/>
    <w:rsid w:val="007D34D9"/>
    <w:rsid w:val="007D45CD"/>
    <w:rsid w:val="007D695A"/>
    <w:rsid w:val="007E0F2E"/>
    <w:rsid w:val="007E1AD7"/>
    <w:rsid w:val="007E1F65"/>
    <w:rsid w:val="007E234B"/>
    <w:rsid w:val="007E260E"/>
    <w:rsid w:val="007E323E"/>
    <w:rsid w:val="007E3946"/>
    <w:rsid w:val="007E4FBC"/>
    <w:rsid w:val="007E538C"/>
    <w:rsid w:val="007E53F6"/>
    <w:rsid w:val="007E5635"/>
    <w:rsid w:val="007E5A9C"/>
    <w:rsid w:val="007E6D27"/>
    <w:rsid w:val="007E7024"/>
    <w:rsid w:val="007E7C8C"/>
    <w:rsid w:val="007F004A"/>
    <w:rsid w:val="007F0A76"/>
    <w:rsid w:val="007F0D95"/>
    <w:rsid w:val="007F151D"/>
    <w:rsid w:val="007F1B11"/>
    <w:rsid w:val="007F1C78"/>
    <w:rsid w:val="007F299B"/>
    <w:rsid w:val="007F30C9"/>
    <w:rsid w:val="007F3BBC"/>
    <w:rsid w:val="007F3C63"/>
    <w:rsid w:val="007F4358"/>
    <w:rsid w:val="007F438F"/>
    <w:rsid w:val="007F4391"/>
    <w:rsid w:val="007F4695"/>
    <w:rsid w:val="007F56EE"/>
    <w:rsid w:val="007F5DE7"/>
    <w:rsid w:val="007F5FD9"/>
    <w:rsid w:val="007F6339"/>
    <w:rsid w:val="007F65E1"/>
    <w:rsid w:val="007F72E0"/>
    <w:rsid w:val="007F734A"/>
    <w:rsid w:val="0080023B"/>
    <w:rsid w:val="008016E5"/>
    <w:rsid w:val="00801A19"/>
    <w:rsid w:val="00802C6A"/>
    <w:rsid w:val="008038F0"/>
    <w:rsid w:val="008046BA"/>
    <w:rsid w:val="0080568B"/>
    <w:rsid w:val="0080583F"/>
    <w:rsid w:val="00806AE2"/>
    <w:rsid w:val="00806C5A"/>
    <w:rsid w:val="0080773E"/>
    <w:rsid w:val="00807F81"/>
    <w:rsid w:val="00810313"/>
    <w:rsid w:val="00810D34"/>
    <w:rsid w:val="008112B7"/>
    <w:rsid w:val="00812406"/>
    <w:rsid w:val="00812593"/>
    <w:rsid w:val="00812F87"/>
    <w:rsid w:val="00813BF9"/>
    <w:rsid w:val="00813FFA"/>
    <w:rsid w:val="008148B6"/>
    <w:rsid w:val="00814935"/>
    <w:rsid w:val="008178D9"/>
    <w:rsid w:val="00817C64"/>
    <w:rsid w:val="00820278"/>
    <w:rsid w:val="00820606"/>
    <w:rsid w:val="00820741"/>
    <w:rsid w:val="00820FB2"/>
    <w:rsid w:val="0082214D"/>
    <w:rsid w:val="0082245B"/>
    <w:rsid w:val="00822A30"/>
    <w:rsid w:val="00822CA6"/>
    <w:rsid w:val="00822CD0"/>
    <w:rsid w:val="00823B84"/>
    <w:rsid w:val="00823E17"/>
    <w:rsid w:val="00824076"/>
    <w:rsid w:val="008244AB"/>
    <w:rsid w:val="00824F32"/>
    <w:rsid w:val="00825E04"/>
    <w:rsid w:val="00826F0D"/>
    <w:rsid w:val="00826F44"/>
    <w:rsid w:val="0083050D"/>
    <w:rsid w:val="00833571"/>
    <w:rsid w:val="00834215"/>
    <w:rsid w:val="00834428"/>
    <w:rsid w:val="0083455E"/>
    <w:rsid w:val="0083495C"/>
    <w:rsid w:val="00834DCE"/>
    <w:rsid w:val="00835218"/>
    <w:rsid w:val="00836897"/>
    <w:rsid w:val="008368F1"/>
    <w:rsid w:val="00837517"/>
    <w:rsid w:val="00840087"/>
    <w:rsid w:val="008403E0"/>
    <w:rsid w:val="008404E2"/>
    <w:rsid w:val="00840728"/>
    <w:rsid w:val="008407BA"/>
    <w:rsid w:val="008409B1"/>
    <w:rsid w:val="0084142B"/>
    <w:rsid w:val="0084175E"/>
    <w:rsid w:val="00842CDA"/>
    <w:rsid w:val="0084396C"/>
    <w:rsid w:val="00843B63"/>
    <w:rsid w:val="00845A0F"/>
    <w:rsid w:val="0084612C"/>
    <w:rsid w:val="00847A4E"/>
    <w:rsid w:val="00847B1E"/>
    <w:rsid w:val="00847FB9"/>
    <w:rsid w:val="008502A6"/>
    <w:rsid w:val="00850B6D"/>
    <w:rsid w:val="00851FEA"/>
    <w:rsid w:val="00853B9E"/>
    <w:rsid w:val="00854588"/>
    <w:rsid w:val="00854CA8"/>
    <w:rsid w:val="00855287"/>
    <w:rsid w:val="008558D9"/>
    <w:rsid w:val="0085657A"/>
    <w:rsid w:val="00857016"/>
    <w:rsid w:val="00857A63"/>
    <w:rsid w:val="00857A64"/>
    <w:rsid w:val="008601BD"/>
    <w:rsid w:val="00860CD9"/>
    <w:rsid w:val="00861536"/>
    <w:rsid w:val="00861D63"/>
    <w:rsid w:val="0086257E"/>
    <w:rsid w:val="00862837"/>
    <w:rsid w:val="00863078"/>
    <w:rsid w:val="008633D8"/>
    <w:rsid w:val="00863EAD"/>
    <w:rsid w:val="0086438F"/>
    <w:rsid w:val="008644DA"/>
    <w:rsid w:val="00864B3B"/>
    <w:rsid w:val="00864FD9"/>
    <w:rsid w:val="00865D77"/>
    <w:rsid w:val="00865DFA"/>
    <w:rsid w:val="00870971"/>
    <w:rsid w:val="00870FF7"/>
    <w:rsid w:val="008712CB"/>
    <w:rsid w:val="00872AAD"/>
    <w:rsid w:val="00872ECD"/>
    <w:rsid w:val="00872EED"/>
    <w:rsid w:val="00873C7A"/>
    <w:rsid w:val="00873E84"/>
    <w:rsid w:val="00874147"/>
    <w:rsid w:val="008748AB"/>
    <w:rsid w:val="00874CDA"/>
    <w:rsid w:val="00874D96"/>
    <w:rsid w:val="008750E0"/>
    <w:rsid w:val="008756A0"/>
    <w:rsid w:val="00876F5E"/>
    <w:rsid w:val="00880BF0"/>
    <w:rsid w:val="00881045"/>
    <w:rsid w:val="00881BCD"/>
    <w:rsid w:val="00881BEA"/>
    <w:rsid w:val="008846A8"/>
    <w:rsid w:val="00884747"/>
    <w:rsid w:val="00885069"/>
    <w:rsid w:val="00885512"/>
    <w:rsid w:val="008858ED"/>
    <w:rsid w:val="00886414"/>
    <w:rsid w:val="008865F6"/>
    <w:rsid w:val="00886EC5"/>
    <w:rsid w:val="00886F7A"/>
    <w:rsid w:val="008870A4"/>
    <w:rsid w:val="0089108E"/>
    <w:rsid w:val="008918BC"/>
    <w:rsid w:val="00891E15"/>
    <w:rsid w:val="008929D1"/>
    <w:rsid w:val="008935FE"/>
    <w:rsid w:val="00893F6D"/>
    <w:rsid w:val="00895893"/>
    <w:rsid w:val="00895A14"/>
    <w:rsid w:val="00896E7E"/>
    <w:rsid w:val="008A0851"/>
    <w:rsid w:val="008A1272"/>
    <w:rsid w:val="008A1FA3"/>
    <w:rsid w:val="008A1FE6"/>
    <w:rsid w:val="008A26DF"/>
    <w:rsid w:val="008A28E0"/>
    <w:rsid w:val="008A341A"/>
    <w:rsid w:val="008A40D7"/>
    <w:rsid w:val="008A4263"/>
    <w:rsid w:val="008A42EE"/>
    <w:rsid w:val="008A469B"/>
    <w:rsid w:val="008A4B18"/>
    <w:rsid w:val="008A546E"/>
    <w:rsid w:val="008A5AFB"/>
    <w:rsid w:val="008A5E6A"/>
    <w:rsid w:val="008A6EC6"/>
    <w:rsid w:val="008A74F3"/>
    <w:rsid w:val="008B09ED"/>
    <w:rsid w:val="008B163C"/>
    <w:rsid w:val="008B1827"/>
    <w:rsid w:val="008B196A"/>
    <w:rsid w:val="008B2403"/>
    <w:rsid w:val="008B2461"/>
    <w:rsid w:val="008B2DA9"/>
    <w:rsid w:val="008B3605"/>
    <w:rsid w:val="008B390E"/>
    <w:rsid w:val="008B4EE8"/>
    <w:rsid w:val="008B5EAD"/>
    <w:rsid w:val="008B6D91"/>
    <w:rsid w:val="008C0109"/>
    <w:rsid w:val="008C109C"/>
    <w:rsid w:val="008C1611"/>
    <w:rsid w:val="008C250E"/>
    <w:rsid w:val="008C261B"/>
    <w:rsid w:val="008C2DCB"/>
    <w:rsid w:val="008C326E"/>
    <w:rsid w:val="008C4572"/>
    <w:rsid w:val="008C482E"/>
    <w:rsid w:val="008C4A28"/>
    <w:rsid w:val="008C4E8F"/>
    <w:rsid w:val="008C50FE"/>
    <w:rsid w:val="008C5186"/>
    <w:rsid w:val="008C518C"/>
    <w:rsid w:val="008C525E"/>
    <w:rsid w:val="008C68D3"/>
    <w:rsid w:val="008C7D0A"/>
    <w:rsid w:val="008D1397"/>
    <w:rsid w:val="008D15E0"/>
    <w:rsid w:val="008D1EB6"/>
    <w:rsid w:val="008D24B1"/>
    <w:rsid w:val="008D25F0"/>
    <w:rsid w:val="008D28F7"/>
    <w:rsid w:val="008D3197"/>
    <w:rsid w:val="008D32CA"/>
    <w:rsid w:val="008D38F8"/>
    <w:rsid w:val="008D3ACA"/>
    <w:rsid w:val="008D4189"/>
    <w:rsid w:val="008D46D5"/>
    <w:rsid w:val="008D52F0"/>
    <w:rsid w:val="008D5751"/>
    <w:rsid w:val="008D614C"/>
    <w:rsid w:val="008D6264"/>
    <w:rsid w:val="008D7636"/>
    <w:rsid w:val="008D7BB6"/>
    <w:rsid w:val="008E01E6"/>
    <w:rsid w:val="008E0B65"/>
    <w:rsid w:val="008E122D"/>
    <w:rsid w:val="008E1F61"/>
    <w:rsid w:val="008E1FA0"/>
    <w:rsid w:val="008E22BF"/>
    <w:rsid w:val="008E31CD"/>
    <w:rsid w:val="008E4019"/>
    <w:rsid w:val="008E4797"/>
    <w:rsid w:val="008E6182"/>
    <w:rsid w:val="008E6947"/>
    <w:rsid w:val="008E6CA0"/>
    <w:rsid w:val="008E7319"/>
    <w:rsid w:val="008E777B"/>
    <w:rsid w:val="008F05DA"/>
    <w:rsid w:val="008F0663"/>
    <w:rsid w:val="008F0DFF"/>
    <w:rsid w:val="008F14F0"/>
    <w:rsid w:val="008F18C1"/>
    <w:rsid w:val="008F1931"/>
    <w:rsid w:val="008F1B09"/>
    <w:rsid w:val="008F2056"/>
    <w:rsid w:val="008F212B"/>
    <w:rsid w:val="008F25D9"/>
    <w:rsid w:val="008F3EFC"/>
    <w:rsid w:val="008F405E"/>
    <w:rsid w:val="008F488F"/>
    <w:rsid w:val="008F4F6F"/>
    <w:rsid w:val="008F4F7A"/>
    <w:rsid w:val="008F4FCA"/>
    <w:rsid w:val="008F51E5"/>
    <w:rsid w:val="008F5DF5"/>
    <w:rsid w:val="008F688D"/>
    <w:rsid w:val="008F6C5C"/>
    <w:rsid w:val="008F6ED9"/>
    <w:rsid w:val="008F79ED"/>
    <w:rsid w:val="008F7BBE"/>
    <w:rsid w:val="00900A8A"/>
    <w:rsid w:val="00901506"/>
    <w:rsid w:val="00901D60"/>
    <w:rsid w:val="00902185"/>
    <w:rsid w:val="009024B8"/>
    <w:rsid w:val="0090280D"/>
    <w:rsid w:val="00902916"/>
    <w:rsid w:val="00903CF3"/>
    <w:rsid w:val="0090617A"/>
    <w:rsid w:val="00906901"/>
    <w:rsid w:val="00910451"/>
    <w:rsid w:val="009104FE"/>
    <w:rsid w:val="00910820"/>
    <w:rsid w:val="0091110F"/>
    <w:rsid w:val="00911611"/>
    <w:rsid w:val="009136CF"/>
    <w:rsid w:val="009137D6"/>
    <w:rsid w:val="009140C6"/>
    <w:rsid w:val="009142D4"/>
    <w:rsid w:val="00914934"/>
    <w:rsid w:val="00914AA9"/>
    <w:rsid w:val="00914DA7"/>
    <w:rsid w:val="00914ED4"/>
    <w:rsid w:val="0091537D"/>
    <w:rsid w:val="0091572A"/>
    <w:rsid w:val="009158A6"/>
    <w:rsid w:val="00915E52"/>
    <w:rsid w:val="0091782F"/>
    <w:rsid w:val="0091784F"/>
    <w:rsid w:val="00920DC2"/>
    <w:rsid w:val="00921361"/>
    <w:rsid w:val="0092154D"/>
    <w:rsid w:val="0092205F"/>
    <w:rsid w:val="00922D77"/>
    <w:rsid w:val="00923931"/>
    <w:rsid w:val="009239C2"/>
    <w:rsid w:val="00923EF8"/>
    <w:rsid w:val="00923F7A"/>
    <w:rsid w:val="00924627"/>
    <w:rsid w:val="009252D9"/>
    <w:rsid w:val="0092575D"/>
    <w:rsid w:val="00925980"/>
    <w:rsid w:val="00925B1F"/>
    <w:rsid w:val="00925B76"/>
    <w:rsid w:val="00926276"/>
    <w:rsid w:val="009265E3"/>
    <w:rsid w:val="00927B07"/>
    <w:rsid w:val="00927FDE"/>
    <w:rsid w:val="009304FD"/>
    <w:rsid w:val="00931E02"/>
    <w:rsid w:val="00932930"/>
    <w:rsid w:val="00932B4E"/>
    <w:rsid w:val="00933335"/>
    <w:rsid w:val="009351B0"/>
    <w:rsid w:val="0093544E"/>
    <w:rsid w:val="00936AF7"/>
    <w:rsid w:val="00936E1C"/>
    <w:rsid w:val="0093763E"/>
    <w:rsid w:val="009403C1"/>
    <w:rsid w:val="009403D8"/>
    <w:rsid w:val="009405F0"/>
    <w:rsid w:val="00940D11"/>
    <w:rsid w:val="0094108A"/>
    <w:rsid w:val="009419A8"/>
    <w:rsid w:val="009419DB"/>
    <w:rsid w:val="00941B2E"/>
    <w:rsid w:val="00941BA8"/>
    <w:rsid w:val="00941DE1"/>
    <w:rsid w:val="0094223F"/>
    <w:rsid w:val="00942376"/>
    <w:rsid w:val="00942937"/>
    <w:rsid w:val="00942CF9"/>
    <w:rsid w:val="00943CBE"/>
    <w:rsid w:val="0094407C"/>
    <w:rsid w:val="00944143"/>
    <w:rsid w:val="00944339"/>
    <w:rsid w:val="009466B3"/>
    <w:rsid w:val="009468C1"/>
    <w:rsid w:val="00946CC6"/>
    <w:rsid w:val="0095066B"/>
    <w:rsid w:val="00950AF7"/>
    <w:rsid w:val="00952732"/>
    <w:rsid w:val="00952A05"/>
    <w:rsid w:val="00952E82"/>
    <w:rsid w:val="00953047"/>
    <w:rsid w:val="00953490"/>
    <w:rsid w:val="0095375D"/>
    <w:rsid w:val="00953835"/>
    <w:rsid w:val="00953935"/>
    <w:rsid w:val="0095497B"/>
    <w:rsid w:val="00954E0D"/>
    <w:rsid w:val="00956080"/>
    <w:rsid w:val="00957686"/>
    <w:rsid w:val="00957AD1"/>
    <w:rsid w:val="00960435"/>
    <w:rsid w:val="009607FD"/>
    <w:rsid w:val="009613C5"/>
    <w:rsid w:val="009619F9"/>
    <w:rsid w:val="00961EF8"/>
    <w:rsid w:val="009621B1"/>
    <w:rsid w:val="009622AC"/>
    <w:rsid w:val="0096265B"/>
    <w:rsid w:val="00963284"/>
    <w:rsid w:val="009632ED"/>
    <w:rsid w:val="0096461C"/>
    <w:rsid w:val="00964B28"/>
    <w:rsid w:val="00966411"/>
    <w:rsid w:val="0096716F"/>
    <w:rsid w:val="00967E1C"/>
    <w:rsid w:val="00971473"/>
    <w:rsid w:val="00971C78"/>
    <w:rsid w:val="009722F4"/>
    <w:rsid w:val="0097277B"/>
    <w:rsid w:val="00972861"/>
    <w:rsid w:val="00972D98"/>
    <w:rsid w:val="00973080"/>
    <w:rsid w:val="009730C9"/>
    <w:rsid w:val="00973D59"/>
    <w:rsid w:val="00974420"/>
    <w:rsid w:val="00974AB5"/>
    <w:rsid w:val="009755D8"/>
    <w:rsid w:val="009764C3"/>
    <w:rsid w:val="00976652"/>
    <w:rsid w:val="00976787"/>
    <w:rsid w:val="00976BB3"/>
    <w:rsid w:val="00976C17"/>
    <w:rsid w:val="00976CD7"/>
    <w:rsid w:val="0097766C"/>
    <w:rsid w:val="00977B4F"/>
    <w:rsid w:val="00977B64"/>
    <w:rsid w:val="00977CBA"/>
    <w:rsid w:val="00977E69"/>
    <w:rsid w:val="009803BD"/>
    <w:rsid w:val="00980451"/>
    <w:rsid w:val="00980A33"/>
    <w:rsid w:val="00980D54"/>
    <w:rsid w:val="00981354"/>
    <w:rsid w:val="009827C4"/>
    <w:rsid w:val="00982C42"/>
    <w:rsid w:val="00982FEE"/>
    <w:rsid w:val="00983863"/>
    <w:rsid w:val="00984297"/>
    <w:rsid w:val="00984338"/>
    <w:rsid w:val="00984453"/>
    <w:rsid w:val="00984BD0"/>
    <w:rsid w:val="00984D3C"/>
    <w:rsid w:val="00984F5F"/>
    <w:rsid w:val="009868E6"/>
    <w:rsid w:val="009874F6"/>
    <w:rsid w:val="00987BEF"/>
    <w:rsid w:val="009915A2"/>
    <w:rsid w:val="009918BF"/>
    <w:rsid w:val="0099226C"/>
    <w:rsid w:val="0099266A"/>
    <w:rsid w:val="00993BBD"/>
    <w:rsid w:val="00993F31"/>
    <w:rsid w:val="00995D60"/>
    <w:rsid w:val="0099646A"/>
    <w:rsid w:val="00996AFE"/>
    <w:rsid w:val="00997E86"/>
    <w:rsid w:val="009A054D"/>
    <w:rsid w:val="009A20EB"/>
    <w:rsid w:val="009A227E"/>
    <w:rsid w:val="009A22E9"/>
    <w:rsid w:val="009A33D2"/>
    <w:rsid w:val="009A35D1"/>
    <w:rsid w:val="009A3AA9"/>
    <w:rsid w:val="009A3ED9"/>
    <w:rsid w:val="009A3FDD"/>
    <w:rsid w:val="009A49F1"/>
    <w:rsid w:val="009A4B68"/>
    <w:rsid w:val="009A552F"/>
    <w:rsid w:val="009A610F"/>
    <w:rsid w:val="009A6A20"/>
    <w:rsid w:val="009A6F0A"/>
    <w:rsid w:val="009A797B"/>
    <w:rsid w:val="009A79BC"/>
    <w:rsid w:val="009A7CBB"/>
    <w:rsid w:val="009B0180"/>
    <w:rsid w:val="009B03DE"/>
    <w:rsid w:val="009B0EFC"/>
    <w:rsid w:val="009B12F7"/>
    <w:rsid w:val="009B2701"/>
    <w:rsid w:val="009B34D5"/>
    <w:rsid w:val="009B4A56"/>
    <w:rsid w:val="009B516F"/>
    <w:rsid w:val="009B6444"/>
    <w:rsid w:val="009B712C"/>
    <w:rsid w:val="009B7DD9"/>
    <w:rsid w:val="009C147B"/>
    <w:rsid w:val="009C17DF"/>
    <w:rsid w:val="009C2FA8"/>
    <w:rsid w:val="009C36BE"/>
    <w:rsid w:val="009C4955"/>
    <w:rsid w:val="009C5079"/>
    <w:rsid w:val="009C518E"/>
    <w:rsid w:val="009C5512"/>
    <w:rsid w:val="009C5911"/>
    <w:rsid w:val="009C5D10"/>
    <w:rsid w:val="009C5EF9"/>
    <w:rsid w:val="009C6580"/>
    <w:rsid w:val="009C6E2E"/>
    <w:rsid w:val="009C70AA"/>
    <w:rsid w:val="009C7292"/>
    <w:rsid w:val="009C7B64"/>
    <w:rsid w:val="009C7DAC"/>
    <w:rsid w:val="009D0350"/>
    <w:rsid w:val="009D084D"/>
    <w:rsid w:val="009D112D"/>
    <w:rsid w:val="009D1DCB"/>
    <w:rsid w:val="009D2E6F"/>
    <w:rsid w:val="009D3280"/>
    <w:rsid w:val="009D450F"/>
    <w:rsid w:val="009D4C83"/>
    <w:rsid w:val="009D53AE"/>
    <w:rsid w:val="009D6112"/>
    <w:rsid w:val="009D76A3"/>
    <w:rsid w:val="009D7924"/>
    <w:rsid w:val="009E0DC6"/>
    <w:rsid w:val="009E18C3"/>
    <w:rsid w:val="009E30FB"/>
    <w:rsid w:val="009E3621"/>
    <w:rsid w:val="009E471B"/>
    <w:rsid w:val="009E5265"/>
    <w:rsid w:val="009E5424"/>
    <w:rsid w:val="009E568D"/>
    <w:rsid w:val="009E589A"/>
    <w:rsid w:val="009E6CAA"/>
    <w:rsid w:val="009E727F"/>
    <w:rsid w:val="009E739C"/>
    <w:rsid w:val="009E78B3"/>
    <w:rsid w:val="009E7E98"/>
    <w:rsid w:val="009F00CE"/>
    <w:rsid w:val="009F013B"/>
    <w:rsid w:val="009F0730"/>
    <w:rsid w:val="009F1B29"/>
    <w:rsid w:val="009F20C7"/>
    <w:rsid w:val="009F37A8"/>
    <w:rsid w:val="009F3DCF"/>
    <w:rsid w:val="009F48F5"/>
    <w:rsid w:val="009F4CAF"/>
    <w:rsid w:val="009F6105"/>
    <w:rsid w:val="009F61AC"/>
    <w:rsid w:val="009F61D0"/>
    <w:rsid w:val="009F6C4B"/>
    <w:rsid w:val="009F770B"/>
    <w:rsid w:val="009F7F9C"/>
    <w:rsid w:val="00A00A57"/>
    <w:rsid w:val="00A00F4A"/>
    <w:rsid w:val="00A01305"/>
    <w:rsid w:val="00A015ED"/>
    <w:rsid w:val="00A01BA4"/>
    <w:rsid w:val="00A01D17"/>
    <w:rsid w:val="00A0207F"/>
    <w:rsid w:val="00A02160"/>
    <w:rsid w:val="00A02598"/>
    <w:rsid w:val="00A02848"/>
    <w:rsid w:val="00A02C44"/>
    <w:rsid w:val="00A03366"/>
    <w:rsid w:val="00A03A6E"/>
    <w:rsid w:val="00A05D05"/>
    <w:rsid w:val="00A06C0E"/>
    <w:rsid w:val="00A07DFA"/>
    <w:rsid w:val="00A07FD0"/>
    <w:rsid w:val="00A107BC"/>
    <w:rsid w:val="00A10B21"/>
    <w:rsid w:val="00A11F36"/>
    <w:rsid w:val="00A12040"/>
    <w:rsid w:val="00A1246C"/>
    <w:rsid w:val="00A14702"/>
    <w:rsid w:val="00A14A9F"/>
    <w:rsid w:val="00A14F59"/>
    <w:rsid w:val="00A1601F"/>
    <w:rsid w:val="00A1684D"/>
    <w:rsid w:val="00A16CD0"/>
    <w:rsid w:val="00A17865"/>
    <w:rsid w:val="00A17DAD"/>
    <w:rsid w:val="00A208F3"/>
    <w:rsid w:val="00A2109C"/>
    <w:rsid w:val="00A21163"/>
    <w:rsid w:val="00A2117D"/>
    <w:rsid w:val="00A2196A"/>
    <w:rsid w:val="00A21AB2"/>
    <w:rsid w:val="00A21AE1"/>
    <w:rsid w:val="00A21B45"/>
    <w:rsid w:val="00A231B0"/>
    <w:rsid w:val="00A2352D"/>
    <w:rsid w:val="00A23A4D"/>
    <w:rsid w:val="00A24CDB"/>
    <w:rsid w:val="00A25EB8"/>
    <w:rsid w:val="00A2701F"/>
    <w:rsid w:val="00A2706C"/>
    <w:rsid w:val="00A27589"/>
    <w:rsid w:val="00A27711"/>
    <w:rsid w:val="00A30106"/>
    <w:rsid w:val="00A30736"/>
    <w:rsid w:val="00A30839"/>
    <w:rsid w:val="00A30B79"/>
    <w:rsid w:val="00A31D47"/>
    <w:rsid w:val="00A31EC5"/>
    <w:rsid w:val="00A329F8"/>
    <w:rsid w:val="00A33399"/>
    <w:rsid w:val="00A33D16"/>
    <w:rsid w:val="00A34518"/>
    <w:rsid w:val="00A348A8"/>
    <w:rsid w:val="00A35B3F"/>
    <w:rsid w:val="00A35F9D"/>
    <w:rsid w:val="00A366DB"/>
    <w:rsid w:val="00A36A11"/>
    <w:rsid w:val="00A374EE"/>
    <w:rsid w:val="00A37AE8"/>
    <w:rsid w:val="00A37D2B"/>
    <w:rsid w:val="00A4190B"/>
    <w:rsid w:val="00A42A8E"/>
    <w:rsid w:val="00A42BA5"/>
    <w:rsid w:val="00A4320F"/>
    <w:rsid w:val="00A43507"/>
    <w:rsid w:val="00A437BB"/>
    <w:rsid w:val="00A43F05"/>
    <w:rsid w:val="00A4414B"/>
    <w:rsid w:val="00A44CCE"/>
    <w:rsid w:val="00A44D1C"/>
    <w:rsid w:val="00A467F2"/>
    <w:rsid w:val="00A46BF1"/>
    <w:rsid w:val="00A471E5"/>
    <w:rsid w:val="00A47C35"/>
    <w:rsid w:val="00A51F60"/>
    <w:rsid w:val="00A52103"/>
    <w:rsid w:val="00A5230D"/>
    <w:rsid w:val="00A5282B"/>
    <w:rsid w:val="00A52A44"/>
    <w:rsid w:val="00A53ECA"/>
    <w:rsid w:val="00A554BF"/>
    <w:rsid w:val="00A56402"/>
    <w:rsid w:val="00A568F2"/>
    <w:rsid w:val="00A57184"/>
    <w:rsid w:val="00A604B2"/>
    <w:rsid w:val="00A616F5"/>
    <w:rsid w:val="00A619AD"/>
    <w:rsid w:val="00A61EF5"/>
    <w:rsid w:val="00A62052"/>
    <w:rsid w:val="00A62110"/>
    <w:rsid w:val="00A62C7B"/>
    <w:rsid w:val="00A62D43"/>
    <w:rsid w:val="00A63155"/>
    <w:rsid w:val="00A637CF"/>
    <w:rsid w:val="00A63FA1"/>
    <w:rsid w:val="00A6442B"/>
    <w:rsid w:val="00A64D23"/>
    <w:rsid w:val="00A656D7"/>
    <w:rsid w:val="00A6599F"/>
    <w:rsid w:val="00A65B7F"/>
    <w:rsid w:val="00A65E9F"/>
    <w:rsid w:val="00A66BF5"/>
    <w:rsid w:val="00A67586"/>
    <w:rsid w:val="00A67858"/>
    <w:rsid w:val="00A70C5C"/>
    <w:rsid w:val="00A70CE9"/>
    <w:rsid w:val="00A718E1"/>
    <w:rsid w:val="00A719C9"/>
    <w:rsid w:val="00A729CB"/>
    <w:rsid w:val="00A73640"/>
    <w:rsid w:val="00A73695"/>
    <w:rsid w:val="00A73719"/>
    <w:rsid w:val="00A73F6D"/>
    <w:rsid w:val="00A740DC"/>
    <w:rsid w:val="00A7445D"/>
    <w:rsid w:val="00A746ED"/>
    <w:rsid w:val="00A75374"/>
    <w:rsid w:val="00A758E6"/>
    <w:rsid w:val="00A76CF0"/>
    <w:rsid w:val="00A809FF"/>
    <w:rsid w:val="00A80E6B"/>
    <w:rsid w:val="00A8130B"/>
    <w:rsid w:val="00A81BEA"/>
    <w:rsid w:val="00A82A90"/>
    <w:rsid w:val="00A82BFB"/>
    <w:rsid w:val="00A83117"/>
    <w:rsid w:val="00A83123"/>
    <w:rsid w:val="00A83862"/>
    <w:rsid w:val="00A83989"/>
    <w:rsid w:val="00A84E6E"/>
    <w:rsid w:val="00A85D8B"/>
    <w:rsid w:val="00A860B0"/>
    <w:rsid w:val="00A86688"/>
    <w:rsid w:val="00A86699"/>
    <w:rsid w:val="00A86A09"/>
    <w:rsid w:val="00A86DFC"/>
    <w:rsid w:val="00A8722D"/>
    <w:rsid w:val="00A878D6"/>
    <w:rsid w:val="00A879EF"/>
    <w:rsid w:val="00A9038A"/>
    <w:rsid w:val="00A90578"/>
    <w:rsid w:val="00A906F4"/>
    <w:rsid w:val="00A9072D"/>
    <w:rsid w:val="00A90ABC"/>
    <w:rsid w:val="00A90B9B"/>
    <w:rsid w:val="00A91E93"/>
    <w:rsid w:val="00A921BB"/>
    <w:rsid w:val="00A92623"/>
    <w:rsid w:val="00A928C4"/>
    <w:rsid w:val="00A92F10"/>
    <w:rsid w:val="00A935CD"/>
    <w:rsid w:val="00A93C55"/>
    <w:rsid w:val="00A9428C"/>
    <w:rsid w:val="00A942A1"/>
    <w:rsid w:val="00A9471C"/>
    <w:rsid w:val="00A94873"/>
    <w:rsid w:val="00A94B14"/>
    <w:rsid w:val="00A958B0"/>
    <w:rsid w:val="00A95ECB"/>
    <w:rsid w:val="00A95F67"/>
    <w:rsid w:val="00A96189"/>
    <w:rsid w:val="00A96831"/>
    <w:rsid w:val="00A96A91"/>
    <w:rsid w:val="00A96F2A"/>
    <w:rsid w:val="00A975AE"/>
    <w:rsid w:val="00A97B94"/>
    <w:rsid w:val="00AA089C"/>
    <w:rsid w:val="00AA0A5E"/>
    <w:rsid w:val="00AA0BD4"/>
    <w:rsid w:val="00AA0E54"/>
    <w:rsid w:val="00AA30F5"/>
    <w:rsid w:val="00AA3CA2"/>
    <w:rsid w:val="00AA4A3C"/>
    <w:rsid w:val="00AA4B99"/>
    <w:rsid w:val="00AA6926"/>
    <w:rsid w:val="00AA6DCB"/>
    <w:rsid w:val="00AA6E65"/>
    <w:rsid w:val="00AA6E95"/>
    <w:rsid w:val="00AA7265"/>
    <w:rsid w:val="00AB0709"/>
    <w:rsid w:val="00AB0944"/>
    <w:rsid w:val="00AB0D08"/>
    <w:rsid w:val="00AB10CF"/>
    <w:rsid w:val="00AB1272"/>
    <w:rsid w:val="00AB1825"/>
    <w:rsid w:val="00AB1C5D"/>
    <w:rsid w:val="00AB262D"/>
    <w:rsid w:val="00AB2C20"/>
    <w:rsid w:val="00AB30CD"/>
    <w:rsid w:val="00AB34B2"/>
    <w:rsid w:val="00AB3BDD"/>
    <w:rsid w:val="00AB4CD5"/>
    <w:rsid w:val="00AB5D90"/>
    <w:rsid w:val="00AB5FCF"/>
    <w:rsid w:val="00AB65B8"/>
    <w:rsid w:val="00AC0925"/>
    <w:rsid w:val="00AC1304"/>
    <w:rsid w:val="00AC137D"/>
    <w:rsid w:val="00AC1E3F"/>
    <w:rsid w:val="00AC2010"/>
    <w:rsid w:val="00AC5326"/>
    <w:rsid w:val="00AC5E0D"/>
    <w:rsid w:val="00AC644A"/>
    <w:rsid w:val="00AC714B"/>
    <w:rsid w:val="00AC7224"/>
    <w:rsid w:val="00AC7B98"/>
    <w:rsid w:val="00AC7C80"/>
    <w:rsid w:val="00AD1A02"/>
    <w:rsid w:val="00AD2DE4"/>
    <w:rsid w:val="00AD50C0"/>
    <w:rsid w:val="00AD51BA"/>
    <w:rsid w:val="00AD6191"/>
    <w:rsid w:val="00AD705B"/>
    <w:rsid w:val="00AD765B"/>
    <w:rsid w:val="00AD7BD1"/>
    <w:rsid w:val="00AE157C"/>
    <w:rsid w:val="00AE1757"/>
    <w:rsid w:val="00AE2985"/>
    <w:rsid w:val="00AE387A"/>
    <w:rsid w:val="00AE4136"/>
    <w:rsid w:val="00AE41AE"/>
    <w:rsid w:val="00AE4782"/>
    <w:rsid w:val="00AE4F9E"/>
    <w:rsid w:val="00AE5386"/>
    <w:rsid w:val="00AE54AE"/>
    <w:rsid w:val="00AE5581"/>
    <w:rsid w:val="00AE67F8"/>
    <w:rsid w:val="00AE6EEE"/>
    <w:rsid w:val="00AE7A71"/>
    <w:rsid w:val="00AE7C0F"/>
    <w:rsid w:val="00AF0783"/>
    <w:rsid w:val="00AF09BB"/>
    <w:rsid w:val="00AF149B"/>
    <w:rsid w:val="00AF1E38"/>
    <w:rsid w:val="00AF1E50"/>
    <w:rsid w:val="00AF253B"/>
    <w:rsid w:val="00AF2A27"/>
    <w:rsid w:val="00AF3F0A"/>
    <w:rsid w:val="00AF411F"/>
    <w:rsid w:val="00AF4C68"/>
    <w:rsid w:val="00AF4DCB"/>
    <w:rsid w:val="00AF51E4"/>
    <w:rsid w:val="00AF5E02"/>
    <w:rsid w:val="00AF643A"/>
    <w:rsid w:val="00AF659F"/>
    <w:rsid w:val="00AF6C93"/>
    <w:rsid w:val="00AF6DA5"/>
    <w:rsid w:val="00AF7AF9"/>
    <w:rsid w:val="00AF7EF8"/>
    <w:rsid w:val="00B00294"/>
    <w:rsid w:val="00B0038B"/>
    <w:rsid w:val="00B008AE"/>
    <w:rsid w:val="00B01EBF"/>
    <w:rsid w:val="00B02872"/>
    <w:rsid w:val="00B02E49"/>
    <w:rsid w:val="00B02EEB"/>
    <w:rsid w:val="00B034A7"/>
    <w:rsid w:val="00B03742"/>
    <w:rsid w:val="00B03999"/>
    <w:rsid w:val="00B04F9E"/>
    <w:rsid w:val="00B05644"/>
    <w:rsid w:val="00B05BA6"/>
    <w:rsid w:val="00B06FB3"/>
    <w:rsid w:val="00B07289"/>
    <w:rsid w:val="00B104C8"/>
    <w:rsid w:val="00B112B3"/>
    <w:rsid w:val="00B1131E"/>
    <w:rsid w:val="00B117B4"/>
    <w:rsid w:val="00B123B1"/>
    <w:rsid w:val="00B13066"/>
    <w:rsid w:val="00B1332A"/>
    <w:rsid w:val="00B14609"/>
    <w:rsid w:val="00B14EF5"/>
    <w:rsid w:val="00B1602E"/>
    <w:rsid w:val="00B176B2"/>
    <w:rsid w:val="00B17FCE"/>
    <w:rsid w:val="00B2038C"/>
    <w:rsid w:val="00B205F1"/>
    <w:rsid w:val="00B20C0E"/>
    <w:rsid w:val="00B210D0"/>
    <w:rsid w:val="00B2120A"/>
    <w:rsid w:val="00B21293"/>
    <w:rsid w:val="00B219DC"/>
    <w:rsid w:val="00B228A4"/>
    <w:rsid w:val="00B22C99"/>
    <w:rsid w:val="00B2307D"/>
    <w:rsid w:val="00B234C6"/>
    <w:rsid w:val="00B234F6"/>
    <w:rsid w:val="00B23E00"/>
    <w:rsid w:val="00B24147"/>
    <w:rsid w:val="00B24B3C"/>
    <w:rsid w:val="00B24F2A"/>
    <w:rsid w:val="00B250E9"/>
    <w:rsid w:val="00B253BE"/>
    <w:rsid w:val="00B25625"/>
    <w:rsid w:val="00B26FD0"/>
    <w:rsid w:val="00B279EA"/>
    <w:rsid w:val="00B27D63"/>
    <w:rsid w:val="00B30D9A"/>
    <w:rsid w:val="00B30EE2"/>
    <w:rsid w:val="00B31A30"/>
    <w:rsid w:val="00B32310"/>
    <w:rsid w:val="00B325FB"/>
    <w:rsid w:val="00B32988"/>
    <w:rsid w:val="00B3313D"/>
    <w:rsid w:val="00B337B4"/>
    <w:rsid w:val="00B341CB"/>
    <w:rsid w:val="00B343B8"/>
    <w:rsid w:val="00B345E3"/>
    <w:rsid w:val="00B36009"/>
    <w:rsid w:val="00B363F3"/>
    <w:rsid w:val="00B3650F"/>
    <w:rsid w:val="00B3783C"/>
    <w:rsid w:val="00B379A5"/>
    <w:rsid w:val="00B37ADC"/>
    <w:rsid w:val="00B37FED"/>
    <w:rsid w:val="00B415B1"/>
    <w:rsid w:val="00B417FC"/>
    <w:rsid w:val="00B41D05"/>
    <w:rsid w:val="00B42083"/>
    <w:rsid w:val="00B42140"/>
    <w:rsid w:val="00B42589"/>
    <w:rsid w:val="00B43023"/>
    <w:rsid w:val="00B431B9"/>
    <w:rsid w:val="00B4331F"/>
    <w:rsid w:val="00B449B0"/>
    <w:rsid w:val="00B45E90"/>
    <w:rsid w:val="00B47138"/>
    <w:rsid w:val="00B4714D"/>
    <w:rsid w:val="00B50514"/>
    <w:rsid w:val="00B506A3"/>
    <w:rsid w:val="00B5131C"/>
    <w:rsid w:val="00B5140D"/>
    <w:rsid w:val="00B52A82"/>
    <w:rsid w:val="00B52E09"/>
    <w:rsid w:val="00B53014"/>
    <w:rsid w:val="00B531F9"/>
    <w:rsid w:val="00B5432C"/>
    <w:rsid w:val="00B543E4"/>
    <w:rsid w:val="00B554CE"/>
    <w:rsid w:val="00B576A0"/>
    <w:rsid w:val="00B578F3"/>
    <w:rsid w:val="00B57E8A"/>
    <w:rsid w:val="00B61106"/>
    <w:rsid w:val="00B62A05"/>
    <w:rsid w:val="00B62DA4"/>
    <w:rsid w:val="00B62F1B"/>
    <w:rsid w:val="00B63173"/>
    <w:rsid w:val="00B63436"/>
    <w:rsid w:val="00B634DC"/>
    <w:rsid w:val="00B6382A"/>
    <w:rsid w:val="00B63FF4"/>
    <w:rsid w:val="00B65168"/>
    <w:rsid w:val="00B65494"/>
    <w:rsid w:val="00B65570"/>
    <w:rsid w:val="00B669FF"/>
    <w:rsid w:val="00B66BF3"/>
    <w:rsid w:val="00B67A24"/>
    <w:rsid w:val="00B707AD"/>
    <w:rsid w:val="00B70840"/>
    <w:rsid w:val="00B7111B"/>
    <w:rsid w:val="00B72214"/>
    <w:rsid w:val="00B738B0"/>
    <w:rsid w:val="00B73A4C"/>
    <w:rsid w:val="00B73B24"/>
    <w:rsid w:val="00B73F7F"/>
    <w:rsid w:val="00B744AA"/>
    <w:rsid w:val="00B7462E"/>
    <w:rsid w:val="00B74CC1"/>
    <w:rsid w:val="00B753E4"/>
    <w:rsid w:val="00B75564"/>
    <w:rsid w:val="00B75FCF"/>
    <w:rsid w:val="00B76460"/>
    <w:rsid w:val="00B76C93"/>
    <w:rsid w:val="00B8002A"/>
    <w:rsid w:val="00B80A3E"/>
    <w:rsid w:val="00B811F0"/>
    <w:rsid w:val="00B821EE"/>
    <w:rsid w:val="00B826A4"/>
    <w:rsid w:val="00B83273"/>
    <w:rsid w:val="00B8389A"/>
    <w:rsid w:val="00B841AA"/>
    <w:rsid w:val="00B84CC7"/>
    <w:rsid w:val="00B85961"/>
    <w:rsid w:val="00B866D8"/>
    <w:rsid w:val="00B86A35"/>
    <w:rsid w:val="00B8713C"/>
    <w:rsid w:val="00B873E6"/>
    <w:rsid w:val="00B87B74"/>
    <w:rsid w:val="00B90987"/>
    <w:rsid w:val="00B913C2"/>
    <w:rsid w:val="00B91651"/>
    <w:rsid w:val="00B91FC3"/>
    <w:rsid w:val="00B92B22"/>
    <w:rsid w:val="00B939CF"/>
    <w:rsid w:val="00B94DB6"/>
    <w:rsid w:val="00B95233"/>
    <w:rsid w:val="00B9589B"/>
    <w:rsid w:val="00B958E1"/>
    <w:rsid w:val="00B95FEE"/>
    <w:rsid w:val="00B9678A"/>
    <w:rsid w:val="00B968A6"/>
    <w:rsid w:val="00B97941"/>
    <w:rsid w:val="00B97C84"/>
    <w:rsid w:val="00B97DBB"/>
    <w:rsid w:val="00B97DFA"/>
    <w:rsid w:val="00BA010D"/>
    <w:rsid w:val="00BA093F"/>
    <w:rsid w:val="00BA0990"/>
    <w:rsid w:val="00BA1401"/>
    <w:rsid w:val="00BA2234"/>
    <w:rsid w:val="00BA26A8"/>
    <w:rsid w:val="00BA2BD4"/>
    <w:rsid w:val="00BA3552"/>
    <w:rsid w:val="00BA3A6B"/>
    <w:rsid w:val="00BA4916"/>
    <w:rsid w:val="00BA4B03"/>
    <w:rsid w:val="00BA4C74"/>
    <w:rsid w:val="00BA4CD1"/>
    <w:rsid w:val="00BA52BA"/>
    <w:rsid w:val="00BA5C6F"/>
    <w:rsid w:val="00BA62F6"/>
    <w:rsid w:val="00BA65FA"/>
    <w:rsid w:val="00BA72F0"/>
    <w:rsid w:val="00BB0DEE"/>
    <w:rsid w:val="00BB1C49"/>
    <w:rsid w:val="00BB2B0F"/>
    <w:rsid w:val="00BB2EC0"/>
    <w:rsid w:val="00BB33FB"/>
    <w:rsid w:val="00BB37C3"/>
    <w:rsid w:val="00BB3C20"/>
    <w:rsid w:val="00BB5715"/>
    <w:rsid w:val="00BB5CCD"/>
    <w:rsid w:val="00BB65E3"/>
    <w:rsid w:val="00BB72EA"/>
    <w:rsid w:val="00BC0119"/>
    <w:rsid w:val="00BC0180"/>
    <w:rsid w:val="00BC0977"/>
    <w:rsid w:val="00BC0C26"/>
    <w:rsid w:val="00BC16F3"/>
    <w:rsid w:val="00BC1736"/>
    <w:rsid w:val="00BC2201"/>
    <w:rsid w:val="00BC36F0"/>
    <w:rsid w:val="00BC430D"/>
    <w:rsid w:val="00BC4622"/>
    <w:rsid w:val="00BC4D0D"/>
    <w:rsid w:val="00BC4EE8"/>
    <w:rsid w:val="00BC6791"/>
    <w:rsid w:val="00BC7246"/>
    <w:rsid w:val="00BC771B"/>
    <w:rsid w:val="00BC7C40"/>
    <w:rsid w:val="00BD00F4"/>
    <w:rsid w:val="00BD0B83"/>
    <w:rsid w:val="00BD0FA9"/>
    <w:rsid w:val="00BD1181"/>
    <w:rsid w:val="00BD166D"/>
    <w:rsid w:val="00BD1B83"/>
    <w:rsid w:val="00BD23C4"/>
    <w:rsid w:val="00BD2F58"/>
    <w:rsid w:val="00BD36D4"/>
    <w:rsid w:val="00BD41C5"/>
    <w:rsid w:val="00BD4215"/>
    <w:rsid w:val="00BD4FFF"/>
    <w:rsid w:val="00BD554B"/>
    <w:rsid w:val="00BD58CD"/>
    <w:rsid w:val="00BD5FAD"/>
    <w:rsid w:val="00BD5FF6"/>
    <w:rsid w:val="00BD612C"/>
    <w:rsid w:val="00BD66A4"/>
    <w:rsid w:val="00BD682E"/>
    <w:rsid w:val="00BD6968"/>
    <w:rsid w:val="00BD77D1"/>
    <w:rsid w:val="00BE00D6"/>
    <w:rsid w:val="00BE03A7"/>
    <w:rsid w:val="00BE0546"/>
    <w:rsid w:val="00BE076D"/>
    <w:rsid w:val="00BE1A36"/>
    <w:rsid w:val="00BE201F"/>
    <w:rsid w:val="00BE20F9"/>
    <w:rsid w:val="00BE2260"/>
    <w:rsid w:val="00BE23DA"/>
    <w:rsid w:val="00BE325C"/>
    <w:rsid w:val="00BE3334"/>
    <w:rsid w:val="00BE3E85"/>
    <w:rsid w:val="00BE434D"/>
    <w:rsid w:val="00BE43B0"/>
    <w:rsid w:val="00BE46DC"/>
    <w:rsid w:val="00BE5EE3"/>
    <w:rsid w:val="00BE77DD"/>
    <w:rsid w:val="00BE7DDB"/>
    <w:rsid w:val="00BF0843"/>
    <w:rsid w:val="00BF0C95"/>
    <w:rsid w:val="00BF1985"/>
    <w:rsid w:val="00BF1C93"/>
    <w:rsid w:val="00BF2315"/>
    <w:rsid w:val="00BF4C46"/>
    <w:rsid w:val="00BF4F90"/>
    <w:rsid w:val="00BF5532"/>
    <w:rsid w:val="00BF65E8"/>
    <w:rsid w:val="00BF6B61"/>
    <w:rsid w:val="00BF7BE6"/>
    <w:rsid w:val="00C00579"/>
    <w:rsid w:val="00C00974"/>
    <w:rsid w:val="00C00A08"/>
    <w:rsid w:val="00C00E12"/>
    <w:rsid w:val="00C010ED"/>
    <w:rsid w:val="00C014D4"/>
    <w:rsid w:val="00C0173C"/>
    <w:rsid w:val="00C02FB7"/>
    <w:rsid w:val="00C0321F"/>
    <w:rsid w:val="00C04F22"/>
    <w:rsid w:val="00C05097"/>
    <w:rsid w:val="00C05353"/>
    <w:rsid w:val="00C07A05"/>
    <w:rsid w:val="00C1057D"/>
    <w:rsid w:val="00C106C8"/>
    <w:rsid w:val="00C10F0A"/>
    <w:rsid w:val="00C11B4B"/>
    <w:rsid w:val="00C11FC8"/>
    <w:rsid w:val="00C12173"/>
    <w:rsid w:val="00C13FEA"/>
    <w:rsid w:val="00C1474D"/>
    <w:rsid w:val="00C14AA3"/>
    <w:rsid w:val="00C14FDF"/>
    <w:rsid w:val="00C1533E"/>
    <w:rsid w:val="00C1557E"/>
    <w:rsid w:val="00C15B87"/>
    <w:rsid w:val="00C15F1A"/>
    <w:rsid w:val="00C164F1"/>
    <w:rsid w:val="00C1694D"/>
    <w:rsid w:val="00C17380"/>
    <w:rsid w:val="00C174F8"/>
    <w:rsid w:val="00C17AC5"/>
    <w:rsid w:val="00C17C69"/>
    <w:rsid w:val="00C20C79"/>
    <w:rsid w:val="00C20E25"/>
    <w:rsid w:val="00C210A5"/>
    <w:rsid w:val="00C2112E"/>
    <w:rsid w:val="00C217AC"/>
    <w:rsid w:val="00C21D7F"/>
    <w:rsid w:val="00C22FA9"/>
    <w:rsid w:val="00C23D63"/>
    <w:rsid w:val="00C24216"/>
    <w:rsid w:val="00C24914"/>
    <w:rsid w:val="00C2506F"/>
    <w:rsid w:val="00C2542D"/>
    <w:rsid w:val="00C259AE"/>
    <w:rsid w:val="00C267EF"/>
    <w:rsid w:val="00C26DD9"/>
    <w:rsid w:val="00C26EF9"/>
    <w:rsid w:val="00C27704"/>
    <w:rsid w:val="00C27B8C"/>
    <w:rsid w:val="00C27BAA"/>
    <w:rsid w:val="00C30387"/>
    <w:rsid w:val="00C30817"/>
    <w:rsid w:val="00C30B42"/>
    <w:rsid w:val="00C31328"/>
    <w:rsid w:val="00C326EC"/>
    <w:rsid w:val="00C32AF6"/>
    <w:rsid w:val="00C32D8B"/>
    <w:rsid w:val="00C32DA3"/>
    <w:rsid w:val="00C32E74"/>
    <w:rsid w:val="00C332CC"/>
    <w:rsid w:val="00C33D05"/>
    <w:rsid w:val="00C342B4"/>
    <w:rsid w:val="00C34832"/>
    <w:rsid w:val="00C34951"/>
    <w:rsid w:val="00C34B73"/>
    <w:rsid w:val="00C359CD"/>
    <w:rsid w:val="00C370F8"/>
    <w:rsid w:val="00C37617"/>
    <w:rsid w:val="00C37765"/>
    <w:rsid w:val="00C37F25"/>
    <w:rsid w:val="00C37F6C"/>
    <w:rsid w:val="00C40B18"/>
    <w:rsid w:val="00C419C8"/>
    <w:rsid w:val="00C4247E"/>
    <w:rsid w:val="00C43202"/>
    <w:rsid w:val="00C43FFD"/>
    <w:rsid w:val="00C4454A"/>
    <w:rsid w:val="00C44C3D"/>
    <w:rsid w:val="00C46051"/>
    <w:rsid w:val="00C462D6"/>
    <w:rsid w:val="00C46AF6"/>
    <w:rsid w:val="00C507E6"/>
    <w:rsid w:val="00C516E6"/>
    <w:rsid w:val="00C517BE"/>
    <w:rsid w:val="00C519FE"/>
    <w:rsid w:val="00C51A76"/>
    <w:rsid w:val="00C51D5B"/>
    <w:rsid w:val="00C52162"/>
    <w:rsid w:val="00C52A8E"/>
    <w:rsid w:val="00C52D4C"/>
    <w:rsid w:val="00C5393C"/>
    <w:rsid w:val="00C542DD"/>
    <w:rsid w:val="00C54302"/>
    <w:rsid w:val="00C54315"/>
    <w:rsid w:val="00C54E6D"/>
    <w:rsid w:val="00C5512C"/>
    <w:rsid w:val="00C55597"/>
    <w:rsid w:val="00C55DE7"/>
    <w:rsid w:val="00C56159"/>
    <w:rsid w:val="00C56799"/>
    <w:rsid w:val="00C56881"/>
    <w:rsid w:val="00C568C5"/>
    <w:rsid w:val="00C5719F"/>
    <w:rsid w:val="00C60B5C"/>
    <w:rsid w:val="00C618C7"/>
    <w:rsid w:val="00C63183"/>
    <w:rsid w:val="00C63429"/>
    <w:rsid w:val="00C6364E"/>
    <w:rsid w:val="00C64056"/>
    <w:rsid w:val="00C64E3F"/>
    <w:rsid w:val="00C6530C"/>
    <w:rsid w:val="00C656DF"/>
    <w:rsid w:val="00C66A55"/>
    <w:rsid w:val="00C66EEB"/>
    <w:rsid w:val="00C66F15"/>
    <w:rsid w:val="00C66FD4"/>
    <w:rsid w:val="00C67770"/>
    <w:rsid w:val="00C67A84"/>
    <w:rsid w:val="00C704CA"/>
    <w:rsid w:val="00C734F7"/>
    <w:rsid w:val="00C7365E"/>
    <w:rsid w:val="00C73827"/>
    <w:rsid w:val="00C741F8"/>
    <w:rsid w:val="00C74BCE"/>
    <w:rsid w:val="00C7609F"/>
    <w:rsid w:val="00C764F2"/>
    <w:rsid w:val="00C76854"/>
    <w:rsid w:val="00C7721B"/>
    <w:rsid w:val="00C77294"/>
    <w:rsid w:val="00C7736D"/>
    <w:rsid w:val="00C77579"/>
    <w:rsid w:val="00C77997"/>
    <w:rsid w:val="00C804F4"/>
    <w:rsid w:val="00C811B8"/>
    <w:rsid w:val="00C81E8F"/>
    <w:rsid w:val="00C82259"/>
    <w:rsid w:val="00C82A99"/>
    <w:rsid w:val="00C82FCD"/>
    <w:rsid w:val="00C83A1E"/>
    <w:rsid w:val="00C84548"/>
    <w:rsid w:val="00C84577"/>
    <w:rsid w:val="00C84894"/>
    <w:rsid w:val="00C84CF3"/>
    <w:rsid w:val="00C84E80"/>
    <w:rsid w:val="00C85D0C"/>
    <w:rsid w:val="00C85D33"/>
    <w:rsid w:val="00C862FC"/>
    <w:rsid w:val="00C86362"/>
    <w:rsid w:val="00C86418"/>
    <w:rsid w:val="00C864CF"/>
    <w:rsid w:val="00C8672E"/>
    <w:rsid w:val="00C8706D"/>
    <w:rsid w:val="00C87612"/>
    <w:rsid w:val="00C87AD2"/>
    <w:rsid w:val="00C9066F"/>
    <w:rsid w:val="00C90D27"/>
    <w:rsid w:val="00C91123"/>
    <w:rsid w:val="00C921E3"/>
    <w:rsid w:val="00C92830"/>
    <w:rsid w:val="00C92B20"/>
    <w:rsid w:val="00C92B61"/>
    <w:rsid w:val="00C92E2F"/>
    <w:rsid w:val="00C93011"/>
    <w:rsid w:val="00C932E4"/>
    <w:rsid w:val="00C93726"/>
    <w:rsid w:val="00C937C3"/>
    <w:rsid w:val="00C93BB6"/>
    <w:rsid w:val="00C941DA"/>
    <w:rsid w:val="00C94FA1"/>
    <w:rsid w:val="00C95E07"/>
    <w:rsid w:val="00C979D3"/>
    <w:rsid w:val="00CA03DC"/>
    <w:rsid w:val="00CA1DF9"/>
    <w:rsid w:val="00CA2069"/>
    <w:rsid w:val="00CA2355"/>
    <w:rsid w:val="00CA23F2"/>
    <w:rsid w:val="00CA38C1"/>
    <w:rsid w:val="00CA3FDF"/>
    <w:rsid w:val="00CA4C92"/>
    <w:rsid w:val="00CA4F42"/>
    <w:rsid w:val="00CA551B"/>
    <w:rsid w:val="00CA5AEA"/>
    <w:rsid w:val="00CA5D64"/>
    <w:rsid w:val="00CA6033"/>
    <w:rsid w:val="00CA61D7"/>
    <w:rsid w:val="00CA6332"/>
    <w:rsid w:val="00CA63DD"/>
    <w:rsid w:val="00CA7272"/>
    <w:rsid w:val="00CA72AF"/>
    <w:rsid w:val="00CA7912"/>
    <w:rsid w:val="00CA7BEE"/>
    <w:rsid w:val="00CA7EEB"/>
    <w:rsid w:val="00CB01F7"/>
    <w:rsid w:val="00CB07D6"/>
    <w:rsid w:val="00CB122B"/>
    <w:rsid w:val="00CB15CF"/>
    <w:rsid w:val="00CB15D8"/>
    <w:rsid w:val="00CB1813"/>
    <w:rsid w:val="00CB251B"/>
    <w:rsid w:val="00CB295B"/>
    <w:rsid w:val="00CB3049"/>
    <w:rsid w:val="00CB3E2C"/>
    <w:rsid w:val="00CB42FB"/>
    <w:rsid w:val="00CB4FFF"/>
    <w:rsid w:val="00CB6592"/>
    <w:rsid w:val="00CB672D"/>
    <w:rsid w:val="00CB6894"/>
    <w:rsid w:val="00CB69CB"/>
    <w:rsid w:val="00CB6C44"/>
    <w:rsid w:val="00CB6CC5"/>
    <w:rsid w:val="00CB6CEB"/>
    <w:rsid w:val="00CB6FF3"/>
    <w:rsid w:val="00CB7395"/>
    <w:rsid w:val="00CB7C7C"/>
    <w:rsid w:val="00CC0DEE"/>
    <w:rsid w:val="00CC1248"/>
    <w:rsid w:val="00CC13B9"/>
    <w:rsid w:val="00CC18CF"/>
    <w:rsid w:val="00CC1984"/>
    <w:rsid w:val="00CC22EC"/>
    <w:rsid w:val="00CC30B9"/>
    <w:rsid w:val="00CC33B6"/>
    <w:rsid w:val="00CC4369"/>
    <w:rsid w:val="00CC4398"/>
    <w:rsid w:val="00CC4C41"/>
    <w:rsid w:val="00CC52EB"/>
    <w:rsid w:val="00CC5C71"/>
    <w:rsid w:val="00CC5EF7"/>
    <w:rsid w:val="00CC631B"/>
    <w:rsid w:val="00CC6BC3"/>
    <w:rsid w:val="00CC7287"/>
    <w:rsid w:val="00CC744E"/>
    <w:rsid w:val="00CD04CA"/>
    <w:rsid w:val="00CD3FD6"/>
    <w:rsid w:val="00CD463E"/>
    <w:rsid w:val="00CD5199"/>
    <w:rsid w:val="00CD5E88"/>
    <w:rsid w:val="00CD6314"/>
    <w:rsid w:val="00CD65A5"/>
    <w:rsid w:val="00CD65EB"/>
    <w:rsid w:val="00CE13D5"/>
    <w:rsid w:val="00CE233E"/>
    <w:rsid w:val="00CE3971"/>
    <w:rsid w:val="00CE3D87"/>
    <w:rsid w:val="00CE3EF7"/>
    <w:rsid w:val="00CE3F1C"/>
    <w:rsid w:val="00CE4B4E"/>
    <w:rsid w:val="00CE4E52"/>
    <w:rsid w:val="00CE4F23"/>
    <w:rsid w:val="00CE525D"/>
    <w:rsid w:val="00CE5776"/>
    <w:rsid w:val="00CE585A"/>
    <w:rsid w:val="00CE6F86"/>
    <w:rsid w:val="00CF03DD"/>
    <w:rsid w:val="00CF099A"/>
    <w:rsid w:val="00CF1A0F"/>
    <w:rsid w:val="00CF1E19"/>
    <w:rsid w:val="00CF1F5D"/>
    <w:rsid w:val="00CF30D6"/>
    <w:rsid w:val="00CF3D34"/>
    <w:rsid w:val="00CF4025"/>
    <w:rsid w:val="00CF45E0"/>
    <w:rsid w:val="00CF4AD8"/>
    <w:rsid w:val="00CF4FF7"/>
    <w:rsid w:val="00CF51D7"/>
    <w:rsid w:val="00CF59AF"/>
    <w:rsid w:val="00CF5DC2"/>
    <w:rsid w:val="00CF5EA1"/>
    <w:rsid w:val="00CF65FF"/>
    <w:rsid w:val="00CF6A1A"/>
    <w:rsid w:val="00CF6EE6"/>
    <w:rsid w:val="00CF7277"/>
    <w:rsid w:val="00CF772B"/>
    <w:rsid w:val="00D00E57"/>
    <w:rsid w:val="00D01659"/>
    <w:rsid w:val="00D02000"/>
    <w:rsid w:val="00D024C4"/>
    <w:rsid w:val="00D02DAD"/>
    <w:rsid w:val="00D03414"/>
    <w:rsid w:val="00D03614"/>
    <w:rsid w:val="00D03B32"/>
    <w:rsid w:val="00D03B85"/>
    <w:rsid w:val="00D0406A"/>
    <w:rsid w:val="00D05AC2"/>
    <w:rsid w:val="00D05C31"/>
    <w:rsid w:val="00D05C75"/>
    <w:rsid w:val="00D05D3A"/>
    <w:rsid w:val="00D06D9C"/>
    <w:rsid w:val="00D079B7"/>
    <w:rsid w:val="00D07D12"/>
    <w:rsid w:val="00D07F47"/>
    <w:rsid w:val="00D1020E"/>
    <w:rsid w:val="00D104D6"/>
    <w:rsid w:val="00D10D9B"/>
    <w:rsid w:val="00D1129C"/>
    <w:rsid w:val="00D114E7"/>
    <w:rsid w:val="00D11633"/>
    <w:rsid w:val="00D11CEB"/>
    <w:rsid w:val="00D12069"/>
    <w:rsid w:val="00D12C36"/>
    <w:rsid w:val="00D12D0F"/>
    <w:rsid w:val="00D133A1"/>
    <w:rsid w:val="00D13818"/>
    <w:rsid w:val="00D13B8B"/>
    <w:rsid w:val="00D13E31"/>
    <w:rsid w:val="00D14F9E"/>
    <w:rsid w:val="00D16A48"/>
    <w:rsid w:val="00D17A53"/>
    <w:rsid w:val="00D17F9B"/>
    <w:rsid w:val="00D20383"/>
    <w:rsid w:val="00D207F6"/>
    <w:rsid w:val="00D21CEB"/>
    <w:rsid w:val="00D22C24"/>
    <w:rsid w:val="00D2490E"/>
    <w:rsid w:val="00D24A3A"/>
    <w:rsid w:val="00D25676"/>
    <w:rsid w:val="00D2627A"/>
    <w:rsid w:val="00D26748"/>
    <w:rsid w:val="00D30079"/>
    <w:rsid w:val="00D3044D"/>
    <w:rsid w:val="00D30480"/>
    <w:rsid w:val="00D30509"/>
    <w:rsid w:val="00D30819"/>
    <w:rsid w:val="00D311EF"/>
    <w:rsid w:val="00D321D1"/>
    <w:rsid w:val="00D326C0"/>
    <w:rsid w:val="00D32AC2"/>
    <w:rsid w:val="00D32F62"/>
    <w:rsid w:val="00D33CCB"/>
    <w:rsid w:val="00D33D46"/>
    <w:rsid w:val="00D341E1"/>
    <w:rsid w:val="00D3565F"/>
    <w:rsid w:val="00D3570A"/>
    <w:rsid w:val="00D368DE"/>
    <w:rsid w:val="00D36FC3"/>
    <w:rsid w:val="00D370F0"/>
    <w:rsid w:val="00D37C88"/>
    <w:rsid w:val="00D40803"/>
    <w:rsid w:val="00D41B70"/>
    <w:rsid w:val="00D41C43"/>
    <w:rsid w:val="00D4285E"/>
    <w:rsid w:val="00D42985"/>
    <w:rsid w:val="00D42C69"/>
    <w:rsid w:val="00D435CB"/>
    <w:rsid w:val="00D443B8"/>
    <w:rsid w:val="00D44454"/>
    <w:rsid w:val="00D4460C"/>
    <w:rsid w:val="00D4474C"/>
    <w:rsid w:val="00D4571E"/>
    <w:rsid w:val="00D457BD"/>
    <w:rsid w:val="00D458F6"/>
    <w:rsid w:val="00D458F8"/>
    <w:rsid w:val="00D45F6E"/>
    <w:rsid w:val="00D47665"/>
    <w:rsid w:val="00D50019"/>
    <w:rsid w:val="00D50E80"/>
    <w:rsid w:val="00D52662"/>
    <w:rsid w:val="00D5325D"/>
    <w:rsid w:val="00D54097"/>
    <w:rsid w:val="00D54120"/>
    <w:rsid w:val="00D54226"/>
    <w:rsid w:val="00D5576A"/>
    <w:rsid w:val="00D56070"/>
    <w:rsid w:val="00D566CA"/>
    <w:rsid w:val="00D56F50"/>
    <w:rsid w:val="00D571E7"/>
    <w:rsid w:val="00D57406"/>
    <w:rsid w:val="00D578B4"/>
    <w:rsid w:val="00D579BF"/>
    <w:rsid w:val="00D57F65"/>
    <w:rsid w:val="00D60B66"/>
    <w:rsid w:val="00D61AF8"/>
    <w:rsid w:val="00D6386E"/>
    <w:rsid w:val="00D63E0C"/>
    <w:rsid w:val="00D641B9"/>
    <w:rsid w:val="00D65B9F"/>
    <w:rsid w:val="00D65DA5"/>
    <w:rsid w:val="00D6603B"/>
    <w:rsid w:val="00D66B05"/>
    <w:rsid w:val="00D70141"/>
    <w:rsid w:val="00D706A0"/>
    <w:rsid w:val="00D708A6"/>
    <w:rsid w:val="00D70A56"/>
    <w:rsid w:val="00D70C47"/>
    <w:rsid w:val="00D70E36"/>
    <w:rsid w:val="00D71357"/>
    <w:rsid w:val="00D71C9E"/>
    <w:rsid w:val="00D726DB"/>
    <w:rsid w:val="00D7328A"/>
    <w:rsid w:val="00D738EF"/>
    <w:rsid w:val="00D73CB8"/>
    <w:rsid w:val="00D74F01"/>
    <w:rsid w:val="00D75067"/>
    <w:rsid w:val="00D7523B"/>
    <w:rsid w:val="00D75246"/>
    <w:rsid w:val="00D75C65"/>
    <w:rsid w:val="00D7737B"/>
    <w:rsid w:val="00D77C9C"/>
    <w:rsid w:val="00D80186"/>
    <w:rsid w:val="00D801F4"/>
    <w:rsid w:val="00D8096D"/>
    <w:rsid w:val="00D80E70"/>
    <w:rsid w:val="00D8111F"/>
    <w:rsid w:val="00D817B7"/>
    <w:rsid w:val="00D827F5"/>
    <w:rsid w:val="00D8292E"/>
    <w:rsid w:val="00D82C0A"/>
    <w:rsid w:val="00D82FB7"/>
    <w:rsid w:val="00D8313B"/>
    <w:rsid w:val="00D83696"/>
    <w:rsid w:val="00D83AAC"/>
    <w:rsid w:val="00D84CA7"/>
    <w:rsid w:val="00D854F8"/>
    <w:rsid w:val="00D85F06"/>
    <w:rsid w:val="00D865F6"/>
    <w:rsid w:val="00D871E3"/>
    <w:rsid w:val="00D87435"/>
    <w:rsid w:val="00D8753E"/>
    <w:rsid w:val="00D911BC"/>
    <w:rsid w:val="00D914CB"/>
    <w:rsid w:val="00D918C2"/>
    <w:rsid w:val="00D91CC8"/>
    <w:rsid w:val="00D91DD0"/>
    <w:rsid w:val="00D93092"/>
    <w:rsid w:val="00D9316D"/>
    <w:rsid w:val="00D9353B"/>
    <w:rsid w:val="00D9411E"/>
    <w:rsid w:val="00D94A22"/>
    <w:rsid w:val="00D9531C"/>
    <w:rsid w:val="00D95CEA"/>
    <w:rsid w:val="00D96BE3"/>
    <w:rsid w:val="00D973A4"/>
    <w:rsid w:val="00D97F1A"/>
    <w:rsid w:val="00DA0C7A"/>
    <w:rsid w:val="00DA167D"/>
    <w:rsid w:val="00DA1B33"/>
    <w:rsid w:val="00DA1CD6"/>
    <w:rsid w:val="00DA1F0F"/>
    <w:rsid w:val="00DA23D0"/>
    <w:rsid w:val="00DA287B"/>
    <w:rsid w:val="00DA29E8"/>
    <w:rsid w:val="00DA2A7F"/>
    <w:rsid w:val="00DA3214"/>
    <w:rsid w:val="00DA3483"/>
    <w:rsid w:val="00DA393B"/>
    <w:rsid w:val="00DA3E73"/>
    <w:rsid w:val="00DA44A8"/>
    <w:rsid w:val="00DA4B15"/>
    <w:rsid w:val="00DA556F"/>
    <w:rsid w:val="00DA5B85"/>
    <w:rsid w:val="00DA5E21"/>
    <w:rsid w:val="00DA6E39"/>
    <w:rsid w:val="00DA6F47"/>
    <w:rsid w:val="00DA7AC8"/>
    <w:rsid w:val="00DA7D71"/>
    <w:rsid w:val="00DA7F29"/>
    <w:rsid w:val="00DB0015"/>
    <w:rsid w:val="00DB0546"/>
    <w:rsid w:val="00DB07ED"/>
    <w:rsid w:val="00DB10D6"/>
    <w:rsid w:val="00DB1354"/>
    <w:rsid w:val="00DB16D0"/>
    <w:rsid w:val="00DB1BE0"/>
    <w:rsid w:val="00DB1C98"/>
    <w:rsid w:val="00DB1D78"/>
    <w:rsid w:val="00DB223C"/>
    <w:rsid w:val="00DB360B"/>
    <w:rsid w:val="00DB384E"/>
    <w:rsid w:val="00DB3B75"/>
    <w:rsid w:val="00DB3DC0"/>
    <w:rsid w:val="00DB4447"/>
    <w:rsid w:val="00DB4860"/>
    <w:rsid w:val="00DB4CAD"/>
    <w:rsid w:val="00DB4E6D"/>
    <w:rsid w:val="00DB50ED"/>
    <w:rsid w:val="00DB58C5"/>
    <w:rsid w:val="00DB5B5C"/>
    <w:rsid w:val="00DB5E1D"/>
    <w:rsid w:val="00DB5F35"/>
    <w:rsid w:val="00DB61EA"/>
    <w:rsid w:val="00DB66A3"/>
    <w:rsid w:val="00DB6E8D"/>
    <w:rsid w:val="00DB7ADE"/>
    <w:rsid w:val="00DB7F87"/>
    <w:rsid w:val="00DC03F7"/>
    <w:rsid w:val="00DC03FD"/>
    <w:rsid w:val="00DC0D16"/>
    <w:rsid w:val="00DC1AAF"/>
    <w:rsid w:val="00DC1D0A"/>
    <w:rsid w:val="00DC2CFC"/>
    <w:rsid w:val="00DC2D71"/>
    <w:rsid w:val="00DC34AD"/>
    <w:rsid w:val="00DC3FB8"/>
    <w:rsid w:val="00DC4508"/>
    <w:rsid w:val="00DC45BB"/>
    <w:rsid w:val="00DC476A"/>
    <w:rsid w:val="00DC5059"/>
    <w:rsid w:val="00DC543B"/>
    <w:rsid w:val="00DC63C1"/>
    <w:rsid w:val="00DC6BF0"/>
    <w:rsid w:val="00DC71CB"/>
    <w:rsid w:val="00DC75C3"/>
    <w:rsid w:val="00DC776D"/>
    <w:rsid w:val="00DC7809"/>
    <w:rsid w:val="00DD0137"/>
    <w:rsid w:val="00DD2A10"/>
    <w:rsid w:val="00DD2F3A"/>
    <w:rsid w:val="00DD399F"/>
    <w:rsid w:val="00DD4022"/>
    <w:rsid w:val="00DD4134"/>
    <w:rsid w:val="00DD50B3"/>
    <w:rsid w:val="00DD5472"/>
    <w:rsid w:val="00DD5E54"/>
    <w:rsid w:val="00DD628D"/>
    <w:rsid w:val="00DD6655"/>
    <w:rsid w:val="00DE07FD"/>
    <w:rsid w:val="00DE0EC0"/>
    <w:rsid w:val="00DE1133"/>
    <w:rsid w:val="00DE176F"/>
    <w:rsid w:val="00DE21C4"/>
    <w:rsid w:val="00DE2C0B"/>
    <w:rsid w:val="00DE3576"/>
    <w:rsid w:val="00DE37D3"/>
    <w:rsid w:val="00DE39A6"/>
    <w:rsid w:val="00DE46F7"/>
    <w:rsid w:val="00DE4F43"/>
    <w:rsid w:val="00DE52CF"/>
    <w:rsid w:val="00DE5CED"/>
    <w:rsid w:val="00DE5CEE"/>
    <w:rsid w:val="00DE658C"/>
    <w:rsid w:val="00DE6694"/>
    <w:rsid w:val="00DE6E55"/>
    <w:rsid w:val="00DE720C"/>
    <w:rsid w:val="00DE7A58"/>
    <w:rsid w:val="00DE7B60"/>
    <w:rsid w:val="00DE7B89"/>
    <w:rsid w:val="00DF0647"/>
    <w:rsid w:val="00DF07E6"/>
    <w:rsid w:val="00DF220A"/>
    <w:rsid w:val="00DF2A3E"/>
    <w:rsid w:val="00DF2EDA"/>
    <w:rsid w:val="00DF3C33"/>
    <w:rsid w:val="00DF3E97"/>
    <w:rsid w:val="00DF5065"/>
    <w:rsid w:val="00DF686E"/>
    <w:rsid w:val="00DF711B"/>
    <w:rsid w:val="00DF7499"/>
    <w:rsid w:val="00DF761A"/>
    <w:rsid w:val="00DF7CFF"/>
    <w:rsid w:val="00DF7F3F"/>
    <w:rsid w:val="00E003F2"/>
    <w:rsid w:val="00E00707"/>
    <w:rsid w:val="00E009F5"/>
    <w:rsid w:val="00E02013"/>
    <w:rsid w:val="00E02303"/>
    <w:rsid w:val="00E0483B"/>
    <w:rsid w:val="00E04A75"/>
    <w:rsid w:val="00E05B1C"/>
    <w:rsid w:val="00E06994"/>
    <w:rsid w:val="00E06996"/>
    <w:rsid w:val="00E07236"/>
    <w:rsid w:val="00E07613"/>
    <w:rsid w:val="00E07DC9"/>
    <w:rsid w:val="00E10007"/>
    <w:rsid w:val="00E10105"/>
    <w:rsid w:val="00E10174"/>
    <w:rsid w:val="00E116FC"/>
    <w:rsid w:val="00E133E4"/>
    <w:rsid w:val="00E13DDE"/>
    <w:rsid w:val="00E142F8"/>
    <w:rsid w:val="00E15F82"/>
    <w:rsid w:val="00E168FF"/>
    <w:rsid w:val="00E16E64"/>
    <w:rsid w:val="00E16FDB"/>
    <w:rsid w:val="00E170FE"/>
    <w:rsid w:val="00E17141"/>
    <w:rsid w:val="00E174B4"/>
    <w:rsid w:val="00E179E1"/>
    <w:rsid w:val="00E17F9B"/>
    <w:rsid w:val="00E20816"/>
    <w:rsid w:val="00E20BF1"/>
    <w:rsid w:val="00E20C65"/>
    <w:rsid w:val="00E21DA7"/>
    <w:rsid w:val="00E2469B"/>
    <w:rsid w:val="00E24D3F"/>
    <w:rsid w:val="00E25541"/>
    <w:rsid w:val="00E25B85"/>
    <w:rsid w:val="00E2626B"/>
    <w:rsid w:val="00E263C4"/>
    <w:rsid w:val="00E26695"/>
    <w:rsid w:val="00E278EB"/>
    <w:rsid w:val="00E27BF9"/>
    <w:rsid w:val="00E27EF5"/>
    <w:rsid w:val="00E30BFF"/>
    <w:rsid w:val="00E30E45"/>
    <w:rsid w:val="00E315E8"/>
    <w:rsid w:val="00E31977"/>
    <w:rsid w:val="00E31CA2"/>
    <w:rsid w:val="00E32A1D"/>
    <w:rsid w:val="00E33374"/>
    <w:rsid w:val="00E333C5"/>
    <w:rsid w:val="00E33C98"/>
    <w:rsid w:val="00E34B80"/>
    <w:rsid w:val="00E34BD0"/>
    <w:rsid w:val="00E3553E"/>
    <w:rsid w:val="00E35D17"/>
    <w:rsid w:val="00E362BD"/>
    <w:rsid w:val="00E36B19"/>
    <w:rsid w:val="00E37A15"/>
    <w:rsid w:val="00E40054"/>
    <w:rsid w:val="00E40A99"/>
    <w:rsid w:val="00E40ADA"/>
    <w:rsid w:val="00E40B77"/>
    <w:rsid w:val="00E4255E"/>
    <w:rsid w:val="00E42791"/>
    <w:rsid w:val="00E42882"/>
    <w:rsid w:val="00E429F0"/>
    <w:rsid w:val="00E42B97"/>
    <w:rsid w:val="00E42D84"/>
    <w:rsid w:val="00E433CA"/>
    <w:rsid w:val="00E44270"/>
    <w:rsid w:val="00E4432D"/>
    <w:rsid w:val="00E44982"/>
    <w:rsid w:val="00E44B4B"/>
    <w:rsid w:val="00E44C35"/>
    <w:rsid w:val="00E453FC"/>
    <w:rsid w:val="00E45423"/>
    <w:rsid w:val="00E45839"/>
    <w:rsid w:val="00E45AC0"/>
    <w:rsid w:val="00E46789"/>
    <w:rsid w:val="00E46BAD"/>
    <w:rsid w:val="00E46BB0"/>
    <w:rsid w:val="00E46DDC"/>
    <w:rsid w:val="00E46DF8"/>
    <w:rsid w:val="00E47306"/>
    <w:rsid w:val="00E47309"/>
    <w:rsid w:val="00E479D6"/>
    <w:rsid w:val="00E47CBA"/>
    <w:rsid w:val="00E500A5"/>
    <w:rsid w:val="00E5012D"/>
    <w:rsid w:val="00E5079E"/>
    <w:rsid w:val="00E50EF4"/>
    <w:rsid w:val="00E50FC7"/>
    <w:rsid w:val="00E5136C"/>
    <w:rsid w:val="00E51F2F"/>
    <w:rsid w:val="00E51F5C"/>
    <w:rsid w:val="00E524FD"/>
    <w:rsid w:val="00E52B9A"/>
    <w:rsid w:val="00E52E0E"/>
    <w:rsid w:val="00E52F58"/>
    <w:rsid w:val="00E5540F"/>
    <w:rsid w:val="00E55426"/>
    <w:rsid w:val="00E55A99"/>
    <w:rsid w:val="00E561CA"/>
    <w:rsid w:val="00E57140"/>
    <w:rsid w:val="00E575F5"/>
    <w:rsid w:val="00E60A40"/>
    <w:rsid w:val="00E60E45"/>
    <w:rsid w:val="00E6173D"/>
    <w:rsid w:val="00E61FEA"/>
    <w:rsid w:val="00E62255"/>
    <w:rsid w:val="00E63EBE"/>
    <w:rsid w:val="00E64351"/>
    <w:rsid w:val="00E65C4E"/>
    <w:rsid w:val="00E65EA3"/>
    <w:rsid w:val="00E66009"/>
    <w:rsid w:val="00E66468"/>
    <w:rsid w:val="00E66AE1"/>
    <w:rsid w:val="00E66EE1"/>
    <w:rsid w:val="00E6711F"/>
    <w:rsid w:val="00E678E2"/>
    <w:rsid w:val="00E71076"/>
    <w:rsid w:val="00E719E2"/>
    <w:rsid w:val="00E71FA8"/>
    <w:rsid w:val="00E7203A"/>
    <w:rsid w:val="00E7239B"/>
    <w:rsid w:val="00E726BC"/>
    <w:rsid w:val="00E73191"/>
    <w:rsid w:val="00E737F7"/>
    <w:rsid w:val="00E73C7D"/>
    <w:rsid w:val="00E74428"/>
    <w:rsid w:val="00E744BF"/>
    <w:rsid w:val="00E74528"/>
    <w:rsid w:val="00E7493A"/>
    <w:rsid w:val="00E74A16"/>
    <w:rsid w:val="00E74EBC"/>
    <w:rsid w:val="00E757E6"/>
    <w:rsid w:val="00E8039C"/>
    <w:rsid w:val="00E80548"/>
    <w:rsid w:val="00E80AAE"/>
    <w:rsid w:val="00E81238"/>
    <w:rsid w:val="00E81B60"/>
    <w:rsid w:val="00E82BBE"/>
    <w:rsid w:val="00E832A0"/>
    <w:rsid w:val="00E8375A"/>
    <w:rsid w:val="00E83C05"/>
    <w:rsid w:val="00E84D59"/>
    <w:rsid w:val="00E85144"/>
    <w:rsid w:val="00E85681"/>
    <w:rsid w:val="00E859F9"/>
    <w:rsid w:val="00E86653"/>
    <w:rsid w:val="00E8765E"/>
    <w:rsid w:val="00E87A30"/>
    <w:rsid w:val="00E87BAA"/>
    <w:rsid w:val="00E87E0F"/>
    <w:rsid w:val="00E90A91"/>
    <w:rsid w:val="00E90C76"/>
    <w:rsid w:val="00E92330"/>
    <w:rsid w:val="00E92D5D"/>
    <w:rsid w:val="00E930C4"/>
    <w:rsid w:val="00E933C1"/>
    <w:rsid w:val="00E93CBA"/>
    <w:rsid w:val="00E94673"/>
    <w:rsid w:val="00E94F9E"/>
    <w:rsid w:val="00E95AB9"/>
    <w:rsid w:val="00E9626F"/>
    <w:rsid w:val="00E96707"/>
    <w:rsid w:val="00E97A40"/>
    <w:rsid w:val="00E97E77"/>
    <w:rsid w:val="00EA0374"/>
    <w:rsid w:val="00EA0814"/>
    <w:rsid w:val="00EA0815"/>
    <w:rsid w:val="00EA08DF"/>
    <w:rsid w:val="00EA14A5"/>
    <w:rsid w:val="00EA1B10"/>
    <w:rsid w:val="00EA2685"/>
    <w:rsid w:val="00EA2ECC"/>
    <w:rsid w:val="00EA3061"/>
    <w:rsid w:val="00EA3670"/>
    <w:rsid w:val="00EA4C20"/>
    <w:rsid w:val="00EA4E89"/>
    <w:rsid w:val="00EA5103"/>
    <w:rsid w:val="00EA513D"/>
    <w:rsid w:val="00EA58EC"/>
    <w:rsid w:val="00EA5D6E"/>
    <w:rsid w:val="00EA6078"/>
    <w:rsid w:val="00EA6BDA"/>
    <w:rsid w:val="00EA7399"/>
    <w:rsid w:val="00EA766C"/>
    <w:rsid w:val="00EA79EE"/>
    <w:rsid w:val="00EA7AB4"/>
    <w:rsid w:val="00EB017E"/>
    <w:rsid w:val="00EB0603"/>
    <w:rsid w:val="00EB0AA9"/>
    <w:rsid w:val="00EB0BB5"/>
    <w:rsid w:val="00EB1766"/>
    <w:rsid w:val="00EB1C1B"/>
    <w:rsid w:val="00EB1D07"/>
    <w:rsid w:val="00EB1EE7"/>
    <w:rsid w:val="00EB2468"/>
    <w:rsid w:val="00EB288A"/>
    <w:rsid w:val="00EB29A4"/>
    <w:rsid w:val="00EB2CC4"/>
    <w:rsid w:val="00EB2D0F"/>
    <w:rsid w:val="00EB42A7"/>
    <w:rsid w:val="00EB4D20"/>
    <w:rsid w:val="00EB4DE0"/>
    <w:rsid w:val="00EB4E76"/>
    <w:rsid w:val="00EB60E4"/>
    <w:rsid w:val="00EB6E9F"/>
    <w:rsid w:val="00EB7AC8"/>
    <w:rsid w:val="00EB7CAA"/>
    <w:rsid w:val="00EB7EB7"/>
    <w:rsid w:val="00EC06B2"/>
    <w:rsid w:val="00EC0C3C"/>
    <w:rsid w:val="00EC0C8E"/>
    <w:rsid w:val="00EC1A81"/>
    <w:rsid w:val="00EC24B0"/>
    <w:rsid w:val="00EC25C1"/>
    <w:rsid w:val="00EC2BE6"/>
    <w:rsid w:val="00EC3CE7"/>
    <w:rsid w:val="00EC456F"/>
    <w:rsid w:val="00EC4ECD"/>
    <w:rsid w:val="00EC56D7"/>
    <w:rsid w:val="00EC5763"/>
    <w:rsid w:val="00EC7399"/>
    <w:rsid w:val="00EC7C5E"/>
    <w:rsid w:val="00EC7DCC"/>
    <w:rsid w:val="00EC7F79"/>
    <w:rsid w:val="00ED0B8D"/>
    <w:rsid w:val="00ED0F69"/>
    <w:rsid w:val="00ED2674"/>
    <w:rsid w:val="00ED2F46"/>
    <w:rsid w:val="00ED310A"/>
    <w:rsid w:val="00ED33B8"/>
    <w:rsid w:val="00ED49E6"/>
    <w:rsid w:val="00ED58F9"/>
    <w:rsid w:val="00ED6375"/>
    <w:rsid w:val="00ED6A1C"/>
    <w:rsid w:val="00ED6EAF"/>
    <w:rsid w:val="00ED6FC1"/>
    <w:rsid w:val="00ED7FA9"/>
    <w:rsid w:val="00EE07B9"/>
    <w:rsid w:val="00EE0FB3"/>
    <w:rsid w:val="00EE180E"/>
    <w:rsid w:val="00EE1CFC"/>
    <w:rsid w:val="00EE42EA"/>
    <w:rsid w:val="00EE4FE1"/>
    <w:rsid w:val="00EE529C"/>
    <w:rsid w:val="00EE535C"/>
    <w:rsid w:val="00EE5481"/>
    <w:rsid w:val="00EE5B4A"/>
    <w:rsid w:val="00EE6209"/>
    <w:rsid w:val="00EE6314"/>
    <w:rsid w:val="00EE685B"/>
    <w:rsid w:val="00EE6BDD"/>
    <w:rsid w:val="00EE7487"/>
    <w:rsid w:val="00EE753C"/>
    <w:rsid w:val="00EE786A"/>
    <w:rsid w:val="00EE7CC8"/>
    <w:rsid w:val="00EF03C5"/>
    <w:rsid w:val="00EF0818"/>
    <w:rsid w:val="00EF0DB2"/>
    <w:rsid w:val="00EF1942"/>
    <w:rsid w:val="00EF219F"/>
    <w:rsid w:val="00EF25EB"/>
    <w:rsid w:val="00EF3AA5"/>
    <w:rsid w:val="00EF3C8D"/>
    <w:rsid w:val="00EF4A6D"/>
    <w:rsid w:val="00EF4D64"/>
    <w:rsid w:val="00EF4D89"/>
    <w:rsid w:val="00EF5300"/>
    <w:rsid w:val="00EF5822"/>
    <w:rsid w:val="00EF5E48"/>
    <w:rsid w:val="00EF5F75"/>
    <w:rsid w:val="00EF611A"/>
    <w:rsid w:val="00EF7022"/>
    <w:rsid w:val="00F012CF"/>
    <w:rsid w:val="00F01C85"/>
    <w:rsid w:val="00F01EC2"/>
    <w:rsid w:val="00F02965"/>
    <w:rsid w:val="00F029CA"/>
    <w:rsid w:val="00F036AC"/>
    <w:rsid w:val="00F04086"/>
    <w:rsid w:val="00F0478B"/>
    <w:rsid w:val="00F05114"/>
    <w:rsid w:val="00F0593C"/>
    <w:rsid w:val="00F05940"/>
    <w:rsid w:val="00F05BCF"/>
    <w:rsid w:val="00F066AD"/>
    <w:rsid w:val="00F07C80"/>
    <w:rsid w:val="00F100D5"/>
    <w:rsid w:val="00F10BEE"/>
    <w:rsid w:val="00F10CCB"/>
    <w:rsid w:val="00F114C0"/>
    <w:rsid w:val="00F12BB1"/>
    <w:rsid w:val="00F1319D"/>
    <w:rsid w:val="00F13C31"/>
    <w:rsid w:val="00F13C4E"/>
    <w:rsid w:val="00F13FC5"/>
    <w:rsid w:val="00F14D4D"/>
    <w:rsid w:val="00F14FDC"/>
    <w:rsid w:val="00F1517A"/>
    <w:rsid w:val="00F1545D"/>
    <w:rsid w:val="00F1609E"/>
    <w:rsid w:val="00F16495"/>
    <w:rsid w:val="00F176A2"/>
    <w:rsid w:val="00F20CD7"/>
    <w:rsid w:val="00F21CF1"/>
    <w:rsid w:val="00F21D0C"/>
    <w:rsid w:val="00F224A4"/>
    <w:rsid w:val="00F22D23"/>
    <w:rsid w:val="00F22D62"/>
    <w:rsid w:val="00F23002"/>
    <w:rsid w:val="00F238F6"/>
    <w:rsid w:val="00F246B4"/>
    <w:rsid w:val="00F249FF"/>
    <w:rsid w:val="00F24BD0"/>
    <w:rsid w:val="00F251A3"/>
    <w:rsid w:val="00F254F5"/>
    <w:rsid w:val="00F256F6"/>
    <w:rsid w:val="00F257A0"/>
    <w:rsid w:val="00F2643D"/>
    <w:rsid w:val="00F264ED"/>
    <w:rsid w:val="00F26593"/>
    <w:rsid w:val="00F269E7"/>
    <w:rsid w:val="00F27032"/>
    <w:rsid w:val="00F274D0"/>
    <w:rsid w:val="00F27DB1"/>
    <w:rsid w:val="00F27E65"/>
    <w:rsid w:val="00F302CE"/>
    <w:rsid w:val="00F3074C"/>
    <w:rsid w:val="00F307CE"/>
    <w:rsid w:val="00F30A48"/>
    <w:rsid w:val="00F312D7"/>
    <w:rsid w:val="00F3174B"/>
    <w:rsid w:val="00F31DA5"/>
    <w:rsid w:val="00F326A1"/>
    <w:rsid w:val="00F32B49"/>
    <w:rsid w:val="00F3355C"/>
    <w:rsid w:val="00F338C0"/>
    <w:rsid w:val="00F33D25"/>
    <w:rsid w:val="00F342A5"/>
    <w:rsid w:val="00F35443"/>
    <w:rsid w:val="00F35643"/>
    <w:rsid w:val="00F35E58"/>
    <w:rsid w:val="00F35E8C"/>
    <w:rsid w:val="00F36D75"/>
    <w:rsid w:val="00F371B0"/>
    <w:rsid w:val="00F37C16"/>
    <w:rsid w:val="00F37D8C"/>
    <w:rsid w:val="00F40140"/>
    <w:rsid w:val="00F40B39"/>
    <w:rsid w:val="00F40CF3"/>
    <w:rsid w:val="00F41B1E"/>
    <w:rsid w:val="00F41C61"/>
    <w:rsid w:val="00F423D1"/>
    <w:rsid w:val="00F42A03"/>
    <w:rsid w:val="00F43CAB"/>
    <w:rsid w:val="00F45199"/>
    <w:rsid w:val="00F454DC"/>
    <w:rsid w:val="00F45699"/>
    <w:rsid w:val="00F457FB"/>
    <w:rsid w:val="00F45D34"/>
    <w:rsid w:val="00F464F3"/>
    <w:rsid w:val="00F4685C"/>
    <w:rsid w:val="00F472C0"/>
    <w:rsid w:val="00F479DF"/>
    <w:rsid w:val="00F506C8"/>
    <w:rsid w:val="00F50795"/>
    <w:rsid w:val="00F508AC"/>
    <w:rsid w:val="00F50BB5"/>
    <w:rsid w:val="00F50EE6"/>
    <w:rsid w:val="00F51799"/>
    <w:rsid w:val="00F519B0"/>
    <w:rsid w:val="00F51E2F"/>
    <w:rsid w:val="00F52F38"/>
    <w:rsid w:val="00F530F8"/>
    <w:rsid w:val="00F531A2"/>
    <w:rsid w:val="00F544E5"/>
    <w:rsid w:val="00F5467C"/>
    <w:rsid w:val="00F54DBC"/>
    <w:rsid w:val="00F550F5"/>
    <w:rsid w:val="00F552B1"/>
    <w:rsid w:val="00F559DB"/>
    <w:rsid w:val="00F57618"/>
    <w:rsid w:val="00F6136E"/>
    <w:rsid w:val="00F6160A"/>
    <w:rsid w:val="00F62276"/>
    <w:rsid w:val="00F63015"/>
    <w:rsid w:val="00F63FDC"/>
    <w:rsid w:val="00F64BBA"/>
    <w:rsid w:val="00F65C4B"/>
    <w:rsid w:val="00F66F8C"/>
    <w:rsid w:val="00F66FBD"/>
    <w:rsid w:val="00F71CB6"/>
    <w:rsid w:val="00F71D72"/>
    <w:rsid w:val="00F71EEC"/>
    <w:rsid w:val="00F7276C"/>
    <w:rsid w:val="00F7278D"/>
    <w:rsid w:val="00F72C07"/>
    <w:rsid w:val="00F734AD"/>
    <w:rsid w:val="00F739B7"/>
    <w:rsid w:val="00F74004"/>
    <w:rsid w:val="00F7443F"/>
    <w:rsid w:val="00F7460B"/>
    <w:rsid w:val="00F7524B"/>
    <w:rsid w:val="00F75BC0"/>
    <w:rsid w:val="00F75BE6"/>
    <w:rsid w:val="00F764DA"/>
    <w:rsid w:val="00F76F73"/>
    <w:rsid w:val="00F808DB"/>
    <w:rsid w:val="00F80C31"/>
    <w:rsid w:val="00F813D9"/>
    <w:rsid w:val="00F81ACF"/>
    <w:rsid w:val="00F82C55"/>
    <w:rsid w:val="00F8318F"/>
    <w:rsid w:val="00F839F7"/>
    <w:rsid w:val="00F8491E"/>
    <w:rsid w:val="00F8567C"/>
    <w:rsid w:val="00F86121"/>
    <w:rsid w:val="00F8626B"/>
    <w:rsid w:val="00F8733E"/>
    <w:rsid w:val="00F874A7"/>
    <w:rsid w:val="00F87DE2"/>
    <w:rsid w:val="00F9023B"/>
    <w:rsid w:val="00F90D49"/>
    <w:rsid w:val="00F911D5"/>
    <w:rsid w:val="00F9176A"/>
    <w:rsid w:val="00F91A7B"/>
    <w:rsid w:val="00F92332"/>
    <w:rsid w:val="00F9276E"/>
    <w:rsid w:val="00F92B4C"/>
    <w:rsid w:val="00F932B1"/>
    <w:rsid w:val="00F9379B"/>
    <w:rsid w:val="00F943E7"/>
    <w:rsid w:val="00F95AF6"/>
    <w:rsid w:val="00F96104"/>
    <w:rsid w:val="00F967B3"/>
    <w:rsid w:val="00F968ED"/>
    <w:rsid w:val="00F96A7C"/>
    <w:rsid w:val="00F96F00"/>
    <w:rsid w:val="00F97120"/>
    <w:rsid w:val="00F97BB8"/>
    <w:rsid w:val="00F97C32"/>
    <w:rsid w:val="00FA00BA"/>
    <w:rsid w:val="00FA07D1"/>
    <w:rsid w:val="00FA0A83"/>
    <w:rsid w:val="00FA1E5B"/>
    <w:rsid w:val="00FA1FEF"/>
    <w:rsid w:val="00FA219C"/>
    <w:rsid w:val="00FA2822"/>
    <w:rsid w:val="00FA3D7B"/>
    <w:rsid w:val="00FA3E47"/>
    <w:rsid w:val="00FA4190"/>
    <w:rsid w:val="00FA461C"/>
    <w:rsid w:val="00FA4C68"/>
    <w:rsid w:val="00FA4CBB"/>
    <w:rsid w:val="00FA5B99"/>
    <w:rsid w:val="00FA5ED0"/>
    <w:rsid w:val="00FA6800"/>
    <w:rsid w:val="00FA699E"/>
    <w:rsid w:val="00FA69EE"/>
    <w:rsid w:val="00FA6A09"/>
    <w:rsid w:val="00FA6CC4"/>
    <w:rsid w:val="00FA778D"/>
    <w:rsid w:val="00FA7F8C"/>
    <w:rsid w:val="00FB080D"/>
    <w:rsid w:val="00FB0C91"/>
    <w:rsid w:val="00FB0DCC"/>
    <w:rsid w:val="00FB1D18"/>
    <w:rsid w:val="00FB22A4"/>
    <w:rsid w:val="00FB2A35"/>
    <w:rsid w:val="00FB2D1B"/>
    <w:rsid w:val="00FB51A9"/>
    <w:rsid w:val="00FB6A61"/>
    <w:rsid w:val="00FB6B95"/>
    <w:rsid w:val="00FB6F98"/>
    <w:rsid w:val="00FB7363"/>
    <w:rsid w:val="00FB772E"/>
    <w:rsid w:val="00FB7D9A"/>
    <w:rsid w:val="00FC0B25"/>
    <w:rsid w:val="00FC11B6"/>
    <w:rsid w:val="00FC1C26"/>
    <w:rsid w:val="00FC1FE1"/>
    <w:rsid w:val="00FC20DA"/>
    <w:rsid w:val="00FC279D"/>
    <w:rsid w:val="00FC2946"/>
    <w:rsid w:val="00FC2E61"/>
    <w:rsid w:val="00FC3B04"/>
    <w:rsid w:val="00FC3BED"/>
    <w:rsid w:val="00FC3C82"/>
    <w:rsid w:val="00FC3D54"/>
    <w:rsid w:val="00FC3F28"/>
    <w:rsid w:val="00FC42B6"/>
    <w:rsid w:val="00FC4C51"/>
    <w:rsid w:val="00FC5968"/>
    <w:rsid w:val="00FC5973"/>
    <w:rsid w:val="00FC5A0F"/>
    <w:rsid w:val="00FC5E4C"/>
    <w:rsid w:val="00FC6014"/>
    <w:rsid w:val="00FC6458"/>
    <w:rsid w:val="00FC6692"/>
    <w:rsid w:val="00FC6900"/>
    <w:rsid w:val="00FC7AE3"/>
    <w:rsid w:val="00FC7E71"/>
    <w:rsid w:val="00FC7EA7"/>
    <w:rsid w:val="00FC7F63"/>
    <w:rsid w:val="00FD16BA"/>
    <w:rsid w:val="00FD1D3D"/>
    <w:rsid w:val="00FD22AB"/>
    <w:rsid w:val="00FD25E4"/>
    <w:rsid w:val="00FD2BC8"/>
    <w:rsid w:val="00FD2C30"/>
    <w:rsid w:val="00FD49DB"/>
    <w:rsid w:val="00FD4BCD"/>
    <w:rsid w:val="00FD4BFB"/>
    <w:rsid w:val="00FD68BD"/>
    <w:rsid w:val="00FD6977"/>
    <w:rsid w:val="00FD6ADE"/>
    <w:rsid w:val="00FD71CE"/>
    <w:rsid w:val="00FD7B9E"/>
    <w:rsid w:val="00FE03C7"/>
    <w:rsid w:val="00FE060F"/>
    <w:rsid w:val="00FE067F"/>
    <w:rsid w:val="00FE1AEA"/>
    <w:rsid w:val="00FE201A"/>
    <w:rsid w:val="00FE3002"/>
    <w:rsid w:val="00FE35DD"/>
    <w:rsid w:val="00FE3622"/>
    <w:rsid w:val="00FE376B"/>
    <w:rsid w:val="00FE3D7F"/>
    <w:rsid w:val="00FE3F1B"/>
    <w:rsid w:val="00FE4356"/>
    <w:rsid w:val="00FE4382"/>
    <w:rsid w:val="00FE44DA"/>
    <w:rsid w:val="00FE4D2A"/>
    <w:rsid w:val="00FE4F02"/>
    <w:rsid w:val="00FE5AEF"/>
    <w:rsid w:val="00FE6116"/>
    <w:rsid w:val="00FE61EF"/>
    <w:rsid w:val="00FE6543"/>
    <w:rsid w:val="00FE7215"/>
    <w:rsid w:val="00FE72FE"/>
    <w:rsid w:val="00FE7BB2"/>
    <w:rsid w:val="00FE7CE0"/>
    <w:rsid w:val="00FF1106"/>
    <w:rsid w:val="00FF1467"/>
    <w:rsid w:val="00FF2096"/>
    <w:rsid w:val="00FF2C02"/>
    <w:rsid w:val="00FF339B"/>
    <w:rsid w:val="00FF3C11"/>
    <w:rsid w:val="00FF407F"/>
    <w:rsid w:val="00FF5E98"/>
    <w:rsid w:val="00FF64A4"/>
    <w:rsid w:val="00FF6615"/>
    <w:rsid w:val="00FF71B6"/>
    <w:rsid w:val="00FF7479"/>
    <w:rsid w:val="00FF7C60"/>
    <w:rsid w:val="00FF7EAF"/>
    <w:rsid w:val="010A0C49"/>
    <w:rsid w:val="01994376"/>
    <w:rsid w:val="03B3FCF4"/>
    <w:rsid w:val="03DA9336"/>
    <w:rsid w:val="06BC963C"/>
    <w:rsid w:val="083B31FB"/>
    <w:rsid w:val="0A4F9DBC"/>
    <w:rsid w:val="0AA85684"/>
    <w:rsid w:val="0B0BE96D"/>
    <w:rsid w:val="0E25A9B1"/>
    <w:rsid w:val="10586D05"/>
    <w:rsid w:val="1075CEA2"/>
    <w:rsid w:val="119F6F97"/>
    <w:rsid w:val="11E3A1FA"/>
    <w:rsid w:val="12226B6C"/>
    <w:rsid w:val="12588125"/>
    <w:rsid w:val="1362EF2A"/>
    <w:rsid w:val="160DA832"/>
    <w:rsid w:val="17284187"/>
    <w:rsid w:val="1975C02D"/>
    <w:rsid w:val="1A130A19"/>
    <w:rsid w:val="1AD7A9DC"/>
    <w:rsid w:val="1B63AEB8"/>
    <w:rsid w:val="1C196702"/>
    <w:rsid w:val="202A2DCA"/>
    <w:rsid w:val="208D2BA3"/>
    <w:rsid w:val="230B3360"/>
    <w:rsid w:val="29192212"/>
    <w:rsid w:val="2A84B8B0"/>
    <w:rsid w:val="2A9E8FCC"/>
    <w:rsid w:val="2D1C8B1A"/>
    <w:rsid w:val="3054B5D6"/>
    <w:rsid w:val="31FCE011"/>
    <w:rsid w:val="3527FAF7"/>
    <w:rsid w:val="35FB261B"/>
    <w:rsid w:val="37D12D7E"/>
    <w:rsid w:val="38C8AA59"/>
    <w:rsid w:val="3A7696C8"/>
    <w:rsid w:val="3DB5AA91"/>
    <w:rsid w:val="3F2EBBC8"/>
    <w:rsid w:val="43712CD4"/>
    <w:rsid w:val="44453D6A"/>
    <w:rsid w:val="448E3E49"/>
    <w:rsid w:val="4BDE77AA"/>
    <w:rsid w:val="4C30D291"/>
    <w:rsid w:val="4FF06263"/>
    <w:rsid w:val="50E7BE39"/>
    <w:rsid w:val="5492F8FA"/>
    <w:rsid w:val="5500F9F6"/>
    <w:rsid w:val="557B3739"/>
    <w:rsid w:val="5B133FCB"/>
    <w:rsid w:val="5E9F39BF"/>
    <w:rsid w:val="60123892"/>
    <w:rsid w:val="6AA7958D"/>
    <w:rsid w:val="6AF295CF"/>
    <w:rsid w:val="6B674ABE"/>
    <w:rsid w:val="6D40C869"/>
    <w:rsid w:val="6DCD3D7A"/>
    <w:rsid w:val="700BFDAC"/>
    <w:rsid w:val="7200DE07"/>
    <w:rsid w:val="725684B1"/>
    <w:rsid w:val="72A1DA9C"/>
    <w:rsid w:val="732FA5C1"/>
    <w:rsid w:val="74FEEFD9"/>
    <w:rsid w:val="751CA3D3"/>
    <w:rsid w:val="751EC6FF"/>
    <w:rsid w:val="776216FA"/>
    <w:rsid w:val="78254828"/>
    <w:rsid w:val="783D1247"/>
    <w:rsid w:val="7C3191EE"/>
    <w:rsid w:val="7CF887C8"/>
    <w:rsid w:val="7D20BB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AE31C"/>
  <w15:chartTrackingRefBased/>
  <w15:docId w15:val="{9083BA20-D8DD-48CF-8761-9EA3AFF3D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
        <w:lang w:val="et-EE" w:eastAsia="en-GB" w:bidi="ar-SA"/>
        <w14:ligatures w14:val="standardContextua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0" w:unhideWhenUsed="1" w:qFormat="1"/>
    <w:lsdException w:name="heading 4" w:semiHidden="1" w:uiPriority="9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90" w:unhideWhenUsed="1" w:qFormat="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275D3E"/>
    <w:pPr>
      <w:keepNext/>
      <w:keepLines/>
      <w:numPr>
        <w:numId w:val="23"/>
      </w:numPr>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nhideWhenUsed/>
    <w:qFormat/>
    <w:rsid w:val="00275D3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0"/>
    <w:unhideWhenUsed/>
    <w:qFormat/>
    <w:rsid w:val="00275D3E"/>
    <w:pPr>
      <w:keepNext/>
      <w:keepLines/>
      <w:numPr>
        <w:ilvl w:val="2"/>
        <w:numId w:val="23"/>
      </w:numPr>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0"/>
    <w:unhideWhenUsed/>
    <w:qFormat/>
    <w:rsid w:val="00275D3E"/>
    <w:pPr>
      <w:keepNext/>
      <w:keepLines/>
      <w:numPr>
        <w:ilvl w:val="3"/>
        <w:numId w:val="23"/>
      </w:numPr>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semiHidden/>
    <w:unhideWhenUsed/>
    <w:qFormat/>
    <w:rsid w:val="00275D3E"/>
    <w:pPr>
      <w:keepNext/>
      <w:keepLines/>
      <w:numPr>
        <w:ilvl w:val="4"/>
        <w:numId w:val="23"/>
      </w:numPr>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semiHidden/>
    <w:unhideWhenUsed/>
    <w:qFormat/>
    <w:rsid w:val="00275D3E"/>
    <w:pPr>
      <w:keepNext/>
      <w:keepLines/>
      <w:numPr>
        <w:ilvl w:val="5"/>
        <w:numId w:val="23"/>
      </w:numPr>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275D3E"/>
    <w:pPr>
      <w:keepNext/>
      <w:keepLines/>
      <w:numPr>
        <w:ilvl w:val="6"/>
        <w:numId w:val="23"/>
      </w:numPr>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275D3E"/>
    <w:pPr>
      <w:keepNext/>
      <w:keepLines/>
      <w:numPr>
        <w:ilvl w:val="7"/>
        <w:numId w:val="23"/>
      </w:numPr>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275D3E"/>
    <w:pPr>
      <w:keepNext/>
      <w:keepLines/>
      <w:numPr>
        <w:ilvl w:val="8"/>
        <w:numId w:val="23"/>
      </w:numPr>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5D3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rsid w:val="00275D3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0"/>
    <w:rsid w:val="00275D3E"/>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0"/>
    <w:rsid w:val="00275D3E"/>
    <w:rPr>
      <w:rFonts w:asciiTheme="minorHAnsi" w:eastAsiaTheme="majorEastAsia" w:hAnsiTheme="minorHAnsi" w:cstheme="majorBidi"/>
      <w:i/>
      <w:iCs/>
      <w:color w:val="365F91" w:themeColor="accent1" w:themeShade="BF"/>
      <w:sz w:val="24"/>
      <w:szCs w:val="24"/>
    </w:rPr>
  </w:style>
  <w:style w:type="character" w:customStyle="1" w:styleId="Heading5Char">
    <w:name w:val="Heading 5 Char"/>
    <w:basedOn w:val="DefaultParagraphFont"/>
    <w:link w:val="Heading5"/>
    <w:semiHidden/>
    <w:rsid w:val="00275D3E"/>
    <w:rPr>
      <w:rFonts w:asciiTheme="minorHAnsi" w:eastAsiaTheme="majorEastAsia" w:hAnsiTheme="minorHAnsi" w:cstheme="majorBidi"/>
      <w:color w:val="365F91" w:themeColor="accent1" w:themeShade="BF"/>
      <w:sz w:val="24"/>
      <w:szCs w:val="24"/>
    </w:rPr>
  </w:style>
  <w:style w:type="character" w:customStyle="1" w:styleId="Heading6Char">
    <w:name w:val="Heading 6 Char"/>
    <w:basedOn w:val="DefaultParagraphFont"/>
    <w:link w:val="Heading6"/>
    <w:semiHidden/>
    <w:rsid w:val="00275D3E"/>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semiHidden/>
    <w:rsid w:val="00275D3E"/>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semiHidden/>
    <w:rsid w:val="00275D3E"/>
    <w:rPr>
      <w:rFonts w:asciiTheme="minorHAnsi" w:eastAsiaTheme="majorEastAsia" w:hAnsiTheme="minorHAnsi" w:cstheme="majorBidi"/>
      <w:i/>
      <w:iCs/>
      <w:color w:val="272727" w:themeColor="text1" w:themeTint="D8"/>
      <w:sz w:val="24"/>
      <w:szCs w:val="24"/>
    </w:rPr>
  </w:style>
  <w:style w:type="character" w:customStyle="1" w:styleId="Heading9Char">
    <w:name w:val="Heading 9 Char"/>
    <w:basedOn w:val="DefaultParagraphFont"/>
    <w:link w:val="Heading9"/>
    <w:semiHidden/>
    <w:rsid w:val="00275D3E"/>
    <w:rPr>
      <w:rFonts w:asciiTheme="minorHAnsi" w:eastAsiaTheme="majorEastAsia" w:hAnsiTheme="minorHAnsi" w:cstheme="majorBidi"/>
      <w:color w:val="272727" w:themeColor="text1" w:themeTint="D8"/>
      <w:sz w:val="24"/>
      <w:szCs w:val="24"/>
    </w:rPr>
  </w:style>
  <w:style w:type="paragraph" w:styleId="Title">
    <w:name w:val="Title"/>
    <w:basedOn w:val="Normal"/>
    <w:next w:val="Normal"/>
    <w:link w:val="TitleChar"/>
    <w:qFormat/>
    <w:rsid w:val="00275D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75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75D3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275D3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75D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5D3E"/>
    <w:rPr>
      <w:i/>
      <w:iCs/>
      <w:color w:val="404040" w:themeColor="text1" w:themeTint="BF"/>
      <w:sz w:val="24"/>
      <w:szCs w:val="24"/>
    </w:rPr>
  </w:style>
  <w:style w:type="paragraph" w:styleId="ListParagraph">
    <w:name w:val="List Paragraph"/>
    <w:aliases w:val="Fiche List Paragraph,OBC Bullet,Dot pt,F5 List Paragraph,List Paragraph1,No Spacing1,List Paragraph Char Char Char,Indicator Text,Colorful List - Accent 11,Numbered Para 1,Bullet 1,Bullet Points,MAIN CONTENT,List Paragraph11,2,Bullet St,L"/>
    <w:basedOn w:val="Normal"/>
    <w:link w:val="ListParagraphChar"/>
    <w:uiPriority w:val="34"/>
    <w:qFormat/>
    <w:rsid w:val="00275D3E"/>
    <w:pPr>
      <w:ind w:left="720"/>
      <w:contextualSpacing/>
    </w:pPr>
  </w:style>
  <w:style w:type="character" w:styleId="IntenseEmphasis">
    <w:name w:val="Intense Emphasis"/>
    <w:basedOn w:val="DefaultParagraphFont"/>
    <w:uiPriority w:val="21"/>
    <w:qFormat/>
    <w:rsid w:val="00275D3E"/>
    <w:rPr>
      <w:i/>
      <w:iCs/>
      <w:color w:val="365F91" w:themeColor="accent1" w:themeShade="BF"/>
    </w:rPr>
  </w:style>
  <w:style w:type="paragraph" w:styleId="IntenseQuote">
    <w:name w:val="Intense Quote"/>
    <w:basedOn w:val="Normal"/>
    <w:next w:val="Normal"/>
    <w:link w:val="IntenseQuoteChar"/>
    <w:uiPriority w:val="30"/>
    <w:qFormat/>
    <w:rsid w:val="00275D3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75D3E"/>
    <w:rPr>
      <w:i/>
      <w:iCs/>
      <w:color w:val="365F91" w:themeColor="accent1" w:themeShade="BF"/>
      <w:sz w:val="24"/>
      <w:szCs w:val="24"/>
    </w:rPr>
  </w:style>
  <w:style w:type="character" w:styleId="IntenseReference">
    <w:name w:val="Intense Reference"/>
    <w:basedOn w:val="DefaultParagraphFont"/>
    <w:uiPriority w:val="32"/>
    <w:qFormat/>
    <w:rsid w:val="00275D3E"/>
    <w:rPr>
      <w:b/>
      <w:bCs/>
      <w:smallCaps/>
      <w:color w:val="365F91" w:themeColor="accent1" w:themeShade="BF"/>
      <w:spacing w:val="5"/>
    </w:rPr>
  </w:style>
  <w:style w:type="character" w:customStyle="1" w:styleId="Marker">
    <w:name w:val="Marker"/>
    <w:basedOn w:val="DefaultParagraphFont"/>
    <w:rsid w:val="00275D3E"/>
    <w:rPr>
      <w:color w:val="0000FF"/>
      <w:shd w:val="clear" w:color="auto" w:fill="auto"/>
    </w:rPr>
  </w:style>
  <w:style w:type="paragraph" w:styleId="Header">
    <w:name w:val="header"/>
    <w:basedOn w:val="Normal"/>
    <w:link w:val="HeaderChar"/>
    <w:unhideWhenUsed/>
    <w:rsid w:val="00275D3E"/>
    <w:pPr>
      <w:tabs>
        <w:tab w:val="center" w:pos="4513"/>
        <w:tab w:val="right" w:pos="9026"/>
      </w:tabs>
    </w:pPr>
  </w:style>
  <w:style w:type="character" w:customStyle="1" w:styleId="HeaderChar">
    <w:name w:val="Header Char"/>
    <w:basedOn w:val="DefaultParagraphFont"/>
    <w:link w:val="Header"/>
    <w:rsid w:val="00275D3E"/>
    <w:rPr>
      <w:sz w:val="24"/>
      <w:szCs w:val="24"/>
    </w:rPr>
  </w:style>
  <w:style w:type="paragraph" w:styleId="Footer">
    <w:name w:val="footer"/>
    <w:basedOn w:val="Normal"/>
    <w:link w:val="FooterChar"/>
    <w:uiPriority w:val="99"/>
    <w:unhideWhenUsed/>
    <w:rsid w:val="00275D3E"/>
    <w:pPr>
      <w:tabs>
        <w:tab w:val="center" w:pos="4513"/>
        <w:tab w:val="right" w:pos="9026"/>
      </w:tabs>
    </w:pPr>
  </w:style>
  <w:style w:type="character" w:customStyle="1" w:styleId="FooterChar">
    <w:name w:val="Footer Char"/>
    <w:basedOn w:val="DefaultParagraphFont"/>
    <w:link w:val="Footer"/>
    <w:uiPriority w:val="99"/>
    <w:rsid w:val="00275D3E"/>
    <w:rPr>
      <w:sz w:val="24"/>
      <w:szCs w:val="24"/>
    </w:rPr>
  </w:style>
  <w:style w:type="paragraph" w:customStyle="1" w:styleId="Pagedecouverture">
    <w:name w:val="Page de couverture"/>
    <w:basedOn w:val="Normal"/>
    <w:next w:val="Normal"/>
    <w:rsid w:val="00275D3E"/>
    <w:pPr>
      <w:jc w:val="both"/>
    </w:pPr>
    <w:rPr>
      <w:rFonts w:eastAsiaTheme="minorHAnsi"/>
      <w:kern w:val="0"/>
      <w:szCs w:val="22"/>
      <w:lang w:eastAsia="en-US"/>
      <w14:ligatures w14:val="none"/>
    </w:rPr>
  </w:style>
  <w:style w:type="paragraph" w:customStyle="1" w:styleId="FooterCoverPage">
    <w:name w:val="Footer Cover Page"/>
    <w:basedOn w:val="Normal"/>
    <w:link w:val="FooterCoverPageChar"/>
    <w:rsid w:val="00275D3E"/>
    <w:pPr>
      <w:tabs>
        <w:tab w:val="center" w:pos="4535"/>
        <w:tab w:val="right" w:pos="9071"/>
        <w:tab w:val="right" w:pos="9921"/>
      </w:tabs>
      <w:spacing w:before="360"/>
      <w:ind w:left="-850" w:right="-850"/>
    </w:pPr>
  </w:style>
  <w:style w:type="character" w:customStyle="1" w:styleId="FooterCoverPageChar">
    <w:name w:val="Footer Cover Page Char"/>
    <w:basedOn w:val="DefaultParagraphFont"/>
    <w:link w:val="FooterCoverPage"/>
    <w:rsid w:val="00275D3E"/>
    <w:rPr>
      <w:sz w:val="24"/>
      <w:szCs w:val="24"/>
    </w:rPr>
  </w:style>
  <w:style w:type="paragraph" w:customStyle="1" w:styleId="FooterSensitivity">
    <w:name w:val="Footer Sensitivity"/>
    <w:basedOn w:val="Normal"/>
    <w:link w:val="FooterSensitivityChar"/>
    <w:rsid w:val="00275D3E"/>
    <w:pPr>
      <w:pBdr>
        <w:top w:val="single" w:sz="4" w:space="1" w:color="auto"/>
        <w:left w:val="single" w:sz="4" w:space="4" w:color="auto"/>
        <w:bottom w:val="single" w:sz="4" w:space="1" w:color="auto"/>
        <w:right w:val="single" w:sz="4" w:space="4" w:color="auto"/>
      </w:pBdr>
      <w:spacing w:before="360"/>
      <w:ind w:left="113" w:right="113"/>
      <w:jc w:val="center"/>
    </w:pPr>
    <w:rPr>
      <w:b/>
      <w:sz w:val="32"/>
    </w:rPr>
  </w:style>
  <w:style w:type="character" w:customStyle="1" w:styleId="FooterSensitivityChar">
    <w:name w:val="Footer Sensitivity Char"/>
    <w:basedOn w:val="DefaultParagraphFont"/>
    <w:link w:val="FooterSensitivity"/>
    <w:rsid w:val="00275D3E"/>
    <w:rPr>
      <w:b/>
      <w:sz w:val="32"/>
      <w:szCs w:val="24"/>
    </w:rPr>
  </w:style>
  <w:style w:type="paragraph" w:customStyle="1" w:styleId="HeaderCoverPage">
    <w:name w:val="Header Cover Page"/>
    <w:basedOn w:val="Normal"/>
    <w:link w:val="HeaderCoverPageChar"/>
    <w:rsid w:val="00275D3E"/>
    <w:pPr>
      <w:tabs>
        <w:tab w:val="center" w:pos="4535"/>
        <w:tab w:val="right" w:pos="9071"/>
      </w:tabs>
      <w:spacing w:after="120"/>
      <w:jc w:val="both"/>
    </w:pPr>
  </w:style>
  <w:style w:type="character" w:customStyle="1" w:styleId="HeaderCoverPageChar">
    <w:name w:val="Header Cover Page Char"/>
    <w:basedOn w:val="DefaultParagraphFont"/>
    <w:link w:val="HeaderCoverPage"/>
    <w:rsid w:val="00275D3E"/>
    <w:rPr>
      <w:sz w:val="24"/>
      <w:szCs w:val="24"/>
    </w:rPr>
  </w:style>
  <w:style w:type="paragraph" w:customStyle="1" w:styleId="HeaderSensitivity">
    <w:name w:val="Header Sensitivity"/>
    <w:basedOn w:val="Normal"/>
    <w:link w:val="HeaderSensitivityChar"/>
    <w:rsid w:val="00275D3E"/>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character" w:customStyle="1" w:styleId="HeaderSensitivityChar">
    <w:name w:val="Header Sensitivity Char"/>
    <w:basedOn w:val="DefaultParagraphFont"/>
    <w:link w:val="HeaderSensitivity"/>
    <w:rsid w:val="00275D3E"/>
    <w:rPr>
      <w:b/>
      <w:sz w:val="32"/>
      <w:szCs w:val="24"/>
    </w:rPr>
  </w:style>
  <w:style w:type="paragraph" w:customStyle="1" w:styleId="HeaderSensitivityRight">
    <w:name w:val="Header Sensitivity Right"/>
    <w:basedOn w:val="Normal"/>
    <w:link w:val="HeaderSensitivityRightChar"/>
    <w:rsid w:val="00275D3E"/>
    <w:pPr>
      <w:spacing w:after="120"/>
      <w:jc w:val="right"/>
    </w:pPr>
    <w:rPr>
      <w:sz w:val="28"/>
    </w:rPr>
  </w:style>
  <w:style w:type="character" w:customStyle="1" w:styleId="HeaderSensitivityRightChar">
    <w:name w:val="Header Sensitivity Right Char"/>
    <w:basedOn w:val="DefaultParagraphFont"/>
    <w:link w:val="HeaderSensitivityRight"/>
    <w:rsid w:val="00275D3E"/>
    <w:rPr>
      <w:sz w:val="28"/>
      <w:szCs w:val="24"/>
    </w:rPr>
  </w:style>
  <w:style w:type="character" w:customStyle="1" w:styleId="BodyPlaceholderText">
    <w:name w:val="BodyPlaceholderText"/>
    <w:basedOn w:val="PlaceholderText"/>
    <w:uiPriority w:val="1"/>
    <w:semiHidden/>
    <w:rsid w:val="00275D3E"/>
    <w:rPr>
      <w:color w:val="3366CC"/>
    </w:rPr>
  </w:style>
  <w:style w:type="character" w:customStyle="1" w:styleId="CrossReference">
    <w:name w:val="Cross Reference"/>
    <w:basedOn w:val="DefaultParagraphFont"/>
    <w:uiPriority w:val="99"/>
    <w:rsid w:val="00275D3E"/>
    <w:rPr>
      <w:i/>
    </w:rPr>
  </w:style>
  <w:style w:type="character" w:customStyle="1" w:styleId="InstructionBlue">
    <w:name w:val="InstructionBlue"/>
    <w:rsid w:val="00275D3E"/>
    <w:rPr>
      <w:i/>
      <w:color w:val="3366CC"/>
    </w:rPr>
  </w:style>
  <w:style w:type="character" w:customStyle="1" w:styleId="InstructionPlaceholder">
    <w:name w:val="InstructionPlaceholder"/>
    <w:rsid w:val="00275D3E"/>
    <w:rPr>
      <w:color w:val="CB3535"/>
    </w:rPr>
  </w:style>
  <w:style w:type="character" w:customStyle="1" w:styleId="InstructionRed">
    <w:name w:val="InstructionRed"/>
    <w:rsid w:val="00275D3E"/>
    <w:rPr>
      <w:i/>
      <w:color w:val="CB3535"/>
    </w:rPr>
  </w:style>
  <w:style w:type="character" w:customStyle="1" w:styleId="MarkingLabel">
    <w:name w:val="MarkingLabel"/>
    <w:semiHidden/>
    <w:rsid w:val="00275D3E"/>
    <w:rPr>
      <w:b/>
      <w:caps/>
      <w:sz w:val="28"/>
    </w:rPr>
  </w:style>
  <w:style w:type="character" w:customStyle="1" w:styleId="MarkingText">
    <w:name w:val="MarkingText"/>
    <w:semiHidden/>
    <w:rsid w:val="00275D3E"/>
    <w:rPr>
      <w:i/>
      <w:sz w:val="28"/>
    </w:rPr>
  </w:style>
  <w:style w:type="character" w:styleId="PlaceholderText">
    <w:name w:val="Placeholder Text"/>
    <w:basedOn w:val="DefaultParagraphFont"/>
    <w:uiPriority w:val="99"/>
    <w:semiHidden/>
    <w:rsid w:val="00275D3E"/>
    <w:rPr>
      <w:color w:val="288061"/>
    </w:rPr>
  </w:style>
  <w:style w:type="paragraph" w:customStyle="1" w:styleId="AfterTable">
    <w:name w:val="After Table"/>
    <w:semiHidden/>
    <w:rsid w:val="00275D3E"/>
    <w:rPr>
      <w:kern w:val="0"/>
      <w:sz w:val="4"/>
      <w:lang w:eastAsia="en-IE"/>
      <w14:ligatures w14:val="none"/>
    </w:rPr>
  </w:style>
  <w:style w:type="paragraph" w:customStyle="1" w:styleId="AnnexTitle">
    <w:name w:val="AnnexTitle"/>
    <w:basedOn w:val="Normal"/>
    <w:next w:val="Normal"/>
    <w:uiPriority w:val="90"/>
    <w:qFormat/>
    <w:rsid w:val="00275D3E"/>
    <w:pPr>
      <w:pageBreakBefore/>
      <w:numPr>
        <w:numId w:val="18"/>
      </w:numPr>
      <w:spacing w:after="480"/>
      <w:jc w:val="both"/>
      <w:outlineLvl w:val="0"/>
    </w:pPr>
    <w:rPr>
      <w:b/>
      <w:kern w:val="0"/>
      <w:sz w:val="32"/>
      <w:szCs w:val="20"/>
      <w:lang w:eastAsia="en-IE"/>
      <w14:ligatures w14:val="none"/>
    </w:rPr>
  </w:style>
  <w:style w:type="paragraph" w:styleId="Caption">
    <w:name w:val="caption"/>
    <w:basedOn w:val="Normal"/>
    <w:next w:val="Normal"/>
    <w:rsid w:val="00275D3E"/>
    <w:pPr>
      <w:spacing w:before="160" w:after="240"/>
      <w:jc w:val="both"/>
    </w:pPr>
    <w:rPr>
      <w:i/>
      <w:kern w:val="0"/>
      <w:sz w:val="22"/>
      <w:szCs w:val="20"/>
      <w:lang w:eastAsia="en-IE"/>
      <w14:ligatures w14:val="none"/>
    </w:rPr>
  </w:style>
  <w:style w:type="paragraph" w:customStyle="1" w:styleId="ChapterTitle">
    <w:name w:val="ChapterTitle"/>
    <w:basedOn w:val="Normal"/>
    <w:next w:val="SectionTitle"/>
    <w:uiPriority w:val="90"/>
    <w:qFormat/>
    <w:rsid w:val="00275D3E"/>
    <w:pPr>
      <w:keepNext/>
      <w:spacing w:after="480"/>
      <w:jc w:val="center"/>
      <w:outlineLvl w:val="0"/>
    </w:pPr>
    <w:rPr>
      <w:b/>
      <w:kern w:val="0"/>
      <w:sz w:val="32"/>
      <w:szCs w:val="20"/>
      <w:lang w:eastAsia="en-IE"/>
      <w14:ligatures w14:val="none"/>
    </w:rPr>
  </w:style>
  <w:style w:type="paragraph" w:customStyle="1" w:styleId="ConfidentialUE">
    <w:name w:val="Confidential UE"/>
    <w:basedOn w:val="Normal"/>
    <w:rsid w:val="00275D3E"/>
    <w:pPr>
      <w:jc w:val="center"/>
    </w:pPr>
    <w:rPr>
      <w:b/>
      <w:caps/>
      <w:kern w:val="0"/>
      <w:sz w:val="32"/>
      <w:szCs w:val="20"/>
      <w:bdr w:val="single" w:sz="18" w:space="0" w:color="auto"/>
      <w:lang w:eastAsia="en-IE"/>
      <w14:ligatures w14:val="none"/>
    </w:rPr>
  </w:style>
  <w:style w:type="paragraph" w:customStyle="1" w:styleId="Contact">
    <w:name w:val="Contact"/>
    <w:basedOn w:val="Normal"/>
    <w:uiPriority w:val="99"/>
    <w:rsid w:val="00275D3E"/>
    <w:pPr>
      <w:spacing w:before="480"/>
      <w:ind w:left="567" w:hanging="567"/>
      <w:contextualSpacing/>
    </w:pPr>
    <w:rPr>
      <w:kern w:val="0"/>
      <w:szCs w:val="20"/>
      <w:lang w:eastAsia="en-IE"/>
      <w14:ligatures w14:val="none"/>
    </w:rPr>
  </w:style>
  <w:style w:type="paragraph" w:customStyle="1" w:styleId="ContNum">
    <w:name w:val="ContNum"/>
    <w:basedOn w:val="Normal"/>
    <w:uiPriority w:val="90"/>
    <w:qFormat/>
    <w:rsid w:val="00275D3E"/>
    <w:pPr>
      <w:numPr>
        <w:numId w:val="17"/>
      </w:numPr>
      <w:spacing w:after="240"/>
      <w:jc w:val="both"/>
    </w:pPr>
    <w:rPr>
      <w:kern w:val="0"/>
      <w:szCs w:val="20"/>
      <w:lang w:eastAsia="en-IE"/>
      <w14:ligatures w14:val="none"/>
    </w:rPr>
  </w:style>
  <w:style w:type="paragraph" w:customStyle="1" w:styleId="ContNumLevel2">
    <w:name w:val="ContNum (Level 2)"/>
    <w:basedOn w:val="Normal"/>
    <w:rsid w:val="00275D3E"/>
    <w:pPr>
      <w:numPr>
        <w:ilvl w:val="1"/>
        <w:numId w:val="17"/>
      </w:numPr>
      <w:spacing w:after="240"/>
      <w:jc w:val="both"/>
    </w:pPr>
    <w:rPr>
      <w:kern w:val="0"/>
      <w:szCs w:val="20"/>
      <w:lang w:eastAsia="en-IE"/>
      <w14:ligatures w14:val="none"/>
    </w:rPr>
  </w:style>
  <w:style w:type="paragraph" w:customStyle="1" w:styleId="ContNumLevel3">
    <w:name w:val="ContNum (Level 3)"/>
    <w:basedOn w:val="Normal"/>
    <w:rsid w:val="00275D3E"/>
    <w:pPr>
      <w:numPr>
        <w:ilvl w:val="2"/>
        <w:numId w:val="17"/>
      </w:numPr>
      <w:spacing w:after="240"/>
      <w:jc w:val="both"/>
    </w:pPr>
    <w:rPr>
      <w:kern w:val="0"/>
      <w:szCs w:val="20"/>
      <w:lang w:eastAsia="en-IE"/>
      <w14:ligatures w14:val="none"/>
    </w:rPr>
  </w:style>
  <w:style w:type="paragraph" w:styleId="Date">
    <w:name w:val="Date"/>
    <w:basedOn w:val="Normal"/>
    <w:next w:val="References"/>
    <w:link w:val="DateChar"/>
    <w:rsid w:val="00275D3E"/>
    <w:pPr>
      <w:ind w:left="5102" w:right="-567"/>
    </w:pPr>
    <w:rPr>
      <w:kern w:val="0"/>
      <w:szCs w:val="20"/>
      <w:lang w:eastAsia="en-IE"/>
      <w14:ligatures w14:val="none"/>
    </w:rPr>
  </w:style>
  <w:style w:type="character" w:customStyle="1" w:styleId="DateChar">
    <w:name w:val="Date Char"/>
    <w:basedOn w:val="DefaultParagraphFont"/>
    <w:link w:val="Date"/>
    <w:rsid w:val="00275D3E"/>
    <w:rPr>
      <w:kern w:val="0"/>
      <w:sz w:val="24"/>
      <w:lang w:eastAsia="en-IE"/>
      <w14:ligatures w14:val="none"/>
    </w:rPr>
  </w:style>
  <w:style w:type="paragraph" w:customStyle="1" w:styleId="Designator">
    <w:name w:val="Designator"/>
    <w:basedOn w:val="Normal"/>
    <w:rsid w:val="00275D3E"/>
    <w:pPr>
      <w:jc w:val="center"/>
    </w:pPr>
    <w:rPr>
      <w:b/>
      <w:caps/>
      <w:kern w:val="0"/>
      <w:sz w:val="32"/>
      <w:szCs w:val="20"/>
      <w:lang w:eastAsia="en-IE"/>
      <w14:ligatures w14:val="none"/>
    </w:rPr>
  </w:style>
  <w:style w:type="paragraph" w:customStyle="1" w:styleId="DoubSign">
    <w:name w:val="DoubSign"/>
    <w:basedOn w:val="Normal"/>
    <w:rsid w:val="00275D3E"/>
    <w:pPr>
      <w:spacing w:before="1200"/>
    </w:pPr>
    <w:rPr>
      <w:kern w:val="0"/>
      <w:szCs w:val="20"/>
      <w:lang w:eastAsia="en-IE"/>
      <w14:ligatures w14:val="none"/>
    </w:rPr>
  </w:style>
  <w:style w:type="paragraph" w:customStyle="1" w:styleId="EmptyParagraph">
    <w:name w:val="Empty Paragraph"/>
    <w:basedOn w:val="Normal"/>
    <w:next w:val="Normal"/>
    <w:semiHidden/>
    <w:rsid w:val="00275D3E"/>
    <w:pPr>
      <w:spacing w:before="240" w:after="240"/>
      <w:jc w:val="both"/>
    </w:pPr>
    <w:rPr>
      <w:kern w:val="0"/>
      <w:szCs w:val="20"/>
      <w:lang w:eastAsia="en-IE"/>
      <w14:ligatures w14:val="none"/>
    </w:rPr>
  </w:style>
  <w:style w:type="paragraph" w:styleId="EndnoteText">
    <w:name w:val="endnote text"/>
    <w:basedOn w:val="Normal"/>
    <w:link w:val="EndnoteTextChar"/>
    <w:semiHidden/>
    <w:unhideWhenUsed/>
    <w:rsid w:val="00275D3E"/>
    <w:pPr>
      <w:spacing w:after="240"/>
      <w:jc w:val="both"/>
    </w:pPr>
    <w:rPr>
      <w:kern w:val="0"/>
      <w:sz w:val="20"/>
      <w:szCs w:val="20"/>
      <w:lang w:eastAsia="en-IE"/>
      <w14:ligatures w14:val="none"/>
    </w:rPr>
  </w:style>
  <w:style w:type="character" w:customStyle="1" w:styleId="EndnoteTextChar">
    <w:name w:val="Endnote Text Char"/>
    <w:basedOn w:val="DefaultParagraphFont"/>
    <w:link w:val="EndnoteText"/>
    <w:semiHidden/>
    <w:rsid w:val="00275D3E"/>
    <w:rPr>
      <w:kern w:val="0"/>
      <w:lang w:eastAsia="en-IE"/>
      <w14:ligatures w14:val="none"/>
    </w:rPr>
  </w:style>
  <w:style w:type="paragraph" w:customStyle="1" w:styleId="FigureBody">
    <w:name w:val="Figure Body"/>
    <w:basedOn w:val="Normal"/>
    <w:next w:val="FigureSource"/>
    <w:uiPriority w:val="7"/>
    <w:rsid w:val="00275D3E"/>
    <w:pPr>
      <w:keepNext/>
      <w:spacing w:after="40"/>
      <w:jc w:val="both"/>
    </w:pPr>
    <w:rPr>
      <w:kern w:val="0"/>
      <w:szCs w:val="20"/>
      <w:lang w:eastAsia="en-IE"/>
      <w14:ligatures w14:val="none"/>
    </w:rPr>
  </w:style>
  <w:style w:type="paragraph" w:customStyle="1" w:styleId="FigureBody1">
    <w:name w:val="Figure Body 1"/>
    <w:basedOn w:val="Text1"/>
    <w:next w:val="FigureSource1"/>
    <w:uiPriority w:val="2"/>
    <w:rsid w:val="00275D3E"/>
    <w:pPr>
      <w:keepNext/>
      <w:spacing w:after="40"/>
    </w:pPr>
  </w:style>
  <w:style w:type="paragraph" w:customStyle="1" w:styleId="FigureBody2">
    <w:name w:val="Figure Body 2"/>
    <w:basedOn w:val="Text2"/>
    <w:next w:val="FigureSource2"/>
    <w:uiPriority w:val="2"/>
    <w:rsid w:val="00275D3E"/>
    <w:pPr>
      <w:keepNext/>
      <w:spacing w:after="40"/>
    </w:pPr>
  </w:style>
  <w:style w:type="paragraph" w:customStyle="1" w:styleId="FigureBody3">
    <w:name w:val="Figure Body 3"/>
    <w:basedOn w:val="Text3"/>
    <w:next w:val="FigureSource3"/>
    <w:uiPriority w:val="2"/>
    <w:rsid w:val="00275D3E"/>
    <w:pPr>
      <w:keepNext/>
      <w:spacing w:after="40"/>
    </w:pPr>
  </w:style>
  <w:style w:type="paragraph" w:customStyle="1" w:styleId="FigureBody4">
    <w:name w:val="Figure Body 4"/>
    <w:basedOn w:val="Text4"/>
    <w:next w:val="FigureSource4"/>
    <w:uiPriority w:val="2"/>
    <w:rsid w:val="00275D3E"/>
    <w:pPr>
      <w:keepNext/>
      <w:spacing w:after="40"/>
    </w:pPr>
  </w:style>
  <w:style w:type="paragraph" w:customStyle="1" w:styleId="FigureSource">
    <w:name w:val="Figure Source"/>
    <w:basedOn w:val="Normal"/>
    <w:next w:val="Normal"/>
    <w:uiPriority w:val="7"/>
    <w:rsid w:val="00275D3E"/>
    <w:pPr>
      <w:spacing w:after="240"/>
      <w:jc w:val="both"/>
    </w:pPr>
    <w:rPr>
      <w:kern w:val="0"/>
      <w:sz w:val="20"/>
      <w:szCs w:val="20"/>
      <w:lang w:eastAsia="en-IE"/>
      <w14:ligatures w14:val="none"/>
    </w:rPr>
  </w:style>
  <w:style w:type="paragraph" w:customStyle="1" w:styleId="FigureSource1">
    <w:name w:val="Figure Source 1"/>
    <w:basedOn w:val="Text1"/>
    <w:next w:val="Text1"/>
    <w:uiPriority w:val="2"/>
    <w:rsid w:val="00275D3E"/>
    <w:rPr>
      <w:sz w:val="20"/>
    </w:rPr>
  </w:style>
  <w:style w:type="paragraph" w:customStyle="1" w:styleId="FigureSource2">
    <w:name w:val="Figure Source 2"/>
    <w:basedOn w:val="Text2"/>
    <w:next w:val="Text2"/>
    <w:uiPriority w:val="2"/>
    <w:rsid w:val="00275D3E"/>
    <w:rPr>
      <w:sz w:val="20"/>
    </w:rPr>
  </w:style>
  <w:style w:type="paragraph" w:customStyle="1" w:styleId="FigureSource3">
    <w:name w:val="Figure Source 3"/>
    <w:basedOn w:val="Text3"/>
    <w:next w:val="Text3"/>
    <w:uiPriority w:val="2"/>
    <w:rsid w:val="00275D3E"/>
    <w:rPr>
      <w:sz w:val="20"/>
    </w:rPr>
  </w:style>
  <w:style w:type="paragraph" w:customStyle="1" w:styleId="FigureSource4">
    <w:name w:val="Figure Source 4"/>
    <w:basedOn w:val="Text4"/>
    <w:next w:val="Text4"/>
    <w:uiPriority w:val="2"/>
    <w:rsid w:val="00275D3E"/>
    <w:rPr>
      <w:sz w:val="20"/>
    </w:rPr>
  </w:style>
  <w:style w:type="paragraph" w:customStyle="1" w:styleId="FigureTitle">
    <w:name w:val="Figure Title"/>
    <w:basedOn w:val="Normal"/>
    <w:next w:val="FigureBody"/>
    <w:uiPriority w:val="6"/>
    <w:rsid w:val="00275D3E"/>
    <w:pPr>
      <w:keepNext/>
      <w:spacing w:after="120"/>
      <w:jc w:val="both"/>
    </w:pPr>
    <w:rPr>
      <w:b/>
      <w:i/>
      <w:kern w:val="0"/>
      <w:szCs w:val="20"/>
      <w:lang w:eastAsia="en-IE"/>
      <w14:ligatures w14:val="none"/>
    </w:rPr>
  </w:style>
  <w:style w:type="paragraph" w:customStyle="1" w:styleId="FigureTitle1">
    <w:name w:val="Figure Title 1"/>
    <w:basedOn w:val="Text1"/>
    <w:next w:val="FigureBody1"/>
    <w:uiPriority w:val="2"/>
    <w:rsid w:val="00275D3E"/>
    <w:pPr>
      <w:keepNext/>
      <w:spacing w:after="120"/>
    </w:pPr>
    <w:rPr>
      <w:b/>
      <w:i/>
    </w:rPr>
  </w:style>
  <w:style w:type="paragraph" w:customStyle="1" w:styleId="FigureTitle2">
    <w:name w:val="Figure Title 2"/>
    <w:basedOn w:val="Text2"/>
    <w:next w:val="FigureBody2"/>
    <w:uiPriority w:val="2"/>
    <w:rsid w:val="00275D3E"/>
    <w:pPr>
      <w:keepNext/>
      <w:spacing w:after="120"/>
    </w:pPr>
    <w:rPr>
      <w:b/>
      <w:i/>
    </w:rPr>
  </w:style>
  <w:style w:type="paragraph" w:customStyle="1" w:styleId="FigureTitle3">
    <w:name w:val="Figure Title 3"/>
    <w:basedOn w:val="Text3"/>
    <w:next w:val="FigureBody3"/>
    <w:uiPriority w:val="2"/>
    <w:rsid w:val="00275D3E"/>
    <w:pPr>
      <w:keepNext/>
      <w:spacing w:after="120"/>
    </w:pPr>
    <w:rPr>
      <w:b/>
      <w:i/>
    </w:rPr>
  </w:style>
  <w:style w:type="paragraph" w:customStyle="1" w:styleId="FigureTitle4">
    <w:name w:val="Figure Title 4"/>
    <w:basedOn w:val="Text4"/>
    <w:next w:val="FigureBody4"/>
    <w:uiPriority w:val="2"/>
    <w:rsid w:val="00275D3E"/>
    <w:pPr>
      <w:keepNext/>
      <w:spacing w:after="120"/>
    </w:pPr>
    <w:rPr>
      <w:b/>
      <w:i/>
    </w:rPr>
  </w:style>
  <w:style w:type="paragraph" w:customStyle="1" w:styleId="FooterLine">
    <w:name w:val="Footer Line"/>
    <w:basedOn w:val="Footer"/>
    <w:next w:val="Footer"/>
    <w:uiPriority w:val="99"/>
    <w:rsid w:val="00275D3E"/>
    <w:pPr>
      <w:tabs>
        <w:tab w:val="clear" w:pos="4513"/>
        <w:tab w:val="clear" w:pos="9026"/>
        <w:tab w:val="right" w:pos="8646"/>
      </w:tabs>
      <w:spacing w:before="120" w:line="264" w:lineRule="auto"/>
      <w:jc w:val="both"/>
    </w:pPr>
    <w:rPr>
      <w:kern w:val="0"/>
      <w:sz w:val="16"/>
      <w:szCs w:val="20"/>
      <w:lang w:eastAsia="en-IE"/>
      <w14:ligatures w14:val="none"/>
    </w:rPr>
  </w:style>
  <w:style w:type="paragraph" w:styleId="FootnoteText">
    <w:name w:val="footnote text"/>
    <w:aliases w:val="Footnote text, Char, Char1, Char1 Char, Char2, Char3, Char11, Char1 Char2, Char21, Char4, Char12, Char1 Char3, Char22, Char5, Char13, Char1 Char4, Char23, Char6, Char14, Char1 Char5, Char24, Char7, Char15, Char1 Char6, Char25, Char8,fn,ft"/>
    <w:basedOn w:val="Normal"/>
    <w:link w:val="FootnoteTextChar"/>
    <w:uiPriority w:val="99"/>
    <w:unhideWhenUsed/>
    <w:qFormat/>
    <w:rsid w:val="00275D3E"/>
    <w:pPr>
      <w:spacing w:after="120"/>
      <w:ind w:left="357" w:hanging="357"/>
      <w:jc w:val="both"/>
    </w:pPr>
    <w:rPr>
      <w:kern w:val="0"/>
      <w:sz w:val="20"/>
      <w:szCs w:val="20"/>
      <w:lang w:eastAsia="en-IE"/>
      <w14:ligatures w14:val="none"/>
    </w:rPr>
  </w:style>
  <w:style w:type="character" w:customStyle="1" w:styleId="FootnoteTextChar">
    <w:name w:val="Footnote Text Char"/>
    <w:aliases w:val="Footnote text Char, Char Char, Char1 Char1, Char1 Char Char, Char2 Char, Char3 Char, Char11 Char, Char1 Char2 Char, Char21 Char, Char4 Char, Char12 Char, Char1 Char3 Char, Char22 Char, Char5 Char, Char13 Char, Char1 Char4 Char,fn Char"/>
    <w:basedOn w:val="DefaultParagraphFont"/>
    <w:link w:val="FootnoteText"/>
    <w:uiPriority w:val="99"/>
    <w:qFormat/>
    <w:rsid w:val="00275D3E"/>
    <w:rPr>
      <w:kern w:val="0"/>
      <w:lang w:eastAsia="en-IE"/>
      <w14:ligatures w14:val="none"/>
    </w:rPr>
  </w:style>
  <w:style w:type="paragraph" w:customStyle="1" w:styleId="HistoryTable">
    <w:name w:val="HistoryTable"/>
    <w:basedOn w:val="Normal"/>
    <w:rsid w:val="00275D3E"/>
    <w:pPr>
      <w:spacing w:before="60" w:after="60"/>
    </w:pPr>
    <w:rPr>
      <w:kern w:val="0"/>
      <w:sz w:val="20"/>
      <w:szCs w:val="20"/>
      <w:lang w:eastAsia="en-IE"/>
      <w14:ligatures w14:val="none"/>
    </w:rPr>
  </w:style>
  <w:style w:type="paragraph" w:customStyle="1" w:styleId="HistTableHeading">
    <w:name w:val="HistTableHeading"/>
    <w:basedOn w:val="Normal"/>
    <w:next w:val="HistoryTable"/>
    <w:rsid w:val="00275D3E"/>
    <w:pPr>
      <w:spacing w:before="240" w:after="240"/>
      <w:jc w:val="center"/>
    </w:pPr>
    <w:rPr>
      <w:rFonts w:ascii="Times New Roman Bold" w:hAnsi="Times New Roman Bold"/>
      <w:b/>
      <w:caps/>
      <w:kern w:val="0"/>
      <w:szCs w:val="20"/>
      <w:lang w:eastAsia="en-IE"/>
      <w14:ligatures w14:val="none"/>
    </w:rPr>
  </w:style>
  <w:style w:type="paragraph" w:customStyle="1" w:styleId="LegalNumPar">
    <w:name w:val="LegalNumPar"/>
    <w:basedOn w:val="Normal"/>
    <w:link w:val="LegalNumParChar"/>
    <w:qFormat/>
    <w:rsid w:val="00275D3E"/>
    <w:pPr>
      <w:numPr>
        <w:numId w:val="16"/>
      </w:numPr>
      <w:spacing w:after="240" w:line="360" w:lineRule="auto"/>
      <w:jc w:val="both"/>
    </w:pPr>
    <w:rPr>
      <w:kern w:val="0"/>
      <w:szCs w:val="20"/>
      <w:lang w:eastAsia="en-IE"/>
      <w14:ligatures w14:val="none"/>
    </w:rPr>
  </w:style>
  <w:style w:type="paragraph" w:customStyle="1" w:styleId="LegalNumPar2">
    <w:name w:val="LegalNumPar2"/>
    <w:basedOn w:val="Normal"/>
    <w:rsid w:val="00275D3E"/>
    <w:pPr>
      <w:numPr>
        <w:ilvl w:val="1"/>
        <w:numId w:val="16"/>
      </w:numPr>
      <w:spacing w:after="240" w:line="360" w:lineRule="auto"/>
      <w:jc w:val="both"/>
    </w:pPr>
    <w:rPr>
      <w:kern w:val="0"/>
      <w:szCs w:val="20"/>
      <w:lang w:eastAsia="en-IE"/>
      <w14:ligatures w14:val="none"/>
    </w:rPr>
  </w:style>
  <w:style w:type="paragraph" w:customStyle="1" w:styleId="LegalNumPar3">
    <w:name w:val="LegalNumPar3"/>
    <w:basedOn w:val="Normal"/>
    <w:rsid w:val="00275D3E"/>
    <w:pPr>
      <w:numPr>
        <w:ilvl w:val="2"/>
        <w:numId w:val="16"/>
      </w:numPr>
      <w:spacing w:after="240" w:line="360" w:lineRule="auto"/>
      <w:jc w:val="both"/>
    </w:pPr>
    <w:rPr>
      <w:kern w:val="0"/>
      <w:szCs w:val="20"/>
      <w:lang w:eastAsia="en-IE"/>
      <w14:ligatures w14:val="none"/>
    </w:rPr>
  </w:style>
  <w:style w:type="paragraph" w:styleId="ListBullet">
    <w:name w:val="List Bullet"/>
    <w:basedOn w:val="Normal"/>
    <w:rsid w:val="00275D3E"/>
    <w:pPr>
      <w:numPr>
        <w:numId w:val="15"/>
      </w:numPr>
      <w:spacing w:after="240"/>
      <w:jc w:val="both"/>
    </w:pPr>
    <w:rPr>
      <w:kern w:val="0"/>
      <w:szCs w:val="20"/>
      <w:lang w:eastAsia="en-IE"/>
      <w14:ligatures w14:val="none"/>
    </w:rPr>
  </w:style>
  <w:style w:type="paragraph" w:customStyle="1" w:styleId="ListBulletLevel2">
    <w:name w:val="List Bullet (Level 2)"/>
    <w:basedOn w:val="Normal"/>
    <w:rsid w:val="00275D3E"/>
    <w:pPr>
      <w:numPr>
        <w:ilvl w:val="1"/>
        <w:numId w:val="15"/>
      </w:numPr>
      <w:spacing w:after="240"/>
      <w:jc w:val="both"/>
    </w:pPr>
    <w:rPr>
      <w:kern w:val="0"/>
      <w:szCs w:val="20"/>
      <w:lang w:eastAsia="en-IE"/>
      <w14:ligatures w14:val="none"/>
    </w:rPr>
  </w:style>
  <w:style w:type="paragraph" w:customStyle="1" w:styleId="ListBulletLevel3">
    <w:name w:val="List Bullet (Level 3)"/>
    <w:basedOn w:val="Normal"/>
    <w:semiHidden/>
    <w:unhideWhenUsed/>
    <w:rsid w:val="00275D3E"/>
    <w:pPr>
      <w:numPr>
        <w:ilvl w:val="2"/>
        <w:numId w:val="15"/>
      </w:numPr>
      <w:spacing w:after="240"/>
      <w:jc w:val="both"/>
    </w:pPr>
    <w:rPr>
      <w:kern w:val="0"/>
      <w:szCs w:val="20"/>
      <w:lang w:eastAsia="en-IE"/>
      <w14:ligatures w14:val="none"/>
    </w:rPr>
  </w:style>
  <w:style w:type="paragraph" w:customStyle="1" w:styleId="ListBulletLevel4">
    <w:name w:val="List Bullet (Level 4)"/>
    <w:basedOn w:val="Normal"/>
    <w:semiHidden/>
    <w:unhideWhenUsed/>
    <w:rsid w:val="00275D3E"/>
    <w:pPr>
      <w:numPr>
        <w:ilvl w:val="3"/>
        <w:numId w:val="15"/>
      </w:numPr>
      <w:spacing w:after="240"/>
      <w:jc w:val="both"/>
    </w:pPr>
    <w:rPr>
      <w:kern w:val="0"/>
      <w:szCs w:val="20"/>
      <w:lang w:eastAsia="en-IE"/>
      <w14:ligatures w14:val="none"/>
    </w:rPr>
  </w:style>
  <w:style w:type="paragraph" w:customStyle="1" w:styleId="ListBullet1">
    <w:name w:val="List Bullet 1"/>
    <w:basedOn w:val="Text1"/>
    <w:rsid w:val="00275D3E"/>
    <w:pPr>
      <w:numPr>
        <w:numId w:val="14"/>
      </w:numPr>
    </w:pPr>
  </w:style>
  <w:style w:type="paragraph" w:customStyle="1" w:styleId="ListBullet1Level2">
    <w:name w:val="List Bullet 1 (Level 2)"/>
    <w:basedOn w:val="Text1"/>
    <w:rsid w:val="00275D3E"/>
    <w:pPr>
      <w:numPr>
        <w:ilvl w:val="1"/>
        <w:numId w:val="14"/>
      </w:numPr>
    </w:pPr>
  </w:style>
  <w:style w:type="paragraph" w:customStyle="1" w:styleId="ListBullet1Level3">
    <w:name w:val="List Bullet 1 (Level 3)"/>
    <w:basedOn w:val="Text1"/>
    <w:semiHidden/>
    <w:unhideWhenUsed/>
    <w:rsid w:val="00275D3E"/>
    <w:pPr>
      <w:numPr>
        <w:ilvl w:val="2"/>
        <w:numId w:val="14"/>
      </w:numPr>
    </w:pPr>
  </w:style>
  <w:style w:type="paragraph" w:customStyle="1" w:styleId="ListBullet1Level4">
    <w:name w:val="List Bullet 1 (Level 4)"/>
    <w:basedOn w:val="Text1"/>
    <w:semiHidden/>
    <w:unhideWhenUsed/>
    <w:rsid w:val="00275D3E"/>
    <w:pPr>
      <w:numPr>
        <w:ilvl w:val="3"/>
        <w:numId w:val="14"/>
      </w:numPr>
    </w:pPr>
  </w:style>
  <w:style w:type="paragraph" w:styleId="ListBullet2">
    <w:name w:val="List Bullet 2"/>
    <w:basedOn w:val="Text2"/>
    <w:rsid w:val="00275D3E"/>
    <w:pPr>
      <w:numPr>
        <w:numId w:val="13"/>
      </w:numPr>
    </w:pPr>
  </w:style>
  <w:style w:type="paragraph" w:customStyle="1" w:styleId="ListBullet2Level2">
    <w:name w:val="List Bullet 2 (Level 2)"/>
    <w:basedOn w:val="Text2"/>
    <w:rsid w:val="00275D3E"/>
    <w:pPr>
      <w:numPr>
        <w:ilvl w:val="1"/>
        <w:numId w:val="13"/>
      </w:numPr>
    </w:pPr>
  </w:style>
  <w:style w:type="paragraph" w:customStyle="1" w:styleId="ListBullet2Level3">
    <w:name w:val="List Bullet 2 (Level 3)"/>
    <w:basedOn w:val="Text2"/>
    <w:semiHidden/>
    <w:unhideWhenUsed/>
    <w:rsid w:val="00275D3E"/>
    <w:pPr>
      <w:numPr>
        <w:ilvl w:val="2"/>
        <w:numId w:val="13"/>
      </w:numPr>
    </w:pPr>
  </w:style>
  <w:style w:type="paragraph" w:customStyle="1" w:styleId="ListBullet2Level4">
    <w:name w:val="List Bullet 2 (Level 4)"/>
    <w:basedOn w:val="Text2"/>
    <w:semiHidden/>
    <w:unhideWhenUsed/>
    <w:rsid w:val="00275D3E"/>
    <w:pPr>
      <w:numPr>
        <w:ilvl w:val="3"/>
        <w:numId w:val="13"/>
      </w:numPr>
    </w:pPr>
  </w:style>
  <w:style w:type="paragraph" w:styleId="ListBullet3">
    <w:name w:val="List Bullet 3"/>
    <w:basedOn w:val="Text3"/>
    <w:rsid w:val="00275D3E"/>
    <w:pPr>
      <w:numPr>
        <w:numId w:val="12"/>
      </w:numPr>
    </w:pPr>
  </w:style>
  <w:style w:type="paragraph" w:customStyle="1" w:styleId="ListBullet3Level2">
    <w:name w:val="List Bullet 3 (Level 2)"/>
    <w:basedOn w:val="Text3"/>
    <w:rsid w:val="00275D3E"/>
    <w:pPr>
      <w:numPr>
        <w:ilvl w:val="1"/>
        <w:numId w:val="12"/>
      </w:numPr>
    </w:pPr>
  </w:style>
  <w:style w:type="paragraph" w:customStyle="1" w:styleId="ListBullet3Level3">
    <w:name w:val="List Bullet 3 (Level 3)"/>
    <w:basedOn w:val="Text3"/>
    <w:semiHidden/>
    <w:unhideWhenUsed/>
    <w:rsid w:val="00275D3E"/>
    <w:pPr>
      <w:numPr>
        <w:ilvl w:val="2"/>
        <w:numId w:val="12"/>
      </w:numPr>
    </w:pPr>
  </w:style>
  <w:style w:type="paragraph" w:customStyle="1" w:styleId="ListBullet3Level4">
    <w:name w:val="List Bullet 3 (Level 4)"/>
    <w:basedOn w:val="Text3"/>
    <w:semiHidden/>
    <w:unhideWhenUsed/>
    <w:rsid w:val="00275D3E"/>
    <w:pPr>
      <w:numPr>
        <w:ilvl w:val="3"/>
        <w:numId w:val="12"/>
      </w:numPr>
    </w:pPr>
  </w:style>
  <w:style w:type="paragraph" w:styleId="ListBullet4">
    <w:name w:val="List Bullet 4"/>
    <w:basedOn w:val="Text4"/>
    <w:rsid w:val="00275D3E"/>
    <w:pPr>
      <w:numPr>
        <w:numId w:val="11"/>
      </w:numPr>
    </w:pPr>
  </w:style>
  <w:style w:type="paragraph" w:customStyle="1" w:styleId="ListBullet4Level2">
    <w:name w:val="List Bullet 4 (Level 2)"/>
    <w:basedOn w:val="Text4"/>
    <w:rsid w:val="00275D3E"/>
    <w:pPr>
      <w:numPr>
        <w:ilvl w:val="1"/>
        <w:numId w:val="11"/>
      </w:numPr>
    </w:pPr>
  </w:style>
  <w:style w:type="paragraph" w:customStyle="1" w:styleId="ListBullet4Level3">
    <w:name w:val="List Bullet 4 (Level 3)"/>
    <w:basedOn w:val="Text4"/>
    <w:semiHidden/>
    <w:unhideWhenUsed/>
    <w:rsid w:val="00275D3E"/>
    <w:pPr>
      <w:numPr>
        <w:ilvl w:val="2"/>
        <w:numId w:val="11"/>
      </w:numPr>
    </w:pPr>
  </w:style>
  <w:style w:type="paragraph" w:customStyle="1" w:styleId="ListBullet4Level4">
    <w:name w:val="List Bullet 4 (Level 4)"/>
    <w:basedOn w:val="Text4"/>
    <w:semiHidden/>
    <w:unhideWhenUsed/>
    <w:rsid w:val="00275D3E"/>
    <w:pPr>
      <w:numPr>
        <w:ilvl w:val="3"/>
        <w:numId w:val="11"/>
      </w:numPr>
    </w:pPr>
  </w:style>
  <w:style w:type="paragraph" w:customStyle="1" w:styleId="ListDash">
    <w:name w:val="List Dash"/>
    <w:basedOn w:val="Normal"/>
    <w:rsid w:val="00275D3E"/>
    <w:pPr>
      <w:numPr>
        <w:numId w:val="5"/>
      </w:numPr>
      <w:spacing w:after="240"/>
      <w:jc w:val="both"/>
    </w:pPr>
    <w:rPr>
      <w:kern w:val="0"/>
      <w:szCs w:val="20"/>
      <w:lang w:eastAsia="en-IE"/>
      <w14:ligatures w14:val="none"/>
    </w:rPr>
  </w:style>
  <w:style w:type="paragraph" w:customStyle="1" w:styleId="ListDashLevel2">
    <w:name w:val="List Dash (Level 2)"/>
    <w:basedOn w:val="Normal"/>
    <w:rsid w:val="00275D3E"/>
    <w:pPr>
      <w:numPr>
        <w:ilvl w:val="1"/>
        <w:numId w:val="5"/>
      </w:numPr>
      <w:spacing w:after="240"/>
      <w:jc w:val="both"/>
    </w:pPr>
    <w:rPr>
      <w:kern w:val="0"/>
      <w:szCs w:val="20"/>
      <w:lang w:eastAsia="en-IE"/>
      <w14:ligatures w14:val="none"/>
    </w:rPr>
  </w:style>
  <w:style w:type="paragraph" w:customStyle="1" w:styleId="ListDashLevel3">
    <w:name w:val="List Dash (Level 3)"/>
    <w:basedOn w:val="Normal"/>
    <w:semiHidden/>
    <w:unhideWhenUsed/>
    <w:rsid w:val="00275D3E"/>
    <w:pPr>
      <w:numPr>
        <w:ilvl w:val="2"/>
        <w:numId w:val="5"/>
      </w:numPr>
      <w:spacing w:after="240"/>
      <w:jc w:val="both"/>
    </w:pPr>
    <w:rPr>
      <w:kern w:val="0"/>
      <w:szCs w:val="20"/>
      <w:lang w:eastAsia="en-IE"/>
      <w14:ligatures w14:val="none"/>
    </w:rPr>
  </w:style>
  <w:style w:type="paragraph" w:customStyle="1" w:styleId="ListDashLevel4">
    <w:name w:val="List Dash (Level 4)"/>
    <w:basedOn w:val="Normal"/>
    <w:semiHidden/>
    <w:unhideWhenUsed/>
    <w:rsid w:val="00275D3E"/>
    <w:pPr>
      <w:numPr>
        <w:ilvl w:val="3"/>
        <w:numId w:val="5"/>
      </w:numPr>
      <w:spacing w:after="240"/>
      <w:jc w:val="both"/>
    </w:pPr>
    <w:rPr>
      <w:kern w:val="0"/>
      <w:szCs w:val="20"/>
      <w:lang w:eastAsia="en-IE"/>
      <w14:ligatures w14:val="none"/>
    </w:rPr>
  </w:style>
  <w:style w:type="paragraph" w:customStyle="1" w:styleId="ListDash1">
    <w:name w:val="List Dash 1"/>
    <w:basedOn w:val="Text1"/>
    <w:rsid w:val="00275D3E"/>
    <w:pPr>
      <w:numPr>
        <w:numId w:val="4"/>
      </w:numPr>
    </w:pPr>
  </w:style>
  <w:style w:type="paragraph" w:customStyle="1" w:styleId="ListDash1Level2">
    <w:name w:val="List Dash 1 (Level 2)"/>
    <w:basedOn w:val="Text1"/>
    <w:rsid w:val="00275D3E"/>
    <w:pPr>
      <w:numPr>
        <w:ilvl w:val="1"/>
        <w:numId w:val="4"/>
      </w:numPr>
    </w:pPr>
  </w:style>
  <w:style w:type="paragraph" w:customStyle="1" w:styleId="ListDash1Level3">
    <w:name w:val="List Dash 1 (Level 3)"/>
    <w:basedOn w:val="Text1"/>
    <w:semiHidden/>
    <w:unhideWhenUsed/>
    <w:rsid w:val="00275D3E"/>
    <w:pPr>
      <w:numPr>
        <w:ilvl w:val="2"/>
        <w:numId w:val="4"/>
      </w:numPr>
    </w:pPr>
  </w:style>
  <w:style w:type="paragraph" w:customStyle="1" w:styleId="ListDash1Level4">
    <w:name w:val="List Dash 1 (Level 4)"/>
    <w:basedOn w:val="Text1"/>
    <w:semiHidden/>
    <w:unhideWhenUsed/>
    <w:rsid w:val="00275D3E"/>
    <w:pPr>
      <w:numPr>
        <w:ilvl w:val="3"/>
        <w:numId w:val="4"/>
      </w:numPr>
    </w:pPr>
  </w:style>
  <w:style w:type="paragraph" w:customStyle="1" w:styleId="ListDash2">
    <w:name w:val="List Dash 2"/>
    <w:basedOn w:val="Text2"/>
    <w:rsid w:val="00275D3E"/>
    <w:pPr>
      <w:numPr>
        <w:numId w:val="3"/>
      </w:numPr>
    </w:pPr>
  </w:style>
  <w:style w:type="paragraph" w:customStyle="1" w:styleId="ListDash2Level2">
    <w:name w:val="List Dash 2 (Level 2)"/>
    <w:basedOn w:val="Text2"/>
    <w:rsid w:val="00275D3E"/>
    <w:pPr>
      <w:numPr>
        <w:ilvl w:val="1"/>
        <w:numId w:val="3"/>
      </w:numPr>
    </w:pPr>
  </w:style>
  <w:style w:type="paragraph" w:customStyle="1" w:styleId="ListDash2Level3">
    <w:name w:val="List Dash 2 (Level 3)"/>
    <w:basedOn w:val="Text2"/>
    <w:semiHidden/>
    <w:unhideWhenUsed/>
    <w:rsid w:val="00275D3E"/>
    <w:pPr>
      <w:numPr>
        <w:ilvl w:val="2"/>
        <w:numId w:val="3"/>
      </w:numPr>
    </w:pPr>
  </w:style>
  <w:style w:type="paragraph" w:customStyle="1" w:styleId="ListDash2Level4">
    <w:name w:val="List Dash 2 (Level 4)"/>
    <w:basedOn w:val="Text2"/>
    <w:semiHidden/>
    <w:unhideWhenUsed/>
    <w:rsid w:val="00275D3E"/>
    <w:pPr>
      <w:numPr>
        <w:ilvl w:val="3"/>
        <w:numId w:val="3"/>
      </w:numPr>
    </w:pPr>
  </w:style>
  <w:style w:type="paragraph" w:customStyle="1" w:styleId="ListDash3">
    <w:name w:val="List Dash 3"/>
    <w:basedOn w:val="Text3"/>
    <w:rsid w:val="00275D3E"/>
    <w:pPr>
      <w:numPr>
        <w:numId w:val="2"/>
      </w:numPr>
    </w:pPr>
  </w:style>
  <w:style w:type="paragraph" w:customStyle="1" w:styleId="ListDash3Level2">
    <w:name w:val="List Dash 3 (Level 2)"/>
    <w:basedOn w:val="Text3"/>
    <w:rsid w:val="00275D3E"/>
    <w:pPr>
      <w:numPr>
        <w:ilvl w:val="1"/>
        <w:numId w:val="2"/>
      </w:numPr>
    </w:pPr>
  </w:style>
  <w:style w:type="paragraph" w:customStyle="1" w:styleId="ListDash3Level3">
    <w:name w:val="List Dash 3 (Level 3)"/>
    <w:basedOn w:val="Text3"/>
    <w:semiHidden/>
    <w:unhideWhenUsed/>
    <w:rsid w:val="00275D3E"/>
    <w:pPr>
      <w:numPr>
        <w:ilvl w:val="2"/>
        <w:numId w:val="2"/>
      </w:numPr>
    </w:pPr>
  </w:style>
  <w:style w:type="paragraph" w:customStyle="1" w:styleId="ListDash3Level4">
    <w:name w:val="List Dash 3 (Level 4)"/>
    <w:basedOn w:val="Text3"/>
    <w:semiHidden/>
    <w:unhideWhenUsed/>
    <w:rsid w:val="00275D3E"/>
    <w:pPr>
      <w:numPr>
        <w:ilvl w:val="3"/>
        <w:numId w:val="2"/>
      </w:numPr>
    </w:pPr>
  </w:style>
  <w:style w:type="paragraph" w:customStyle="1" w:styleId="ListDash4">
    <w:name w:val="List Dash 4"/>
    <w:basedOn w:val="Text4"/>
    <w:rsid w:val="00275D3E"/>
    <w:pPr>
      <w:numPr>
        <w:numId w:val="1"/>
      </w:numPr>
    </w:pPr>
  </w:style>
  <w:style w:type="paragraph" w:customStyle="1" w:styleId="ListDash4Level2">
    <w:name w:val="List Dash 4 (Level 2)"/>
    <w:basedOn w:val="Text4"/>
    <w:rsid w:val="00275D3E"/>
    <w:pPr>
      <w:numPr>
        <w:ilvl w:val="1"/>
        <w:numId w:val="1"/>
      </w:numPr>
    </w:pPr>
  </w:style>
  <w:style w:type="paragraph" w:customStyle="1" w:styleId="ListDash4Level3">
    <w:name w:val="List Dash 4 (Level 3)"/>
    <w:basedOn w:val="Text4"/>
    <w:semiHidden/>
    <w:unhideWhenUsed/>
    <w:rsid w:val="00275D3E"/>
    <w:pPr>
      <w:numPr>
        <w:ilvl w:val="2"/>
        <w:numId w:val="1"/>
      </w:numPr>
    </w:pPr>
  </w:style>
  <w:style w:type="paragraph" w:customStyle="1" w:styleId="ListDash4Level4">
    <w:name w:val="List Dash 4 (Level 4)"/>
    <w:basedOn w:val="Text4"/>
    <w:semiHidden/>
    <w:unhideWhenUsed/>
    <w:rsid w:val="00275D3E"/>
    <w:pPr>
      <w:numPr>
        <w:ilvl w:val="3"/>
        <w:numId w:val="1"/>
      </w:numPr>
    </w:pPr>
  </w:style>
  <w:style w:type="paragraph" w:styleId="ListNumber">
    <w:name w:val="List Number"/>
    <w:basedOn w:val="Normal"/>
    <w:rsid w:val="00275D3E"/>
    <w:pPr>
      <w:numPr>
        <w:numId w:val="10"/>
      </w:numPr>
      <w:spacing w:after="240"/>
      <w:jc w:val="both"/>
    </w:pPr>
    <w:rPr>
      <w:kern w:val="0"/>
      <w:szCs w:val="20"/>
      <w:lang w:eastAsia="en-IE"/>
      <w14:ligatures w14:val="none"/>
    </w:rPr>
  </w:style>
  <w:style w:type="paragraph" w:customStyle="1" w:styleId="ListNumberLevel2">
    <w:name w:val="List Number (Level 2)"/>
    <w:basedOn w:val="Normal"/>
    <w:rsid w:val="00275D3E"/>
    <w:pPr>
      <w:numPr>
        <w:ilvl w:val="1"/>
        <w:numId w:val="10"/>
      </w:numPr>
      <w:spacing w:after="240"/>
      <w:jc w:val="both"/>
    </w:pPr>
    <w:rPr>
      <w:kern w:val="0"/>
      <w:szCs w:val="20"/>
      <w:lang w:eastAsia="en-IE"/>
      <w14:ligatures w14:val="none"/>
    </w:rPr>
  </w:style>
  <w:style w:type="paragraph" w:customStyle="1" w:styleId="ListNumberLevel3">
    <w:name w:val="List Number (Level 3)"/>
    <w:basedOn w:val="Normal"/>
    <w:semiHidden/>
    <w:unhideWhenUsed/>
    <w:rsid w:val="00275D3E"/>
    <w:pPr>
      <w:numPr>
        <w:ilvl w:val="2"/>
        <w:numId w:val="10"/>
      </w:numPr>
      <w:spacing w:after="240"/>
      <w:jc w:val="both"/>
    </w:pPr>
    <w:rPr>
      <w:kern w:val="0"/>
      <w:szCs w:val="20"/>
      <w:lang w:eastAsia="en-IE"/>
      <w14:ligatures w14:val="none"/>
    </w:rPr>
  </w:style>
  <w:style w:type="paragraph" w:customStyle="1" w:styleId="ListNumberLevel4">
    <w:name w:val="List Number (Level 4)"/>
    <w:basedOn w:val="Normal"/>
    <w:semiHidden/>
    <w:unhideWhenUsed/>
    <w:rsid w:val="00275D3E"/>
    <w:pPr>
      <w:numPr>
        <w:ilvl w:val="3"/>
        <w:numId w:val="10"/>
      </w:numPr>
      <w:spacing w:after="240"/>
      <w:jc w:val="both"/>
    </w:pPr>
    <w:rPr>
      <w:kern w:val="0"/>
      <w:szCs w:val="20"/>
      <w:lang w:eastAsia="en-IE"/>
      <w14:ligatures w14:val="none"/>
    </w:rPr>
  </w:style>
  <w:style w:type="paragraph" w:customStyle="1" w:styleId="ListNumber1">
    <w:name w:val="List Number 1"/>
    <w:basedOn w:val="Text1"/>
    <w:rsid w:val="00275D3E"/>
    <w:pPr>
      <w:numPr>
        <w:numId w:val="9"/>
      </w:numPr>
    </w:pPr>
  </w:style>
  <w:style w:type="paragraph" w:customStyle="1" w:styleId="ListNumber1Level2">
    <w:name w:val="List Number 1 (Level 2)"/>
    <w:basedOn w:val="Text1"/>
    <w:rsid w:val="00275D3E"/>
    <w:pPr>
      <w:numPr>
        <w:ilvl w:val="1"/>
        <w:numId w:val="9"/>
      </w:numPr>
    </w:pPr>
  </w:style>
  <w:style w:type="paragraph" w:customStyle="1" w:styleId="ListNumber1Level3">
    <w:name w:val="List Number 1 (Level 3)"/>
    <w:basedOn w:val="Text1"/>
    <w:semiHidden/>
    <w:unhideWhenUsed/>
    <w:rsid w:val="00275D3E"/>
    <w:pPr>
      <w:numPr>
        <w:ilvl w:val="2"/>
        <w:numId w:val="9"/>
      </w:numPr>
    </w:pPr>
  </w:style>
  <w:style w:type="paragraph" w:customStyle="1" w:styleId="ListNumber1Level4">
    <w:name w:val="List Number 1 (Level 4)"/>
    <w:basedOn w:val="Text1"/>
    <w:semiHidden/>
    <w:unhideWhenUsed/>
    <w:rsid w:val="00275D3E"/>
    <w:pPr>
      <w:numPr>
        <w:ilvl w:val="3"/>
        <w:numId w:val="9"/>
      </w:numPr>
    </w:pPr>
  </w:style>
  <w:style w:type="paragraph" w:styleId="ListNumber2">
    <w:name w:val="List Number 2"/>
    <w:basedOn w:val="Text2"/>
    <w:rsid w:val="00275D3E"/>
    <w:pPr>
      <w:numPr>
        <w:numId w:val="8"/>
      </w:numPr>
    </w:pPr>
  </w:style>
  <w:style w:type="paragraph" w:customStyle="1" w:styleId="ListNumber2Level2">
    <w:name w:val="List Number 2 (Level 2)"/>
    <w:basedOn w:val="Text2"/>
    <w:rsid w:val="00275D3E"/>
    <w:pPr>
      <w:numPr>
        <w:ilvl w:val="1"/>
        <w:numId w:val="8"/>
      </w:numPr>
    </w:pPr>
  </w:style>
  <w:style w:type="paragraph" w:customStyle="1" w:styleId="ListNumber2Level3">
    <w:name w:val="List Number 2 (Level 3)"/>
    <w:basedOn w:val="Text2"/>
    <w:semiHidden/>
    <w:unhideWhenUsed/>
    <w:rsid w:val="00275D3E"/>
    <w:pPr>
      <w:numPr>
        <w:ilvl w:val="2"/>
        <w:numId w:val="8"/>
      </w:numPr>
    </w:pPr>
  </w:style>
  <w:style w:type="paragraph" w:customStyle="1" w:styleId="ListNumber2Level4">
    <w:name w:val="List Number 2 (Level 4)"/>
    <w:basedOn w:val="Text2"/>
    <w:semiHidden/>
    <w:unhideWhenUsed/>
    <w:rsid w:val="00275D3E"/>
    <w:pPr>
      <w:numPr>
        <w:ilvl w:val="3"/>
        <w:numId w:val="8"/>
      </w:numPr>
    </w:pPr>
  </w:style>
  <w:style w:type="paragraph" w:styleId="ListNumber3">
    <w:name w:val="List Number 3"/>
    <w:basedOn w:val="Text3"/>
    <w:rsid w:val="00275D3E"/>
    <w:pPr>
      <w:numPr>
        <w:numId w:val="7"/>
      </w:numPr>
    </w:pPr>
  </w:style>
  <w:style w:type="paragraph" w:customStyle="1" w:styleId="ListNumber3Level2">
    <w:name w:val="List Number 3 (Level 2)"/>
    <w:basedOn w:val="Text3"/>
    <w:rsid w:val="00275D3E"/>
    <w:pPr>
      <w:numPr>
        <w:ilvl w:val="1"/>
        <w:numId w:val="7"/>
      </w:numPr>
    </w:pPr>
  </w:style>
  <w:style w:type="paragraph" w:customStyle="1" w:styleId="ListNumber3Level3">
    <w:name w:val="List Number 3 (Level 3)"/>
    <w:basedOn w:val="Text3"/>
    <w:semiHidden/>
    <w:unhideWhenUsed/>
    <w:rsid w:val="00275D3E"/>
    <w:pPr>
      <w:numPr>
        <w:ilvl w:val="2"/>
        <w:numId w:val="7"/>
      </w:numPr>
    </w:pPr>
  </w:style>
  <w:style w:type="paragraph" w:customStyle="1" w:styleId="ListNumber3Level4">
    <w:name w:val="List Number 3 (Level 4)"/>
    <w:basedOn w:val="Text3"/>
    <w:semiHidden/>
    <w:unhideWhenUsed/>
    <w:rsid w:val="00275D3E"/>
    <w:pPr>
      <w:numPr>
        <w:ilvl w:val="3"/>
        <w:numId w:val="7"/>
      </w:numPr>
    </w:pPr>
  </w:style>
  <w:style w:type="paragraph" w:styleId="ListNumber4">
    <w:name w:val="List Number 4"/>
    <w:basedOn w:val="Text4"/>
    <w:rsid w:val="00275D3E"/>
    <w:pPr>
      <w:numPr>
        <w:numId w:val="6"/>
      </w:numPr>
    </w:pPr>
  </w:style>
  <w:style w:type="paragraph" w:customStyle="1" w:styleId="ListNumber4Level2">
    <w:name w:val="List Number 4 (Level 2)"/>
    <w:basedOn w:val="Text4"/>
    <w:rsid w:val="00275D3E"/>
    <w:pPr>
      <w:numPr>
        <w:ilvl w:val="1"/>
        <w:numId w:val="6"/>
      </w:numPr>
    </w:pPr>
  </w:style>
  <w:style w:type="paragraph" w:customStyle="1" w:styleId="ListNumber4Level3">
    <w:name w:val="List Number 4 (Level 3)"/>
    <w:basedOn w:val="Text4"/>
    <w:semiHidden/>
    <w:unhideWhenUsed/>
    <w:rsid w:val="00275D3E"/>
    <w:pPr>
      <w:numPr>
        <w:ilvl w:val="2"/>
        <w:numId w:val="6"/>
      </w:numPr>
    </w:pPr>
  </w:style>
  <w:style w:type="paragraph" w:customStyle="1" w:styleId="ListNumber4Level4">
    <w:name w:val="List Number 4 (Level 4)"/>
    <w:basedOn w:val="Text4"/>
    <w:semiHidden/>
    <w:unhideWhenUsed/>
    <w:rsid w:val="00275D3E"/>
    <w:pPr>
      <w:numPr>
        <w:ilvl w:val="3"/>
        <w:numId w:val="6"/>
      </w:numPr>
    </w:pPr>
  </w:style>
  <w:style w:type="paragraph" w:styleId="MacroText">
    <w:name w:val="macro"/>
    <w:basedOn w:val="Normal"/>
    <w:link w:val="MacroTextChar"/>
    <w:uiPriority w:val="90"/>
    <w:qFormat/>
    <w:rsid w:val="00275D3E"/>
    <w:pPr>
      <w:tabs>
        <w:tab w:val="left" w:pos="482"/>
        <w:tab w:val="left" w:pos="958"/>
        <w:tab w:val="left" w:pos="1440"/>
        <w:tab w:val="left" w:pos="1922"/>
        <w:tab w:val="left" w:pos="2398"/>
        <w:tab w:val="left" w:pos="2880"/>
        <w:tab w:val="left" w:pos="3362"/>
        <w:tab w:val="left" w:pos="3838"/>
        <w:tab w:val="left" w:pos="4320"/>
      </w:tabs>
      <w:spacing w:after="240"/>
      <w:jc w:val="both"/>
    </w:pPr>
    <w:rPr>
      <w:rFonts w:ascii="Courier New" w:hAnsi="Courier New"/>
      <w:kern w:val="0"/>
      <w:sz w:val="22"/>
      <w:szCs w:val="20"/>
      <w:lang w:eastAsia="en-IE"/>
      <w14:ligatures w14:val="none"/>
    </w:rPr>
  </w:style>
  <w:style w:type="character" w:customStyle="1" w:styleId="MacroTextChar">
    <w:name w:val="Macro Text Char"/>
    <w:basedOn w:val="DefaultParagraphFont"/>
    <w:link w:val="MacroText"/>
    <w:uiPriority w:val="90"/>
    <w:rsid w:val="00275D3E"/>
    <w:rPr>
      <w:rFonts w:ascii="Courier New" w:hAnsi="Courier New"/>
      <w:kern w:val="0"/>
      <w:sz w:val="22"/>
      <w:lang w:eastAsia="en-IE"/>
      <w14:ligatures w14:val="none"/>
    </w:rPr>
  </w:style>
  <w:style w:type="paragraph" w:customStyle="1" w:styleId="Marking">
    <w:name w:val="Marking"/>
    <w:basedOn w:val="Normal"/>
    <w:rsid w:val="00275D3E"/>
    <w:pPr>
      <w:spacing w:after="240"/>
      <w:ind w:left="5102" w:right="-567"/>
      <w:contextualSpacing/>
    </w:pPr>
    <w:rPr>
      <w:kern w:val="0"/>
      <w:sz w:val="28"/>
      <w:szCs w:val="20"/>
      <w:lang w:eastAsia="en-IE"/>
      <w14:ligatures w14:val="none"/>
    </w:rPr>
  </w:style>
  <w:style w:type="paragraph" w:customStyle="1" w:styleId="NumPar1">
    <w:name w:val="NumPar 1"/>
    <w:basedOn w:val="Heading1"/>
    <w:uiPriority w:val="90"/>
    <w:qFormat/>
    <w:rsid w:val="00275D3E"/>
    <w:pPr>
      <w:keepNext w:val="0"/>
      <w:keepLines w:val="0"/>
      <w:tabs>
        <w:tab w:val="num" w:pos="482"/>
      </w:tabs>
      <w:spacing w:before="0" w:after="240"/>
      <w:ind w:left="482" w:hanging="482"/>
      <w:jc w:val="both"/>
      <w:outlineLvl w:val="9"/>
    </w:pPr>
    <w:rPr>
      <w:rFonts w:ascii="Times New Roman" w:eastAsia="Times New Roman" w:hAnsi="Times New Roman" w:cs="Times New Roman"/>
      <w:color w:val="auto"/>
      <w:kern w:val="0"/>
      <w:sz w:val="24"/>
      <w:szCs w:val="20"/>
      <w:lang w:eastAsia="en-IE"/>
      <w14:ligatures w14:val="none"/>
    </w:rPr>
  </w:style>
  <w:style w:type="paragraph" w:customStyle="1" w:styleId="NumPar2">
    <w:name w:val="NumPar 2"/>
    <w:basedOn w:val="Heading2"/>
    <w:uiPriority w:val="90"/>
    <w:qFormat/>
    <w:rsid w:val="00275D3E"/>
    <w:pPr>
      <w:keepNext w:val="0"/>
      <w:keepLines w:val="0"/>
      <w:numPr>
        <w:ilvl w:val="1"/>
      </w:numPr>
      <w:tabs>
        <w:tab w:val="num" w:pos="1202"/>
      </w:tabs>
      <w:spacing w:before="0" w:after="240"/>
      <w:ind w:left="1202" w:hanging="720"/>
      <w:jc w:val="both"/>
      <w:outlineLvl w:val="9"/>
    </w:pPr>
    <w:rPr>
      <w:rFonts w:ascii="Times New Roman" w:eastAsia="Times New Roman" w:hAnsi="Times New Roman" w:cs="Times New Roman"/>
      <w:color w:val="auto"/>
      <w:kern w:val="0"/>
      <w:sz w:val="24"/>
      <w:szCs w:val="20"/>
      <w:lang w:eastAsia="en-IE"/>
      <w14:ligatures w14:val="none"/>
    </w:rPr>
  </w:style>
  <w:style w:type="paragraph" w:customStyle="1" w:styleId="NumPar3">
    <w:name w:val="NumPar 3"/>
    <w:basedOn w:val="Heading3"/>
    <w:uiPriority w:val="90"/>
    <w:qFormat/>
    <w:rsid w:val="00275D3E"/>
    <w:pPr>
      <w:keepNext w:val="0"/>
      <w:keepLines w:val="0"/>
      <w:tabs>
        <w:tab w:val="num" w:pos="1922"/>
      </w:tabs>
      <w:spacing w:before="0" w:after="240"/>
      <w:ind w:left="1922"/>
      <w:jc w:val="both"/>
      <w:outlineLvl w:val="9"/>
    </w:pPr>
    <w:rPr>
      <w:rFonts w:ascii="Times New Roman" w:eastAsia="Times New Roman" w:hAnsi="Times New Roman" w:cs="Times New Roman"/>
      <w:color w:val="auto"/>
      <w:kern w:val="0"/>
      <w:sz w:val="24"/>
      <w:szCs w:val="20"/>
      <w:lang w:eastAsia="en-IE"/>
      <w14:ligatures w14:val="none"/>
    </w:rPr>
  </w:style>
  <w:style w:type="paragraph" w:customStyle="1" w:styleId="NumPar4">
    <w:name w:val="NumPar 4"/>
    <w:basedOn w:val="Heading4"/>
    <w:uiPriority w:val="90"/>
    <w:qFormat/>
    <w:rsid w:val="00275D3E"/>
    <w:pPr>
      <w:keepNext w:val="0"/>
      <w:keepLines w:val="0"/>
      <w:tabs>
        <w:tab w:val="num" w:pos="1922"/>
      </w:tabs>
      <w:spacing w:before="0" w:after="240"/>
      <w:ind w:left="1922" w:hanging="720"/>
      <w:jc w:val="both"/>
      <w:outlineLvl w:val="9"/>
    </w:pPr>
    <w:rPr>
      <w:rFonts w:ascii="Times New Roman" w:eastAsia="Times New Roman" w:hAnsi="Times New Roman" w:cs="Times New Roman"/>
      <w:i w:val="0"/>
      <w:iCs w:val="0"/>
      <w:color w:val="auto"/>
      <w:kern w:val="0"/>
      <w:szCs w:val="20"/>
      <w:lang w:eastAsia="en-IE"/>
      <w14:ligatures w14:val="none"/>
    </w:rPr>
  </w:style>
  <w:style w:type="paragraph" w:customStyle="1" w:styleId="PartTitle">
    <w:name w:val="PartTitle"/>
    <w:basedOn w:val="Normal"/>
    <w:next w:val="ChapterTitle"/>
    <w:uiPriority w:val="90"/>
    <w:qFormat/>
    <w:rsid w:val="00275D3E"/>
    <w:pPr>
      <w:keepNext/>
      <w:pageBreakBefore/>
      <w:spacing w:after="480"/>
      <w:jc w:val="center"/>
      <w:outlineLvl w:val="0"/>
    </w:pPr>
    <w:rPr>
      <w:b/>
      <w:kern w:val="0"/>
      <w:sz w:val="36"/>
      <w:szCs w:val="20"/>
      <w:lang w:eastAsia="en-IE"/>
      <w14:ligatures w14:val="none"/>
    </w:rPr>
  </w:style>
  <w:style w:type="paragraph" w:customStyle="1" w:styleId="References">
    <w:name w:val="References"/>
    <w:basedOn w:val="Normal"/>
    <w:rsid w:val="00275D3E"/>
    <w:pPr>
      <w:spacing w:after="240"/>
      <w:ind w:left="5102" w:right="-567"/>
      <w:contextualSpacing/>
    </w:pPr>
    <w:rPr>
      <w:kern w:val="0"/>
      <w:sz w:val="20"/>
      <w:szCs w:val="20"/>
      <w:lang w:eastAsia="en-IE"/>
      <w14:ligatures w14:val="none"/>
    </w:rPr>
  </w:style>
  <w:style w:type="paragraph" w:customStyle="1" w:styleId="Releasable">
    <w:name w:val="Releasable"/>
    <w:basedOn w:val="Normal"/>
    <w:rsid w:val="00275D3E"/>
    <w:pPr>
      <w:jc w:val="center"/>
    </w:pPr>
    <w:rPr>
      <w:b/>
      <w:caps/>
      <w:kern w:val="0"/>
      <w:sz w:val="32"/>
      <w:szCs w:val="20"/>
      <w:lang w:eastAsia="en-IE"/>
      <w14:ligatures w14:val="none"/>
    </w:rPr>
  </w:style>
  <w:style w:type="paragraph" w:customStyle="1" w:styleId="RUE">
    <w:name w:val="RUE"/>
    <w:basedOn w:val="Normal"/>
    <w:rsid w:val="00275D3E"/>
    <w:pPr>
      <w:jc w:val="center"/>
    </w:pPr>
    <w:rPr>
      <w:b/>
      <w:caps/>
      <w:kern w:val="0"/>
      <w:sz w:val="32"/>
      <w:szCs w:val="20"/>
      <w:bdr w:val="single" w:sz="18" w:space="0" w:color="auto"/>
      <w:lang w:eastAsia="en-IE"/>
      <w14:ligatures w14:val="none"/>
    </w:rPr>
  </w:style>
  <w:style w:type="paragraph" w:customStyle="1" w:styleId="SecretUE">
    <w:name w:val="Secret UE"/>
    <w:basedOn w:val="Normal"/>
    <w:rsid w:val="00275D3E"/>
    <w:pPr>
      <w:jc w:val="center"/>
    </w:pPr>
    <w:rPr>
      <w:b/>
      <w:caps/>
      <w:color w:val="FF0000"/>
      <w:kern w:val="0"/>
      <w:sz w:val="32"/>
      <w:szCs w:val="20"/>
      <w:bdr w:val="single" w:sz="18" w:space="0" w:color="FF0000"/>
      <w:lang w:eastAsia="en-IE"/>
      <w14:ligatures w14:val="none"/>
    </w:rPr>
  </w:style>
  <w:style w:type="paragraph" w:customStyle="1" w:styleId="SectionTitle">
    <w:name w:val="SectionTitle"/>
    <w:basedOn w:val="Normal"/>
    <w:next w:val="Heading1"/>
    <w:uiPriority w:val="90"/>
    <w:qFormat/>
    <w:rsid w:val="00275D3E"/>
    <w:pPr>
      <w:keepNext/>
      <w:spacing w:after="480"/>
      <w:jc w:val="center"/>
      <w:outlineLvl w:val="0"/>
    </w:pPr>
    <w:rPr>
      <w:b/>
      <w:smallCaps/>
      <w:kern w:val="0"/>
      <w:sz w:val="28"/>
      <w:szCs w:val="20"/>
      <w:lang w:eastAsia="en-IE"/>
      <w14:ligatures w14:val="none"/>
    </w:rPr>
  </w:style>
  <w:style w:type="paragraph" w:styleId="Signature">
    <w:name w:val="Signature"/>
    <w:basedOn w:val="Normal"/>
    <w:link w:val="SignatureChar"/>
    <w:rsid w:val="00275D3E"/>
    <w:pPr>
      <w:spacing w:before="1200"/>
      <w:ind w:left="5102"/>
      <w:jc w:val="center"/>
    </w:pPr>
    <w:rPr>
      <w:kern w:val="0"/>
      <w:szCs w:val="20"/>
      <w:lang w:eastAsia="en-IE"/>
      <w14:ligatures w14:val="none"/>
    </w:rPr>
  </w:style>
  <w:style w:type="character" w:customStyle="1" w:styleId="SignatureChar">
    <w:name w:val="Signature Char"/>
    <w:basedOn w:val="DefaultParagraphFont"/>
    <w:link w:val="Signature"/>
    <w:rsid w:val="00275D3E"/>
    <w:rPr>
      <w:kern w:val="0"/>
      <w:sz w:val="24"/>
      <w:lang w:eastAsia="en-IE"/>
      <w14:ligatures w14:val="none"/>
    </w:rPr>
  </w:style>
  <w:style w:type="paragraph" w:customStyle="1" w:styleId="SignatureL">
    <w:name w:val="SignatureL"/>
    <w:basedOn w:val="Normal"/>
    <w:rsid w:val="00275D3E"/>
    <w:pPr>
      <w:spacing w:before="1200"/>
    </w:pPr>
    <w:rPr>
      <w:kern w:val="0"/>
      <w:szCs w:val="20"/>
      <w:lang w:eastAsia="en-IE"/>
      <w14:ligatures w14:val="none"/>
    </w:rPr>
  </w:style>
  <w:style w:type="paragraph" w:customStyle="1" w:styleId="SubTitle1">
    <w:name w:val="SubTitle 1"/>
    <w:basedOn w:val="Normal"/>
    <w:next w:val="SubTitle2"/>
    <w:qFormat/>
    <w:rsid w:val="00275D3E"/>
    <w:pPr>
      <w:spacing w:after="240"/>
      <w:jc w:val="center"/>
    </w:pPr>
    <w:rPr>
      <w:b/>
      <w:kern w:val="0"/>
      <w:sz w:val="40"/>
      <w:szCs w:val="20"/>
      <w:lang w:eastAsia="en-IE"/>
      <w14:ligatures w14:val="none"/>
    </w:rPr>
  </w:style>
  <w:style w:type="paragraph" w:customStyle="1" w:styleId="SubTitle2">
    <w:name w:val="SubTitle 2"/>
    <w:basedOn w:val="Normal"/>
    <w:qFormat/>
    <w:rsid w:val="00275D3E"/>
    <w:pPr>
      <w:spacing w:after="240"/>
      <w:jc w:val="center"/>
    </w:pPr>
    <w:rPr>
      <w:b/>
      <w:kern w:val="0"/>
      <w:sz w:val="32"/>
      <w:szCs w:val="20"/>
      <w:lang w:eastAsia="en-IE"/>
      <w14:ligatures w14:val="none"/>
    </w:rPr>
  </w:style>
  <w:style w:type="paragraph" w:customStyle="1" w:styleId="TableListBullet">
    <w:name w:val="Table List Bullet"/>
    <w:basedOn w:val="TableText"/>
    <w:uiPriority w:val="1"/>
    <w:rsid w:val="00275D3E"/>
    <w:pPr>
      <w:numPr>
        <w:numId w:val="19"/>
      </w:numPr>
    </w:pPr>
  </w:style>
  <w:style w:type="paragraph" w:customStyle="1" w:styleId="TableListBulletLevel2">
    <w:name w:val="Table List Bullet (Level 2)"/>
    <w:basedOn w:val="TableText"/>
    <w:uiPriority w:val="1"/>
    <w:rsid w:val="00275D3E"/>
    <w:pPr>
      <w:numPr>
        <w:ilvl w:val="1"/>
        <w:numId w:val="19"/>
      </w:numPr>
    </w:pPr>
  </w:style>
  <w:style w:type="paragraph" w:customStyle="1" w:styleId="TableListBulletLevel3">
    <w:name w:val="Table List Bullet (Level 3)"/>
    <w:basedOn w:val="TableText"/>
    <w:uiPriority w:val="1"/>
    <w:semiHidden/>
    <w:unhideWhenUsed/>
    <w:rsid w:val="00275D3E"/>
    <w:pPr>
      <w:numPr>
        <w:ilvl w:val="2"/>
        <w:numId w:val="19"/>
      </w:numPr>
    </w:pPr>
  </w:style>
  <w:style w:type="paragraph" w:customStyle="1" w:styleId="TableListBulletLevel4">
    <w:name w:val="Table List Bullet (Level 4)"/>
    <w:basedOn w:val="TableText"/>
    <w:uiPriority w:val="1"/>
    <w:semiHidden/>
    <w:unhideWhenUsed/>
    <w:rsid w:val="00275D3E"/>
    <w:pPr>
      <w:numPr>
        <w:ilvl w:val="3"/>
        <w:numId w:val="19"/>
      </w:numPr>
    </w:pPr>
  </w:style>
  <w:style w:type="paragraph" w:customStyle="1" w:styleId="TableListDash">
    <w:name w:val="Table List Dash"/>
    <w:basedOn w:val="TableText"/>
    <w:uiPriority w:val="1"/>
    <w:rsid w:val="00275D3E"/>
    <w:pPr>
      <w:numPr>
        <w:numId w:val="20"/>
      </w:numPr>
    </w:pPr>
  </w:style>
  <w:style w:type="paragraph" w:customStyle="1" w:styleId="TableListDashLevel2">
    <w:name w:val="Table List Dash (Level 2)"/>
    <w:basedOn w:val="TableText"/>
    <w:uiPriority w:val="1"/>
    <w:rsid w:val="00275D3E"/>
    <w:pPr>
      <w:numPr>
        <w:ilvl w:val="1"/>
        <w:numId w:val="20"/>
      </w:numPr>
    </w:pPr>
  </w:style>
  <w:style w:type="paragraph" w:customStyle="1" w:styleId="TableListDashLevel3">
    <w:name w:val="Table List Dash (Level 3)"/>
    <w:basedOn w:val="TableText"/>
    <w:uiPriority w:val="1"/>
    <w:semiHidden/>
    <w:unhideWhenUsed/>
    <w:rsid w:val="00275D3E"/>
    <w:pPr>
      <w:numPr>
        <w:ilvl w:val="2"/>
        <w:numId w:val="20"/>
      </w:numPr>
    </w:pPr>
  </w:style>
  <w:style w:type="paragraph" w:customStyle="1" w:styleId="TableListDashLevel4">
    <w:name w:val="Table List Dash (Level 4)"/>
    <w:basedOn w:val="TableText"/>
    <w:uiPriority w:val="1"/>
    <w:semiHidden/>
    <w:unhideWhenUsed/>
    <w:rsid w:val="00275D3E"/>
    <w:pPr>
      <w:numPr>
        <w:ilvl w:val="3"/>
        <w:numId w:val="20"/>
      </w:numPr>
    </w:pPr>
  </w:style>
  <w:style w:type="paragraph" w:customStyle="1" w:styleId="TableListNumber">
    <w:name w:val="Table List Number"/>
    <w:basedOn w:val="TableText"/>
    <w:uiPriority w:val="1"/>
    <w:rsid w:val="00275D3E"/>
    <w:pPr>
      <w:numPr>
        <w:numId w:val="21"/>
      </w:numPr>
    </w:pPr>
  </w:style>
  <w:style w:type="paragraph" w:customStyle="1" w:styleId="TableListNumberLevel2">
    <w:name w:val="Table List Number (Level 2)"/>
    <w:basedOn w:val="TableText"/>
    <w:uiPriority w:val="1"/>
    <w:rsid w:val="00275D3E"/>
    <w:pPr>
      <w:numPr>
        <w:ilvl w:val="1"/>
        <w:numId w:val="21"/>
      </w:numPr>
    </w:pPr>
  </w:style>
  <w:style w:type="paragraph" w:customStyle="1" w:styleId="TableListNumberLevel3">
    <w:name w:val="Table List Number (Level 3)"/>
    <w:basedOn w:val="TableText"/>
    <w:uiPriority w:val="1"/>
    <w:semiHidden/>
    <w:unhideWhenUsed/>
    <w:rsid w:val="00275D3E"/>
    <w:pPr>
      <w:numPr>
        <w:ilvl w:val="2"/>
        <w:numId w:val="21"/>
      </w:numPr>
    </w:pPr>
  </w:style>
  <w:style w:type="paragraph" w:customStyle="1" w:styleId="TableListNumberLevel4">
    <w:name w:val="Table List Number (Level 4)"/>
    <w:basedOn w:val="TableText"/>
    <w:uiPriority w:val="1"/>
    <w:semiHidden/>
    <w:unhideWhenUsed/>
    <w:rsid w:val="00275D3E"/>
    <w:pPr>
      <w:numPr>
        <w:ilvl w:val="3"/>
        <w:numId w:val="21"/>
      </w:numPr>
    </w:pPr>
  </w:style>
  <w:style w:type="paragraph" w:customStyle="1" w:styleId="TableSource">
    <w:name w:val="Table Source"/>
    <w:basedOn w:val="Normal"/>
    <w:next w:val="Normal"/>
    <w:semiHidden/>
    <w:unhideWhenUsed/>
    <w:rsid w:val="00275D3E"/>
    <w:pPr>
      <w:spacing w:after="240"/>
      <w:jc w:val="both"/>
    </w:pPr>
    <w:rPr>
      <w:kern w:val="0"/>
      <w:sz w:val="20"/>
      <w:szCs w:val="20"/>
      <w:lang w:eastAsia="en-IE"/>
      <w14:ligatures w14:val="none"/>
    </w:rPr>
  </w:style>
  <w:style w:type="paragraph" w:customStyle="1" w:styleId="TableSource1">
    <w:name w:val="Table Source 1"/>
    <w:basedOn w:val="Text1"/>
    <w:next w:val="Text1"/>
    <w:semiHidden/>
    <w:unhideWhenUsed/>
    <w:rsid w:val="00275D3E"/>
    <w:rPr>
      <w:sz w:val="20"/>
    </w:rPr>
  </w:style>
  <w:style w:type="paragraph" w:customStyle="1" w:styleId="TableSource2">
    <w:name w:val="Table Source 2"/>
    <w:basedOn w:val="Text2"/>
    <w:next w:val="Text2"/>
    <w:semiHidden/>
    <w:unhideWhenUsed/>
    <w:rsid w:val="00275D3E"/>
    <w:rPr>
      <w:sz w:val="20"/>
    </w:rPr>
  </w:style>
  <w:style w:type="paragraph" w:customStyle="1" w:styleId="TableSource3">
    <w:name w:val="Table Source 3"/>
    <w:basedOn w:val="Text3"/>
    <w:next w:val="Text3"/>
    <w:semiHidden/>
    <w:unhideWhenUsed/>
    <w:rsid w:val="00275D3E"/>
    <w:rPr>
      <w:sz w:val="20"/>
    </w:rPr>
  </w:style>
  <w:style w:type="paragraph" w:customStyle="1" w:styleId="TableSource4">
    <w:name w:val="Table Source 4"/>
    <w:basedOn w:val="Text4"/>
    <w:next w:val="Text4"/>
    <w:semiHidden/>
    <w:unhideWhenUsed/>
    <w:rsid w:val="00275D3E"/>
    <w:rPr>
      <w:sz w:val="20"/>
    </w:rPr>
  </w:style>
  <w:style w:type="paragraph" w:customStyle="1" w:styleId="TableText">
    <w:name w:val="Table Text"/>
    <w:basedOn w:val="Normal"/>
    <w:uiPriority w:val="1"/>
    <w:qFormat/>
    <w:rsid w:val="00275D3E"/>
    <w:pPr>
      <w:spacing w:before="60" w:after="60"/>
    </w:pPr>
    <w:rPr>
      <w:kern w:val="0"/>
      <w:szCs w:val="20"/>
      <w:lang w:eastAsia="en-IE"/>
      <w14:ligatures w14:val="none"/>
    </w:rPr>
  </w:style>
  <w:style w:type="paragraph" w:customStyle="1" w:styleId="TableTitle">
    <w:name w:val="Table Title"/>
    <w:basedOn w:val="Normal"/>
    <w:uiPriority w:val="1"/>
    <w:semiHidden/>
    <w:unhideWhenUsed/>
    <w:rsid w:val="00275D3E"/>
    <w:pPr>
      <w:keepNext/>
      <w:spacing w:after="120"/>
      <w:jc w:val="both"/>
    </w:pPr>
    <w:rPr>
      <w:b/>
      <w:i/>
      <w:kern w:val="0"/>
      <w:szCs w:val="20"/>
      <w:lang w:eastAsia="en-IE"/>
      <w14:ligatures w14:val="none"/>
    </w:rPr>
  </w:style>
  <w:style w:type="paragraph" w:customStyle="1" w:styleId="TableTitle1">
    <w:name w:val="Table Title 1"/>
    <w:basedOn w:val="Text1"/>
    <w:uiPriority w:val="1"/>
    <w:semiHidden/>
    <w:unhideWhenUsed/>
    <w:rsid w:val="00275D3E"/>
    <w:pPr>
      <w:keepNext/>
      <w:spacing w:after="120"/>
    </w:pPr>
    <w:rPr>
      <w:b/>
      <w:i/>
    </w:rPr>
  </w:style>
  <w:style w:type="paragraph" w:customStyle="1" w:styleId="TableTitle2">
    <w:name w:val="Table Title 2"/>
    <w:basedOn w:val="Text2"/>
    <w:uiPriority w:val="1"/>
    <w:semiHidden/>
    <w:unhideWhenUsed/>
    <w:rsid w:val="00275D3E"/>
    <w:pPr>
      <w:keepNext/>
      <w:spacing w:after="120"/>
    </w:pPr>
    <w:rPr>
      <w:b/>
      <w:i/>
    </w:rPr>
  </w:style>
  <w:style w:type="paragraph" w:customStyle="1" w:styleId="TableTitle3">
    <w:name w:val="Table Title 3"/>
    <w:basedOn w:val="Text3"/>
    <w:uiPriority w:val="1"/>
    <w:semiHidden/>
    <w:unhideWhenUsed/>
    <w:rsid w:val="00275D3E"/>
    <w:pPr>
      <w:keepNext/>
      <w:spacing w:after="120"/>
    </w:pPr>
    <w:rPr>
      <w:b/>
      <w:i/>
    </w:rPr>
  </w:style>
  <w:style w:type="paragraph" w:customStyle="1" w:styleId="TableTitle4">
    <w:name w:val="Table Title 4"/>
    <w:basedOn w:val="Text4"/>
    <w:uiPriority w:val="1"/>
    <w:semiHidden/>
    <w:unhideWhenUsed/>
    <w:rsid w:val="00275D3E"/>
    <w:pPr>
      <w:keepNext/>
      <w:spacing w:after="120"/>
    </w:pPr>
    <w:rPr>
      <w:b/>
      <w:i/>
    </w:rPr>
  </w:style>
  <w:style w:type="paragraph" w:customStyle="1" w:styleId="Text1">
    <w:name w:val="Text 1"/>
    <w:basedOn w:val="Normal"/>
    <w:link w:val="Text1Char"/>
    <w:uiPriority w:val="90"/>
    <w:qFormat/>
    <w:rsid w:val="00275D3E"/>
    <w:pPr>
      <w:spacing w:after="240"/>
      <w:ind w:left="482"/>
      <w:jc w:val="both"/>
    </w:pPr>
    <w:rPr>
      <w:kern w:val="0"/>
      <w:szCs w:val="20"/>
      <w:lang w:eastAsia="en-IE"/>
      <w14:ligatures w14:val="none"/>
    </w:rPr>
  </w:style>
  <w:style w:type="paragraph" w:customStyle="1" w:styleId="Text2">
    <w:name w:val="Text 2"/>
    <w:basedOn w:val="Normal"/>
    <w:uiPriority w:val="90"/>
    <w:qFormat/>
    <w:rsid w:val="00275D3E"/>
    <w:pPr>
      <w:spacing w:after="240"/>
      <w:ind w:left="1202"/>
      <w:jc w:val="both"/>
    </w:pPr>
    <w:rPr>
      <w:kern w:val="0"/>
      <w:szCs w:val="20"/>
      <w:lang w:eastAsia="en-IE"/>
      <w14:ligatures w14:val="none"/>
    </w:rPr>
  </w:style>
  <w:style w:type="paragraph" w:customStyle="1" w:styleId="Text3">
    <w:name w:val="Text 3"/>
    <w:basedOn w:val="Normal"/>
    <w:uiPriority w:val="90"/>
    <w:qFormat/>
    <w:rsid w:val="00275D3E"/>
    <w:pPr>
      <w:spacing w:after="240"/>
      <w:ind w:left="1202"/>
      <w:jc w:val="both"/>
    </w:pPr>
    <w:rPr>
      <w:kern w:val="0"/>
      <w:szCs w:val="20"/>
      <w:lang w:eastAsia="en-IE"/>
      <w14:ligatures w14:val="none"/>
    </w:rPr>
  </w:style>
  <w:style w:type="paragraph" w:customStyle="1" w:styleId="Text4">
    <w:name w:val="Text 4"/>
    <w:basedOn w:val="Normal"/>
    <w:uiPriority w:val="90"/>
    <w:qFormat/>
    <w:rsid w:val="00275D3E"/>
    <w:pPr>
      <w:spacing w:after="240"/>
      <w:ind w:left="1202"/>
      <w:jc w:val="both"/>
    </w:pPr>
    <w:rPr>
      <w:kern w:val="0"/>
      <w:szCs w:val="20"/>
      <w:lang w:eastAsia="en-IE"/>
      <w14:ligatures w14:val="none"/>
    </w:rPr>
  </w:style>
  <w:style w:type="paragraph" w:styleId="TOC1">
    <w:name w:val="toc 1"/>
    <w:basedOn w:val="Normal"/>
    <w:next w:val="Normal"/>
    <w:uiPriority w:val="39"/>
    <w:rsid w:val="00275D3E"/>
    <w:pPr>
      <w:tabs>
        <w:tab w:val="right" w:leader="dot" w:pos="8640"/>
      </w:tabs>
      <w:spacing w:before="120" w:after="120"/>
      <w:ind w:left="482" w:right="720" w:hanging="482"/>
      <w:jc w:val="both"/>
    </w:pPr>
    <w:rPr>
      <w:kern w:val="0"/>
      <w:szCs w:val="20"/>
      <w:lang w:eastAsia="en-IE"/>
      <w14:ligatures w14:val="none"/>
    </w:rPr>
  </w:style>
  <w:style w:type="paragraph" w:styleId="TOC2">
    <w:name w:val="toc 2"/>
    <w:basedOn w:val="Normal"/>
    <w:next w:val="Normal"/>
    <w:uiPriority w:val="39"/>
    <w:rsid w:val="00275D3E"/>
    <w:pPr>
      <w:tabs>
        <w:tab w:val="right" w:leader="dot" w:pos="8640"/>
      </w:tabs>
      <w:spacing w:before="60" w:after="60"/>
      <w:ind w:left="1077" w:right="720" w:hanging="595"/>
      <w:jc w:val="both"/>
    </w:pPr>
    <w:rPr>
      <w:noProof/>
      <w:kern w:val="0"/>
      <w:szCs w:val="20"/>
      <w:lang w:eastAsia="en-IE"/>
      <w14:ligatures w14:val="none"/>
    </w:rPr>
  </w:style>
  <w:style w:type="paragraph" w:styleId="TOC3">
    <w:name w:val="toc 3"/>
    <w:basedOn w:val="Normal"/>
    <w:next w:val="Normal"/>
    <w:uiPriority w:val="39"/>
    <w:rsid w:val="00275D3E"/>
    <w:pPr>
      <w:tabs>
        <w:tab w:val="right" w:leader="dot" w:pos="8640"/>
      </w:tabs>
      <w:spacing w:before="60" w:after="60"/>
      <w:ind w:left="1916" w:right="720" w:hanging="839"/>
      <w:jc w:val="both"/>
    </w:pPr>
    <w:rPr>
      <w:kern w:val="0"/>
      <w:szCs w:val="20"/>
      <w:lang w:eastAsia="en-IE"/>
      <w14:ligatures w14:val="none"/>
    </w:rPr>
  </w:style>
  <w:style w:type="paragraph" w:styleId="TOC4">
    <w:name w:val="toc 4"/>
    <w:basedOn w:val="Normal"/>
    <w:next w:val="Normal"/>
    <w:uiPriority w:val="99"/>
    <w:semiHidden/>
    <w:rsid w:val="00275D3E"/>
    <w:pPr>
      <w:tabs>
        <w:tab w:val="right" w:leader="dot" w:pos="8640"/>
      </w:tabs>
      <w:spacing w:before="60" w:after="60"/>
      <w:ind w:left="2880" w:right="720" w:hanging="964"/>
      <w:jc w:val="both"/>
    </w:pPr>
    <w:rPr>
      <w:noProof/>
      <w:kern w:val="0"/>
      <w:szCs w:val="20"/>
      <w:lang w:eastAsia="en-IE"/>
      <w14:ligatures w14:val="none"/>
    </w:rPr>
  </w:style>
  <w:style w:type="paragraph" w:styleId="TOC5">
    <w:name w:val="toc 5"/>
    <w:basedOn w:val="Normal"/>
    <w:next w:val="Normal"/>
    <w:semiHidden/>
    <w:rsid w:val="00275D3E"/>
    <w:pPr>
      <w:tabs>
        <w:tab w:val="right" w:leader="dot" w:pos="8640"/>
      </w:tabs>
      <w:spacing w:before="240" w:after="120"/>
      <w:ind w:right="720"/>
      <w:jc w:val="both"/>
    </w:pPr>
    <w:rPr>
      <w:caps/>
      <w:kern w:val="0"/>
      <w:szCs w:val="20"/>
      <w:lang w:eastAsia="en-IE"/>
      <w14:ligatures w14:val="none"/>
    </w:rPr>
  </w:style>
  <w:style w:type="paragraph" w:styleId="TOC6">
    <w:name w:val="toc 6"/>
    <w:basedOn w:val="Normal"/>
    <w:next w:val="Normal"/>
    <w:semiHidden/>
    <w:rsid w:val="00275D3E"/>
    <w:pPr>
      <w:tabs>
        <w:tab w:val="right" w:leader="dot" w:pos="8640"/>
        <w:tab w:val="left" w:pos="2880"/>
      </w:tabs>
      <w:spacing w:before="120" w:after="120"/>
      <w:ind w:left="1916" w:right="720" w:hanging="1916"/>
      <w:jc w:val="both"/>
    </w:pPr>
    <w:rPr>
      <w:caps/>
      <w:kern w:val="0"/>
      <w:szCs w:val="20"/>
      <w:lang w:eastAsia="en-IE"/>
      <w14:ligatures w14:val="none"/>
    </w:rPr>
  </w:style>
  <w:style w:type="paragraph" w:styleId="TOC7">
    <w:name w:val="toc 7"/>
    <w:basedOn w:val="Normal"/>
    <w:next w:val="Normal"/>
    <w:semiHidden/>
    <w:rsid w:val="00275D3E"/>
    <w:pPr>
      <w:tabs>
        <w:tab w:val="right" w:leader="dot" w:pos="8640"/>
      </w:tabs>
      <w:spacing w:after="240"/>
      <w:jc w:val="both"/>
    </w:pPr>
    <w:rPr>
      <w:kern w:val="0"/>
      <w:szCs w:val="20"/>
      <w:lang w:eastAsia="en-IE"/>
      <w14:ligatures w14:val="none"/>
    </w:rPr>
  </w:style>
  <w:style w:type="paragraph" w:styleId="TOC8">
    <w:name w:val="toc 8"/>
    <w:basedOn w:val="Normal"/>
    <w:next w:val="Normal"/>
    <w:semiHidden/>
    <w:rsid w:val="00275D3E"/>
    <w:pPr>
      <w:tabs>
        <w:tab w:val="right" w:leader="dot" w:pos="8640"/>
      </w:tabs>
      <w:spacing w:after="240"/>
      <w:jc w:val="both"/>
    </w:pPr>
    <w:rPr>
      <w:kern w:val="0"/>
      <w:szCs w:val="20"/>
      <w:lang w:eastAsia="en-IE"/>
      <w14:ligatures w14:val="none"/>
    </w:rPr>
  </w:style>
  <w:style w:type="paragraph" w:styleId="TOC9">
    <w:name w:val="toc 9"/>
    <w:basedOn w:val="Normal"/>
    <w:next w:val="Normal"/>
    <w:semiHidden/>
    <w:rsid w:val="00275D3E"/>
    <w:pPr>
      <w:tabs>
        <w:tab w:val="right" w:leader="dot" w:pos="8640"/>
      </w:tabs>
      <w:spacing w:after="240"/>
      <w:jc w:val="both"/>
    </w:pPr>
    <w:rPr>
      <w:kern w:val="0"/>
      <w:szCs w:val="20"/>
      <w:lang w:eastAsia="en-IE"/>
      <w14:ligatures w14:val="none"/>
    </w:rPr>
  </w:style>
  <w:style w:type="paragraph" w:styleId="TOCHeading">
    <w:name w:val="TOC Heading"/>
    <w:basedOn w:val="Normal"/>
    <w:next w:val="Normal"/>
    <w:uiPriority w:val="39"/>
    <w:qFormat/>
    <w:rsid w:val="00275D3E"/>
    <w:pPr>
      <w:spacing w:before="240" w:after="240"/>
      <w:jc w:val="center"/>
    </w:pPr>
    <w:rPr>
      <w:rFonts w:ascii="Times New Roman Bold" w:hAnsi="Times New Roman Bold"/>
      <w:b/>
      <w:caps/>
      <w:kern w:val="0"/>
      <w:szCs w:val="20"/>
      <w:lang w:eastAsia="en-IE"/>
      <w14:ligatures w14:val="none"/>
    </w:rPr>
  </w:style>
  <w:style w:type="paragraph" w:customStyle="1" w:styleId="TrsSecretUE">
    <w:name w:val="Très Secret UE"/>
    <w:basedOn w:val="Normal"/>
    <w:rsid w:val="00275D3E"/>
    <w:pPr>
      <w:jc w:val="center"/>
    </w:pPr>
    <w:rPr>
      <w:b/>
      <w:caps/>
      <w:color w:val="FF0000"/>
      <w:kern w:val="0"/>
      <w:sz w:val="32"/>
      <w:szCs w:val="20"/>
      <w:bdr w:val="single" w:sz="18" w:space="0" w:color="FF0000"/>
      <w:lang w:eastAsia="en-IE"/>
      <w14:ligatures w14:val="none"/>
    </w:rPr>
  </w:style>
  <w:style w:type="paragraph" w:customStyle="1" w:styleId="ZCom">
    <w:name w:val="Z_Com"/>
    <w:basedOn w:val="Normal"/>
    <w:next w:val="Normal"/>
    <w:uiPriority w:val="99"/>
    <w:rsid w:val="00275D3E"/>
    <w:pPr>
      <w:widowControl w:val="0"/>
      <w:spacing w:before="90"/>
      <w:ind w:right="85"/>
    </w:pPr>
    <w:rPr>
      <w:kern w:val="0"/>
      <w:szCs w:val="20"/>
      <w:lang w:eastAsia="en-IE"/>
      <w14:ligatures w14:val="none"/>
    </w:rPr>
  </w:style>
  <w:style w:type="paragraph" w:customStyle="1" w:styleId="ZDGName">
    <w:name w:val="Z_DGName"/>
    <w:basedOn w:val="Normal"/>
    <w:uiPriority w:val="99"/>
    <w:rsid w:val="00275D3E"/>
    <w:pPr>
      <w:widowControl w:val="0"/>
      <w:ind w:right="85"/>
    </w:pPr>
    <w:rPr>
      <w:kern w:val="0"/>
      <w:sz w:val="16"/>
      <w:szCs w:val="20"/>
      <w:lang w:eastAsia="en-IE"/>
      <w14:ligatures w14:val="none"/>
    </w:rPr>
  </w:style>
  <w:style w:type="paragraph" w:customStyle="1" w:styleId="ZFlag">
    <w:name w:val="Z_Flag"/>
    <w:basedOn w:val="Normal"/>
    <w:next w:val="Normal"/>
    <w:uiPriority w:val="99"/>
    <w:rsid w:val="00275D3E"/>
    <w:pPr>
      <w:widowControl w:val="0"/>
      <w:ind w:right="85"/>
      <w:jc w:val="both"/>
    </w:pPr>
    <w:rPr>
      <w:kern w:val="0"/>
      <w:szCs w:val="20"/>
      <w:lang w:eastAsia="en-IE"/>
      <w14:ligatures w14:val="none"/>
    </w:rPr>
  </w:style>
  <w:style w:type="table" w:customStyle="1" w:styleId="EurolookClassicBlue">
    <w:name w:val="Eurolook Classic Blue"/>
    <w:basedOn w:val="TableNormal"/>
    <w:rsid w:val="00275D3E"/>
    <w:pPr>
      <w:spacing w:after="240"/>
    </w:pPr>
    <w:rPr>
      <w:kern w:val="0"/>
      <w:sz w:val="24"/>
      <w:lang w:eastAsia="en-IE"/>
      <w14:ligatures w14:val="none"/>
    </w:rPr>
    <w:tblPr/>
    <w:tblStylePr w:type="firstRow">
      <w:rPr>
        <w:color w:val="FFFFFF"/>
      </w:rPr>
    </w:tblStylePr>
    <w:tblStylePr w:type="firstCol">
      <w:rPr>
        <w:color w:val="004494"/>
      </w:rPr>
    </w:tblStylePr>
  </w:style>
  <w:style w:type="table" w:customStyle="1" w:styleId="EurolookClassicBlue1">
    <w:name w:val="Eurolook Classic Blue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2">
    <w:name w:val="Eurolook Classic Blue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3">
    <w:name w:val="Eurolook Classic Blue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4">
    <w:name w:val="Eurolook Classic Blue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Grey">
    <w:name w:val="Eurolook Classic Grey"/>
    <w:basedOn w:val="TableNormal"/>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Grey1">
    <w:name w:val="Eurolook Classic Grey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646567"/>
      </w:tcPr>
    </w:tblStylePr>
    <w:tblStylePr w:type="lastRow">
      <w:tblPr/>
      <w:tcPr>
        <w:shd w:val="clear" w:color="auto" w:fill="DADADA"/>
      </w:tcPr>
    </w:tblStylePr>
    <w:tblStylePr w:type="firstCol">
      <w:rPr>
        <w:color w:val="646567"/>
      </w:rPr>
    </w:tblStylePr>
    <w:tblStylePr w:type="band2Horz">
      <w:tblPr/>
      <w:tcPr>
        <w:shd w:val="clear" w:color="auto" w:fill="EBECED"/>
      </w:tcPr>
    </w:tblStylePr>
  </w:style>
  <w:style w:type="table" w:customStyle="1" w:styleId="EurolookClassicGrey2">
    <w:name w:val="Eurolook Classic Grey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Grey3">
    <w:name w:val="Eurolook Classic Grey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Grey4">
    <w:name w:val="Eurolook Classic Grey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Olive">
    <w:name w:val="Eurolook Classic Olive"/>
    <w:basedOn w:val="TableNormal"/>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1">
    <w:name w:val="Eurolook Classic Olive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2">
    <w:name w:val="Eurolook Classic Olive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3">
    <w:name w:val="Eurolook Classic Olive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4">
    <w:name w:val="Eurolook Classic Olive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Petrol">
    <w:name w:val="Eurolook Classic Petrol"/>
    <w:basedOn w:val="TableNormal"/>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1">
    <w:name w:val="Eurolook Classic Petrol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2">
    <w:name w:val="Eurolook Classic Petrol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3">
    <w:name w:val="Eurolook Classic Petrol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4">
    <w:name w:val="Eurolook Classic Petrol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urple">
    <w:name w:val="Eurolook Classic Purple"/>
    <w:basedOn w:val="TableNormal"/>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1">
    <w:name w:val="Eurolook Classic Purple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2">
    <w:name w:val="Eurolook Classic Purple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3">
    <w:name w:val="Eurolook Classic Purple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4">
    <w:name w:val="Eurolook Classic Purple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Rust">
    <w:name w:val="Eurolook Classic Rust"/>
    <w:basedOn w:val="TableNormal"/>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1">
    <w:name w:val="Eurolook Classic Rust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2">
    <w:name w:val="Eurolook Classic Rust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3">
    <w:name w:val="Eurolook Classic Rust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4">
    <w:name w:val="Eurolook Classic Rust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LightBlue">
    <w:name w:val="Eurolook Light Blue"/>
    <w:basedOn w:val="TableNormal"/>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1">
    <w:name w:val="Eurolook Light Blue 1"/>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2">
    <w:name w:val="Eurolook Light Blue 2"/>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3">
    <w:name w:val="Eurolook Light Blue 3"/>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4">
    <w:name w:val="Eurolook Light Blue 4"/>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Grey">
    <w:name w:val="Eurolook Light Grey"/>
    <w:basedOn w:val="TableNormal"/>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1">
    <w:name w:val="Eurolook Light Grey 1"/>
    <w:basedOn w:val="TableNormal"/>
    <w:semiHidden/>
    <w:unhideWhenUsed/>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2">
    <w:name w:val="Eurolook Light Grey 2"/>
    <w:basedOn w:val="TableNormal"/>
    <w:semiHidden/>
    <w:unhideWhenUsed/>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3">
    <w:name w:val="Eurolook Light Grey 3"/>
    <w:basedOn w:val="TableNormal"/>
    <w:semiHidden/>
    <w:unhideWhenUsed/>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4">
    <w:name w:val="Eurolook Light Grey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646567"/>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
    <w:name w:val="Eurolook Light Olive"/>
    <w:basedOn w:val="TableNormal"/>
    <w:rsid w:val="00275D3E"/>
    <w:pPr>
      <w:spacing w:after="240"/>
    </w:pPr>
    <w:rPr>
      <w:kern w:val="0"/>
      <w:sz w:val="24"/>
      <w:lang w:eastAsia="en-IE"/>
      <w14:ligatures w14:val="none"/>
    </w:rPr>
    <w:tblPr/>
    <w:tblStylePr w:type="firstRow">
      <w:rPr>
        <w:b w:val="0"/>
        <w:smallCaps/>
        <w:color w:val="4E7849"/>
      </w:rPr>
    </w:tblStylePr>
    <w:tblStylePr w:type="lastRow">
      <w:rPr>
        <w:b w:val="0"/>
      </w:rPr>
    </w:tblStylePr>
    <w:tblStylePr w:type="firstCol">
      <w:rPr>
        <w:color w:val="000000"/>
      </w:rPr>
    </w:tblStylePr>
  </w:style>
  <w:style w:type="table" w:customStyle="1" w:styleId="EurolookLightOlive1">
    <w:name w:val="Eurolook Light Olive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2">
    <w:name w:val="Eurolook Light Olive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3">
    <w:name w:val="Eurolook Light Olive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4">
    <w:name w:val="Eurolook Light Olive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
    <w:name w:val="Eurolook Light Petrol"/>
    <w:basedOn w:val="TableNormal"/>
    <w:rsid w:val="00275D3E"/>
    <w:pPr>
      <w:spacing w:after="240"/>
    </w:pPr>
    <w:rPr>
      <w:kern w:val="0"/>
      <w:sz w:val="24"/>
      <w:lang w:eastAsia="en-IE"/>
      <w14:ligatures w14:val="none"/>
    </w:rPr>
    <w:tblPr/>
    <w:tblStylePr w:type="firstRow">
      <w:rPr>
        <w:b w:val="0"/>
        <w:smallCaps/>
        <w:color w:val="007D98"/>
      </w:rPr>
    </w:tblStylePr>
    <w:tblStylePr w:type="lastRow">
      <w:rPr>
        <w:b w:val="0"/>
      </w:rPr>
    </w:tblStylePr>
    <w:tblStylePr w:type="firstCol">
      <w:rPr>
        <w:color w:val="000000"/>
      </w:rPr>
    </w:tblStylePr>
  </w:style>
  <w:style w:type="table" w:customStyle="1" w:styleId="EurolookLightPetrol1">
    <w:name w:val="Eurolook Light Petrol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2">
    <w:name w:val="Eurolook Light Petrol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3">
    <w:name w:val="Eurolook Light Petrol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4">
    <w:name w:val="Eurolook Light Petrol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
    <w:name w:val="Eurolook Light Purple"/>
    <w:basedOn w:val="TableNormal"/>
    <w:rsid w:val="00275D3E"/>
    <w:pPr>
      <w:spacing w:after="240"/>
    </w:pPr>
    <w:rPr>
      <w:kern w:val="0"/>
      <w:sz w:val="24"/>
      <w:lang w:eastAsia="en-IE"/>
      <w14:ligatures w14:val="none"/>
    </w:rPr>
    <w:tblPr/>
    <w:tblStylePr w:type="firstRow">
      <w:rPr>
        <w:b w:val="0"/>
        <w:smallCaps/>
        <w:color w:val="771D7B"/>
      </w:rPr>
    </w:tblStylePr>
    <w:tblStylePr w:type="lastRow">
      <w:rPr>
        <w:b w:val="0"/>
      </w:rPr>
    </w:tblStylePr>
    <w:tblStylePr w:type="firstCol">
      <w:rPr>
        <w:color w:val="000000"/>
      </w:rPr>
    </w:tblStylePr>
  </w:style>
  <w:style w:type="table" w:customStyle="1" w:styleId="EurolookLightPurple1">
    <w:name w:val="Eurolook Light Purple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2">
    <w:name w:val="Eurolook Light Purple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3">
    <w:name w:val="Eurolook Light Purple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4">
    <w:name w:val="Eurolook Light Purple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
    <w:name w:val="Eurolook Light Rust"/>
    <w:basedOn w:val="TableNormal"/>
    <w:rsid w:val="00275D3E"/>
    <w:pPr>
      <w:spacing w:after="240"/>
    </w:pPr>
    <w:rPr>
      <w:kern w:val="0"/>
      <w:sz w:val="24"/>
      <w:lang w:eastAsia="en-IE"/>
      <w14:ligatures w14:val="none"/>
    </w:rPr>
    <w:tblPr/>
    <w:tblStylePr w:type="firstRow">
      <w:rPr>
        <w:b w:val="0"/>
        <w:smallCaps/>
        <w:color w:val="BF4B36"/>
      </w:rPr>
    </w:tblStylePr>
    <w:tblStylePr w:type="lastRow">
      <w:rPr>
        <w:b w:val="0"/>
      </w:rPr>
    </w:tblStylePr>
    <w:tblStylePr w:type="firstCol">
      <w:rPr>
        <w:color w:val="000000"/>
      </w:rPr>
    </w:tblStylePr>
  </w:style>
  <w:style w:type="table" w:customStyle="1" w:styleId="EurolookLightRust1">
    <w:name w:val="Eurolook Light Rust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2">
    <w:name w:val="Eurolook Light Rust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3">
    <w:name w:val="Eurolook Light Rust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4">
    <w:name w:val="Eurolook Light Rust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Table">
    <w:name w:val="Eurolook Table"/>
    <w:semiHidden/>
    <w:unhideWhenUsed/>
    <w:rsid w:val="00275D3E"/>
    <w:rPr>
      <w:kern w:val="0"/>
      <w:sz w:val="24"/>
      <w:lang w:val="en-IE" w:eastAsia="en-IE"/>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rPr>
    </w:tblStylePr>
  </w:style>
  <w:style w:type="table" w:customStyle="1" w:styleId="EurolookTable1">
    <w:name w:val="Eurolook Table 1"/>
    <w:basedOn w:val="EurolookTable"/>
    <w:semiHidden/>
    <w:unhideWhenUsed/>
    <w:rsid w:val="00275D3E"/>
    <w:tblPr>
      <w:tblInd w:w="482" w:type="dxa"/>
    </w:tblPr>
    <w:tblStylePr w:type="firstRow">
      <w:rPr>
        <w:b/>
      </w:rPr>
    </w:tblStylePr>
  </w:style>
  <w:style w:type="table" w:customStyle="1" w:styleId="EurolookTable2">
    <w:name w:val="Eurolook Table 2"/>
    <w:basedOn w:val="EurolookTable"/>
    <w:semiHidden/>
    <w:unhideWhenUsed/>
    <w:rsid w:val="00275D3E"/>
    <w:tblPr>
      <w:tblInd w:w="1202" w:type="dxa"/>
    </w:tblPr>
    <w:tblStylePr w:type="firstRow">
      <w:rPr>
        <w:b/>
      </w:rPr>
    </w:tblStylePr>
  </w:style>
  <w:style w:type="table" w:customStyle="1" w:styleId="EurolookTable3">
    <w:name w:val="Eurolook Table 3"/>
    <w:basedOn w:val="EurolookTable"/>
    <w:semiHidden/>
    <w:unhideWhenUsed/>
    <w:rsid w:val="00275D3E"/>
    <w:tblPr>
      <w:tblInd w:w="1202" w:type="dxa"/>
    </w:tblPr>
    <w:tblStylePr w:type="firstRow">
      <w:rPr>
        <w:b/>
      </w:rPr>
    </w:tblStylePr>
  </w:style>
  <w:style w:type="table" w:customStyle="1" w:styleId="EurolookTable4">
    <w:name w:val="Eurolook Table 4"/>
    <w:basedOn w:val="EurolookTable"/>
    <w:semiHidden/>
    <w:unhideWhenUsed/>
    <w:rsid w:val="00275D3E"/>
    <w:tblPr>
      <w:tblInd w:w="1202" w:type="dxa"/>
    </w:tblPr>
    <w:tblStylePr w:type="firstRow">
      <w:rPr>
        <w:b/>
      </w:rPr>
    </w:tblStylePr>
  </w:style>
  <w:style w:type="table" w:customStyle="1" w:styleId="HelperTableBase">
    <w:name w:val="Helper Table Base"/>
    <w:semiHidden/>
    <w:rsid w:val="00275D3E"/>
    <w:rPr>
      <w:kern w:val="0"/>
      <w:sz w:val="24"/>
      <w:lang w:eastAsia="en-IE"/>
      <w14:ligatures w14:val="none"/>
    </w:rPr>
    <w:tblPr>
      <w:tblInd w:w="0" w:type="dxa"/>
      <w:tblCellMar>
        <w:top w:w="0" w:type="dxa"/>
        <w:left w:w="0" w:type="dxa"/>
        <w:bottom w:w="0" w:type="dxa"/>
        <w:right w:w="0" w:type="dxa"/>
      </w:tblCellMar>
    </w:tblPr>
  </w:style>
  <w:style w:type="table" w:customStyle="1" w:styleId="SignatureTable">
    <w:name w:val="Signature Table"/>
    <w:basedOn w:val="HelperTableBase"/>
    <w:semiHidden/>
    <w:rsid w:val="00275D3E"/>
    <w:tblPr/>
  </w:style>
  <w:style w:type="table" w:styleId="TableGrid">
    <w:name w:val="Table Grid"/>
    <w:uiPriority w:val="59"/>
    <w:rsid w:val="00275D3E"/>
    <w:rPr>
      <w:kern w:val="0"/>
      <w:sz w:val="24"/>
      <w:lang w:eastAsia="en-IE"/>
      <w14:ligatures w14:val="none"/>
    </w:rPr>
    <w:tblPr>
      <w:tblStyleRowBandSize w:val="1"/>
      <w:tblStyleColBandSize w:val="1"/>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History">
    <w:name w:val="Table History"/>
    <w:basedOn w:val="TableNormal"/>
    <w:uiPriority w:val="99"/>
    <w:rsid w:val="00275D3E"/>
    <w:pPr>
      <w:spacing w:before="60" w:after="60" w:line="264" w:lineRule="auto"/>
    </w:pPr>
    <w:rPr>
      <w:kern w:val="0"/>
      <w:sz w:val="22"/>
      <w:lang w:eastAsia="en-IE"/>
      <w14:ligatures w14:val="none"/>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uiPriority w:val="99"/>
    <w:rsid w:val="00275D3E"/>
    <w:rPr>
      <w:kern w:val="0"/>
      <w:sz w:val="24"/>
      <w:lang w:eastAsia="en-IE"/>
      <w14:ligatures w14:val="none"/>
    </w:rPr>
    <w:tblPr/>
  </w:style>
  <w:style w:type="character" w:styleId="FootnoteReference">
    <w:name w:val="footnote reference"/>
    <w:aliases w:val="Footnote symbol,IT Fußnotenzeichen,Footnote symboFußnotenzeichen,Footnote sign,-E Fußnotenzeichen,ESPON Footnote No,Footnote call,Footnote Reference Superscript,Footnote reference number,Times 10 Point,Exposant 3 Point,Ref,SUPERS,numb"/>
    <w:basedOn w:val="DefaultParagraphFont"/>
    <w:link w:val="CharCharChar"/>
    <w:uiPriority w:val="99"/>
    <w:qFormat/>
    <w:rsid w:val="00275D3E"/>
    <w:rPr>
      <w:vertAlign w:val="superscript"/>
    </w:rPr>
  </w:style>
  <w:style w:type="character" w:styleId="Hyperlink">
    <w:name w:val="Hyperlink"/>
    <w:basedOn w:val="DefaultParagraphFont"/>
    <w:uiPriority w:val="99"/>
    <w:rsid w:val="00275D3E"/>
    <w:rPr>
      <w:color w:val="0000FF" w:themeColor="hyperlink"/>
      <w:u w:val="single"/>
    </w:rPr>
  </w:style>
  <w:style w:type="paragraph" w:customStyle="1" w:styleId="CharCharChar">
    <w:name w:val="Char Char Char"/>
    <w:basedOn w:val="Normal"/>
    <w:link w:val="FootnoteReference"/>
    <w:uiPriority w:val="99"/>
    <w:rsid w:val="00275D3E"/>
    <w:pPr>
      <w:spacing w:after="160" w:line="240" w:lineRule="exact"/>
      <w:ind w:left="357" w:hanging="357"/>
      <w:jc w:val="both"/>
    </w:pPr>
    <w:rPr>
      <w:sz w:val="20"/>
      <w:szCs w:val="20"/>
      <w:vertAlign w:val="superscript"/>
    </w:rPr>
  </w:style>
  <w:style w:type="character" w:styleId="CommentReference">
    <w:name w:val="annotation reference"/>
    <w:basedOn w:val="DefaultParagraphFont"/>
    <w:uiPriority w:val="99"/>
    <w:rsid w:val="00275D3E"/>
    <w:rPr>
      <w:sz w:val="16"/>
      <w:szCs w:val="16"/>
    </w:rPr>
  </w:style>
  <w:style w:type="paragraph" w:styleId="CommentText">
    <w:name w:val="annotation text"/>
    <w:basedOn w:val="Normal"/>
    <w:link w:val="CommentTextChar"/>
    <w:uiPriority w:val="99"/>
    <w:rsid w:val="00275D3E"/>
    <w:pPr>
      <w:spacing w:after="240"/>
      <w:jc w:val="both"/>
    </w:pPr>
    <w:rPr>
      <w:kern w:val="0"/>
      <w:sz w:val="20"/>
      <w:szCs w:val="20"/>
      <w:lang w:eastAsia="en-IE"/>
      <w14:ligatures w14:val="none"/>
    </w:rPr>
  </w:style>
  <w:style w:type="character" w:customStyle="1" w:styleId="CommentTextChar">
    <w:name w:val="Comment Text Char"/>
    <w:basedOn w:val="DefaultParagraphFont"/>
    <w:link w:val="CommentText"/>
    <w:uiPriority w:val="99"/>
    <w:rsid w:val="00275D3E"/>
    <w:rPr>
      <w:kern w:val="0"/>
      <w:lang w:eastAsia="en-IE"/>
      <w14:ligatures w14:val="none"/>
    </w:rPr>
  </w:style>
  <w:style w:type="paragraph" w:styleId="CommentSubject">
    <w:name w:val="annotation subject"/>
    <w:basedOn w:val="CommentText"/>
    <w:next w:val="CommentText"/>
    <w:link w:val="CommentSubjectChar"/>
    <w:semiHidden/>
    <w:rsid w:val="00275D3E"/>
    <w:rPr>
      <w:b/>
      <w:bCs/>
    </w:rPr>
  </w:style>
  <w:style w:type="character" w:customStyle="1" w:styleId="CommentSubjectChar">
    <w:name w:val="Comment Subject Char"/>
    <w:basedOn w:val="CommentTextChar"/>
    <w:link w:val="CommentSubject"/>
    <w:semiHidden/>
    <w:rsid w:val="00275D3E"/>
    <w:rPr>
      <w:b/>
      <w:bCs/>
      <w:kern w:val="0"/>
      <w:lang w:eastAsia="en-IE"/>
      <w14:ligatures w14:val="none"/>
    </w:rPr>
  </w:style>
  <w:style w:type="paragraph" w:customStyle="1" w:styleId="JRCText">
    <w:name w:val="JRC_Text"/>
    <w:basedOn w:val="Normal"/>
    <w:autoRedefine/>
    <w:qFormat/>
    <w:rsid w:val="00275D3E"/>
    <w:pPr>
      <w:spacing w:before="120" w:after="120" w:line="259" w:lineRule="auto"/>
    </w:pPr>
    <w:rPr>
      <w:rFonts w:ascii="EC Square Sans Pro" w:eastAsia="Calibri" w:hAnsi="EC Square Sans Pro"/>
      <w:kern w:val="0"/>
      <w:sz w:val="20"/>
      <w:szCs w:val="22"/>
      <w:lang w:eastAsia="en-US"/>
      <w14:ligatures w14:val="none"/>
    </w:rPr>
  </w:style>
  <w:style w:type="table" w:styleId="GridTable4-Accent6">
    <w:name w:val="Grid Table 4 Accent 6"/>
    <w:basedOn w:val="TableNormal"/>
    <w:rsid w:val="00275D3E"/>
    <w:rPr>
      <w:kern w:val="0"/>
      <w:sz w:val="24"/>
      <w:lang w:eastAsia="en-IE"/>
      <w14:ligatures w14:val="none"/>
    </w:rPr>
    <w:tblPr>
      <w:tblStyleRowBandSize w:val="1"/>
      <w:tblStyleColBandSize w:val="1"/>
    </w:tblPr>
    <w:tcPr>
      <w:shd w:val="clear" w:color="auto" w:fill="FDE9D9" w:themeFill="accent6" w:themeFillTint="33"/>
    </w:tc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style>
  <w:style w:type="character" w:styleId="FollowedHyperlink">
    <w:name w:val="FollowedHyperlink"/>
    <w:basedOn w:val="DefaultParagraphFont"/>
    <w:semiHidden/>
    <w:rsid w:val="00275D3E"/>
    <w:rPr>
      <w:color w:val="800080" w:themeColor="followedHyperlink"/>
      <w:u w:val="single"/>
    </w:rPr>
  </w:style>
  <w:style w:type="character" w:customStyle="1" w:styleId="highlight">
    <w:name w:val="highlight"/>
    <w:basedOn w:val="DefaultParagraphFont"/>
    <w:rsid w:val="00275D3E"/>
  </w:style>
  <w:style w:type="paragraph" w:styleId="PlainText">
    <w:name w:val="Plain Text"/>
    <w:basedOn w:val="Normal"/>
    <w:link w:val="PlainTextChar"/>
    <w:uiPriority w:val="99"/>
    <w:unhideWhenUsed/>
    <w:rsid w:val="00275D3E"/>
    <w:rPr>
      <w:rFonts w:ascii="Calibri" w:eastAsiaTheme="minorHAnsi" w:hAnsi="Calibri" w:cstheme="minorBidi"/>
      <w:kern w:val="0"/>
      <w:sz w:val="22"/>
      <w:szCs w:val="21"/>
      <w:lang w:eastAsia="en-US"/>
      <w14:ligatures w14:val="none"/>
    </w:rPr>
  </w:style>
  <w:style w:type="character" w:customStyle="1" w:styleId="PlainTextChar">
    <w:name w:val="Plain Text Char"/>
    <w:basedOn w:val="DefaultParagraphFont"/>
    <w:link w:val="PlainText"/>
    <w:uiPriority w:val="99"/>
    <w:rsid w:val="00275D3E"/>
    <w:rPr>
      <w:rFonts w:ascii="Calibri" w:eastAsiaTheme="minorHAnsi" w:hAnsi="Calibri" w:cstheme="minorBidi"/>
      <w:kern w:val="0"/>
      <w:sz w:val="22"/>
      <w:szCs w:val="21"/>
      <w:lang w:val="et-EE" w:eastAsia="en-US"/>
      <w14:ligatures w14:val="none"/>
    </w:rPr>
  </w:style>
  <w:style w:type="character" w:customStyle="1" w:styleId="ListParagraphChar">
    <w:name w:val="List Paragraph Char"/>
    <w:aliases w:val="Fiche List Paragraph Char,OBC Bullet Char,Dot pt Char,F5 List Paragraph Char,List Paragraph1 Char,No Spacing1 Char,List Paragraph Char Char Char Char,Indicator Text Char,Colorful List - Accent 11 Char,Numbered Para 1 Char,2 Char"/>
    <w:link w:val="ListParagraph"/>
    <w:uiPriority w:val="34"/>
    <w:qFormat/>
    <w:locked/>
    <w:rsid w:val="00275D3E"/>
    <w:rPr>
      <w:sz w:val="24"/>
      <w:szCs w:val="24"/>
    </w:rPr>
  </w:style>
  <w:style w:type="character" w:customStyle="1" w:styleId="UnresolvedMention1">
    <w:name w:val="Unresolved Mention1"/>
    <w:basedOn w:val="DefaultParagraphFont"/>
    <w:semiHidden/>
    <w:locked/>
    <w:rsid w:val="00275D3E"/>
    <w:rPr>
      <w:color w:val="605E5C"/>
      <w:shd w:val="clear" w:color="auto" w:fill="E1DFDD"/>
    </w:rPr>
  </w:style>
  <w:style w:type="character" w:customStyle="1" w:styleId="Mention1">
    <w:name w:val="Mention1"/>
    <w:basedOn w:val="DefaultParagraphFont"/>
    <w:uiPriority w:val="99"/>
    <w:unhideWhenUsed/>
    <w:rsid w:val="00275D3E"/>
    <w:rPr>
      <w:color w:val="2B579A"/>
      <w:shd w:val="clear" w:color="auto" w:fill="E6E6E6"/>
    </w:rPr>
  </w:style>
  <w:style w:type="paragraph" w:styleId="BalloonText">
    <w:name w:val="Balloon Text"/>
    <w:basedOn w:val="Normal"/>
    <w:link w:val="BalloonTextChar"/>
    <w:semiHidden/>
    <w:rsid w:val="00275D3E"/>
    <w:pPr>
      <w:jc w:val="both"/>
    </w:pPr>
    <w:rPr>
      <w:rFonts w:ascii="Segoe UI" w:hAnsi="Segoe UI" w:cs="Segoe UI"/>
      <w:kern w:val="0"/>
      <w:sz w:val="18"/>
      <w:szCs w:val="18"/>
      <w:lang w:eastAsia="en-IE"/>
      <w14:ligatures w14:val="none"/>
    </w:rPr>
  </w:style>
  <w:style w:type="character" w:customStyle="1" w:styleId="BalloonTextChar">
    <w:name w:val="Balloon Text Char"/>
    <w:basedOn w:val="DefaultParagraphFont"/>
    <w:link w:val="BalloonText"/>
    <w:semiHidden/>
    <w:rsid w:val="00275D3E"/>
    <w:rPr>
      <w:rFonts w:ascii="Segoe UI" w:hAnsi="Segoe UI" w:cs="Segoe UI"/>
      <w:kern w:val="0"/>
      <w:sz w:val="18"/>
      <w:szCs w:val="18"/>
      <w:lang w:eastAsia="en-IE"/>
      <w14:ligatures w14:val="none"/>
    </w:rPr>
  </w:style>
  <w:style w:type="character" w:customStyle="1" w:styleId="UnresolvedMention2">
    <w:name w:val="Unresolved Mention2"/>
    <w:basedOn w:val="DefaultParagraphFont"/>
    <w:uiPriority w:val="99"/>
    <w:semiHidden/>
    <w:unhideWhenUsed/>
    <w:rsid w:val="00275D3E"/>
    <w:rPr>
      <w:color w:val="605E5C"/>
      <w:shd w:val="clear" w:color="auto" w:fill="E1DFDD"/>
    </w:rPr>
  </w:style>
  <w:style w:type="character" w:customStyle="1" w:styleId="normaltextrun">
    <w:name w:val="normaltextrun"/>
    <w:basedOn w:val="DefaultParagraphFont"/>
    <w:rsid w:val="00275D3E"/>
  </w:style>
  <w:style w:type="character" w:customStyle="1" w:styleId="eop">
    <w:name w:val="eop"/>
    <w:basedOn w:val="DefaultParagraphFont"/>
    <w:rsid w:val="00275D3E"/>
  </w:style>
  <w:style w:type="paragraph" w:styleId="Revision">
    <w:name w:val="Revision"/>
    <w:hidden/>
    <w:semiHidden/>
    <w:rsid w:val="00275D3E"/>
    <w:rPr>
      <w:kern w:val="0"/>
      <w:sz w:val="24"/>
      <w:lang w:eastAsia="en-IE"/>
      <w14:ligatures w14:val="none"/>
    </w:rPr>
  </w:style>
  <w:style w:type="character" w:customStyle="1" w:styleId="UnresolvedMention3">
    <w:name w:val="Unresolved Mention3"/>
    <w:basedOn w:val="DefaultParagraphFont"/>
    <w:uiPriority w:val="99"/>
    <w:semiHidden/>
    <w:unhideWhenUsed/>
    <w:rsid w:val="00275D3E"/>
    <w:rPr>
      <w:color w:val="605E5C"/>
      <w:shd w:val="clear" w:color="auto" w:fill="E1DFDD"/>
    </w:rPr>
  </w:style>
  <w:style w:type="character" w:customStyle="1" w:styleId="UnresolvedMention4">
    <w:name w:val="Unresolved Mention4"/>
    <w:basedOn w:val="DefaultParagraphFont"/>
    <w:uiPriority w:val="99"/>
    <w:semiHidden/>
    <w:unhideWhenUsed/>
    <w:rsid w:val="00275D3E"/>
    <w:rPr>
      <w:color w:val="605E5C"/>
      <w:shd w:val="clear" w:color="auto" w:fill="E1DFDD"/>
    </w:rPr>
  </w:style>
  <w:style w:type="character" w:customStyle="1" w:styleId="UnresolvedMention5">
    <w:name w:val="Unresolved Mention5"/>
    <w:basedOn w:val="DefaultParagraphFont"/>
    <w:uiPriority w:val="99"/>
    <w:semiHidden/>
    <w:unhideWhenUsed/>
    <w:rsid w:val="00275D3E"/>
    <w:rPr>
      <w:color w:val="605E5C"/>
      <w:shd w:val="clear" w:color="auto" w:fill="E1DFDD"/>
    </w:rPr>
  </w:style>
  <w:style w:type="character" w:customStyle="1" w:styleId="UnresolvedMention6">
    <w:name w:val="Unresolved Mention6"/>
    <w:basedOn w:val="DefaultParagraphFont"/>
    <w:uiPriority w:val="99"/>
    <w:semiHidden/>
    <w:unhideWhenUsed/>
    <w:rsid w:val="00275D3E"/>
    <w:rPr>
      <w:color w:val="605E5C"/>
      <w:shd w:val="clear" w:color="auto" w:fill="E1DFDD"/>
    </w:rPr>
  </w:style>
  <w:style w:type="character" w:customStyle="1" w:styleId="UnresolvedMention7">
    <w:name w:val="Unresolved Mention7"/>
    <w:basedOn w:val="DefaultParagraphFont"/>
    <w:uiPriority w:val="99"/>
    <w:semiHidden/>
    <w:unhideWhenUsed/>
    <w:rsid w:val="00275D3E"/>
    <w:rPr>
      <w:color w:val="605E5C"/>
      <w:shd w:val="clear" w:color="auto" w:fill="E1DFDD"/>
    </w:rPr>
  </w:style>
  <w:style w:type="character" w:customStyle="1" w:styleId="Text1Char">
    <w:name w:val="Text 1 Char"/>
    <w:link w:val="Text1"/>
    <w:uiPriority w:val="90"/>
    <w:rsid w:val="00275D3E"/>
    <w:rPr>
      <w:kern w:val="0"/>
      <w:sz w:val="24"/>
      <w:lang w:eastAsia="en-IE"/>
      <w14:ligatures w14:val="none"/>
    </w:rPr>
  </w:style>
  <w:style w:type="paragraph" w:customStyle="1" w:styleId="FigureNote">
    <w:name w:val="Figure Note"/>
    <w:basedOn w:val="FigureSource"/>
    <w:next w:val="FigureSource"/>
    <w:uiPriority w:val="7"/>
    <w:rsid w:val="00275D3E"/>
    <w:rPr>
      <w:b/>
      <w:lang w:eastAsia="fr-BE"/>
    </w:rPr>
  </w:style>
  <w:style w:type="paragraph" w:customStyle="1" w:styleId="YReferences">
    <w:name w:val="YReferences"/>
    <w:basedOn w:val="Normal"/>
    <w:rsid w:val="00275D3E"/>
    <w:pPr>
      <w:spacing w:after="480"/>
      <w:ind w:left="3062" w:hanging="1531"/>
      <w:contextualSpacing/>
      <w:jc w:val="both"/>
    </w:pPr>
    <w:rPr>
      <w:kern w:val="0"/>
      <w:szCs w:val="20"/>
      <w:lang w:eastAsia="fr-BE"/>
      <w14:ligatures w14:val="none"/>
    </w:rPr>
  </w:style>
  <w:style w:type="paragraph" w:customStyle="1" w:styleId="Enclosures">
    <w:name w:val="Enclosures"/>
    <w:basedOn w:val="Normal"/>
    <w:rsid w:val="00275D3E"/>
    <w:pPr>
      <w:keepNext/>
      <w:keepLines/>
      <w:tabs>
        <w:tab w:val="left" w:pos="5641"/>
      </w:tabs>
      <w:spacing w:before="480"/>
      <w:ind w:left="2382" w:hanging="1191"/>
      <w:contextualSpacing/>
    </w:pPr>
    <w:rPr>
      <w:kern w:val="0"/>
      <w:szCs w:val="20"/>
      <w:lang w:eastAsia="fr-BE"/>
      <w14:ligatures w14:val="none"/>
    </w:rPr>
  </w:style>
  <w:style w:type="paragraph" w:customStyle="1" w:styleId="AddressTR">
    <w:name w:val="AddressTR"/>
    <w:basedOn w:val="Normal"/>
    <w:next w:val="Normal"/>
    <w:rsid w:val="00275D3E"/>
    <w:pPr>
      <w:spacing w:after="720"/>
      <w:ind w:left="5102"/>
    </w:pPr>
    <w:rPr>
      <w:kern w:val="0"/>
      <w:szCs w:val="20"/>
      <w:lang w:eastAsia="fr-BE"/>
      <w14:ligatures w14:val="none"/>
    </w:rPr>
  </w:style>
  <w:style w:type="paragraph" w:customStyle="1" w:styleId="AddressTL">
    <w:name w:val="AddressTL"/>
    <w:basedOn w:val="Normal"/>
    <w:next w:val="Normal"/>
    <w:rsid w:val="00275D3E"/>
    <w:pPr>
      <w:spacing w:after="720"/>
    </w:pPr>
    <w:rPr>
      <w:kern w:val="0"/>
      <w:szCs w:val="20"/>
      <w:lang w:eastAsia="fr-BE"/>
      <w14:ligatures w14:val="none"/>
    </w:rPr>
  </w:style>
  <w:style w:type="paragraph" w:customStyle="1" w:styleId="Address">
    <w:name w:val="Address"/>
    <w:basedOn w:val="Normal"/>
    <w:rsid w:val="00275D3E"/>
    <w:rPr>
      <w:kern w:val="0"/>
      <w:szCs w:val="20"/>
      <w:lang w:eastAsia="fr-BE"/>
      <w14:ligatures w14:val="none"/>
    </w:rPr>
  </w:style>
  <w:style w:type="paragraph" w:customStyle="1" w:styleId="Body">
    <w:name w:val="Body"/>
    <w:rsid w:val="00275D3E"/>
    <w:pPr>
      <w:pBdr>
        <w:top w:val="nil"/>
        <w:left w:val="nil"/>
        <w:bottom w:val="nil"/>
        <w:right w:val="nil"/>
        <w:between w:val="nil"/>
        <w:bar w:val="nil"/>
      </w:pBdr>
      <w:spacing w:before="160" w:line="288" w:lineRule="auto"/>
    </w:pPr>
    <w:rPr>
      <w:rFonts w:ascii="Helvetica Neue" w:eastAsia="Arial Unicode MS" w:hAnsi="Helvetica Neue" w:cs="Arial Unicode MS"/>
      <w:color w:val="000000"/>
      <w:kern w:val="0"/>
      <w:sz w:val="24"/>
      <w:szCs w:val="24"/>
      <w:bdr w:val="nil"/>
      <w:lang w:eastAsia="fr-BE"/>
      <w14:textOutline w14:w="0" w14:cap="flat" w14:cmpd="sng" w14:algn="ctr">
        <w14:noFill/>
        <w14:prstDash w14:val="solid"/>
        <w14:bevel/>
      </w14:textOutline>
      <w14:ligatures w14:val="none"/>
    </w:rPr>
  </w:style>
  <w:style w:type="paragraph" w:customStyle="1" w:styleId="TableStyle1">
    <w:name w:val="Table Style 1"/>
    <w:rsid w:val="00275D3E"/>
    <w:pPr>
      <w:pBdr>
        <w:top w:val="nil"/>
        <w:left w:val="nil"/>
        <w:bottom w:val="nil"/>
        <w:right w:val="nil"/>
        <w:between w:val="nil"/>
        <w:bar w:val="nil"/>
      </w:pBdr>
    </w:pPr>
    <w:rPr>
      <w:rFonts w:ascii="Helvetica Neue" w:eastAsia="Helvetica Neue" w:hAnsi="Helvetica Neue" w:cs="Helvetica Neue"/>
      <w:b/>
      <w:bCs/>
      <w:color w:val="000000"/>
      <w:kern w:val="0"/>
      <w:bdr w:val="nil"/>
      <w:lang w:eastAsia="fr-BE"/>
      <w14:textOutline w14:w="0" w14:cap="flat" w14:cmpd="sng" w14:algn="ctr">
        <w14:noFill/>
        <w14:prstDash w14:val="solid"/>
        <w14:bevel/>
      </w14:textOutline>
      <w14:ligatures w14:val="none"/>
    </w:rPr>
  </w:style>
  <w:style w:type="paragraph" w:customStyle="1" w:styleId="TableStyle2">
    <w:name w:val="Table Style 2"/>
    <w:rsid w:val="00275D3E"/>
    <w:pPr>
      <w:pBdr>
        <w:top w:val="nil"/>
        <w:left w:val="nil"/>
        <w:bottom w:val="nil"/>
        <w:right w:val="nil"/>
        <w:between w:val="nil"/>
        <w:bar w:val="nil"/>
      </w:pBdr>
    </w:pPr>
    <w:rPr>
      <w:rFonts w:ascii="Helvetica Neue" w:eastAsia="Helvetica Neue" w:hAnsi="Helvetica Neue" w:cs="Helvetica Neue"/>
      <w:color w:val="000000"/>
      <w:kern w:val="0"/>
      <w:bdr w:val="nil"/>
      <w:lang w:eastAsia="fr-BE"/>
      <w14:textOutline w14:w="0" w14:cap="flat" w14:cmpd="sng" w14:algn="ctr">
        <w14:noFill/>
        <w14:prstDash w14:val="solid"/>
        <w14:bevel/>
      </w14:textOutline>
      <w14:ligatures w14:val="none"/>
    </w:rPr>
  </w:style>
  <w:style w:type="paragraph" w:customStyle="1" w:styleId="paragraph">
    <w:name w:val="paragraph"/>
    <w:basedOn w:val="Normal"/>
    <w:rsid w:val="00275D3E"/>
    <w:pPr>
      <w:spacing w:before="100" w:beforeAutospacing="1" w:after="100" w:afterAutospacing="1"/>
    </w:pPr>
    <w:rPr>
      <w:kern w:val="0"/>
      <w:lang w:eastAsia="fr-BE"/>
      <w14:ligatures w14:val="none"/>
    </w:rPr>
  </w:style>
  <w:style w:type="character" w:customStyle="1" w:styleId="advancedproofingissue">
    <w:name w:val="advancedproofingissue"/>
    <w:basedOn w:val="DefaultParagraphFont"/>
    <w:rsid w:val="00275D3E"/>
  </w:style>
  <w:style w:type="paragraph" w:styleId="NormalWeb">
    <w:name w:val="Normal (Web)"/>
    <w:basedOn w:val="Normal"/>
    <w:uiPriority w:val="99"/>
    <w:unhideWhenUsed/>
    <w:rsid w:val="00275D3E"/>
    <w:pPr>
      <w:spacing w:before="100" w:beforeAutospacing="1" w:after="100" w:afterAutospacing="1"/>
    </w:pPr>
    <w:rPr>
      <w:rFonts w:eastAsiaTheme="minorEastAsia"/>
      <w:kern w:val="0"/>
      <w14:ligatures w14:val="none"/>
    </w:rPr>
  </w:style>
  <w:style w:type="paragraph" w:styleId="BodyText">
    <w:name w:val="Body Text"/>
    <w:basedOn w:val="Normal"/>
    <w:link w:val="BodyTextChar"/>
    <w:rsid w:val="00275D3E"/>
    <w:pPr>
      <w:spacing w:after="120"/>
      <w:jc w:val="both"/>
    </w:pPr>
    <w:rPr>
      <w:kern w:val="0"/>
      <w:szCs w:val="20"/>
      <w:lang w:eastAsia="en-US"/>
      <w14:ligatures w14:val="none"/>
    </w:rPr>
  </w:style>
  <w:style w:type="character" w:customStyle="1" w:styleId="BodyTextChar">
    <w:name w:val="Body Text Char"/>
    <w:basedOn w:val="DefaultParagraphFont"/>
    <w:link w:val="BodyText"/>
    <w:rsid w:val="00275D3E"/>
    <w:rPr>
      <w:kern w:val="0"/>
      <w:sz w:val="24"/>
      <w:lang w:eastAsia="en-US"/>
      <w14:ligatures w14:val="none"/>
    </w:rPr>
  </w:style>
  <w:style w:type="paragraph" w:customStyle="1" w:styleId="Para1">
    <w:name w:val="Para_1"/>
    <w:basedOn w:val="Normal"/>
    <w:link w:val="Para1Char"/>
    <w:qFormat/>
    <w:rsid w:val="00275D3E"/>
    <w:pPr>
      <w:tabs>
        <w:tab w:val="left" w:pos="454"/>
        <w:tab w:val="left" w:pos="567"/>
      </w:tabs>
      <w:spacing w:after="240" w:line="360" w:lineRule="auto"/>
    </w:pPr>
    <w:rPr>
      <w:rFonts w:ascii="Calibri" w:hAnsi="Calibri"/>
      <w:kern w:val="0"/>
      <w:sz w:val="22"/>
      <w:szCs w:val="20"/>
      <w14:ligatures w14:val="none"/>
    </w:rPr>
  </w:style>
  <w:style w:type="character" w:customStyle="1" w:styleId="Para1Char">
    <w:name w:val="Para_1 Char"/>
    <w:link w:val="Para1"/>
    <w:locked/>
    <w:rsid w:val="00275D3E"/>
    <w:rPr>
      <w:rFonts w:ascii="Calibri" w:hAnsi="Calibri"/>
      <w:kern w:val="0"/>
      <w:sz w:val="22"/>
      <w14:ligatures w14:val="none"/>
    </w:rPr>
  </w:style>
  <w:style w:type="character" w:customStyle="1" w:styleId="truncate">
    <w:name w:val="truncate"/>
    <w:basedOn w:val="DefaultParagraphFont"/>
    <w:rsid w:val="00275D3E"/>
  </w:style>
  <w:style w:type="character" w:customStyle="1" w:styleId="spellingerror">
    <w:name w:val="spellingerror"/>
    <w:basedOn w:val="DefaultParagraphFont"/>
    <w:rsid w:val="00275D3E"/>
  </w:style>
  <w:style w:type="paragraph" w:customStyle="1" w:styleId="Typedudocument">
    <w:name w:val="Type du document"/>
    <w:basedOn w:val="Normal"/>
    <w:next w:val="Normal"/>
    <w:link w:val="TypedudocumentChar"/>
    <w:rsid w:val="00275D3E"/>
    <w:pPr>
      <w:spacing w:before="360"/>
      <w:jc w:val="center"/>
    </w:pPr>
    <w:rPr>
      <w:rFonts w:eastAsiaTheme="minorHAnsi"/>
      <w:b/>
      <w:kern w:val="0"/>
      <w:szCs w:val="22"/>
      <w:lang w:eastAsia="en-US"/>
      <w14:ligatures w14:val="none"/>
    </w:rPr>
  </w:style>
  <w:style w:type="paragraph" w:customStyle="1" w:styleId="Titreobjet">
    <w:name w:val="Titre objet"/>
    <w:basedOn w:val="Normal"/>
    <w:next w:val="Normal"/>
    <w:rsid w:val="00275D3E"/>
    <w:pPr>
      <w:spacing w:before="360" w:after="360"/>
      <w:jc w:val="center"/>
    </w:pPr>
    <w:rPr>
      <w:rFonts w:eastAsiaTheme="minorHAnsi"/>
      <w:b/>
      <w:kern w:val="0"/>
      <w:szCs w:val="22"/>
      <w:lang w:eastAsia="en-US"/>
      <w14:ligatures w14:val="none"/>
    </w:rPr>
  </w:style>
  <w:style w:type="character" w:customStyle="1" w:styleId="TypedudocumentChar">
    <w:name w:val="Type du document Char"/>
    <w:basedOn w:val="DefaultParagraphFont"/>
    <w:link w:val="Typedudocument"/>
    <w:rsid w:val="00275D3E"/>
    <w:rPr>
      <w:rFonts w:eastAsiaTheme="minorHAnsi"/>
      <w:b/>
      <w:kern w:val="0"/>
      <w:sz w:val="24"/>
      <w:szCs w:val="22"/>
      <w:lang w:eastAsia="en-US"/>
      <w14:ligatures w14:val="none"/>
    </w:rPr>
  </w:style>
  <w:style w:type="character" w:styleId="Emphasis">
    <w:name w:val="Emphasis"/>
    <w:basedOn w:val="DefaultParagraphFont"/>
    <w:uiPriority w:val="20"/>
    <w:qFormat/>
    <w:rsid w:val="00275D3E"/>
    <w:rPr>
      <w:i/>
      <w:iCs/>
    </w:rPr>
  </w:style>
  <w:style w:type="paragraph" w:customStyle="1" w:styleId="Default">
    <w:name w:val="Default"/>
    <w:rsid w:val="00275D3E"/>
    <w:pPr>
      <w:autoSpaceDE w:val="0"/>
      <w:autoSpaceDN w:val="0"/>
      <w:adjustRightInd w:val="0"/>
    </w:pPr>
    <w:rPr>
      <w:color w:val="000000"/>
      <w:kern w:val="0"/>
      <w:sz w:val="24"/>
      <w:szCs w:val="24"/>
      <w:lang w:eastAsia="fr-BE"/>
      <w14:ligatures w14:val="none"/>
    </w:rPr>
  </w:style>
  <w:style w:type="character" w:styleId="Strong">
    <w:name w:val="Strong"/>
    <w:basedOn w:val="DefaultParagraphFont"/>
    <w:uiPriority w:val="22"/>
    <w:qFormat/>
    <w:rsid w:val="00275D3E"/>
    <w:rPr>
      <w:b/>
      <w:bCs/>
    </w:rPr>
  </w:style>
  <w:style w:type="character" w:customStyle="1" w:styleId="LegalNumParChar">
    <w:name w:val="LegalNumPar Char"/>
    <w:basedOn w:val="DefaultParagraphFont"/>
    <w:link w:val="LegalNumPar"/>
    <w:rsid w:val="00275D3E"/>
    <w:rPr>
      <w:kern w:val="0"/>
      <w:sz w:val="24"/>
      <w:lang w:eastAsia="en-IE"/>
      <w14:ligatures w14:val="none"/>
    </w:rPr>
  </w:style>
  <w:style w:type="paragraph" w:customStyle="1" w:styleId="Normal1">
    <w:name w:val="Normal1"/>
    <w:basedOn w:val="Normal"/>
    <w:rsid w:val="00275D3E"/>
    <w:pPr>
      <w:spacing w:before="100" w:beforeAutospacing="1" w:after="100" w:afterAutospacing="1"/>
    </w:pPr>
    <w:rPr>
      <w:kern w:val="0"/>
      <w:lang w:eastAsia="en-US"/>
      <w14:ligatures w14:val="none"/>
    </w:rPr>
  </w:style>
  <w:style w:type="character" w:customStyle="1" w:styleId="footnotereference0">
    <w:name w:val="footnotereference"/>
    <w:basedOn w:val="DefaultParagraphFont"/>
    <w:rsid w:val="00275D3E"/>
  </w:style>
  <w:style w:type="paragraph" w:styleId="List2">
    <w:name w:val="List 2"/>
    <w:basedOn w:val="Normal"/>
    <w:semiHidden/>
    <w:rsid w:val="00275D3E"/>
    <w:pPr>
      <w:spacing w:after="240"/>
      <w:ind w:left="566" w:hanging="283"/>
      <w:contextualSpacing/>
      <w:jc w:val="both"/>
    </w:pPr>
    <w:rPr>
      <w:kern w:val="0"/>
      <w:szCs w:val="20"/>
      <w:lang w:eastAsia="fr-BE"/>
      <w14:ligatures w14:val="none"/>
    </w:rPr>
  </w:style>
  <w:style w:type="paragraph" w:customStyle="1" w:styleId="Disclaimer">
    <w:name w:val="Disclaimer"/>
    <w:basedOn w:val="Normal"/>
    <w:rsid w:val="00275D3E"/>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after="120"/>
      <w:jc w:val="both"/>
    </w:pPr>
    <w:rPr>
      <w:rFonts w:eastAsiaTheme="minorHAnsi"/>
      <w:kern w:val="0"/>
      <w:szCs w:val="22"/>
      <w:lang w:eastAsia="en-US"/>
      <w14:ligatures w14:val="none"/>
    </w:rPr>
  </w:style>
  <w:style w:type="paragraph" w:customStyle="1" w:styleId="SecurityMarking">
    <w:name w:val="SecurityMarking"/>
    <w:basedOn w:val="Normal"/>
    <w:rsid w:val="00275D3E"/>
    <w:pPr>
      <w:spacing w:line="276" w:lineRule="auto"/>
      <w:ind w:left="5103"/>
    </w:pPr>
    <w:rPr>
      <w:rFonts w:eastAsiaTheme="minorHAnsi"/>
      <w:kern w:val="0"/>
      <w:sz w:val="28"/>
      <w:szCs w:val="22"/>
      <w:lang w:eastAsia="en-US"/>
      <w14:ligatures w14:val="none"/>
    </w:rPr>
  </w:style>
  <w:style w:type="paragraph" w:customStyle="1" w:styleId="DateMarking">
    <w:name w:val="DateMarking"/>
    <w:basedOn w:val="Normal"/>
    <w:rsid w:val="00275D3E"/>
    <w:pPr>
      <w:spacing w:line="276" w:lineRule="auto"/>
      <w:ind w:left="5103"/>
    </w:pPr>
    <w:rPr>
      <w:rFonts w:eastAsiaTheme="minorHAnsi"/>
      <w:i/>
      <w:kern w:val="0"/>
      <w:sz w:val="28"/>
      <w:szCs w:val="22"/>
      <w:lang w:eastAsia="en-US"/>
      <w14:ligatures w14:val="none"/>
    </w:rPr>
  </w:style>
  <w:style w:type="paragraph" w:customStyle="1" w:styleId="ReleasableTo">
    <w:name w:val="ReleasableTo"/>
    <w:basedOn w:val="Normal"/>
    <w:rsid w:val="00275D3E"/>
    <w:pPr>
      <w:spacing w:line="276" w:lineRule="auto"/>
      <w:ind w:left="5103"/>
    </w:pPr>
    <w:rPr>
      <w:rFonts w:eastAsiaTheme="minorHAnsi"/>
      <w:i/>
      <w:kern w:val="0"/>
      <w:sz w:val="28"/>
      <w:szCs w:val="22"/>
      <w:lang w:eastAsia="en-US"/>
      <w14:ligatures w14:val="none"/>
    </w:rPr>
  </w:style>
  <w:style w:type="character" w:customStyle="1" w:styleId="UnresolvedMention">
    <w:name w:val="Unresolved Mention"/>
    <w:basedOn w:val="DefaultParagraphFont"/>
    <w:uiPriority w:val="99"/>
    <w:semiHidden/>
    <w:unhideWhenUsed/>
    <w:rsid w:val="00275D3E"/>
    <w:rPr>
      <w:color w:val="605E5C"/>
      <w:shd w:val="clear" w:color="auto" w:fill="E1DFDD"/>
    </w:rPr>
  </w:style>
  <w:style w:type="paragraph" w:customStyle="1" w:styleId="FootnoteReferenceCharCarCharCharCarCharCarCharCarCharCarCharCharCarCarCharCharCharCharCharCarCharCarCharCharCarCharCar">
    <w:name w:val="Footnote Reference Char Car Char Char Car Char Car Char Car Char Car Char Char Car Car Char Char Char Char Char Car Char Car Char Char Car Char Car"/>
    <w:basedOn w:val="Normal"/>
    <w:uiPriority w:val="99"/>
    <w:rsid w:val="00275D3E"/>
    <w:pPr>
      <w:spacing w:before="120" w:after="200" w:line="240" w:lineRule="exact"/>
    </w:pPr>
    <w:rPr>
      <w:rFonts w:asciiTheme="minorHAnsi" w:eastAsiaTheme="minorHAnsi" w:hAnsiTheme="minorHAnsi" w:cstheme="minorBidi"/>
      <w:kern w:val="0"/>
      <w:sz w:val="22"/>
      <w:szCs w:val="22"/>
      <w:vertAlign w:val="superscript"/>
      <w:lang w:eastAsia="en-US"/>
      <w14:ligatures w14:val="none"/>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275D3E"/>
    <w:pPr>
      <w:spacing w:after="160" w:line="240" w:lineRule="exact"/>
      <w:jc w:val="both"/>
    </w:pPr>
    <w:rPr>
      <w:rFonts w:asciiTheme="minorHAnsi" w:eastAsiaTheme="minorHAnsi" w:hAnsiTheme="minorHAnsi" w:cstheme="minorBidi"/>
      <w:vertAlign w:val="superscript"/>
      <w:lang w:eastAsia="en-US"/>
    </w:rPr>
  </w:style>
  <w:style w:type="character" w:customStyle="1" w:styleId="Mention">
    <w:name w:val="Mention"/>
    <w:basedOn w:val="DefaultParagraphFont"/>
    <w:uiPriority w:val="99"/>
    <w:unhideWhenUsed/>
    <w:rsid w:val="00275D3E"/>
    <w:rPr>
      <w:color w:val="2B579A"/>
      <w:shd w:val="clear" w:color="auto" w:fill="E1DFDD"/>
    </w:rPr>
  </w:style>
  <w:style w:type="character" w:customStyle="1" w:styleId="trackchangetextinsertion">
    <w:name w:val="trackchangetextinsertion"/>
    <w:basedOn w:val="DefaultParagraphFont"/>
    <w:rsid w:val="00E06994"/>
  </w:style>
  <w:style w:type="paragraph" w:customStyle="1" w:styleId="Languesfaisantfoi">
    <w:name w:val="Langues faisant foi"/>
    <w:basedOn w:val="Normal"/>
    <w:next w:val="Normal"/>
    <w:rsid w:val="00405DAE"/>
    <w:pPr>
      <w:spacing w:before="360" w:after="240"/>
      <w:jc w:val="center"/>
    </w:pPr>
    <w:rPr>
      <w:rFonts w:eastAsiaTheme="minorHAnsi"/>
      <w:kern w:val="0"/>
      <w:szCs w:val="22"/>
      <w:lang w:eastAsia="en-US"/>
      <w14:ligatures w14:val="none"/>
    </w:rPr>
  </w:style>
  <w:style w:type="paragraph" w:customStyle="1" w:styleId="LanguesfaisantfoiPagedecouverture">
    <w:name w:val="Langues faisant foi (Page de couverture)"/>
    <w:basedOn w:val="Normal"/>
    <w:next w:val="Normal"/>
    <w:rsid w:val="00405DAE"/>
    <w:pPr>
      <w:spacing w:before="360" w:after="240"/>
      <w:jc w:val="center"/>
    </w:pPr>
    <w:rPr>
      <w:rFonts w:eastAsiaTheme="minorHAnsi"/>
      <w:kern w:val="0"/>
      <w:szCs w:val="22"/>
      <w:lang w:eastAsia="en-US"/>
      <w14:ligatures w14:val="none"/>
    </w:rPr>
  </w:style>
  <w:style w:type="paragraph" w:customStyle="1" w:styleId="IntrtEEE">
    <w:name w:val="Intérêt EEE"/>
    <w:basedOn w:val="Languesfaisantfoi"/>
    <w:next w:val="Normal"/>
    <w:rsid w:val="00405DAE"/>
    <w:pPr>
      <w:spacing w:after="0"/>
    </w:pPr>
  </w:style>
  <w:style w:type="paragraph" w:customStyle="1" w:styleId="IntrtEEEPagedecouverture">
    <w:name w:val="Intérêt EEE (Page de couverture)"/>
    <w:basedOn w:val="IntrtEEE"/>
    <w:next w:val="Normal"/>
    <w:rsid w:val="00405DAE"/>
  </w:style>
  <w:style w:type="character" w:styleId="EndnoteReference">
    <w:name w:val="endnote reference"/>
    <w:basedOn w:val="DefaultParagraphFont"/>
    <w:semiHidden/>
    <w:unhideWhenUsed/>
    <w:rsid w:val="00C51D5B"/>
    <w:rPr>
      <w:vertAlign w:val="superscript"/>
    </w:rPr>
  </w:style>
  <w:style w:type="paragraph" w:customStyle="1" w:styleId="JRCCovertextNospacingafter">
    <w:name w:val="JRC_Cover_text (No spacing after)"/>
    <w:basedOn w:val="Normal"/>
    <w:next w:val="Normal"/>
    <w:qFormat/>
    <w:rsid w:val="00FC5A0F"/>
    <w:pPr>
      <w:widowControl w:val="0"/>
      <w:suppressAutoHyphens/>
      <w:spacing w:before="240" w:line="264" w:lineRule="auto"/>
    </w:pPr>
    <w:rPr>
      <w:rFonts w:ascii="EC Square Sans Pro" w:hAnsi="EC Square Sans Pro"/>
      <w:bCs/>
      <w:kern w:val="0"/>
      <w:sz w:val="18"/>
      <w:szCs w:val="1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27778">
      <w:bodyDiv w:val="1"/>
      <w:marLeft w:val="0"/>
      <w:marRight w:val="0"/>
      <w:marTop w:val="0"/>
      <w:marBottom w:val="0"/>
      <w:divBdr>
        <w:top w:val="none" w:sz="0" w:space="0" w:color="auto"/>
        <w:left w:val="none" w:sz="0" w:space="0" w:color="auto"/>
        <w:bottom w:val="none" w:sz="0" w:space="0" w:color="auto"/>
        <w:right w:val="none" w:sz="0" w:space="0" w:color="auto"/>
      </w:divBdr>
    </w:div>
    <w:div w:id="315188741">
      <w:bodyDiv w:val="1"/>
      <w:marLeft w:val="0"/>
      <w:marRight w:val="0"/>
      <w:marTop w:val="0"/>
      <w:marBottom w:val="0"/>
      <w:divBdr>
        <w:top w:val="none" w:sz="0" w:space="0" w:color="auto"/>
        <w:left w:val="none" w:sz="0" w:space="0" w:color="auto"/>
        <w:bottom w:val="none" w:sz="0" w:space="0" w:color="auto"/>
        <w:right w:val="none" w:sz="0" w:space="0" w:color="auto"/>
      </w:divBdr>
    </w:div>
    <w:div w:id="348338883">
      <w:bodyDiv w:val="1"/>
      <w:marLeft w:val="0"/>
      <w:marRight w:val="0"/>
      <w:marTop w:val="0"/>
      <w:marBottom w:val="0"/>
      <w:divBdr>
        <w:top w:val="none" w:sz="0" w:space="0" w:color="auto"/>
        <w:left w:val="none" w:sz="0" w:space="0" w:color="auto"/>
        <w:bottom w:val="none" w:sz="0" w:space="0" w:color="auto"/>
        <w:right w:val="none" w:sz="0" w:space="0" w:color="auto"/>
      </w:divBdr>
    </w:div>
    <w:div w:id="427581124">
      <w:bodyDiv w:val="1"/>
      <w:marLeft w:val="0"/>
      <w:marRight w:val="0"/>
      <w:marTop w:val="0"/>
      <w:marBottom w:val="0"/>
      <w:divBdr>
        <w:top w:val="none" w:sz="0" w:space="0" w:color="auto"/>
        <w:left w:val="none" w:sz="0" w:space="0" w:color="auto"/>
        <w:bottom w:val="none" w:sz="0" w:space="0" w:color="auto"/>
        <w:right w:val="none" w:sz="0" w:space="0" w:color="auto"/>
      </w:divBdr>
    </w:div>
    <w:div w:id="434328860">
      <w:bodyDiv w:val="1"/>
      <w:marLeft w:val="0"/>
      <w:marRight w:val="0"/>
      <w:marTop w:val="0"/>
      <w:marBottom w:val="0"/>
      <w:divBdr>
        <w:top w:val="none" w:sz="0" w:space="0" w:color="auto"/>
        <w:left w:val="none" w:sz="0" w:space="0" w:color="auto"/>
        <w:bottom w:val="none" w:sz="0" w:space="0" w:color="auto"/>
        <w:right w:val="none" w:sz="0" w:space="0" w:color="auto"/>
      </w:divBdr>
    </w:div>
    <w:div w:id="828592270">
      <w:bodyDiv w:val="1"/>
      <w:marLeft w:val="0"/>
      <w:marRight w:val="0"/>
      <w:marTop w:val="0"/>
      <w:marBottom w:val="0"/>
      <w:divBdr>
        <w:top w:val="none" w:sz="0" w:space="0" w:color="auto"/>
        <w:left w:val="none" w:sz="0" w:space="0" w:color="auto"/>
        <w:bottom w:val="none" w:sz="0" w:space="0" w:color="auto"/>
        <w:right w:val="none" w:sz="0" w:space="0" w:color="auto"/>
      </w:divBdr>
    </w:div>
    <w:div w:id="1243415650">
      <w:bodyDiv w:val="1"/>
      <w:marLeft w:val="0"/>
      <w:marRight w:val="0"/>
      <w:marTop w:val="0"/>
      <w:marBottom w:val="0"/>
      <w:divBdr>
        <w:top w:val="none" w:sz="0" w:space="0" w:color="auto"/>
        <w:left w:val="none" w:sz="0" w:space="0" w:color="auto"/>
        <w:bottom w:val="none" w:sz="0" w:space="0" w:color="auto"/>
        <w:right w:val="none" w:sz="0" w:space="0" w:color="auto"/>
      </w:divBdr>
    </w:div>
    <w:div w:id="1380207728">
      <w:bodyDiv w:val="1"/>
      <w:marLeft w:val="0"/>
      <w:marRight w:val="0"/>
      <w:marTop w:val="0"/>
      <w:marBottom w:val="0"/>
      <w:divBdr>
        <w:top w:val="none" w:sz="0" w:space="0" w:color="auto"/>
        <w:left w:val="none" w:sz="0" w:space="0" w:color="auto"/>
        <w:bottom w:val="none" w:sz="0" w:space="0" w:color="auto"/>
        <w:right w:val="none" w:sz="0" w:space="0" w:color="auto"/>
      </w:divBdr>
    </w:div>
    <w:div w:id="1533037661">
      <w:bodyDiv w:val="1"/>
      <w:marLeft w:val="0"/>
      <w:marRight w:val="0"/>
      <w:marTop w:val="0"/>
      <w:marBottom w:val="0"/>
      <w:divBdr>
        <w:top w:val="none" w:sz="0" w:space="0" w:color="auto"/>
        <w:left w:val="none" w:sz="0" w:space="0" w:color="auto"/>
        <w:bottom w:val="none" w:sz="0" w:space="0" w:color="auto"/>
        <w:right w:val="none" w:sz="0" w:space="0" w:color="auto"/>
      </w:divBdr>
    </w:div>
    <w:div w:id="177806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zeropollution4water.eu/wp-content/uploads/2025/02/ZP4W_Deliverable_Policy-Brief-1.pdf" TargetMode="External"/><Relationship Id="rId117" Type="http://schemas.openxmlformats.org/officeDocument/2006/relationships/hyperlink" Target="https://www.norden.org/en/nominee/kemiluppen-danish-consumer-council-think-chemicals-denmark" TargetMode="External"/><Relationship Id="rId21" Type="http://schemas.openxmlformats.org/officeDocument/2006/relationships/hyperlink" Target="https://greenlahti.fi/en/story" TargetMode="External"/><Relationship Id="rId42" Type="http://schemas.openxmlformats.org/officeDocument/2006/relationships/hyperlink" Target="https://circularoceanplastic.eu/" TargetMode="External"/><Relationship Id="rId47" Type="http://schemas.openxmlformats.org/officeDocument/2006/relationships/hyperlink" Target="https://webgate.ec.europa.eu/life/publicWebsite/project/LIFE16-ENV-IT-000343/remediation-of-marine-environment-and-development-of-innovative-aquaculture-exploitation-of-edible-not-edible-biomass" TargetMode="External"/><Relationship Id="rId63" Type="http://schemas.openxmlformats.org/officeDocument/2006/relationships/hyperlink" Target="https://cordis.europa.eu/project/id/778266" TargetMode="External"/><Relationship Id="rId68" Type="http://schemas.openxmlformats.org/officeDocument/2006/relationships/hyperlink" Target="https://cordis.europa.eu/project/id/101036449" TargetMode="External"/><Relationship Id="rId84" Type="http://schemas.openxmlformats.org/officeDocument/2006/relationships/hyperlink" Target="https://cordis.europa.eu/project/id/727247" TargetMode="External"/><Relationship Id="rId89" Type="http://schemas.openxmlformats.org/officeDocument/2006/relationships/hyperlink" Target="https://www.build-in-wood.eu/" TargetMode="External"/><Relationship Id="rId112" Type="http://schemas.openxmlformats.org/officeDocument/2006/relationships/hyperlink" Target="https://www.euspa.europa.eu/opportunities/horizon-europe/project-portfolio/vitolmins-visual-and-instrument-take-and-landing" TargetMode="External"/><Relationship Id="rId16" Type="http://schemas.openxmlformats.org/officeDocument/2006/relationships/header" Target="header3.xml"/><Relationship Id="rId107" Type="http://schemas.openxmlformats.org/officeDocument/2006/relationships/hyperlink" Target="https://vimeo.com/1011802645" TargetMode="External"/><Relationship Id="rId11" Type="http://schemas.openxmlformats.org/officeDocument/2006/relationships/image" Target="media/image1.emf"/><Relationship Id="rId32" Type="http://schemas.openxmlformats.org/officeDocument/2006/relationships/hyperlink" Target="https://safecrew.org/" TargetMode="External"/><Relationship Id="rId37" Type="http://schemas.openxmlformats.org/officeDocument/2006/relationships/hyperlink" Target="https://elektralifeproject.eu/" TargetMode="External"/><Relationship Id="rId53" Type="http://schemas.openxmlformats.org/officeDocument/2006/relationships/hyperlink" Target="https://powietrze.malopolska.pl/en/news/clean-air-for-malopolska-region/" TargetMode="External"/><Relationship Id="rId58" Type="http://schemas.openxmlformats.org/officeDocument/2006/relationships/hyperlink" Target="https://longitools.org/" TargetMode="External"/><Relationship Id="rId74" Type="http://schemas.openxmlformats.org/officeDocument/2006/relationships/hyperlink" Target="https://www.edaphos.eu/" TargetMode="External"/><Relationship Id="rId79" Type="http://schemas.openxmlformats.org/officeDocument/2006/relationships/hyperlink" Target="https://webgate.ec.europa.eu/life/publicWebsite/project/LIFE15-ENV-NL-000217/clean-inland-shipping" TargetMode="External"/><Relationship Id="rId102" Type="http://schemas.openxmlformats.org/officeDocument/2006/relationships/hyperlink" Target="https://www.hyimpulse.de/" TargetMode="External"/><Relationship Id="rId123" Type="http://schemas.openxmlformats.org/officeDocument/2006/relationships/header" Target="header5.xml"/><Relationship Id="rId128"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www.circpack.veolia.com/" TargetMode="External"/><Relationship Id="rId95" Type="http://schemas.openxmlformats.org/officeDocument/2006/relationships/hyperlink" Target="https://cordis.europa.eu/project/id/821087" TargetMode="External"/><Relationship Id="rId19" Type="http://schemas.openxmlformats.org/officeDocument/2006/relationships/hyperlink" Target="https://environment.ec.europa.eu/publications/european-green-city-accords-report-progress-and-achievements-2020-2023_en" TargetMode="External"/><Relationship Id="rId14" Type="http://schemas.openxmlformats.org/officeDocument/2006/relationships/footer" Target="footer1.xml"/><Relationship Id="rId22" Type="http://schemas.openxmlformats.org/officeDocument/2006/relationships/hyperlink" Target="https://webgate.ec.europa.eu/life/publicWebsite/project/LIFE18-PRE-IT-000003/vegetation-for-urban-green-air-quality-plans" TargetMode="External"/><Relationship Id="rId27" Type="http://schemas.openxmlformats.org/officeDocument/2006/relationships/hyperlink" Target="https://mar2protect.eu/" TargetMode="External"/><Relationship Id="rId30" Type="http://schemas.openxmlformats.org/officeDocument/2006/relationships/hyperlink" Target="https://h2oforall.eu/" TargetMode="External"/><Relationship Id="rId35" Type="http://schemas.openxmlformats.org/officeDocument/2006/relationships/hyperlink" Target="https://www.niagara-project.eu/" TargetMode="External"/><Relationship Id="rId43" Type="http://schemas.openxmlformats.org/officeDocument/2006/relationships/hyperlink" Target="https://www.unep.org/unepmap/what-we-do/projects/MarineLitterMED-Plus" TargetMode="External"/><Relationship Id="rId48" Type="http://schemas.openxmlformats.org/officeDocument/2006/relationships/hyperlink" Target="https://www.euspa.europa.eu/eu-space-programme/copernicus/copernicus-demonstrators" TargetMode="External"/><Relationship Id="rId56" Type="http://schemas.openxmlformats.org/officeDocument/2006/relationships/hyperlink" Target="https://emotionalcities-h2020.eu/" TargetMode="External"/><Relationship Id="rId64" Type="http://schemas.openxmlformats.org/officeDocument/2006/relationships/hyperlink" Target="https://cordis.europa.eu/project/id/101037509/reporting" TargetMode="External"/><Relationship Id="rId69" Type="http://schemas.openxmlformats.org/officeDocument/2006/relationships/hyperlink" Target="https://webgate.ec.europa.eu/life/publicWebsite/project/LIFE18-ENV-BE-000286/nature-based-remediation-of-metal-pollutants-in-nature-areas-to-increase-water-storage-capacity-narmena" TargetMode="External"/><Relationship Id="rId77" Type="http://schemas.openxmlformats.org/officeDocument/2006/relationships/hyperlink" Target="https://www.senatorproject.eu/" TargetMode="External"/><Relationship Id="rId100" Type="http://schemas.openxmlformats.org/officeDocument/2006/relationships/hyperlink" Target="https://www.dutchwatersector.com/news/nx-filtration-to-lead-development-of-nanofiltration-to-make-drinking-water-free-of-drug" TargetMode="External"/><Relationship Id="rId105" Type="http://schemas.openxmlformats.org/officeDocument/2006/relationships/hyperlink" Target="https://orbify.com/" TargetMode="External"/><Relationship Id="rId113" Type="http://schemas.openxmlformats.org/officeDocument/2006/relationships/hyperlink" Target="https://www.euspa.europa.eu/opportunities/horizon-europe/project-portfolio/mosmin-multiscale-observation-services-mining-related-deposits" TargetMode="External"/><Relationship Id="rId118" Type="http://schemas.openxmlformats.org/officeDocument/2006/relationships/hyperlink" Target="http://check-ed.eu/en/" TargetMode="External"/><Relationship Id="rId126" Type="http://schemas.openxmlformats.org/officeDocument/2006/relationships/header" Target="header6.xml"/><Relationship Id="rId8" Type="http://schemas.openxmlformats.org/officeDocument/2006/relationships/webSettings" Target="webSettings.xml"/><Relationship Id="rId51" Type="http://schemas.openxmlformats.org/officeDocument/2006/relationships/hyperlink" Target="https://civil-protection-knowledge-network.europa.eu/projects/brisk-ii" TargetMode="External"/><Relationship Id="rId72" Type="http://schemas.openxmlformats.org/officeDocument/2006/relationships/hyperlink" Target="https://cordis.europa.eu/article/id/449988-dealing-with-europe-s-contaminated-soil?WT.mc_id=exp" TargetMode="External"/><Relationship Id="rId80" Type="http://schemas.openxmlformats.org/officeDocument/2006/relationships/hyperlink" Target="https://webgate.ec.europa.eu/life/publicWebsite/project/LIFE16-ENV-NL-000363/life-cmcd-closing-the-mineral-cycle-in-dairy-farming-in-the-eu" TargetMode="External"/><Relationship Id="rId85" Type="http://schemas.openxmlformats.org/officeDocument/2006/relationships/hyperlink" Target="https://sprint-h2020.eu/" TargetMode="External"/><Relationship Id="rId93" Type="http://schemas.openxmlformats.org/officeDocument/2006/relationships/hyperlink" Target="https://webgate.ec.europa.eu/life/publicWebsite/project/LIFE22-ENV-ES-CLOOVER2-101113776/closed-loops-verification-of-reused-and-recycled-polyolefins-crates-drums-jerry-cans" TargetMode="External"/><Relationship Id="rId98" Type="http://schemas.openxmlformats.org/officeDocument/2006/relationships/hyperlink" Target="https://cordis.europa.eu/project/id/690323" TargetMode="External"/><Relationship Id="rId121" Type="http://schemas.openxmlformats.org/officeDocument/2006/relationships/hyperlink" Target="https://minamataconvention.org/sites/default/files/documents/decision/UNEP-MC-COP.5-Dec.4_Amendments-Annex-A_English.pdf"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op.europa.eu/et/publication-detail/-/publication/075cf595-fe31-11ef-b7db-01aa75ed71a1" TargetMode="External"/><Relationship Id="rId33" Type="http://schemas.openxmlformats.org/officeDocument/2006/relationships/hyperlink" Target="https://todrinq.eu/" TargetMode="External"/><Relationship Id="rId38" Type="http://schemas.openxmlformats.org/officeDocument/2006/relationships/hyperlink" Target="https://www.acciona.com/projects/pristine" TargetMode="External"/><Relationship Id="rId46" Type="http://schemas.openxmlformats.org/officeDocument/2006/relationships/hyperlink" Target="https://www.astral-project.eu/" TargetMode="External"/><Relationship Id="rId59" Type="http://schemas.openxmlformats.org/officeDocument/2006/relationships/hyperlink" Target="https://cordis.europa.eu/article/id/448420-heatwaves-and-air-pollution-combined-europe-s-silent-killer" TargetMode="External"/><Relationship Id="rId67" Type="http://schemas.openxmlformats.org/officeDocument/2006/relationships/hyperlink" Target="https://chromafora.com/insights/chromafora-to-tackle-widespread-chemical-pollution-with-22.5-million-eu-backing" TargetMode="External"/><Relationship Id="rId103" Type="http://schemas.openxmlformats.org/officeDocument/2006/relationships/hyperlink" Target="https://www.pangeaaerospace.com/" TargetMode="External"/><Relationship Id="rId108" Type="http://schemas.openxmlformats.org/officeDocument/2006/relationships/hyperlink" Target="https://www.euspa.europa.eu/opportunities/horizon-europe/project-portfolio/sqat-soil-quality-analysis-tool-implementing-smart" TargetMode="External"/><Relationship Id="rId116" Type="http://schemas.openxmlformats.org/officeDocument/2006/relationships/hyperlink" Target="https://www.bund.net/themen/chemie/toxfox/" TargetMode="External"/><Relationship Id="rId124" Type="http://schemas.openxmlformats.org/officeDocument/2006/relationships/footer" Target="footer4.xml"/><Relationship Id="rId129" Type="http://schemas.openxmlformats.org/officeDocument/2006/relationships/theme" Target="theme/theme1.xml"/><Relationship Id="rId20" Type="http://schemas.openxmlformats.org/officeDocument/2006/relationships/hyperlink" Target="https://environment.ec.europa.eu/topics/urban-environment/green-city-accord/green-city-accord-good-practices/guimaraes-limpar_en?prefLang=en" TargetMode="External"/><Relationship Id="rId41" Type="http://schemas.openxmlformats.org/officeDocument/2006/relationships/hyperlink" Target="https://freelitterat.eu/" TargetMode="External"/><Relationship Id="rId54" Type="http://schemas.openxmlformats.org/officeDocument/2006/relationships/hyperlink" Target="https://www.lifeprepair.eu/?lang=en" TargetMode="External"/><Relationship Id="rId62" Type="http://schemas.openxmlformats.org/officeDocument/2006/relationships/hyperlink" Target="https://pharmadetox.eu/" TargetMode="External"/><Relationship Id="rId70" Type="http://schemas.openxmlformats.org/officeDocument/2006/relationships/hyperlink" Target="https://webgate.ec.europa.eu/life/publicWebsite/project/LIFE15-IPE-BE-000014/belgian-initiative-for-making-a-leap-forward-towards-good-status-in-the-river-basin-of-the-scheldt" TargetMode="External"/><Relationship Id="rId75" Type="http://schemas.openxmlformats.org/officeDocument/2006/relationships/hyperlink" Target="https://app.powerbi.com/view?r=eyJrIjoiNjJhYTFkY2YtNzdlOC00MmU2LWIxNGQtZDhmMjI5YzJjYzZiIiwidCI6ImIyNGM4YjA2LTUyMmMtNDZmZS05MDgwLTcwOTI2ZjhkZGRiMSIsImMiOjh9&amp;pageName=aa2a84e200d9c438827c" TargetMode="External"/><Relationship Id="rId83" Type="http://schemas.openxmlformats.org/officeDocument/2006/relationships/hyperlink" Target="https://econutri-project.eu/" TargetMode="External"/><Relationship Id="rId88" Type="http://schemas.openxmlformats.org/officeDocument/2006/relationships/hyperlink" Target="https://www.recolab.se/" TargetMode="External"/><Relationship Id="rId91" Type="http://schemas.openxmlformats.org/officeDocument/2006/relationships/hyperlink" Target="https://www.embraced.eu/" TargetMode="External"/><Relationship Id="rId96" Type="http://schemas.openxmlformats.org/officeDocument/2006/relationships/hyperlink" Target="https://afterlife-project.eu/" TargetMode="External"/><Relationship Id="rId111" Type="http://schemas.openxmlformats.org/officeDocument/2006/relationships/hyperlink" Target="https://www.euspa.europa.eu/opportunities/horizon-europe/project-portfolio/edgar-egnss-dfmc-gbas-based-operation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cor.europa.eu/en/news/all-stories?country=All&amp;amp;member_id=&amp;amp;political_priorities=891&amp;amp;region=All" TargetMode="External"/><Relationship Id="rId28" Type="http://schemas.openxmlformats.org/officeDocument/2006/relationships/hyperlink" Target="https://ninfa-project.eu/" TargetMode="External"/><Relationship Id="rId36" Type="http://schemas.openxmlformats.org/officeDocument/2006/relationships/hyperlink" Target="https://d4runoff.eu/" TargetMode="External"/><Relationship Id="rId49" Type="http://schemas.openxmlformats.org/officeDocument/2006/relationships/hyperlink" Target="https://seacras.com/" TargetMode="External"/><Relationship Id="rId57" Type="http://schemas.openxmlformats.org/officeDocument/2006/relationships/hyperlink" Target="https://expanseproject.eu/" TargetMode="External"/><Relationship Id="rId106" Type="http://schemas.openxmlformats.org/officeDocument/2006/relationships/hyperlink" Target="https://www.euspa.europa.eu/newsroom-events/success-stories/azulfy-empowering-cities-fight-pollution-satellites" TargetMode="External"/><Relationship Id="rId114" Type="http://schemas.openxmlformats.org/officeDocument/2006/relationships/hyperlink" Target="https://terraeye.co/" TargetMode="External"/><Relationship Id="rId119" Type="http://schemas.openxmlformats.org/officeDocument/2006/relationships/hyperlink" Target="https://sinlist.chemsec.org/" TargetMode="External"/><Relationship Id="rId127" Type="http://schemas.openxmlformats.org/officeDocument/2006/relationships/footer" Target="footer6.xml"/><Relationship Id="rId10" Type="http://schemas.openxmlformats.org/officeDocument/2006/relationships/endnotes" Target="endnotes.xml"/><Relationship Id="rId31" Type="http://schemas.openxmlformats.org/officeDocument/2006/relationships/hyperlink" Target="https://intodbp.eu/" TargetMode="External"/><Relationship Id="rId44" Type="http://schemas.openxmlformats.org/officeDocument/2006/relationships/hyperlink" Target="https://balticmuppets.eu/" TargetMode="External"/><Relationship Id="rId52" Type="http://schemas.openxmlformats.org/officeDocument/2006/relationships/hyperlink" Target="https://civil-protection-knowledge-network.europa.eu/projects/imaros-2" TargetMode="External"/><Relationship Id="rId60" Type="http://schemas.openxmlformats.org/officeDocument/2006/relationships/hyperlink" Target="https://www.100ktrees.eu/" TargetMode="External"/><Relationship Id="rId65" Type="http://schemas.openxmlformats.org/officeDocument/2006/relationships/hyperlink" Target="https://cordis.europa.eu/project/id/101036756/reporting" TargetMode="External"/><Relationship Id="rId73" Type="http://schemas.openxmlformats.org/officeDocument/2006/relationships/hyperlink" Target="https://cordis.europa.eu/project/id/101112723" TargetMode="External"/><Relationship Id="rId78" Type="http://schemas.openxmlformats.org/officeDocument/2006/relationships/hyperlink" Target="https://webgate.ec.europa.eu/life/publicWebsite/project/LIFE16-ENV-IT-000004/advanced-logistics-platform-with-road-pricing-and-access-criteria-to-improve-urban-environment-and-mobility-of-goods" TargetMode="External"/><Relationship Id="rId81" Type="http://schemas.openxmlformats.org/officeDocument/2006/relationships/hyperlink" Target="https://webgate.ec.europa.eu/life/publicWebsite/project/LIFE20-ENV-ES-000858/market-technology-based-on-membranes-for-the-reduction-of-ammonia-in-livestock-farms" TargetMode="External"/><Relationship Id="rId86" Type="http://schemas.openxmlformats.org/officeDocument/2006/relationships/hyperlink" Target="https://www.papillons-h2020.eu/the-project/papillons-atlas/" TargetMode="External"/><Relationship Id="rId94" Type="http://schemas.openxmlformats.org/officeDocument/2006/relationships/hyperlink" Target="https://ec.europa.eu/regional_policy/en/projects/finland/tekide-technology-creates-sustainable-new-textiles-from-waste-cotton-in-helsinki-uusimaa" TargetMode="External"/><Relationship Id="rId99" Type="http://schemas.openxmlformats.org/officeDocument/2006/relationships/hyperlink" Target="https://environment.ec.europa.eu/topics/urban-environment/european-green-capital-award/implementing-circular-economy-nutrient-recovery-urban-wastewater-treatment-plants_en" TargetMode="External"/><Relationship Id="rId101" Type="http://schemas.openxmlformats.org/officeDocument/2006/relationships/hyperlink" Target="https://webgate.ec.europa.eu/life/publicWebsite/project/LIFE18-ENV-DE-000054/piloting-clean-power-supply-devices-in-construction-and-urban-green-care-to-reduce-emissions-from-portable-machines" TargetMode="External"/><Relationship Id="rId122"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environment.ec.europa.eu/strategy/zero-pollution-action-plan/towards-zero-pollution-regions_en" TargetMode="External"/><Relationship Id="rId39" Type="http://schemas.openxmlformats.org/officeDocument/2006/relationships/hyperlink" Target="https://lifecascade.eu/" TargetMode="External"/><Relationship Id="rId109" Type="http://schemas.openxmlformats.org/officeDocument/2006/relationships/hyperlink" Target="https://www.euspa.europa.eu/opportunities/horizon-europe/project-portfolio/dinosar-diagnostic-tool-integrates-optical-infrared" TargetMode="External"/><Relationship Id="rId34" Type="http://schemas.openxmlformats.org/officeDocument/2006/relationships/hyperlink" Target="https://cordis.europa.eu/project/id/727450" TargetMode="External"/><Relationship Id="rId50" Type="http://schemas.openxmlformats.org/officeDocument/2006/relationships/hyperlink" Target="https://eomap.com/" TargetMode="External"/><Relationship Id="rId55" Type="http://schemas.openxmlformats.org/officeDocument/2006/relationships/hyperlink" Target="https://lifesirius.eu/" TargetMode="External"/><Relationship Id="rId76" Type="http://schemas.openxmlformats.org/officeDocument/2006/relationships/hyperlink" Target="https://cordis.europa.eu/project/id/860441" TargetMode="External"/><Relationship Id="rId97" Type="http://schemas.openxmlformats.org/officeDocument/2006/relationships/hyperlink" Target="https://cordis.europa.eu/project/id/689242" TargetMode="External"/><Relationship Id="rId104" Type="http://schemas.openxmlformats.org/officeDocument/2006/relationships/hyperlink" Target="https://www.copernicus.eu/en" TargetMode="External"/><Relationship Id="rId120" Type="http://schemas.openxmlformats.org/officeDocument/2006/relationships/hyperlink" Target="https://ec.europa.eu/info/funding-tenders/opportunities/docs/2021-2027/horizon/wp-call/2026-2027/wp-9-food-bioeconomy-natural-resources-agriculture-and-environment_horizon-2026-2027_en.pdf" TargetMode="External"/><Relationship Id="rId125" Type="http://schemas.openxmlformats.org/officeDocument/2006/relationships/footer" Target="footer5.xml"/><Relationship Id="rId7" Type="http://schemas.openxmlformats.org/officeDocument/2006/relationships/settings" Target="settings.xml"/><Relationship Id="rId71" Type="http://schemas.openxmlformats.org/officeDocument/2006/relationships/hyperlink" Target="https://webgate.ec.europa.eu/life/publicWebsite/project/LIFE18-ENV-CZ-000374/innovative-technology-based-on-constructed-wetlands-for-treatment-of-pesticide-contaminated-waters" TargetMode="External"/><Relationship Id="rId92" Type="http://schemas.openxmlformats.org/officeDocument/2006/relationships/hyperlink" Target="https://cordis.europa.eu/project/id/720739" TargetMode="External"/><Relationship Id="rId2" Type="http://schemas.openxmlformats.org/officeDocument/2006/relationships/customXml" Target="../customXml/item2.xml"/><Relationship Id="rId29" Type="http://schemas.openxmlformats.org/officeDocument/2006/relationships/hyperlink" Target="https://www.upwater.eu/" TargetMode="External"/><Relationship Id="rId24" Type="http://schemas.openxmlformats.org/officeDocument/2006/relationships/hyperlink" Target="https://zeropollution4water.eu/" TargetMode="External"/><Relationship Id="rId40" Type="http://schemas.openxmlformats.org/officeDocument/2006/relationships/hyperlink" Target="https://joint-research-centre.ec.europa.eu/jrc-news-and-updates/marine-litter-eu-coastline-down-almost-one-third-2025-02-04_en" TargetMode="External"/><Relationship Id="rId45" Type="http://schemas.openxmlformats.org/officeDocument/2006/relationships/hyperlink" Target="https://olamur.eu/" TargetMode="External"/><Relationship Id="rId66" Type="http://schemas.openxmlformats.org/officeDocument/2006/relationships/hyperlink" Target="https://webgate.ec.europa.eu/life/publicWebsite/project/LIFE20-ENV-ES-000880/demonstration-and-evaluation-of-sustainable-on-site-remediation-technologies-for-pfas-contaminated-groundwater" TargetMode="External"/><Relationship Id="rId87" Type="http://schemas.openxmlformats.org/officeDocument/2006/relationships/hyperlink" Target="https://minagris.eu/" TargetMode="External"/><Relationship Id="rId110" Type="http://schemas.openxmlformats.org/officeDocument/2006/relationships/hyperlink" Target="https://www.cassini.eu/hackathons/7th-cassini-hackathon-winners" TargetMode="External"/><Relationship Id="rId115" Type="http://schemas.openxmlformats.org/officeDocument/2006/relationships/hyperlink" Target="https://yuka.io/en/" TargetMode="External"/><Relationship Id="rId61" Type="http://schemas.openxmlformats.org/officeDocument/2006/relationships/hyperlink" Target="https://webgate.ec.europa.eu/life/publicWebsite/project/LIFE19-ENV-FR-000086/air-pollution-removal-by-forests-for-a-better-human-well-being" TargetMode="External"/><Relationship Id="rId82" Type="http://schemas.openxmlformats.org/officeDocument/2006/relationships/hyperlink" Target="https://webgate.ec.europa.eu/life/publicWebsite/project/LIFE17-GIE-DE-000610/reducing-ammonia-and-methane-emissions-from-agriculture-to-improve-air-quality-and-climate-protection"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oecd.org/en/topics/economic-and-environmental-outcomes-of-innovation.html" TargetMode="External"/><Relationship Id="rId18" Type="http://schemas.openxmlformats.org/officeDocument/2006/relationships/hyperlink" Target="https://www.eea.europa.eu/en/analysis/publications/environmental-noise-in-europe-2025" TargetMode="External"/><Relationship Id="rId26" Type="http://schemas.openxmlformats.org/officeDocument/2006/relationships/hyperlink" Target="https://www.eea.europa.eu/en/newsroom/news/make-chemicals-safe-and-sustainable" TargetMode="External"/><Relationship Id="rId39" Type="http://schemas.openxmlformats.org/officeDocument/2006/relationships/hyperlink" Target="https://www.env-health.org/new-report-chemical-pollution-driving-mens-health-crisis/" TargetMode="External"/><Relationship Id="rId21" Type="http://schemas.openxmlformats.org/officeDocument/2006/relationships/hyperlink" Target="https://environment.ec.europa.eu/strategy/zero-pollution-stakeholder-platform/actions_en" TargetMode="External"/><Relationship Id="rId34" Type="http://schemas.openxmlformats.org/officeDocument/2006/relationships/hyperlink" Target="https://transport.ec.europa.eu/news-events/news/commission-welcomes-political-agreement-new-rules-harmonise-transport-emissions-calculations-eu-2025-11-06_en" TargetMode="External"/><Relationship Id="rId42" Type="http://schemas.openxmlformats.org/officeDocument/2006/relationships/hyperlink" Target="https://doi.org/10.1016/j.envint.2022.107608" TargetMode="External"/><Relationship Id="rId47" Type="http://schemas.openxmlformats.org/officeDocument/2006/relationships/hyperlink" Target="https://www.eea.europa.eu/en/european-zero-pollution-dashboards/indicators/pfas-contamination-and-soil-remediation-signal" TargetMode="External"/><Relationship Id="rId50" Type="http://schemas.openxmlformats.org/officeDocument/2006/relationships/hyperlink" Target="https://www.consilium.europa.eu/et/press/press-releases/2025/09/23/water-pollution-council-and-parliament-reach-provisional-deal-to-update-priority-substances-in-surface-and-ground-waters/" TargetMode="External"/><Relationship Id="rId55" Type="http://schemas.openxmlformats.org/officeDocument/2006/relationships/hyperlink" Target="https://environment.ec.europa.eu/law-and-governance/environmental-implementation-review_en" TargetMode="External"/><Relationship Id="rId63" Type="http://schemas.openxmlformats.org/officeDocument/2006/relationships/hyperlink" Target="https://commission.europa.eu/strategy-and-policy/eu-budget/performance-and-reporting/horizontal-priorities/green-budgeting/clean-air-tracking_en" TargetMode="External"/><Relationship Id="rId68" Type="http://schemas.openxmlformats.org/officeDocument/2006/relationships/hyperlink" Target="https://innovation-centre-for-industrial-transformation.ec.europa.eu/" TargetMode="External"/><Relationship Id="rId76" Type="http://schemas.openxmlformats.org/officeDocument/2006/relationships/hyperlink" Target="https://www.greendealdata.eu/" TargetMode="External"/><Relationship Id="rId84" Type="http://schemas.openxmlformats.org/officeDocument/2006/relationships/hyperlink" Target="https://www.cbd.int/gbf/targets/7" TargetMode="External"/><Relationship Id="rId7" Type="http://schemas.openxmlformats.org/officeDocument/2006/relationships/hyperlink" Target="https://www.weforum.org/publications/global-risks-report-2025/in-full/" TargetMode="External"/><Relationship Id="rId71" Type="http://schemas.openxmlformats.org/officeDocument/2006/relationships/hyperlink" Target="https://dashboard.tech.ec.europa.eu/qs_digit_dashboard_mt/public/sense/app/8298c020-48a6-4b84-91f4-f6f2665c0f99/sheet/d2820200-d4d9-4a26-b23b-58e323c803c2/state/analysis" TargetMode="External"/><Relationship Id="rId2" Type="http://schemas.openxmlformats.org/officeDocument/2006/relationships/hyperlink" Target="https://www.oecd.org/en/blogs/2025/06/want-stronger-growth-in-europe-start-with-the-air-we-breathe.html?adestraproject=Science%2C%20Technology%20and%20Innovation&amp;utm_campaign=STI%20News%201%20July%20-%20Air%20pollution&amp;utm_content=Read%20the%20blog%3A%20Want%20stronger%20growth%20in%20Europe%3F%20Start%20with%20the%20air%20we%20breathe&amp;utm_term=sti&amp;utm_medium=email&amp;utm_source=Adestra" TargetMode="External"/><Relationship Id="rId16" Type="http://schemas.openxmlformats.org/officeDocument/2006/relationships/hyperlink" Target="https://www.eea.europa.eu/en/analysis/publications/zero-pollution-monitoring-and-outlook-report" TargetMode="External"/><Relationship Id="rId29" Type="http://schemas.openxmlformats.org/officeDocument/2006/relationships/hyperlink" Target="https://www.eea.europa.eu/en/analysis/publications/zero-pollution-monitoring-and-outlook-report" TargetMode="External"/><Relationship Id="rId11" Type="http://schemas.openxmlformats.org/officeDocument/2006/relationships/hyperlink" Target="https://ec.europa.eu/eurostat/statistics-explained/index.php?title=Environmental_economy_%E2%80%93_statistics_on_employment_and_growth" TargetMode="External"/><Relationship Id="rId24" Type="http://schemas.openxmlformats.org/officeDocument/2006/relationships/hyperlink" Target="https://environment.ec.europa.eu/strategy/zero-pollution-action-plan/zero-pollution-targets_en" TargetMode="External"/><Relationship Id="rId32" Type="http://schemas.openxmlformats.org/officeDocument/2006/relationships/hyperlink" Target="https://www.eea.europa.eu/en/analysis/publications/from-source-to-sea-the-untold-story-of-marine-litter" TargetMode="External"/><Relationship Id="rId37" Type="http://schemas.openxmlformats.org/officeDocument/2006/relationships/hyperlink" Target="https://scientificadvice.eu/advice/one-health-governance-in-the-european-union/" TargetMode="External"/><Relationship Id="rId40" Type="http://schemas.openxmlformats.org/officeDocument/2006/relationships/hyperlink" Target="https://www.env-health.org/new-report-chemical-pollution-driving-mens-health-crisis/" TargetMode="External"/><Relationship Id="rId45" Type="http://schemas.openxmlformats.org/officeDocument/2006/relationships/hyperlink" Target="https://www.eea.europa.eu/en/analysis/publications/zero-pollution-monitoring-and-outlook-report" TargetMode="External"/><Relationship Id="rId53" Type="http://schemas.openxmlformats.org/officeDocument/2006/relationships/hyperlink" Target="https://echa.europa.eu/et/hot-topics/perfluoroalkyl-chemicals-pfas" TargetMode="External"/><Relationship Id="rId58" Type="http://schemas.openxmlformats.org/officeDocument/2006/relationships/hyperlink" Target="https://environment.ec.europa.eu/law-and-governance/environmental-implementation-review/peer-2-peer_en" TargetMode="External"/><Relationship Id="rId66" Type="http://schemas.openxmlformats.org/officeDocument/2006/relationships/hyperlink" Target="https://commission.europa.eu/publications/2024-european-semester-spring-package_en" TargetMode="External"/><Relationship Id="rId74" Type="http://schemas.openxmlformats.org/officeDocument/2006/relationships/hyperlink" Target="https://digital-strategy.ec.europa.eu/en/policies/destination-earth" TargetMode="External"/><Relationship Id="rId79" Type="http://schemas.openxmlformats.org/officeDocument/2006/relationships/hyperlink" Target="https://ec.europa.eu/commission/presscorner/detail/en/ip_23_6413" TargetMode="External"/><Relationship Id="rId87" Type="http://schemas.openxmlformats.org/officeDocument/2006/relationships/hyperlink" Target="https://doi.org/10.1016/j.jenvman.2022.115738" TargetMode="External"/><Relationship Id="rId5" Type="http://schemas.openxmlformats.org/officeDocument/2006/relationships/hyperlink" Target="https://doi.org/10.1787/318cb85f-en" TargetMode="External"/><Relationship Id="rId61" Type="http://schemas.openxmlformats.org/officeDocument/2006/relationships/hyperlink" Target="https://ec.europa.eu/regional_policy/information-sources/publications/communications/2025/a-modernised-cohesion-policy-the-mid-term-review_en" TargetMode="External"/><Relationship Id="rId82" Type="http://schemas.openxmlformats.org/officeDocument/2006/relationships/hyperlink" Target="https://op.europa.eu/webpub/empl/esde-2024/" TargetMode="External"/><Relationship Id="rId19" Type="http://schemas.openxmlformats.org/officeDocument/2006/relationships/hyperlink" Target="https://www.eea.europa.eu/en/analysis/publications/environmental-noise-in-europe-2025" TargetMode="External"/><Relationship Id="rId4" Type="http://schemas.openxmlformats.org/officeDocument/2006/relationships/hyperlink" Target="https://doi.org/10.1787/318cb85f-en" TargetMode="External"/><Relationship Id="rId9" Type="http://schemas.openxmlformats.org/officeDocument/2006/relationships/hyperlink" Target="https://environment.ec.europa.eu/strategy/zero-pollution-stakeholder-platform/actions_en" TargetMode="External"/><Relationship Id="rId14" Type="http://schemas.openxmlformats.org/officeDocument/2006/relationships/hyperlink" Target="https://www.eea.europa.eu/en/europe-environment-2025" TargetMode="External"/><Relationship Id="rId22" Type="http://schemas.openxmlformats.org/officeDocument/2006/relationships/hyperlink" Target="https://www.eea.europa.eu/en/analysis/publications/zero-pollution-monitoring-and-outlook-report" TargetMode="External"/><Relationship Id="rId27" Type="http://schemas.openxmlformats.org/officeDocument/2006/relationships/hyperlink" Target="https://www.eea.europa.eu/en/newsroom/news/make-chemicals-safe-and-sustainable" TargetMode="External"/><Relationship Id="rId30" Type="http://schemas.openxmlformats.org/officeDocument/2006/relationships/hyperlink" Target="https://publications.jrc.ec.europa.eu/repository/handle/JRC139655" TargetMode="External"/><Relationship Id="rId35" Type="http://schemas.openxmlformats.org/officeDocument/2006/relationships/hyperlink" Target="https://www.eca.europa.eu/et/publications?ref=SR-2025-02" TargetMode="External"/><Relationship Id="rId43" Type="http://schemas.openxmlformats.org/officeDocument/2006/relationships/hyperlink" Target="https://doi.org/10.1016/j.envint.2022.107608" TargetMode="External"/><Relationship Id="rId48" Type="http://schemas.openxmlformats.org/officeDocument/2006/relationships/hyperlink" Target="https://www.eea.europa.eu/en/european-zero-pollution-dashboards/indicators/emission-from-waste-management-facilities" TargetMode="External"/><Relationship Id="rId56" Type="http://schemas.openxmlformats.org/officeDocument/2006/relationships/hyperlink" Target="https://cor.europa.eu/en/our-work/political-priorities/green-deal-going-local/zero-pollution-going-local" TargetMode="External"/><Relationship Id="rId64" Type="http://schemas.openxmlformats.org/officeDocument/2006/relationships/hyperlink" Target="https://commission.europa.eu/news-and-media/news/eu-budget-2028-2034-stronger-europe-2025-07-16_et" TargetMode="External"/><Relationship Id="rId69" Type="http://schemas.openxmlformats.org/officeDocument/2006/relationships/hyperlink" Target="https://research-and-innovation.ec.europa.eu/research-area/industrial-research-and-innovation/chemicals-and-advanced-materials/safe-and-sustainable-design_en" TargetMode="External"/><Relationship Id="rId77" Type="http://schemas.openxmlformats.org/officeDocument/2006/relationships/hyperlink" Target="https://www.greatproject.eu/" TargetMode="External"/><Relationship Id="rId8" Type="http://schemas.openxmlformats.org/officeDocument/2006/relationships/hyperlink" Target="https://environment.ec.europa.eu/strategy/zero-pollution-action-plan/zero-pollution-targets_en" TargetMode="External"/><Relationship Id="rId51" Type="http://schemas.openxmlformats.org/officeDocument/2006/relationships/hyperlink" Target="https://www.consilium.europa.eu/et/press/press-releases/2025/09/23/water-pollution-council-and-parliament-reach-provisional-deal-to-update-priority-substances-in-surface-and-ground-waters/" TargetMode="External"/><Relationship Id="rId72" Type="http://schemas.openxmlformats.org/officeDocument/2006/relationships/hyperlink" Target="https://www.eea.europa.eu/en/analysis/publications/zero-pollution-monitoring-and-outlook-report" TargetMode="External"/><Relationship Id="rId80" Type="http://schemas.openxmlformats.org/officeDocument/2006/relationships/hyperlink" Target="https://www.cedefop.europa.eu/it/publications/4213" TargetMode="External"/><Relationship Id="rId85" Type="http://schemas.openxmlformats.org/officeDocument/2006/relationships/hyperlink" Target="https://www.ccacoalition.org/news/factsheet-2024-global-methane-pledge-ministerial" TargetMode="External"/><Relationship Id="rId3" Type="http://schemas.openxmlformats.org/officeDocument/2006/relationships/hyperlink" Target="https://www.oecd.org/en/blogs/2025/06/want-stronger-growth-in-europe-start-with-the-air-we-breathe.html?adestraproject=Science%2C%20Technology%20and%20Innovation&amp;utm_campaign=STI%20News%201%20July%20-%20Air%20pollution&amp;utm_content=Read%20the%20blog%3A%20Want%20stronger%20growth%20in%20Europe%3F%20Start%20with%20the%20air%20we%20breathe&amp;utm_term=sti&amp;utm_medium=email&amp;utm_source=Adestra" TargetMode="External"/><Relationship Id="rId12" Type="http://schemas.openxmlformats.org/officeDocument/2006/relationships/hyperlink" Target="https://ec.europa.eu/eurostat/statistics-explained/index.php?title=Environmental_economy_%E2%80%93_statistics_on_employment_and_growth" TargetMode="External"/><Relationship Id="rId17" Type="http://schemas.openxmlformats.org/officeDocument/2006/relationships/hyperlink" Target="https://environment.ec.europa.eu/topics/air/clean-air-outlook_en" TargetMode="External"/><Relationship Id="rId25" Type="http://schemas.openxmlformats.org/officeDocument/2006/relationships/hyperlink" Target="https://environment.ec.europa.eu/topics/air/clean-air-outlook_en" TargetMode="External"/><Relationship Id="rId33" Type="http://schemas.openxmlformats.org/officeDocument/2006/relationships/hyperlink" Target="https://ec.europa.eu/commission/presscorner/detail/et/ip_25_1083" TargetMode="External"/><Relationship Id="rId38" Type="http://schemas.openxmlformats.org/officeDocument/2006/relationships/hyperlink" Target="https://www.eea.europa.eu/en/european-zero-pollution-dashboards/indicators/risk-of-chemical-mixtures-in-humans?activeTab=265e2bee-7de3-46e8-b6ee-76005f3f434f" TargetMode="External"/><Relationship Id="rId46" Type="http://schemas.openxmlformats.org/officeDocument/2006/relationships/hyperlink" Target="https://www.eea.europa.eu/en/european-zero-pollution-dashboards/indicators/treatment-of-drinking-water-to-remove-pfas-signal" TargetMode="External"/><Relationship Id="rId59" Type="http://schemas.openxmlformats.org/officeDocument/2006/relationships/hyperlink" Target="https://environment.ec.europa.eu/app/eir-dashboard-on-environmental-investment-needs-and-gaps" TargetMode="External"/><Relationship Id="rId67" Type="http://schemas.openxmlformats.org/officeDocument/2006/relationships/hyperlink" Target="https://finance.ec.europa.eu/sustainable-finance/tools-and-standards/eu-taxonomy-sustainable-activities/eu-taxonomys-uptake-ground_en" TargetMode="External"/><Relationship Id="rId20" Type="http://schemas.openxmlformats.org/officeDocument/2006/relationships/hyperlink" Target="https://environment.ec.europa.eu/strategy/zero-pollution-stakeholder-platform/actions_en" TargetMode="External"/><Relationship Id="rId41" Type="http://schemas.openxmlformats.org/officeDocument/2006/relationships/hyperlink" Target="https://eceuropaeu-my.sharepoint.com/personal/joachim_d'eugenio_ec_europa_eu/Documents/0%20Dir%20C%20folder/0-zero%20pollution/Planning/2025_Review/Mixtures%20of%20chemicals%20in%20Europe&#8217;s%20rivers%20and%20lakes" TargetMode="External"/><Relationship Id="rId54" Type="http://schemas.openxmlformats.org/officeDocument/2006/relationships/hyperlink" Target="https://www.eea.europa.eu/en/european-zero-pollution-dashboards/chemicals-strategy-for-sustainability" TargetMode="External"/><Relationship Id="rId62" Type="http://schemas.openxmlformats.org/officeDocument/2006/relationships/hyperlink" Target="https://ec.europa.eu/regional_policy/information-sources/publications/communications/2025/a-modernised-cohesion-policy-the-mid-term-review_en" TargetMode="External"/><Relationship Id="rId70" Type="http://schemas.openxmlformats.org/officeDocument/2006/relationships/hyperlink" Target="https://research-and-innovation.ec.europa.eu/document/c9d4c0b5-f85e-4599-986d-e6b2438229fc_en" TargetMode="External"/><Relationship Id="rId75" Type="http://schemas.openxmlformats.org/officeDocument/2006/relationships/hyperlink" Target="https://research-and-innovation.ec.europa.eu/funding/funding-opportunities/funding-programmes-and-open-calls/horizon-europe/eu-missions-horizon-europe/restore-our-ocean-and-waters/european-digital-twin-ocean-european-dto_en" TargetMode="External"/><Relationship Id="rId83" Type="http://schemas.openxmlformats.org/officeDocument/2006/relationships/hyperlink" Target="https://eur-lex.europa.eu/legal-content/ET/TXT/?from=EN&amp;uri=CELEX%3A32022H0627%2801%29" TargetMode="External"/><Relationship Id="rId88" Type="http://schemas.openxmlformats.org/officeDocument/2006/relationships/hyperlink" Target="https://doi.org/10.1016/j.jenvman.2025.126280" TargetMode="External"/><Relationship Id="rId1" Type="http://schemas.openxmlformats.org/officeDocument/2006/relationships/hyperlink" Target="https://www.eea.europa.eu/en/europe-environment-2025/main-report" TargetMode="External"/><Relationship Id="rId6" Type="http://schemas.openxmlformats.org/officeDocument/2006/relationships/hyperlink" Target="https://www.weforum.org/publications/global-risks-report-2025/in-full/" TargetMode="External"/><Relationship Id="rId15" Type="http://schemas.openxmlformats.org/officeDocument/2006/relationships/hyperlink" Target="https://www.eea.europa.eu/en/europe-environment-2025" TargetMode="External"/><Relationship Id="rId23" Type="http://schemas.openxmlformats.org/officeDocument/2006/relationships/hyperlink" Target="https://eur-lex.europa.eu/legal-content/ET/TXT/?uri=COM:2022:674:FIN" TargetMode="External"/><Relationship Id="rId28" Type="http://schemas.openxmlformats.org/officeDocument/2006/relationships/hyperlink" Target="https://www.eea.europa.eu/en/european-zero-pollution-dashboards/chemicals-strategy-for-sustainability" TargetMode="External"/><Relationship Id="rId36" Type="http://schemas.openxmlformats.org/officeDocument/2006/relationships/hyperlink" Target="https://scientificadvice.eu/advice/one-health-governance-in-the-european-union/" TargetMode="External"/><Relationship Id="rId49" Type="http://schemas.openxmlformats.org/officeDocument/2006/relationships/hyperlink" Target="https://echa.europa.eu/registry-of-clh-intentions-until-outcome/-/dislist/details/0b0236e188e8d4b8" TargetMode="External"/><Relationship Id="rId57" Type="http://schemas.openxmlformats.org/officeDocument/2006/relationships/hyperlink" Target="https://cor.europa.eu/en/our-work/political-priorities/green-deal-going-local/zero-pollution-going-local" TargetMode="External"/><Relationship Id="rId10" Type="http://schemas.openxmlformats.org/officeDocument/2006/relationships/hyperlink" Target="https://environment.ec.europa.eu/strategy/chemicals-strategy/implementation_en" TargetMode="External"/><Relationship Id="rId31" Type="http://schemas.openxmlformats.org/officeDocument/2006/relationships/hyperlink" Target="https://research-and-innovation.ec.europa.eu/research-area/environment/water_en" TargetMode="External"/><Relationship Id="rId44" Type="http://schemas.openxmlformats.org/officeDocument/2006/relationships/hyperlink" Target="https://doi.org/10.1016/j.scitotenv.2022.157124" TargetMode="External"/><Relationship Id="rId52" Type="http://schemas.openxmlformats.org/officeDocument/2006/relationships/hyperlink" Target="https://ec.europa.eu/commission/presscorner/detail/et/ip_25_2286" TargetMode="External"/><Relationship Id="rId60" Type="http://schemas.openxmlformats.org/officeDocument/2006/relationships/hyperlink" Target="https://data.europa.eu/doi/10.2779/7361333" TargetMode="External"/><Relationship Id="rId65" Type="http://schemas.openxmlformats.org/officeDocument/2006/relationships/hyperlink" Target="https://taxation-customs.ec.europa.eu/taxation/economic-analysis/annual-report-taxation_en" TargetMode="External"/><Relationship Id="rId73" Type="http://schemas.openxmlformats.org/officeDocument/2006/relationships/hyperlink" Target="https://environment.ec.europa.eu/document/download/6cb7a8f8-8974-4b08-9f5e-0585066cd973_en?filename=ENOLL_Recommendations_ZP_flagship_7_formatted.pdf" TargetMode="External"/><Relationship Id="rId78" Type="http://schemas.openxmlformats.org/officeDocument/2006/relationships/hyperlink" Target="https://www.ds4sscc.eu/pilotoverview" TargetMode="External"/><Relationship Id="rId81" Type="http://schemas.openxmlformats.org/officeDocument/2006/relationships/hyperlink" Target="https://doi.org/10.1787/28fa0bb5-en" TargetMode="External"/><Relationship Id="rId86" Type="http://schemas.openxmlformats.org/officeDocument/2006/relationships/hyperlink" Target="https://atmosphere.copernicus.eu/ghg-services/cams-methane-hotspot-explor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2F05394DCE044693DCAA726179B598" ma:contentTypeVersion="15" ma:contentTypeDescription="Create a new document." ma:contentTypeScope="" ma:versionID="5f9533897e9abcefdb22867e693f6a1d">
  <xsd:schema xmlns:xsd="http://www.w3.org/2001/XMLSchema" xmlns:xs="http://www.w3.org/2001/XMLSchema" xmlns:p="http://schemas.microsoft.com/office/2006/metadata/properties" xmlns:ns3="71fe9c91-5602-4bdb-b72c-69451971f681" xmlns:ns4="ccf8ecc5-ce9f-4cc1-bb60-062c62b05209" targetNamespace="http://schemas.microsoft.com/office/2006/metadata/properties" ma:root="true" ma:fieldsID="7f04544771a9fc8f7e773fafee38300d" ns3:_="" ns4:_="">
    <xsd:import namespace="71fe9c91-5602-4bdb-b72c-69451971f681"/>
    <xsd:import namespace="ccf8ecc5-ce9f-4cc1-bb60-062c62b052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fe9c91-5602-4bdb-b72c-69451971f6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f8ecc5-ce9f-4cc1-bb60-062c62b0520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fe9c91-5602-4bdb-b72c-69451971f68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584C2-79C2-4858-9E0B-F9CBE165D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fe9c91-5602-4bdb-b72c-69451971f681"/>
    <ds:schemaRef ds:uri="ccf8ecc5-ce9f-4cc1-bb60-062c62b052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04CE39-7605-4610-8002-784D6E27AB92}">
  <ds:schemaRefs>
    <ds:schemaRef ds:uri="http://schemas.microsoft.com/sharepoint/v3/contenttype/forms"/>
  </ds:schemaRefs>
</ds:datastoreItem>
</file>

<file path=customXml/itemProps3.xml><?xml version="1.0" encoding="utf-8"?>
<ds:datastoreItem xmlns:ds="http://schemas.openxmlformats.org/officeDocument/2006/customXml" ds:itemID="{76422DA4-B9F5-4245-BB8D-9118247B57C5}">
  <ds:schemaRefs>
    <ds:schemaRef ds:uri="http://schemas.openxmlformats.org/package/2006/metadata/core-properties"/>
    <ds:schemaRef ds:uri="http://purl.org/dc/dcmitype/"/>
    <ds:schemaRef ds:uri="71fe9c91-5602-4bdb-b72c-69451971f681"/>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ccf8ecc5-ce9f-4cc1-bb60-062c62b05209"/>
    <ds:schemaRef ds:uri="http://schemas.microsoft.com/office/2006/metadata/properties"/>
  </ds:schemaRefs>
</ds:datastoreItem>
</file>

<file path=customXml/itemProps4.xml><?xml version="1.0" encoding="utf-8"?>
<ds:datastoreItem xmlns:ds="http://schemas.openxmlformats.org/officeDocument/2006/customXml" ds:itemID="{DED64B71-7EE2-40A6-9541-BFC1F6C43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13</Pages>
  <Words>10648</Words>
  <Characters>60700</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71206</CharactersWithSpaces>
  <SharedDoc>false</SharedDoc>
  <HLinks>
    <vt:vector size="1080" baseType="variant">
      <vt:variant>
        <vt:i4>7995495</vt:i4>
      </vt:variant>
      <vt:variant>
        <vt:i4>300</vt:i4>
      </vt:variant>
      <vt:variant>
        <vt:i4>0</vt:i4>
      </vt:variant>
      <vt:variant>
        <vt:i4>5</vt:i4>
      </vt:variant>
      <vt:variant>
        <vt:lpwstr>https://minamataconvention.org/sites/default/files/documents/decision/UNEP-MC-COP.5-Dec.4_Amendments-Annex-A_English.pdf</vt:lpwstr>
      </vt:variant>
      <vt:variant>
        <vt:lpwstr/>
      </vt:variant>
      <vt:variant>
        <vt:i4>5898334</vt:i4>
      </vt:variant>
      <vt:variant>
        <vt:i4>297</vt:i4>
      </vt:variant>
      <vt:variant>
        <vt:i4>0</vt:i4>
      </vt:variant>
      <vt:variant>
        <vt:i4>5</vt:i4>
      </vt:variant>
      <vt:variant>
        <vt:lpwstr>https://sinlist.chemsec.org/</vt:lpwstr>
      </vt:variant>
      <vt:variant>
        <vt:lpwstr/>
      </vt:variant>
      <vt:variant>
        <vt:i4>3276911</vt:i4>
      </vt:variant>
      <vt:variant>
        <vt:i4>294</vt:i4>
      </vt:variant>
      <vt:variant>
        <vt:i4>0</vt:i4>
      </vt:variant>
      <vt:variant>
        <vt:i4>5</vt:i4>
      </vt:variant>
      <vt:variant>
        <vt:lpwstr>http://check-ed.eu/en/</vt:lpwstr>
      </vt:variant>
      <vt:variant>
        <vt:lpwstr/>
      </vt:variant>
      <vt:variant>
        <vt:i4>65565</vt:i4>
      </vt:variant>
      <vt:variant>
        <vt:i4>291</vt:i4>
      </vt:variant>
      <vt:variant>
        <vt:i4>0</vt:i4>
      </vt:variant>
      <vt:variant>
        <vt:i4>5</vt:i4>
      </vt:variant>
      <vt:variant>
        <vt:lpwstr>https://www.norden.org/en/nominee/kemiluppen-danish-consumer-council-think-chemicals-denmark</vt:lpwstr>
      </vt:variant>
      <vt:variant>
        <vt:lpwstr/>
      </vt:variant>
      <vt:variant>
        <vt:i4>3407986</vt:i4>
      </vt:variant>
      <vt:variant>
        <vt:i4>288</vt:i4>
      </vt:variant>
      <vt:variant>
        <vt:i4>0</vt:i4>
      </vt:variant>
      <vt:variant>
        <vt:i4>5</vt:i4>
      </vt:variant>
      <vt:variant>
        <vt:lpwstr>https://www.bund.net/themen/chemie/toxfox/</vt:lpwstr>
      </vt:variant>
      <vt:variant>
        <vt:lpwstr/>
      </vt:variant>
      <vt:variant>
        <vt:i4>2949238</vt:i4>
      </vt:variant>
      <vt:variant>
        <vt:i4>285</vt:i4>
      </vt:variant>
      <vt:variant>
        <vt:i4>0</vt:i4>
      </vt:variant>
      <vt:variant>
        <vt:i4>5</vt:i4>
      </vt:variant>
      <vt:variant>
        <vt:lpwstr>https://yuka.io/en/</vt:lpwstr>
      </vt:variant>
      <vt:variant>
        <vt:lpwstr/>
      </vt:variant>
      <vt:variant>
        <vt:i4>4849695</vt:i4>
      </vt:variant>
      <vt:variant>
        <vt:i4>282</vt:i4>
      </vt:variant>
      <vt:variant>
        <vt:i4>0</vt:i4>
      </vt:variant>
      <vt:variant>
        <vt:i4>5</vt:i4>
      </vt:variant>
      <vt:variant>
        <vt:lpwstr>https://terraeye.co/</vt:lpwstr>
      </vt:variant>
      <vt:variant>
        <vt:lpwstr/>
      </vt:variant>
      <vt:variant>
        <vt:i4>4522063</vt:i4>
      </vt:variant>
      <vt:variant>
        <vt:i4>279</vt:i4>
      </vt:variant>
      <vt:variant>
        <vt:i4>0</vt:i4>
      </vt:variant>
      <vt:variant>
        <vt:i4>5</vt:i4>
      </vt:variant>
      <vt:variant>
        <vt:lpwstr>https://www.euspa.europa.eu/opportunities/horizon-europe/project-portfolio/mosmin-multiscale-observation-services-mining-related-deposits</vt:lpwstr>
      </vt:variant>
      <vt:variant>
        <vt:lpwstr/>
      </vt:variant>
      <vt:variant>
        <vt:i4>2162739</vt:i4>
      </vt:variant>
      <vt:variant>
        <vt:i4>276</vt:i4>
      </vt:variant>
      <vt:variant>
        <vt:i4>0</vt:i4>
      </vt:variant>
      <vt:variant>
        <vt:i4>5</vt:i4>
      </vt:variant>
      <vt:variant>
        <vt:lpwstr>https://www.euspa.europa.eu/opportunities/horizon-europe/project-portfolio/vitolmins-visual-and-instrument-take-and-landing</vt:lpwstr>
      </vt:variant>
      <vt:variant>
        <vt:lpwstr/>
      </vt:variant>
      <vt:variant>
        <vt:i4>2031693</vt:i4>
      </vt:variant>
      <vt:variant>
        <vt:i4>273</vt:i4>
      </vt:variant>
      <vt:variant>
        <vt:i4>0</vt:i4>
      </vt:variant>
      <vt:variant>
        <vt:i4>5</vt:i4>
      </vt:variant>
      <vt:variant>
        <vt:lpwstr>https://www.euspa.europa.eu/opportunities/horizon-europe/project-portfolio/edgar-egnss-dfmc-gbas-based-operations</vt:lpwstr>
      </vt:variant>
      <vt:variant>
        <vt:lpwstr/>
      </vt:variant>
      <vt:variant>
        <vt:i4>7143463</vt:i4>
      </vt:variant>
      <vt:variant>
        <vt:i4>270</vt:i4>
      </vt:variant>
      <vt:variant>
        <vt:i4>0</vt:i4>
      </vt:variant>
      <vt:variant>
        <vt:i4>5</vt:i4>
      </vt:variant>
      <vt:variant>
        <vt:lpwstr>https://www.cassini.eu/hackathons/7th-cassini-hackathon-winners</vt:lpwstr>
      </vt:variant>
      <vt:variant>
        <vt:lpwstr/>
      </vt:variant>
      <vt:variant>
        <vt:i4>6488105</vt:i4>
      </vt:variant>
      <vt:variant>
        <vt:i4>267</vt:i4>
      </vt:variant>
      <vt:variant>
        <vt:i4>0</vt:i4>
      </vt:variant>
      <vt:variant>
        <vt:i4>5</vt:i4>
      </vt:variant>
      <vt:variant>
        <vt:lpwstr>https://www.euspa.europa.eu/opportunities/horizon-europe/project-portfolio/dinosar-diagnostic-tool-integrates-optical-infrared</vt:lpwstr>
      </vt:variant>
      <vt:variant>
        <vt:lpwstr/>
      </vt:variant>
      <vt:variant>
        <vt:i4>524314</vt:i4>
      </vt:variant>
      <vt:variant>
        <vt:i4>264</vt:i4>
      </vt:variant>
      <vt:variant>
        <vt:i4>0</vt:i4>
      </vt:variant>
      <vt:variant>
        <vt:i4>5</vt:i4>
      </vt:variant>
      <vt:variant>
        <vt:lpwstr>https://www.euspa.europa.eu/opportunities/horizon-europe/project-portfolio/sqat-soil-quality-analysis-tool-implementing-smart</vt:lpwstr>
      </vt:variant>
      <vt:variant>
        <vt:lpwstr/>
      </vt:variant>
      <vt:variant>
        <vt:i4>4259844</vt:i4>
      </vt:variant>
      <vt:variant>
        <vt:i4>261</vt:i4>
      </vt:variant>
      <vt:variant>
        <vt:i4>0</vt:i4>
      </vt:variant>
      <vt:variant>
        <vt:i4>5</vt:i4>
      </vt:variant>
      <vt:variant>
        <vt:lpwstr>https://vimeo.com/1011802645</vt:lpwstr>
      </vt:variant>
      <vt:variant>
        <vt:lpwstr/>
      </vt:variant>
      <vt:variant>
        <vt:i4>2752549</vt:i4>
      </vt:variant>
      <vt:variant>
        <vt:i4>258</vt:i4>
      </vt:variant>
      <vt:variant>
        <vt:i4>0</vt:i4>
      </vt:variant>
      <vt:variant>
        <vt:i4>5</vt:i4>
      </vt:variant>
      <vt:variant>
        <vt:lpwstr>https://www.euspa.europa.eu/newsroom-events/success-stories/azulfy-empowering-cities-fight-pollution-satellites</vt:lpwstr>
      </vt:variant>
      <vt:variant>
        <vt:lpwstr/>
      </vt:variant>
      <vt:variant>
        <vt:i4>8192106</vt:i4>
      </vt:variant>
      <vt:variant>
        <vt:i4>255</vt:i4>
      </vt:variant>
      <vt:variant>
        <vt:i4>0</vt:i4>
      </vt:variant>
      <vt:variant>
        <vt:i4>5</vt:i4>
      </vt:variant>
      <vt:variant>
        <vt:lpwstr>https://orbify.com/</vt:lpwstr>
      </vt:variant>
      <vt:variant>
        <vt:lpwstr/>
      </vt:variant>
      <vt:variant>
        <vt:i4>1572867</vt:i4>
      </vt:variant>
      <vt:variant>
        <vt:i4>252</vt:i4>
      </vt:variant>
      <vt:variant>
        <vt:i4>0</vt:i4>
      </vt:variant>
      <vt:variant>
        <vt:i4>5</vt:i4>
      </vt:variant>
      <vt:variant>
        <vt:lpwstr>https://www.copernicus.eu/en</vt:lpwstr>
      </vt:variant>
      <vt:variant>
        <vt:lpwstr/>
      </vt:variant>
      <vt:variant>
        <vt:i4>5767249</vt:i4>
      </vt:variant>
      <vt:variant>
        <vt:i4>249</vt:i4>
      </vt:variant>
      <vt:variant>
        <vt:i4>0</vt:i4>
      </vt:variant>
      <vt:variant>
        <vt:i4>5</vt:i4>
      </vt:variant>
      <vt:variant>
        <vt:lpwstr>https://www.pangeaaerospace.com/</vt:lpwstr>
      </vt:variant>
      <vt:variant>
        <vt:lpwstr/>
      </vt:variant>
      <vt:variant>
        <vt:i4>1114204</vt:i4>
      </vt:variant>
      <vt:variant>
        <vt:i4>246</vt:i4>
      </vt:variant>
      <vt:variant>
        <vt:i4>0</vt:i4>
      </vt:variant>
      <vt:variant>
        <vt:i4>5</vt:i4>
      </vt:variant>
      <vt:variant>
        <vt:lpwstr>https://www.hyimpulse.de/</vt:lpwstr>
      </vt:variant>
      <vt:variant>
        <vt:lpwstr/>
      </vt:variant>
      <vt:variant>
        <vt:i4>1048592</vt:i4>
      </vt:variant>
      <vt:variant>
        <vt:i4>243</vt:i4>
      </vt:variant>
      <vt:variant>
        <vt:i4>0</vt:i4>
      </vt:variant>
      <vt:variant>
        <vt:i4>5</vt:i4>
      </vt:variant>
      <vt:variant>
        <vt:lpwstr>https://webgate.ec.europa.eu/life/publicWebsite/project/LIFE18-ENV-DE-000054/piloting-clean-power-supply-devices-in-construction-and-urban-green-care-to-reduce-emissions-from-portable-machines</vt:lpwstr>
      </vt:variant>
      <vt:variant>
        <vt:lpwstr/>
      </vt:variant>
      <vt:variant>
        <vt:i4>1703941</vt:i4>
      </vt:variant>
      <vt:variant>
        <vt:i4>240</vt:i4>
      </vt:variant>
      <vt:variant>
        <vt:i4>0</vt:i4>
      </vt:variant>
      <vt:variant>
        <vt:i4>5</vt:i4>
      </vt:variant>
      <vt:variant>
        <vt:lpwstr>https://www.dutchwatersector.com/news/nx-filtration-to-lead-development-of-nanofiltration-to-make-drinking-water-free-of-drug</vt:lpwstr>
      </vt:variant>
      <vt:variant>
        <vt:lpwstr/>
      </vt:variant>
      <vt:variant>
        <vt:i4>3342362</vt:i4>
      </vt:variant>
      <vt:variant>
        <vt:i4>237</vt:i4>
      </vt:variant>
      <vt:variant>
        <vt:i4>0</vt:i4>
      </vt:variant>
      <vt:variant>
        <vt:i4>5</vt:i4>
      </vt:variant>
      <vt:variant>
        <vt:lpwstr>https://environment.ec.europa.eu/topics/urban-environment/european-green-capital-award/implementing-circular-economy-nutrient-recovery-urban-wastewater-treatment-plants_en</vt:lpwstr>
      </vt:variant>
      <vt:variant>
        <vt:lpwstr/>
      </vt:variant>
      <vt:variant>
        <vt:i4>2359331</vt:i4>
      </vt:variant>
      <vt:variant>
        <vt:i4>234</vt:i4>
      </vt:variant>
      <vt:variant>
        <vt:i4>0</vt:i4>
      </vt:variant>
      <vt:variant>
        <vt:i4>5</vt:i4>
      </vt:variant>
      <vt:variant>
        <vt:lpwstr>https://cordis.europa.eu/project/id/690323</vt:lpwstr>
      </vt:variant>
      <vt:variant>
        <vt:lpwstr/>
      </vt:variant>
      <vt:variant>
        <vt:i4>2424876</vt:i4>
      </vt:variant>
      <vt:variant>
        <vt:i4>231</vt:i4>
      </vt:variant>
      <vt:variant>
        <vt:i4>0</vt:i4>
      </vt:variant>
      <vt:variant>
        <vt:i4>5</vt:i4>
      </vt:variant>
      <vt:variant>
        <vt:lpwstr>https://cordis.europa.eu/project/id/689242</vt:lpwstr>
      </vt:variant>
      <vt:variant>
        <vt:lpwstr/>
      </vt:variant>
      <vt:variant>
        <vt:i4>1376320</vt:i4>
      </vt:variant>
      <vt:variant>
        <vt:i4>228</vt:i4>
      </vt:variant>
      <vt:variant>
        <vt:i4>0</vt:i4>
      </vt:variant>
      <vt:variant>
        <vt:i4>5</vt:i4>
      </vt:variant>
      <vt:variant>
        <vt:lpwstr>https://afterlife-project.eu/</vt:lpwstr>
      </vt:variant>
      <vt:variant>
        <vt:lpwstr/>
      </vt:variant>
      <vt:variant>
        <vt:i4>2621478</vt:i4>
      </vt:variant>
      <vt:variant>
        <vt:i4>225</vt:i4>
      </vt:variant>
      <vt:variant>
        <vt:i4>0</vt:i4>
      </vt:variant>
      <vt:variant>
        <vt:i4>5</vt:i4>
      </vt:variant>
      <vt:variant>
        <vt:lpwstr>https://cordis.europa.eu/project/id/821087</vt:lpwstr>
      </vt:variant>
      <vt:variant>
        <vt:lpwstr/>
      </vt:variant>
      <vt:variant>
        <vt:i4>3539035</vt:i4>
      </vt:variant>
      <vt:variant>
        <vt:i4>222</vt:i4>
      </vt:variant>
      <vt:variant>
        <vt:i4>0</vt:i4>
      </vt:variant>
      <vt:variant>
        <vt:i4>5</vt:i4>
      </vt:variant>
      <vt:variant>
        <vt:lpwstr>https://ec.europa.eu/regional_policy/en/projects/finland/tekide-technology-creates-sustainable-new-textiles-from-waste-cotton-in-helsinki-uusimaa</vt:lpwstr>
      </vt:variant>
      <vt:variant>
        <vt:lpwstr/>
      </vt:variant>
      <vt:variant>
        <vt:i4>983052</vt:i4>
      </vt:variant>
      <vt:variant>
        <vt:i4>219</vt:i4>
      </vt:variant>
      <vt:variant>
        <vt:i4>0</vt:i4>
      </vt:variant>
      <vt:variant>
        <vt:i4>5</vt:i4>
      </vt:variant>
      <vt:variant>
        <vt:lpwstr>https://webgate.ec.europa.eu/life/publicWebsite/project/LIFE22-ENV-ES-CLOOVER2-101113776/closed-loops-verification-of-reused-and-recycled-polyolefins-crates-drums-jerry-cans</vt:lpwstr>
      </vt:variant>
      <vt:variant>
        <vt:lpwstr/>
      </vt:variant>
      <vt:variant>
        <vt:i4>2162723</vt:i4>
      </vt:variant>
      <vt:variant>
        <vt:i4>216</vt:i4>
      </vt:variant>
      <vt:variant>
        <vt:i4>0</vt:i4>
      </vt:variant>
      <vt:variant>
        <vt:i4>5</vt:i4>
      </vt:variant>
      <vt:variant>
        <vt:lpwstr>https://cordis.europa.eu/project/id/720739</vt:lpwstr>
      </vt:variant>
      <vt:variant>
        <vt:lpwstr/>
      </vt:variant>
      <vt:variant>
        <vt:i4>1703960</vt:i4>
      </vt:variant>
      <vt:variant>
        <vt:i4>213</vt:i4>
      </vt:variant>
      <vt:variant>
        <vt:i4>0</vt:i4>
      </vt:variant>
      <vt:variant>
        <vt:i4>5</vt:i4>
      </vt:variant>
      <vt:variant>
        <vt:lpwstr>https://www.embraced.eu/</vt:lpwstr>
      </vt:variant>
      <vt:variant>
        <vt:lpwstr/>
      </vt:variant>
      <vt:variant>
        <vt:i4>5636106</vt:i4>
      </vt:variant>
      <vt:variant>
        <vt:i4>210</vt:i4>
      </vt:variant>
      <vt:variant>
        <vt:i4>0</vt:i4>
      </vt:variant>
      <vt:variant>
        <vt:i4>5</vt:i4>
      </vt:variant>
      <vt:variant>
        <vt:lpwstr>https://www.circpack.veolia.com/</vt:lpwstr>
      </vt:variant>
      <vt:variant>
        <vt:lpwstr/>
      </vt:variant>
      <vt:variant>
        <vt:i4>5308421</vt:i4>
      </vt:variant>
      <vt:variant>
        <vt:i4>207</vt:i4>
      </vt:variant>
      <vt:variant>
        <vt:i4>0</vt:i4>
      </vt:variant>
      <vt:variant>
        <vt:i4>5</vt:i4>
      </vt:variant>
      <vt:variant>
        <vt:lpwstr>https://www.build-in-wood.eu/</vt:lpwstr>
      </vt:variant>
      <vt:variant>
        <vt:lpwstr/>
      </vt:variant>
      <vt:variant>
        <vt:i4>4259843</vt:i4>
      </vt:variant>
      <vt:variant>
        <vt:i4>204</vt:i4>
      </vt:variant>
      <vt:variant>
        <vt:i4>0</vt:i4>
      </vt:variant>
      <vt:variant>
        <vt:i4>5</vt:i4>
      </vt:variant>
      <vt:variant>
        <vt:lpwstr>https://www.recolab.se/)</vt:lpwstr>
      </vt:variant>
      <vt:variant>
        <vt:lpwstr/>
      </vt:variant>
      <vt:variant>
        <vt:i4>5373974</vt:i4>
      </vt:variant>
      <vt:variant>
        <vt:i4>201</vt:i4>
      </vt:variant>
      <vt:variant>
        <vt:i4>0</vt:i4>
      </vt:variant>
      <vt:variant>
        <vt:i4>5</vt:i4>
      </vt:variant>
      <vt:variant>
        <vt:lpwstr>https://minagris.eu/</vt:lpwstr>
      </vt:variant>
      <vt:variant>
        <vt:lpwstr/>
      </vt:variant>
      <vt:variant>
        <vt:i4>2424881</vt:i4>
      </vt:variant>
      <vt:variant>
        <vt:i4>198</vt:i4>
      </vt:variant>
      <vt:variant>
        <vt:i4>0</vt:i4>
      </vt:variant>
      <vt:variant>
        <vt:i4>5</vt:i4>
      </vt:variant>
      <vt:variant>
        <vt:lpwstr>https://www.papillons-h2020.eu/the-project/papillons-atlas/</vt:lpwstr>
      </vt:variant>
      <vt:variant>
        <vt:lpwstr/>
      </vt:variant>
      <vt:variant>
        <vt:i4>6160473</vt:i4>
      </vt:variant>
      <vt:variant>
        <vt:i4>195</vt:i4>
      </vt:variant>
      <vt:variant>
        <vt:i4>0</vt:i4>
      </vt:variant>
      <vt:variant>
        <vt:i4>5</vt:i4>
      </vt:variant>
      <vt:variant>
        <vt:lpwstr>https://sprint-h2020.eu/</vt:lpwstr>
      </vt:variant>
      <vt:variant>
        <vt:lpwstr/>
      </vt:variant>
      <vt:variant>
        <vt:i4>2752547</vt:i4>
      </vt:variant>
      <vt:variant>
        <vt:i4>192</vt:i4>
      </vt:variant>
      <vt:variant>
        <vt:i4>0</vt:i4>
      </vt:variant>
      <vt:variant>
        <vt:i4>5</vt:i4>
      </vt:variant>
      <vt:variant>
        <vt:lpwstr>https://cordis.europa.eu/project/id/727247</vt:lpwstr>
      </vt:variant>
      <vt:variant>
        <vt:lpwstr/>
      </vt:variant>
      <vt:variant>
        <vt:i4>4522048</vt:i4>
      </vt:variant>
      <vt:variant>
        <vt:i4>189</vt:i4>
      </vt:variant>
      <vt:variant>
        <vt:i4>0</vt:i4>
      </vt:variant>
      <vt:variant>
        <vt:i4>5</vt:i4>
      </vt:variant>
      <vt:variant>
        <vt:lpwstr>https://econutri-project.eu/</vt:lpwstr>
      </vt:variant>
      <vt:variant>
        <vt:lpwstr/>
      </vt:variant>
      <vt:variant>
        <vt:i4>2883701</vt:i4>
      </vt:variant>
      <vt:variant>
        <vt:i4>186</vt:i4>
      </vt:variant>
      <vt:variant>
        <vt:i4>0</vt:i4>
      </vt:variant>
      <vt:variant>
        <vt:i4>5</vt:i4>
      </vt:variant>
      <vt:variant>
        <vt:lpwstr>https://webgate.ec.europa.eu/life/publicWebsite/project/LIFE17-GIE-DE-000610/reducing-ammonia-and-methane-emissions-from-agriculture-to-improve-air-quality-and-climate-protection</vt:lpwstr>
      </vt:variant>
      <vt:variant>
        <vt:lpwstr/>
      </vt:variant>
      <vt:variant>
        <vt:i4>2490482</vt:i4>
      </vt:variant>
      <vt:variant>
        <vt:i4>183</vt:i4>
      </vt:variant>
      <vt:variant>
        <vt:i4>0</vt:i4>
      </vt:variant>
      <vt:variant>
        <vt:i4>5</vt:i4>
      </vt:variant>
      <vt:variant>
        <vt:lpwstr>https://webgate.ec.europa.eu/life/publicWebsite/project/LIFE20-ENV-ES-000858/market-technology-based-on-membranes-for-the-reduction-of-ammonia-in-livestock-farms</vt:lpwstr>
      </vt:variant>
      <vt:variant>
        <vt:lpwstr>:~:text=The%20main%20objective%20of%20the%20LIFE%20Green%20Ammonia,the%20farm%20and%20in%20the%20manure%20storage%20tanks.</vt:lpwstr>
      </vt:variant>
      <vt:variant>
        <vt:i4>6291498</vt:i4>
      </vt:variant>
      <vt:variant>
        <vt:i4>180</vt:i4>
      </vt:variant>
      <vt:variant>
        <vt:i4>0</vt:i4>
      </vt:variant>
      <vt:variant>
        <vt:i4>5</vt:i4>
      </vt:variant>
      <vt:variant>
        <vt:lpwstr>https://webgate.ec.europa.eu/life/publicWebsite/project/LIFE16-ENV-NL-000363/life-cmcd-closing-the-mineral-cycle-in-dairy-farming-in-the-eu</vt:lpwstr>
      </vt:variant>
      <vt:variant>
        <vt:lpwstr/>
      </vt:variant>
      <vt:variant>
        <vt:i4>3407907</vt:i4>
      </vt:variant>
      <vt:variant>
        <vt:i4>177</vt:i4>
      </vt:variant>
      <vt:variant>
        <vt:i4>0</vt:i4>
      </vt:variant>
      <vt:variant>
        <vt:i4>5</vt:i4>
      </vt:variant>
      <vt:variant>
        <vt:lpwstr>https://webgate.ec.europa.eu/life/publicWebsite/project/LIFE15-ENV-NL-000217/clean-inland-shipping</vt:lpwstr>
      </vt:variant>
      <vt:variant>
        <vt:lpwstr/>
      </vt:variant>
      <vt:variant>
        <vt:i4>1638407</vt:i4>
      </vt:variant>
      <vt:variant>
        <vt:i4>174</vt:i4>
      </vt:variant>
      <vt:variant>
        <vt:i4>0</vt:i4>
      </vt:variant>
      <vt:variant>
        <vt:i4>5</vt:i4>
      </vt:variant>
      <vt:variant>
        <vt:lpwstr>https://webgate.ec.europa.eu/life/publicWebsite/project/LIFE16-ENV-IT-000004/advanced-logistics-platform-with-road-pricing-and-access-criteria-to-improve-urban-environment-and-mobility-of-goods</vt:lpwstr>
      </vt:variant>
      <vt:variant>
        <vt:lpwstr/>
      </vt:variant>
      <vt:variant>
        <vt:i4>6750331</vt:i4>
      </vt:variant>
      <vt:variant>
        <vt:i4>171</vt:i4>
      </vt:variant>
      <vt:variant>
        <vt:i4>0</vt:i4>
      </vt:variant>
      <vt:variant>
        <vt:i4>5</vt:i4>
      </vt:variant>
      <vt:variant>
        <vt:lpwstr>https://www.senatorproject.eu/</vt:lpwstr>
      </vt:variant>
      <vt:variant>
        <vt:lpwstr/>
      </vt:variant>
      <vt:variant>
        <vt:i4>3014699</vt:i4>
      </vt:variant>
      <vt:variant>
        <vt:i4>168</vt:i4>
      </vt:variant>
      <vt:variant>
        <vt:i4>0</vt:i4>
      </vt:variant>
      <vt:variant>
        <vt:i4>5</vt:i4>
      </vt:variant>
      <vt:variant>
        <vt:lpwstr>https://cordis.europa.eu/project/id/860441</vt:lpwstr>
      </vt:variant>
      <vt:variant>
        <vt:lpwstr/>
      </vt:variant>
      <vt:variant>
        <vt:i4>1310805</vt:i4>
      </vt:variant>
      <vt:variant>
        <vt:i4>165</vt:i4>
      </vt:variant>
      <vt:variant>
        <vt:i4>0</vt:i4>
      </vt:variant>
      <vt:variant>
        <vt:i4>5</vt:i4>
      </vt:variant>
      <vt:variant>
        <vt:lpwstr>https://app.powerbi.com/view?r=eyJrIjoiNjJhYTFkY2YtNzdlOC00MmU2LWIxNGQtZDhmMjI5YzJjYzZiIiwidCI6ImIyNGM4YjA2LTUyMmMtNDZmZS05MDgwLTcwOTI2ZjhkZGRiMSIsImMiOjh9&amp;pageName=aa2a84e200d9c438827c</vt:lpwstr>
      </vt:variant>
      <vt:variant>
        <vt:lpwstr/>
      </vt:variant>
      <vt:variant>
        <vt:i4>6815802</vt:i4>
      </vt:variant>
      <vt:variant>
        <vt:i4>162</vt:i4>
      </vt:variant>
      <vt:variant>
        <vt:i4>0</vt:i4>
      </vt:variant>
      <vt:variant>
        <vt:i4>5</vt:i4>
      </vt:variant>
      <vt:variant>
        <vt:lpwstr>https://www.edaphos.eu/</vt:lpwstr>
      </vt:variant>
      <vt:variant>
        <vt:lpwstr/>
      </vt:variant>
      <vt:variant>
        <vt:i4>1835025</vt:i4>
      </vt:variant>
      <vt:variant>
        <vt:i4>159</vt:i4>
      </vt:variant>
      <vt:variant>
        <vt:i4>0</vt:i4>
      </vt:variant>
      <vt:variant>
        <vt:i4>5</vt:i4>
      </vt:variant>
      <vt:variant>
        <vt:lpwstr>https://cordis.europa.eu/project/id/101112723</vt:lpwstr>
      </vt:variant>
      <vt:variant>
        <vt:lpwstr/>
      </vt:variant>
      <vt:variant>
        <vt:i4>2424901</vt:i4>
      </vt:variant>
      <vt:variant>
        <vt:i4>156</vt:i4>
      </vt:variant>
      <vt:variant>
        <vt:i4>0</vt:i4>
      </vt:variant>
      <vt:variant>
        <vt:i4>5</vt:i4>
      </vt:variant>
      <vt:variant>
        <vt:lpwstr>https://cordis.europa.eu/article/id/449988-dealing-with-europe-s-contaminated-soil?WT.mc_id=exp</vt:lpwstr>
      </vt:variant>
      <vt:variant>
        <vt:lpwstr/>
      </vt:variant>
      <vt:variant>
        <vt:i4>2228328</vt:i4>
      </vt:variant>
      <vt:variant>
        <vt:i4>153</vt:i4>
      </vt:variant>
      <vt:variant>
        <vt:i4>0</vt:i4>
      </vt:variant>
      <vt:variant>
        <vt:i4>5</vt:i4>
      </vt:variant>
      <vt:variant>
        <vt:lpwstr>https://webgate.ec.europa.eu/life/publicWebsite/project/LIFE18-ENV-CZ-000374/innovative-technology-based-on-constructed-wetlands-for-treatment-of-pesticide-contaminated-waters</vt:lpwstr>
      </vt:variant>
      <vt:variant>
        <vt:lpwstr/>
      </vt:variant>
      <vt:variant>
        <vt:i4>7274603</vt:i4>
      </vt:variant>
      <vt:variant>
        <vt:i4>150</vt:i4>
      </vt:variant>
      <vt:variant>
        <vt:i4>0</vt:i4>
      </vt:variant>
      <vt:variant>
        <vt:i4>5</vt:i4>
      </vt:variant>
      <vt:variant>
        <vt:lpwstr>https://webgate.ec.europa.eu/life/publicWebsite/project/LIFE15-IPE-BE-000014/belgian-initiative-for-making-a-leap-forward-towards-good-status-in-the-river-basin-of-the-scheldt</vt:lpwstr>
      </vt:variant>
      <vt:variant>
        <vt:lpwstr/>
      </vt:variant>
      <vt:variant>
        <vt:i4>5963861</vt:i4>
      </vt:variant>
      <vt:variant>
        <vt:i4>147</vt:i4>
      </vt:variant>
      <vt:variant>
        <vt:i4>0</vt:i4>
      </vt:variant>
      <vt:variant>
        <vt:i4>5</vt:i4>
      </vt:variant>
      <vt:variant>
        <vt:lpwstr>https://webgate.ec.europa.eu/life/publicWebsite/project/LIFE18-ENV-BE-000286/nature-based-remediation-of-metal-pollutants-in-nature-areas-to-increase-water-storage-capacity-narmena</vt:lpwstr>
      </vt:variant>
      <vt:variant>
        <vt:lpwstr/>
      </vt:variant>
      <vt:variant>
        <vt:i4>3538983</vt:i4>
      </vt:variant>
      <vt:variant>
        <vt:i4>144</vt:i4>
      </vt:variant>
      <vt:variant>
        <vt:i4>0</vt:i4>
      </vt:variant>
      <vt:variant>
        <vt:i4>5</vt:i4>
      </vt:variant>
      <vt:variant>
        <vt:lpwstr>https://chromafora.com/insights/chromafora-to-tackle-widespread-chemical-pollution-with-22.5-million-eu-backing</vt:lpwstr>
      </vt:variant>
      <vt:variant>
        <vt:lpwstr/>
      </vt:variant>
      <vt:variant>
        <vt:i4>2293816</vt:i4>
      </vt:variant>
      <vt:variant>
        <vt:i4>141</vt:i4>
      </vt:variant>
      <vt:variant>
        <vt:i4>0</vt:i4>
      </vt:variant>
      <vt:variant>
        <vt:i4>5</vt:i4>
      </vt:variant>
      <vt:variant>
        <vt:lpwstr>https://webgate.ec.europa.eu/life/publicWebsite/project/LIFE20-ENV-ES-000880/demonstration-and-evaluation-of-sustainable-on-site-remediation-technologies-for-pfas-contaminated-groundwater</vt:lpwstr>
      </vt:variant>
      <vt:variant>
        <vt:lpwstr/>
      </vt:variant>
      <vt:variant>
        <vt:i4>2162748</vt:i4>
      </vt:variant>
      <vt:variant>
        <vt:i4>138</vt:i4>
      </vt:variant>
      <vt:variant>
        <vt:i4>0</vt:i4>
      </vt:variant>
      <vt:variant>
        <vt:i4>5</vt:i4>
      </vt:variant>
      <vt:variant>
        <vt:lpwstr>https://cordis.europa.eu/project/id/101036756/reporting</vt:lpwstr>
      </vt:variant>
      <vt:variant>
        <vt:lpwstr/>
      </vt:variant>
      <vt:variant>
        <vt:i4>2424881</vt:i4>
      </vt:variant>
      <vt:variant>
        <vt:i4>135</vt:i4>
      </vt:variant>
      <vt:variant>
        <vt:i4>0</vt:i4>
      </vt:variant>
      <vt:variant>
        <vt:i4>5</vt:i4>
      </vt:variant>
      <vt:variant>
        <vt:lpwstr>https://cordis.europa.eu/project/id/101037509/reporting</vt:lpwstr>
      </vt:variant>
      <vt:variant>
        <vt:lpwstr/>
      </vt:variant>
      <vt:variant>
        <vt:i4>3866673</vt:i4>
      </vt:variant>
      <vt:variant>
        <vt:i4>132</vt:i4>
      </vt:variant>
      <vt:variant>
        <vt:i4>0</vt:i4>
      </vt:variant>
      <vt:variant>
        <vt:i4>5</vt:i4>
      </vt:variant>
      <vt:variant>
        <vt:lpwstr>https://pharmadetox.eu/</vt:lpwstr>
      </vt:variant>
      <vt:variant>
        <vt:lpwstr/>
      </vt:variant>
      <vt:variant>
        <vt:i4>3473457</vt:i4>
      </vt:variant>
      <vt:variant>
        <vt:i4>129</vt:i4>
      </vt:variant>
      <vt:variant>
        <vt:i4>0</vt:i4>
      </vt:variant>
      <vt:variant>
        <vt:i4>5</vt:i4>
      </vt:variant>
      <vt:variant>
        <vt:lpwstr>https://webgate.ec.europa.eu/life/publicWebsite/project/LIFE19-ENV-FR-000086/air-pollution-removal-by-forests-for-a-better-human-well-being</vt:lpwstr>
      </vt:variant>
      <vt:variant>
        <vt:lpwstr/>
      </vt:variant>
      <vt:variant>
        <vt:i4>6225990</vt:i4>
      </vt:variant>
      <vt:variant>
        <vt:i4>126</vt:i4>
      </vt:variant>
      <vt:variant>
        <vt:i4>0</vt:i4>
      </vt:variant>
      <vt:variant>
        <vt:i4>5</vt:i4>
      </vt:variant>
      <vt:variant>
        <vt:lpwstr>https://www.100ktrees.eu/</vt:lpwstr>
      </vt:variant>
      <vt:variant>
        <vt:lpwstr/>
      </vt:variant>
      <vt:variant>
        <vt:i4>3866744</vt:i4>
      </vt:variant>
      <vt:variant>
        <vt:i4>123</vt:i4>
      </vt:variant>
      <vt:variant>
        <vt:i4>0</vt:i4>
      </vt:variant>
      <vt:variant>
        <vt:i4>5</vt:i4>
      </vt:variant>
      <vt:variant>
        <vt:lpwstr>https://cordis.europa.eu/article/id/448420-heatwaves-and-air-pollution-combined-europe-s-silent-killer</vt:lpwstr>
      </vt:variant>
      <vt:variant>
        <vt:lpwstr/>
      </vt:variant>
      <vt:variant>
        <vt:i4>2359397</vt:i4>
      </vt:variant>
      <vt:variant>
        <vt:i4>120</vt:i4>
      </vt:variant>
      <vt:variant>
        <vt:i4>0</vt:i4>
      </vt:variant>
      <vt:variant>
        <vt:i4>5</vt:i4>
      </vt:variant>
      <vt:variant>
        <vt:lpwstr>https://lifesirius.eu/</vt:lpwstr>
      </vt:variant>
      <vt:variant>
        <vt:lpwstr/>
      </vt:variant>
      <vt:variant>
        <vt:i4>2621497</vt:i4>
      </vt:variant>
      <vt:variant>
        <vt:i4>117</vt:i4>
      </vt:variant>
      <vt:variant>
        <vt:i4>0</vt:i4>
      </vt:variant>
      <vt:variant>
        <vt:i4>5</vt:i4>
      </vt:variant>
      <vt:variant>
        <vt:lpwstr>https://www.lifeprepair.eu/?lang=en</vt:lpwstr>
      </vt:variant>
      <vt:variant>
        <vt:lpwstr/>
      </vt:variant>
      <vt:variant>
        <vt:i4>4390923</vt:i4>
      </vt:variant>
      <vt:variant>
        <vt:i4>114</vt:i4>
      </vt:variant>
      <vt:variant>
        <vt:i4>0</vt:i4>
      </vt:variant>
      <vt:variant>
        <vt:i4>5</vt:i4>
      </vt:variant>
      <vt:variant>
        <vt:lpwstr>https://powietrze.malopolska.pl/en/news/clean-air-for-malopolska-region/</vt:lpwstr>
      </vt:variant>
      <vt:variant>
        <vt:lpwstr/>
      </vt:variant>
      <vt:variant>
        <vt:i4>7929972</vt:i4>
      </vt:variant>
      <vt:variant>
        <vt:i4>111</vt:i4>
      </vt:variant>
      <vt:variant>
        <vt:i4>0</vt:i4>
      </vt:variant>
      <vt:variant>
        <vt:i4>5</vt:i4>
      </vt:variant>
      <vt:variant>
        <vt:lpwstr>https://longitools.org/</vt:lpwstr>
      </vt:variant>
      <vt:variant>
        <vt:lpwstr/>
      </vt:variant>
      <vt:variant>
        <vt:i4>4128894</vt:i4>
      </vt:variant>
      <vt:variant>
        <vt:i4>108</vt:i4>
      </vt:variant>
      <vt:variant>
        <vt:i4>0</vt:i4>
      </vt:variant>
      <vt:variant>
        <vt:i4>5</vt:i4>
      </vt:variant>
      <vt:variant>
        <vt:lpwstr>https://expanseproject.eu/</vt:lpwstr>
      </vt:variant>
      <vt:variant>
        <vt:lpwstr/>
      </vt:variant>
      <vt:variant>
        <vt:i4>131167</vt:i4>
      </vt:variant>
      <vt:variant>
        <vt:i4>105</vt:i4>
      </vt:variant>
      <vt:variant>
        <vt:i4>0</vt:i4>
      </vt:variant>
      <vt:variant>
        <vt:i4>5</vt:i4>
      </vt:variant>
      <vt:variant>
        <vt:lpwstr>https://emotionalcities-h2020.eu/</vt:lpwstr>
      </vt:variant>
      <vt:variant>
        <vt:lpwstr/>
      </vt:variant>
      <vt:variant>
        <vt:i4>6946942</vt:i4>
      </vt:variant>
      <vt:variant>
        <vt:i4>102</vt:i4>
      </vt:variant>
      <vt:variant>
        <vt:i4>0</vt:i4>
      </vt:variant>
      <vt:variant>
        <vt:i4>5</vt:i4>
      </vt:variant>
      <vt:variant>
        <vt:lpwstr>https://civil-protection-knowledge-network.europa.eu/projects/imaros-2</vt:lpwstr>
      </vt:variant>
      <vt:variant>
        <vt:lpwstr/>
      </vt:variant>
      <vt:variant>
        <vt:i4>7405629</vt:i4>
      </vt:variant>
      <vt:variant>
        <vt:i4>99</vt:i4>
      </vt:variant>
      <vt:variant>
        <vt:i4>0</vt:i4>
      </vt:variant>
      <vt:variant>
        <vt:i4>5</vt:i4>
      </vt:variant>
      <vt:variant>
        <vt:lpwstr>https://civil-protection-knowledge-network.europa.eu/projects/brisk-ii</vt:lpwstr>
      </vt:variant>
      <vt:variant>
        <vt:lpwstr/>
      </vt:variant>
      <vt:variant>
        <vt:i4>7405622</vt:i4>
      </vt:variant>
      <vt:variant>
        <vt:i4>96</vt:i4>
      </vt:variant>
      <vt:variant>
        <vt:i4>0</vt:i4>
      </vt:variant>
      <vt:variant>
        <vt:i4>5</vt:i4>
      </vt:variant>
      <vt:variant>
        <vt:lpwstr>https://eomap.com/</vt:lpwstr>
      </vt:variant>
      <vt:variant>
        <vt:lpwstr/>
      </vt:variant>
      <vt:variant>
        <vt:i4>1572957</vt:i4>
      </vt:variant>
      <vt:variant>
        <vt:i4>93</vt:i4>
      </vt:variant>
      <vt:variant>
        <vt:i4>0</vt:i4>
      </vt:variant>
      <vt:variant>
        <vt:i4>5</vt:i4>
      </vt:variant>
      <vt:variant>
        <vt:lpwstr>https://seacras.com/</vt:lpwstr>
      </vt:variant>
      <vt:variant>
        <vt:lpwstr/>
      </vt:variant>
      <vt:variant>
        <vt:i4>8192098</vt:i4>
      </vt:variant>
      <vt:variant>
        <vt:i4>90</vt:i4>
      </vt:variant>
      <vt:variant>
        <vt:i4>0</vt:i4>
      </vt:variant>
      <vt:variant>
        <vt:i4>5</vt:i4>
      </vt:variant>
      <vt:variant>
        <vt:lpwstr>https://www.euspa.europa.eu/eu-space-programme/copernicus/copernicus-demonstrators</vt:lpwstr>
      </vt:variant>
      <vt:variant>
        <vt:lpwstr/>
      </vt:variant>
      <vt:variant>
        <vt:i4>3342396</vt:i4>
      </vt:variant>
      <vt:variant>
        <vt:i4>87</vt:i4>
      </vt:variant>
      <vt:variant>
        <vt:i4>0</vt:i4>
      </vt:variant>
      <vt:variant>
        <vt:i4>5</vt:i4>
      </vt:variant>
      <vt:variant>
        <vt:lpwstr>https://webgate.ec.europa.eu/life/publicWebsite/project/LIFE16-ENV-IT-000343/remediation-of-marine-environment-and-development-of-innovative-aquaculture-exploitation-of-edible-not-edible-biomass</vt:lpwstr>
      </vt:variant>
      <vt:variant>
        <vt:lpwstr/>
      </vt:variant>
      <vt:variant>
        <vt:i4>6357049</vt:i4>
      </vt:variant>
      <vt:variant>
        <vt:i4>84</vt:i4>
      </vt:variant>
      <vt:variant>
        <vt:i4>0</vt:i4>
      </vt:variant>
      <vt:variant>
        <vt:i4>5</vt:i4>
      </vt:variant>
      <vt:variant>
        <vt:lpwstr>https://www.astral-project.eu/</vt:lpwstr>
      </vt:variant>
      <vt:variant>
        <vt:lpwstr/>
      </vt:variant>
      <vt:variant>
        <vt:i4>2621536</vt:i4>
      </vt:variant>
      <vt:variant>
        <vt:i4>81</vt:i4>
      </vt:variant>
      <vt:variant>
        <vt:i4>0</vt:i4>
      </vt:variant>
      <vt:variant>
        <vt:i4>5</vt:i4>
      </vt:variant>
      <vt:variant>
        <vt:lpwstr>https://olamur.eu/</vt:lpwstr>
      </vt:variant>
      <vt:variant>
        <vt:lpwstr/>
      </vt:variant>
      <vt:variant>
        <vt:i4>5046345</vt:i4>
      </vt:variant>
      <vt:variant>
        <vt:i4>78</vt:i4>
      </vt:variant>
      <vt:variant>
        <vt:i4>0</vt:i4>
      </vt:variant>
      <vt:variant>
        <vt:i4>5</vt:i4>
      </vt:variant>
      <vt:variant>
        <vt:lpwstr>https://balticmuppets.eu/</vt:lpwstr>
      </vt:variant>
      <vt:variant>
        <vt:lpwstr/>
      </vt:variant>
      <vt:variant>
        <vt:i4>5111901</vt:i4>
      </vt:variant>
      <vt:variant>
        <vt:i4>75</vt:i4>
      </vt:variant>
      <vt:variant>
        <vt:i4>0</vt:i4>
      </vt:variant>
      <vt:variant>
        <vt:i4>5</vt:i4>
      </vt:variant>
      <vt:variant>
        <vt:lpwstr>https://www.unep.org/unepmap/what-we-do/projects/MarineLitterMED-Plus</vt:lpwstr>
      </vt:variant>
      <vt:variant>
        <vt:lpwstr/>
      </vt:variant>
      <vt:variant>
        <vt:i4>4915212</vt:i4>
      </vt:variant>
      <vt:variant>
        <vt:i4>72</vt:i4>
      </vt:variant>
      <vt:variant>
        <vt:i4>0</vt:i4>
      </vt:variant>
      <vt:variant>
        <vt:i4>5</vt:i4>
      </vt:variant>
      <vt:variant>
        <vt:lpwstr>https://circularoceanplastic.eu/</vt:lpwstr>
      </vt:variant>
      <vt:variant>
        <vt:lpwstr/>
      </vt:variant>
      <vt:variant>
        <vt:i4>5701636</vt:i4>
      </vt:variant>
      <vt:variant>
        <vt:i4>69</vt:i4>
      </vt:variant>
      <vt:variant>
        <vt:i4>0</vt:i4>
      </vt:variant>
      <vt:variant>
        <vt:i4>5</vt:i4>
      </vt:variant>
      <vt:variant>
        <vt:lpwstr>https://freelitterat.eu/</vt:lpwstr>
      </vt:variant>
      <vt:variant>
        <vt:lpwstr/>
      </vt:variant>
      <vt:variant>
        <vt:i4>262188</vt:i4>
      </vt:variant>
      <vt:variant>
        <vt:i4>66</vt:i4>
      </vt:variant>
      <vt:variant>
        <vt:i4>0</vt:i4>
      </vt:variant>
      <vt:variant>
        <vt:i4>5</vt:i4>
      </vt:variant>
      <vt:variant>
        <vt:lpwstr>https://joint-research-centre.ec.europa.eu/jrc-news-and-updates/marine-litter-eu-coastline-down-almost-one-third-2025-02-04_en</vt:lpwstr>
      </vt:variant>
      <vt:variant>
        <vt:lpwstr>:~:text=The%20newly-published%20EU%20Coastline%20Macro%20Litter%20Trend%20report,baseline%20period%20%282015-2016%29%20and%20the%20assessment%20period%20%282020-2021%29.</vt:lpwstr>
      </vt:variant>
      <vt:variant>
        <vt:i4>2097211</vt:i4>
      </vt:variant>
      <vt:variant>
        <vt:i4>63</vt:i4>
      </vt:variant>
      <vt:variant>
        <vt:i4>0</vt:i4>
      </vt:variant>
      <vt:variant>
        <vt:i4>5</vt:i4>
      </vt:variant>
      <vt:variant>
        <vt:lpwstr>https://lifecascade.eu/</vt:lpwstr>
      </vt:variant>
      <vt:variant>
        <vt:lpwstr/>
      </vt:variant>
      <vt:variant>
        <vt:i4>4784139</vt:i4>
      </vt:variant>
      <vt:variant>
        <vt:i4>60</vt:i4>
      </vt:variant>
      <vt:variant>
        <vt:i4>0</vt:i4>
      </vt:variant>
      <vt:variant>
        <vt:i4>5</vt:i4>
      </vt:variant>
      <vt:variant>
        <vt:lpwstr>https://www.acciona.com/projects/pristine</vt:lpwstr>
      </vt:variant>
      <vt:variant>
        <vt:lpwstr/>
      </vt:variant>
      <vt:variant>
        <vt:i4>2752633</vt:i4>
      </vt:variant>
      <vt:variant>
        <vt:i4>57</vt:i4>
      </vt:variant>
      <vt:variant>
        <vt:i4>0</vt:i4>
      </vt:variant>
      <vt:variant>
        <vt:i4>5</vt:i4>
      </vt:variant>
      <vt:variant>
        <vt:lpwstr>https://elektralifeproject.eu/</vt:lpwstr>
      </vt:variant>
      <vt:variant>
        <vt:lpwstr/>
      </vt:variant>
      <vt:variant>
        <vt:i4>1245189</vt:i4>
      </vt:variant>
      <vt:variant>
        <vt:i4>54</vt:i4>
      </vt:variant>
      <vt:variant>
        <vt:i4>0</vt:i4>
      </vt:variant>
      <vt:variant>
        <vt:i4>5</vt:i4>
      </vt:variant>
      <vt:variant>
        <vt:lpwstr>https://d4runoff.eu/</vt:lpwstr>
      </vt:variant>
      <vt:variant>
        <vt:lpwstr/>
      </vt:variant>
      <vt:variant>
        <vt:i4>3735588</vt:i4>
      </vt:variant>
      <vt:variant>
        <vt:i4>51</vt:i4>
      </vt:variant>
      <vt:variant>
        <vt:i4>0</vt:i4>
      </vt:variant>
      <vt:variant>
        <vt:i4>5</vt:i4>
      </vt:variant>
      <vt:variant>
        <vt:lpwstr>https://www.niagara-project.eu/</vt:lpwstr>
      </vt:variant>
      <vt:variant>
        <vt:lpwstr/>
      </vt:variant>
      <vt:variant>
        <vt:i4>2818082</vt:i4>
      </vt:variant>
      <vt:variant>
        <vt:i4>48</vt:i4>
      </vt:variant>
      <vt:variant>
        <vt:i4>0</vt:i4>
      </vt:variant>
      <vt:variant>
        <vt:i4>5</vt:i4>
      </vt:variant>
      <vt:variant>
        <vt:lpwstr>https://cordis.europa.eu/project/id/727450</vt:lpwstr>
      </vt:variant>
      <vt:variant>
        <vt:lpwstr/>
      </vt:variant>
      <vt:variant>
        <vt:i4>3735597</vt:i4>
      </vt:variant>
      <vt:variant>
        <vt:i4>45</vt:i4>
      </vt:variant>
      <vt:variant>
        <vt:i4>0</vt:i4>
      </vt:variant>
      <vt:variant>
        <vt:i4>5</vt:i4>
      </vt:variant>
      <vt:variant>
        <vt:lpwstr>https://todrinq.eu/</vt:lpwstr>
      </vt:variant>
      <vt:variant>
        <vt:lpwstr/>
      </vt:variant>
      <vt:variant>
        <vt:i4>1572879</vt:i4>
      </vt:variant>
      <vt:variant>
        <vt:i4>42</vt:i4>
      </vt:variant>
      <vt:variant>
        <vt:i4>0</vt:i4>
      </vt:variant>
      <vt:variant>
        <vt:i4>5</vt:i4>
      </vt:variant>
      <vt:variant>
        <vt:lpwstr>https://safecrew.org/</vt:lpwstr>
      </vt:variant>
      <vt:variant>
        <vt:lpwstr/>
      </vt:variant>
      <vt:variant>
        <vt:i4>2687020</vt:i4>
      </vt:variant>
      <vt:variant>
        <vt:i4>39</vt:i4>
      </vt:variant>
      <vt:variant>
        <vt:i4>0</vt:i4>
      </vt:variant>
      <vt:variant>
        <vt:i4>5</vt:i4>
      </vt:variant>
      <vt:variant>
        <vt:lpwstr>https://intodbp.eu/</vt:lpwstr>
      </vt:variant>
      <vt:variant>
        <vt:lpwstr/>
      </vt:variant>
      <vt:variant>
        <vt:i4>64</vt:i4>
      </vt:variant>
      <vt:variant>
        <vt:i4>36</vt:i4>
      </vt:variant>
      <vt:variant>
        <vt:i4>0</vt:i4>
      </vt:variant>
      <vt:variant>
        <vt:i4>5</vt:i4>
      </vt:variant>
      <vt:variant>
        <vt:lpwstr>https://h2oforall.eu/</vt:lpwstr>
      </vt:variant>
      <vt:variant>
        <vt:lpwstr/>
      </vt:variant>
      <vt:variant>
        <vt:i4>6750241</vt:i4>
      </vt:variant>
      <vt:variant>
        <vt:i4>33</vt:i4>
      </vt:variant>
      <vt:variant>
        <vt:i4>0</vt:i4>
      </vt:variant>
      <vt:variant>
        <vt:i4>5</vt:i4>
      </vt:variant>
      <vt:variant>
        <vt:lpwstr>https://www.upwater.eu/</vt:lpwstr>
      </vt:variant>
      <vt:variant>
        <vt:lpwstr/>
      </vt:variant>
      <vt:variant>
        <vt:i4>1245258</vt:i4>
      </vt:variant>
      <vt:variant>
        <vt:i4>30</vt:i4>
      </vt:variant>
      <vt:variant>
        <vt:i4>0</vt:i4>
      </vt:variant>
      <vt:variant>
        <vt:i4>5</vt:i4>
      </vt:variant>
      <vt:variant>
        <vt:lpwstr>https://ninfa-project.eu/</vt:lpwstr>
      </vt:variant>
      <vt:variant>
        <vt:lpwstr/>
      </vt:variant>
      <vt:variant>
        <vt:i4>8126516</vt:i4>
      </vt:variant>
      <vt:variant>
        <vt:i4>27</vt:i4>
      </vt:variant>
      <vt:variant>
        <vt:i4>0</vt:i4>
      </vt:variant>
      <vt:variant>
        <vt:i4>5</vt:i4>
      </vt:variant>
      <vt:variant>
        <vt:lpwstr>https://mar2protect.eu/</vt:lpwstr>
      </vt:variant>
      <vt:variant>
        <vt:lpwstr/>
      </vt:variant>
      <vt:variant>
        <vt:i4>524318</vt:i4>
      </vt:variant>
      <vt:variant>
        <vt:i4>24</vt:i4>
      </vt:variant>
      <vt:variant>
        <vt:i4>0</vt:i4>
      </vt:variant>
      <vt:variant>
        <vt:i4>5</vt:i4>
      </vt:variant>
      <vt:variant>
        <vt:lpwstr>https://zeropollution4water.eu/wp-content/uploads/2025/02/ZP4W_Deliverable_Policy-Brief-1.pdf</vt:lpwstr>
      </vt:variant>
      <vt:variant>
        <vt:lpwstr/>
      </vt:variant>
      <vt:variant>
        <vt:i4>1114136</vt:i4>
      </vt:variant>
      <vt:variant>
        <vt:i4>21</vt:i4>
      </vt:variant>
      <vt:variant>
        <vt:i4>0</vt:i4>
      </vt:variant>
      <vt:variant>
        <vt:i4>5</vt:i4>
      </vt:variant>
      <vt:variant>
        <vt:lpwstr>https://op.europa.eu/en/publication-detail/-/publication/075cf595-fe31-11ef-b7db-01aa75ed71a1/language-en</vt:lpwstr>
      </vt:variant>
      <vt:variant>
        <vt:lpwstr/>
      </vt:variant>
      <vt:variant>
        <vt:i4>6815794</vt:i4>
      </vt:variant>
      <vt:variant>
        <vt:i4>18</vt:i4>
      </vt:variant>
      <vt:variant>
        <vt:i4>0</vt:i4>
      </vt:variant>
      <vt:variant>
        <vt:i4>5</vt:i4>
      </vt:variant>
      <vt:variant>
        <vt:lpwstr>https://zeropollution4water.eu/</vt:lpwstr>
      </vt:variant>
      <vt:variant>
        <vt:lpwstr/>
      </vt:variant>
      <vt:variant>
        <vt:i4>4194335</vt:i4>
      </vt:variant>
      <vt:variant>
        <vt:i4>15</vt:i4>
      </vt:variant>
      <vt:variant>
        <vt:i4>0</vt:i4>
      </vt:variant>
      <vt:variant>
        <vt:i4>5</vt:i4>
      </vt:variant>
      <vt:variant>
        <vt:lpwstr>https://cor.europa.eu/en/news/all-stories?country=All&amp;amp;member_id=&amp;amp;political_priorities=891&amp;amp;region=All</vt:lpwstr>
      </vt:variant>
      <vt:variant>
        <vt:lpwstr/>
      </vt:variant>
      <vt:variant>
        <vt:i4>1376268</vt:i4>
      </vt:variant>
      <vt:variant>
        <vt:i4>12</vt:i4>
      </vt:variant>
      <vt:variant>
        <vt:i4>0</vt:i4>
      </vt:variant>
      <vt:variant>
        <vt:i4>5</vt:i4>
      </vt:variant>
      <vt:variant>
        <vt:lpwstr>https://webgate.ec.europa.eu/life/publicWebsite/project/LIFE18-PRE-IT-000003/vegetation-for-urban-green-air-quality-plans</vt:lpwstr>
      </vt:variant>
      <vt:variant>
        <vt:lpwstr/>
      </vt:variant>
      <vt:variant>
        <vt:i4>2687026</vt:i4>
      </vt:variant>
      <vt:variant>
        <vt:i4>9</vt:i4>
      </vt:variant>
      <vt:variant>
        <vt:i4>0</vt:i4>
      </vt:variant>
      <vt:variant>
        <vt:i4>5</vt:i4>
      </vt:variant>
      <vt:variant>
        <vt:lpwstr>https://greenlahti.fi/en/story</vt:lpwstr>
      </vt:variant>
      <vt:variant>
        <vt:lpwstr/>
      </vt:variant>
      <vt:variant>
        <vt:i4>2949189</vt:i4>
      </vt:variant>
      <vt:variant>
        <vt:i4>6</vt:i4>
      </vt:variant>
      <vt:variant>
        <vt:i4>0</vt:i4>
      </vt:variant>
      <vt:variant>
        <vt:i4>5</vt:i4>
      </vt:variant>
      <vt:variant>
        <vt:lpwstr>https://environment.ec.europa.eu/topics/urban-environment/green-city-accord/green-city-accord-good-practices/guimaraes-limpar_en?prefLang=en</vt:lpwstr>
      </vt:variant>
      <vt:variant>
        <vt:lpwstr/>
      </vt:variant>
      <vt:variant>
        <vt:i4>7471109</vt:i4>
      </vt:variant>
      <vt:variant>
        <vt:i4>3</vt:i4>
      </vt:variant>
      <vt:variant>
        <vt:i4>0</vt:i4>
      </vt:variant>
      <vt:variant>
        <vt:i4>5</vt:i4>
      </vt:variant>
      <vt:variant>
        <vt:lpwstr>https://environment.ec.europa.eu/publications/european-green-city-accords-report-progress-and-achievements-2020-2023_en</vt:lpwstr>
      </vt:variant>
      <vt:variant>
        <vt:lpwstr/>
      </vt:variant>
      <vt:variant>
        <vt:i4>4587560</vt:i4>
      </vt:variant>
      <vt:variant>
        <vt:i4>0</vt:i4>
      </vt:variant>
      <vt:variant>
        <vt:i4>0</vt:i4>
      </vt:variant>
      <vt:variant>
        <vt:i4>5</vt:i4>
      </vt:variant>
      <vt:variant>
        <vt:lpwstr>https://environment.ec.europa.eu/strategy/zero-pollution-action-plan/towards-zero-pollution-regions_en</vt:lpwstr>
      </vt:variant>
      <vt:variant>
        <vt:lpwstr/>
      </vt:variant>
      <vt:variant>
        <vt:i4>5898271</vt:i4>
      </vt:variant>
      <vt:variant>
        <vt:i4>246</vt:i4>
      </vt:variant>
      <vt:variant>
        <vt:i4>0</vt:i4>
      </vt:variant>
      <vt:variant>
        <vt:i4>5</vt:i4>
      </vt:variant>
      <vt:variant>
        <vt:lpwstr>https://doi.org/10.1016/j.jenvman.2025.126280</vt:lpwstr>
      </vt:variant>
      <vt:variant>
        <vt:lpwstr/>
      </vt:variant>
      <vt:variant>
        <vt:i4>5570585</vt:i4>
      </vt:variant>
      <vt:variant>
        <vt:i4>243</vt:i4>
      </vt:variant>
      <vt:variant>
        <vt:i4>0</vt:i4>
      </vt:variant>
      <vt:variant>
        <vt:i4>5</vt:i4>
      </vt:variant>
      <vt:variant>
        <vt:lpwstr>https://doi.org/10.1016/j.jenvman.2022.115738</vt:lpwstr>
      </vt:variant>
      <vt:variant>
        <vt:lpwstr/>
      </vt:variant>
      <vt:variant>
        <vt:i4>7733286</vt:i4>
      </vt:variant>
      <vt:variant>
        <vt:i4>240</vt:i4>
      </vt:variant>
      <vt:variant>
        <vt:i4>0</vt:i4>
      </vt:variant>
      <vt:variant>
        <vt:i4>5</vt:i4>
      </vt:variant>
      <vt:variant>
        <vt:lpwstr>https://atmosphere.copernicus.eu/ghg-services/cams-methane-hotspot-explorer</vt:lpwstr>
      </vt:variant>
      <vt:variant>
        <vt:lpwstr/>
      </vt:variant>
      <vt:variant>
        <vt:i4>4128818</vt:i4>
      </vt:variant>
      <vt:variant>
        <vt:i4>237</vt:i4>
      </vt:variant>
      <vt:variant>
        <vt:i4>0</vt:i4>
      </vt:variant>
      <vt:variant>
        <vt:i4>5</vt:i4>
      </vt:variant>
      <vt:variant>
        <vt:lpwstr>https://www.ccacoalition.org/news/factsheet-2024-global-methane-pledge-ministerial</vt:lpwstr>
      </vt:variant>
      <vt:variant>
        <vt:lpwstr/>
      </vt:variant>
      <vt:variant>
        <vt:i4>5570635</vt:i4>
      </vt:variant>
      <vt:variant>
        <vt:i4>234</vt:i4>
      </vt:variant>
      <vt:variant>
        <vt:i4>0</vt:i4>
      </vt:variant>
      <vt:variant>
        <vt:i4>5</vt:i4>
      </vt:variant>
      <vt:variant>
        <vt:lpwstr>https://www.cbd.int/gbf/targets/7</vt:lpwstr>
      </vt:variant>
      <vt:variant>
        <vt:lpwstr/>
      </vt:variant>
      <vt:variant>
        <vt:i4>852051</vt:i4>
      </vt:variant>
      <vt:variant>
        <vt:i4>231</vt:i4>
      </vt:variant>
      <vt:variant>
        <vt:i4>0</vt:i4>
      </vt:variant>
      <vt:variant>
        <vt:i4>5</vt:i4>
      </vt:variant>
      <vt:variant>
        <vt:lpwstr>https://education.ec.europa.eu/news/learning-for-the-green-transition-and-sustainable-development</vt:lpwstr>
      </vt:variant>
      <vt:variant>
        <vt:lpwstr/>
      </vt:variant>
      <vt:variant>
        <vt:i4>7536737</vt:i4>
      </vt:variant>
      <vt:variant>
        <vt:i4>228</vt:i4>
      </vt:variant>
      <vt:variant>
        <vt:i4>0</vt:i4>
      </vt:variant>
      <vt:variant>
        <vt:i4>5</vt:i4>
      </vt:variant>
      <vt:variant>
        <vt:lpwstr>https://op.europa.eu/webpub/empl/esde-2024/</vt:lpwstr>
      </vt:variant>
      <vt:variant>
        <vt:lpwstr>inline-nav-2</vt:lpwstr>
      </vt:variant>
      <vt:variant>
        <vt:i4>7340145</vt:i4>
      </vt:variant>
      <vt:variant>
        <vt:i4>225</vt:i4>
      </vt:variant>
      <vt:variant>
        <vt:i4>0</vt:i4>
      </vt:variant>
      <vt:variant>
        <vt:i4>5</vt:i4>
      </vt:variant>
      <vt:variant>
        <vt:lpwstr>https://doi.org/10.1787/28fa0bb5-en</vt:lpwstr>
      </vt:variant>
      <vt:variant>
        <vt:lpwstr/>
      </vt:variant>
      <vt:variant>
        <vt:i4>8323132</vt:i4>
      </vt:variant>
      <vt:variant>
        <vt:i4>222</vt:i4>
      </vt:variant>
      <vt:variant>
        <vt:i4>0</vt:i4>
      </vt:variant>
      <vt:variant>
        <vt:i4>5</vt:i4>
      </vt:variant>
      <vt:variant>
        <vt:lpwstr>https://www.cedefop.europa.eu/it/publications/4213</vt:lpwstr>
      </vt:variant>
      <vt:variant>
        <vt:lpwstr/>
      </vt:variant>
      <vt:variant>
        <vt:i4>7864419</vt:i4>
      </vt:variant>
      <vt:variant>
        <vt:i4>219</vt:i4>
      </vt:variant>
      <vt:variant>
        <vt:i4>0</vt:i4>
      </vt:variant>
      <vt:variant>
        <vt:i4>5</vt:i4>
      </vt:variant>
      <vt:variant>
        <vt:lpwstr>https://ec.europa.eu/commission/presscorner/detail/en/ip_23_6413</vt:lpwstr>
      </vt:variant>
      <vt:variant>
        <vt:lpwstr/>
      </vt:variant>
      <vt:variant>
        <vt:i4>131157</vt:i4>
      </vt:variant>
      <vt:variant>
        <vt:i4>216</vt:i4>
      </vt:variant>
      <vt:variant>
        <vt:i4>0</vt:i4>
      </vt:variant>
      <vt:variant>
        <vt:i4>5</vt:i4>
      </vt:variant>
      <vt:variant>
        <vt:lpwstr>https://www.ds4sscc.eu/pilotoverview</vt:lpwstr>
      </vt:variant>
      <vt:variant>
        <vt:lpwstr/>
      </vt:variant>
      <vt:variant>
        <vt:i4>2031638</vt:i4>
      </vt:variant>
      <vt:variant>
        <vt:i4>213</vt:i4>
      </vt:variant>
      <vt:variant>
        <vt:i4>0</vt:i4>
      </vt:variant>
      <vt:variant>
        <vt:i4>5</vt:i4>
      </vt:variant>
      <vt:variant>
        <vt:lpwstr>https://www.greatproject.eu/</vt:lpwstr>
      </vt:variant>
      <vt:variant>
        <vt:lpwstr/>
      </vt:variant>
      <vt:variant>
        <vt:i4>1114176</vt:i4>
      </vt:variant>
      <vt:variant>
        <vt:i4>210</vt:i4>
      </vt:variant>
      <vt:variant>
        <vt:i4>0</vt:i4>
      </vt:variant>
      <vt:variant>
        <vt:i4>5</vt:i4>
      </vt:variant>
      <vt:variant>
        <vt:lpwstr>https://www.greendealdata.eu/</vt:lpwstr>
      </vt:variant>
      <vt:variant>
        <vt:lpwstr/>
      </vt:variant>
      <vt:variant>
        <vt:i4>7208981</vt:i4>
      </vt:variant>
      <vt:variant>
        <vt:i4>207</vt:i4>
      </vt:variant>
      <vt:variant>
        <vt:i4>0</vt:i4>
      </vt:variant>
      <vt:variant>
        <vt:i4>5</vt:i4>
      </vt:variant>
      <vt:variant>
        <vt:lpwstr>https://research-and-innovation.ec.europa.eu/funding/funding-opportunities/funding-programmes-and-open-calls/horizon-europe/eu-missions-horizon-europe/restore-our-ocean-and-waters/european-digital-twin-ocean-european-dto_en</vt:lpwstr>
      </vt:variant>
      <vt:variant>
        <vt:lpwstr/>
      </vt:variant>
      <vt:variant>
        <vt:i4>2687073</vt:i4>
      </vt:variant>
      <vt:variant>
        <vt:i4>204</vt:i4>
      </vt:variant>
      <vt:variant>
        <vt:i4>0</vt:i4>
      </vt:variant>
      <vt:variant>
        <vt:i4>5</vt:i4>
      </vt:variant>
      <vt:variant>
        <vt:lpwstr>https://digital-strategy.ec.europa.eu/en/policies/destination-earth</vt:lpwstr>
      </vt:variant>
      <vt:variant>
        <vt:lpwstr/>
      </vt:variant>
      <vt:variant>
        <vt:i4>7471225</vt:i4>
      </vt:variant>
      <vt:variant>
        <vt:i4>201</vt:i4>
      </vt:variant>
      <vt:variant>
        <vt:i4>0</vt:i4>
      </vt:variant>
      <vt:variant>
        <vt:i4>5</vt:i4>
      </vt:variant>
      <vt:variant>
        <vt:lpwstr>https://environment.ec.europa.eu/document/download/6cb7a8f8-8974-4b08-9f5e-0585066cd973_en?filename=ENOLL_Recommendations_ZP_flagship_7_formatted.pdf</vt:lpwstr>
      </vt:variant>
      <vt:variant>
        <vt:lpwstr/>
      </vt:variant>
      <vt:variant>
        <vt:i4>7077938</vt:i4>
      </vt:variant>
      <vt:variant>
        <vt:i4>198</vt:i4>
      </vt:variant>
      <vt:variant>
        <vt:i4>0</vt:i4>
      </vt:variant>
      <vt:variant>
        <vt:i4>5</vt:i4>
      </vt:variant>
      <vt:variant>
        <vt:lpwstr>https://www.eea.europa.eu/en/analysis/publications/zero-pollution-monitoring-and-outlook-report</vt:lpwstr>
      </vt:variant>
      <vt:variant>
        <vt:lpwstr/>
      </vt:variant>
      <vt:variant>
        <vt:i4>4915252</vt:i4>
      </vt:variant>
      <vt:variant>
        <vt:i4>195</vt:i4>
      </vt:variant>
      <vt:variant>
        <vt:i4>0</vt:i4>
      </vt:variant>
      <vt:variant>
        <vt:i4>5</vt:i4>
      </vt:variant>
      <vt:variant>
        <vt:lpwstr>https://dashboard.tech.ec.europa.eu/qs_digit_dashboard_mt/public/sense/app/8298c020-48a6-4b84-91f4-f6f2665c0f99/sheet/d2820200-d4d9-4a26-b23b-58e323c803c2/state/analysis</vt:lpwstr>
      </vt:variant>
      <vt:variant>
        <vt:lpwstr/>
      </vt:variant>
      <vt:variant>
        <vt:i4>6029361</vt:i4>
      </vt:variant>
      <vt:variant>
        <vt:i4>192</vt:i4>
      </vt:variant>
      <vt:variant>
        <vt:i4>0</vt:i4>
      </vt:variant>
      <vt:variant>
        <vt:i4>5</vt:i4>
      </vt:variant>
      <vt:variant>
        <vt:lpwstr>https://research-and-innovation.ec.europa.eu/document/c9d4c0b5-f85e-4599-986d-e6b2438229fc_en</vt:lpwstr>
      </vt:variant>
      <vt:variant>
        <vt:lpwstr/>
      </vt:variant>
      <vt:variant>
        <vt:i4>1638432</vt:i4>
      </vt:variant>
      <vt:variant>
        <vt:i4>189</vt:i4>
      </vt:variant>
      <vt:variant>
        <vt:i4>0</vt:i4>
      </vt:variant>
      <vt:variant>
        <vt:i4>5</vt:i4>
      </vt:variant>
      <vt:variant>
        <vt:lpwstr>https://research-and-innovation.ec.europa.eu/research-area/industrial-research-and-innovation/chemicals-and-advanced-materials/safe-and-sustainable-design_en</vt:lpwstr>
      </vt:variant>
      <vt:variant>
        <vt:lpwstr/>
      </vt:variant>
      <vt:variant>
        <vt:i4>131100</vt:i4>
      </vt:variant>
      <vt:variant>
        <vt:i4>186</vt:i4>
      </vt:variant>
      <vt:variant>
        <vt:i4>0</vt:i4>
      </vt:variant>
      <vt:variant>
        <vt:i4>5</vt:i4>
      </vt:variant>
      <vt:variant>
        <vt:lpwstr>https://innovation-centre-for-industrial-transformation.ec.europa.eu/</vt:lpwstr>
      </vt:variant>
      <vt:variant>
        <vt:lpwstr/>
      </vt:variant>
      <vt:variant>
        <vt:i4>5701694</vt:i4>
      </vt:variant>
      <vt:variant>
        <vt:i4>183</vt:i4>
      </vt:variant>
      <vt:variant>
        <vt:i4>0</vt:i4>
      </vt:variant>
      <vt:variant>
        <vt:i4>5</vt:i4>
      </vt:variant>
      <vt:variant>
        <vt:lpwstr>https://finance.ec.europa.eu/sustainable-finance/tools-and-standards/eu-taxonomy-sustainable-activities/eu-taxonomys-uptake-ground_en</vt:lpwstr>
      </vt:variant>
      <vt:variant>
        <vt:lpwstr/>
      </vt:variant>
      <vt:variant>
        <vt:i4>6160419</vt:i4>
      </vt:variant>
      <vt:variant>
        <vt:i4>180</vt:i4>
      </vt:variant>
      <vt:variant>
        <vt:i4>0</vt:i4>
      </vt:variant>
      <vt:variant>
        <vt:i4>5</vt:i4>
      </vt:variant>
      <vt:variant>
        <vt:lpwstr>https://commission.europa.eu/publications/2024-european-semester-spring-package_en</vt:lpwstr>
      </vt:variant>
      <vt:variant>
        <vt:lpwstr/>
      </vt:variant>
      <vt:variant>
        <vt:i4>6225963</vt:i4>
      </vt:variant>
      <vt:variant>
        <vt:i4>177</vt:i4>
      </vt:variant>
      <vt:variant>
        <vt:i4>0</vt:i4>
      </vt:variant>
      <vt:variant>
        <vt:i4>5</vt:i4>
      </vt:variant>
      <vt:variant>
        <vt:lpwstr>https://taxation-customs.ec.europa.eu/taxation/economic-analysis/annual-report-taxation_en</vt:lpwstr>
      </vt:variant>
      <vt:variant>
        <vt:lpwstr/>
      </vt:variant>
      <vt:variant>
        <vt:i4>6029433</vt:i4>
      </vt:variant>
      <vt:variant>
        <vt:i4>174</vt:i4>
      </vt:variant>
      <vt:variant>
        <vt:i4>0</vt:i4>
      </vt:variant>
      <vt:variant>
        <vt:i4>5</vt:i4>
      </vt:variant>
      <vt:variant>
        <vt:lpwstr>https://commission.europa.eu/news-and-media/news/eu-budget-2028-2034-stronger-europe-2025-07-16_en</vt:lpwstr>
      </vt:variant>
      <vt:variant>
        <vt:lpwstr/>
      </vt:variant>
      <vt:variant>
        <vt:i4>7405636</vt:i4>
      </vt:variant>
      <vt:variant>
        <vt:i4>171</vt:i4>
      </vt:variant>
      <vt:variant>
        <vt:i4>0</vt:i4>
      </vt:variant>
      <vt:variant>
        <vt:i4>5</vt:i4>
      </vt:variant>
      <vt:variant>
        <vt:lpwstr>https://commission.europa.eu/strategy-and-policy/eu-budget/performance-and-reporting/horizontal-priorities/green-budgeting/clean-air-tracking_en</vt:lpwstr>
      </vt:variant>
      <vt:variant>
        <vt:lpwstr/>
      </vt:variant>
      <vt:variant>
        <vt:i4>3407990</vt:i4>
      </vt:variant>
      <vt:variant>
        <vt:i4>168</vt:i4>
      </vt:variant>
      <vt:variant>
        <vt:i4>0</vt:i4>
      </vt:variant>
      <vt:variant>
        <vt:i4>5</vt:i4>
      </vt:variant>
      <vt:variant>
        <vt:lpwstr>https://ec.europa.eu/regional_policy/information-sources/publications/communications/2025/a-modernised-cohesion-policy-the-mid-term-review_en</vt:lpwstr>
      </vt:variant>
      <vt:variant>
        <vt:lpwstr/>
      </vt:variant>
      <vt:variant>
        <vt:i4>3932217</vt:i4>
      </vt:variant>
      <vt:variant>
        <vt:i4>165</vt:i4>
      </vt:variant>
      <vt:variant>
        <vt:i4>0</vt:i4>
      </vt:variant>
      <vt:variant>
        <vt:i4>5</vt:i4>
      </vt:variant>
      <vt:variant>
        <vt:lpwstr>https://op.europa.eu/en/publication-detail/-/publication/4dead000-263d-11f0-8a44-01aa75ed71a1/language-en</vt:lpwstr>
      </vt:variant>
      <vt:variant>
        <vt:lpwstr>:~:text=This%20study%20has%20estimated%20the%20costs%20%28foregone%20benefits%29,et%20al.%20%282019%29%2C%20and%20COWI%20et%20al.%20%282011%29%29.</vt:lpwstr>
      </vt:variant>
      <vt:variant>
        <vt:i4>1835094</vt:i4>
      </vt:variant>
      <vt:variant>
        <vt:i4>162</vt:i4>
      </vt:variant>
      <vt:variant>
        <vt:i4>0</vt:i4>
      </vt:variant>
      <vt:variant>
        <vt:i4>5</vt:i4>
      </vt:variant>
      <vt:variant>
        <vt:lpwstr>https://environment.ec.europa.eu/app/eir-dashboard-on-environmental-investment-needs-and-gaps</vt:lpwstr>
      </vt:variant>
      <vt:variant>
        <vt:lpwstr/>
      </vt:variant>
      <vt:variant>
        <vt:i4>5701745</vt:i4>
      </vt:variant>
      <vt:variant>
        <vt:i4>159</vt:i4>
      </vt:variant>
      <vt:variant>
        <vt:i4>0</vt:i4>
      </vt:variant>
      <vt:variant>
        <vt:i4>5</vt:i4>
      </vt:variant>
      <vt:variant>
        <vt:lpwstr>https://environment.ec.europa.eu/law-and-governance/environmental-implementation-review/peer-2-peer_en</vt:lpwstr>
      </vt:variant>
      <vt:variant>
        <vt:lpwstr/>
      </vt:variant>
      <vt:variant>
        <vt:i4>5374018</vt:i4>
      </vt:variant>
      <vt:variant>
        <vt:i4>156</vt:i4>
      </vt:variant>
      <vt:variant>
        <vt:i4>0</vt:i4>
      </vt:variant>
      <vt:variant>
        <vt:i4>5</vt:i4>
      </vt:variant>
      <vt:variant>
        <vt:lpwstr>https://cor.europa.eu/en/our-work/political-priorities/green-deal-going-local/zero-pollution-going-local</vt:lpwstr>
      </vt:variant>
      <vt:variant>
        <vt:lpwstr/>
      </vt:variant>
      <vt:variant>
        <vt:i4>4718707</vt:i4>
      </vt:variant>
      <vt:variant>
        <vt:i4>153</vt:i4>
      </vt:variant>
      <vt:variant>
        <vt:i4>0</vt:i4>
      </vt:variant>
      <vt:variant>
        <vt:i4>5</vt:i4>
      </vt:variant>
      <vt:variant>
        <vt:lpwstr>https://environment.ec.europa.eu/law-and-governance/environmental-implementation-review_en</vt:lpwstr>
      </vt:variant>
      <vt:variant>
        <vt:lpwstr/>
      </vt:variant>
      <vt:variant>
        <vt:i4>196701</vt:i4>
      </vt:variant>
      <vt:variant>
        <vt:i4>150</vt:i4>
      </vt:variant>
      <vt:variant>
        <vt:i4>0</vt:i4>
      </vt:variant>
      <vt:variant>
        <vt:i4>5</vt:i4>
      </vt:variant>
      <vt:variant>
        <vt:lpwstr>https://www.eea.europa.eu/en/european-zero-pollution-dashboards/chemicals-strategy-for-sustainability</vt:lpwstr>
      </vt:variant>
      <vt:variant>
        <vt:lpwstr/>
      </vt:variant>
      <vt:variant>
        <vt:i4>7667826</vt:i4>
      </vt:variant>
      <vt:variant>
        <vt:i4>147</vt:i4>
      </vt:variant>
      <vt:variant>
        <vt:i4>0</vt:i4>
      </vt:variant>
      <vt:variant>
        <vt:i4>5</vt:i4>
      </vt:variant>
      <vt:variant>
        <vt:lpwstr>https://echa.europa.eu/hot-topics/perfluoroalkyl-chemicals-pfas</vt:lpwstr>
      </vt:variant>
      <vt:variant>
        <vt:lpwstr/>
      </vt:variant>
      <vt:variant>
        <vt:i4>8061032</vt:i4>
      </vt:variant>
      <vt:variant>
        <vt:i4>144</vt:i4>
      </vt:variant>
      <vt:variant>
        <vt:i4>0</vt:i4>
      </vt:variant>
      <vt:variant>
        <vt:i4>5</vt:i4>
      </vt:variant>
      <vt:variant>
        <vt:lpwstr>https://ec.europa.eu/commission/presscorner/detail/en/ip_25_2286</vt:lpwstr>
      </vt:variant>
      <vt:variant>
        <vt:lpwstr/>
      </vt:variant>
      <vt:variant>
        <vt:i4>2031693</vt:i4>
      </vt:variant>
      <vt:variant>
        <vt:i4>141</vt:i4>
      </vt:variant>
      <vt:variant>
        <vt:i4>0</vt:i4>
      </vt:variant>
      <vt:variant>
        <vt:i4>5</vt:i4>
      </vt:variant>
      <vt:variant>
        <vt:lpwstr>https://www.consilium.europa.eu/en/press/press-releases/2025/09/23/water-pollution-council-and-parliament-reach-provisional-deal-to-update-priority-substances-in-surface-and-ground-waters/</vt:lpwstr>
      </vt:variant>
      <vt:variant>
        <vt:lpwstr/>
      </vt:variant>
      <vt:variant>
        <vt:i4>3539055</vt:i4>
      </vt:variant>
      <vt:variant>
        <vt:i4>138</vt:i4>
      </vt:variant>
      <vt:variant>
        <vt:i4>0</vt:i4>
      </vt:variant>
      <vt:variant>
        <vt:i4>5</vt:i4>
      </vt:variant>
      <vt:variant>
        <vt:lpwstr>https://echa.europa.eu/registry-of-clh-intentions-until-outcome/-/dislist/details/0b0236e188e8d4b8</vt:lpwstr>
      </vt:variant>
      <vt:variant>
        <vt:lpwstr/>
      </vt:variant>
      <vt:variant>
        <vt:i4>4456474</vt:i4>
      </vt:variant>
      <vt:variant>
        <vt:i4>135</vt:i4>
      </vt:variant>
      <vt:variant>
        <vt:i4>0</vt:i4>
      </vt:variant>
      <vt:variant>
        <vt:i4>5</vt:i4>
      </vt:variant>
      <vt:variant>
        <vt:lpwstr>https://www.eea.europa.eu/en/european-zero-pollution-dashboards/indicators/emission-from-waste-management-facilities</vt:lpwstr>
      </vt:variant>
      <vt:variant>
        <vt:lpwstr/>
      </vt:variant>
      <vt:variant>
        <vt:i4>786447</vt:i4>
      </vt:variant>
      <vt:variant>
        <vt:i4>132</vt:i4>
      </vt:variant>
      <vt:variant>
        <vt:i4>0</vt:i4>
      </vt:variant>
      <vt:variant>
        <vt:i4>5</vt:i4>
      </vt:variant>
      <vt:variant>
        <vt:lpwstr>https://www.eea.europa.eu/en/european-zero-pollution-dashboards/indicators/pfas-contamination-and-soil-remediation-signal</vt:lpwstr>
      </vt:variant>
      <vt:variant>
        <vt:lpwstr/>
      </vt:variant>
      <vt:variant>
        <vt:i4>131087</vt:i4>
      </vt:variant>
      <vt:variant>
        <vt:i4>129</vt:i4>
      </vt:variant>
      <vt:variant>
        <vt:i4>0</vt:i4>
      </vt:variant>
      <vt:variant>
        <vt:i4>5</vt:i4>
      </vt:variant>
      <vt:variant>
        <vt:lpwstr>https://www.eea.europa.eu/en/european-zero-pollution-dashboards/indicators/treatment-of-drinking-water-to-remove-pfas-signal</vt:lpwstr>
      </vt:variant>
      <vt:variant>
        <vt:lpwstr/>
      </vt:variant>
      <vt:variant>
        <vt:i4>7077938</vt:i4>
      </vt:variant>
      <vt:variant>
        <vt:i4>126</vt:i4>
      </vt:variant>
      <vt:variant>
        <vt:i4>0</vt:i4>
      </vt:variant>
      <vt:variant>
        <vt:i4>5</vt:i4>
      </vt:variant>
      <vt:variant>
        <vt:lpwstr>https://www.eea.europa.eu/en/analysis/publications/zero-pollution-monitoring-and-outlook-report</vt:lpwstr>
      </vt:variant>
      <vt:variant>
        <vt:lpwstr/>
      </vt:variant>
      <vt:variant>
        <vt:i4>3866627</vt:i4>
      </vt:variant>
      <vt:variant>
        <vt:i4>123</vt:i4>
      </vt:variant>
      <vt:variant>
        <vt:i4>0</vt:i4>
      </vt:variant>
      <vt:variant>
        <vt:i4>5</vt:i4>
      </vt:variant>
      <vt:variant>
        <vt:lpwstr>https://health.ec.europa.eu/medicinal-products/legal-framework-governing-medicinal-products-human-use-eu/reform-eu-pharmaceutical-legislation_en</vt:lpwstr>
      </vt:variant>
      <vt:variant>
        <vt:lpwstr/>
      </vt:variant>
      <vt:variant>
        <vt:i4>3473493</vt:i4>
      </vt:variant>
      <vt:variant>
        <vt:i4>120</vt:i4>
      </vt:variant>
      <vt:variant>
        <vt:i4>0</vt:i4>
      </vt:variant>
      <vt:variant>
        <vt:i4>5</vt:i4>
      </vt:variant>
      <vt:variant>
        <vt:lpwstr>https://health.ec.europa.eu/medicinal-products/pharmaceutical-strategy-europe_en</vt:lpwstr>
      </vt:variant>
      <vt:variant>
        <vt:lpwstr/>
      </vt:variant>
      <vt:variant>
        <vt:i4>2687098</vt:i4>
      </vt:variant>
      <vt:variant>
        <vt:i4>117</vt:i4>
      </vt:variant>
      <vt:variant>
        <vt:i4>0</vt:i4>
      </vt:variant>
      <vt:variant>
        <vt:i4>5</vt:i4>
      </vt:variant>
      <vt:variant>
        <vt:lpwstr>https://doi.org/10.1016/j.scitotenv.2022.157124</vt:lpwstr>
      </vt:variant>
      <vt:variant>
        <vt:lpwstr/>
      </vt:variant>
      <vt:variant>
        <vt:i4>6226001</vt:i4>
      </vt:variant>
      <vt:variant>
        <vt:i4>114</vt:i4>
      </vt:variant>
      <vt:variant>
        <vt:i4>0</vt:i4>
      </vt:variant>
      <vt:variant>
        <vt:i4>5</vt:i4>
      </vt:variant>
      <vt:variant>
        <vt:lpwstr>https://doi.org/10.1016/j.envint.2022.107608</vt:lpwstr>
      </vt:variant>
      <vt:variant>
        <vt:lpwstr/>
      </vt:variant>
      <vt:variant>
        <vt:i4>544800873</vt:i4>
      </vt:variant>
      <vt:variant>
        <vt:i4>111</vt:i4>
      </vt:variant>
      <vt:variant>
        <vt:i4>0</vt:i4>
      </vt:variant>
      <vt:variant>
        <vt:i4>5</vt:i4>
      </vt:variant>
      <vt:variant>
        <vt:lpwstr>https://eceuropaeu-my.sharepoint.com/personal/joachim_d'eugenio_ec_europa_eu/Documents/0 Dir C folder/0-zero pollution/Planning/2025_Review/Mixtures of chemicals in Europe’s rivers and lakes</vt:lpwstr>
      </vt:variant>
      <vt:variant>
        <vt:lpwstr/>
      </vt:variant>
      <vt:variant>
        <vt:i4>4325390</vt:i4>
      </vt:variant>
      <vt:variant>
        <vt:i4>108</vt:i4>
      </vt:variant>
      <vt:variant>
        <vt:i4>0</vt:i4>
      </vt:variant>
      <vt:variant>
        <vt:i4>5</vt:i4>
      </vt:variant>
      <vt:variant>
        <vt:lpwstr>https://www.env-health.org/new-report-chemical-pollution-driving-mens-health-crisis/</vt:lpwstr>
      </vt:variant>
      <vt:variant>
        <vt:lpwstr/>
      </vt:variant>
      <vt:variant>
        <vt:i4>1114178</vt:i4>
      </vt:variant>
      <vt:variant>
        <vt:i4>105</vt:i4>
      </vt:variant>
      <vt:variant>
        <vt:i4>0</vt:i4>
      </vt:variant>
      <vt:variant>
        <vt:i4>5</vt:i4>
      </vt:variant>
      <vt:variant>
        <vt:lpwstr>https://www.eea.europa.eu/en/european-zero-pollution-dashboards/indicators/risk-of-chemical-mixtures-in-humans?activeTab=265e2bee-7de3-46e8-b6ee-76005f3f434f</vt:lpwstr>
      </vt:variant>
      <vt:variant>
        <vt:lpwstr/>
      </vt:variant>
      <vt:variant>
        <vt:i4>5046367</vt:i4>
      </vt:variant>
      <vt:variant>
        <vt:i4>102</vt:i4>
      </vt:variant>
      <vt:variant>
        <vt:i4>0</vt:i4>
      </vt:variant>
      <vt:variant>
        <vt:i4>5</vt:i4>
      </vt:variant>
      <vt:variant>
        <vt:lpwstr>https://www.eca.europa.eu/en/publications?ref=SR-2025-02</vt:lpwstr>
      </vt:variant>
      <vt:variant>
        <vt:lpwstr/>
      </vt:variant>
      <vt:variant>
        <vt:i4>6357001</vt:i4>
      </vt:variant>
      <vt:variant>
        <vt:i4>99</vt:i4>
      </vt:variant>
      <vt:variant>
        <vt:i4>0</vt:i4>
      </vt:variant>
      <vt:variant>
        <vt:i4>5</vt:i4>
      </vt:variant>
      <vt:variant>
        <vt:lpwstr>https://transport.ec.europa.eu/news-events/news/commission-welcomes-political-agreement-new-rules-harmonise-transport-emissions-calculations-eu-2025-11-06_en</vt:lpwstr>
      </vt:variant>
      <vt:variant>
        <vt:lpwstr>:~:text=The%20European%20Commission%20welcomes%20the%20political%20agreement%20reached,calculating%20greenhouse%E2%80%91gas%20emissions%20from%20freight%20and%20passenger%20transport.</vt:lpwstr>
      </vt:variant>
      <vt:variant>
        <vt:i4>8126571</vt:i4>
      </vt:variant>
      <vt:variant>
        <vt:i4>93</vt:i4>
      </vt:variant>
      <vt:variant>
        <vt:i4>0</vt:i4>
      </vt:variant>
      <vt:variant>
        <vt:i4>5</vt:i4>
      </vt:variant>
      <vt:variant>
        <vt:lpwstr>https://ec.europa.eu/commission/presscorner/detail/en/ip_25_1083</vt:lpwstr>
      </vt:variant>
      <vt:variant>
        <vt:lpwstr/>
      </vt:variant>
      <vt:variant>
        <vt:i4>2818165</vt:i4>
      </vt:variant>
      <vt:variant>
        <vt:i4>90</vt:i4>
      </vt:variant>
      <vt:variant>
        <vt:i4>0</vt:i4>
      </vt:variant>
      <vt:variant>
        <vt:i4>5</vt:i4>
      </vt:variant>
      <vt:variant>
        <vt:lpwstr>https://www.eea.europa.eu/en/analysis/publications/from-source-to-sea-the-untold-story-of-marine-litter</vt:lpwstr>
      </vt:variant>
      <vt:variant>
        <vt:lpwstr/>
      </vt:variant>
      <vt:variant>
        <vt:i4>983108</vt:i4>
      </vt:variant>
      <vt:variant>
        <vt:i4>87</vt:i4>
      </vt:variant>
      <vt:variant>
        <vt:i4>0</vt:i4>
      </vt:variant>
      <vt:variant>
        <vt:i4>5</vt:i4>
      </vt:variant>
      <vt:variant>
        <vt:lpwstr>https://publications.jrc.ec.europa.eu/repository/handle/JRC139655</vt:lpwstr>
      </vt:variant>
      <vt:variant>
        <vt:lpwstr/>
      </vt:variant>
      <vt:variant>
        <vt:i4>7077938</vt:i4>
      </vt:variant>
      <vt:variant>
        <vt:i4>84</vt:i4>
      </vt:variant>
      <vt:variant>
        <vt:i4>0</vt:i4>
      </vt:variant>
      <vt:variant>
        <vt:i4>5</vt:i4>
      </vt:variant>
      <vt:variant>
        <vt:lpwstr>https://www.eea.europa.eu/en/analysis/publications/zero-pollution-monitoring-and-outlook-report</vt:lpwstr>
      </vt:variant>
      <vt:variant>
        <vt:lpwstr/>
      </vt:variant>
      <vt:variant>
        <vt:i4>196701</vt:i4>
      </vt:variant>
      <vt:variant>
        <vt:i4>81</vt:i4>
      </vt:variant>
      <vt:variant>
        <vt:i4>0</vt:i4>
      </vt:variant>
      <vt:variant>
        <vt:i4>5</vt:i4>
      </vt:variant>
      <vt:variant>
        <vt:lpwstr>https://www.eea.europa.eu/en/european-zero-pollution-dashboards/chemicals-strategy-for-sustainability</vt:lpwstr>
      </vt:variant>
      <vt:variant>
        <vt:lpwstr/>
      </vt:variant>
      <vt:variant>
        <vt:i4>6553719</vt:i4>
      </vt:variant>
      <vt:variant>
        <vt:i4>78</vt:i4>
      </vt:variant>
      <vt:variant>
        <vt:i4>0</vt:i4>
      </vt:variant>
      <vt:variant>
        <vt:i4>5</vt:i4>
      </vt:variant>
      <vt:variant>
        <vt:lpwstr>https://www.eea.europa.eu/en/newsroom/news/make-chemicals-safe-and-sustainable</vt:lpwstr>
      </vt:variant>
      <vt:variant>
        <vt:lpwstr/>
      </vt:variant>
      <vt:variant>
        <vt:i4>2490435</vt:i4>
      </vt:variant>
      <vt:variant>
        <vt:i4>75</vt:i4>
      </vt:variant>
      <vt:variant>
        <vt:i4>0</vt:i4>
      </vt:variant>
      <vt:variant>
        <vt:i4>5</vt:i4>
      </vt:variant>
      <vt:variant>
        <vt:lpwstr>https://environment.ec.europa.eu/topics/air/clean-air-outlook_en</vt:lpwstr>
      </vt:variant>
      <vt:variant>
        <vt:lpwstr/>
      </vt:variant>
      <vt:variant>
        <vt:i4>5505142</vt:i4>
      </vt:variant>
      <vt:variant>
        <vt:i4>72</vt:i4>
      </vt:variant>
      <vt:variant>
        <vt:i4>0</vt:i4>
      </vt:variant>
      <vt:variant>
        <vt:i4>5</vt:i4>
      </vt:variant>
      <vt:variant>
        <vt:lpwstr>https://environment.ec.europa.eu/strategy/zero-pollution-action-plan/zero-pollution-targets_en</vt:lpwstr>
      </vt:variant>
      <vt:variant>
        <vt:lpwstr/>
      </vt:variant>
      <vt:variant>
        <vt:i4>196693</vt:i4>
      </vt:variant>
      <vt:variant>
        <vt:i4>69</vt:i4>
      </vt:variant>
      <vt:variant>
        <vt:i4>0</vt:i4>
      </vt:variant>
      <vt:variant>
        <vt:i4>5</vt:i4>
      </vt:variant>
      <vt:variant>
        <vt:lpwstr>https://eur-lex.europa.eu/legal-content/EN/TXT/?uri=COM:2022:674:FIN</vt:lpwstr>
      </vt:variant>
      <vt:variant>
        <vt:lpwstr/>
      </vt:variant>
      <vt:variant>
        <vt:i4>7077938</vt:i4>
      </vt:variant>
      <vt:variant>
        <vt:i4>66</vt:i4>
      </vt:variant>
      <vt:variant>
        <vt:i4>0</vt:i4>
      </vt:variant>
      <vt:variant>
        <vt:i4>5</vt:i4>
      </vt:variant>
      <vt:variant>
        <vt:lpwstr>https://www.eea.europa.eu/en/analysis/publications/zero-pollution-monitoring-and-outlook-report</vt:lpwstr>
      </vt:variant>
      <vt:variant>
        <vt:lpwstr/>
      </vt:variant>
      <vt:variant>
        <vt:i4>2293784</vt:i4>
      </vt:variant>
      <vt:variant>
        <vt:i4>63</vt:i4>
      </vt:variant>
      <vt:variant>
        <vt:i4>0</vt:i4>
      </vt:variant>
      <vt:variant>
        <vt:i4>5</vt:i4>
      </vt:variant>
      <vt:variant>
        <vt:lpwstr>https://environment.ec.europa.eu/strategy/zero-pollution-stakeholder-platform/actions_en</vt:lpwstr>
      </vt:variant>
      <vt:variant>
        <vt:lpwstr/>
      </vt:variant>
      <vt:variant>
        <vt:i4>2293784</vt:i4>
      </vt:variant>
      <vt:variant>
        <vt:i4>60</vt:i4>
      </vt:variant>
      <vt:variant>
        <vt:i4>0</vt:i4>
      </vt:variant>
      <vt:variant>
        <vt:i4>5</vt:i4>
      </vt:variant>
      <vt:variant>
        <vt:lpwstr>https://environment.ec.europa.eu/strategy/zero-pollution-stakeholder-platform/actions_en</vt:lpwstr>
      </vt:variant>
      <vt:variant>
        <vt:lpwstr/>
      </vt:variant>
      <vt:variant>
        <vt:i4>5898240</vt:i4>
      </vt:variant>
      <vt:variant>
        <vt:i4>57</vt:i4>
      </vt:variant>
      <vt:variant>
        <vt:i4>0</vt:i4>
      </vt:variant>
      <vt:variant>
        <vt:i4>5</vt:i4>
      </vt:variant>
      <vt:variant>
        <vt:lpwstr>https://www.eea.europa.eu/en/analysis/publications/environmental-noise-in-europe-2025</vt:lpwstr>
      </vt:variant>
      <vt:variant>
        <vt:lpwstr/>
      </vt:variant>
      <vt:variant>
        <vt:i4>5898240</vt:i4>
      </vt:variant>
      <vt:variant>
        <vt:i4>54</vt:i4>
      </vt:variant>
      <vt:variant>
        <vt:i4>0</vt:i4>
      </vt:variant>
      <vt:variant>
        <vt:i4>5</vt:i4>
      </vt:variant>
      <vt:variant>
        <vt:lpwstr>https://www.eea.europa.eu/en/analysis/publications/environmental-noise-in-europe-2025</vt:lpwstr>
      </vt:variant>
      <vt:variant>
        <vt:lpwstr/>
      </vt:variant>
      <vt:variant>
        <vt:i4>2490435</vt:i4>
      </vt:variant>
      <vt:variant>
        <vt:i4>51</vt:i4>
      </vt:variant>
      <vt:variant>
        <vt:i4>0</vt:i4>
      </vt:variant>
      <vt:variant>
        <vt:i4>5</vt:i4>
      </vt:variant>
      <vt:variant>
        <vt:lpwstr>https://environment.ec.europa.eu/topics/air/clean-air-outlook_en</vt:lpwstr>
      </vt:variant>
      <vt:variant>
        <vt:lpwstr/>
      </vt:variant>
      <vt:variant>
        <vt:i4>7077938</vt:i4>
      </vt:variant>
      <vt:variant>
        <vt:i4>48</vt:i4>
      </vt:variant>
      <vt:variant>
        <vt:i4>0</vt:i4>
      </vt:variant>
      <vt:variant>
        <vt:i4>5</vt:i4>
      </vt:variant>
      <vt:variant>
        <vt:lpwstr>https://www.eea.europa.eu/en/analysis/publications/zero-pollution-monitoring-and-outlook-report</vt:lpwstr>
      </vt:variant>
      <vt:variant>
        <vt:lpwstr/>
      </vt:variant>
      <vt:variant>
        <vt:i4>5570643</vt:i4>
      </vt:variant>
      <vt:variant>
        <vt:i4>45</vt:i4>
      </vt:variant>
      <vt:variant>
        <vt:i4>0</vt:i4>
      </vt:variant>
      <vt:variant>
        <vt:i4>5</vt:i4>
      </vt:variant>
      <vt:variant>
        <vt:lpwstr>https://www.eea.europa.eu/en/europe-environment-2025</vt:lpwstr>
      </vt:variant>
      <vt:variant>
        <vt:lpwstr/>
      </vt:variant>
      <vt:variant>
        <vt:i4>1245205</vt:i4>
      </vt:variant>
      <vt:variant>
        <vt:i4>42</vt:i4>
      </vt:variant>
      <vt:variant>
        <vt:i4>0</vt:i4>
      </vt:variant>
      <vt:variant>
        <vt:i4>5</vt:i4>
      </vt:variant>
      <vt:variant>
        <vt:lpwstr>https://eur-lex.europa.eu/legal-content/EN/TXT/?uri=CELEX:52022SC0345</vt:lpwstr>
      </vt:variant>
      <vt:variant>
        <vt:lpwstr/>
      </vt:variant>
      <vt:variant>
        <vt:i4>1245205</vt:i4>
      </vt:variant>
      <vt:variant>
        <vt:i4>39</vt:i4>
      </vt:variant>
      <vt:variant>
        <vt:i4>0</vt:i4>
      </vt:variant>
      <vt:variant>
        <vt:i4>5</vt:i4>
      </vt:variant>
      <vt:variant>
        <vt:lpwstr>https://eur-lex.europa.eu/legal-content/EN/TXT/?uri=CELEX:52022SC0345</vt:lpwstr>
      </vt:variant>
      <vt:variant>
        <vt:lpwstr/>
      </vt:variant>
      <vt:variant>
        <vt:i4>1245191</vt:i4>
      </vt:variant>
      <vt:variant>
        <vt:i4>30</vt:i4>
      </vt:variant>
      <vt:variant>
        <vt:i4>0</vt:i4>
      </vt:variant>
      <vt:variant>
        <vt:i4>5</vt:i4>
      </vt:variant>
      <vt:variant>
        <vt:lpwstr>https://www.oecd.org/en/topics/economic-and-environmental-outcomes-of-innovation.html</vt:lpwstr>
      </vt:variant>
      <vt:variant>
        <vt:lpwstr/>
      </vt:variant>
      <vt:variant>
        <vt:i4>1245225</vt:i4>
      </vt:variant>
      <vt:variant>
        <vt:i4>27</vt:i4>
      </vt:variant>
      <vt:variant>
        <vt:i4>0</vt:i4>
      </vt:variant>
      <vt:variant>
        <vt:i4>5</vt:i4>
      </vt:variant>
      <vt:variant>
        <vt:lpwstr>https://ec.europa.eu/eurostat/statistics-explained/index.php?title=Environmental_economy_%E2%80%93_statistics_on_employment_and_growth</vt:lpwstr>
      </vt:variant>
      <vt:variant>
        <vt:lpwstr/>
      </vt:variant>
      <vt:variant>
        <vt:i4>1245225</vt:i4>
      </vt:variant>
      <vt:variant>
        <vt:i4>24</vt:i4>
      </vt:variant>
      <vt:variant>
        <vt:i4>0</vt:i4>
      </vt:variant>
      <vt:variant>
        <vt:i4>5</vt:i4>
      </vt:variant>
      <vt:variant>
        <vt:lpwstr>https://ec.europa.eu/eurostat/statistics-explained/index.php?title=Environmental_economy_%E2%80%93_statistics_on_employment_and_growth</vt:lpwstr>
      </vt:variant>
      <vt:variant>
        <vt:lpwstr/>
      </vt:variant>
      <vt:variant>
        <vt:i4>6226028</vt:i4>
      </vt:variant>
      <vt:variant>
        <vt:i4>18</vt:i4>
      </vt:variant>
      <vt:variant>
        <vt:i4>0</vt:i4>
      </vt:variant>
      <vt:variant>
        <vt:i4>5</vt:i4>
      </vt:variant>
      <vt:variant>
        <vt:lpwstr>https://environment.ec.europa.eu/strategy/chemicals-strategy/implementation_en</vt:lpwstr>
      </vt:variant>
      <vt:variant>
        <vt:lpwstr/>
      </vt:variant>
      <vt:variant>
        <vt:i4>2293784</vt:i4>
      </vt:variant>
      <vt:variant>
        <vt:i4>15</vt:i4>
      </vt:variant>
      <vt:variant>
        <vt:i4>0</vt:i4>
      </vt:variant>
      <vt:variant>
        <vt:i4>5</vt:i4>
      </vt:variant>
      <vt:variant>
        <vt:lpwstr>https://environment.ec.europa.eu/strategy/zero-pollution-stakeholder-platform/actions_en</vt:lpwstr>
      </vt:variant>
      <vt:variant>
        <vt:lpwstr/>
      </vt:variant>
      <vt:variant>
        <vt:i4>5505142</vt:i4>
      </vt:variant>
      <vt:variant>
        <vt:i4>12</vt:i4>
      </vt:variant>
      <vt:variant>
        <vt:i4>0</vt:i4>
      </vt:variant>
      <vt:variant>
        <vt:i4>5</vt:i4>
      </vt:variant>
      <vt:variant>
        <vt:lpwstr>https://environment.ec.europa.eu/strategy/zero-pollution-action-plan/zero-pollution-targets_en</vt:lpwstr>
      </vt:variant>
      <vt:variant>
        <vt:lpwstr/>
      </vt:variant>
      <vt:variant>
        <vt:i4>2556001</vt:i4>
      </vt:variant>
      <vt:variant>
        <vt:i4>9</vt:i4>
      </vt:variant>
      <vt:variant>
        <vt:i4>0</vt:i4>
      </vt:variant>
      <vt:variant>
        <vt:i4>5</vt:i4>
      </vt:variant>
      <vt:variant>
        <vt:lpwstr>https://www.weforum.org/publications/global-risks-report-2025/in-full/</vt:lpwstr>
      </vt:variant>
      <vt:variant>
        <vt:lpwstr/>
      </vt:variant>
      <vt:variant>
        <vt:i4>7471147</vt:i4>
      </vt:variant>
      <vt:variant>
        <vt:i4>6</vt:i4>
      </vt:variant>
      <vt:variant>
        <vt:i4>0</vt:i4>
      </vt:variant>
      <vt:variant>
        <vt:i4>5</vt:i4>
      </vt:variant>
      <vt:variant>
        <vt:lpwstr>https://doi.org/10.1787/318cb85f-en</vt:lpwstr>
      </vt:variant>
      <vt:variant>
        <vt:lpwstr/>
      </vt:variant>
      <vt:variant>
        <vt:i4>65628</vt:i4>
      </vt:variant>
      <vt:variant>
        <vt:i4>3</vt:i4>
      </vt:variant>
      <vt:variant>
        <vt:i4>0</vt:i4>
      </vt:variant>
      <vt:variant>
        <vt:i4>5</vt:i4>
      </vt:variant>
      <vt:variant>
        <vt:lpwstr>https://www.oecd.org/en/blogs/2025/06/want-stronger-growth-in-europe-start-with-the-air-we-breathe.html?adestraproject=Science%2C%20Technology%20and%20Innovation&amp;utm_campaign=STI%20News%201%20July%20-%20Air%20pollution&amp;utm_content=Read%20the%20blog%3A%20Want%20stronger%20growth%20in%20Europe%3F%20Start%20with%20the%20air%20we%20breathe&amp;utm_term=sti&amp;utm_medium=email&amp;utm_source=Adestra</vt:lpwstr>
      </vt:variant>
      <vt:variant>
        <vt:lpwstr/>
      </vt:variant>
      <vt:variant>
        <vt:i4>131075</vt:i4>
      </vt:variant>
      <vt:variant>
        <vt:i4>0</vt:i4>
      </vt:variant>
      <vt:variant>
        <vt:i4>0</vt:i4>
      </vt:variant>
      <vt:variant>
        <vt:i4>5</vt:i4>
      </vt:variant>
      <vt:variant>
        <vt:lpwstr>https://www.eea.europa.eu/en/europe-environment-2025/main-report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dcterms:created xsi:type="dcterms:W3CDTF">2026-01-28T13:33:00Z</dcterms:created>
  <dcterms:modified xsi:type="dcterms:W3CDTF">2026-01-29T16:03:00Z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CP-008</vt:lpwstr>
  </property>
  <property fmtid="{D5CDD505-2E9C-101B-9397-08002B2CF9AE}" pid="7" name="Last edited using">
    <vt:lpwstr>LW 9.2, Build 20250828</vt:lpwstr>
  </property>
  <property fmtid="{D5CDD505-2E9C-101B-9397-08002B2CF9AE}" pid="8" name="Created using">
    <vt:lpwstr>LW 9.1, Build 20240808</vt:lpwstr>
  </property>
  <property fmtid="{D5CDD505-2E9C-101B-9397-08002B2CF9AE}" pid="9" name="MSIP_Label_6bd9ddd1-4d20-43f6-abfa-fc3c07406f94_Enabled">
    <vt:lpwstr>true</vt:lpwstr>
  </property>
  <property fmtid="{D5CDD505-2E9C-101B-9397-08002B2CF9AE}" pid="10" name="MSIP_Label_6bd9ddd1-4d20-43f6-abfa-fc3c07406f94_SetDate">
    <vt:lpwstr>2025-10-30T08:05:25Z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90ef09cf-cdd5-4c1d-b3c1-70fe03729069</vt:lpwstr>
  </property>
  <property fmtid="{D5CDD505-2E9C-101B-9397-08002B2CF9AE}" pid="15" name="MSIP_Label_6bd9ddd1-4d20-43f6-abfa-fc3c07406f94_ContentBits">
    <vt:lpwstr>0</vt:lpwstr>
  </property>
  <property fmtid="{D5CDD505-2E9C-101B-9397-08002B2CF9AE}" pid="16" name="MSIP_Label_6bd9ddd1-4d20-43f6-abfa-fc3c07406f94_Tag">
    <vt:lpwstr>10, 3, 0, 1</vt:lpwstr>
  </property>
  <property fmtid="{D5CDD505-2E9C-101B-9397-08002B2CF9AE}" pid="17" name="ContentTypeId">
    <vt:lpwstr>0x0101005C2F05394DCE044693DCAA726179B598</vt:lpwstr>
  </property>
  <property fmtid="{D5CDD505-2E9C-101B-9397-08002B2CF9AE}" pid="18" name="MediaServiceImageTags">
    <vt:lpwstr/>
  </property>
</Properties>
</file>