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2D7" w:rsidRPr="00A33550" w:rsidRDefault="005C6C28" w:rsidP="005C6C2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8CC5C66-1D9C-489E-A968-1D466DE9EEB9" style="width:455.25pt;height:355.5pt">
            <v:imagedata r:id="rId11" o:title=""/>
          </v:shape>
        </w:pict>
      </w:r>
    </w:p>
    <w:p w:rsidR="001A62D7" w:rsidRPr="00A33550" w:rsidRDefault="001A62D7" w:rsidP="001A62D7">
      <w:pPr>
        <w:rPr>
          <w:noProof/>
        </w:rPr>
        <w:sectPr w:rsidR="001A62D7" w:rsidRPr="00A33550" w:rsidSect="005C6C28">
          <w:footerReference w:type="even" r:id="rId12"/>
          <w:footerReference w:type="default" r:id="rId13"/>
          <w:pgSz w:w="11907" w:h="16839"/>
          <w:pgMar w:top="1134" w:right="1417" w:bottom="1134" w:left="1417" w:header="709" w:footer="709" w:gutter="0"/>
          <w:pgNumType w:start="0"/>
          <w:cols w:space="720"/>
          <w:docGrid w:linePitch="360"/>
        </w:sectPr>
      </w:pPr>
    </w:p>
    <w:p w:rsidR="001A62D7" w:rsidRPr="00A33550" w:rsidRDefault="001A62D7" w:rsidP="001A62D7">
      <w:pPr>
        <w:pStyle w:val="Exposdesmotifstitre"/>
        <w:rPr>
          <w:noProof/>
        </w:rPr>
      </w:pPr>
      <w:bookmarkStart w:id="0" w:name="_GoBack"/>
      <w:bookmarkEnd w:id="0"/>
      <w:r w:rsidRPr="00A33550">
        <w:rPr>
          <w:noProof/>
        </w:rPr>
        <w:lastRenderedPageBreak/>
        <w:t>SELETUSKIRI</w:t>
      </w:r>
    </w:p>
    <w:p w:rsidR="001A62D7" w:rsidRPr="00A33550" w:rsidRDefault="001A62D7" w:rsidP="001A62D7">
      <w:pPr>
        <w:pStyle w:val="ManualHeading1"/>
        <w:rPr>
          <w:noProof/>
        </w:rPr>
      </w:pPr>
      <w:r w:rsidRPr="00A33550">
        <w:rPr>
          <w:noProof/>
        </w:rPr>
        <w:t>ETTEPANEKU TAUST</w:t>
      </w:r>
    </w:p>
    <w:p w:rsidR="001A62D7" w:rsidRPr="00A33550" w:rsidRDefault="008C6F8A" w:rsidP="008C6F8A">
      <w:pPr>
        <w:pStyle w:val="ManualNumPar1"/>
        <w:rPr>
          <w:noProof/>
        </w:rPr>
      </w:pPr>
      <w:r w:rsidRPr="008C6F8A">
        <w:rPr>
          <w:noProof/>
        </w:rPr>
        <w:t>1.</w:t>
      </w:r>
      <w:r w:rsidRPr="008C6F8A">
        <w:rPr>
          <w:noProof/>
        </w:rPr>
        <w:tab/>
      </w:r>
      <w:r w:rsidR="001A62D7" w:rsidRPr="00A33550">
        <w:rPr>
          <w:noProof/>
        </w:rPr>
        <w:t>Koondatud töötajate toetuseks loodud Globaliseerumisega Kohanemise Euroopa Fondist (edaspidi „EGF“) rahalise toetuse saamise eeskirjad on sätestatud Euroopa Parlamendi ja nõukogu 28. aprilli 2021. aasta määruses (EL) 2021/691, millega luuakse Globaliseerumisega Kohanemise Euroopa Fond (EGF) koondatud töötajate toetuseks ja tunnistatakse kehtetuks määrus (EL) nr 1309/2013</w:t>
      </w:r>
      <w:r w:rsidR="001A62D7" w:rsidRPr="00A33550">
        <w:rPr>
          <w:rStyle w:val="FootnoteReference"/>
          <w:noProof/>
        </w:rPr>
        <w:footnoteReference w:id="2"/>
      </w:r>
      <w:r w:rsidR="001A62D7" w:rsidRPr="00A33550">
        <w:rPr>
          <w:noProof/>
        </w:rPr>
        <w:t>.</w:t>
      </w:r>
    </w:p>
    <w:p w:rsidR="001A62D7" w:rsidRPr="00A33550" w:rsidRDefault="008C6F8A" w:rsidP="008C6F8A">
      <w:pPr>
        <w:pStyle w:val="ManualNumPar1"/>
        <w:rPr>
          <w:noProof/>
        </w:rPr>
      </w:pPr>
      <w:r w:rsidRPr="008C6F8A">
        <w:rPr>
          <w:noProof/>
        </w:rPr>
        <w:t>2.</w:t>
      </w:r>
      <w:r w:rsidRPr="008C6F8A">
        <w:rPr>
          <w:noProof/>
        </w:rPr>
        <w:tab/>
      </w:r>
      <w:r w:rsidR="001A62D7" w:rsidRPr="00A33550">
        <w:rPr>
          <w:noProof/>
        </w:rPr>
        <w:t>16. juunil 2025 esitas Rootsi taotluse EGF/2025/003 SE/Northvolt, et saada EGFist rahalist toetust seoses koondamistega Rootsi ettevõtja Northvolt (Northvolt AB) ja selle tütarettevõtjate ning 13 alltöövõtja, tarnija ja tootmisahela järgmise etapi tootja juures.</w:t>
      </w:r>
    </w:p>
    <w:p w:rsidR="001A62D7" w:rsidRPr="00A33550" w:rsidRDefault="008C6F8A" w:rsidP="008C6F8A">
      <w:pPr>
        <w:pStyle w:val="ManualNumPar1"/>
        <w:rPr>
          <w:noProof/>
        </w:rPr>
      </w:pPr>
      <w:r w:rsidRPr="008C6F8A">
        <w:rPr>
          <w:noProof/>
        </w:rPr>
        <w:t>3.</w:t>
      </w:r>
      <w:r w:rsidRPr="008C6F8A">
        <w:rPr>
          <w:noProof/>
        </w:rPr>
        <w:tab/>
      </w:r>
      <w:r w:rsidR="001A62D7" w:rsidRPr="00A33550">
        <w:rPr>
          <w:noProof/>
        </w:rPr>
        <w:t xml:space="preserve">Pärast taotluse hindamist otsustas komisjon kooskõlas kõikide määruse (EL) 2021/691 kohaldatavate sätetega, et EGFist rahalise toetuse andmise tingimused on täidetud. </w:t>
      </w:r>
    </w:p>
    <w:p w:rsidR="001A62D7" w:rsidRPr="00A33550" w:rsidRDefault="001A62D7" w:rsidP="001A62D7">
      <w:pPr>
        <w:pStyle w:val="ManualHeading1"/>
        <w:rPr>
          <w:noProof/>
        </w:rPr>
      </w:pPr>
      <w:r w:rsidRPr="00A33550">
        <w:rPr>
          <w:noProof/>
        </w:rPr>
        <w:t>TAOTLUSE KOKKUVÕTE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rsidR="001A62D7" w:rsidRPr="00A33550" w:rsidTr="00052CC7">
        <w:tc>
          <w:tcPr>
            <w:tcW w:w="4908" w:type="dxa"/>
            <w:shd w:val="clear" w:color="auto" w:fill="auto"/>
          </w:tcPr>
          <w:p w:rsidR="001A62D7" w:rsidRPr="00A33550" w:rsidRDefault="001A62D7" w:rsidP="00052CC7">
            <w:pPr>
              <w:spacing w:before="60" w:after="60"/>
              <w:jc w:val="left"/>
              <w:rPr>
                <w:rFonts w:eastAsia="Calibri"/>
                <w:noProof/>
              </w:rPr>
            </w:pPr>
            <w:r w:rsidRPr="00A33550">
              <w:rPr>
                <w:noProof/>
              </w:rPr>
              <w:t>EGFi taotlus</w:t>
            </w:r>
          </w:p>
        </w:tc>
        <w:tc>
          <w:tcPr>
            <w:tcW w:w="4379" w:type="dxa"/>
            <w:shd w:val="clear" w:color="auto" w:fill="auto"/>
          </w:tcPr>
          <w:p w:rsidR="001A62D7" w:rsidRPr="00A33550" w:rsidRDefault="001A62D7" w:rsidP="00052CC7">
            <w:pPr>
              <w:spacing w:before="60" w:after="60"/>
              <w:ind w:rightChars="192" w:right="461"/>
              <w:jc w:val="left"/>
              <w:rPr>
                <w:rFonts w:eastAsia="Calibri"/>
                <w:noProof/>
              </w:rPr>
            </w:pPr>
            <w:r w:rsidRPr="00A33550">
              <w:rPr>
                <w:noProof/>
              </w:rPr>
              <w:t>EGF/2025/003 SE/Northvolt</w:t>
            </w:r>
          </w:p>
        </w:tc>
      </w:tr>
      <w:tr w:rsidR="001A62D7" w:rsidRPr="00A33550" w:rsidTr="00052CC7">
        <w:tc>
          <w:tcPr>
            <w:tcW w:w="4908" w:type="dxa"/>
            <w:shd w:val="clear" w:color="auto" w:fill="auto"/>
          </w:tcPr>
          <w:p w:rsidR="001A62D7" w:rsidRPr="00A33550" w:rsidRDefault="001A62D7" w:rsidP="00052CC7">
            <w:pPr>
              <w:spacing w:before="60" w:after="60"/>
              <w:jc w:val="left"/>
              <w:rPr>
                <w:rFonts w:eastAsia="Calibri"/>
                <w:noProof/>
              </w:rPr>
            </w:pPr>
            <w:r w:rsidRPr="00A33550">
              <w:rPr>
                <w:noProof/>
              </w:rPr>
              <w:t>Liikmesriik</w:t>
            </w:r>
          </w:p>
        </w:tc>
        <w:tc>
          <w:tcPr>
            <w:tcW w:w="4379" w:type="dxa"/>
            <w:shd w:val="clear" w:color="auto" w:fill="auto"/>
          </w:tcPr>
          <w:p w:rsidR="001A62D7" w:rsidRPr="00A33550" w:rsidRDefault="00184853" w:rsidP="00052CC7">
            <w:pPr>
              <w:spacing w:before="60" w:after="60"/>
              <w:ind w:rightChars="192" w:right="461"/>
              <w:jc w:val="left"/>
              <w:rPr>
                <w:rFonts w:eastAsia="Calibri"/>
                <w:noProof/>
              </w:rPr>
            </w:pPr>
            <w:r w:rsidRPr="00A33550">
              <w:rPr>
                <w:noProof/>
              </w:rPr>
              <w:t>Rootsi</w:t>
            </w:r>
          </w:p>
        </w:tc>
      </w:tr>
      <w:tr w:rsidR="001A62D7" w:rsidRPr="00A33550" w:rsidTr="00052CC7">
        <w:tc>
          <w:tcPr>
            <w:tcW w:w="4908" w:type="dxa"/>
            <w:tcBorders>
              <w:bottom w:val="single" w:sz="4" w:space="0" w:color="auto"/>
            </w:tcBorders>
            <w:shd w:val="clear" w:color="auto" w:fill="auto"/>
          </w:tcPr>
          <w:p w:rsidR="001A62D7" w:rsidRPr="00A33550" w:rsidRDefault="001A62D7" w:rsidP="00052CC7">
            <w:pPr>
              <w:spacing w:before="60" w:after="60"/>
              <w:jc w:val="left"/>
              <w:rPr>
                <w:rFonts w:eastAsia="Calibri"/>
                <w:noProof/>
              </w:rPr>
            </w:pPr>
            <w:r w:rsidRPr="00A33550">
              <w:rPr>
                <w:noProof/>
              </w:rPr>
              <w:t>Asjaomane piirkond (NUTS</w:t>
            </w:r>
            <w:r w:rsidRPr="00A33550">
              <w:rPr>
                <w:rStyle w:val="FootnoteReference"/>
                <w:noProof/>
              </w:rPr>
              <w:footnoteReference w:id="3"/>
            </w:r>
            <w:r w:rsidRPr="00A33550">
              <w:rPr>
                <w:noProof/>
              </w:rPr>
              <w:t xml:space="preserve"> 2. tasand)</w:t>
            </w:r>
          </w:p>
        </w:tc>
        <w:tc>
          <w:tcPr>
            <w:tcW w:w="4379" w:type="dxa"/>
            <w:tcBorders>
              <w:bottom w:val="single" w:sz="4" w:space="0" w:color="auto"/>
            </w:tcBorders>
            <w:shd w:val="clear" w:color="auto" w:fill="auto"/>
          </w:tcPr>
          <w:p w:rsidR="001A62D7" w:rsidRPr="00A33550" w:rsidRDefault="00A15112" w:rsidP="00052CC7">
            <w:pPr>
              <w:spacing w:before="0" w:after="0"/>
              <w:ind w:rightChars="192" w:right="461"/>
              <w:jc w:val="left"/>
              <w:rPr>
                <w:noProof/>
                <w:szCs w:val="24"/>
              </w:rPr>
            </w:pPr>
            <w:r w:rsidRPr="00A33550">
              <w:rPr>
                <w:noProof/>
              </w:rPr>
              <w:t>Ülem-Norrland (Övre Norrland) (SE33)</w:t>
            </w:r>
          </w:p>
          <w:p w:rsidR="00A15112" w:rsidRPr="00A33550" w:rsidRDefault="00A15112" w:rsidP="00052CC7">
            <w:pPr>
              <w:spacing w:before="0" w:after="0"/>
              <w:ind w:rightChars="192" w:right="461"/>
              <w:jc w:val="left"/>
              <w:rPr>
                <w:noProof/>
                <w:szCs w:val="24"/>
              </w:rPr>
            </w:pPr>
            <w:r w:rsidRPr="00A33550">
              <w:rPr>
                <w:noProof/>
              </w:rPr>
              <w:t>Stockholm (SE11)</w:t>
            </w:r>
          </w:p>
          <w:p w:rsidR="001A62D7" w:rsidRPr="00A33550" w:rsidRDefault="00A15112" w:rsidP="00052CC7">
            <w:pPr>
              <w:spacing w:before="0" w:after="0"/>
              <w:ind w:rightChars="192" w:right="461"/>
              <w:jc w:val="left"/>
              <w:rPr>
                <w:noProof/>
                <w:szCs w:val="24"/>
              </w:rPr>
            </w:pPr>
            <w:r w:rsidRPr="00A33550">
              <w:rPr>
                <w:noProof/>
              </w:rPr>
              <w:t>Kesk-Rootsi idaosa (Östra Mellansverige) (SE12)</w:t>
            </w:r>
          </w:p>
        </w:tc>
      </w:tr>
      <w:tr w:rsidR="001A62D7" w:rsidRPr="00A33550" w:rsidTr="00052CC7">
        <w:tc>
          <w:tcPr>
            <w:tcW w:w="4908" w:type="dxa"/>
            <w:tcBorders>
              <w:bottom w:val="dotted" w:sz="4" w:space="0" w:color="auto"/>
            </w:tcBorders>
            <w:shd w:val="clear" w:color="auto" w:fill="auto"/>
          </w:tcPr>
          <w:p w:rsidR="001A62D7" w:rsidRPr="00A33550" w:rsidRDefault="001A62D7" w:rsidP="00052CC7">
            <w:pPr>
              <w:spacing w:before="60" w:after="60"/>
              <w:jc w:val="left"/>
              <w:rPr>
                <w:rFonts w:eastAsia="Calibri"/>
                <w:noProof/>
              </w:rPr>
            </w:pPr>
            <w:r w:rsidRPr="00A33550">
              <w:rPr>
                <w:noProof/>
              </w:rPr>
              <w:t>Taotluse esitamise kuupäev</w:t>
            </w:r>
          </w:p>
        </w:tc>
        <w:tc>
          <w:tcPr>
            <w:tcW w:w="4379" w:type="dxa"/>
            <w:tcBorders>
              <w:bottom w:val="dotted" w:sz="4" w:space="0" w:color="auto"/>
            </w:tcBorders>
            <w:shd w:val="clear" w:color="auto" w:fill="auto"/>
          </w:tcPr>
          <w:p w:rsidR="001A62D7" w:rsidRPr="00A33550" w:rsidRDefault="00184853" w:rsidP="00052CC7">
            <w:pPr>
              <w:spacing w:before="60" w:after="60"/>
              <w:ind w:rightChars="192" w:right="461"/>
              <w:jc w:val="left"/>
              <w:rPr>
                <w:rFonts w:eastAsia="Calibri"/>
                <w:noProof/>
              </w:rPr>
            </w:pPr>
            <w:r w:rsidRPr="00A33550">
              <w:rPr>
                <w:noProof/>
              </w:rPr>
              <w:t>16. juuni 2025</w:t>
            </w:r>
          </w:p>
        </w:tc>
      </w:tr>
      <w:tr w:rsidR="001A62D7" w:rsidRPr="00A33550" w:rsidTr="00052CC7">
        <w:tc>
          <w:tcPr>
            <w:tcW w:w="4908" w:type="dxa"/>
            <w:tcBorders>
              <w:top w:val="dotted" w:sz="4" w:space="0" w:color="auto"/>
              <w:bottom w:val="dotted" w:sz="4" w:space="0" w:color="auto"/>
            </w:tcBorders>
            <w:shd w:val="clear" w:color="auto" w:fill="auto"/>
          </w:tcPr>
          <w:p w:rsidR="001A62D7" w:rsidRPr="00A33550" w:rsidRDefault="001A62D7" w:rsidP="00052CC7">
            <w:pPr>
              <w:spacing w:before="60" w:after="60"/>
              <w:jc w:val="left"/>
              <w:rPr>
                <w:rFonts w:eastAsia="Calibri"/>
                <w:noProof/>
              </w:rPr>
            </w:pPr>
            <w:r w:rsidRPr="00A33550">
              <w:rPr>
                <w:noProof/>
              </w:rPr>
              <w:t>Taotluse kättesaamise kinnitamise kuupäev</w:t>
            </w:r>
          </w:p>
        </w:tc>
        <w:tc>
          <w:tcPr>
            <w:tcW w:w="4379" w:type="dxa"/>
            <w:tcBorders>
              <w:top w:val="dotted" w:sz="4" w:space="0" w:color="auto"/>
              <w:bottom w:val="dotted" w:sz="4" w:space="0" w:color="auto"/>
            </w:tcBorders>
            <w:shd w:val="clear" w:color="auto" w:fill="auto"/>
          </w:tcPr>
          <w:p w:rsidR="001A62D7" w:rsidRPr="00A33550" w:rsidRDefault="00184853" w:rsidP="00052CC7">
            <w:pPr>
              <w:spacing w:before="60" w:after="60"/>
              <w:ind w:rightChars="192" w:right="461"/>
              <w:jc w:val="left"/>
              <w:rPr>
                <w:rFonts w:eastAsia="Calibri"/>
                <w:noProof/>
              </w:rPr>
            </w:pPr>
            <w:r w:rsidRPr="00A33550">
              <w:rPr>
                <w:noProof/>
              </w:rPr>
              <w:t>16. juuni 2025</w:t>
            </w:r>
          </w:p>
        </w:tc>
      </w:tr>
      <w:tr w:rsidR="001A62D7" w:rsidRPr="00A33550" w:rsidTr="00052CC7">
        <w:tc>
          <w:tcPr>
            <w:tcW w:w="4908" w:type="dxa"/>
            <w:tcBorders>
              <w:top w:val="dotted" w:sz="4" w:space="0" w:color="auto"/>
              <w:bottom w:val="dotted" w:sz="4" w:space="0" w:color="auto"/>
            </w:tcBorders>
            <w:shd w:val="clear" w:color="auto" w:fill="auto"/>
          </w:tcPr>
          <w:p w:rsidR="001A62D7" w:rsidRPr="00A33550" w:rsidRDefault="001A62D7" w:rsidP="00052CC7">
            <w:pPr>
              <w:spacing w:before="60" w:after="60"/>
              <w:jc w:val="left"/>
              <w:rPr>
                <w:rFonts w:eastAsia="Calibri"/>
                <w:noProof/>
              </w:rPr>
            </w:pPr>
            <w:r w:rsidRPr="00A33550">
              <w:rPr>
                <w:noProof/>
              </w:rPr>
              <w:t>Lisateabe nõudmise kuupäev</w:t>
            </w:r>
          </w:p>
        </w:tc>
        <w:tc>
          <w:tcPr>
            <w:tcW w:w="4379" w:type="dxa"/>
            <w:tcBorders>
              <w:top w:val="dotted" w:sz="4" w:space="0" w:color="auto"/>
              <w:bottom w:val="dotted" w:sz="4" w:space="0" w:color="auto"/>
            </w:tcBorders>
            <w:shd w:val="clear" w:color="auto" w:fill="auto"/>
          </w:tcPr>
          <w:p w:rsidR="001A62D7" w:rsidRPr="00A33550" w:rsidRDefault="00184853" w:rsidP="00052CC7">
            <w:pPr>
              <w:spacing w:before="60" w:after="60"/>
              <w:ind w:rightChars="192" w:right="461"/>
              <w:jc w:val="left"/>
              <w:rPr>
                <w:rFonts w:eastAsia="Calibri"/>
                <w:noProof/>
              </w:rPr>
            </w:pPr>
            <w:r w:rsidRPr="00A33550">
              <w:rPr>
                <w:noProof/>
              </w:rPr>
              <w:t>4. august 2025</w:t>
            </w:r>
          </w:p>
        </w:tc>
      </w:tr>
      <w:tr w:rsidR="001A62D7" w:rsidRPr="00A33550" w:rsidTr="00052CC7">
        <w:tc>
          <w:tcPr>
            <w:tcW w:w="4908" w:type="dxa"/>
            <w:tcBorders>
              <w:top w:val="dotted" w:sz="4" w:space="0" w:color="auto"/>
              <w:bottom w:val="dotted" w:sz="4" w:space="0" w:color="auto"/>
            </w:tcBorders>
            <w:shd w:val="clear" w:color="auto" w:fill="auto"/>
          </w:tcPr>
          <w:p w:rsidR="001A62D7" w:rsidRPr="00A33550" w:rsidRDefault="001A62D7" w:rsidP="00052CC7">
            <w:pPr>
              <w:spacing w:before="60" w:after="60"/>
              <w:jc w:val="left"/>
              <w:rPr>
                <w:rFonts w:eastAsia="Calibri"/>
                <w:noProof/>
              </w:rPr>
            </w:pPr>
            <w:r w:rsidRPr="00A33550">
              <w:rPr>
                <w:noProof/>
              </w:rPr>
              <w:t>Lisateabe esitamise tähtaeg</w:t>
            </w:r>
          </w:p>
        </w:tc>
        <w:tc>
          <w:tcPr>
            <w:tcW w:w="4379" w:type="dxa"/>
            <w:tcBorders>
              <w:top w:val="dotted" w:sz="4" w:space="0" w:color="auto"/>
              <w:bottom w:val="dotted" w:sz="4" w:space="0" w:color="auto"/>
            </w:tcBorders>
            <w:shd w:val="clear" w:color="auto" w:fill="auto"/>
          </w:tcPr>
          <w:p w:rsidR="001A62D7" w:rsidRPr="00A33550" w:rsidRDefault="00184853" w:rsidP="00052CC7">
            <w:pPr>
              <w:spacing w:before="60" w:after="60"/>
              <w:ind w:rightChars="192" w:right="461"/>
              <w:jc w:val="left"/>
              <w:rPr>
                <w:rFonts w:eastAsia="Calibri"/>
                <w:noProof/>
              </w:rPr>
            </w:pPr>
            <w:r w:rsidRPr="00A33550">
              <w:rPr>
                <w:noProof/>
              </w:rPr>
              <w:t>26. august 2025</w:t>
            </w:r>
          </w:p>
        </w:tc>
      </w:tr>
      <w:tr w:rsidR="001A62D7" w:rsidRPr="00A33550" w:rsidTr="00052CC7">
        <w:tc>
          <w:tcPr>
            <w:tcW w:w="4908" w:type="dxa"/>
            <w:tcBorders>
              <w:top w:val="dotted" w:sz="4" w:space="0" w:color="auto"/>
            </w:tcBorders>
            <w:shd w:val="clear" w:color="auto" w:fill="auto"/>
          </w:tcPr>
          <w:p w:rsidR="001A62D7" w:rsidRPr="00A33550" w:rsidRDefault="001A62D7" w:rsidP="00052CC7">
            <w:pPr>
              <w:spacing w:before="60" w:after="60"/>
              <w:jc w:val="left"/>
              <w:rPr>
                <w:rFonts w:eastAsia="Calibri"/>
                <w:noProof/>
              </w:rPr>
            </w:pPr>
            <w:r w:rsidRPr="00A33550">
              <w:rPr>
                <w:noProof/>
              </w:rPr>
              <w:t>Hindamise lõpuleviimise tähtaeg</w:t>
            </w:r>
          </w:p>
        </w:tc>
        <w:tc>
          <w:tcPr>
            <w:tcW w:w="4379" w:type="dxa"/>
            <w:tcBorders>
              <w:top w:val="dotted" w:sz="4" w:space="0" w:color="auto"/>
            </w:tcBorders>
            <w:shd w:val="clear" w:color="auto" w:fill="auto"/>
          </w:tcPr>
          <w:p w:rsidR="001A62D7" w:rsidRPr="00A33550" w:rsidRDefault="00A03141" w:rsidP="00052CC7">
            <w:pPr>
              <w:spacing w:before="60" w:after="60"/>
              <w:ind w:rightChars="192" w:right="461"/>
              <w:jc w:val="left"/>
              <w:rPr>
                <w:rFonts w:eastAsia="Calibri"/>
                <w:noProof/>
              </w:rPr>
            </w:pPr>
            <w:r w:rsidRPr="00A33550">
              <w:rPr>
                <w:noProof/>
              </w:rPr>
              <w:t>4. november 2025</w:t>
            </w:r>
          </w:p>
        </w:tc>
      </w:tr>
      <w:tr w:rsidR="001A62D7" w:rsidRPr="00A33550" w:rsidTr="00052CC7">
        <w:tc>
          <w:tcPr>
            <w:tcW w:w="4908" w:type="dxa"/>
            <w:shd w:val="clear" w:color="auto" w:fill="auto"/>
          </w:tcPr>
          <w:p w:rsidR="001A62D7" w:rsidRPr="00A33550" w:rsidRDefault="001A62D7" w:rsidP="00052CC7">
            <w:pPr>
              <w:spacing w:before="60" w:after="60"/>
              <w:jc w:val="left"/>
              <w:rPr>
                <w:rFonts w:eastAsia="Calibri"/>
                <w:noProof/>
              </w:rPr>
            </w:pPr>
            <w:r w:rsidRPr="00A33550">
              <w:rPr>
                <w:noProof/>
              </w:rPr>
              <w:t>Sekkumiskriteerium</w:t>
            </w:r>
          </w:p>
        </w:tc>
        <w:tc>
          <w:tcPr>
            <w:tcW w:w="4379" w:type="dxa"/>
            <w:shd w:val="clear" w:color="auto" w:fill="auto"/>
          </w:tcPr>
          <w:p w:rsidR="001A62D7" w:rsidRPr="00A33550" w:rsidRDefault="001A62D7" w:rsidP="00052CC7">
            <w:pPr>
              <w:spacing w:before="60" w:after="60"/>
              <w:ind w:rightChars="192" w:right="461"/>
              <w:jc w:val="left"/>
              <w:rPr>
                <w:rFonts w:eastAsia="Calibri"/>
                <w:noProof/>
              </w:rPr>
            </w:pPr>
            <w:r w:rsidRPr="00A33550">
              <w:rPr>
                <w:noProof/>
              </w:rPr>
              <w:t>Määruse (EL) 2021/691 artikli 4 lõike 2 punkt a</w:t>
            </w:r>
          </w:p>
        </w:tc>
      </w:tr>
      <w:tr w:rsidR="001A62D7" w:rsidRPr="00A33550" w:rsidTr="00052CC7">
        <w:tc>
          <w:tcPr>
            <w:tcW w:w="4908" w:type="dxa"/>
            <w:tcBorders>
              <w:top w:val="single" w:sz="4" w:space="0" w:color="auto"/>
              <w:bottom w:val="single" w:sz="4" w:space="0" w:color="auto"/>
              <w:right w:val="single" w:sz="4" w:space="0" w:color="auto"/>
            </w:tcBorders>
            <w:shd w:val="clear" w:color="auto" w:fill="auto"/>
          </w:tcPr>
          <w:p w:rsidR="001A62D7" w:rsidRPr="00A33550" w:rsidRDefault="001A62D7" w:rsidP="00052CC7">
            <w:pPr>
              <w:spacing w:before="60" w:after="60"/>
              <w:jc w:val="left"/>
              <w:rPr>
                <w:rFonts w:eastAsia="Calibri"/>
                <w:noProof/>
              </w:rPr>
            </w:pPr>
            <w:r w:rsidRPr="00A33550">
              <w:rPr>
                <w:noProof/>
              </w:rPr>
              <w:br w:type="page"/>
              <w:t>Põhiettevõtja</w:t>
            </w:r>
          </w:p>
        </w:tc>
        <w:tc>
          <w:tcPr>
            <w:tcW w:w="4379" w:type="dxa"/>
            <w:tcBorders>
              <w:top w:val="single" w:sz="4" w:space="0" w:color="auto"/>
              <w:left w:val="single" w:sz="4" w:space="0" w:color="auto"/>
              <w:bottom w:val="single" w:sz="4" w:space="0" w:color="auto"/>
            </w:tcBorders>
            <w:shd w:val="clear" w:color="auto" w:fill="auto"/>
          </w:tcPr>
          <w:p w:rsidR="001A62D7" w:rsidRPr="00A33550" w:rsidRDefault="00184853" w:rsidP="00052CC7">
            <w:pPr>
              <w:spacing w:before="60" w:after="60"/>
              <w:ind w:rightChars="192" w:right="461"/>
              <w:jc w:val="left"/>
              <w:rPr>
                <w:noProof/>
                <w:szCs w:val="24"/>
              </w:rPr>
            </w:pPr>
            <w:r w:rsidRPr="00A33550">
              <w:rPr>
                <w:noProof/>
              </w:rPr>
              <w:t>Northvolt (Northvolt AB)</w:t>
            </w:r>
          </w:p>
        </w:tc>
      </w:tr>
      <w:tr w:rsidR="001A62D7" w:rsidRPr="00A33550" w:rsidTr="00052CC7">
        <w:tc>
          <w:tcPr>
            <w:tcW w:w="4908" w:type="dxa"/>
            <w:tcBorders>
              <w:top w:val="single" w:sz="4" w:space="0" w:color="auto"/>
              <w:bottom w:val="single" w:sz="4" w:space="0" w:color="auto"/>
              <w:right w:val="single" w:sz="4" w:space="0" w:color="auto"/>
            </w:tcBorders>
            <w:shd w:val="clear" w:color="auto" w:fill="auto"/>
          </w:tcPr>
          <w:p w:rsidR="001A62D7" w:rsidRPr="00A33550" w:rsidRDefault="001A62D7" w:rsidP="00052CC7">
            <w:pPr>
              <w:spacing w:before="60" w:after="60"/>
              <w:jc w:val="left"/>
              <w:rPr>
                <w:rFonts w:eastAsia="Calibri"/>
                <w:noProof/>
              </w:rPr>
            </w:pPr>
            <w:r w:rsidRPr="00A33550">
              <w:rPr>
                <w:noProof/>
              </w:rPr>
              <w:br w:type="page"/>
              <w:t>Asjaomaste ettevõtjate arv</w:t>
            </w:r>
            <w:r w:rsidRPr="00A33550">
              <w:rPr>
                <w:rStyle w:val="FootnoteReference"/>
                <w:rFonts w:eastAsia="Calibri"/>
                <w:noProof/>
              </w:rPr>
              <w:footnoteReference w:id="4"/>
            </w:r>
          </w:p>
        </w:tc>
        <w:tc>
          <w:tcPr>
            <w:tcW w:w="4379" w:type="dxa"/>
            <w:tcBorders>
              <w:top w:val="single" w:sz="4" w:space="0" w:color="auto"/>
              <w:left w:val="single" w:sz="4" w:space="0" w:color="auto"/>
              <w:bottom w:val="single" w:sz="4" w:space="0" w:color="auto"/>
            </w:tcBorders>
            <w:shd w:val="clear" w:color="auto" w:fill="auto"/>
          </w:tcPr>
          <w:p w:rsidR="001A62D7" w:rsidRPr="00A33550" w:rsidRDefault="00E8095D" w:rsidP="00052CC7">
            <w:pPr>
              <w:spacing w:before="60" w:after="60"/>
              <w:ind w:rightChars="192" w:right="461"/>
              <w:jc w:val="left"/>
              <w:rPr>
                <w:noProof/>
                <w:szCs w:val="24"/>
              </w:rPr>
            </w:pPr>
            <w:r w:rsidRPr="00A33550">
              <w:rPr>
                <w:noProof/>
              </w:rPr>
              <w:t>14</w:t>
            </w:r>
          </w:p>
        </w:tc>
      </w:tr>
      <w:tr w:rsidR="001A62D7" w:rsidRPr="00A33550" w:rsidTr="00052CC7">
        <w:tc>
          <w:tcPr>
            <w:tcW w:w="4908" w:type="dxa"/>
            <w:shd w:val="clear" w:color="auto" w:fill="auto"/>
          </w:tcPr>
          <w:p w:rsidR="001A62D7" w:rsidRPr="00A33550" w:rsidRDefault="001A62D7" w:rsidP="00052CC7">
            <w:pPr>
              <w:spacing w:before="60" w:after="60"/>
              <w:jc w:val="left"/>
              <w:rPr>
                <w:rFonts w:eastAsia="Calibri"/>
                <w:noProof/>
              </w:rPr>
            </w:pPr>
            <w:r w:rsidRPr="00A33550">
              <w:rPr>
                <w:noProof/>
              </w:rPr>
              <w:t>Põhiettevõtja majandustegevuse sektor</w:t>
            </w:r>
          </w:p>
          <w:p w:rsidR="001A62D7" w:rsidRPr="00A33550" w:rsidRDefault="001A62D7" w:rsidP="00052CC7">
            <w:pPr>
              <w:spacing w:before="60" w:after="60"/>
              <w:jc w:val="left"/>
              <w:rPr>
                <w:rFonts w:eastAsia="Calibri"/>
                <w:noProof/>
              </w:rPr>
            </w:pPr>
            <w:r w:rsidRPr="00A33550">
              <w:rPr>
                <w:noProof/>
              </w:rPr>
              <w:t>(NACE Revision 2 osa)</w:t>
            </w:r>
            <w:r w:rsidRPr="00A33550">
              <w:rPr>
                <w:rStyle w:val="FootnoteReference"/>
                <w:noProof/>
                <w:szCs w:val="24"/>
              </w:rPr>
              <w:footnoteReference w:id="5"/>
            </w:r>
          </w:p>
        </w:tc>
        <w:tc>
          <w:tcPr>
            <w:tcW w:w="4379" w:type="dxa"/>
            <w:shd w:val="clear" w:color="auto" w:fill="auto"/>
          </w:tcPr>
          <w:p w:rsidR="001A62D7" w:rsidRPr="00A33550" w:rsidRDefault="001A62D7" w:rsidP="00B907AD">
            <w:pPr>
              <w:spacing w:before="60" w:after="60"/>
              <w:ind w:rightChars="192" w:right="461"/>
              <w:rPr>
                <w:rFonts w:eastAsia="Calibri"/>
                <w:noProof/>
              </w:rPr>
            </w:pPr>
            <w:r w:rsidRPr="00A33550">
              <w:rPr>
                <w:noProof/>
              </w:rPr>
              <w:t>Osa 71 (arhitekti- ja inseneritegevused; tehniline katsetamine ja analüüs)</w:t>
            </w:r>
          </w:p>
        </w:tc>
      </w:tr>
      <w:tr w:rsidR="00A15112" w:rsidRPr="00A33550" w:rsidTr="00052CC7">
        <w:tc>
          <w:tcPr>
            <w:tcW w:w="4908" w:type="dxa"/>
            <w:shd w:val="clear" w:color="auto" w:fill="auto"/>
          </w:tcPr>
          <w:p w:rsidR="00A15112" w:rsidRPr="00A33550" w:rsidRDefault="00A15112" w:rsidP="00A15112">
            <w:pPr>
              <w:spacing w:before="60" w:after="60"/>
              <w:jc w:val="left"/>
              <w:rPr>
                <w:rFonts w:eastAsia="Calibri"/>
                <w:noProof/>
              </w:rPr>
            </w:pPr>
            <w:r w:rsidRPr="00A33550">
              <w:rPr>
                <w:noProof/>
              </w:rPr>
              <w:br w:type="page"/>
              <w:t>Tütarettevõtjate, tarnijate ja tootmisahela järgmise etapi tootjate arv</w:t>
            </w:r>
            <w:r w:rsidRPr="00A33550">
              <w:rPr>
                <w:rStyle w:val="FootnoteReference"/>
                <w:rFonts w:eastAsia="Calibri"/>
                <w:noProof/>
              </w:rPr>
              <w:footnoteReference w:id="6"/>
            </w:r>
          </w:p>
        </w:tc>
        <w:tc>
          <w:tcPr>
            <w:tcW w:w="4379" w:type="dxa"/>
            <w:shd w:val="clear" w:color="auto" w:fill="auto"/>
          </w:tcPr>
          <w:p w:rsidR="00A15112" w:rsidRPr="00A33550" w:rsidRDefault="00A15112" w:rsidP="00A15112">
            <w:pPr>
              <w:spacing w:before="60" w:after="60"/>
              <w:ind w:rightChars="192" w:right="461"/>
              <w:jc w:val="left"/>
              <w:rPr>
                <w:rFonts w:eastAsia="Calibri"/>
                <w:noProof/>
              </w:rPr>
            </w:pPr>
            <w:r w:rsidRPr="00A33550">
              <w:rPr>
                <w:noProof/>
                <w:color w:val="FFFFFF" w:themeColor="background1"/>
              </w:rPr>
              <w:t>8</w:t>
            </w:r>
            <w:r w:rsidRPr="00A33550">
              <w:rPr>
                <w:noProof/>
              </w:rPr>
              <w:t>8</w:t>
            </w:r>
          </w:p>
        </w:tc>
      </w:tr>
      <w:tr w:rsidR="00A15112" w:rsidRPr="00A33550" w:rsidTr="00052CC7">
        <w:tc>
          <w:tcPr>
            <w:tcW w:w="4908" w:type="dxa"/>
            <w:tcBorders>
              <w:bottom w:val="single" w:sz="4" w:space="0" w:color="auto"/>
            </w:tcBorders>
            <w:shd w:val="clear" w:color="auto" w:fill="auto"/>
          </w:tcPr>
          <w:p w:rsidR="00A15112" w:rsidRPr="00A33550" w:rsidRDefault="00A15112" w:rsidP="00A15112">
            <w:pPr>
              <w:spacing w:before="60" w:after="60"/>
              <w:jc w:val="left"/>
              <w:rPr>
                <w:rFonts w:eastAsia="Calibri"/>
                <w:noProof/>
              </w:rPr>
            </w:pPr>
            <w:r w:rsidRPr="00A33550">
              <w:rPr>
                <w:noProof/>
              </w:rPr>
              <w:t>Vaatlusperiood (neli kuud):</w:t>
            </w:r>
          </w:p>
        </w:tc>
        <w:tc>
          <w:tcPr>
            <w:tcW w:w="4379" w:type="dxa"/>
            <w:tcBorders>
              <w:bottom w:val="single" w:sz="4" w:space="0" w:color="auto"/>
            </w:tcBorders>
            <w:shd w:val="clear" w:color="auto" w:fill="auto"/>
          </w:tcPr>
          <w:p w:rsidR="00A15112" w:rsidRPr="00A33550" w:rsidRDefault="00A15112" w:rsidP="00A15112">
            <w:pPr>
              <w:spacing w:before="60" w:after="60"/>
              <w:ind w:rightChars="192" w:right="461"/>
              <w:jc w:val="left"/>
              <w:rPr>
                <w:rFonts w:eastAsia="Calibri"/>
                <w:noProof/>
              </w:rPr>
            </w:pPr>
            <w:r w:rsidRPr="00A33550">
              <w:rPr>
                <w:noProof/>
              </w:rPr>
              <w:t>28. november 2024 kuni 28. märts 2025</w:t>
            </w:r>
          </w:p>
        </w:tc>
      </w:tr>
      <w:tr w:rsidR="00A15112" w:rsidRPr="00A33550" w:rsidTr="00052CC7">
        <w:tc>
          <w:tcPr>
            <w:tcW w:w="4908" w:type="dxa"/>
            <w:tcBorders>
              <w:bottom w:val="dotted" w:sz="4" w:space="0" w:color="auto"/>
            </w:tcBorders>
            <w:shd w:val="clear" w:color="auto" w:fill="auto"/>
          </w:tcPr>
          <w:p w:rsidR="00A15112" w:rsidRPr="00A33550" w:rsidRDefault="00A15112" w:rsidP="00A15112">
            <w:pPr>
              <w:spacing w:before="60" w:after="60"/>
              <w:jc w:val="left"/>
              <w:rPr>
                <w:rFonts w:eastAsia="Calibri"/>
                <w:noProof/>
                <w:highlight w:val="magenta"/>
              </w:rPr>
            </w:pPr>
            <w:r w:rsidRPr="00A33550">
              <w:rPr>
                <w:noProof/>
              </w:rPr>
              <w:t>Koondamiste arv vaatlusperioodil (</w:t>
            </w:r>
            <w:r w:rsidRPr="00A33550">
              <w:rPr>
                <w:i/>
                <w:noProof/>
              </w:rPr>
              <w:t>a</w:t>
            </w:r>
            <w:r w:rsidRPr="00A33550">
              <w:rPr>
                <w:noProof/>
              </w:rPr>
              <w:t>)</w:t>
            </w:r>
          </w:p>
        </w:tc>
        <w:tc>
          <w:tcPr>
            <w:tcW w:w="4379" w:type="dxa"/>
            <w:tcBorders>
              <w:bottom w:val="dotted" w:sz="4" w:space="0" w:color="auto"/>
            </w:tcBorders>
            <w:shd w:val="clear" w:color="auto" w:fill="auto"/>
          </w:tcPr>
          <w:p w:rsidR="00A15112" w:rsidRPr="00A33550" w:rsidRDefault="00A15112" w:rsidP="00A15112">
            <w:pPr>
              <w:spacing w:before="60" w:after="60"/>
              <w:ind w:rightChars="192" w:right="461"/>
              <w:jc w:val="left"/>
              <w:rPr>
                <w:rFonts w:eastAsia="Calibri"/>
                <w:noProof/>
                <w:highlight w:val="magenta"/>
              </w:rPr>
            </w:pPr>
            <w:r w:rsidRPr="00A33550">
              <w:rPr>
                <w:noProof/>
              </w:rPr>
              <w:t>5 829</w:t>
            </w:r>
          </w:p>
        </w:tc>
      </w:tr>
      <w:tr w:rsidR="00A15112" w:rsidRPr="00A33550" w:rsidTr="00052CC7">
        <w:tc>
          <w:tcPr>
            <w:tcW w:w="4908" w:type="dxa"/>
            <w:tcBorders>
              <w:top w:val="dotted" w:sz="4" w:space="0" w:color="auto"/>
              <w:bottom w:val="dotted" w:sz="4" w:space="0" w:color="auto"/>
            </w:tcBorders>
            <w:shd w:val="clear" w:color="auto" w:fill="auto"/>
          </w:tcPr>
          <w:p w:rsidR="00A15112" w:rsidRPr="00A33550" w:rsidRDefault="00A15112" w:rsidP="00A15112">
            <w:pPr>
              <w:spacing w:before="60" w:after="60"/>
              <w:jc w:val="left"/>
              <w:rPr>
                <w:rFonts w:eastAsia="Calibri"/>
                <w:noProof/>
                <w:highlight w:val="magenta"/>
              </w:rPr>
            </w:pPr>
            <w:r w:rsidRPr="00A33550">
              <w:rPr>
                <w:noProof/>
              </w:rPr>
              <w:t>Koondamiste arv enne või pärast vaatlusperioodi (</w:t>
            </w:r>
            <w:r w:rsidRPr="00A33550">
              <w:rPr>
                <w:i/>
                <w:noProof/>
              </w:rPr>
              <w:t>b</w:t>
            </w:r>
            <w:r w:rsidRPr="00A33550">
              <w:rPr>
                <w:noProof/>
              </w:rPr>
              <w:t>)</w:t>
            </w:r>
          </w:p>
        </w:tc>
        <w:tc>
          <w:tcPr>
            <w:tcW w:w="4379" w:type="dxa"/>
            <w:tcBorders>
              <w:top w:val="dotted" w:sz="4" w:space="0" w:color="auto"/>
              <w:bottom w:val="dotted" w:sz="4" w:space="0" w:color="auto"/>
            </w:tcBorders>
            <w:shd w:val="clear" w:color="auto" w:fill="auto"/>
          </w:tcPr>
          <w:p w:rsidR="00A15112" w:rsidRPr="00A33550" w:rsidRDefault="00A15112" w:rsidP="00A15112">
            <w:pPr>
              <w:spacing w:before="60" w:after="60"/>
              <w:ind w:rightChars="192" w:right="461"/>
              <w:jc w:val="left"/>
              <w:rPr>
                <w:rFonts w:eastAsia="Calibri"/>
                <w:noProof/>
              </w:rPr>
            </w:pPr>
            <w:r w:rsidRPr="00A33550">
              <w:rPr>
                <w:noProof/>
              </w:rPr>
              <w:t>657</w:t>
            </w:r>
          </w:p>
        </w:tc>
      </w:tr>
      <w:tr w:rsidR="00A15112" w:rsidRPr="00A33550" w:rsidTr="00052CC7">
        <w:tc>
          <w:tcPr>
            <w:tcW w:w="4908" w:type="dxa"/>
            <w:tcBorders>
              <w:top w:val="dotted" w:sz="4" w:space="0" w:color="auto"/>
              <w:bottom w:val="single" w:sz="4" w:space="0" w:color="auto"/>
            </w:tcBorders>
            <w:shd w:val="clear" w:color="auto" w:fill="auto"/>
          </w:tcPr>
          <w:p w:rsidR="00A15112" w:rsidRPr="00A33550" w:rsidRDefault="00A15112" w:rsidP="00A15112">
            <w:pPr>
              <w:spacing w:before="60" w:after="60"/>
              <w:jc w:val="left"/>
              <w:rPr>
                <w:rFonts w:eastAsia="Calibri"/>
                <w:noProof/>
              </w:rPr>
            </w:pPr>
            <w:r w:rsidRPr="00A33550">
              <w:rPr>
                <w:noProof/>
              </w:rPr>
              <w:t>Koondamisi kokku (</w:t>
            </w:r>
            <w:r w:rsidRPr="00A33550">
              <w:rPr>
                <w:i/>
                <w:noProof/>
              </w:rPr>
              <w:t>a</w:t>
            </w:r>
            <w:r w:rsidRPr="00A33550">
              <w:rPr>
                <w:noProof/>
              </w:rPr>
              <w:t xml:space="preserve"> + </w:t>
            </w:r>
            <w:r w:rsidRPr="00A33550">
              <w:rPr>
                <w:i/>
                <w:noProof/>
              </w:rPr>
              <w:t>b</w:t>
            </w:r>
            <w:r w:rsidRPr="00A33550">
              <w:rPr>
                <w:noProof/>
              </w:rPr>
              <w:t>)</w:t>
            </w:r>
          </w:p>
        </w:tc>
        <w:tc>
          <w:tcPr>
            <w:tcW w:w="4379" w:type="dxa"/>
            <w:tcBorders>
              <w:top w:val="dotted" w:sz="4" w:space="0" w:color="auto"/>
              <w:bottom w:val="single" w:sz="4" w:space="0" w:color="auto"/>
            </w:tcBorders>
            <w:shd w:val="clear" w:color="auto" w:fill="auto"/>
          </w:tcPr>
          <w:p w:rsidR="00A15112" w:rsidRPr="00A33550" w:rsidRDefault="00A15112" w:rsidP="00A15112">
            <w:pPr>
              <w:spacing w:before="60" w:after="60"/>
              <w:ind w:rightChars="192" w:right="461"/>
              <w:jc w:val="left"/>
              <w:rPr>
                <w:rFonts w:eastAsia="Calibri"/>
                <w:noProof/>
              </w:rPr>
            </w:pPr>
            <w:r w:rsidRPr="00A33550">
              <w:rPr>
                <w:noProof/>
              </w:rPr>
              <w:t>6 486</w:t>
            </w:r>
          </w:p>
        </w:tc>
      </w:tr>
      <w:tr w:rsidR="00A15112" w:rsidRPr="00A33550" w:rsidTr="00052CC7">
        <w:tc>
          <w:tcPr>
            <w:tcW w:w="4908" w:type="dxa"/>
            <w:tcBorders>
              <w:bottom w:val="dotted" w:sz="4" w:space="0" w:color="auto"/>
            </w:tcBorders>
            <w:shd w:val="clear" w:color="auto" w:fill="auto"/>
          </w:tcPr>
          <w:p w:rsidR="00A15112" w:rsidRPr="00A33550" w:rsidRDefault="00A15112" w:rsidP="00A15112">
            <w:pPr>
              <w:spacing w:before="60" w:after="60"/>
              <w:jc w:val="left"/>
              <w:rPr>
                <w:rFonts w:eastAsia="Calibri"/>
                <w:noProof/>
              </w:rPr>
            </w:pPr>
            <w:r w:rsidRPr="00A33550">
              <w:rPr>
                <w:noProof/>
              </w:rPr>
              <w:t>Rahastamisnõuetele vastavate toetusesaajate koguarv</w:t>
            </w:r>
          </w:p>
        </w:tc>
        <w:tc>
          <w:tcPr>
            <w:tcW w:w="4379" w:type="dxa"/>
            <w:tcBorders>
              <w:bottom w:val="dotted" w:sz="4" w:space="0" w:color="auto"/>
            </w:tcBorders>
            <w:shd w:val="clear" w:color="auto" w:fill="auto"/>
          </w:tcPr>
          <w:p w:rsidR="00A15112" w:rsidRPr="00A33550" w:rsidRDefault="00A15112" w:rsidP="00A15112">
            <w:pPr>
              <w:spacing w:before="60" w:after="60"/>
              <w:ind w:rightChars="192" w:right="461"/>
              <w:jc w:val="left"/>
              <w:rPr>
                <w:rFonts w:eastAsia="Calibri"/>
                <w:noProof/>
              </w:rPr>
            </w:pPr>
            <w:r w:rsidRPr="00A33550">
              <w:rPr>
                <w:noProof/>
              </w:rPr>
              <w:t>6 486</w:t>
            </w:r>
          </w:p>
        </w:tc>
      </w:tr>
      <w:tr w:rsidR="00A15112" w:rsidRPr="00A33550" w:rsidTr="00052CC7">
        <w:tc>
          <w:tcPr>
            <w:tcW w:w="4908" w:type="dxa"/>
            <w:tcBorders>
              <w:top w:val="dotted" w:sz="4" w:space="0" w:color="auto"/>
              <w:bottom w:val="dotted" w:sz="4" w:space="0" w:color="auto"/>
            </w:tcBorders>
            <w:shd w:val="clear" w:color="auto" w:fill="auto"/>
          </w:tcPr>
          <w:p w:rsidR="00A15112" w:rsidRPr="00A33550" w:rsidRDefault="00A15112" w:rsidP="00A15112">
            <w:pPr>
              <w:spacing w:before="60" w:after="60"/>
              <w:jc w:val="left"/>
              <w:rPr>
                <w:rFonts w:eastAsia="Calibri"/>
                <w:noProof/>
              </w:rPr>
            </w:pPr>
            <w:r w:rsidRPr="00A33550">
              <w:rPr>
                <w:noProof/>
              </w:rPr>
              <w:t>Sihtrühma kuuluvate toetusesaajate koguarv</w:t>
            </w:r>
          </w:p>
        </w:tc>
        <w:tc>
          <w:tcPr>
            <w:tcW w:w="4379" w:type="dxa"/>
            <w:tcBorders>
              <w:top w:val="dotted" w:sz="4" w:space="0" w:color="auto"/>
              <w:bottom w:val="dotted" w:sz="4" w:space="0" w:color="auto"/>
            </w:tcBorders>
            <w:shd w:val="clear" w:color="auto" w:fill="auto"/>
          </w:tcPr>
          <w:p w:rsidR="00A15112" w:rsidRPr="00A33550" w:rsidRDefault="00A15112" w:rsidP="00A15112">
            <w:pPr>
              <w:spacing w:before="60" w:after="60"/>
              <w:ind w:rightChars="192" w:right="461"/>
              <w:jc w:val="left"/>
              <w:rPr>
                <w:rFonts w:eastAsia="Calibri"/>
                <w:noProof/>
              </w:rPr>
            </w:pPr>
            <w:r w:rsidRPr="00A33550">
              <w:rPr>
                <w:noProof/>
              </w:rPr>
              <w:t>5 800</w:t>
            </w:r>
          </w:p>
        </w:tc>
      </w:tr>
      <w:tr w:rsidR="00A15112" w:rsidRPr="00A33550" w:rsidTr="00052CC7">
        <w:tc>
          <w:tcPr>
            <w:tcW w:w="4908" w:type="dxa"/>
            <w:tcBorders>
              <w:bottom w:val="dotted" w:sz="4" w:space="0" w:color="auto"/>
            </w:tcBorders>
            <w:shd w:val="clear" w:color="auto" w:fill="auto"/>
            <w:vAlign w:val="center"/>
          </w:tcPr>
          <w:p w:rsidR="00A15112" w:rsidRPr="00A33550" w:rsidRDefault="00A15112" w:rsidP="00A15112">
            <w:pPr>
              <w:spacing w:before="0" w:after="0"/>
              <w:jc w:val="left"/>
              <w:rPr>
                <w:noProof/>
              </w:rPr>
            </w:pPr>
            <w:r w:rsidRPr="00A33550">
              <w:rPr>
                <w:noProof/>
              </w:rPr>
              <w:t>Individuaalsete teenuste eelarve (eurodes)</w:t>
            </w:r>
          </w:p>
        </w:tc>
        <w:tc>
          <w:tcPr>
            <w:tcW w:w="4379" w:type="dxa"/>
            <w:tcBorders>
              <w:bottom w:val="dotted" w:sz="4" w:space="0" w:color="auto"/>
            </w:tcBorders>
            <w:shd w:val="clear" w:color="auto" w:fill="auto"/>
            <w:vAlign w:val="center"/>
          </w:tcPr>
          <w:p w:rsidR="00A15112" w:rsidRPr="00A33550" w:rsidRDefault="00A15112" w:rsidP="00A15112">
            <w:pPr>
              <w:spacing w:before="0" w:after="0"/>
              <w:ind w:rightChars="192" w:right="461"/>
              <w:jc w:val="left"/>
              <w:rPr>
                <w:noProof/>
              </w:rPr>
            </w:pPr>
            <w:r w:rsidRPr="00A33550">
              <w:rPr>
                <w:noProof/>
              </w:rPr>
              <w:t>13 663 977</w:t>
            </w:r>
          </w:p>
        </w:tc>
      </w:tr>
      <w:tr w:rsidR="00A15112" w:rsidRPr="00A33550" w:rsidTr="00052CC7">
        <w:tc>
          <w:tcPr>
            <w:tcW w:w="4908" w:type="dxa"/>
            <w:tcBorders>
              <w:top w:val="dotted" w:sz="4" w:space="0" w:color="auto"/>
              <w:bottom w:val="dotted" w:sz="4" w:space="0" w:color="auto"/>
            </w:tcBorders>
            <w:shd w:val="clear" w:color="auto" w:fill="auto"/>
            <w:vAlign w:val="center"/>
          </w:tcPr>
          <w:p w:rsidR="00A15112" w:rsidRPr="00A33550" w:rsidRDefault="00A15112" w:rsidP="00A15112">
            <w:pPr>
              <w:spacing w:before="0" w:after="0"/>
              <w:jc w:val="left"/>
              <w:rPr>
                <w:noProof/>
              </w:rPr>
            </w:pPr>
            <w:r w:rsidRPr="00A33550">
              <w:rPr>
                <w:noProof/>
              </w:rPr>
              <w:t>EGFi rakendamise eelarve</w:t>
            </w:r>
            <w:r w:rsidRPr="00A33550">
              <w:rPr>
                <w:rStyle w:val="FootnoteReference"/>
                <w:noProof/>
              </w:rPr>
              <w:footnoteReference w:id="7"/>
            </w:r>
            <w:r w:rsidRPr="00A33550">
              <w:rPr>
                <w:noProof/>
              </w:rPr>
              <w:t xml:space="preserve"> (eurodes)</w:t>
            </w:r>
          </w:p>
        </w:tc>
        <w:tc>
          <w:tcPr>
            <w:tcW w:w="4379" w:type="dxa"/>
            <w:tcBorders>
              <w:top w:val="dotted" w:sz="4" w:space="0" w:color="auto"/>
              <w:bottom w:val="dotted" w:sz="4" w:space="0" w:color="auto"/>
            </w:tcBorders>
            <w:shd w:val="clear" w:color="auto" w:fill="auto"/>
            <w:vAlign w:val="center"/>
          </w:tcPr>
          <w:p w:rsidR="00A15112" w:rsidRPr="00A33550" w:rsidRDefault="00A15112" w:rsidP="00A15112">
            <w:pPr>
              <w:spacing w:before="0" w:after="0"/>
              <w:ind w:rightChars="192" w:right="461"/>
              <w:jc w:val="left"/>
              <w:rPr>
                <w:noProof/>
              </w:rPr>
            </w:pPr>
            <w:r w:rsidRPr="00A33550">
              <w:rPr>
                <w:noProof/>
              </w:rPr>
              <w:t>546 560</w:t>
            </w:r>
          </w:p>
        </w:tc>
      </w:tr>
      <w:tr w:rsidR="00A15112" w:rsidRPr="00A33550" w:rsidTr="00052CC7">
        <w:tc>
          <w:tcPr>
            <w:tcW w:w="4908" w:type="dxa"/>
            <w:tcBorders>
              <w:top w:val="dotted" w:sz="4" w:space="0" w:color="auto"/>
              <w:bottom w:val="dotted" w:sz="4" w:space="0" w:color="auto"/>
            </w:tcBorders>
            <w:shd w:val="clear" w:color="auto" w:fill="auto"/>
            <w:vAlign w:val="center"/>
          </w:tcPr>
          <w:p w:rsidR="00A15112" w:rsidRPr="00A33550" w:rsidRDefault="00A15112" w:rsidP="00A15112">
            <w:pPr>
              <w:spacing w:before="0" w:after="0"/>
              <w:jc w:val="left"/>
              <w:rPr>
                <w:noProof/>
              </w:rPr>
            </w:pPr>
            <w:r w:rsidRPr="00A33550">
              <w:rPr>
                <w:noProof/>
              </w:rPr>
              <w:t>Kogueelarve (eurodes)</w:t>
            </w:r>
          </w:p>
        </w:tc>
        <w:tc>
          <w:tcPr>
            <w:tcW w:w="4379" w:type="dxa"/>
            <w:tcBorders>
              <w:top w:val="dotted" w:sz="4" w:space="0" w:color="auto"/>
              <w:bottom w:val="dotted" w:sz="4" w:space="0" w:color="auto"/>
            </w:tcBorders>
            <w:shd w:val="clear" w:color="auto" w:fill="auto"/>
            <w:vAlign w:val="center"/>
          </w:tcPr>
          <w:p w:rsidR="00A15112" w:rsidRPr="00A33550" w:rsidRDefault="00A15112" w:rsidP="00A15112">
            <w:pPr>
              <w:spacing w:before="0" w:after="0"/>
              <w:ind w:rightChars="192" w:right="461"/>
              <w:jc w:val="left"/>
              <w:rPr>
                <w:noProof/>
              </w:rPr>
            </w:pPr>
            <w:r w:rsidRPr="00A33550">
              <w:rPr>
                <w:noProof/>
              </w:rPr>
              <w:t>14 210 537</w:t>
            </w:r>
          </w:p>
        </w:tc>
      </w:tr>
      <w:tr w:rsidR="00A15112" w:rsidRPr="00A33550" w:rsidTr="00052CC7">
        <w:tc>
          <w:tcPr>
            <w:tcW w:w="4908" w:type="dxa"/>
            <w:tcBorders>
              <w:top w:val="dotted" w:sz="4" w:space="0" w:color="auto"/>
            </w:tcBorders>
            <w:shd w:val="clear" w:color="auto" w:fill="auto"/>
            <w:vAlign w:val="center"/>
          </w:tcPr>
          <w:p w:rsidR="00A15112" w:rsidRPr="00A33550" w:rsidRDefault="00A15112" w:rsidP="00A15112">
            <w:pPr>
              <w:spacing w:before="0" w:after="0"/>
              <w:jc w:val="left"/>
              <w:rPr>
                <w:noProof/>
              </w:rPr>
            </w:pPr>
            <w:r w:rsidRPr="00A33550">
              <w:rPr>
                <w:noProof/>
              </w:rPr>
              <w:t>EGFi toetus (60 %) (eurodes)</w:t>
            </w:r>
          </w:p>
        </w:tc>
        <w:tc>
          <w:tcPr>
            <w:tcW w:w="4379" w:type="dxa"/>
            <w:tcBorders>
              <w:top w:val="dotted" w:sz="4" w:space="0" w:color="auto"/>
            </w:tcBorders>
            <w:shd w:val="clear" w:color="auto" w:fill="auto"/>
            <w:vAlign w:val="center"/>
          </w:tcPr>
          <w:p w:rsidR="00A15112" w:rsidRPr="00A33550" w:rsidRDefault="00A15112" w:rsidP="00A15112">
            <w:pPr>
              <w:spacing w:before="0" w:after="0"/>
              <w:ind w:rightChars="192" w:right="461"/>
              <w:jc w:val="left"/>
              <w:rPr>
                <w:noProof/>
              </w:rPr>
            </w:pPr>
            <w:r w:rsidRPr="00A33550">
              <w:rPr>
                <w:noProof/>
              </w:rPr>
              <w:t>8 526 322</w:t>
            </w:r>
          </w:p>
        </w:tc>
      </w:tr>
    </w:tbl>
    <w:p w:rsidR="001A62D7" w:rsidRPr="00A33550" w:rsidRDefault="001A62D7" w:rsidP="001A62D7">
      <w:pPr>
        <w:pStyle w:val="ManualHeading1"/>
        <w:rPr>
          <w:noProof/>
        </w:rPr>
      </w:pPr>
      <w:r w:rsidRPr="00A33550">
        <w:rPr>
          <w:noProof/>
        </w:rPr>
        <w:t>TAOTLUSE HINDAMINE</w:t>
      </w:r>
    </w:p>
    <w:p w:rsidR="001A62D7" w:rsidRPr="00A33550" w:rsidRDefault="001A62D7" w:rsidP="001A62D7">
      <w:pPr>
        <w:pStyle w:val="ManualHeading2"/>
        <w:rPr>
          <w:noProof/>
        </w:rPr>
      </w:pPr>
      <w:r w:rsidRPr="00A33550">
        <w:rPr>
          <w:noProof/>
        </w:rPr>
        <w:t>Menetlus</w:t>
      </w:r>
    </w:p>
    <w:p w:rsidR="00985A79" w:rsidRPr="00A33550" w:rsidRDefault="008C6F8A" w:rsidP="008C6F8A">
      <w:pPr>
        <w:pStyle w:val="ManualNumPar1"/>
        <w:rPr>
          <w:noProof/>
        </w:rPr>
      </w:pPr>
      <w:r w:rsidRPr="008C6F8A">
        <w:rPr>
          <w:noProof/>
        </w:rPr>
        <w:t>4.</w:t>
      </w:r>
      <w:r w:rsidRPr="008C6F8A">
        <w:rPr>
          <w:noProof/>
        </w:rPr>
        <w:tab/>
      </w:r>
      <w:r w:rsidR="00A03141" w:rsidRPr="00A33550">
        <w:rPr>
          <w:noProof/>
        </w:rPr>
        <w:t>Rootsi esitas taotluse EGF/2025/003 SE/Northvolt 16. juunil 2025, s.t 12 nädala jooksul alates määruse (EL) 2021/691 artikli 4 lõike 2 punktis a sätestatud sekkumiskriteeriumide täitmise kuupäevast. Euroopa Komisjon teatas samal kuupäeval, et on taotluse kätte saanud. Komisjon sai taotluse tõlke kätte 18. juulil 2025 ja küsis Rootsilt lisateavet 4. augustil 2025. Lisateave esitati 15 tööpäeva jooksul alates teabenõude esitamise kuupäevast. Täieliku taotluse saamisest alates arvestatav 50 tööpäeva pikkune tähtaeg, mille jooksul komisjon peaks hindama taotluse vastavust rahalise toetuse andmise tingimustele, lõpeb 4. novembril 2025.</w:t>
      </w:r>
    </w:p>
    <w:p w:rsidR="001A62D7" w:rsidRPr="00A33550" w:rsidRDefault="001A62D7" w:rsidP="007F7E81">
      <w:pPr>
        <w:pStyle w:val="ManualHeading2"/>
        <w:rPr>
          <w:bCs/>
          <w:noProof/>
        </w:rPr>
      </w:pPr>
      <w:r w:rsidRPr="00A33550">
        <w:rPr>
          <w:noProof/>
        </w:rPr>
        <w:t>Taotluse rahastamiskõlblikkus</w:t>
      </w:r>
    </w:p>
    <w:p w:rsidR="001A62D7" w:rsidRPr="00A33550" w:rsidRDefault="001A62D7" w:rsidP="001A62D7">
      <w:pPr>
        <w:pStyle w:val="ManualHeading3"/>
        <w:rPr>
          <w:noProof/>
        </w:rPr>
      </w:pPr>
      <w:r w:rsidRPr="00A33550">
        <w:rPr>
          <w:noProof/>
        </w:rPr>
        <w:t>Asjaomased ettevõtjad ja toetusesaajad</w:t>
      </w:r>
    </w:p>
    <w:p w:rsidR="001A62D7" w:rsidRPr="00A33550" w:rsidRDefault="008C6F8A" w:rsidP="008C6F8A">
      <w:pPr>
        <w:pStyle w:val="ManualNumPar1"/>
        <w:rPr>
          <w:noProof/>
          <w:szCs w:val="24"/>
        </w:rPr>
      </w:pPr>
      <w:r w:rsidRPr="008C6F8A">
        <w:rPr>
          <w:noProof/>
        </w:rPr>
        <w:t>5.</w:t>
      </w:r>
      <w:r w:rsidRPr="008C6F8A">
        <w:rPr>
          <w:noProof/>
        </w:rPr>
        <w:tab/>
      </w:r>
      <w:r w:rsidR="001A62D7" w:rsidRPr="00A33550">
        <w:rPr>
          <w:noProof/>
        </w:rPr>
        <w:t>Taotlus on seotud 5829 töötajaga, kes koondati, kuna ettevõtja Northvolt (Northvolt AB) ja selle tütarettevõtjad, samuti kaheksa alltöövõtjat, tarnijat ja tootmisahela järgmise etapi tootjat lõpetasid tegevuse. Põhiettevõtja tegutses NACE Rev. 2 osa 71 (arhitekti- ja inseneritegevused; tehniline katsetamine ja analüüs) alla kuuluvas majandussektoris. Ettevõtja Northvolt koondamised toimusid peamiselt NUTS 2. tasandi piirkondades Övre Norrlandis (SE33), Stockholmis (SE11) ja Östra Mellansveriges (SE12).</w:t>
      </w:r>
    </w:p>
    <w:p w:rsidR="005822AE" w:rsidRPr="00A33550" w:rsidRDefault="005822AE" w:rsidP="005822AE">
      <w:pPr>
        <w:pStyle w:val="Text1"/>
        <w:rPr>
          <w:noProof/>
        </w:rPr>
      </w:pPr>
    </w:p>
    <w:p w:rsidR="005822AE" w:rsidRPr="00A33550" w:rsidRDefault="005822AE" w:rsidP="005822AE">
      <w:pPr>
        <w:pStyle w:val="Text1"/>
        <w:rPr>
          <w:noProof/>
        </w:rPr>
      </w:pPr>
    </w:p>
    <w:p w:rsidR="005822AE" w:rsidRPr="00A33550" w:rsidRDefault="005822AE" w:rsidP="005822AE">
      <w:pPr>
        <w:pStyle w:val="Text1"/>
        <w:rPr>
          <w:noProof/>
        </w:rPr>
      </w:pPr>
    </w:p>
    <w:tbl>
      <w:tblPr>
        <w:tblW w:w="83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80"/>
        <w:gridCol w:w="360"/>
        <w:gridCol w:w="2940"/>
        <w:gridCol w:w="600"/>
        <w:gridCol w:w="600"/>
      </w:tblGrid>
      <w:tr w:rsidR="001A62D7" w:rsidRPr="00A33550" w:rsidTr="00052CC7">
        <w:trPr>
          <w:trHeight w:val="284"/>
          <w:tblHeader/>
        </w:trPr>
        <w:tc>
          <w:tcPr>
            <w:tcW w:w="8340" w:type="dxa"/>
            <w:gridSpan w:val="6"/>
            <w:shd w:val="clear" w:color="auto" w:fill="D9D9D9" w:themeFill="background1" w:themeFillShade="D9"/>
          </w:tcPr>
          <w:p w:rsidR="001A62D7" w:rsidRPr="00A33550" w:rsidRDefault="001A62D7" w:rsidP="00052CC7">
            <w:pPr>
              <w:spacing w:beforeLines="20" w:before="48" w:afterLines="20" w:after="48" w:line="276" w:lineRule="auto"/>
              <w:ind w:left="57"/>
              <w:jc w:val="center"/>
              <w:rPr>
                <w:rFonts w:eastAsia="Calibri"/>
                <w:noProof/>
                <w:szCs w:val="24"/>
              </w:rPr>
            </w:pPr>
            <w:r w:rsidRPr="00A33550">
              <w:rPr>
                <w:b/>
                <w:noProof/>
              </w:rPr>
              <w:t>Ettevõtjad ja koondatud töötajate arv vaatlusperioodil</w:t>
            </w:r>
          </w:p>
        </w:tc>
      </w:tr>
      <w:tr w:rsidR="002A1949" w:rsidRPr="00A33550" w:rsidTr="00052CC7">
        <w:tc>
          <w:tcPr>
            <w:tcW w:w="3360" w:type="dxa"/>
            <w:tcBorders>
              <w:bottom w:val="nil"/>
              <w:right w:val="nil"/>
            </w:tcBorders>
            <w:shd w:val="clear" w:color="auto" w:fill="auto"/>
            <w:vAlign w:val="center"/>
          </w:tcPr>
          <w:p w:rsidR="002A1949" w:rsidRPr="00A33550" w:rsidDel="00B06F7C" w:rsidRDefault="002A1949" w:rsidP="00052CC7">
            <w:pPr>
              <w:spacing w:before="0" w:after="0"/>
              <w:ind w:right="252"/>
              <w:jc w:val="left"/>
              <w:rPr>
                <w:noProof/>
                <w:sz w:val="20"/>
              </w:rPr>
            </w:pPr>
            <w:r w:rsidRPr="00A33550">
              <w:rPr>
                <w:noProof/>
                <w:sz w:val="20"/>
              </w:rPr>
              <w:t>Põhiettevõtja ja tütarettevõtjad</w:t>
            </w:r>
            <w:r w:rsidRPr="00A33550">
              <w:rPr>
                <w:rStyle w:val="FootnoteReference"/>
                <w:noProof/>
                <w:sz w:val="20"/>
              </w:rPr>
              <w:footnoteReference w:id="8"/>
            </w:r>
          </w:p>
        </w:tc>
        <w:tc>
          <w:tcPr>
            <w:tcW w:w="840" w:type="dxa"/>
            <w:gridSpan w:val="2"/>
            <w:tcBorders>
              <w:left w:val="nil"/>
              <w:bottom w:val="nil"/>
            </w:tcBorders>
            <w:shd w:val="clear" w:color="auto" w:fill="auto"/>
            <w:vAlign w:val="center"/>
          </w:tcPr>
          <w:p w:rsidR="002A1949" w:rsidRPr="00A33550" w:rsidDel="00B06F7C" w:rsidRDefault="002A1949" w:rsidP="00052CC7">
            <w:pPr>
              <w:spacing w:before="0" w:after="0"/>
              <w:ind w:left="-828"/>
              <w:jc w:val="right"/>
              <w:rPr>
                <w:noProof/>
                <w:sz w:val="20"/>
                <w:szCs w:val="20"/>
              </w:rPr>
            </w:pPr>
          </w:p>
        </w:tc>
        <w:tc>
          <w:tcPr>
            <w:tcW w:w="3540" w:type="dxa"/>
            <w:gridSpan w:val="2"/>
            <w:tcBorders>
              <w:bottom w:val="nil"/>
              <w:right w:val="nil"/>
            </w:tcBorders>
            <w:shd w:val="clear" w:color="auto" w:fill="auto"/>
            <w:vAlign w:val="center"/>
          </w:tcPr>
          <w:p w:rsidR="002A1949" w:rsidRPr="00A33550" w:rsidDel="00B06F7C" w:rsidRDefault="002A1949" w:rsidP="00052CC7">
            <w:pPr>
              <w:spacing w:before="0" w:after="0"/>
              <w:jc w:val="left"/>
              <w:rPr>
                <w:noProof/>
                <w:sz w:val="20"/>
              </w:rPr>
            </w:pPr>
            <w:r w:rsidRPr="00A33550">
              <w:rPr>
                <w:noProof/>
                <w:sz w:val="20"/>
              </w:rPr>
              <w:t>Alltöövõtjad, tarnijad, tootmisahela järgmise etapi tootjad</w:t>
            </w:r>
          </w:p>
        </w:tc>
        <w:tc>
          <w:tcPr>
            <w:tcW w:w="600" w:type="dxa"/>
            <w:tcBorders>
              <w:left w:val="nil"/>
              <w:bottom w:val="nil"/>
            </w:tcBorders>
            <w:shd w:val="clear" w:color="auto" w:fill="auto"/>
            <w:vAlign w:val="center"/>
          </w:tcPr>
          <w:p w:rsidR="002A1949" w:rsidRPr="00A33550" w:rsidDel="00B06F7C" w:rsidRDefault="002A1949" w:rsidP="00052CC7">
            <w:pPr>
              <w:spacing w:before="0" w:after="0"/>
              <w:ind w:left="-828"/>
              <w:jc w:val="right"/>
              <w:rPr>
                <w:noProof/>
                <w:sz w:val="20"/>
                <w:szCs w:val="20"/>
              </w:rPr>
            </w:pPr>
          </w:p>
        </w:tc>
      </w:tr>
      <w:tr w:rsidR="001A62D7" w:rsidRPr="00A33550" w:rsidTr="00052CC7">
        <w:tc>
          <w:tcPr>
            <w:tcW w:w="3360" w:type="dxa"/>
            <w:tcBorders>
              <w:bottom w:val="nil"/>
              <w:right w:val="nil"/>
            </w:tcBorders>
            <w:shd w:val="clear" w:color="auto" w:fill="auto"/>
            <w:vAlign w:val="center"/>
          </w:tcPr>
          <w:p w:rsidR="001A62D7" w:rsidRPr="00A33550" w:rsidRDefault="00B06F7C" w:rsidP="00052CC7">
            <w:pPr>
              <w:spacing w:before="0" w:after="0"/>
              <w:ind w:right="252"/>
              <w:jc w:val="left"/>
              <w:rPr>
                <w:noProof/>
                <w:sz w:val="20"/>
              </w:rPr>
            </w:pPr>
            <w:bookmarkStart w:id="1" w:name="_Hlk209096157"/>
            <w:r w:rsidRPr="00A33550">
              <w:rPr>
                <w:noProof/>
                <w:sz w:val="20"/>
              </w:rPr>
              <w:t>Northvolt AB</w:t>
            </w:r>
          </w:p>
        </w:tc>
        <w:tc>
          <w:tcPr>
            <w:tcW w:w="840" w:type="dxa"/>
            <w:gridSpan w:val="2"/>
            <w:tcBorders>
              <w:left w:val="nil"/>
              <w:bottom w:val="nil"/>
            </w:tcBorders>
            <w:shd w:val="clear" w:color="auto" w:fill="auto"/>
            <w:vAlign w:val="center"/>
          </w:tcPr>
          <w:p w:rsidR="001A62D7" w:rsidRPr="00A33550" w:rsidRDefault="00A25E9A" w:rsidP="00052CC7">
            <w:pPr>
              <w:spacing w:before="0" w:after="0"/>
              <w:ind w:left="-828"/>
              <w:jc w:val="right"/>
              <w:rPr>
                <w:noProof/>
                <w:sz w:val="20"/>
                <w:szCs w:val="20"/>
              </w:rPr>
            </w:pPr>
            <w:r w:rsidRPr="00A33550">
              <w:rPr>
                <w:noProof/>
                <w:sz w:val="20"/>
              </w:rPr>
              <w:t>1 013</w:t>
            </w:r>
          </w:p>
        </w:tc>
        <w:tc>
          <w:tcPr>
            <w:tcW w:w="3540" w:type="dxa"/>
            <w:gridSpan w:val="2"/>
            <w:tcBorders>
              <w:bottom w:val="nil"/>
              <w:right w:val="nil"/>
            </w:tcBorders>
            <w:shd w:val="clear" w:color="auto" w:fill="auto"/>
            <w:vAlign w:val="center"/>
          </w:tcPr>
          <w:p w:rsidR="001A62D7" w:rsidRPr="00A33550" w:rsidRDefault="00B06F7C" w:rsidP="00052CC7">
            <w:pPr>
              <w:spacing w:before="0" w:after="0"/>
              <w:jc w:val="left"/>
              <w:rPr>
                <w:noProof/>
                <w:sz w:val="20"/>
              </w:rPr>
            </w:pPr>
            <w:r w:rsidRPr="00A33550">
              <w:rPr>
                <w:noProof/>
                <w:sz w:val="20"/>
              </w:rPr>
              <w:t>Adecco Sweden AB</w:t>
            </w:r>
          </w:p>
        </w:tc>
        <w:tc>
          <w:tcPr>
            <w:tcW w:w="600" w:type="dxa"/>
            <w:tcBorders>
              <w:left w:val="nil"/>
              <w:bottom w:val="nil"/>
            </w:tcBorders>
            <w:shd w:val="clear" w:color="auto" w:fill="auto"/>
            <w:vAlign w:val="center"/>
          </w:tcPr>
          <w:p w:rsidR="001A62D7" w:rsidRPr="00A33550" w:rsidRDefault="00B06F7C" w:rsidP="00052CC7">
            <w:pPr>
              <w:spacing w:before="0" w:after="0"/>
              <w:ind w:left="-828"/>
              <w:jc w:val="right"/>
              <w:rPr>
                <w:noProof/>
                <w:sz w:val="20"/>
              </w:rPr>
            </w:pPr>
            <w:r w:rsidRPr="00A33550">
              <w:rPr>
                <w:noProof/>
                <w:sz w:val="20"/>
              </w:rPr>
              <w:t>2</w:t>
            </w:r>
          </w:p>
        </w:tc>
      </w:tr>
      <w:tr w:rsidR="001A62D7" w:rsidRPr="00A33550" w:rsidTr="00052CC7">
        <w:trPr>
          <w:trHeight w:val="138"/>
        </w:trPr>
        <w:tc>
          <w:tcPr>
            <w:tcW w:w="3360" w:type="dxa"/>
            <w:tcBorders>
              <w:top w:val="nil"/>
              <w:bottom w:val="nil"/>
              <w:right w:val="nil"/>
            </w:tcBorders>
            <w:shd w:val="clear" w:color="auto" w:fill="auto"/>
            <w:vAlign w:val="center"/>
          </w:tcPr>
          <w:p w:rsidR="001A62D7" w:rsidRPr="00A33550" w:rsidRDefault="00A25E9A" w:rsidP="00052CC7">
            <w:pPr>
              <w:spacing w:before="0" w:after="0"/>
              <w:jc w:val="left"/>
              <w:rPr>
                <w:noProof/>
                <w:sz w:val="20"/>
              </w:rPr>
            </w:pPr>
            <w:r w:rsidRPr="00A33550">
              <w:rPr>
                <w:noProof/>
                <w:sz w:val="20"/>
              </w:rPr>
              <w:t>Northvolt (Northvolt AB)</w:t>
            </w:r>
          </w:p>
        </w:tc>
        <w:tc>
          <w:tcPr>
            <w:tcW w:w="840" w:type="dxa"/>
            <w:gridSpan w:val="2"/>
            <w:tcBorders>
              <w:top w:val="nil"/>
              <w:left w:val="nil"/>
              <w:bottom w:val="nil"/>
            </w:tcBorders>
            <w:shd w:val="clear" w:color="auto" w:fill="auto"/>
            <w:vAlign w:val="center"/>
          </w:tcPr>
          <w:p w:rsidR="001A62D7" w:rsidRPr="00A33550" w:rsidRDefault="00A25E9A" w:rsidP="00052CC7">
            <w:pPr>
              <w:spacing w:before="0" w:after="0"/>
              <w:ind w:left="-828"/>
              <w:jc w:val="right"/>
              <w:rPr>
                <w:noProof/>
                <w:sz w:val="20"/>
              </w:rPr>
            </w:pPr>
            <w:r w:rsidRPr="00A33550">
              <w:rPr>
                <w:noProof/>
                <w:sz w:val="20"/>
              </w:rPr>
              <w:t>3 456</w:t>
            </w:r>
          </w:p>
        </w:tc>
        <w:tc>
          <w:tcPr>
            <w:tcW w:w="3540" w:type="dxa"/>
            <w:gridSpan w:val="2"/>
            <w:tcBorders>
              <w:top w:val="nil"/>
              <w:bottom w:val="nil"/>
              <w:right w:val="nil"/>
            </w:tcBorders>
            <w:shd w:val="clear" w:color="auto" w:fill="auto"/>
            <w:vAlign w:val="center"/>
          </w:tcPr>
          <w:p w:rsidR="001A62D7" w:rsidRPr="00A33550" w:rsidRDefault="00B06F7C" w:rsidP="00052CC7">
            <w:pPr>
              <w:spacing w:before="0" w:after="0"/>
              <w:jc w:val="left"/>
              <w:rPr>
                <w:noProof/>
                <w:sz w:val="20"/>
              </w:rPr>
            </w:pPr>
            <w:r w:rsidRPr="00A33550">
              <w:rPr>
                <w:noProof/>
                <w:sz w:val="20"/>
              </w:rPr>
              <w:t>Compass Group AB</w:t>
            </w:r>
          </w:p>
        </w:tc>
        <w:tc>
          <w:tcPr>
            <w:tcW w:w="600" w:type="dxa"/>
            <w:tcBorders>
              <w:top w:val="nil"/>
              <w:left w:val="nil"/>
              <w:bottom w:val="nil"/>
            </w:tcBorders>
            <w:shd w:val="clear" w:color="auto" w:fill="auto"/>
            <w:vAlign w:val="center"/>
          </w:tcPr>
          <w:p w:rsidR="001A62D7" w:rsidRPr="00A33550" w:rsidRDefault="00B06F7C" w:rsidP="00052CC7">
            <w:pPr>
              <w:spacing w:before="0" w:after="0"/>
              <w:ind w:left="-828"/>
              <w:jc w:val="right"/>
              <w:rPr>
                <w:noProof/>
                <w:sz w:val="20"/>
              </w:rPr>
            </w:pPr>
            <w:r w:rsidRPr="00A33550">
              <w:rPr>
                <w:noProof/>
                <w:sz w:val="20"/>
              </w:rPr>
              <w:t>15</w:t>
            </w:r>
          </w:p>
        </w:tc>
      </w:tr>
      <w:tr w:rsidR="001A62D7" w:rsidRPr="00A33550" w:rsidTr="00052CC7">
        <w:tc>
          <w:tcPr>
            <w:tcW w:w="3360" w:type="dxa"/>
            <w:tcBorders>
              <w:top w:val="nil"/>
              <w:bottom w:val="nil"/>
              <w:right w:val="nil"/>
            </w:tcBorders>
            <w:shd w:val="clear" w:color="auto" w:fill="auto"/>
            <w:vAlign w:val="center"/>
          </w:tcPr>
          <w:p w:rsidR="001A62D7" w:rsidRPr="00A33550" w:rsidRDefault="00A25E9A" w:rsidP="00052CC7">
            <w:pPr>
              <w:spacing w:before="0" w:after="0"/>
              <w:jc w:val="left"/>
              <w:rPr>
                <w:noProof/>
                <w:sz w:val="20"/>
              </w:rPr>
            </w:pPr>
            <w:r w:rsidRPr="00A33550">
              <w:rPr>
                <w:noProof/>
                <w:sz w:val="20"/>
              </w:rPr>
              <w:t>Northvolt Revolt AB</w:t>
            </w:r>
          </w:p>
        </w:tc>
        <w:tc>
          <w:tcPr>
            <w:tcW w:w="840" w:type="dxa"/>
            <w:gridSpan w:val="2"/>
            <w:tcBorders>
              <w:top w:val="nil"/>
              <w:left w:val="nil"/>
              <w:bottom w:val="nil"/>
            </w:tcBorders>
            <w:shd w:val="clear" w:color="auto" w:fill="auto"/>
            <w:vAlign w:val="center"/>
          </w:tcPr>
          <w:p w:rsidR="001A62D7" w:rsidRPr="00A33550" w:rsidRDefault="00A25E9A" w:rsidP="00052CC7">
            <w:pPr>
              <w:spacing w:before="0" w:after="0"/>
              <w:ind w:left="-828"/>
              <w:jc w:val="right"/>
              <w:rPr>
                <w:noProof/>
                <w:sz w:val="20"/>
              </w:rPr>
            </w:pPr>
            <w:r w:rsidRPr="00A33550">
              <w:rPr>
                <w:noProof/>
                <w:sz w:val="20"/>
              </w:rPr>
              <w:t>332</w:t>
            </w:r>
          </w:p>
        </w:tc>
        <w:tc>
          <w:tcPr>
            <w:tcW w:w="3540" w:type="dxa"/>
            <w:gridSpan w:val="2"/>
            <w:tcBorders>
              <w:top w:val="nil"/>
              <w:bottom w:val="nil"/>
              <w:right w:val="nil"/>
            </w:tcBorders>
            <w:shd w:val="clear" w:color="auto" w:fill="auto"/>
            <w:vAlign w:val="center"/>
          </w:tcPr>
          <w:p w:rsidR="001A62D7" w:rsidRPr="00A33550" w:rsidRDefault="00B06F7C" w:rsidP="00052CC7">
            <w:pPr>
              <w:spacing w:before="0" w:after="0"/>
              <w:jc w:val="left"/>
              <w:rPr>
                <w:noProof/>
                <w:sz w:val="20"/>
              </w:rPr>
            </w:pPr>
            <w:r w:rsidRPr="00A33550">
              <w:rPr>
                <w:noProof/>
                <w:sz w:val="20"/>
              </w:rPr>
              <w:t>Dongjin Sweden AB</w:t>
            </w:r>
          </w:p>
        </w:tc>
        <w:tc>
          <w:tcPr>
            <w:tcW w:w="600" w:type="dxa"/>
            <w:tcBorders>
              <w:top w:val="nil"/>
              <w:left w:val="nil"/>
              <w:bottom w:val="nil"/>
            </w:tcBorders>
            <w:shd w:val="clear" w:color="auto" w:fill="auto"/>
            <w:vAlign w:val="center"/>
          </w:tcPr>
          <w:p w:rsidR="001A62D7" w:rsidRPr="00A33550" w:rsidRDefault="00B06F7C" w:rsidP="00052CC7">
            <w:pPr>
              <w:spacing w:before="0" w:after="0"/>
              <w:ind w:left="-828"/>
              <w:jc w:val="right"/>
              <w:rPr>
                <w:noProof/>
                <w:sz w:val="20"/>
              </w:rPr>
            </w:pPr>
            <w:r w:rsidRPr="00A33550">
              <w:rPr>
                <w:noProof/>
                <w:sz w:val="20"/>
              </w:rPr>
              <w:t>11</w:t>
            </w:r>
          </w:p>
        </w:tc>
      </w:tr>
      <w:tr w:rsidR="001A62D7" w:rsidRPr="00A33550" w:rsidTr="00052CC7">
        <w:tc>
          <w:tcPr>
            <w:tcW w:w="3360" w:type="dxa"/>
            <w:tcBorders>
              <w:top w:val="nil"/>
              <w:bottom w:val="nil"/>
              <w:right w:val="nil"/>
            </w:tcBorders>
            <w:shd w:val="clear" w:color="auto" w:fill="auto"/>
            <w:vAlign w:val="center"/>
          </w:tcPr>
          <w:p w:rsidR="001A62D7" w:rsidRPr="00A33550" w:rsidRDefault="00A25E9A" w:rsidP="00052CC7">
            <w:pPr>
              <w:spacing w:before="0" w:after="0"/>
              <w:jc w:val="left"/>
              <w:rPr>
                <w:noProof/>
                <w:sz w:val="20"/>
              </w:rPr>
            </w:pPr>
            <w:r w:rsidRPr="00A33550">
              <w:rPr>
                <w:noProof/>
                <w:sz w:val="20"/>
              </w:rPr>
              <w:t>Northvolt Systems AB</w:t>
            </w:r>
          </w:p>
        </w:tc>
        <w:tc>
          <w:tcPr>
            <w:tcW w:w="840" w:type="dxa"/>
            <w:gridSpan w:val="2"/>
            <w:tcBorders>
              <w:top w:val="nil"/>
              <w:left w:val="nil"/>
              <w:bottom w:val="nil"/>
            </w:tcBorders>
            <w:shd w:val="clear" w:color="auto" w:fill="auto"/>
            <w:vAlign w:val="center"/>
          </w:tcPr>
          <w:p w:rsidR="001A62D7" w:rsidRPr="00A33550" w:rsidRDefault="00A25E9A" w:rsidP="00052CC7">
            <w:pPr>
              <w:spacing w:before="0" w:after="0"/>
              <w:ind w:left="-828"/>
              <w:jc w:val="right"/>
              <w:rPr>
                <w:noProof/>
                <w:sz w:val="20"/>
              </w:rPr>
            </w:pPr>
            <w:r w:rsidRPr="00A33550">
              <w:rPr>
                <w:noProof/>
                <w:sz w:val="20"/>
              </w:rPr>
              <w:t>191</w:t>
            </w:r>
          </w:p>
        </w:tc>
        <w:tc>
          <w:tcPr>
            <w:tcW w:w="3540" w:type="dxa"/>
            <w:gridSpan w:val="2"/>
            <w:tcBorders>
              <w:top w:val="nil"/>
              <w:bottom w:val="nil"/>
              <w:right w:val="nil"/>
            </w:tcBorders>
            <w:shd w:val="clear" w:color="auto" w:fill="auto"/>
            <w:vAlign w:val="center"/>
          </w:tcPr>
          <w:p w:rsidR="001A62D7" w:rsidRPr="00A33550" w:rsidRDefault="00B06F7C" w:rsidP="00052CC7">
            <w:pPr>
              <w:spacing w:before="0" w:after="0"/>
              <w:jc w:val="left"/>
              <w:rPr>
                <w:noProof/>
                <w:sz w:val="20"/>
              </w:rPr>
            </w:pPr>
            <w:r w:rsidRPr="00A33550">
              <w:rPr>
                <w:noProof/>
                <w:sz w:val="20"/>
              </w:rPr>
              <w:t>Kedali AB</w:t>
            </w:r>
          </w:p>
        </w:tc>
        <w:tc>
          <w:tcPr>
            <w:tcW w:w="600" w:type="dxa"/>
            <w:tcBorders>
              <w:top w:val="nil"/>
              <w:left w:val="nil"/>
              <w:bottom w:val="nil"/>
            </w:tcBorders>
            <w:shd w:val="clear" w:color="auto" w:fill="auto"/>
            <w:vAlign w:val="center"/>
          </w:tcPr>
          <w:p w:rsidR="001A62D7" w:rsidRPr="00A33550" w:rsidRDefault="00B06F7C" w:rsidP="00052CC7">
            <w:pPr>
              <w:spacing w:before="0" w:after="0"/>
              <w:ind w:left="-828"/>
              <w:jc w:val="right"/>
              <w:rPr>
                <w:noProof/>
                <w:sz w:val="20"/>
              </w:rPr>
            </w:pPr>
            <w:r w:rsidRPr="00A33550">
              <w:rPr>
                <w:noProof/>
                <w:sz w:val="20"/>
              </w:rPr>
              <w:t>35</w:t>
            </w:r>
          </w:p>
        </w:tc>
      </w:tr>
      <w:tr w:rsidR="001A62D7" w:rsidRPr="00A33550" w:rsidTr="00052CC7">
        <w:tc>
          <w:tcPr>
            <w:tcW w:w="3360" w:type="dxa"/>
            <w:tcBorders>
              <w:top w:val="nil"/>
              <w:bottom w:val="nil"/>
              <w:right w:val="nil"/>
            </w:tcBorders>
            <w:shd w:val="clear" w:color="auto" w:fill="auto"/>
            <w:vAlign w:val="center"/>
          </w:tcPr>
          <w:p w:rsidR="001A62D7" w:rsidRPr="00A33550" w:rsidRDefault="00A25E9A" w:rsidP="00052CC7">
            <w:pPr>
              <w:spacing w:before="0" w:after="0"/>
              <w:jc w:val="left"/>
              <w:rPr>
                <w:noProof/>
                <w:sz w:val="20"/>
              </w:rPr>
            </w:pPr>
            <w:r w:rsidRPr="00A33550">
              <w:rPr>
                <w:noProof/>
                <w:sz w:val="20"/>
              </w:rPr>
              <w:t>Northvolt Fem AB</w:t>
            </w:r>
          </w:p>
        </w:tc>
        <w:tc>
          <w:tcPr>
            <w:tcW w:w="840" w:type="dxa"/>
            <w:gridSpan w:val="2"/>
            <w:tcBorders>
              <w:top w:val="nil"/>
              <w:left w:val="nil"/>
              <w:bottom w:val="nil"/>
            </w:tcBorders>
            <w:shd w:val="clear" w:color="auto" w:fill="auto"/>
            <w:vAlign w:val="center"/>
          </w:tcPr>
          <w:p w:rsidR="001A62D7" w:rsidRPr="00A33550" w:rsidRDefault="00A25E9A" w:rsidP="00052CC7">
            <w:pPr>
              <w:spacing w:before="0" w:after="0"/>
              <w:ind w:left="-828"/>
              <w:jc w:val="right"/>
              <w:rPr>
                <w:noProof/>
                <w:sz w:val="20"/>
              </w:rPr>
            </w:pPr>
            <w:r w:rsidRPr="00A33550">
              <w:rPr>
                <w:noProof/>
                <w:sz w:val="20"/>
              </w:rPr>
              <w:t>10</w:t>
            </w:r>
          </w:p>
        </w:tc>
        <w:tc>
          <w:tcPr>
            <w:tcW w:w="3540" w:type="dxa"/>
            <w:gridSpan w:val="2"/>
            <w:tcBorders>
              <w:top w:val="nil"/>
              <w:bottom w:val="nil"/>
              <w:right w:val="nil"/>
            </w:tcBorders>
            <w:shd w:val="clear" w:color="auto" w:fill="auto"/>
            <w:vAlign w:val="center"/>
          </w:tcPr>
          <w:p w:rsidR="001A62D7" w:rsidRPr="00A33550" w:rsidRDefault="00B06F7C" w:rsidP="00052CC7">
            <w:pPr>
              <w:spacing w:before="0" w:after="0"/>
              <w:jc w:val="left"/>
              <w:rPr>
                <w:noProof/>
                <w:sz w:val="20"/>
              </w:rPr>
            </w:pPr>
            <w:r w:rsidRPr="00A33550">
              <w:rPr>
                <w:noProof/>
                <w:sz w:val="20"/>
              </w:rPr>
              <w:t>Kjell Grenholm Åkeri AB</w:t>
            </w:r>
          </w:p>
        </w:tc>
        <w:tc>
          <w:tcPr>
            <w:tcW w:w="600" w:type="dxa"/>
            <w:tcBorders>
              <w:top w:val="nil"/>
              <w:left w:val="nil"/>
              <w:bottom w:val="nil"/>
            </w:tcBorders>
            <w:shd w:val="clear" w:color="auto" w:fill="auto"/>
            <w:vAlign w:val="center"/>
          </w:tcPr>
          <w:p w:rsidR="001A62D7" w:rsidRPr="00A33550" w:rsidRDefault="00B06F7C" w:rsidP="00052CC7">
            <w:pPr>
              <w:spacing w:before="0" w:after="0"/>
              <w:ind w:left="-828"/>
              <w:jc w:val="right"/>
              <w:rPr>
                <w:noProof/>
                <w:sz w:val="20"/>
              </w:rPr>
            </w:pPr>
            <w:r w:rsidRPr="00A33550">
              <w:rPr>
                <w:noProof/>
                <w:sz w:val="20"/>
              </w:rPr>
              <w:t>3</w:t>
            </w:r>
          </w:p>
        </w:tc>
      </w:tr>
      <w:tr w:rsidR="0092072E" w:rsidRPr="00A33550" w:rsidTr="00052CC7">
        <w:tc>
          <w:tcPr>
            <w:tcW w:w="3360" w:type="dxa"/>
            <w:tcBorders>
              <w:top w:val="nil"/>
              <w:bottom w:val="nil"/>
              <w:right w:val="nil"/>
            </w:tcBorders>
            <w:shd w:val="clear" w:color="auto" w:fill="auto"/>
            <w:vAlign w:val="center"/>
          </w:tcPr>
          <w:p w:rsidR="0092072E" w:rsidRPr="00A33550" w:rsidRDefault="00A25E9A" w:rsidP="00052CC7">
            <w:pPr>
              <w:spacing w:before="0" w:after="0"/>
              <w:jc w:val="left"/>
              <w:rPr>
                <w:noProof/>
                <w:sz w:val="20"/>
              </w:rPr>
            </w:pPr>
            <w:r w:rsidRPr="00A33550">
              <w:rPr>
                <w:noProof/>
                <w:sz w:val="20"/>
              </w:rPr>
              <w:t>Northvolt Labs AB</w:t>
            </w:r>
          </w:p>
        </w:tc>
        <w:tc>
          <w:tcPr>
            <w:tcW w:w="840" w:type="dxa"/>
            <w:gridSpan w:val="2"/>
            <w:tcBorders>
              <w:top w:val="nil"/>
              <w:left w:val="nil"/>
              <w:bottom w:val="nil"/>
            </w:tcBorders>
            <w:shd w:val="clear" w:color="auto" w:fill="auto"/>
            <w:vAlign w:val="center"/>
          </w:tcPr>
          <w:p w:rsidR="0092072E" w:rsidRPr="00A33550" w:rsidRDefault="00A25E9A" w:rsidP="00052CC7">
            <w:pPr>
              <w:spacing w:before="0" w:after="0"/>
              <w:ind w:left="-828"/>
              <w:jc w:val="right"/>
              <w:rPr>
                <w:noProof/>
                <w:sz w:val="20"/>
                <w:szCs w:val="20"/>
              </w:rPr>
            </w:pPr>
            <w:r w:rsidRPr="00A33550">
              <w:rPr>
                <w:noProof/>
                <w:sz w:val="20"/>
              </w:rPr>
              <w:t>492</w:t>
            </w:r>
          </w:p>
        </w:tc>
        <w:tc>
          <w:tcPr>
            <w:tcW w:w="3540" w:type="dxa"/>
            <w:gridSpan w:val="2"/>
            <w:tcBorders>
              <w:top w:val="nil"/>
              <w:bottom w:val="nil"/>
              <w:right w:val="nil"/>
            </w:tcBorders>
            <w:shd w:val="clear" w:color="auto" w:fill="auto"/>
            <w:vAlign w:val="center"/>
          </w:tcPr>
          <w:p w:rsidR="0092072E" w:rsidRPr="00A33550" w:rsidRDefault="0092072E" w:rsidP="00052CC7">
            <w:pPr>
              <w:spacing w:before="0" w:after="0"/>
              <w:jc w:val="left"/>
              <w:rPr>
                <w:noProof/>
                <w:sz w:val="20"/>
              </w:rPr>
            </w:pPr>
            <w:r w:rsidRPr="00A33550">
              <w:rPr>
                <w:noProof/>
                <w:sz w:val="20"/>
              </w:rPr>
              <w:t>Linotolgolv AB</w:t>
            </w:r>
          </w:p>
        </w:tc>
        <w:tc>
          <w:tcPr>
            <w:tcW w:w="600" w:type="dxa"/>
            <w:tcBorders>
              <w:top w:val="nil"/>
              <w:left w:val="nil"/>
              <w:bottom w:val="nil"/>
            </w:tcBorders>
            <w:shd w:val="clear" w:color="auto" w:fill="auto"/>
            <w:vAlign w:val="center"/>
          </w:tcPr>
          <w:p w:rsidR="0092072E" w:rsidRPr="00A33550" w:rsidDel="00B06F7C" w:rsidRDefault="0092072E" w:rsidP="00052CC7">
            <w:pPr>
              <w:spacing w:before="0" w:after="0"/>
              <w:ind w:left="-828"/>
              <w:jc w:val="right"/>
              <w:rPr>
                <w:noProof/>
                <w:sz w:val="20"/>
                <w:szCs w:val="20"/>
              </w:rPr>
            </w:pPr>
            <w:r w:rsidRPr="00A33550">
              <w:rPr>
                <w:noProof/>
                <w:sz w:val="20"/>
              </w:rPr>
              <w:t>25</w:t>
            </w:r>
          </w:p>
        </w:tc>
      </w:tr>
      <w:tr w:rsidR="0092072E" w:rsidRPr="00A33550" w:rsidTr="00052CC7">
        <w:tc>
          <w:tcPr>
            <w:tcW w:w="3360" w:type="dxa"/>
            <w:tcBorders>
              <w:top w:val="nil"/>
              <w:bottom w:val="nil"/>
              <w:right w:val="nil"/>
            </w:tcBorders>
            <w:shd w:val="clear" w:color="auto" w:fill="auto"/>
            <w:vAlign w:val="center"/>
          </w:tcPr>
          <w:p w:rsidR="0092072E" w:rsidRPr="00A33550" w:rsidRDefault="004A1A0C" w:rsidP="00052CC7">
            <w:pPr>
              <w:spacing w:before="0" w:after="0"/>
              <w:jc w:val="left"/>
              <w:rPr>
                <w:noProof/>
                <w:sz w:val="20"/>
              </w:rPr>
            </w:pPr>
            <w:r w:rsidRPr="00A33550">
              <w:rPr>
                <w:noProof/>
                <w:sz w:val="20"/>
              </w:rPr>
              <w:t>Novo Energy Production AB</w:t>
            </w:r>
          </w:p>
        </w:tc>
        <w:tc>
          <w:tcPr>
            <w:tcW w:w="840" w:type="dxa"/>
            <w:gridSpan w:val="2"/>
            <w:tcBorders>
              <w:top w:val="nil"/>
              <w:left w:val="nil"/>
              <w:bottom w:val="nil"/>
            </w:tcBorders>
            <w:shd w:val="clear" w:color="auto" w:fill="auto"/>
            <w:vAlign w:val="center"/>
          </w:tcPr>
          <w:p w:rsidR="0092072E" w:rsidRPr="00A33550" w:rsidRDefault="004A1A0C" w:rsidP="00052CC7">
            <w:pPr>
              <w:spacing w:before="0" w:after="0"/>
              <w:ind w:left="-828"/>
              <w:jc w:val="right"/>
              <w:rPr>
                <w:noProof/>
                <w:sz w:val="20"/>
                <w:szCs w:val="20"/>
              </w:rPr>
            </w:pPr>
            <w:r w:rsidRPr="00A33550">
              <w:rPr>
                <w:noProof/>
                <w:sz w:val="20"/>
              </w:rPr>
              <w:t>54</w:t>
            </w:r>
          </w:p>
        </w:tc>
        <w:tc>
          <w:tcPr>
            <w:tcW w:w="3540" w:type="dxa"/>
            <w:gridSpan w:val="2"/>
            <w:tcBorders>
              <w:top w:val="nil"/>
              <w:bottom w:val="nil"/>
              <w:right w:val="nil"/>
            </w:tcBorders>
            <w:shd w:val="clear" w:color="auto" w:fill="auto"/>
            <w:vAlign w:val="center"/>
          </w:tcPr>
          <w:p w:rsidR="0092072E" w:rsidRPr="00A33550" w:rsidRDefault="004A1A0C" w:rsidP="00052CC7">
            <w:pPr>
              <w:spacing w:before="0" w:after="0"/>
              <w:jc w:val="left"/>
              <w:rPr>
                <w:noProof/>
                <w:sz w:val="20"/>
              </w:rPr>
            </w:pPr>
            <w:r w:rsidRPr="00A33550">
              <w:rPr>
                <w:noProof/>
                <w:sz w:val="20"/>
              </w:rPr>
              <w:t>Sodexo AB</w:t>
            </w:r>
          </w:p>
        </w:tc>
        <w:tc>
          <w:tcPr>
            <w:tcW w:w="600" w:type="dxa"/>
            <w:tcBorders>
              <w:top w:val="nil"/>
              <w:left w:val="nil"/>
              <w:bottom w:val="nil"/>
            </w:tcBorders>
            <w:shd w:val="clear" w:color="auto" w:fill="auto"/>
            <w:vAlign w:val="center"/>
          </w:tcPr>
          <w:p w:rsidR="0092072E" w:rsidRPr="00A33550" w:rsidDel="00B06F7C" w:rsidRDefault="004A1A0C" w:rsidP="00052CC7">
            <w:pPr>
              <w:spacing w:before="0" w:after="0"/>
              <w:ind w:left="-828"/>
              <w:jc w:val="right"/>
              <w:rPr>
                <w:noProof/>
                <w:sz w:val="20"/>
                <w:szCs w:val="20"/>
              </w:rPr>
            </w:pPr>
            <w:r w:rsidRPr="00A33550">
              <w:rPr>
                <w:noProof/>
                <w:sz w:val="20"/>
              </w:rPr>
              <w:t>167</w:t>
            </w:r>
          </w:p>
        </w:tc>
      </w:tr>
      <w:tr w:rsidR="0092072E" w:rsidRPr="00A33550" w:rsidTr="00052CC7">
        <w:tc>
          <w:tcPr>
            <w:tcW w:w="3360" w:type="dxa"/>
            <w:tcBorders>
              <w:top w:val="nil"/>
              <w:bottom w:val="nil"/>
              <w:right w:val="nil"/>
            </w:tcBorders>
            <w:shd w:val="clear" w:color="auto" w:fill="auto"/>
            <w:vAlign w:val="center"/>
          </w:tcPr>
          <w:p w:rsidR="0092072E" w:rsidRPr="00A33550" w:rsidRDefault="004A1A0C" w:rsidP="00052CC7">
            <w:pPr>
              <w:spacing w:before="0" w:after="0"/>
              <w:jc w:val="left"/>
              <w:rPr>
                <w:noProof/>
                <w:sz w:val="20"/>
              </w:rPr>
            </w:pPr>
            <w:r w:rsidRPr="00A33550">
              <w:rPr>
                <w:noProof/>
                <w:sz w:val="20"/>
              </w:rPr>
              <w:t>Novo Energy R&amp;D AB</w:t>
            </w:r>
          </w:p>
        </w:tc>
        <w:tc>
          <w:tcPr>
            <w:tcW w:w="840" w:type="dxa"/>
            <w:gridSpan w:val="2"/>
            <w:tcBorders>
              <w:top w:val="nil"/>
              <w:left w:val="nil"/>
              <w:bottom w:val="nil"/>
            </w:tcBorders>
            <w:shd w:val="clear" w:color="auto" w:fill="auto"/>
            <w:vAlign w:val="center"/>
          </w:tcPr>
          <w:p w:rsidR="0092072E" w:rsidRPr="00A33550" w:rsidRDefault="004A1A0C" w:rsidP="00052CC7">
            <w:pPr>
              <w:spacing w:before="0" w:after="0"/>
              <w:ind w:left="-828"/>
              <w:jc w:val="right"/>
              <w:rPr>
                <w:noProof/>
                <w:sz w:val="20"/>
                <w:szCs w:val="20"/>
              </w:rPr>
            </w:pPr>
            <w:r w:rsidRPr="00A33550">
              <w:rPr>
                <w:noProof/>
                <w:sz w:val="20"/>
              </w:rPr>
              <w:t>3</w:t>
            </w:r>
          </w:p>
        </w:tc>
        <w:tc>
          <w:tcPr>
            <w:tcW w:w="3540" w:type="dxa"/>
            <w:gridSpan w:val="2"/>
            <w:tcBorders>
              <w:top w:val="nil"/>
              <w:bottom w:val="nil"/>
              <w:right w:val="nil"/>
            </w:tcBorders>
            <w:shd w:val="clear" w:color="auto" w:fill="auto"/>
            <w:vAlign w:val="center"/>
          </w:tcPr>
          <w:p w:rsidR="0092072E" w:rsidRPr="00A33550" w:rsidRDefault="004A1A0C" w:rsidP="00052CC7">
            <w:pPr>
              <w:spacing w:before="0" w:after="0"/>
              <w:jc w:val="left"/>
              <w:rPr>
                <w:noProof/>
                <w:sz w:val="20"/>
              </w:rPr>
            </w:pPr>
            <w:r w:rsidRPr="00A33550">
              <w:rPr>
                <w:noProof/>
                <w:sz w:val="20"/>
              </w:rPr>
              <w:t>Titan konstruktion AB</w:t>
            </w:r>
          </w:p>
        </w:tc>
        <w:tc>
          <w:tcPr>
            <w:tcW w:w="600" w:type="dxa"/>
            <w:tcBorders>
              <w:top w:val="nil"/>
              <w:left w:val="nil"/>
              <w:bottom w:val="nil"/>
            </w:tcBorders>
            <w:shd w:val="clear" w:color="auto" w:fill="auto"/>
            <w:vAlign w:val="center"/>
          </w:tcPr>
          <w:p w:rsidR="0092072E" w:rsidRPr="00A33550" w:rsidRDefault="004A1A0C" w:rsidP="00052CC7">
            <w:pPr>
              <w:spacing w:before="0" w:after="0"/>
              <w:ind w:left="-828"/>
              <w:jc w:val="right"/>
              <w:rPr>
                <w:noProof/>
                <w:sz w:val="20"/>
                <w:szCs w:val="20"/>
              </w:rPr>
            </w:pPr>
            <w:r w:rsidRPr="00A33550">
              <w:rPr>
                <w:noProof/>
                <w:sz w:val="20"/>
              </w:rPr>
              <w:t>10</w:t>
            </w:r>
          </w:p>
        </w:tc>
      </w:tr>
      <w:bookmarkEnd w:id="1"/>
      <w:tr w:rsidR="0092072E" w:rsidRPr="00A33550" w:rsidTr="00052CC7">
        <w:tc>
          <w:tcPr>
            <w:tcW w:w="3360" w:type="dxa"/>
            <w:tcBorders>
              <w:top w:val="nil"/>
              <w:bottom w:val="nil"/>
              <w:right w:val="nil"/>
            </w:tcBorders>
            <w:shd w:val="clear" w:color="auto" w:fill="auto"/>
            <w:vAlign w:val="center"/>
          </w:tcPr>
          <w:p w:rsidR="0092072E" w:rsidRPr="00A33550" w:rsidRDefault="004A1A0C" w:rsidP="00052CC7">
            <w:pPr>
              <w:spacing w:before="0" w:after="0"/>
              <w:jc w:val="left"/>
              <w:rPr>
                <w:noProof/>
                <w:sz w:val="20"/>
              </w:rPr>
            </w:pPr>
            <w:r w:rsidRPr="00A33550">
              <w:rPr>
                <w:noProof/>
                <w:sz w:val="20"/>
              </w:rPr>
              <w:t>Novo Energy AB</w:t>
            </w:r>
          </w:p>
        </w:tc>
        <w:tc>
          <w:tcPr>
            <w:tcW w:w="840" w:type="dxa"/>
            <w:gridSpan w:val="2"/>
            <w:tcBorders>
              <w:top w:val="nil"/>
              <w:left w:val="nil"/>
              <w:bottom w:val="nil"/>
            </w:tcBorders>
            <w:shd w:val="clear" w:color="auto" w:fill="auto"/>
            <w:vAlign w:val="center"/>
          </w:tcPr>
          <w:p w:rsidR="0092072E" w:rsidRPr="00A33550" w:rsidRDefault="004A1A0C" w:rsidP="00052CC7">
            <w:pPr>
              <w:spacing w:before="0" w:after="0"/>
              <w:ind w:left="-828"/>
              <w:jc w:val="right"/>
              <w:rPr>
                <w:noProof/>
                <w:sz w:val="20"/>
                <w:szCs w:val="20"/>
              </w:rPr>
            </w:pPr>
            <w:r w:rsidRPr="00A33550">
              <w:rPr>
                <w:noProof/>
                <w:sz w:val="20"/>
              </w:rPr>
              <w:t>10</w:t>
            </w:r>
          </w:p>
        </w:tc>
        <w:tc>
          <w:tcPr>
            <w:tcW w:w="3540" w:type="dxa"/>
            <w:gridSpan w:val="2"/>
            <w:tcBorders>
              <w:top w:val="nil"/>
              <w:bottom w:val="nil"/>
              <w:right w:val="nil"/>
            </w:tcBorders>
            <w:shd w:val="clear" w:color="auto" w:fill="auto"/>
            <w:vAlign w:val="center"/>
          </w:tcPr>
          <w:p w:rsidR="0092072E" w:rsidRPr="00A33550" w:rsidRDefault="0092072E" w:rsidP="00052CC7">
            <w:pPr>
              <w:spacing w:before="0" w:after="0"/>
              <w:jc w:val="left"/>
              <w:rPr>
                <w:noProof/>
                <w:sz w:val="20"/>
              </w:rPr>
            </w:pPr>
          </w:p>
        </w:tc>
        <w:tc>
          <w:tcPr>
            <w:tcW w:w="600" w:type="dxa"/>
            <w:tcBorders>
              <w:top w:val="nil"/>
              <w:left w:val="nil"/>
              <w:bottom w:val="nil"/>
            </w:tcBorders>
            <w:shd w:val="clear" w:color="auto" w:fill="auto"/>
            <w:vAlign w:val="center"/>
          </w:tcPr>
          <w:p w:rsidR="0092072E" w:rsidRPr="00A33550" w:rsidRDefault="0092072E" w:rsidP="00052CC7">
            <w:pPr>
              <w:spacing w:before="0" w:after="0"/>
              <w:ind w:left="-828"/>
              <w:jc w:val="right"/>
              <w:rPr>
                <w:noProof/>
                <w:sz w:val="20"/>
                <w:szCs w:val="20"/>
              </w:rPr>
            </w:pPr>
          </w:p>
        </w:tc>
      </w:tr>
      <w:tr w:rsidR="00411996" w:rsidRPr="00A33550" w:rsidTr="00052CC7">
        <w:tc>
          <w:tcPr>
            <w:tcW w:w="3360" w:type="dxa"/>
            <w:tcBorders>
              <w:top w:val="nil"/>
              <w:bottom w:val="nil"/>
              <w:right w:val="nil"/>
            </w:tcBorders>
            <w:shd w:val="clear" w:color="auto" w:fill="auto"/>
            <w:vAlign w:val="center"/>
          </w:tcPr>
          <w:p w:rsidR="00411996" w:rsidRPr="00A33550" w:rsidRDefault="00411996" w:rsidP="00052CC7">
            <w:pPr>
              <w:spacing w:before="0" w:after="0"/>
              <w:jc w:val="left"/>
              <w:rPr>
                <w:noProof/>
                <w:sz w:val="20"/>
              </w:rPr>
            </w:pPr>
          </w:p>
        </w:tc>
        <w:tc>
          <w:tcPr>
            <w:tcW w:w="840" w:type="dxa"/>
            <w:gridSpan w:val="2"/>
            <w:tcBorders>
              <w:top w:val="nil"/>
              <w:left w:val="nil"/>
              <w:bottom w:val="nil"/>
            </w:tcBorders>
            <w:shd w:val="clear" w:color="auto" w:fill="auto"/>
            <w:vAlign w:val="center"/>
          </w:tcPr>
          <w:p w:rsidR="00411996" w:rsidRPr="00A33550" w:rsidRDefault="00411996" w:rsidP="00052CC7">
            <w:pPr>
              <w:spacing w:before="0" w:after="0"/>
              <w:ind w:left="-828"/>
              <w:jc w:val="right"/>
              <w:rPr>
                <w:noProof/>
                <w:sz w:val="20"/>
                <w:szCs w:val="20"/>
              </w:rPr>
            </w:pPr>
          </w:p>
        </w:tc>
        <w:tc>
          <w:tcPr>
            <w:tcW w:w="3540" w:type="dxa"/>
            <w:gridSpan w:val="2"/>
            <w:tcBorders>
              <w:top w:val="nil"/>
              <w:bottom w:val="nil"/>
              <w:right w:val="nil"/>
            </w:tcBorders>
            <w:shd w:val="clear" w:color="auto" w:fill="auto"/>
            <w:vAlign w:val="center"/>
          </w:tcPr>
          <w:p w:rsidR="00411996" w:rsidRPr="00A33550" w:rsidRDefault="00411996" w:rsidP="00052CC7">
            <w:pPr>
              <w:spacing w:before="0" w:after="0"/>
              <w:jc w:val="left"/>
              <w:rPr>
                <w:noProof/>
                <w:sz w:val="20"/>
              </w:rPr>
            </w:pPr>
          </w:p>
        </w:tc>
        <w:tc>
          <w:tcPr>
            <w:tcW w:w="600" w:type="dxa"/>
            <w:tcBorders>
              <w:top w:val="nil"/>
              <w:left w:val="nil"/>
              <w:bottom w:val="nil"/>
            </w:tcBorders>
            <w:shd w:val="clear" w:color="auto" w:fill="auto"/>
            <w:vAlign w:val="center"/>
          </w:tcPr>
          <w:p w:rsidR="00411996" w:rsidRPr="00A33550" w:rsidRDefault="00411996" w:rsidP="00052CC7">
            <w:pPr>
              <w:spacing w:before="0" w:after="0"/>
              <w:ind w:left="-828"/>
              <w:jc w:val="right"/>
              <w:rPr>
                <w:noProof/>
                <w:sz w:val="20"/>
                <w:szCs w:val="20"/>
              </w:rPr>
            </w:pPr>
          </w:p>
        </w:tc>
      </w:tr>
      <w:tr w:rsidR="00411996" w:rsidRPr="00A33550" w:rsidTr="00052CC7">
        <w:tc>
          <w:tcPr>
            <w:tcW w:w="3360" w:type="dxa"/>
            <w:tcBorders>
              <w:top w:val="nil"/>
              <w:bottom w:val="nil"/>
              <w:right w:val="nil"/>
            </w:tcBorders>
            <w:shd w:val="clear" w:color="auto" w:fill="auto"/>
            <w:vAlign w:val="center"/>
          </w:tcPr>
          <w:p w:rsidR="00411996" w:rsidRPr="00A33550" w:rsidRDefault="00411996" w:rsidP="00052CC7">
            <w:pPr>
              <w:spacing w:before="0" w:after="0"/>
              <w:jc w:val="left"/>
              <w:rPr>
                <w:b/>
                <w:bCs/>
                <w:noProof/>
                <w:sz w:val="20"/>
              </w:rPr>
            </w:pPr>
            <w:r w:rsidRPr="00A33550">
              <w:rPr>
                <w:b/>
                <w:noProof/>
                <w:sz w:val="20"/>
              </w:rPr>
              <w:t>Northvolt – kokku</w:t>
            </w:r>
          </w:p>
        </w:tc>
        <w:tc>
          <w:tcPr>
            <w:tcW w:w="840" w:type="dxa"/>
            <w:gridSpan w:val="2"/>
            <w:tcBorders>
              <w:top w:val="nil"/>
              <w:left w:val="nil"/>
              <w:bottom w:val="nil"/>
            </w:tcBorders>
            <w:shd w:val="clear" w:color="auto" w:fill="auto"/>
            <w:vAlign w:val="center"/>
          </w:tcPr>
          <w:p w:rsidR="00411996" w:rsidRPr="00A33550" w:rsidRDefault="00411996" w:rsidP="00052CC7">
            <w:pPr>
              <w:spacing w:before="0" w:after="0"/>
              <w:ind w:left="-828"/>
              <w:jc w:val="right"/>
              <w:rPr>
                <w:b/>
                <w:bCs/>
                <w:noProof/>
                <w:sz w:val="20"/>
                <w:szCs w:val="20"/>
              </w:rPr>
            </w:pPr>
            <w:r w:rsidRPr="00A33550">
              <w:rPr>
                <w:b/>
                <w:noProof/>
                <w:sz w:val="20"/>
              </w:rPr>
              <w:t>5 561</w:t>
            </w:r>
          </w:p>
        </w:tc>
        <w:tc>
          <w:tcPr>
            <w:tcW w:w="3540" w:type="dxa"/>
            <w:gridSpan w:val="2"/>
            <w:tcBorders>
              <w:top w:val="nil"/>
              <w:bottom w:val="nil"/>
              <w:right w:val="nil"/>
            </w:tcBorders>
            <w:shd w:val="clear" w:color="auto" w:fill="auto"/>
            <w:vAlign w:val="center"/>
          </w:tcPr>
          <w:p w:rsidR="00411996" w:rsidRPr="00A33550" w:rsidRDefault="00411996" w:rsidP="00052CC7">
            <w:pPr>
              <w:spacing w:before="0" w:after="0"/>
              <w:jc w:val="left"/>
              <w:rPr>
                <w:noProof/>
                <w:sz w:val="20"/>
              </w:rPr>
            </w:pPr>
          </w:p>
        </w:tc>
        <w:tc>
          <w:tcPr>
            <w:tcW w:w="600" w:type="dxa"/>
            <w:tcBorders>
              <w:top w:val="nil"/>
              <w:left w:val="nil"/>
              <w:bottom w:val="nil"/>
            </w:tcBorders>
            <w:shd w:val="clear" w:color="auto" w:fill="auto"/>
            <w:vAlign w:val="center"/>
          </w:tcPr>
          <w:p w:rsidR="00411996" w:rsidRPr="00A33550" w:rsidRDefault="00411996" w:rsidP="00052CC7">
            <w:pPr>
              <w:spacing w:before="0" w:after="0"/>
              <w:ind w:left="-828"/>
              <w:jc w:val="right"/>
              <w:rPr>
                <w:noProof/>
                <w:sz w:val="20"/>
                <w:szCs w:val="20"/>
              </w:rPr>
            </w:pPr>
          </w:p>
        </w:tc>
      </w:tr>
      <w:tr w:rsidR="001A62D7" w:rsidRPr="00A33550" w:rsidTr="00052CC7">
        <w:trPr>
          <w:trHeight w:val="284"/>
        </w:trPr>
        <w:tc>
          <w:tcPr>
            <w:tcW w:w="3840" w:type="dxa"/>
            <w:gridSpan w:val="2"/>
            <w:tcBorders>
              <w:bottom w:val="nil"/>
              <w:right w:val="nil"/>
            </w:tcBorders>
            <w:shd w:val="clear" w:color="auto" w:fill="E6E6E6"/>
            <w:vAlign w:val="center"/>
          </w:tcPr>
          <w:p w:rsidR="001A62D7" w:rsidRPr="00A33550" w:rsidRDefault="001A62D7" w:rsidP="00052CC7">
            <w:pPr>
              <w:spacing w:beforeLines="20" w:before="48" w:afterLines="20" w:after="48" w:line="276" w:lineRule="auto"/>
              <w:ind w:left="57"/>
              <w:jc w:val="left"/>
              <w:rPr>
                <w:rFonts w:eastAsia="Calibri"/>
                <w:b/>
                <w:noProof/>
                <w:szCs w:val="24"/>
              </w:rPr>
            </w:pPr>
            <w:r w:rsidRPr="00A33550">
              <w:rPr>
                <w:noProof/>
              </w:rPr>
              <w:br w:type="page"/>
            </w:r>
            <w:r w:rsidRPr="00A33550">
              <w:rPr>
                <w:b/>
                <w:noProof/>
              </w:rPr>
              <w:t>Ettevõtjaid kokku</w:t>
            </w:r>
            <w:r w:rsidRPr="00A33550">
              <w:rPr>
                <w:rStyle w:val="FootnoteReference"/>
                <w:rFonts w:eastAsia="Calibri"/>
                <w:b/>
                <w:noProof/>
                <w:szCs w:val="24"/>
              </w:rPr>
              <w:footnoteReference w:id="9"/>
            </w:r>
            <w:r w:rsidRPr="00A33550">
              <w:rPr>
                <w:b/>
                <w:noProof/>
              </w:rPr>
              <w:t>:</w:t>
            </w:r>
            <w:r w:rsidRPr="00A33550">
              <w:rPr>
                <w:b/>
                <w:noProof/>
                <w:sz w:val="22"/>
              </w:rPr>
              <w:t xml:space="preserve"> </w:t>
            </w:r>
            <w:r w:rsidRPr="00A33550">
              <w:rPr>
                <w:b/>
                <w:noProof/>
              </w:rPr>
              <w:t>9</w:t>
            </w:r>
          </w:p>
        </w:tc>
        <w:tc>
          <w:tcPr>
            <w:tcW w:w="3300" w:type="dxa"/>
            <w:gridSpan w:val="2"/>
            <w:tcBorders>
              <w:left w:val="nil"/>
              <w:bottom w:val="nil"/>
              <w:right w:val="nil"/>
            </w:tcBorders>
            <w:shd w:val="clear" w:color="auto" w:fill="E6E6E6"/>
            <w:vAlign w:val="center"/>
          </w:tcPr>
          <w:p w:rsidR="001A62D7" w:rsidRPr="00A33550" w:rsidRDefault="001A62D7" w:rsidP="00052CC7">
            <w:pPr>
              <w:spacing w:beforeLines="20" w:before="48" w:afterLines="20" w:after="48" w:line="276" w:lineRule="auto"/>
              <w:ind w:left="57" w:right="227"/>
              <w:jc w:val="left"/>
              <w:rPr>
                <w:rFonts w:eastAsia="Calibri"/>
                <w:b/>
                <w:noProof/>
                <w:szCs w:val="24"/>
              </w:rPr>
            </w:pPr>
            <w:r w:rsidRPr="00A33550">
              <w:rPr>
                <w:b/>
                <w:noProof/>
              </w:rPr>
              <w:t>Koondatud töötajaid kokku:</w:t>
            </w:r>
            <w:r w:rsidRPr="00A33550">
              <w:rPr>
                <w:b/>
                <w:noProof/>
                <w:sz w:val="22"/>
              </w:rPr>
              <w:t xml:space="preserve"> </w:t>
            </w:r>
          </w:p>
        </w:tc>
        <w:tc>
          <w:tcPr>
            <w:tcW w:w="1200" w:type="dxa"/>
            <w:gridSpan w:val="2"/>
            <w:tcBorders>
              <w:left w:val="nil"/>
              <w:bottom w:val="nil"/>
            </w:tcBorders>
            <w:shd w:val="clear" w:color="auto" w:fill="E6E6E6"/>
            <w:vAlign w:val="center"/>
          </w:tcPr>
          <w:p w:rsidR="001A62D7" w:rsidRPr="00A33550" w:rsidRDefault="00354072" w:rsidP="00052CC7">
            <w:pPr>
              <w:spacing w:beforeLines="20" w:before="48" w:afterLines="20" w:after="48" w:line="276" w:lineRule="auto"/>
              <w:ind w:left="57" w:right="227"/>
              <w:jc w:val="left"/>
              <w:rPr>
                <w:rFonts w:eastAsia="Calibri"/>
                <w:b/>
                <w:noProof/>
                <w:szCs w:val="24"/>
              </w:rPr>
            </w:pPr>
            <w:r w:rsidRPr="00A33550">
              <w:rPr>
                <w:noProof/>
              </w:rPr>
              <w:t>5 829</w:t>
            </w:r>
          </w:p>
        </w:tc>
      </w:tr>
    </w:tbl>
    <w:p w:rsidR="001A62D7" w:rsidRPr="00A33550" w:rsidRDefault="001A62D7" w:rsidP="001A62D7">
      <w:pPr>
        <w:pStyle w:val="ManualHeading3"/>
        <w:rPr>
          <w:noProof/>
        </w:rPr>
      </w:pPr>
      <w:r w:rsidRPr="00A33550">
        <w:rPr>
          <w:noProof/>
        </w:rPr>
        <w:t>Sekkumiskriteeriumid</w:t>
      </w:r>
    </w:p>
    <w:p w:rsidR="001A62D7" w:rsidRPr="00A33550" w:rsidRDefault="008C6F8A" w:rsidP="008C6F8A">
      <w:pPr>
        <w:pStyle w:val="ManualNumPar1"/>
        <w:rPr>
          <w:noProof/>
        </w:rPr>
      </w:pPr>
      <w:r w:rsidRPr="008C6F8A">
        <w:rPr>
          <w:noProof/>
        </w:rPr>
        <w:t>6.</w:t>
      </w:r>
      <w:r w:rsidRPr="008C6F8A">
        <w:rPr>
          <w:noProof/>
        </w:rPr>
        <w:tab/>
      </w:r>
      <w:r w:rsidR="00052CC7" w:rsidRPr="00A33550">
        <w:rPr>
          <w:noProof/>
        </w:rPr>
        <w:t>Rootsi esitas taotluse määruse (EL) 2021/691 artikli 4 lõike 2 punkti a kohaste sekkumiskriteeriumide alusel, milles on seatud tingimuseks, et vaatlusperioodiks oleva nelja kuu jooksul on liikmesriigi ettevõtja pidanud tegevuse lõpetama ja koondanud vähemalt 200 töötajat, kaasa arvatud töötajad, kelle on koondanud nimetatud ettevõtja tarnijad või tootmisahela järgmise etapi tootjad, ja/või iseenda tööandjad, kes on tegevuse lõpetanud.</w:t>
      </w:r>
    </w:p>
    <w:p w:rsidR="001A62D7" w:rsidRPr="00A33550" w:rsidRDefault="008C6F8A" w:rsidP="008C6F8A">
      <w:pPr>
        <w:pStyle w:val="ManualNumPar1"/>
        <w:rPr>
          <w:noProof/>
        </w:rPr>
      </w:pPr>
      <w:bookmarkStart w:id="2" w:name="_Ref372189348"/>
      <w:r w:rsidRPr="008C6F8A">
        <w:rPr>
          <w:noProof/>
        </w:rPr>
        <w:t>7.</w:t>
      </w:r>
      <w:r w:rsidRPr="008C6F8A">
        <w:rPr>
          <w:noProof/>
        </w:rPr>
        <w:tab/>
      </w:r>
      <w:r w:rsidR="001A62D7" w:rsidRPr="00A33550">
        <w:rPr>
          <w:noProof/>
        </w:rPr>
        <w:t>Neljakuuline vaatlusperiood kestis 28. novembrist 2024 kuni</w:t>
      </w:r>
      <w:bookmarkEnd w:id="2"/>
      <w:r w:rsidR="001A62D7" w:rsidRPr="00A33550">
        <w:rPr>
          <w:noProof/>
        </w:rPr>
        <w:t xml:space="preserve"> 28. märtsini 2025.</w:t>
      </w:r>
    </w:p>
    <w:p w:rsidR="001A62D7" w:rsidRPr="00A33550" w:rsidRDefault="008C6F8A" w:rsidP="008C6F8A">
      <w:pPr>
        <w:pStyle w:val="ManualNumPar1"/>
        <w:rPr>
          <w:noProof/>
        </w:rPr>
      </w:pPr>
      <w:r w:rsidRPr="008C6F8A">
        <w:rPr>
          <w:noProof/>
        </w:rPr>
        <w:t>8.</w:t>
      </w:r>
      <w:r w:rsidRPr="008C6F8A">
        <w:rPr>
          <w:noProof/>
        </w:rPr>
        <w:tab/>
      </w:r>
      <w:r w:rsidR="001A62D7" w:rsidRPr="00A33550">
        <w:rPr>
          <w:noProof/>
        </w:rPr>
        <w:t>Vaatlusperioodil toimus tegevuse lõpetamine järgmiselt:</w:t>
      </w:r>
    </w:p>
    <w:p w:rsidR="00E8095D" w:rsidRPr="00A33550" w:rsidRDefault="002A1949" w:rsidP="0045598D">
      <w:pPr>
        <w:pStyle w:val="Tiret1"/>
        <w:numPr>
          <w:ilvl w:val="0"/>
          <w:numId w:val="19"/>
        </w:numPr>
        <w:rPr>
          <w:noProof/>
        </w:rPr>
      </w:pPr>
      <w:r w:rsidRPr="00A33550">
        <w:rPr>
          <w:noProof/>
        </w:rPr>
        <w:t>Northvoltis koondati 5561 töötajat,</w:t>
      </w:r>
    </w:p>
    <w:p w:rsidR="00935AF6" w:rsidRPr="00A33550" w:rsidRDefault="00A266B0" w:rsidP="0045598D">
      <w:pPr>
        <w:pStyle w:val="Tiret1"/>
        <w:numPr>
          <w:ilvl w:val="0"/>
          <w:numId w:val="19"/>
        </w:numPr>
        <w:rPr>
          <w:noProof/>
        </w:rPr>
      </w:pPr>
      <w:r w:rsidRPr="00A33550">
        <w:rPr>
          <w:noProof/>
        </w:rPr>
        <w:t>Northvolti kaheksa alltöövõtja, tarnija ja tootmisahela järgmise etapi tootja juures koondati 268 töötajat.</w:t>
      </w:r>
    </w:p>
    <w:p w:rsidR="001A62D7" w:rsidRPr="00A33550" w:rsidRDefault="001A62D7" w:rsidP="00935AF6">
      <w:pPr>
        <w:pStyle w:val="ManualHeading3"/>
        <w:rPr>
          <w:noProof/>
        </w:rPr>
      </w:pPr>
      <w:r w:rsidRPr="00A33550">
        <w:rPr>
          <w:noProof/>
        </w:rPr>
        <w:t>Koondamiste ja tegevuse lõpetamise juhtude arvutamine</w:t>
      </w:r>
    </w:p>
    <w:p w:rsidR="001A62D7" w:rsidRPr="00A33550" w:rsidRDefault="008C6F8A" w:rsidP="008C6F8A">
      <w:pPr>
        <w:pStyle w:val="ManualNumPar1"/>
        <w:rPr>
          <w:noProof/>
        </w:rPr>
      </w:pPr>
      <w:r w:rsidRPr="008C6F8A">
        <w:rPr>
          <w:noProof/>
        </w:rPr>
        <w:t>9.</w:t>
      </w:r>
      <w:r w:rsidRPr="008C6F8A">
        <w:rPr>
          <w:noProof/>
        </w:rPr>
        <w:tab/>
      </w:r>
      <w:r w:rsidR="001A62D7" w:rsidRPr="00A33550">
        <w:rPr>
          <w:noProof/>
        </w:rPr>
        <w:t>Vastavalt määruse (EL) 2021/691 artikli 6 esimese lõigu punktile a koostoimes artikli 5 esimese lõiguga on koondatud töötajate tegevuse lõpetamist võrdlusperioodil arvestatud järgmiselt:</w:t>
      </w:r>
    </w:p>
    <w:p w:rsidR="001A62D7" w:rsidRPr="00A33550" w:rsidRDefault="0050750F" w:rsidP="001A62D7">
      <w:pPr>
        <w:pStyle w:val="Tiret1"/>
        <w:rPr>
          <w:noProof/>
        </w:rPr>
      </w:pPr>
      <w:r w:rsidRPr="00A33550">
        <w:rPr>
          <w:noProof/>
        </w:rPr>
        <w:t>4552 koondatud töötajat, arvestades kuupäevast, mil tööandja teavitas kooskõlas nõukogu direktiivi 98/59/EC</w:t>
      </w:r>
      <w:r w:rsidRPr="00A33550">
        <w:rPr>
          <w:rStyle w:val="FootnoteReference"/>
          <w:noProof/>
        </w:rPr>
        <w:footnoteReference w:id="10"/>
      </w:r>
      <w:r w:rsidRPr="00A33550">
        <w:rPr>
          <w:noProof/>
        </w:rPr>
        <w:t xml:space="preserve"> artikli 3 lõikega 1 pädevat riigiasutust kavandatavatest kollektiivsetest koondamistest kirjalikult. Rootsi kinnitas enne komisjoni hindamise lõpetamise kuupäeva, et need 4552 töötajat on tõepoolest koondatud.</w:t>
      </w:r>
    </w:p>
    <w:p w:rsidR="001A62D7" w:rsidRPr="00A33550" w:rsidRDefault="004D7664" w:rsidP="001A62D7">
      <w:pPr>
        <w:pStyle w:val="Tiret1"/>
        <w:rPr>
          <w:noProof/>
        </w:rPr>
      </w:pPr>
      <w:r w:rsidRPr="00A33550">
        <w:rPr>
          <w:noProof/>
        </w:rPr>
        <w:t>1277 koondatud töötajat alates töölepingu tegeliku lõpetamise või lõppemise kuupäevast.</w:t>
      </w:r>
    </w:p>
    <w:p w:rsidR="001A62D7" w:rsidRPr="00A33550" w:rsidRDefault="001A62D7" w:rsidP="004D7664">
      <w:pPr>
        <w:pStyle w:val="ManualHeading3"/>
        <w:rPr>
          <w:noProof/>
        </w:rPr>
      </w:pPr>
      <w:r w:rsidRPr="00A33550">
        <w:rPr>
          <w:noProof/>
        </w:rPr>
        <w:t>Rahastamisnõuetele vastavad toetusesaajad</w:t>
      </w:r>
    </w:p>
    <w:p w:rsidR="00AF62A9" w:rsidRPr="00A33550" w:rsidRDefault="008C6F8A" w:rsidP="008C6F8A">
      <w:pPr>
        <w:pStyle w:val="ManualNumPar1"/>
        <w:rPr>
          <w:noProof/>
        </w:rPr>
      </w:pPr>
      <w:r w:rsidRPr="008C6F8A">
        <w:rPr>
          <w:noProof/>
        </w:rPr>
        <w:t>10.</w:t>
      </w:r>
      <w:r w:rsidRPr="008C6F8A">
        <w:rPr>
          <w:noProof/>
        </w:rPr>
        <w:tab/>
      </w:r>
      <w:r w:rsidR="001A62D7" w:rsidRPr="00A33550">
        <w:rPr>
          <w:noProof/>
        </w:rPr>
        <w:t>Lisaks juba osutatud töötajatele kuulub rahastamise nõuetele vastavate toetusesaajate hulka 657 töötajat, kes koondati enne või pärast nelja kuu pikkust vaatlusperioodi. Kõik need töötajad lõpetasid tegevuse määruse (EL) 2021/691 artikli 6 esimese lõigu punkti b kohaselt kuue kuu jooksul enne vaatlusperioodi algust (28. november 2024) või vaatlusperioodi lõpu ja käesoleva ettepaneku vastuvõtmisele eelneva päeva vahel. On võimalik kindlaks teha selge põhjuslik seos sündmusega, mis põhjustas koondatud töötajate tegevuse lõpetamise vaatlusperioodil, nagu on nõutud määruse (EL) 2021/691 artikli 6 teises lõigus.</w:t>
      </w:r>
    </w:p>
    <w:p w:rsidR="001A62D7" w:rsidRPr="00A33550" w:rsidRDefault="008C6F8A" w:rsidP="008C6F8A">
      <w:pPr>
        <w:pStyle w:val="ManualNumPar1"/>
        <w:rPr>
          <w:noProof/>
        </w:rPr>
      </w:pPr>
      <w:r w:rsidRPr="008C6F8A">
        <w:rPr>
          <w:noProof/>
        </w:rPr>
        <w:t>11.</w:t>
      </w:r>
      <w:r w:rsidRPr="008C6F8A">
        <w:rPr>
          <w:noProof/>
        </w:rPr>
        <w:tab/>
      </w:r>
      <w:r w:rsidR="001A62D7" w:rsidRPr="00A33550">
        <w:rPr>
          <w:noProof/>
        </w:rPr>
        <w:t>Rahastamisnõuetele vastavaid toetusesaajaid on kokku 6 486.</w:t>
      </w:r>
    </w:p>
    <w:p w:rsidR="001A62D7" w:rsidRPr="00A33550" w:rsidRDefault="001A62D7" w:rsidP="001A62D7">
      <w:pPr>
        <w:pStyle w:val="ManualHeading3"/>
        <w:rPr>
          <w:noProof/>
        </w:rPr>
      </w:pPr>
      <w:r w:rsidRPr="00A33550">
        <w:rPr>
          <w:noProof/>
        </w:rPr>
        <w:t>Koondamiste ja tegevuse lõpetamise põhjustanud sündmuste kirjeldus</w:t>
      </w:r>
    </w:p>
    <w:p w:rsidR="00802E39" w:rsidRPr="00A33550" w:rsidRDefault="008C6F8A" w:rsidP="008C6F8A">
      <w:pPr>
        <w:pStyle w:val="ManualNumPar1"/>
        <w:rPr>
          <w:noProof/>
        </w:rPr>
      </w:pPr>
      <w:r w:rsidRPr="008C6F8A">
        <w:rPr>
          <w:noProof/>
        </w:rPr>
        <w:t>12.</w:t>
      </w:r>
      <w:r w:rsidRPr="008C6F8A">
        <w:rPr>
          <w:noProof/>
        </w:rPr>
        <w:tab/>
      </w:r>
      <w:r w:rsidR="001A62D7" w:rsidRPr="00A33550">
        <w:rPr>
          <w:noProof/>
        </w:rPr>
        <w:t xml:space="preserve">Koondamisi põhjustanud sündmus on ettevõtja Northvolt AB põhjalik restruktureerimine, millele järgnes ettevõtja pankrot. Selle järelmõju ulatus ettevõtja </w:t>
      </w:r>
      <w:r w:rsidR="00A33550" w:rsidRPr="00A33550">
        <w:rPr>
          <w:noProof/>
        </w:rPr>
        <w:t>alltöövõtjate</w:t>
      </w:r>
      <w:r w:rsidR="001A62D7" w:rsidRPr="00A33550">
        <w:rPr>
          <w:noProof/>
        </w:rPr>
        <w:t>, tarnijate ja tootmisahela järgmise etapi tootjateni, keda tabas väiksem koondamise laine.</w:t>
      </w:r>
    </w:p>
    <w:p w:rsidR="00802E39" w:rsidRPr="00A33550" w:rsidRDefault="008C6F8A" w:rsidP="008C6F8A">
      <w:pPr>
        <w:pStyle w:val="ManualNumPar1"/>
        <w:rPr>
          <w:noProof/>
        </w:rPr>
      </w:pPr>
      <w:r w:rsidRPr="008C6F8A">
        <w:rPr>
          <w:noProof/>
        </w:rPr>
        <w:t>13.</w:t>
      </w:r>
      <w:r w:rsidRPr="008C6F8A">
        <w:rPr>
          <w:noProof/>
        </w:rPr>
        <w:tab/>
      </w:r>
      <w:r w:rsidR="00802E39" w:rsidRPr="00A33550">
        <w:rPr>
          <w:noProof/>
        </w:rPr>
        <w:t>Northvolt AB asutasid 2016. aastal erainvestorid, kes soovisid luua Euroopa akutööstust, et vähendada sõltuvust Hiina tootjatest. Northvolt ehitas akutehase Skellefteå haldusüksusesse. See tehas, nimega Northvolt Ett (Northvolt One), oli rajatud eesmärgiga toota liitiumioonakusid elektriautode jaoks ja energia salvestamiseks. Lisaks asutati Västeråsi haldusüksusesse Northvolt Labs, st uurimislinnak.</w:t>
      </w:r>
    </w:p>
    <w:p w:rsidR="00802E39" w:rsidRPr="00A33550" w:rsidRDefault="008C6F8A" w:rsidP="008C6F8A">
      <w:pPr>
        <w:pStyle w:val="ManualNumPar1"/>
        <w:rPr>
          <w:noProof/>
        </w:rPr>
      </w:pPr>
      <w:r w:rsidRPr="008C6F8A">
        <w:rPr>
          <w:noProof/>
        </w:rPr>
        <w:t>14.</w:t>
      </w:r>
      <w:r w:rsidRPr="008C6F8A">
        <w:rPr>
          <w:noProof/>
        </w:rPr>
        <w:tab/>
      </w:r>
      <w:r w:rsidR="00802E39" w:rsidRPr="00A33550">
        <w:rPr>
          <w:noProof/>
        </w:rPr>
        <w:t>Northvolt Ett avati 2022. aasta juunis. Tootmisprotsessis ilmnesid aga peagi tõsised probleemid. 2023. aastal moodustas Northvolt Etti toodang vaid 0,5 % algselt kavandatud tootmisvõimsusest. Tellimuste täitmisel esinevate viivituste tõttu olid Northvolti suured kliendid sunnitud oma tellimused tühistama.</w:t>
      </w:r>
    </w:p>
    <w:p w:rsidR="00802E39" w:rsidRPr="00A33550" w:rsidRDefault="008C6F8A" w:rsidP="008C6F8A">
      <w:pPr>
        <w:pStyle w:val="ManualNumPar1"/>
        <w:rPr>
          <w:noProof/>
        </w:rPr>
      </w:pPr>
      <w:r w:rsidRPr="008C6F8A">
        <w:rPr>
          <w:noProof/>
        </w:rPr>
        <w:t>15.</w:t>
      </w:r>
      <w:r w:rsidRPr="008C6F8A">
        <w:rPr>
          <w:noProof/>
        </w:rPr>
        <w:tab/>
      </w:r>
      <w:r w:rsidR="00802E39" w:rsidRPr="00A33550">
        <w:rPr>
          <w:noProof/>
        </w:rPr>
        <w:t>Samal ajal said Hiina akutootjad riigi toetuste tõttu müüa akusid Northvoltiga võrreldes poole madalama hinnaga. Hiina turu valitseva seisundi tõttu, ning püüdes saavutada sõltumatust Hiina tootjatest, subsideerisid ka paljud teised maailma riigid akude tootmist.</w:t>
      </w:r>
    </w:p>
    <w:p w:rsidR="002A0F0F" w:rsidRPr="00A33550" w:rsidRDefault="008C6F8A" w:rsidP="008C6F8A">
      <w:pPr>
        <w:pStyle w:val="ManualNumPar1"/>
        <w:rPr>
          <w:noProof/>
        </w:rPr>
      </w:pPr>
      <w:r w:rsidRPr="008C6F8A">
        <w:rPr>
          <w:noProof/>
        </w:rPr>
        <w:t>16.</w:t>
      </w:r>
      <w:r w:rsidRPr="008C6F8A">
        <w:rPr>
          <w:noProof/>
        </w:rPr>
        <w:tab/>
      </w:r>
      <w:r w:rsidR="00802E39" w:rsidRPr="00A33550">
        <w:rPr>
          <w:noProof/>
        </w:rPr>
        <w:t>Turuosa suurendamiseks tehtud jõupingutused tõid akude turul kaasa tohutu ülepakkumise, kusjuures tootmisvõimsus ületas kaugelt prognoositud nõudlust. Ainuüksi Hiina tootjad tootsid piisavalt akusid, et rahuldada üleilmset nõudlust. Seega on Northvolti pankrot märk vältimatust turukorrektsioonist, mis tulenes liigsest tootmisvõimsusest.</w:t>
      </w:r>
    </w:p>
    <w:p w:rsidR="002A0F0F" w:rsidRPr="00A33550" w:rsidRDefault="008C6F8A" w:rsidP="008C6F8A">
      <w:pPr>
        <w:pStyle w:val="ManualNumPar1"/>
        <w:rPr>
          <w:noProof/>
        </w:rPr>
      </w:pPr>
      <w:r w:rsidRPr="008C6F8A">
        <w:rPr>
          <w:noProof/>
        </w:rPr>
        <w:t>17.</w:t>
      </w:r>
      <w:r w:rsidRPr="008C6F8A">
        <w:rPr>
          <w:noProof/>
        </w:rPr>
        <w:tab/>
      </w:r>
      <w:r w:rsidR="002A0F0F" w:rsidRPr="00A33550">
        <w:rPr>
          <w:noProof/>
        </w:rPr>
        <w:t xml:space="preserve">Strateegilise läbivaatamise tulemusena teatas Northvolt 2024. aasta 23. septembril personali ulatuslikust vähendamisest ning teatas töölepingu lõpetamisest kokku 1600 töötajale. </w:t>
      </w:r>
    </w:p>
    <w:p w:rsidR="00DC4B8B" w:rsidRPr="00A33550" w:rsidRDefault="008C6F8A" w:rsidP="008C6F8A">
      <w:pPr>
        <w:pStyle w:val="ManualNumPar1"/>
        <w:rPr>
          <w:noProof/>
        </w:rPr>
      </w:pPr>
      <w:r w:rsidRPr="008C6F8A">
        <w:rPr>
          <w:noProof/>
        </w:rPr>
        <w:t>18.</w:t>
      </w:r>
      <w:r w:rsidRPr="008C6F8A">
        <w:rPr>
          <w:noProof/>
        </w:rPr>
        <w:tab/>
      </w:r>
      <w:r w:rsidR="00DC4B8B" w:rsidRPr="00A33550">
        <w:rPr>
          <w:noProof/>
        </w:rPr>
        <w:t>Northvolti pankrot kuulutati välja 12. märtsil 2025. Tootmine jätkus kuni 22. maini 2025, mil viimane allesjäänud klient otsustas tarnijat vahetada.</w:t>
      </w:r>
    </w:p>
    <w:p w:rsidR="00DC4B8B" w:rsidRPr="00A33550" w:rsidRDefault="008C6F8A" w:rsidP="008C6F8A">
      <w:pPr>
        <w:pStyle w:val="ManualNumPar1"/>
        <w:rPr>
          <w:noProof/>
        </w:rPr>
      </w:pPr>
      <w:r w:rsidRPr="008C6F8A">
        <w:rPr>
          <w:noProof/>
        </w:rPr>
        <w:t>19.</w:t>
      </w:r>
      <w:r w:rsidRPr="008C6F8A">
        <w:rPr>
          <w:noProof/>
        </w:rPr>
        <w:tab/>
      </w:r>
      <w:r w:rsidR="00DC4B8B" w:rsidRPr="00A33550">
        <w:rPr>
          <w:noProof/>
        </w:rPr>
        <w:t>7. augustil 2025 teatas Ameerika idufirma Lyten kavatsusest Northvolti akude tootmine üle võtta. See tehing on praegu Rootsi ametiasutuste heakskiidu ootel. See, millal võib tootmine uuesti alata ja kui palju töötajaid võiks uuesti tööle võtta, on endiselt ebaselge.</w:t>
      </w:r>
    </w:p>
    <w:p w:rsidR="001A62D7" w:rsidRPr="00A33550" w:rsidRDefault="001A62D7" w:rsidP="001A62D7">
      <w:pPr>
        <w:pStyle w:val="ManualHeading3"/>
        <w:tabs>
          <w:tab w:val="clear" w:pos="850"/>
          <w:tab w:val="left" w:pos="0"/>
        </w:tabs>
        <w:ind w:left="0" w:firstLine="0"/>
        <w:rPr>
          <w:noProof/>
        </w:rPr>
      </w:pPr>
      <w:r w:rsidRPr="00A33550">
        <w:rPr>
          <w:noProof/>
        </w:rPr>
        <w:t>Koondamiste eeldatav mõju kohalikule, piirkondlikule või riigi majandusele ja tööhõivele</w:t>
      </w:r>
    </w:p>
    <w:p w:rsidR="00DA1B88" w:rsidRPr="00A33550" w:rsidRDefault="008C6F8A" w:rsidP="008C6F8A">
      <w:pPr>
        <w:pStyle w:val="ManualNumPar1"/>
        <w:rPr>
          <w:noProof/>
        </w:rPr>
      </w:pPr>
      <w:r w:rsidRPr="008C6F8A">
        <w:rPr>
          <w:noProof/>
        </w:rPr>
        <w:t>20.</w:t>
      </w:r>
      <w:r w:rsidRPr="008C6F8A">
        <w:rPr>
          <w:noProof/>
        </w:rPr>
        <w:tab/>
      </w:r>
      <w:r w:rsidR="00DA1B88" w:rsidRPr="00A33550">
        <w:rPr>
          <w:noProof/>
        </w:rPr>
        <w:t xml:space="preserve">Northvolti pankrot on Rootsis praegusel ajal toimunud pankrottidest suurim. Koondamised toimusid Northvolti tegevuskohtades Skellefteås, Västeråsis ja Stockholmis. Võttes arvesse kohalike tööturgude vastuvõtuvõimet, neis linnades toimuvate koondamiste hulka ning mõjutatud tööjõu peamiselt teadusuuringutele ja juhtimisele suunatud ametiprofiile, ei eelda Rootsi ametiasutused siiski, et koondamiste mõju Västeråsis ja Stockholmis oleks suur. Enam kui 5000 koondatud töötaja tõttu on aga Skellefteå linnale avaldunud mõju suur (linnas on 36 000 elanikku ja haldusüksuses kokku 77 000 elanikku). Seetõttu otsustasid Rootsi ametiasutused suunata EGFi abi </w:t>
      </w:r>
      <w:bookmarkStart w:id="3" w:name="_Hlk209047713"/>
      <w:r w:rsidR="00DA1B88" w:rsidRPr="00A33550">
        <w:rPr>
          <w:noProof/>
        </w:rPr>
        <w:t>Skellefteå</w:t>
      </w:r>
      <w:bookmarkEnd w:id="3"/>
      <w:r w:rsidR="00DA1B88" w:rsidRPr="00A33550">
        <w:rPr>
          <w:noProof/>
        </w:rPr>
        <w:t xml:space="preserve"> linna. Västeråsis ja Stockholmis koondatud töötajaid teavitatakse siiski EGFi meetmetega pakutavatest võimalusest ning taotluse korral antakse abi ka neile.</w:t>
      </w:r>
    </w:p>
    <w:p w:rsidR="0037267F" w:rsidRPr="00A33550" w:rsidRDefault="008C6F8A" w:rsidP="008C6F8A">
      <w:pPr>
        <w:pStyle w:val="ManualNumPar1"/>
        <w:rPr>
          <w:noProof/>
        </w:rPr>
      </w:pPr>
      <w:r w:rsidRPr="008C6F8A">
        <w:rPr>
          <w:noProof/>
        </w:rPr>
        <w:t>21.</w:t>
      </w:r>
      <w:r w:rsidRPr="008C6F8A">
        <w:rPr>
          <w:noProof/>
        </w:rPr>
        <w:tab/>
      </w:r>
      <w:r w:rsidR="0037267F" w:rsidRPr="00A33550">
        <w:rPr>
          <w:noProof/>
        </w:rPr>
        <w:t>Põhja-Rootsis asuvas Skellefteå linn tegi läbi suure muutuse. Elanikkonna vähenemise peatamiseks lubati piirkonnas teha suuri struktuurseid investeeringuid, mis koos rohepöördele keskenduva arengustrateegiaga meelitas ligi investoreid. Northvolti akutehas oli piirkonna majandusarengu katalüsaator.</w:t>
      </w:r>
    </w:p>
    <w:p w:rsidR="00661A41" w:rsidRPr="00A33550" w:rsidRDefault="008C6F8A" w:rsidP="008C6F8A">
      <w:pPr>
        <w:pStyle w:val="ManualNumPar1"/>
        <w:rPr>
          <w:noProof/>
        </w:rPr>
      </w:pPr>
      <w:r w:rsidRPr="008C6F8A">
        <w:rPr>
          <w:noProof/>
        </w:rPr>
        <w:t>22.</w:t>
      </w:r>
      <w:r w:rsidRPr="008C6F8A">
        <w:rPr>
          <w:noProof/>
        </w:rPr>
        <w:tab/>
      </w:r>
      <w:r w:rsidR="0037267F" w:rsidRPr="00A33550">
        <w:rPr>
          <w:noProof/>
        </w:rPr>
        <w:t>2024. aasta alguses oli Skellefteås veel mitu tuhat vaba töökohta ja töötuse määr oli 2,9 %.</w:t>
      </w:r>
      <w:bookmarkStart w:id="4" w:name="_Hlk209048615"/>
      <w:r w:rsidR="0037267F" w:rsidRPr="00A33550">
        <w:rPr>
          <w:noProof/>
        </w:rPr>
        <w:t xml:space="preserve"> </w:t>
      </w:r>
      <w:bookmarkEnd w:id="4"/>
      <w:r w:rsidR="0037267F" w:rsidRPr="00A33550">
        <w:rPr>
          <w:noProof/>
        </w:rPr>
        <w:t>Pärast Northvolti pankrotti suurenes töötus 2025. aasta aprillis aga järsult 8,2 %ni.</w:t>
      </w:r>
    </w:p>
    <w:p w:rsidR="00661A41" w:rsidRPr="00A33550" w:rsidRDefault="008C6F8A" w:rsidP="008C6F8A">
      <w:pPr>
        <w:pStyle w:val="ManualNumPar1"/>
        <w:rPr>
          <w:noProof/>
        </w:rPr>
      </w:pPr>
      <w:bookmarkStart w:id="5" w:name="_Hlk209046866"/>
      <w:r w:rsidRPr="008C6F8A">
        <w:rPr>
          <w:noProof/>
        </w:rPr>
        <w:t>23.</w:t>
      </w:r>
      <w:r w:rsidRPr="008C6F8A">
        <w:rPr>
          <w:noProof/>
        </w:rPr>
        <w:tab/>
      </w:r>
      <w:r w:rsidR="00661A41" w:rsidRPr="00A33550">
        <w:rPr>
          <w:noProof/>
        </w:rPr>
        <w:t>Suurim hirm on see, et pärast töökohtade koondamist võib alata ajude äravool. Paljud töötajad kolisid Skellefteåsse ja asusid tööle Northvoltis vaid paar aastat tagasi. Lisaks olid 40 % Northvolti tööjõust kolmandate riikide kodanikud, kelle töö- ja elamisload sõltusid nende töötamisest. Et talendid jääksid paigale, on vaja teha suuri jõupingutusi ja aidata neil kiiresti leida uus töökoht, seda eelistatavalt samas piirkonnas.</w:t>
      </w:r>
    </w:p>
    <w:p w:rsidR="00DA1B88" w:rsidRPr="00A33550" w:rsidRDefault="008C6F8A" w:rsidP="008C6F8A">
      <w:pPr>
        <w:pStyle w:val="ManualNumPar1"/>
        <w:rPr>
          <w:noProof/>
        </w:rPr>
      </w:pPr>
      <w:r w:rsidRPr="008C6F8A">
        <w:rPr>
          <w:noProof/>
        </w:rPr>
        <w:t>24.</w:t>
      </w:r>
      <w:r w:rsidRPr="008C6F8A">
        <w:rPr>
          <w:noProof/>
        </w:rPr>
        <w:tab/>
      </w:r>
      <w:r w:rsidR="00661A41" w:rsidRPr="00A33550">
        <w:rPr>
          <w:noProof/>
        </w:rPr>
        <w:t>Paljudel koondatud töötajatel on akude tootmise ja inseneriteaduse valdkonnas erioskused. Vaja võib olla sihipäraseid meetmeid, et aidata neil inimestel leida uusi rolle piirkonna muudes kasvavates tööstusharudes. Koolitus ja oskuste täiendamine on peamised tegurid, mille abil leevendada pikaajalist mõju töötusele.</w:t>
      </w:r>
      <w:bookmarkEnd w:id="5"/>
    </w:p>
    <w:p w:rsidR="001A62D7" w:rsidRPr="00A33550" w:rsidRDefault="001A62D7" w:rsidP="001A62D7">
      <w:pPr>
        <w:pStyle w:val="ManualHeading2"/>
        <w:rPr>
          <w:noProof/>
        </w:rPr>
      </w:pPr>
      <w:r w:rsidRPr="00A33550">
        <w:rPr>
          <w:noProof/>
        </w:rPr>
        <w:t>Muutusteks ja restruktureerimiseks valmisolekut käsitleva ELi kvaliteediraamistiku kohaldamine</w:t>
      </w:r>
    </w:p>
    <w:p w:rsidR="001A62D7" w:rsidRPr="00A33550" w:rsidRDefault="008C6F8A" w:rsidP="008C6F8A">
      <w:pPr>
        <w:pStyle w:val="ManualNumPar1"/>
        <w:rPr>
          <w:noProof/>
        </w:rPr>
      </w:pPr>
      <w:r w:rsidRPr="008C6F8A">
        <w:rPr>
          <w:noProof/>
        </w:rPr>
        <w:t>25.</w:t>
      </w:r>
      <w:r w:rsidRPr="008C6F8A">
        <w:rPr>
          <w:noProof/>
        </w:rPr>
        <w:tab/>
      </w:r>
      <w:r w:rsidR="00307EA7" w:rsidRPr="00A33550">
        <w:rPr>
          <w:noProof/>
        </w:rPr>
        <w:t xml:space="preserve">Rootsi on selgitanud, kuidas on arvesse võetud muutusteks ja restruktureerimiseks valmisolekut käsitlevas ELi kvaliteediraamistikus esitatud soovitusi. Enne pankrotti oli Northvolt pakkunud toetust osale oma tööjõust, keda oli kahjustanud ettevõtte ulatuslik restruktureerimine 2024. aasta sügisel. Ettevõte oli sõlminud ametiühingutega kollektiivlepingu. Kolmandate riikide kodanikele, kelle töö- ja elamisluba sõltusid nende töölepingust, pakuti võimalusi kolida uude kohta. </w:t>
      </w:r>
    </w:p>
    <w:p w:rsidR="00AA173A" w:rsidRPr="00A33550" w:rsidRDefault="008C6F8A" w:rsidP="008C6F8A">
      <w:pPr>
        <w:pStyle w:val="ManualNumPar1"/>
        <w:rPr>
          <w:noProof/>
        </w:rPr>
      </w:pPr>
      <w:r w:rsidRPr="008C6F8A">
        <w:rPr>
          <w:noProof/>
        </w:rPr>
        <w:t>26.</w:t>
      </w:r>
      <w:r w:rsidRPr="008C6F8A">
        <w:rPr>
          <w:noProof/>
        </w:rPr>
        <w:tab/>
      </w:r>
      <w:r w:rsidR="00AA173A" w:rsidRPr="00A33550">
        <w:rPr>
          <w:noProof/>
        </w:rPr>
        <w:t>Koondatud töötajate abistamiseks võetud meetmete kohta on Rootsi teatanud, et töötajad said abi Rootsi töökaitsenõukogudelt (TRR ja TSL</w:t>
      </w:r>
      <w:r w:rsidR="00AA173A" w:rsidRPr="00A33550">
        <w:rPr>
          <w:rStyle w:val="FootnoteReference"/>
          <w:noProof/>
        </w:rPr>
        <w:footnoteReference w:id="11"/>
      </w:r>
      <w:r w:rsidR="00AA173A" w:rsidRPr="00A33550">
        <w:rPr>
          <w:noProof/>
        </w:rPr>
        <w:t xml:space="preserve">). Need üksused loodi tööandjate ja töötajate organisatsioonide vaheliste kollektiivlepingutega, et rahastada koondatud töötajatele antavat toetust uue töökoha leidmiseks. Samas ei saa seda toetust isikud, kellel on ebapiisav </w:t>
      </w:r>
      <w:r w:rsidR="00A33550" w:rsidRPr="00A33550">
        <w:rPr>
          <w:noProof/>
        </w:rPr>
        <w:t>tööstaaž</w:t>
      </w:r>
      <w:r w:rsidR="00AA173A" w:rsidRPr="00A33550">
        <w:rPr>
          <w:noProof/>
        </w:rPr>
        <w:t xml:space="preserve"> ega alalise elamisloata kolmandate riikide kodanikud.</w:t>
      </w:r>
    </w:p>
    <w:p w:rsidR="001A62D7" w:rsidRPr="00A33550" w:rsidRDefault="001A62D7" w:rsidP="001A62D7">
      <w:pPr>
        <w:pStyle w:val="ManualHeading3"/>
        <w:rPr>
          <w:noProof/>
        </w:rPr>
      </w:pPr>
      <w:r w:rsidRPr="00A33550">
        <w:rPr>
          <w:noProof/>
        </w:rPr>
        <w:t>Vastastikune täiendavus liikmesriikide või liidu vahenditest rahastatavate meetmetega</w:t>
      </w:r>
    </w:p>
    <w:p w:rsidR="001A62D7" w:rsidRPr="00A33550" w:rsidRDefault="008C6F8A" w:rsidP="008C6F8A">
      <w:pPr>
        <w:pStyle w:val="ManualNumPar1"/>
        <w:rPr>
          <w:noProof/>
        </w:rPr>
      </w:pPr>
      <w:r w:rsidRPr="008C6F8A">
        <w:rPr>
          <w:noProof/>
        </w:rPr>
        <w:t>27.</w:t>
      </w:r>
      <w:r w:rsidRPr="008C6F8A">
        <w:rPr>
          <w:noProof/>
        </w:rPr>
        <w:tab/>
      </w:r>
      <w:r w:rsidR="00307EA7" w:rsidRPr="00A33550">
        <w:rPr>
          <w:noProof/>
        </w:rPr>
        <w:t>Rootsi on kinnitanud, et allpool kirjeldatud meetmed, mis saavad EGFist rahalist toetust, ei saa rahalist toetust liidu muudest rahastamisvahenditest.</w:t>
      </w:r>
    </w:p>
    <w:p w:rsidR="001A62D7" w:rsidRPr="00A33550" w:rsidRDefault="008C6F8A" w:rsidP="008C6F8A">
      <w:pPr>
        <w:pStyle w:val="ManualNumPar1"/>
        <w:rPr>
          <w:noProof/>
        </w:rPr>
      </w:pPr>
      <w:r w:rsidRPr="008C6F8A">
        <w:rPr>
          <w:noProof/>
        </w:rPr>
        <w:t>28.</w:t>
      </w:r>
      <w:r w:rsidRPr="008C6F8A">
        <w:rPr>
          <w:noProof/>
        </w:rPr>
        <w:tab/>
      </w:r>
      <w:r w:rsidR="001A62D7" w:rsidRPr="00A33550">
        <w:rPr>
          <w:noProof/>
        </w:rPr>
        <w:t xml:space="preserve">Individuaalsete teenuste kooskõlastatud pakett täiendab riiklikest või erafondidest rahastatavaid meetmeid, nimelt avaliku tööturuasutuse pakutavaid korrapäraseid meetmeid ning Rootsi töökaitsenõukogude TRR ja TSLi pakutavaid meetmeid. Sellele lisanduvad täiendavad ELi vahendid, kuna riikliku ESF+ programmi raames on avaldatud projektikonkurss, et suurendada mõjutatud piirkonnas suutlikkust selleks, et elavdada tööturgu. </w:t>
      </w:r>
    </w:p>
    <w:p w:rsidR="001A62D7" w:rsidRPr="00A33550" w:rsidRDefault="001A62D7" w:rsidP="001A62D7">
      <w:pPr>
        <w:pStyle w:val="ManualHeading3"/>
        <w:tabs>
          <w:tab w:val="clear" w:pos="850"/>
          <w:tab w:val="left" w:pos="0"/>
        </w:tabs>
        <w:ind w:left="0" w:firstLine="0"/>
        <w:rPr>
          <w:noProof/>
          <w:u w:val="single"/>
        </w:rPr>
      </w:pPr>
      <w:r w:rsidRPr="00A33550">
        <w:rPr>
          <w:noProof/>
        </w:rPr>
        <w:t>Sihtrühma kuuluvate toetusesaajate või nende esindajate või sotsiaalpartnerite ning kohalike ja piirkondlike asutustega konsulteerimise kord</w:t>
      </w:r>
    </w:p>
    <w:p w:rsidR="001A62D7" w:rsidRPr="00A33550" w:rsidRDefault="008C6F8A" w:rsidP="008C6F8A">
      <w:pPr>
        <w:pStyle w:val="ManualNumPar1"/>
        <w:rPr>
          <w:noProof/>
        </w:rPr>
      </w:pPr>
      <w:r w:rsidRPr="008C6F8A">
        <w:rPr>
          <w:noProof/>
        </w:rPr>
        <w:t>29.</w:t>
      </w:r>
      <w:r w:rsidRPr="008C6F8A">
        <w:rPr>
          <w:noProof/>
        </w:rPr>
        <w:tab/>
      </w:r>
      <w:r w:rsidR="00B82734" w:rsidRPr="00A33550">
        <w:rPr>
          <w:noProof/>
        </w:rPr>
        <w:t>Rootsi ametiasutused on kinnitanud, et individuaalsete teenuste kooskõlastatud paketi koostamisel nõustati sihtrühma kuuluvaid toetusesaajaid esindavate ametiühingute ja sotsiaalpartneritega vastavalt määruse (EL) 2021/691 artikli 7 lõikele 4. Esimene kohtumine koondava ettevõtja, ametiühingute, avaliku tööturuasutuse ning Rootsi töökaitsenõukogude TRR ja TSL vahel toimus 22. oktoobril 2024. Selle kohtumise käigus moodustati töörühm, kuhu kuuluvad nimetatud organisatsioonide esindajad.</w:t>
      </w:r>
    </w:p>
    <w:p w:rsidR="001A62D7" w:rsidRPr="00A33550" w:rsidRDefault="008C6F8A" w:rsidP="008C6F8A">
      <w:pPr>
        <w:pStyle w:val="ManualNumPar1"/>
        <w:rPr>
          <w:noProof/>
        </w:rPr>
      </w:pPr>
      <w:r w:rsidRPr="008C6F8A">
        <w:rPr>
          <w:noProof/>
        </w:rPr>
        <w:t>30.</w:t>
      </w:r>
      <w:r w:rsidRPr="008C6F8A">
        <w:rPr>
          <w:noProof/>
        </w:rPr>
        <w:tab/>
      </w:r>
      <w:r w:rsidR="005832F1" w:rsidRPr="00A33550">
        <w:rPr>
          <w:noProof/>
        </w:rPr>
        <w:t xml:space="preserve"> Töörühm leppis kokku ka EGFi toetuse taotlemises ning meetmete paketi väljatöötamises kooskõlas kohalike ja piirkondlike arengustrateegiate ning tööandja vajadustega.</w:t>
      </w:r>
    </w:p>
    <w:p w:rsidR="001A62D7" w:rsidRPr="00A33550" w:rsidRDefault="001A62D7" w:rsidP="001A62D7">
      <w:pPr>
        <w:pStyle w:val="ManualHeading2"/>
        <w:rPr>
          <w:noProof/>
        </w:rPr>
      </w:pPr>
      <w:r w:rsidRPr="00A33550">
        <w:rPr>
          <w:noProof/>
        </w:rPr>
        <w:t>Sihtrühma kuuluvad toetusesaajad ja kavandatud meetmed</w:t>
      </w:r>
    </w:p>
    <w:p w:rsidR="001A62D7" w:rsidRPr="00A33550" w:rsidRDefault="001A62D7" w:rsidP="001A62D7">
      <w:pPr>
        <w:pStyle w:val="ManualHeading3"/>
        <w:rPr>
          <w:noProof/>
        </w:rPr>
      </w:pPr>
      <w:r w:rsidRPr="00A33550">
        <w:rPr>
          <w:noProof/>
        </w:rPr>
        <w:t>Sihtrühma kuuluvad toetusesaajad</w:t>
      </w:r>
    </w:p>
    <w:p w:rsidR="001A62D7" w:rsidRPr="00A33550" w:rsidRDefault="008C6F8A" w:rsidP="008C6F8A">
      <w:pPr>
        <w:pStyle w:val="ManualNumPar1"/>
        <w:rPr>
          <w:noProof/>
        </w:rPr>
      </w:pPr>
      <w:r w:rsidRPr="008C6F8A">
        <w:rPr>
          <w:noProof/>
        </w:rPr>
        <w:t>31.</w:t>
      </w:r>
      <w:r w:rsidRPr="008C6F8A">
        <w:rPr>
          <w:noProof/>
        </w:rPr>
        <w:tab/>
      </w:r>
      <w:r w:rsidR="001A62D7" w:rsidRPr="00A33550">
        <w:rPr>
          <w:noProof/>
        </w:rPr>
        <w:t>Hinnanguliselt osaleb meetmetes 5 800 koondatud töötajat. Vastavalt määruse (EL) 2021/691 artikli 8 lõike 7 punktile f on nende töötajate jaotus soo, vanuserühma ja haridustaseme järgi järgmine:</w:t>
      </w:r>
    </w:p>
    <w:tbl>
      <w:tblPr>
        <w:tblW w:w="0" w:type="auto"/>
        <w:jc w:val="center"/>
        <w:tblLook w:val="04A0" w:firstRow="1" w:lastRow="0" w:firstColumn="1" w:lastColumn="0" w:noHBand="0" w:noVBand="1"/>
      </w:tblPr>
      <w:tblGrid>
        <w:gridCol w:w="1496"/>
        <w:gridCol w:w="1743"/>
        <w:gridCol w:w="320"/>
        <w:gridCol w:w="1176"/>
        <w:gridCol w:w="1176"/>
      </w:tblGrid>
      <w:tr w:rsidR="001A62D7" w:rsidRPr="00A33550" w:rsidTr="005822AE">
        <w:trPr>
          <w:jc w:val="center"/>
        </w:trPr>
        <w:tc>
          <w:tcPr>
            <w:tcW w:w="3239" w:type="dxa"/>
            <w:gridSpan w:val="2"/>
            <w:tcBorders>
              <w:top w:val="single" w:sz="4" w:space="0" w:color="auto"/>
              <w:left w:val="nil"/>
              <w:bottom w:val="single" w:sz="4" w:space="0" w:color="auto"/>
              <w:right w:val="nil"/>
            </w:tcBorders>
            <w:hideMark/>
          </w:tcPr>
          <w:p w:rsidR="001A62D7" w:rsidRPr="00A33550" w:rsidRDefault="001A62D7" w:rsidP="00052CC7">
            <w:pPr>
              <w:spacing w:before="60" w:after="60"/>
              <w:jc w:val="center"/>
              <w:rPr>
                <w:noProof/>
              </w:rPr>
            </w:pPr>
            <w:r w:rsidRPr="00A33550">
              <w:rPr>
                <w:noProof/>
              </w:rPr>
              <w:t>Kategooria</w:t>
            </w:r>
          </w:p>
        </w:tc>
        <w:tc>
          <w:tcPr>
            <w:tcW w:w="2672" w:type="dxa"/>
            <w:gridSpan w:val="3"/>
            <w:tcBorders>
              <w:top w:val="single" w:sz="4" w:space="0" w:color="auto"/>
              <w:left w:val="nil"/>
              <w:bottom w:val="single" w:sz="4" w:space="0" w:color="auto"/>
              <w:right w:val="nil"/>
            </w:tcBorders>
            <w:hideMark/>
          </w:tcPr>
          <w:p w:rsidR="001A62D7" w:rsidRPr="00A33550" w:rsidRDefault="001A62D7" w:rsidP="00052CC7">
            <w:pPr>
              <w:spacing w:before="60" w:after="60"/>
              <w:jc w:val="center"/>
              <w:rPr>
                <w:noProof/>
              </w:rPr>
            </w:pPr>
            <w:r w:rsidRPr="00A33550">
              <w:rPr>
                <w:noProof/>
              </w:rPr>
              <w:t xml:space="preserve">Eeldatavate toetusesaajate </w:t>
            </w:r>
            <w:r w:rsidRPr="00A33550">
              <w:rPr>
                <w:noProof/>
              </w:rPr>
              <w:br/>
              <w:t>arv</w:t>
            </w:r>
          </w:p>
        </w:tc>
      </w:tr>
      <w:tr w:rsidR="001A62D7" w:rsidRPr="00A33550" w:rsidTr="00052CC7">
        <w:trPr>
          <w:jc w:val="center"/>
        </w:trPr>
        <w:tc>
          <w:tcPr>
            <w:tcW w:w="1496" w:type="dxa"/>
            <w:tcBorders>
              <w:top w:val="single" w:sz="4" w:space="0" w:color="auto"/>
              <w:left w:val="nil"/>
              <w:right w:val="nil"/>
            </w:tcBorders>
            <w:hideMark/>
          </w:tcPr>
          <w:p w:rsidR="001A62D7" w:rsidRPr="00A33550" w:rsidRDefault="001A62D7" w:rsidP="00052CC7">
            <w:pPr>
              <w:spacing w:before="60" w:after="60"/>
              <w:rPr>
                <w:noProof/>
              </w:rPr>
            </w:pPr>
            <w:r w:rsidRPr="00A33550">
              <w:rPr>
                <w:noProof/>
              </w:rPr>
              <w:t>Sugu</w:t>
            </w:r>
          </w:p>
        </w:tc>
        <w:tc>
          <w:tcPr>
            <w:tcW w:w="2063" w:type="dxa"/>
            <w:gridSpan w:val="2"/>
            <w:tcBorders>
              <w:top w:val="single" w:sz="4" w:space="0" w:color="auto"/>
              <w:left w:val="nil"/>
              <w:right w:val="nil"/>
            </w:tcBorders>
            <w:hideMark/>
          </w:tcPr>
          <w:p w:rsidR="001A62D7" w:rsidRPr="00A33550" w:rsidRDefault="00BE7BCE" w:rsidP="00052CC7">
            <w:pPr>
              <w:spacing w:before="60" w:after="60"/>
              <w:rPr>
                <w:noProof/>
              </w:rPr>
            </w:pPr>
            <w:r w:rsidRPr="00A33550">
              <w:rPr>
                <w:noProof/>
              </w:rPr>
              <w:t>M</w:t>
            </w:r>
            <w:r w:rsidR="001A62D7" w:rsidRPr="00A33550">
              <w:rPr>
                <w:noProof/>
              </w:rPr>
              <w:t>ehed:</w:t>
            </w:r>
          </w:p>
        </w:tc>
        <w:tc>
          <w:tcPr>
            <w:tcW w:w="1176" w:type="dxa"/>
            <w:tcBorders>
              <w:top w:val="single" w:sz="4" w:space="0" w:color="auto"/>
              <w:left w:val="nil"/>
              <w:right w:val="nil"/>
            </w:tcBorders>
            <w:hideMark/>
          </w:tcPr>
          <w:p w:rsidR="001A62D7" w:rsidRPr="00A33550" w:rsidRDefault="000C31DE" w:rsidP="00052CC7">
            <w:pPr>
              <w:spacing w:before="60" w:after="60"/>
              <w:jc w:val="right"/>
              <w:rPr>
                <w:noProof/>
              </w:rPr>
            </w:pPr>
            <w:r w:rsidRPr="00A33550">
              <w:rPr>
                <w:noProof/>
              </w:rPr>
              <w:t>4 126</w:t>
            </w:r>
          </w:p>
        </w:tc>
        <w:tc>
          <w:tcPr>
            <w:tcW w:w="1176" w:type="dxa"/>
            <w:tcBorders>
              <w:top w:val="single" w:sz="4" w:space="0" w:color="auto"/>
              <w:left w:val="nil"/>
              <w:right w:val="nil"/>
            </w:tcBorders>
            <w:hideMark/>
          </w:tcPr>
          <w:p w:rsidR="001A62D7" w:rsidRPr="00A33550" w:rsidRDefault="001A62D7" w:rsidP="00052CC7">
            <w:pPr>
              <w:spacing w:before="60" w:after="60"/>
              <w:jc w:val="right"/>
              <w:rPr>
                <w:noProof/>
              </w:rPr>
            </w:pPr>
            <w:r w:rsidRPr="00A33550">
              <w:rPr>
                <w:noProof/>
              </w:rPr>
              <w:t>(71,1 %)</w:t>
            </w:r>
          </w:p>
        </w:tc>
      </w:tr>
      <w:tr w:rsidR="001A62D7" w:rsidRPr="00A33550" w:rsidTr="00052CC7">
        <w:trPr>
          <w:jc w:val="center"/>
        </w:trPr>
        <w:tc>
          <w:tcPr>
            <w:tcW w:w="1496" w:type="dxa"/>
            <w:tcBorders>
              <w:top w:val="nil"/>
              <w:left w:val="nil"/>
              <w:right w:val="nil"/>
            </w:tcBorders>
          </w:tcPr>
          <w:p w:rsidR="001A62D7" w:rsidRPr="00A33550" w:rsidRDefault="001A62D7" w:rsidP="00052CC7">
            <w:pPr>
              <w:spacing w:before="60" w:after="60"/>
              <w:rPr>
                <w:noProof/>
              </w:rPr>
            </w:pPr>
          </w:p>
        </w:tc>
        <w:tc>
          <w:tcPr>
            <w:tcW w:w="2063" w:type="dxa"/>
            <w:gridSpan w:val="2"/>
            <w:tcBorders>
              <w:top w:val="nil"/>
              <w:left w:val="nil"/>
              <w:right w:val="nil"/>
            </w:tcBorders>
          </w:tcPr>
          <w:p w:rsidR="001A62D7" w:rsidRPr="00A33550" w:rsidRDefault="00BE7BCE" w:rsidP="00052CC7">
            <w:pPr>
              <w:spacing w:before="60" w:after="60"/>
              <w:rPr>
                <w:rFonts w:eastAsia="Calibri"/>
                <w:noProof/>
              </w:rPr>
            </w:pPr>
            <w:r w:rsidRPr="00A33550">
              <w:rPr>
                <w:noProof/>
              </w:rPr>
              <w:t>N</w:t>
            </w:r>
            <w:r w:rsidR="001A62D7" w:rsidRPr="00A33550">
              <w:rPr>
                <w:noProof/>
              </w:rPr>
              <w:t>aised:</w:t>
            </w:r>
          </w:p>
        </w:tc>
        <w:tc>
          <w:tcPr>
            <w:tcW w:w="1176" w:type="dxa"/>
          </w:tcPr>
          <w:p w:rsidR="001A62D7" w:rsidRPr="00A33550" w:rsidRDefault="000C31DE" w:rsidP="00052CC7">
            <w:pPr>
              <w:spacing w:before="60" w:after="60"/>
              <w:jc w:val="right"/>
              <w:rPr>
                <w:noProof/>
              </w:rPr>
            </w:pPr>
            <w:r w:rsidRPr="00A33550">
              <w:rPr>
                <w:noProof/>
              </w:rPr>
              <w:t>1 674</w:t>
            </w:r>
          </w:p>
        </w:tc>
        <w:tc>
          <w:tcPr>
            <w:tcW w:w="1176" w:type="dxa"/>
          </w:tcPr>
          <w:p w:rsidR="001A62D7" w:rsidRPr="00A33550" w:rsidRDefault="001A62D7" w:rsidP="00052CC7">
            <w:pPr>
              <w:spacing w:before="60" w:after="60"/>
              <w:jc w:val="right"/>
              <w:rPr>
                <w:rFonts w:eastAsia="Calibri"/>
                <w:noProof/>
              </w:rPr>
            </w:pPr>
            <w:r w:rsidRPr="00A33550">
              <w:rPr>
                <w:noProof/>
              </w:rPr>
              <w:t>(28,9 %)</w:t>
            </w:r>
          </w:p>
        </w:tc>
      </w:tr>
      <w:tr w:rsidR="001A62D7" w:rsidRPr="00A33550" w:rsidTr="00052CC7">
        <w:trPr>
          <w:jc w:val="center"/>
        </w:trPr>
        <w:tc>
          <w:tcPr>
            <w:tcW w:w="1496" w:type="dxa"/>
            <w:tcBorders>
              <w:left w:val="nil"/>
              <w:bottom w:val="single" w:sz="4" w:space="0" w:color="auto"/>
              <w:right w:val="nil"/>
            </w:tcBorders>
          </w:tcPr>
          <w:p w:rsidR="001A62D7" w:rsidRPr="00A33550" w:rsidRDefault="001A62D7" w:rsidP="00052CC7">
            <w:pPr>
              <w:spacing w:before="60" w:after="60"/>
              <w:rPr>
                <w:noProof/>
              </w:rPr>
            </w:pPr>
          </w:p>
        </w:tc>
        <w:tc>
          <w:tcPr>
            <w:tcW w:w="2063" w:type="dxa"/>
            <w:gridSpan w:val="2"/>
            <w:tcBorders>
              <w:left w:val="nil"/>
              <w:bottom w:val="single" w:sz="4" w:space="0" w:color="auto"/>
              <w:right w:val="nil"/>
            </w:tcBorders>
          </w:tcPr>
          <w:p w:rsidR="001A62D7" w:rsidRPr="00A33550" w:rsidRDefault="001A62D7" w:rsidP="00052CC7">
            <w:pPr>
              <w:spacing w:before="60" w:after="60"/>
              <w:rPr>
                <w:noProof/>
              </w:rPr>
            </w:pPr>
            <w:r w:rsidRPr="00A33550">
              <w:rPr>
                <w:noProof/>
              </w:rPr>
              <w:t>Mittebinaarsed isikud</w:t>
            </w:r>
          </w:p>
        </w:tc>
        <w:tc>
          <w:tcPr>
            <w:tcW w:w="1176" w:type="dxa"/>
            <w:tcBorders>
              <w:bottom w:val="single" w:sz="4" w:space="0" w:color="auto"/>
            </w:tcBorders>
            <w:hideMark/>
          </w:tcPr>
          <w:p w:rsidR="001A62D7" w:rsidRPr="00A33550" w:rsidRDefault="000C31DE" w:rsidP="00052CC7">
            <w:pPr>
              <w:spacing w:before="60" w:after="60"/>
              <w:jc w:val="right"/>
              <w:rPr>
                <w:noProof/>
              </w:rPr>
            </w:pPr>
            <w:r w:rsidRPr="00A33550">
              <w:rPr>
                <w:noProof/>
              </w:rPr>
              <w:t>0</w:t>
            </w:r>
          </w:p>
        </w:tc>
        <w:tc>
          <w:tcPr>
            <w:tcW w:w="1176" w:type="dxa"/>
            <w:tcBorders>
              <w:bottom w:val="single" w:sz="4" w:space="0" w:color="auto"/>
            </w:tcBorders>
            <w:hideMark/>
          </w:tcPr>
          <w:p w:rsidR="001A62D7" w:rsidRPr="00A33550" w:rsidRDefault="001A62D7" w:rsidP="00052CC7">
            <w:pPr>
              <w:spacing w:before="60" w:after="60"/>
              <w:jc w:val="right"/>
              <w:rPr>
                <w:noProof/>
              </w:rPr>
            </w:pPr>
            <w:r w:rsidRPr="00A33550">
              <w:rPr>
                <w:noProof/>
              </w:rPr>
              <w:t>(0 %)</w:t>
            </w:r>
          </w:p>
        </w:tc>
      </w:tr>
      <w:tr w:rsidR="001A62D7" w:rsidRPr="00A33550" w:rsidTr="00052CC7">
        <w:trPr>
          <w:jc w:val="center"/>
        </w:trPr>
        <w:tc>
          <w:tcPr>
            <w:tcW w:w="1496" w:type="dxa"/>
            <w:tcBorders>
              <w:top w:val="single" w:sz="4" w:space="0" w:color="auto"/>
              <w:left w:val="nil"/>
              <w:bottom w:val="nil"/>
              <w:right w:val="nil"/>
            </w:tcBorders>
            <w:hideMark/>
          </w:tcPr>
          <w:p w:rsidR="001A62D7" w:rsidRPr="00A33550" w:rsidRDefault="001A62D7" w:rsidP="00052CC7">
            <w:pPr>
              <w:spacing w:before="60" w:after="60"/>
              <w:rPr>
                <w:noProof/>
              </w:rPr>
            </w:pPr>
            <w:r w:rsidRPr="00A33550">
              <w:rPr>
                <w:noProof/>
              </w:rPr>
              <w:t>Vanuserühm</w:t>
            </w:r>
          </w:p>
        </w:tc>
        <w:tc>
          <w:tcPr>
            <w:tcW w:w="2063" w:type="dxa"/>
            <w:gridSpan w:val="2"/>
            <w:tcBorders>
              <w:top w:val="single" w:sz="4" w:space="0" w:color="auto"/>
              <w:left w:val="nil"/>
              <w:bottom w:val="nil"/>
              <w:right w:val="nil"/>
            </w:tcBorders>
            <w:hideMark/>
          </w:tcPr>
          <w:p w:rsidR="001A62D7" w:rsidRPr="00A33550" w:rsidRDefault="00BE7BCE" w:rsidP="00052CC7">
            <w:pPr>
              <w:spacing w:before="60" w:after="60"/>
              <w:rPr>
                <w:noProof/>
              </w:rPr>
            </w:pPr>
            <w:r w:rsidRPr="00A33550">
              <w:rPr>
                <w:noProof/>
              </w:rPr>
              <w:t>A</w:t>
            </w:r>
            <w:r w:rsidR="001A62D7" w:rsidRPr="00A33550">
              <w:rPr>
                <w:noProof/>
              </w:rPr>
              <w:t>lla 30aastased:</w:t>
            </w:r>
          </w:p>
        </w:tc>
        <w:tc>
          <w:tcPr>
            <w:tcW w:w="1176" w:type="dxa"/>
            <w:tcBorders>
              <w:top w:val="single" w:sz="4" w:space="0" w:color="auto"/>
            </w:tcBorders>
            <w:hideMark/>
          </w:tcPr>
          <w:p w:rsidR="001A62D7" w:rsidRPr="00A33550" w:rsidRDefault="000C31DE" w:rsidP="00052CC7">
            <w:pPr>
              <w:spacing w:before="60" w:after="60"/>
              <w:jc w:val="right"/>
              <w:rPr>
                <w:noProof/>
              </w:rPr>
            </w:pPr>
            <w:r w:rsidRPr="00A33550">
              <w:rPr>
                <w:noProof/>
              </w:rPr>
              <w:t>1 682</w:t>
            </w:r>
          </w:p>
        </w:tc>
        <w:tc>
          <w:tcPr>
            <w:tcW w:w="1176" w:type="dxa"/>
            <w:tcBorders>
              <w:top w:val="single" w:sz="4" w:space="0" w:color="auto"/>
            </w:tcBorders>
            <w:hideMark/>
          </w:tcPr>
          <w:p w:rsidR="001A62D7" w:rsidRPr="00A33550" w:rsidRDefault="001A62D7" w:rsidP="00052CC7">
            <w:pPr>
              <w:spacing w:before="60" w:after="60"/>
              <w:jc w:val="right"/>
              <w:rPr>
                <w:noProof/>
              </w:rPr>
            </w:pPr>
            <w:r w:rsidRPr="00A33550">
              <w:rPr>
                <w:noProof/>
              </w:rPr>
              <w:t>(29,0 %)</w:t>
            </w:r>
          </w:p>
        </w:tc>
      </w:tr>
      <w:tr w:rsidR="001A62D7" w:rsidRPr="00A33550" w:rsidTr="00052CC7">
        <w:trPr>
          <w:jc w:val="center"/>
        </w:trPr>
        <w:tc>
          <w:tcPr>
            <w:tcW w:w="1496" w:type="dxa"/>
          </w:tcPr>
          <w:p w:rsidR="001A62D7" w:rsidRPr="00A33550" w:rsidRDefault="001A62D7" w:rsidP="00052CC7">
            <w:pPr>
              <w:spacing w:before="60" w:after="60"/>
              <w:rPr>
                <w:noProof/>
              </w:rPr>
            </w:pPr>
          </w:p>
        </w:tc>
        <w:tc>
          <w:tcPr>
            <w:tcW w:w="2063" w:type="dxa"/>
            <w:gridSpan w:val="2"/>
            <w:hideMark/>
          </w:tcPr>
          <w:p w:rsidR="001A62D7" w:rsidRPr="00A33550" w:rsidRDefault="001A62D7" w:rsidP="00052CC7">
            <w:pPr>
              <w:spacing w:before="60" w:after="60"/>
              <w:rPr>
                <w:noProof/>
              </w:rPr>
            </w:pPr>
            <w:r w:rsidRPr="00A33550">
              <w:rPr>
                <w:noProof/>
              </w:rPr>
              <w:t>30–54aastased:</w:t>
            </w:r>
          </w:p>
        </w:tc>
        <w:tc>
          <w:tcPr>
            <w:tcW w:w="1176" w:type="dxa"/>
            <w:hideMark/>
          </w:tcPr>
          <w:p w:rsidR="001A62D7" w:rsidRPr="00A33550" w:rsidRDefault="000C31DE" w:rsidP="00052CC7">
            <w:pPr>
              <w:spacing w:before="60" w:after="60"/>
              <w:jc w:val="right"/>
              <w:rPr>
                <w:noProof/>
              </w:rPr>
            </w:pPr>
            <w:r w:rsidRPr="00A33550">
              <w:rPr>
                <w:noProof/>
              </w:rPr>
              <w:t>3 944</w:t>
            </w:r>
          </w:p>
        </w:tc>
        <w:tc>
          <w:tcPr>
            <w:tcW w:w="1176" w:type="dxa"/>
            <w:hideMark/>
          </w:tcPr>
          <w:p w:rsidR="001A62D7" w:rsidRPr="00A33550" w:rsidRDefault="001A62D7" w:rsidP="00052CC7">
            <w:pPr>
              <w:spacing w:before="60" w:after="60"/>
              <w:jc w:val="right"/>
              <w:rPr>
                <w:noProof/>
              </w:rPr>
            </w:pPr>
            <w:r w:rsidRPr="00A33550">
              <w:rPr>
                <w:noProof/>
              </w:rPr>
              <w:t>(68,0 %)</w:t>
            </w:r>
          </w:p>
        </w:tc>
      </w:tr>
      <w:tr w:rsidR="001A62D7" w:rsidRPr="00A33550" w:rsidTr="00052CC7">
        <w:trPr>
          <w:jc w:val="center"/>
        </w:trPr>
        <w:tc>
          <w:tcPr>
            <w:tcW w:w="1496" w:type="dxa"/>
          </w:tcPr>
          <w:p w:rsidR="001A62D7" w:rsidRPr="00A33550" w:rsidRDefault="001A62D7" w:rsidP="00052CC7">
            <w:pPr>
              <w:spacing w:before="60" w:after="60"/>
              <w:rPr>
                <w:noProof/>
              </w:rPr>
            </w:pPr>
          </w:p>
        </w:tc>
        <w:tc>
          <w:tcPr>
            <w:tcW w:w="2063" w:type="dxa"/>
            <w:gridSpan w:val="2"/>
            <w:hideMark/>
          </w:tcPr>
          <w:p w:rsidR="001A62D7" w:rsidRPr="00A33550" w:rsidRDefault="00BE7BCE" w:rsidP="00052CC7">
            <w:pPr>
              <w:spacing w:before="60" w:after="60"/>
              <w:jc w:val="left"/>
              <w:rPr>
                <w:noProof/>
              </w:rPr>
            </w:pPr>
            <w:r w:rsidRPr="00A33550">
              <w:rPr>
                <w:noProof/>
              </w:rPr>
              <w:t>Ü</w:t>
            </w:r>
            <w:r w:rsidR="001A62D7" w:rsidRPr="00A33550">
              <w:rPr>
                <w:noProof/>
              </w:rPr>
              <w:t>le 54aastased:</w:t>
            </w:r>
          </w:p>
        </w:tc>
        <w:tc>
          <w:tcPr>
            <w:tcW w:w="1176" w:type="dxa"/>
            <w:hideMark/>
          </w:tcPr>
          <w:p w:rsidR="001A62D7" w:rsidRPr="00A33550" w:rsidRDefault="000C31DE" w:rsidP="00052CC7">
            <w:pPr>
              <w:spacing w:before="60" w:after="60"/>
              <w:jc w:val="right"/>
              <w:rPr>
                <w:noProof/>
              </w:rPr>
            </w:pPr>
            <w:r w:rsidRPr="00A33550">
              <w:rPr>
                <w:noProof/>
              </w:rPr>
              <w:t>174</w:t>
            </w:r>
          </w:p>
        </w:tc>
        <w:tc>
          <w:tcPr>
            <w:tcW w:w="1176" w:type="dxa"/>
            <w:hideMark/>
          </w:tcPr>
          <w:p w:rsidR="001A62D7" w:rsidRPr="00A33550" w:rsidRDefault="001A62D7" w:rsidP="00052CC7">
            <w:pPr>
              <w:spacing w:before="60" w:after="60"/>
              <w:jc w:val="right"/>
              <w:rPr>
                <w:noProof/>
              </w:rPr>
            </w:pPr>
            <w:r w:rsidRPr="00A33550">
              <w:rPr>
                <w:noProof/>
              </w:rPr>
              <w:t>(3,0 %)</w:t>
            </w:r>
          </w:p>
        </w:tc>
      </w:tr>
      <w:tr w:rsidR="001A62D7" w:rsidRPr="00A33550" w:rsidTr="00052CC7">
        <w:trPr>
          <w:jc w:val="center"/>
        </w:trPr>
        <w:tc>
          <w:tcPr>
            <w:tcW w:w="1496" w:type="dxa"/>
            <w:tcBorders>
              <w:top w:val="single" w:sz="4" w:space="0" w:color="auto"/>
              <w:left w:val="nil"/>
              <w:bottom w:val="nil"/>
              <w:right w:val="nil"/>
            </w:tcBorders>
          </w:tcPr>
          <w:p w:rsidR="001A62D7" w:rsidRPr="00A33550" w:rsidRDefault="001A62D7" w:rsidP="00052CC7">
            <w:pPr>
              <w:spacing w:before="60" w:after="60"/>
              <w:rPr>
                <w:noProof/>
              </w:rPr>
            </w:pPr>
            <w:r w:rsidRPr="00A33550">
              <w:rPr>
                <w:noProof/>
              </w:rPr>
              <w:t>Haridustase</w:t>
            </w:r>
          </w:p>
        </w:tc>
        <w:tc>
          <w:tcPr>
            <w:tcW w:w="2063" w:type="dxa"/>
            <w:gridSpan w:val="2"/>
            <w:tcBorders>
              <w:top w:val="single" w:sz="4" w:space="0" w:color="auto"/>
              <w:left w:val="nil"/>
              <w:bottom w:val="nil"/>
              <w:right w:val="nil"/>
            </w:tcBorders>
          </w:tcPr>
          <w:p w:rsidR="001A62D7" w:rsidRPr="00A33550" w:rsidRDefault="001A62D7" w:rsidP="00052CC7">
            <w:pPr>
              <w:spacing w:before="60" w:after="60"/>
              <w:rPr>
                <w:noProof/>
              </w:rPr>
            </w:pPr>
            <w:r w:rsidRPr="00A33550">
              <w:rPr>
                <w:noProof/>
              </w:rPr>
              <w:t>Põhiharidus või sellest madalam haridus</w:t>
            </w:r>
            <w:r w:rsidRPr="00A33550">
              <w:rPr>
                <w:rStyle w:val="FootnoteReference"/>
                <w:noProof/>
              </w:rPr>
              <w:footnoteReference w:id="12"/>
            </w:r>
            <w:r w:rsidRPr="00A33550">
              <w:rPr>
                <w:noProof/>
              </w:rPr>
              <w:t xml:space="preserve"> </w:t>
            </w:r>
          </w:p>
        </w:tc>
        <w:tc>
          <w:tcPr>
            <w:tcW w:w="1176" w:type="dxa"/>
            <w:tcBorders>
              <w:top w:val="single" w:sz="4" w:space="0" w:color="auto"/>
              <w:left w:val="nil"/>
              <w:bottom w:val="nil"/>
              <w:right w:val="nil"/>
            </w:tcBorders>
          </w:tcPr>
          <w:p w:rsidR="001A62D7" w:rsidRPr="00A33550" w:rsidRDefault="000C31DE" w:rsidP="00052CC7">
            <w:pPr>
              <w:spacing w:before="60" w:after="60"/>
              <w:jc w:val="right"/>
              <w:rPr>
                <w:noProof/>
              </w:rPr>
            </w:pPr>
            <w:r w:rsidRPr="00A33550">
              <w:rPr>
                <w:noProof/>
              </w:rPr>
              <w:t>348</w:t>
            </w:r>
          </w:p>
        </w:tc>
        <w:tc>
          <w:tcPr>
            <w:tcW w:w="1176" w:type="dxa"/>
            <w:tcBorders>
              <w:top w:val="single" w:sz="4" w:space="0" w:color="auto"/>
              <w:left w:val="nil"/>
              <w:bottom w:val="nil"/>
              <w:right w:val="nil"/>
            </w:tcBorders>
          </w:tcPr>
          <w:p w:rsidR="001A62D7" w:rsidRPr="00A33550" w:rsidRDefault="001A62D7" w:rsidP="00052CC7">
            <w:pPr>
              <w:spacing w:before="60" w:after="60"/>
              <w:jc w:val="right"/>
              <w:rPr>
                <w:rFonts w:eastAsia="Calibri"/>
                <w:noProof/>
              </w:rPr>
            </w:pPr>
            <w:r w:rsidRPr="00A33550">
              <w:rPr>
                <w:noProof/>
              </w:rPr>
              <w:t>(6,0 %)</w:t>
            </w:r>
          </w:p>
        </w:tc>
      </w:tr>
      <w:tr w:rsidR="001A62D7" w:rsidRPr="00A33550" w:rsidTr="00052CC7">
        <w:trPr>
          <w:jc w:val="center"/>
        </w:trPr>
        <w:tc>
          <w:tcPr>
            <w:tcW w:w="1496" w:type="dxa"/>
            <w:tcBorders>
              <w:top w:val="nil"/>
              <w:left w:val="nil"/>
              <w:right w:val="nil"/>
            </w:tcBorders>
          </w:tcPr>
          <w:p w:rsidR="001A62D7" w:rsidRPr="00A33550" w:rsidRDefault="001A62D7" w:rsidP="00052CC7">
            <w:pPr>
              <w:spacing w:before="60" w:after="60"/>
              <w:rPr>
                <w:noProof/>
              </w:rPr>
            </w:pPr>
          </w:p>
        </w:tc>
        <w:tc>
          <w:tcPr>
            <w:tcW w:w="2063" w:type="dxa"/>
            <w:gridSpan w:val="2"/>
            <w:tcBorders>
              <w:top w:val="nil"/>
              <w:left w:val="nil"/>
              <w:right w:val="nil"/>
            </w:tcBorders>
          </w:tcPr>
          <w:p w:rsidR="001A62D7" w:rsidRPr="00A33550" w:rsidRDefault="001A62D7" w:rsidP="00052CC7">
            <w:pPr>
              <w:spacing w:before="60" w:after="60"/>
              <w:rPr>
                <w:noProof/>
              </w:rPr>
            </w:pPr>
            <w:r w:rsidRPr="00A33550">
              <w:rPr>
                <w:noProof/>
              </w:rPr>
              <w:t>Keskharidus</w:t>
            </w:r>
            <w:r w:rsidRPr="00A33550">
              <w:rPr>
                <w:rStyle w:val="FootnoteReference"/>
                <w:noProof/>
              </w:rPr>
              <w:footnoteReference w:id="13"/>
            </w:r>
            <w:r w:rsidRPr="00A33550">
              <w:rPr>
                <w:noProof/>
              </w:rPr>
              <w:t xml:space="preserve"> või keskharidusjärgne haridus</w:t>
            </w:r>
            <w:r w:rsidRPr="00A33550">
              <w:rPr>
                <w:rStyle w:val="FootnoteReference"/>
                <w:noProof/>
              </w:rPr>
              <w:footnoteReference w:id="14"/>
            </w:r>
          </w:p>
        </w:tc>
        <w:tc>
          <w:tcPr>
            <w:tcW w:w="1176" w:type="dxa"/>
            <w:tcBorders>
              <w:top w:val="nil"/>
              <w:left w:val="nil"/>
              <w:right w:val="nil"/>
            </w:tcBorders>
          </w:tcPr>
          <w:p w:rsidR="001A62D7" w:rsidRPr="00A33550" w:rsidRDefault="000C31DE" w:rsidP="00052CC7">
            <w:pPr>
              <w:spacing w:before="60" w:after="60"/>
              <w:jc w:val="right"/>
              <w:rPr>
                <w:noProof/>
              </w:rPr>
            </w:pPr>
            <w:r w:rsidRPr="00A33550">
              <w:rPr>
                <w:noProof/>
              </w:rPr>
              <w:t>1 740</w:t>
            </w:r>
          </w:p>
        </w:tc>
        <w:tc>
          <w:tcPr>
            <w:tcW w:w="1176" w:type="dxa"/>
            <w:tcBorders>
              <w:top w:val="nil"/>
              <w:left w:val="nil"/>
              <w:right w:val="nil"/>
            </w:tcBorders>
          </w:tcPr>
          <w:p w:rsidR="001A62D7" w:rsidRPr="00A33550" w:rsidRDefault="001A62D7" w:rsidP="00052CC7">
            <w:pPr>
              <w:spacing w:before="60" w:after="60"/>
              <w:jc w:val="right"/>
              <w:rPr>
                <w:rFonts w:eastAsia="Calibri"/>
                <w:noProof/>
              </w:rPr>
            </w:pPr>
            <w:r w:rsidRPr="00A33550">
              <w:rPr>
                <w:noProof/>
              </w:rPr>
              <w:t>(30,0 %)</w:t>
            </w:r>
          </w:p>
        </w:tc>
      </w:tr>
      <w:tr w:rsidR="001A62D7" w:rsidRPr="00A33550" w:rsidTr="00052CC7">
        <w:trPr>
          <w:jc w:val="center"/>
        </w:trPr>
        <w:tc>
          <w:tcPr>
            <w:tcW w:w="1496" w:type="dxa"/>
            <w:tcBorders>
              <w:top w:val="nil"/>
              <w:left w:val="nil"/>
              <w:bottom w:val="single" w:sz="4" w:space="0" w:color="auto"/>
              <w:right w:val="nil"/>
            </w:tcBorders>
          </w:tcPr>
          <w:p w:rsidR="001A62D7" w:rsidRPr="00A33550" w:rsidRDefault="001A62D7" w:rsidP="00052CC7">
            <w:pPr>
              <w:spacing w:before="60" w:after="60"/>
              <w:rPr>
                <w:noProof/>
              </w:rPr>
            </w:pPr>
          </w:p>
        </w:tc>
        <w:tc>
          <w:tcPr>
            <w:tcW w:w="2063" w:type="dxa"/>
            <w:gridSpan w:val="2"/>
            <w:tcBorders>
              <w:top w:val="nil"/>
              <w:left w:val="nil"/>
              <w:bottom w:val="single" w:sz="4" w:space="0" w:color="auto"/>
              <w:right w:val="nil"/>
            </w:tcBorders>
          </w:tcPr>
          <w:p w:rsidR="001A62D7" w:rsidRPr="00A33550" w:rsidRDefault="001A62D7" w:rsidP="00052CC7">
            <w:pPr>
              <w:spacing w:before="60" w:after="60"/>
              <w:rPr>
                <w:noProof/>
              </w:rPr>
            </w:pPr>
            <w:r w:rsidRPr="00A33550">
              <w:rPr>
                <w:noProof/>
              </w:rPr>
              <w:t>Kolmanda taseme haridus</w:t>
            </w:r>
            <w:r w:rsidRPr="00A33550">
              <w:rPr>
                <w:rStyle w:val="FootnoteReference"/>
                <w:noProof/>
              </w:rPr>
              <w:footnoteReference w:id="15"/>
            </w:r>
          </w:p>
        </w:tc>
        <w:tc>
          <w:tcPr>
            <w:tcW w:w="1176" w:type="dxa"/>
            <w:tcBorders>
              <w:top w:val="nil"/>
              <w:left w:val="nil"/>
              <w:bottom w:val="single" w:sz="4" w:space="0" w:color="auto"/>
              <w:right w:val="nil"/>
            </w:tcBorders>
          </w:tcPr>
          <w:p w:rsidR="001A62D7" w:rsidRPr="00A33550" w:rsidRDefault="000C31DE" w:rsidP="00052CC7">
            <w:pPr>
              <w:spacing w:before="60" w:after="60"/>
              <w:jc w:val="right"/>
              <w:rPr>
                <w:noProof/>
              </w:rPr>
            </w:pPr>
            <w:r w:rsidRPr="00A33550">
              <w:rPr>
                <w:noProof/>
              </w:rPr>
              <w:t>3 712</w:t>
            </w:r>
          </w:p>
        </w:tc>
        <w:tc>
          <w:tcPr>
            <w:tcW w:w="1176" w:type="dxa"/>
            <w:tcBorders>
              <w:top w:val="nil"/>
              <w:left w:val="nil"/>
              <w:bottom w:val="single" w:sz="4" w:space="0" w:color="auto"/>
              <w:right w:val="nil"/>
            </w:tcBorders>
          </w:tcPr>
          <w:p w:rsidR="001A62D7" w:rsidRPr="00A33550" w:rsidRDefault="001A62D7" w:rsidP="00052CC7">
            <w:pPr>
              <w:spacing w:before="60" w:after="60"/>
              <w:jc w:val="right"/>
              <w:rPr>
                <w:rFonts w:eastAsia="Calibri"/>
                <w:noProof/>
              </w:rPr>
            </w:pPr>
            <w:r w:rsidRPr="00A33550">
              <w:rPr>
                <w:noProof/>
              </w:rPr>
              <w:t>(64,0 %)</w:t>
            </w:r>
          </w:p>
        </w:tc>
      </w:tr>
    </w:tbl>
    <w:p w:rsidR="001A62D7" w:rsidRPr="00A33550" w:rsidRDefault="001A62D7" w:rsidP="001A62D7">
      <w:pPr>
        <w:pStyle w:val="ManualHeading3"/>
        <w:rPr>
          <w:noProof/>
          <w:u w:val="single"/>
        </w:rPr>
      </w:pPr>
      <w:r w:rsidRPr="00A33550">
        <w:rPr>
          <w:noProof/>
        </w:rPr>
        <w:t>Kavandatud meetmed</w:t>
      </w:r>
    </w:p>
    <w:p w:rsidR="001A62D7" w:rsidRPr="00A33550" w:rsidRDefault="008C6F8A" w:rsidP="008C6F8A">
      <w:pPr>
        <w:pStyle w:val="ManualNumPar1"/>
        <w:rPr>
          <w:noProof/>
        </w:rPr>
      </w:pPr>
      <w:bookmarkStart w:id="6" w:name="_Ref372214239"/>
      <w:r w:rsidRPr="008C6F8A">
        <w:rPr>
          <w:noProof/>
        </w:rPr>
        <w:t>32.</w:t>
      </w:r>
      <w:r w:rsidRPr="008C6F8A">
        <w:rPr>
          <w:noProof/>
        </w:rPr>
        <w:tab/>
      </w:r>
      <w:r w:rsidR="001A62D7" w:rsidRPr="00A33550">
        <w:rPr>
          <w:noProof/>
        </w:rPr>
        <w:t xml:space="preserve">Vastavalt määruse (EL) 2021/691 artikli 8 lõike 7 punktile h koosneb koondatud töötajatele pakutav individuaalne kooskõlastatud pakett järgmistest meetmetest. </w:t>
      </w:r>
      <w:bookmarkEnd w:id="6"/>
    </w:p>
    <w:p w:rsidR="001A62D7" w:rsidRPr="00A33550" w:rsidRDefault="007216F5" w:rsidP="001A62D7">
      <w:pPr>
        <w:pStyle w:val="Tiret1"/>
        <w:rPr>
          <w:noProof/>
        </w:rPr>
      </w:pPr>
      <w:r w:rsidRPr="00A33550">
        <w:rPr>
          <w:noProof/>
          <w:u w:val="single"/>
        </w:rPr>
        <w:t>Olukorra kaardistamine ja personaalne kava.</w:t>
      </w:r>
      <w:r w:rsidRPr="00A33550">
        <w:rPr>
          <w:noProof/>
        </w:rPr>
        <w:t xml:space="preserve"> See meede on individuaalse tööotsimisabi keskmes. Siia alla kuuluvad põhjalikud nõustamised individuaalse juhendajaga.</w:t>
      </w:r>
    </w:p>
    <w:p w:rsidR="00B05E28" w:rsidRPr="00A33550" w:rsidRDefault="007216F5" w:rsidP="00B05E28">
      <w:pPr>
        <w:pStyle w:val="Tiret1"/>
        <w:rPr>
          <w:noProof/>
        </w:rPr>
      </w:pPr>
      <w:r w:rsidRPr="00A33550">
        <w:rPr>
          <w:noProof/>
          <w:u w:val="single"/>
        </w:rPr>
        <w:t>Tööotsingud ja juhendamine.</w:t>
      </w:r>
      <w:r w:rsidRPr="00A33550">
        <w:rPr>
          <w:noProof/>
        </w:rPr>
        <w:t xml:space="preserve"> Pakutakse nii individuaalseid kui ka rühmameetmeid ning siia alla kuulub juhendamine, kuidas luua otsekontakte võimalike tööandjatega, samuti hõlmab see õpikodasid või motivatsioonikõnelusi. Avaliku tööturuasutuse hangitud erasektori teenuseosutajad pakuvad individuaalset ja igakülgset tuge isiku oskuste hindamisel ja töö leidmisel.</w:t>
      </w:r>
    </w:p>
    <w:p w:rsidR="007216F5" w:rsidRPr="00A33550" w:rsidRDefault="00207EE3" w:rsidP="001A62D7">
      <w:pPr>
        <w:pStyle w:val="Tiret1"/>
        <w:rPr>
          <w:noProof/>
        </w:rPr>
      </w:pPr>
      <w:r w:rsidRPr="00A33550">
        <w:rPr>
          <w:noProof/>
          <w:u w:val="single"/>
        </w:rPr>
        <w:t>Oma ettevõtte loomise toetamine.</w:t>
      </w:r>
      <w:r w:rsidRPr="00A33550">
        <w:rPr>
          <w:noProof/>
        </w:rPr>
        <w:t xml:space="preserve"> Väliskonsultandi pakutavad koolitused neile, kes on huvitatud oma ettevõtte loomisest.</w:t>
      </w:r>
    </w:p>
    <w:p w:rsidR="00D06C35" w:rsidRPr="00A33550" w:rsidRDefault="00207EE3" w:rsidP="00D06C35">
      <w:pPr>
        <w:pStyle w:val="Tiret1"/>
        <w:rPr>
          <w:noProof/>
        </w:rPr>
      </w:pPr>
      <w:r w:rsidRPr="00A33550">
        <w:rPr>
          <w:noProof/>
          <w:u w:val="single"/>
        </w:rPr>
        <w:t>Idufirmade investeerimistoetus.</w:t>
      </w:r>
      <w:r w:rsidRPr="00A33550">
        <w:rPr>
          <w:noProof/>
        </w:rPr>
        <w:t xml:space="preserve"> Tööotsijatel, kes loovad oma ettevõtte, on võimalus taotleda kuni 22 000 euro suurust investeerimistoetust. Seda võib kasutada alginvesteeringuteks ja seadmete ostmiseks, ettevõtluse arendamise kuludeks, digilahendusteks ja turunduseks.</w:t>
      </w:r>
    </w:p>
    <w:p w:rsidR="00D06C35" w:rsidRPr="00A33550" w:rsidRDefault="00D06C35" w:rsidP="00D06C35">
      <w:pPr>
        <w:pStyle w:val="Tiret1"/>
        <w:rPr>
          <w:noProof/>
        </w:rPr>
      </w:pPr>
      <w:r w:rsidRPr="00A33550">
        <w:rPr>
          <w:noProof/>
          <w:u w:val="single"/>
        </w:rPr>
        <w:t>Tööturukoolitus.</w:t>
      </w:r>
      <w:r w:rsidRPr="00A33550">
        <w:rPr>
          <w:noProof/>
        </w:rPr>
        <w:t xml:space="preserve"> Riikliku tööturuasutuse pakutavad lühikesed praktilised kutseõppekursused, mis on suunatud tööotsijatele ja mille eesmärk on sobitada oskusi tööjõupuudusega kutsealadel ja vastata tööturu praegustele tööhõivevajadustele. See võib hõlmata mikrokvalifikatsioonitunnistuste kasutamist õpitu tunnustamiseks.</w:t>
      </w:r>
    </w:p>
    <w:p w:rsidR="007216F5" w:rsidRPr="00A33550" w:rsidRDefault="00D06C35" w:rsidP="001A62D7">
      <w:pPr>
        <w:pStyle w:val="Tiret1"/>
        <w:rPr>
          <w:noProof/>
        </w:rPr>
      </w:pPr>
      <w:r w:rsidRPr="00A33550">
        <w:rPr>
          <w:noProof/>
          <w:u w:val="single"/>
        </w:rPr>
        <w:t>Tavapärase haridussüsteemi raames toimuvad koolitused.</w:t>
      </w:r>
      <w:r w:rsidRPr="00A33550">
        <w:rPr>
          <w:noProof/>
        </w:rPr>
        <w:t xml:space="preserve"> Need koolitused on vähemalt kaheaastased kursused, mida pakuvad õppeasutused või kõrgharidussüsteem. Tavaliselt ei oleks need kursused tööotsijatele kättesaadavad. Kursusi saab kohandada vastavalt individuaalsetele vajadustele, eelkõige neile, kes ei oska rootsi keelt.</w:t>
      </w:r>
    </w:p>
    <w:p w:rsidR="007216F5" w:rsidRPr="00A33550" w:rsidRDefault="000D23C5" w:rsidP="001A62D7">
      <w:pPr>
        <w:pStyle w:val="Tiret1"/>
        <w:rPr>
          <w:noProof/>
        </w:rPr>
      </w:pPr>
      <w:r w:rsidRPr="00A33550">
        <w:rPr>
          <w:noProof/>
          <w:u w:val="single"/>
        </w:rPr>
        <w:t>Etapiviisiline töö leidmine.</w:t>
      </w:r>
      <w:r w:rsidRPr="00A33550">
        <w:rPr>
          <w:noProof/>
        </w:rPr>
        <w:t xml:space="preserve"> See meede on suunatud eriti haavatavatele toetusesaajatele, kes võivad vajada eritoetust tööturule pääsemiseks või hariduse omandamiseks.</w:t>
      </w:r>
    </w:p>
    <w:p w:rsidR="00857F0B" w:rsidRPr="00A33550" w:rsidRDefault="00B05E28" w:rsidP="00857F0B">
      <w:pPr>
        <w:pStyle w:val="Tiret1"/>
        <w:rPr>
          <w:noProof/>
        </w:rPr>
      </w:pPr>
      <w:r w:rsidRPr="00A33550">
        <w:rPr>
          <w:noProof/>
          <w:u w:val="single"/>
        </w:rPr>
        <w:t>Rahalised toetused.</w:t>
      </w:r>
      <w:r w:rsidRPr="00A33550">
        <w:rPr>
          <w:noProof/>
        </w:rPr>
        <w:t xml:space="preserve"> Toetust saavad need, kes lähevad praktikale või valmistuvad oma äritegevuse alustamiseks. Neile, kes osalevad aktiivselt pakutavates koolitusmeetmetes, makstakse tegevustoetust. Kui mõnes teises piirkonnas leitakse uus töökoht, makstakse reisi- ja kolimiskulude katmiseks liikuvustoetust. Hüvitatakse ka väljaspool linna toimuvatel töövestlustel osalemise reisikulud.</w:t>
      </w:r>
    </w:p>
    <w:p w:rsidR="001A62D7" w:rsidRPr="00A33550" w:rsidRDefault="008C6F8A" w:rsidP="008C6F8A">
      <w:pPr>
        <w:pStyle w:val="ManualNumPar1"/>
        <w:rPr>
          <w:noProof/>
        </w:rPr>
      </w:pPr>
      <w:r w:rsidRPr="008C6F8A">
        <w:rPr>
          <w:noProof/>
        </w:rPr>
        <w:t>33.</w:t>
      </w:r>
      <w:r w:rsidRPr="008C6F8A">
        <w:rPr>
          <w:noProof/>
        </w:rPr>
        <w:tab/>
      </w:r>
      <w:r w:rsidR="00036588" w:rsidRPr="00A33550">
        <w:rPr>
          <w:noProof/>
          <w:u w:val="single"/>
        </w:rPr>
        <w:t>Digi- ja roheoskused</w:t>
      </w:r>
      <w:r w:rsidR="00036588" w:rsidRPr="00A33550">
        <w:rPr>
          <w:noProof/>
        </w:rPr>
        <w:t>. See meede hõlmab digiajastul ja ressursitõhusas majanduses vajalike oskuste levitamist, nagu on nõutud määruse (EL) 2021/691 artikli 7 lõikes 2. Koordineeritud meetmed töötati välja pidades silmas digitaalse tööstuse ajastul ja ressursitõhusamale majandusele üleminekul vajalikke oskusi</w:t>
      </w:r>
      <w:r w:rsidR="00036588" w:rsidRPr="00A33550">
        <w:rPr>
          <w:rStyle w:val="FootnoteReference"/>
          <w:noProof/>
        </w:rPr>
        <w:footnoteReference w:id="16"/>
      </w:r>
      <w:r w:rsidR="00036588" w:rsidRPr="00A33550">
        <w:rPr>
          <w:noProof/>
        </w:rPr>
        <w:t>. Meetmed hõlmavad ka varasemate kogemuste valideerimist.</w:t>
      </w:r>
    </w:p>
    <w:p w:rsidR="001A62D7" w:rsidRPr="00A33550" w:rsidRDefault="008C6F8A" w:rsidP="008C6F8A">
      <w:pPr>
        <w:pStyle w:val="ManualNumPar1"/>
        <w:rPr>
          <w:noProof/>
        </w:rPr>
      </w:pPr>
      <w:bookmarkStart w:id="7" w:name="_Ref372214242"/>
      <w:r w:rsidRPr="008C6F8A">
        <w:rPr>
          <w:noProof/>
        </w:rPr>
        <w:t>34.</w:t>
      </w:r>
      <w:r w:rsidRPr="008C6F8A">
        <w:rPr>
          <w:noProof/>
        </w:rPr>
        <w:tab/>
      </w:r>
      <w:r w:rsidR="001A62D7" w:rsidRPr="00A33550">
        <w:rPr>
          <w:noProof/>
        </w:rPr>
        <w:t xml:space="preserve">Kirjeldatud kavandatud meetmed on aktiivsed tööturumeetmed, mis on määruse (EL) 2021/691 artikli 7 kohaselt rahastamiskõlblikud. Need meetmed ei asenda passiivseid sotsiaalse kaitse meetmeid. </w:t>
      </w:r>
    </w:p>
    <w:p w:rsidR="001A62D7" w:rsidRPr="00A33550" w:rsidRDefault="008C6F8A" w:rsidP="008C6F8A">
      <w:pPr>
        <w:pStyle w:val="ManualNumPar1"/>
        <w:rPr>
          <w:noProof/>
        </w:rPr>
      </w:pPr>
      <w:r w:rsidRPr="008C6F8A">
        <w:rPr>
          <w:noProof/>
        </w:rPr>
        <w:t>35.</w:t>
      </w:r>
      <w:r w:rsidRPr="008C6F8A">
        <w:rPr>
          <w:noProof/>
        </w:rPr>
        <w:tab/>
      </w:r>
      <w:r w:rsidR="00354072" w:rsidRPr="00A33550">
        <w:rPr>
          <w:noProof/>
        </w:rPr>
        <w:t>Rootsi on esitanud nõutud teabe kohustuslike meetmete kohta, mida asjaomased ettevõtjad peavad võtma riigisiseste õigusaktide või kollektiivlepingute kohaselt. Rootsi on vastavalt määruse (EL) 2021/691 artikli 9 lõikele 1 kinnitanud, et EGFi rahaline toetus ei asenda selliseid meetmeid.</w:t>
      </w:r>
      <w:bookmarkEnd w:id="7"/>
    </w:p>
    <w:p w:rsidR="001A62D7" w:rsidRPr="00A33550" w:rsidRDefault="001A62D7" w:rsidP="001A62D7">
      <w:pPr>
        <w:pStyle w:val="ManualHeading3"/>
        <w:rPr>
          <w:noProof/>
        </w:rPr>
      </w:pPr>
      <w:r w:rsidRPr="00A33550">
        <w:rPr>
          <w:noProof/>
        </w:rPr>
        <w:t>Hinnanguline eelarve</w:t>
      </w:r>
    </w:p>
    <w:p w:rsidR="001A62D7" w:rsidRPr="00A33550" w:rsidRDefault="008C6F8A" w:rsidP="008C6F8A">
      <w:pPr>
        <w:pStyle w:val="ManualNumPar1"/>
        <w:rPr>
          <w:noProof/>
        </w:rPr>
      </w:pPr>
      <w:r w:rsidRPr="008C6F8A">
        <w:rPr>
          <w:noProof/>
        </w:rPr>
        <w:t>36.</w:t>
      </w:r>
      <w:r w:rsidRPr="008C6F8A">
        <w:rPr>
          <w:noProof/>
        </w:rPr>
        <w:tab/>
      </w:r>
      <w:r w:rsidR="001A62D7" w:rsidRPr="00A33550">
        <w:rPr>
          <w:noProof/>
        </w:rPr>
        <w:t>Hinnangulised kogukulud on 14 210 537 eurot, mis sisaldavad individuaalsete teenuste kulusid summas 13 663 977 eurot ning ettevalmistus-, haldus-, teavitamis- ja reklaami- ning kontrolli- ja aruandluskulusid summas 546 560 eurot.</w:t>
      </w:r>
    </w:p>
    <w:p w:rsidR="001A62D7" w:rsidRPr="00A33550" w:rsidRDefault="008C6F8A" w:rsidP="008C6F8A">
      <w:pPr>
        <w:pStyle w:val="ManualNumPar1"/>
        <w:rPr>
          <w:noProof/>
        </w:rPr>
      </w:pPr>
      <w:bookmarkStart w:id="8" w:name="_Ref372550770"/>
      <w:r w:rsidRPr="008C6F8A">
        <w:rPr>
          <w:noProof/>
        </w:rPr>
        <w:t>37.</w:t>
      </w:r>
      <w:r w:rsidRPr="008C6F8A">
        <w:rPr>
          <w:noProof/>
        </w:rPr>
        <w:tab/>
      </w:r>
      <w:r w:rsidR="001A62D7" w:rsidRPr="00A33550">
        <w:rPr>
          <w:noProof/>
        </w:rPr>
        <w:t xml:space="preserve">EGFist taotletud rahalise toetuse kogusumma on </w:t>
      </w:r>
      <w:bookmarkStart w:id="9" w:name="_Hlk209042046"/>
      <w:r w:rsidR="001A62D7" w:rsidRPr="00A33550">
        <w:rPr>
          <w:noProof/>
        </w:rPr>
        <w:t>8 526 322</w:t>
      </w:r>
      <w:bookmarkEnd w:id="9"/>
      <w:r w:rsidR="001A62D7" w:rsidRPr="00A33550">
        <w:rPr>
          <w:noProof/>
        </w:rPr>
        <w:t xml:space="preserve"> eurot (60 % kogukuludest).</w:t>
      </w:r>
      <w:bookmarkEnd w:id="8"/>
    </w:p>
    <w:p w:rsidR="001A62D7" w:rsidRPr="00A33550" w:rsidRDefault="008C6F8A" w:rsidP="008C6F8A">
      <w:pPr>
        <w:pStyle w:val="ManualNumPar1"/>
        <w:rPr>
          <w:noProof/>
        </w:rPr>
      </w:pPr>
      <w:r w:rsidRPr="008C6F8A">
        <w:rPr>
          <w:noProof/>
        </w:rPr>
        <w:t>38.</w:t>
      </w:r>
      <w:r w:rsidRPr="008C6F8A">
        <w:rPr>
          <w:noProof/>
        </w:rPr>
        <w:tab/>
      </w:r>
      <w:r w:rsidR="001A62D7" w:rsidRPr="00A33550">
        <w:rPr>
          <w:noProof/>
        </w:rPr>
        <w:t>Rootsi on määruse (EL) 2021/691 artikli 8 lõike 7 punkti m kohaselt täpsustanud, et riikliku eel- ja kaasrahastamisega tegeleb Rootsi avalik tööturuasutus (Arbetsförmedlingen).</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221"/>
        <w:gridCol w:w="1476"/>
        <w:gridCol w:w="1456"/>
        <w:gridCol w:w="2136"/>
      </w:tblGrid>
      <w:tr w:rsidR="00751A96" w:rsidRPr="00A33550" w:rsidTr="00055197">
        <w:tc>
          <w:tcPr>
            <w:tcW w:w="4221" w:type="dxa"/>
            <w:shd w:val="clear" w:color="auto" w:fill="auto"/>
            <w:vAlign w:val="center"/>
          </w:tcPr>
          <w:p w:rsidR="001A62D7" w:rsidRPr="00A33550" w:rsidRDefault="001A62D7" w:rsidP="00052CC7">
            <w:pPr>
              <w:spacing w:before="60" w:after="60"/>
              <w:jc w:val="center"/>
              <w:rPr>
                <w:rFonts w:eastAsia="Times New Roman"/>
                <w:noProof/>
                <w:sz w:val="22"/>
              </w:rPr>
            </w:pPr>
            <w:r w:rsidRPr="00A33550">
              <w:rPr>
                <w:noProof/>
                <w:sz w:val="22"/>
              </w:rPr>
              <w:t>Meetmed</w:t>
            </w:r>
          </w:p>
        </w:tc>
        <w:tc>
          <w:tcPr>
            <w:tcW w:w="1476" w:type="dxa"/>
            <w:shd w:val="clear" w:color="auto" w:fill="auto"/>
            <w:vAlign w:val="center"/>
          </w:tcPr>
          <w:p w:rsidR="001A62D7" w:rsidRPr="00A33550" w:rsidRDefault="001A62D7" w:rsidP="00052CC7">
            <w:pPr>
              <w:spacing w:before="60" w:after="60"/>
              <w:jc w:val="center"/>
              <w:rPr>
                <w:rFonts w:eastAsia="Times New Roman"/>
                <w:noProof/>
                <w:sz w:val="22"/>
              </w:rPr>
            </w:pPr>
            <w:r w:rsidRPr="00A33550">
              <w:rPr>
                <w:noProof/>
                <w:sz w:val="22"/>
              </w:rPr>
              <w:t>Osalejate hinnanguline arv</w:t>
            </w:r>
          </w:p>
        </w:tc>
        <w:tc>
          <w:tcPr>
            <w:tcW w:w="1456" w:type="dxa"/>
            <w:shd w:val="clear" w:color="auto" w:fill="auto"/>
            <w:vAlign w:val="center"/>
          </w:tcPr>
          <w:p w:rsidR="001A62D7" w:rsidRPr="00A33550" w:rsidRDefault="001A62D7" w:rsidP="00052CC7">
            <w:pPr>
              <w:spacing w:before="60" w:after="60"/>
              <w:jc w:val="center"/>
              <w:rPr>
                <w:rFonts w:eastAsia="Times New Roman"/>
                <w:noProof/>
                <w:sz w:val="22"/>
              </w:rPr>
            </w:pPr>
            <w:r w:rsidRPr="00A33550">
              <w:rPr>
                <w:noProof/>
                <w:sz w:val="22"/>
              </w:rPr>
              <w:t>Hinnanguline kulu osaleja kohta</w:t>
            </w:r>
            <w:r w:rsidRPr="00A33550">
              <w:rPr>
                <w:noProof/>
              </w:rPr>
              <w:t xml:space="preserve"> </w:t>
            </w:r>
            <w:r w:rsidRPr="00A33550">
              <w:rPr>
                <w:noProof/>
              </w:rPr>
              <w:br/>
            </w:r>
            <w:r w:rsidRPr="00A33550">
              <w:rPr>
                <w:i/>
                <w:noProof/>
                <w:sz w:val="22"/>
              </w:rPr>
              <w:t>(eurodes)</w:t>
            </w:r>
            <w:r w:rsidRPr="00A33550">
              <w:rPr>
                <w:rStyle w:val="FootnoteReference"/>
                <w:rFonts w:eastAsia="Times New Roman"/>
                <w:i/>
                <w:noProof/>
                <w:sz w:val="22"/>
              </w:rPr>
              <w:footnoteReference w:id="17"/>
            </w:r>
          </w:p>
        </w:tc>
        <w:tc>
          <w:tcPr>
            <w:tcW w:w="2136" w:type="dxa"/>
            <w:shd w:val="clear" w:color="auto" w:fill="auto"/>
            <w:vAlign w:val="center"/>
          </w:tcPr>
          <w:p w:rsidR="001A62D7" w:rsidRPr="00A33550" w:rsidRDefault="001A62D7" w:rsidP="00052CC7">
            <w:pPr>
              <w:spacing w:before="60" w:after="60"/>
              <w:jc w:val="center"/>
              <w:rPr>
                <w:rFonts w:eastAsia="Times New Roman"/>
                <w:noProof/>
                <w:sz w:val="22"/>
              </w:rPr>
            </w:pPr>
            <w:r w:rsidRPr="00A33550">
              <w:rPr>
                <w:noProof/>
                <w:sz w:val="22"/>
              </w:rPr>
              <w:t>Hinnangulised kogukulud</w:t>
            </w:r>
          </w:p>
          <w:p w:rsidR="001A62D7" w:rsidRPr="00A33550" w:rsidRDefault="001A62D7" w:rsidP="00052CC7">
            <w:pPr>
              <w:spacing w:before="60" w:after="60"/>
              <w:jc w:val="center"/>
              <w:rPr>
                <w:rFonts w:eastAsia="Times New Roman"/>
                <w:noProof/>
                <w:sz w:val="22"/>
              </w:rPr>
            </w:pPr>
            <w:r w:rsidRPr="00A33550">
              <w:rPr>
                <w:i/>
                <w:noProof/>
                <w:sz w:val="22"/>
              </w:rPr>
              <w:t>(eurodes)</w:t>
            </w:r>
            <w:r w:rsidRPr="00A33550">
              <w:rPr>
                <w:rStyle w:val="FootnoteReference"/>
                <w:rFonts w:eastAsia="Times New Roman"/>
                <w:i/>
                <w:noProof/>
                <w:sz w:val="22"/>
              </w:rPr>
              <w:footnoteReference w:id="18"/>
            </w:r>
            <w:r w:rsidRPr="00A33550">
              <w:rPr>
                <w:i/>
                <w:noProof/>
                <w:sz w:val="22"/>
              </w:rPr>
              <w:t xml:space="preserve"> </w:t>
            </w:r>
          </w:p>
        </w:tc>
      </w:tr>
      <w:tr w:rsidR="001A62D7" w:rsidRPr="00A33550" w:rsidTr="00A15112">
        <w:tc>
          <w:tcPr>
            <w:tcW w:w="9289" w:type="dxa"/>
            <w:gridSpan w:val="4"/>
            <w:shd w:val="clear" w:color="auto" w:fill="auto"/>
          </w:tcPr>
          <w:p w:rsidR="001A62D7" w:rsidRPr="00A33550" w:rsidRDefault="001A62D7" w:rsidP="00052CC7">
            <w:pPr>
              <w:spacing w:before="60" w:after="60"/>
              <w:jc w:val="left"/>
              <w:rPr>
                <w:rFonts w:eastAsia="Times New Roman"/>
                <w:noProof/>
                <w:sz w:val="22"/>
              </w:rPr>
            </w:pPr>
            <w:r w:rsidRPr="00A33550">
              <w:rPr>
                <w:noProof/>
              </w:rPr>
              <w:t>Individuaalsed teenused (määruse (EL) 2021/691 artikli 7 lõike 2 teise lõigu punkti a kohased meetmed)</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A33550" w:rsidRDefault="004B0EDF" w:rsidP="00052CC7">
            <w:pPr>
              <w:spacing w:before="60" w:after="60"/>
              <w:jc w:val="left"/>
              <w:rPr>
                <w:noProof/>
              </w:rPr>
            </w:pPr>
            <w:r w:rsidRPr="00A33550">
              <w:rPr>
                <w:noProof/>
              </w:rPr>
              <w:t>Olukorra kaardistamine ja personaalne kava (Kartläggning och individuell planering)</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4B0EDF" w:rsidP="00052CC7">
            <w:pPr>
              <w:spacing w:before="60" w:after="60"/>
              <w:jc w:val="center"/>
              <w:rPr>
                <w:noProof/>
              </w:rPr>
            </w:pPr>
            <w:r w:rsidRPr="00A33550">
              <w:rPr>
                <w:noProof/>
              </w:rPr>
              <w:t>5 800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D21D1" w:rsidP="00052CC7">
            <w:pPr>
              <w:spacing w:before="60" w:after="60"/>
              <w:jc w:val="center"/>
              <w:rPr>
                <w:noProof/>
              </w:rPr>
            </w:pPr>
            <w:r w:rsidRPr="00A33550">
              <w:rPr>
                <w:noProof/>
              </w:rPr>
              <w:t>57</w:t>
            </w:r>
          </w:p>
        </w:tc>
        <w:tc>
          <w:tcPr>
            <w:tcW w:w="2136" w:type="dxa"/>
            <w:tcBorders>
              <w:top w:val="single" w:sz="4" w:space="0" w:color="auto"/>
              <w:left w:val="single" w:sz="4" w:space="0" w:color="auto"/>
              <w:bottom w:val="single" w:sz="4" w:space="0" w:color="auto"/>
              <w:right w:val="nil"/>
            </w:tcBorders>
            <w:vAlign w:val="center"/>
            <w:hideMark/>
          </w:tcPr>
          <w:p w:rsidR="001A62D7" w:rsidRPr="00A33550" w:rsidRDefault="00055197" w:rsidP="00052CC7">
            <w:pPr>
              <w:spacing w:before="60" w:after="60"/>
              <w:jc w:val="center"/>
              <w:rPr>
                <w:noProof/>
              </w:rPr>
            </w:pPr>
            <w:r w:rsidRPr="00A33550">
              <w:rPr>
                <w:noProof/>
              </w:rPr>
              <w:t>330 688</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A33550" w:rsidRDefault="004B0EDF" w:rsidP="00052CC7">
            <w:pPr>
              <w:spacing w:before="60" w:after="60"/>
              <w:jc w:val="left"/>
              <w:rPr>
                <w:noProof/>
              </w:rPr>
            </w:pPr>
            <w:r w:rsidRPr="00A33550">
              <w:rPr>
                <w:noProof/>
              </w:rPr>
              <w:t>Tööotsingud ja juhendamine (Jobbsökaraktiviteter och coachning)</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90472" w:rsidP="00052CC7">
            <w:pPr>
              <w:spacing w:before="60" w:after="60"/>
              <w:jc w:val="center"/>
              <w:rPr>
                <w:noProof/>
              </w:rPr>
            </w:pPr>
            <w:r w:rsidRPr="00A33550">
              <w:rPr>
                <w:noProof/>
              </w:rPr>
              <w:t>1 000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D21D1" w:rsidP="00052CC7">
            <w:pPr>
              <w:spacing w:before="60" w:after="60"/>
              <w:jc w:val="center"/>
              <w:rPr>
                <w:noProof/>
              </w:rPr>
            </w:pPr>
            <w:r w:rsidRPr="00A33550">
              <w:rPr>
                <w:noProof/>
              </w:rPr>
              <w:t>29</w:t>
            </w:r>
          </w:p>
        </w:tc>
        <w:tc>
          <w:tcPr>
            <w:tcW w:w="2136" w:type="dxa"/>
            <w:tcBorders>
              <w:top w:val="single" w:sz="4" w:space="0" w:color="auto"/>
              <w:left w:val="single" w:sz="4" w:space="0" w:color="auto"/>
              <w:bottom w:val="single" w:sz="4" w:space="0" w:color="auto"/>
              <w:right w:val="nil"/>
            </w:tcBorders>
            <w:vAlign w:val="center"/>
            <w:hideMark/>
          </w:tcPr>
          <w:p w:rsidR="001A62D7" w:rsidRPr="00A33550" w:rsidRDefault="00055197" w:rsidP="00052CC7">
            <w:pPr>
              <w:spacing w:before="60" w:after="60"/>
              <w:jc w:val="center"/>
              <w:rPr>
                <w:noProof/>
              </w:rPr>
            </w:pPr>
            <w:r w:rsidRPr="00A33550">
              <w:rPr>
                <w:noProof/>
              </w:rPr>
              <w:t>28 508</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A33550" w:rsidRDefault="004B0EDF" w:rsidP="00052CC7">
            <w:pPr>
              <w:spacing w:before="60" w:after="60"/>
              <w:jc w:val="left"/>
              <w:rPr>
                <w:noProof/>
              </w:rPr>
            </w:pPr>
            <w:r w:rsidRPr="00A33550">
              <w:rPr>
                <w:noProof/>
              </w:rPr>
              <w:t xml:space="preserve">Tööotsingud ja juhendamine teenuseosutajate kaudu (Jobbsökaraktiviteter och coachning via privata leverantörer) </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90472" w:rsidP="00052CC7">
            <w:pPr>
              <w:spacing w:before="60" w:after="60"/>
              <w:jc w:val="center"/>
              <w:rPr>
                <w:noProof/>
              </w:rPr>
            </w:pPr>
            <w:r w:rsidRPr="00A33550">
              <w:rPr>
                <w:noProof/>
              </w:rPr>
              <w:t>500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D21D1" w:rsidP="00052CC7">
            <w:pPr>
              <w:spacing w:before="60" w:after="60"/>
              <w:jc w:val="center"/>
              <w:rPr>
                <w:noProof/>
              </w:rPr>
            </w:pPr>
            <w:r w:rsidRPr="00A33550">
              <w:rPr>
                <w:noProof/>
              </w:rPr>
              <w:t>1 824</w:t>
            </w:r>
          </w:p>
        </w:tc>
        <w:tc>
          <w:tcPr>
            <w:tcW w:w="2136" w:type="dxa"/>
            <w:tcBorders>
              <w:top w:val="single" w:sz="4" w:space="0" w:color="auto"/>
              <w:left w:val="single" w:sz="4" w:space="0" w:color="auto"/>
              <w:bottom w:val="single" w:sz="4" w:space="0" w:color="auto"/>
              <w:right w:val="nil"/>
            </w:tcBorders>
            <w:vAlign w:val="center"/>
            <w:hideMark/>
          </w:tcPr>
          <w:p w:rsidR="001A62D7" w:rsidRPr="00A33550" w:rsidRDefault="00055197" w:rsidP="00052CC7">
            <w:pPr>
              <w:spacing w:before="60" w:after="60"/>
              <w:jc w:val="center"/>
              <w:rPr>
                <w:noProof/>
              </w:rPr>
            </w:pPr>
            <w:r w:rsidRPr="00A33550">
              <w:rPr>
                <w:noProof/>
              </w:rPr>
              <w:t>912 242</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A33550" w:rsidRDefault="004B0EDF" w:rsidP="00052CC7">
            <w:pPr>
              <w:spacing w:before="60" w:after="60"/>
              <w:jc w:val="left"/>
              <w:rPr>
                <w:noProof/>
              </w:rPr>
            </w:pPr>
            <w:r w:rsidRPr="00A33550">
              <w:rPr>
                <w:noProof/>
              </w:rPr>
              <w:t>Oma ettevõtte loomise toetamine (Stöd vid start av eget företagande)</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90472" w:rsidP="00052CC7">
            <w:pPr>
              <w:spacing w:before="60" w:after="60"/>
              <w:jc w:val="center"/>
              <w:rPr>
                <w:noProof/>
              </w:rPr>
            </w:pPr>
            <w:r w:rsidRPr="00A33550">
              <w:rPr>
                <w:noProof/>
              </w:rPr>
              <w:t>50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D21D1" w:rsidP="00052CC7">
            <w:pPr>
              <w:spacing w:before="60" w:after="60"/>
              <w:jc w:val="center"/>
              <w:rPr>
                <w:noProof/>
              </w:rPr>
            </w:pPr>
            <w:r w:rsidRPr="00A33550">
              <w:rPr>
                <w:noProof/>
              </w:rPr>
              <w:t>1 642</w:t>
            </w:r>
          </w:p>
        </w:tc>
        <w:tc>
          <w:tcPr>
            <w:tcW w:w="2136" w:type="dxa"/>
            <w:tcBorders>
              <w:top w:val="single" w:sz="4" w:space="0" w:color="auto"/>
              <w:left w:val="single" w:sz="4" w:space="0" w:color="auto"/>
              <w:bottom w:val="single" w:sz="4" w:space="0" w:color="auto"/>
              <w:right w:val="nil"/>
            </w:tcBorders>
            <w:vAlign w:val="center"/>
            <w:hideMark/>
          </w:tcPr>
          <w:p w:rsidR="001A62D7" w:rsidRPr="00A33550" w:rsidRDefault="00055197" w:rsidP="00052CC7">
            <w:pPr>
              <w:spacing w:before="60" w:after="60"/>
              <w:jc w:val="center"/>
              <w:rPr>
                <w:noProof/>
              </w:rPr>
            </w:pPr>
            <w:r w:rsidRPr="00A33550">
              <w:rPr>
                <w:noProof/>
              </w:rPr>
              <w:t>82 102</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A33550" w:rsidRDefault="004B0EDF" w:rsidP="00052CC7">
            <w:pPr>
              <w:spacing w:before="60" w:after="60"/>
              <w:jc w:val="left"/>
              <w:rPr>
                <w:noProof/>
              </w:rPr>
            </w:pPr>
            <w:r w:rsidRPr="00A33550">
              <w:rPr>
                <w:noProof/>
              </w:rPr>
              <w:t>Idufirmade investeerimistoetus (Investeringsstöd)</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90472" w:rsidP="00052CC7">
            <w:pPr>
              <w:spacing w:before="60" w:after="60"/>
              <w:jc w:val="center"/>
              <w:rPr>
                <w:noProof/>
              </w:rPr>
            </w:pPr>
            <w:r w:rsidRPr="00A33550">
              <w:rPr>
                <w:noProof/>
              </w:rPr>
              <w:t>100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D21D1" w:rsidP="00052CC7">
            <w:pPr>
              <w:spacing w:before="60" w:after="60"/>
              <w:jc w:val="center"/>
              <w:rPr>
                <w:noProof/>
              </w:rPr>
            </w:pPr>
            <w:r w:rsidRPr="00A33550">
              <w:rPr>
                <w:noProof/>
              </w:rPr>
              <w:t>21 715</w:t>
            </w:r>
          </w:p>
        </w:tc>
        <w:tc>
          <w:tcPr>
            <w:tcW w:w="2136" w:type="dxa"/>
            <w:tcBorders>
              <w:top w:val="single" w:sz="4" w:space="0" w:color="auto"/>
              <w:left w:val="single" w:sz="4" w:space="0" w:color="auto"/>
              <w:bottom w:val="single" w:sz="4" w:space="0" w:color="auto"/>
              <w:right w:val="nil"/>
            </w:tcBorders>
            <w:vAlign w:val="center"/>
            <w:hideMark/>
          </w:tcPr>
          <w:p w:rsidR="001A62D7" w:rsidRPr="00A33550" w:rsidRDefault="00055197" w:rsidP="00052CC7">
            <w:pPr>
              <w:spacing w:before="60" w:after="60"/>
              <w:jc w:val="center"/>
              <w:rPr>
                <w:noProof/>
              </w:rPr>
            </w:pPr>
            <w:r w:rsidRPr="00A33550">
              <w:rPr>
                <w:noProof/>
              </w:rPr>
              <w:t>2 171 502</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A33550" w:rsidRDefault="004B0EDF" w:rsidP="00052CC7">
            <w:pPr>
              <w:spacing w:before="60" w:after="60"/>
              <w:jc w:val="left"/>
              <w:rPr>
                <w:noProof/>
              </w:rPr>
            </w:pPr>
            <w:r w:rsidRPr="00A33550">
              <w:rPr>
                <w:noProof/>
              </w:rPr>
              <w:t>Tööturukoolitus (Arbetsmarknadsutbildning)</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90472" w:rsidP="00052CC7">
            <w:pPr>
              <w:spacing w:before="60" w:after="60"/>
              <w:jc w:val="center"/>
              <w:rPr>
                <w:noProof/>
              </w:rPr>
            </w:pPr>
            <w:r w:rsidRPr="00A33550">
              <w:rPr>
                <w:noProof/>
              </w:rPr>
              <w:t>510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D21D1" w:rsidP="00052CC7">
            <w:pPr>
              <w:spacing w:before="60" w:after="60"/>
              <w:jc w:val="center"/>
              <w:rPr>
                <w:noProof/>
              </w:rPr>
            </w:pPr>
            <w:r w:rsidRPr="00A33550">
              <w:rPr>
                <w:noProof/>
              </w:rPr>
              <w:t>9 697</w:t>
            </w:r>
          </w:p>
        </w:tc>
        <w:tc>
          <w:tcPr>
            <w:tcW w:w="2136" w:type="dxa"/>
            <w:tcBorders>
              <w:top w:val="single" w:sz="4" w:space="0" w:color="auto"/>
              <w:left w:val="single" w:sz="4" w:space="0" w:color="auto"/>
              <w:bottom w:val="single" w:sz="4" w:space="0" w:color="auto"/>
              <w:right w:val="nil"/>
            </w:tcBorders>
            <w:vAlign w:val="center"/>
            <w:hideMark/>
          </w:tcPr>
          <w:p w:rsidR="001A62D7" w:rsidRPr="00A33550" w:rsidRDefault="00055197" w:rsidP="00052CC7">
            <w:pPr>
              <w:spacing w:before="60" w:after="60"/>
              <w:jc w:val="center"/>
              <w:rPr>
                <w:noProof/>
              </w:rPr>
            </w:pPr>
            <w:r w:rsidRPr="00A33550">
              <w:rPr>
                <w:noProof/>
              </w:rPr>
              <w:t>4 945 539</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tcPr>
          <w:p w:rsidR="004B0EDF" w:rsidRPr="00A33550" w:rsidRDefault="004B0EDF" w:rsidP="00052CC7">
            <w:pPr>
              <w:spacing w:before="60" w:after="60"/>
              <w:jc w:val="left"/>
              <w:rPr>
                <w:noProof/>
              </w:rPr>
            </w:pPr>
            <w:r w:rsidRPr="00A33550">
              <w:rPr>
                <w:noProof/>
              </w:rPr>
              <w:t>Tavapärase haridussüsteemi raames toimuvad koolitused (Utbildning inom ordinarie utbildningssystem)</w:t>
            </w:r>
          </w:p>
        </w:tc>
        <w:tc>
          <w:tcPr>
            <w:tcW w:w="1476" w:type="dxa"/>
            <w:tcBorders>
              <w:top w:val="single" w:sz="4" w:space="0" w:color="auto"/>
              <w:left w:val="single" w:sz="4" w:space="0" w:color="auto"/>
              <w:bottom w:val="single" w:sz="4" w:space="0" w:color="auto"/>
              <w:right w:val="single" w:sz="4" w:space="0" w:color="auto"/>
            </w:tcBorders>
            <w:vAlign w:val="center"/>
          </w:tcPr>
          <w:p w:rsidR="004B0EDF" w:rsidRPr="00A33550" w:rsidRDefault="00390472" w:rsidP="00052CC7">
            <w:pPr>
              <w:spacing w:before="60" w:after="60"/>
              <w:jc w:val="center"/>
              <w:rPr>
                <w:noProof/>
              </w:rPr>
            </w:pPr>
            <w:r w:rsidRPr="00A33550">
              <w:rPr>
                <w:noProof/>
              </w:rPr>
              <w:t>40</w:t>
            </w:r>
          </w:p>
        </w:tc>
        <w:tc>
          <w:tcPr>
            <w:tcW w:w="1456" w:type="dxa"/>
            <w:tcBorders>
              <w:top w:val="single" w:sz="4" w:space="0" w:color="auto"/>
              <w:left w:val="single" w:sz="4" w:space="0" w:color="auto"/>
              <w:bottom w:val="single" w:sz="4" w:space="0" w:color="auto"/>
              <w:right w:val="single" w:sz="4" w:space="0" w:color="auto"/>
            </w:tcBorders>
            <w:vAlign w:val="center"/>
          </w:tcPr>
          <w:p w:rsidR="004B0EDF" w:rsidRPr="00A33550" w:rsidRDefault="003D21D1" w:rsidP="00052CC7">
            <w:pPr>
              <w:spacing w:before="60" w:after="60"/>
              <w:jc w:val="center"/>
              <w:rPr>
                <w:noProof/>
              </w:rPr>
            </w:pPr>
            <w:r w:rsidRPr="00A33550">
              <w:rPr>
                <w:noProof/>
              </w:rPr>
              <w:t>17 105</w:t>
            </w:r>
          </w:p>
        </w:tc>
        <w:tc>
          <w:tcPr>
            <w:tcW w:w="2136" w:type="dxa"/>
            <w:tcBorders>
              <w:top w:val="single" w:sz="4" w:space="0" w:color="auto"/>
              <w:left w:val="single" w:sz="4" w:space="0" w:color="auto"/>
              <w:bottom w:val="single" w:sz="4" w:space="0" w:color="auto"/>
              <w:right w:val="nil"/>
            </w:tcBorders>
            <w:vAlign w:val="center"/>
          </w:tcPr>
          <w:p w:rsidR="004B0EDF" w:rsidRPr="00A33550" w:rsidRDefault="00055197" w:rsidP="00052CC7">
            <w:pPr>
              <w:spacing w:before="60" w:after="60"/>
              <w:jc w:val="center"/>
              <w:rPr>
                <w:noProof/>
              </w:rPr>
            </w:pPr>
            <w:r w:rsidRPr="00A33550">
              <w:rPr>
                <w:noProof/>
              </w:rPr>
              <w:t>684 182</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tcPr>
          <w:p w:rsidR="004B0EDF" w:rsidRPr="00A33550" w:rsidRDefault="00390472" w:rsidP="00052CC7">
            <w:pPr>
              <w:spacing w:before="60" w:after="60"/>
              <w:jc w:val="left"/>
              <w:rPr>
                <w:noProof/>
              </w:rPr>
            </w:pPr>
            <w:r w:rsidRPr="00A33550">
              <w:rPr>
                <w:noProof/>
              </w:rPr>
              <w:t>Etapiviisiline töö leidmine (Steg till arbete (STA))</w:t>
            </w:r>
          </w:p>
        </w:tc>
        <w:tc>
          <w:tcPr>
            <w:tcW w:w="1476" w:type="dxa"/>
            <w:tcBorders>
              <w:top w:val="single" w:sz="4" w:space="0" w:color="auto"/>
              <w:left w:val="single" w:sz="4" w:space="0" w:color="auto"/>
              <w:bottom w:val="single" w:sz="4" w:space="0" w:color="auto"/>
              <w:right w:val="single" w:sz="4" w:space="0" w:color="auto"/>
            </w:tcBorders>
            <w:vAlign w:val="center"/>
          </w:tcPr>
          <w:p w:rsidR="004B0EDF" w:rsidRPr="00A33550" w:rsidRDefault="00390472" w:rsidP="00052CC7">
            <w:pPr>
              <w:spacing w:before="60" w:after="60"/>
              <w:jc w:val="center"/>
              <w:rPr>
                <w:noProof/>
              </w:rPr>
            </w:pPr>
            <w:r w:rsidRPr="00A33550">
              <w:rPr>
                <w:noProof/>
              </w:rPr>
              <w:t>50</w:t>
            </w:r>
          </w:p>
        </w:tc>
        <w:tc>
          <w:tcPr>
            <w:tcW w:w="1456" w:type="dxa"/>
            <w:tcBorders>
              <w:top w:val="single" w:sz="4" w:space="0" w:color="auto"/>
              <w:left w:val="single" w:sz="4" w:space="0" w:color="auto"/>
              <w:bottom w:val="single" w:sz="4" w:space="0" w:color="auto"/>
              <w:right w:val="single" w:sz="4" w:space="0" w:color="auto"/>
            </w:tcBorders>
            <w:vAlign w:val="center"/>
          </w:tcPr>
          <w:p w:rsidR="004B0EDF" w:rsidRPr="00A33550" w:rsidRDefault="003D21D1" w:rsidP="00052CC7">
            <w:pPr>
              <w:spacing w:before="60" w:after="60"/>
              <w:jc w:val="center"/>
              <w:rPr>
                <w:noProof/>
              </w:rPr>
            </w:pPr>
            <w:r w:rsidRPr="00A33550">
              <w:rPr>
                <w:noProof/>
              </w:rPr>
              <w:t>6 769</w:t>
            </w:r>
          </w:p>
        </w:tc>
        <w:tc>
          <w:tcPr>
            <w:tcW w:w="2136" w:type="dxa"/>
            <w:tcBorders>
              <w:top w:val="single" w:sz="4" w:space="0" w:color="auto"/>
              <w:left w:val="single" w:sz="4" w:space="0" w:color="auto"/>
              <w:bottom w:val="single" w:sz="4" w:space="0" w:color="auto"/>
              <w:right w:val="nil"/>
            </w:tcBorders>
            <w:vAlign w:val="center"/>
          </w:tcPr>
          <w:p w:rsidR="004B0EDF" w:rsidRPr="00A33550" w:rsidRDefault="00055197" w:rsidP="00052CC7">
            <w:pPr>
              <w:spacing w:before="60" w:after="60"/>
              <w:jc w:val="center"/>
              <w:rPr>
                <w:noProof/>
              </w:rPr>
            </w:pPr>
            <w:r w:rsidRPr="00A33550">
              <w:rPr>
                <w:noProof/>
              </w:rPr>
              <w:t>338 442</w:t>
            </w:r>
          </w:p>
        </w:tc>
      </w:tr>
      <w:tr w:rsidR="001A62D7" w:rsidRPr="00A33550" w:rsidTr="00A15112">
        <w:trPr>
          <w:trHeight w:val="398"/>
        </w:trPr>
        <w:tc>
          <w:tcPr>
            <w:tcW w:w="4221" w:type="dxa"/>
            <w:vMerge w:val="restart"/>
            <w:shd w:val="clear" w:color="auto" w:fill="auto"/>
            <w:vAlign w:val="center"/>
          </w:tcPr>
          <w:p w:rsidR="001A62D7" w:rsidRPr="00A33550" w:rsidRDefault="001A62D7" w:rsidP="00052CC7">
            <w:pPr>
              <w:spacing w:before="60" w:after="60"/>
              <w:jc w:val="right"/>
              <w:rPr>
                <w:rFonts w:eastAsia="Times New Roman"/>
                <w:noProof/>
                <w:sz w:val="22"/>
              </w:rPr>
            </w:pPr>
            <w:r w:rsidRPr="00A33550">
              <w:rPr>
                <w:noProof/>
                <w:sz w:val="22"/>
              </w:rPr>
              <w:t>Vahesumma (a):</w:t>
            </w:r>
          </w:p>
          <w:p w:rsidR="001A62D7" w:rsidRPr="00A33550" w:rsidRDefault="001A62D7" w:rsidP="00052CC7">
            <w:pPr>
              <w:spacing w:before="60" w:after="60"/>
              <w:jc w:val="right"/>
              <w:rPr>
                <w:rFonts w:eastAsia="Times New Roman"/>
                <w:noProof/>
                <w:sz w:val="22"/>
              </w:rPr>
            </w:pPr>
            <w:r w:rsidRPr="00A33550">
              <w:rPr>
                <w:noProof/>
                <w:sz w:val="22"/>
              </w:rPr>
              <w:t xml:space="preserve">Protsent individuaalsete teenuste paketist </w:t>
            </w:r>
          </w:p>
        </w:tc>
        <w:tc>
          <w:tcPr>
            <w:tcW w:w="2932" w:type="dxa"/>
            <w:gridSpan w:val="2"/>
            <w:vMerge w:val="restart"/>
            <w:shd w:val="clear" w:color="auto" w:fill="D9D9D9"/>
            <w:vAlign w:val="center"/>
          </w:tcPr>
          <w:p w:rsidR="001A62D7" w:rsidRPr="00A33550" w:rsidRDefault="001A62D7" w:rsidP="00052CC7">
            <w:pPr>
              <w:spacing w:before="60" w:after="60"/>
              <w:jc w:val="center"/>
              <w:rPr>
                <w:rFonts w:eastAsia="Times New Roman"/>
                <w:noProof/>
                <w:sz w:val="22"/>
              </w:rPr>
            </w:pPr>
            <w:r w:rsidRPr="00A33550">
              <w:rPr>
                <w:noProof/>
                <w:sz w:val="22"/>
              </w:rPr>
              <w:t>‒</w:t>
            </w:r>
          </w:p>
        </w:tc>
        <w:tc>
          <w:tcPr>
            <w:tcW w:w="2136" w:type="dxa"/>
            <w:tcBorders>
              <w:bottom w:val="nil"/>
            </w:tcBorders>
            <w:shd w:val="clear" w:color="auto" w:fill="auto"/>
            <w:vAlign w:val="center"/>
          </w:tcPr>
          <w:p w:rsidR="001A62D7" w:rsidRPr="00A33550" w:rsidRDefault="00751A96" w:rsidP="00052CC7">
            <w:pPr>
              <w:spacing w:before="60" w:after="60"/>
              <w:jc w:val="center"/>
              <w:rPr>
                <w:rFonts w:eastAsia="Times New Roman"/>
                <w:noProof/>
                <w:sz w:val="22"/>
              </w:rPr>
            </w:pPr>
            <w:r w:rsidRPr="00A33550">
              <w:rPr>
                <w:noProof/>
              </w:rPr>
              <w:t>9 493 205</w:t>
            </w:r>
          </w:p>
        </w:tc>
      </w:tr>
      <w:tr w:rsidR="001A62D7" w:rsidRPr="00A33550" w:rsidTr="00A15112">
        <w:trPr>
          <w:trHeight w:val="397"/>
        </w:trPr>
        <w:tc>
          <w:tcPr>
            <w:tcW w:w="4221" w:type="dxa"/>
            <w:vMerge/>
            <w:shd w:val="clear" w:color="auto" w:fill="auto"/>
            <w:vAlign w:val="center"/>
          </w:tcPr>
          <w:p w:rsidR="001A62D7" w:rsidRPr="00A33550" w:rsidRDefault="001A62D7" w:rsidP="00052CC7">
            <w:pPr>
              <w:spacing w:before="60" w:after="60"/>
              <w:jc w:val="right"/>
              <w:rPr>
                <w:rFonts w:eastAsia="Times New Roman"/>
                <w:noProof/>
                <w:sz w:val="22"/>
              </w:rPr>
            </w:pPr>
          </w:p>
        </w:tc>
        <w:tc>
          <w:tcPr>
            <w:tcW w:w="2932" w:type="dxa"/>
            <w:gridSpan w:val="2"/>
            <w:vMerge/>
            <w:shd w:val="clear" w:color="auto" w:fill="D9D9D9"/>
            <w:vAlign w:val="center"/>
          </w:tcPr>
          <w:p w:rsidR="001A62D7" w:rsidRPr="00A33550" w:rsidRDefault="001A62D7" w:rsidP="00052CC7">
            <w:pPr>
              <w:spacing w:before="60" w:after="60"/>
              <w:jc w:val="center"/>
              <w:rPr>
                <w:rFonts w:eastAsia="Times New Roman"/>
                <w:noProof/>
                <w:sz w:val="22"/>
              </w:rPr>
            </w:pPr>
          </w:p>
        </w:tc>
        <w:tc>
          <w:tcPr>
            <w:tcW w:w="2136" w:type="dxa"/>
            <w:tcBorders>
              <w:top w:val="nil"/>
            </w:tcBorders>
            <w:shd w:val="clear" w:color="auto" w:fill="auto"/>
            <w:vAlign w:val="center"/>
          </w:tcPr>
          <w:p w:rsidR="001A62D7" w:rsidRPr="00A33550" w:rsidRDefault="001A62D7" w:rsidP="00052CC7">
            <w:pPr>
              <w:spacing w:before="60" w:after="60"/>
              <w:jc w:val="center"/>
              <w:rPr>
                <w:rFonts w:eastAsia="Times New Roman"/>
                <w:noProof/>
                <w:sz w:val="22"/>
              </w:rPr>
            </w:pPr>
            <w:r w:rsidRPr="00A33550">
              <w:rPr>
                <w:noProof/>
                <w:sz w:val="22"/>
              </w:rPr>
              <w:t>(</w:t>
            </w:r>
            <w:r w:rsidRPr="00A33550">
              <w:rPr>
                <w:noProof/>
              </w:rPr>
              <w:t>69,48 </w:t>
            </w:r>
            <w:r w:rsidRPr="00A33550">
              <w:rPr>
                <w:noProof/>
                <w:sz w:val="22"/>
              </w:rPr>
              <w:t>%)</w:t>
            </w:r>
          </w:p>
        </w:tc>
      </w:tr>
      <w:tr w:rsidR="001A62D7" w:rsidRPr="00A33550" w:rsidTr="00A15112">
        <w:tc>
          <w:tcPr>
            <w:tcW w:w="9289" w:type="dxa"/>
            <w:gridSpan w:val="4"/>
            <w:shd w:val="clear" w:color="auto" w:fill="auto"/>
            <w:vAlign w:val="center"/>
          </w:tcPr>
          <w:p w:rsidR="001A62D7" w:rsidRPr="00A33550" w:rsidRDefault="001A62D7" w:rsidP="00052CC7">
            <w:pPr>
              <w:spacing w:before="60" w:after="60"/>
              <w:jc w:val="left"/>
              <w:rPr>
                <w:noProof/>
                <w:sz w:val="22"/>
              </w:rPr>
            </w:pPr>
            <w:r w:rsidRPr="00A33550">
              <w:rPr>
                <w:noProof/>
              </w:rPr>
              <w:t>Toetused ja stiimulid (määruse (EL) 2021/691 artikli 7 lõike 2 teise lõigu punkti b kohased meetmed)</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A33550" w:rsidRDefault="00390472" w:rsidP="00052CC7">
            <w:pPr>
              <w:spacing w:before="60" w:after="60"/>
              <w:jc w:val="left"/>
              <w:rPr>
                <w:noProof/>
              </w:rPr>
            </w:pPr>
            <w:r w:rsidRPr="00A33550">
              <w:rPr>
                <w:noProof/>
              </w:rPr>
              <w:t xml:space="preserve">Tegevustoetus praktika või ettevõtluse alustamise ettevalmistamise ajal (Finansiellt stöd (Aktivitetsstöd) för praktik och starta eget) </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90472" w:rsidP="00052CC7">
            <w:pPr>
              <w:spacing w:before="60" w:after="60"/>
              <w:jc w:val="center"/>
              <w:rPr>
                <w:noProof/>
              </w:rPr>
            </w:pPr>
            <w:r w:rsidRPr="00A33550">
              <w:rPr>
                <w:noProof/>
              </w:rPr>
              <w:t>150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D21D1" w:rsidP="00052CC7">
            <w:pPr>
              <w:spacing w:before="60" w:after="60"/>
              <w:jc w:val="center"/>
              <w:rPr>
                <w:noProof/>
              </w:rPr>
            </w:pPr>
            <w:r w:rsidRPr="00A33550">
              <w:rPr>
                <w:noProof/>
              </w:rPr>
              <w:t>5 473</w:t>
            </w:r>
          </w:p>
        </w:tc>
        <w:tc>
          <w:tcPr>
            <w:tcW w:w="2136" w:type="dxa"/>
            <w:tcBorders>
              <w:top w:val="single" w:sz="4" w:space="0" w:color="auto"/>
              <w:left w:val="single" w:sz="4" w:space="0" w:color="auto"/>
              <w:bottom w:val="single" w:sz="4" w:space="0" w:color="auto"/>
              <w:right w:val="nil"/>
            </w:tcBorders>
            <w:vAlign w:val="center"/>
            <w:hideMark/>
          </w:tcPr>
          <w:p w:rsidR="001A62D7" w:rsidRPr="00A33550" w:rsidRDefault="00055197" w:rsidP="00052CC7">
            <w:pPr>
              <w:spacing w:before="60" w:after="60"/>
              <w:jc w:val="center"/>
              <w:rPr>
                <w:noProof/>
              </w:rPr>
            </w:pPr>
            <w:r w:rsidRPr="00A33550">
              <w:rPr>
                <w:noProof/>
              </w:rPr>
              <w:t>821 018</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A33550" w:rsidRDefault="00390472" w:rsidP="00052CC7">
            <w:pPr>
              <w:spacing w:before="60" w:after="60"/>
              <w:jc w:val="left"/>
              <w:rPr>
                <w:noProof/>
              </w:rPr>
            </w:pPr>
            <w:r w:rsidRPr="00A33550">
              <w:rPr>
                <w:noProof/>
              </w:rPr>
              <w:t>Liikuvustoetus (Flyttbidrag)</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90472" w:rsidP="00052CC7">
            <w:pPr>
              <w:spacing w:before="60" w:after="60"/>
              <w:jc w:val="center"/>
              <w:rPr>
                <w:noProof/>
              </w:rPr>
            </w:pPr>
            <w:r w:rsidRPr="00A33550">
              <w:rPr>
                <w:noProof/>
              </w:rPr>
              <w:t>150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D21D1" w:rsidP="00052CC7">
            <w:pPr>
              <w:spacing w:before="60" w:after="60"/>
              <w:jc w:val="center"/>
              <w:rPr>
                <w:noProof/>
              </w:rPr>
            </w:pPr>
            <w:r w:rsidRPr="00A33550">
              <w:rPr>
                <w:noProof/>
              </w:rPr>
              <w:t>1 824</w:t>
            </w:r>
          </w:p>
        </w:tc>
        <w:tc>
          <w:tcPr>
            <w:tcW w:w="2136" w:type="dxa"/>
            <w:tcBorders>
              <w:top w:val="single" w:sz="4" w:space="0" w:color="auto"/>
              <w:left w:val="single" w:sz="4" w:space="0" w:color="auto"/>
              <w:bottom w:val="single" w:sz="4" w:space="0" w:color="auto"/>
              <w:right w:val="nil"/>
            </w:tcBorders>
            <w:vAlign w:val="center"/>
            <w:hideMark/>
          </w:tcPr>
          <w:p w:rsidR="001A62D7" w:rsidRPr="00A33550" w:rsidRDefault="00055197" w:rsidP="00052CC7">
            <w:pPr>
              <w:spacing w:before="60" w:after="60"/>
              <w:jc w:val="center"/>
              <w:rPr>
                <w:noProof/>
              </w:rPr>
            </w:pPr>
            <w:r w:rsidRPr="00A33550">
              <w:rPr>
                <w:noProof/>
              </w:rPr>
              <w:t>273 673</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hideMark/>
          </w:tcPr>
          <w:p w:rsidR="001A62D7" w:rsidRPr="00A33550" w:rsidRDefault="00390472" w:rsidP="00052CC7">
            <w:pPr>
              <w:spacing w:before="60" w:after="60"/>
              <w:jc w:val="left"/>
              <w:rPr>
                <w:noProof/>
              </w:rPr>
            </w:pPr>
            <w:r w:rsidRPr="00A33550">
              <w:rPr>
                <w:noProof/>
              </w:rPr>
              <w:t xml:space="preserve">Tegevustoetus (Finansiellt stöd (Aktivitetsstöd) </w:t>
            </w:r>
          </w:p>
        </w:tc>
        <w:tc>
          <w:tcPr>
            <w:tcW w:w="147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90472" w:rsidP="00052CC7">
            <w:pPr>
              <w:spacing w:before="60" w:after="60"/>
              <w:jc w:val="center"/>
              <w:rPr>
                <w:noProof/>
              </w:rPr>
            </w:pPr>
            <w:r w:rsidRPr="00A33550">
              <w:rPr>
                <w:noProof/>
              </w:rPr>
              <w:t>550</w:t>
            </w:r>
          </w:p>
        </w:tc>
        <w:tc>
          <w:tcPr>
            <w:tcW w:w="1456" w:type="dxa"/>
            <w:tcBorders>
              <w:top w:val="single" w:sz="4" w:space="0" w:color="auto"/>
              <w:left w:val="single" w:sz="4" w:space="0" w:color="auto"/>
              <w:bottom w:val="single" w:sz="4" w:space="0" w:color="auto"/>
              <w:right w:val="single" w:sz="4" w:space="0" w:color="auto"/>
            </w:tcBorders>
            <w:vAlign w:val="center"/>
            <w:hideMark/>
          </w:tcPr>
          <w:p w:rsidR="001A62D7" w:rsidRPr="00A33550" w:rsidRDefault="003D21D1" w:rsidP="00052CC7">
            <w:pPr>
              <w:spacing w:before="60" w:after="60"/>
              <w:jc w:val="center"/>
              <w:rPr>
                <w:noProof/>
              </w:rPr>
            </w:pPr>
            <w:r w:rsidRPr="00A33550">
              <w:rPr>
                <w:noProof/>
              </w:rPr>
              <w:t>5 473</w:t>
            </w:r>
          </w:p>
        </w:tc>
        <w:tc>
          <w:tcPr>
            <w:tcW w:w="2136" w:type="dxa"/>
            <w:tcBorders>
              <w:top w:val="single" w:sz="4" w:space="0" w:color="auto"/>
              <w:left w:val="single" w:sz="4" w:space="0" w:color="auto"/>
              <w:bottom w:val="single" w:sz="4" w:space="0" w:color="auto"/>
              <w:right w:val="nil"/>
            </w:tcBorders>
            <w:vAlign w:val="center"/>
            <w:hideMark/>
          </w:tcPr>
          <w:p w:rsidR="001A62D7" w:rsidRPr="00A33550" w:rsidRDefault="00055197" w:rsidP="00052CC7">
            <w:pPr>
              <w:spacing w:before="60" w:after="60"/>
              <w:jc w:val="center"/>
              <w:rPr>
                <w:noProof/>
              </w:rPr>
            </w:pPr>
            <w:r w:rsidRPr="00A33550">
              <w:rPr>
                <w:noProof/>
              </w:rPr>
              <w:t>3 010 400</w:t>
            </w:r>
          </w:p>
        </w:tc>
      </w:tr>
      <w:tr w:rsidR="00751A96" w:rsidRPr="00A33550" w:rsidTr="00055197">
        <w:trPr>
          <w:trHeight w:val="802"/>
        </w:trPr>
        <w:tc>
          <w:tcPr>
            <w:tcW w:w="4221" w:type="dxa"/>
            <w:tcBorders>
              <w:top w:val="single" w:sz="4" w:space="0" w:color="auto"/>
              <w:left w:val="nil"/>
              <w:bottom w:val="single" w:sz="4" w:space="0" w:color="auto"/>
              <w:right w:val="single" w:sz="4" w:space="0" w:color="auto"/>
            </w:tcBorders>
            <w:vAlign w:val="center"/>
          </w:tcPr>
          <w:p w:rsidR="00390472" w:rsidRPr="00A33550" w:rsidDel="00390472" w:rsidRDefault="00390472" w:rsidP="00052CC7">
            <w:pPr>
              <w:spacing w:before="60" w:after="60"/>
              <w:jc w:val="left"/>
              <w:rPr>
                <w:noProof/>
              </w:rPr>
            </w:pPr>
            <w:r w:rsidRPr="00A33550">
              <w:rPr>
                <w:noProof/>
              </w:rPr>
              <w:t>Intervjuudel osalemise reisiraha (Finansiellt stöd för resa vid anställningsintervju)</w:t>
            </w:r>
          </w:p>
        </w:tc>
        <w:tc>
          <w:tcPr>
            <w:tcW w:w="1476" w:type="dxa"/>
            <w:tcBorders>
              <w:top w:val="single" w:sz="4" w:space="0" w:color="auto"/>
              <w:left w:val="single" w:sz="4" w:space="0" w:color="auto"/>
              <w:bottom w:val="single" w:sz="4" w:space="0" w:color="auto"/>
              <w:right w:val="single" w:sz="4" w:space="0" w:color="auto"/>
            </w:tcBorders>
            <w:vAlign w:val="center"/>
          </w:tcPr>
          <w:p w:rsidR="00390472" w:rsidRPr="00A33550" w:rsidRDefault="00390472" w:rsidP="00052CC7">
            <w:pPr>
              <w:spacing w:before="60" w:after="60"/>
              <w:jc w:val="center"/>
              <w:rPr>
                <w:noProof/>
              </w:rPr>
            </w:pPr>
            <w:r w:rsidRPr="00A33550">
              <w:rPr>
                <w:noProof/>
              </w:rPr>
              <w:t>200</w:t>
            </w:r>
          </w:p>
        </w:tc>
        <w:tc>
          <w:tcPr>
            <w:tcW w:w="1456" w:type="dxa"/>
            <w:tcBorders>
              <w:top w:val="single" w:sz="4" w:space="0" w:color="auto"/>
              <w:left w:val="single" w:sz="4" w:space="0" w:color="auto"/>
              <w:bottom w:val="single" w:sz="4" w:space="0" w:color="auto"/>
              <w:right w:val="single" w:sz="4" w:space="0" w:color="auto"/>
            </w:tcBorders>
            <w:vAlign w:val="center"/>
          </w:tcPr>
          <w:p w:rsidR="00390472" w:rsidRPr="00A33550" w:rsidRDefault="003D21D1" w:rsidP="00052CC7">
            <w:pPr>
              <w:spacing w:before="60" w:after="60"/>
              <w:jc w:val="center"/>
              <w:rPr>
                <w:noProof/>
              </w:rPr>
            </w:pPr>
            <w:r w:rsidRPr="00A33550">
              <w:rPr>
                <w:noProof/>
              </w:rPr>
              <w:t>328</w:t>
            </w:r>
          </w:p>
        </w:tc>
        <w:tc>
          <w:tcPr>
            <w:tcW w:w="2136" w:type="dxa"/>
            <w:tcBorders>
              <w:top w:val="single" w:sz="4" w:space="0" w:color="auto"/>
              <w:left w:val="single" w:sz="4" w:space="0" w:color="auto"/>
              <w:bottom w:val="single" w:sz="4" w:space="0" w:color="auto"/>
              <w:right w:val="nil"/>
            </w:tcBorders>
            <w:vAlign w:val="center"/>
          </w:tcPr>
          <w:p w:rsidR="00390472" w:rsidRPr="00A33550" w:rsidRDefault="00055197" w:rsidP="00052CC7">
            <w:pPr>
              <w:spacing w:before="60" w:after="60"/>
              <w:jc w:val="center"/>
              <w:rPr>
                <w:noProof/>
              </w:rPr>
            </w:pPr>
            <w:r w:rsidRPr="00A33550">
              <w:rPr>
                <w:noProof/>
              </w:rPr>
              <w:t>65 681</w:t>
            </w:r>
          </w:p>
        </w:tc>
      </w:tr>
      <w:tr w:rsidR="001A62D7" w:rsidRPr="00A33550" w:rsidTr="00A15112">
        <w:trPr>
          <w:trHeight w:val="203"/>
        </w:trPr>
        <w:tc>
          <w:tcPr>
            <w:tcW w:w="4221" w:type="dxa"/>
            <w:vMerge w:val="restart"/>
            <w:shd w:val="clear" w:color="auto" w:fill="auto"/>
            <w:vAlign w:val="center"/>
          </w:tcPr>
          <w:p w:rsidR="001A62D7" w:rsidRPr="00A33550" w:rsidRDefault="001A62D7" w:rsidP="00052CC7">
            <w:pPr>
              <w:spacing w:before="60" w:after="60"/>
              <w:jc w:val="right"/>
              <w:rPr>
                <w:rFonts w:eastAsia="Times New Roman"/>
                <w:noProof/>
                <w:sz w:val="22"/>
              </w:rPr>
            </w:pPr>
            <w:r w:rsidRPr="00A33550">
              <w:rPr>
                <w:noProof/>
                <w:sz w:val="22"/>
              </w:rPr>
              <w:t>Vahesumma (b):</w:t>
            </w:r>
          </w:p>
          <w:p w:rsidR="001A62D7" w:rsidRPr="00A33550" w:rsidRDefault="001A62D7" w:rsidP="00052CC7">
            <w:pPr>
              <w:spacing w:before="60" w:after="60"/>
              <w:jc w:val="right"/>
              <w:rPr>
                <w:rFonts w:eastAsia="Times New Roman"/>
                <w:noProof/>
                <w:sz w:val="22"/>
              </w:rPr>
            </w:pPr>
            <w:r w:rsidRPr="00A33550">
              <w:rPr>
                <w:noProof/>
                <w:sz w:val="22"/>
              </w:rPr>
              <w:t>Protsent individuaalsete teenuste paketist:</w:t>
            </w:r>
          </w:p>
        </w:tc>
        <w:tc>
          <w:tcPr>
            <w:tcW w:w="2932" w:type="dxa"/>
            <w:gridSpan w:val="2"/>
            <w:vMerge w:val="restart"/>
            <w:shd w:val="clear" w:color="auto" w:fill="D9D9D9"/>
            <w:vAlign w:val="center"/>
          </w:tcPr>
          <w:p w:rsidR="001A62D7" w:rsidRPr="00A33550" w:rsidRDefault="001A62D7" w:rsidP="00052CC7">
            <w:pPr>
              <w:spacing w:before="60" w:after="60"/>
              <w:jc w:val="center"/>
              <w:rPr>
                <w:rFonts w:eastAsia="Times New Roman"/>
                <w:noProof/>
                <w:sz w:val="22"/>
              </w:rPr>
            </w:pPr>
            <w:r w:rsidRPr="00A33550">
              <w:rPr>
                <w:noProof/>
                <w:sz w:val="22"/>
              </w:rPr>
              <w:t>‒</w:t>
            </w:r>
          </w:p>
        </w:tc>
        <w:tc>
          <w:tcPr>
            <w:tcW w:w="2136" w:type="dxa"/>
            <w:tcBorders>
              <w:bottom w:val="nil"/>
            </w:tcBorders>
            <w:shd w:val="clear" w:color="auto" w:fill="auto"/>
            <w:vAlign w:val="center"/>
          </w:tcPr>
          <w:p w:rsidR="001A62D7" w:rsidRPr="00A33550" w:rsidRDefault="00154BDB" w:rsidP="00052CC7">
            <w:pPr>
              <w:spacing w:before="60" w:after="60"/>
              <w:jc w:val="center"/>
              <w:rPr>
                <w:rFonts w:eastAsia="Times New Roman"/>
                <w:noProof/>
                <w:sz w:val="22"/>
              </w:rPr>
            </w:pPr>
            <w:r w:rsidRPr="00A33550">
              <w:rPr>
                <w:noProof/>
              </w:rPr>
              <w:t>4 170 772</w:t>
            </w:r>
          </w:p>
        </w:tc>
      </w:tr>
      <w:tr w:rsidR="001A62D7" w:rsidRPr="00A33550" w:rsidTr="00A15112">
        <w:trPr>
          <w:trHeight w:val="202"/>
        </w:trPr>
        <w:tc>
          <w:tcPr>
            <w:tcW w:w="4221" w:type="dxa"/>
            <w:vMerge/>
            <w:shd w:val="clear" w:color="auto" w:fill="auto"/>
            <w:vAlign w:val="center"/>
          </w:tcPr>
          <w:p w:rsidR="001A62D7" w:rsidRPr="00A33550" w:rsidRDefault="001A62D7" w:rsidP="00052CC7">
            <w:pPr>
              <w:spacing w:before="60" w:after="60"/>
              <w:jc w:val="right"/>
              <w:rPr>
                <w:rFonts w:eastAsia="Times New Roman"/>
                <w:noProof/>
                <w:sz w:val="22"/>
              </w:rPr>
            </w:pPr>
          </w:p>
        </w:tc>
        <w:tc>
          <w:tcPr>
            <w:tcW w:w="2932" w:type="dxa"/>
            <w:gridSpan w:val="2"/>
            <w:vMerge/>
            <w:shd w:val="clear" w:color="auto" w:fill="D9D9D9"/>
            <w:vAlign w:val="center"/>
          </w:tcPr>
          <w:p w:rsidR="001A62D7" w:rsidRPr="00A33550" w:rsidRDefault="001A62D7" w:rsidP="00052CC7">
            <w:pPr>
              <w:spacing w:before="60" w:after="60"/>
              <w:jc w:val="center"/>
              <w:rPr>
                <w:rFonts w:eastAsia="Times New Roman"/>
                <w:noProof/>
                <w:sz w:val="22"/>
              </w:rPr>
            </w:pPr>
          </w:p>
        </w:tc>
        <w:tc>
          <w:tcPr>
            <w:tcW w:w="2136" w:type="dxa"/>
            <w:tcBorders>
              <w:top w:val="nil"/>
            </w:tcBorders>
            <w:shd w:val="clear" w:color="auto" w:fill="auto"/>
            <w:vAlign w:val="center"/>
          </w:tcPr>
          <w:p w:rsidR="001A62D7" w:rsidRPr="00A33550" w:rsidRDefault="001A62D7" w:rsidP="00052CC7">
            <w:pPr>
              <w:spacing w:before="60" w:after="60"/>
              <w:jc w:val="center"/>
              <w:rPr>
                <w:rFonts w:eastAsia="Times New Roman"/>
                <w:noProof/>
                <w:sz w:val="22"/>
              </w:rPr>
            </w:pPr>
            <w:r w:rsidRPr="00A33550">
              <w:rPr>
                <w:noProof/>
                <w:sz w:val="22"/>
              </w:rPr>
              <w:t>(</w:t>
            </w:r>
            <w:r w:rsidRPr="00A33550">
              <w:rPr>
                <w:noProof/>
              </w:rPr>
              <w:t>30,52 </w:t>
            </w:r>
            <w:r w:rsidRPr="00A33550">
              <w:rPr>
                <w:noProof/>
                <w:sz w:val="22"/>
              </w:rPr>
              <w:t>%)</w:t>
            </w:r>
          </w:p>
        </w:tc>
      </w:tr>
      <w:tr w:rsidR="001A62D7" w:rsidRPr="00A33550" w:rsidTr="00A15112">
        <w:tc>
          <w:tcPr>
            <w:tcW w:w="9289" w:type="dxa"/>
            <w:gridSpan w:val="4"/>
            <w:shd w:val="clear" w:color="auto" w:fill="auto"/>
            <w:vAlign w:val="center"/>
          </w:tcPr>
          <w:p w:rsidR="001A62D7" w:rsidRPr="00A33550" w:rsidRDefault="001A62D7" w:rsidP="00052CC7">
            <w:pPr>
              <w:spacing w:before="60" w:after="60"/>
              <w:jc w:val="left"/>
              <w:rPr>
                <w:rFonts w:eastAsia="Times New Roman"/>
                <w:noProof/>
                <w:sz w:val="22"/>
              </w:rPr>
            </w:pPr>
            <w:r w:rsidRPr="00A33550">
              <w:rPr>
                <w:noProof/>
                <w:sz w:val="22"/>
              </w:rPr>
              <w:t>Määruse (EL) 2021/691 artikli 7 lõike 5 kohased tegevused</w:t>
            </w:r>
          </w:p>
        </w:tc>
      </w:tr>
      <w:tr w:rsidR="001A62D7" w:rsidRPr="00A33550" w:rsidTr="00A15112">
        <w:tc>
          <w:tcPr>
            <w:tcW w:w="4221" w:type="dxa"/>
            <w:shd w:val="clear" w:color="auto" w:fill="auto"/>
          </w:tcPr>
          <w:p w:rsidR="001A62D7" w:rsidRPr="00A33550" w:rsidRDefault="001A62D7" w:rsidP="00052CC7">
            <w:pPr>
              <w:spacing w:before="60" w:after="60"/>
              <w:ind w:left="284"/>
              <w:jc w:val="left"/>
              <w:rPr>
                <w:rFonts w:eastAsia="Times New Roman"/>
                <w:noProof/>
                <w:sz w:val="22"/>
              </w:rPr>
            </w:pPr>
            <w:r w:rsidRPr="00A33550">
              <w:rPr>
                <w:noProof/>
                <w:sz w:val="22"/>
              </w:rPr>
              <w:t>1. Ettevalmistus</w:t>
            </w:r>
          </w:p>
        </w:tc>
        <w:tc>
          <w:tcPr>
            <w:tcW w:w="2932" w:type="dxa"/>
            <w:gridSpan w:val="2"/>
            <w:shd w:val="clear" w:color="auto" w:fill="D9D9D9"/>
            <w:vAlign w:val="center"/>
          </w:tcPr>
          <w:p w:rsidR="001A62D7" w:rsidRPr="00A33550" w:rsidRDefault="001A62D7" w:rsidP="00052CC7">
            <w:pPr>
              <w:spacing w:before="60" w:after="60"/>
              <w:jc w:val="center"/>
              <w:rPr>
                <w:rFonts w:eastAsia="Times New Roman"/>
                <w:noProof/>
                <w:sz w:val="22"/>
              </w:rPr>
            </w:pPr>
            <w:r w:rsidRPr="00A33550">
              <w:rPr>
                <w:noProof/>
                <w:sz w:val="22"/>
              </w:rPr>
              <w:t>‒</w:t>
            </w:r>
          </w:p>
        </w:tc>
        <w:tc>
          <w:tcPr>
            <w:tcW w:w="2136" w:type="dxa"/>
            <w:shd w:val="clear" w:color="auto" w:fill="auto"/>
          </w:tcPr>
          <w:p w:rsidR="001A62D7" w:rsidRPr="00A33550" w:rsidRDefault="00941A00" w:rsidP="00052CC7">
            <w:pPr>
              <w:spacing w:before="60" w:after="60"/>
              <w:jc w:val="center"/>
              <w:rPr>
                <w:rFonts w:eastAsia="Times New Roman"/>
                <w:noProof/>
                <w:sz w:val="22"/>
              </w:rPr>
            </w:pPr>
            <w:r w:rsidRPr="00A33550">
              <w:rPr>
                <w:noProof/>
              </w:rPr>
              <w:t>63 071</w:t>
            </w:r>
          </w:p>
        </w:tc>
      </w:tr>
      <w:tr w:rsidR="001A62D7" w:rsidRPr="00A33550" w:rsidTr="00A15112">
        <w:tc>
          <w:tcPr>
            <w:tcW w:w="4221" w:type="dxa"/>
            <w:shd w:val="clear" w:color="auto" w:fill="auto"/>
          </w:tcPr>
          <w:p w:rsidR="001A62D7" w:rsidRPr="00A33550" w:rsidRDefault="001A62D7" w:rsidP="00052CC7">
            <w:pPr>
              <w:spacing w:before="60" w:after="60"/>
              <w:ind w:left="284"/>
              <w:jc w:val="left"/>
              <w:rPr>
                <w:rFonts w:eastAsia="Times New Roman"/>
                <w:noProof/>
                <w:sz w:val="22"/>
              </w:rPr>
            </w:pPr>
            <w:r w:rsidRPr="00A33550">
              <w:rPr>
                <w:noProof/>
                <w:sz w:val="22"/>
              </w:rPr>
              <w:t>2. Haldamine</w:t>
            </w:r>
          </w:p>
        </w:tc>
        <w:tc>
          <w:tcPr>
            <w:tcW w:w="2932" w:type="dxa"/>
            <w:gridSpan w:val="2"/>
            <w:shd w:val="clear" w:color="auto" w:fill="D9D9D9"/>
            <w:vAlign w:val="center"/>
          </w:tcPr>
          <w:p w:rsidR="001A62D7" w:rsidRPr="00A33550" w:rsidRDefault="001A62D7" w:rsidP="00052CC7">
            <w:pPr>
              <w:spacing w:before="60" w:after="60"/>
              <w:jc w:val="center"/>
              <w:rPr>
                <w:rFonts w:eastAsia="Times New Roman"/>
                <w:noProof/>
                <w:sz w:val="22"/>
              </w:rPr>
            </w:pPr>
            <w:r w:rsidRPr="00A33550">
              <w:rPr>
                <w:noProof/>
                <w:sz w:val="22"/>
              </w:rPr>
              <w:t>‒</w:t>
            </w:r>
          </w:p>
        </w:tc>
        <w:tc>
          <w:tcPr>
            <w:tcW w:w="2136" w:type="dxa"/>
            <w:shd w:val="clear" w:color="auto" w:fill="auto"/>
          </w:tcPr>
          <w:p w:rsidR="001A62D7" w:rsidRPr="00A33550" w:rsidRDefault="00941A00" w:rsidP="00052CC7">
            <w:pPr>
              <w:spacing w:before="60" w:after="60"/>
              <w:jc w:val="center"/>
              <w:rPr>
                <w:rFonts w:eastAsia="Times New Roman"/>
                <w:noProof/>
                <w:sz w:val="22"/>
              </w:rPr>
            </w:pPr>
            <w:r w:rsidRPr="00A33550">
              <w:rPr>
                <w:noProof/>
              </w:rPr>
              <w:t>456 121</w:t>
            </w:r>
          </w:p>
        </w:tc>
      </w:tr>
      <w:tr w:rsidR="001A62D7" w:rsidRPr="00A33550" w:rsidTr="00A15112">
        <w:tc>
          <w:tcPr>
            <w:tcW w:w="4221" w:type="dxa"/>
            <w:shd w:val="clear" w:color="auto" w:fill="auto"/>
          </w:tcPr>
          <w:p w:rsidR="001A62D7" w:rsidRPr="00A33550" w:rsidRDefault="001A62D7" w:rsidP="00052CC7">
            <w:pPr>
              <w:spacing w:before="60" w:after="60"/>
              <w:ind w:left="284"/>
              <w:jc w:val="left"/>
              <w:rPr>
                <w:rFonts w:eastAsia="Times New Roman"/>
                <w:noProof/>
                <w:sz w:val="22"/>
              </w:rPr>
            </w:pPr>
            <w:r w:rsidRPr="00A33550">
              <w:rPr>
                <w:noProof/>
                <w:sz w:val="22"/>
              </w:rPr>
              <w:t>3. Teave ja avalikustamine</w:t>
            </w:r>
          </w:p>
        </w:tc>
        <w:tc>
          <w:tcPr>
            <w:tcW w:w="2932" w:type="dxa"/>
            <w:gridSpan w:val="2"/>
            <w:shd w:val="clear" w:color="auto" w:fill="D9D9D9"/>
            <w:vAlign w:val="center"/>
          </w:tcPr>
          <w:p w:rsidR="001A62D7" w:rsidRPr="00A33550" w:rsidRDefault="001A62D7" w:rsidP="00052CC7">
            <w:pPr>
              <w:spacing w:before="60" w:after="60"/>
              <w:jc w:val="center"/>
              <w:rPr>
                <w:rFonts w:eastAsia="Times New Roman"/>
                <w:noProof/>
                <w:sz w:val="22"/>
              </w:rPr>
            </w:pPr>
            <w:r w:rsidRPr="00A33550">
              <w:rPr>
                <w:noProof/>
                <w:sz w:val="22"/>
              </w:rPr>
              <w:t>‒</w:t>
            </w:r>
          </w:p>
        </w:tc>
        <w:tc>
          <w:tcPr>
            <w:tcW w:w="2136" w:type="dxa"/>
            <w:shd w:val="clear" w:color="auto" w:fill="auto"/>
          </w:tcPr>
          <w:p w:rsidR="001A62D7" w:rsidRPr="00A33550" w:rsidRDefault="00941A00" w:rsidP="00052CC7">
            <w:pPr>
              <w:spacing w:before="60" w:after="60"/>
              <w:jc w:val="center"/>
              <w:rPr>
                <w:rFonts w:eastAsia="Times New Roman"/>
                <w:noProof/>
                <w:sz w:val="22"/>
              </w:rPr>
            </w:pPr>
            <w:r w:rsidRPr="00A33550">
              <w:rPr>
                <w:noProof/>
              </w:rPr>
              <w:t>13 684</w:t>
            </w:r>
          </w:p>
        </w:tc>
      </w:tr>
      <w:tr w:rsidR="001A62D7" w:rsidRPr="00A33550" w:rsidTr="00A15112">
        <w:tc>
          <w:tcPr>
            <w:tcW w:w="4221" w:type="dxa"/>
            <w:shd w:val="clear" w:color="auto" w:fill="auto"/>
          </w:tcPr>
          <w:p w:rsidR="001A62D7" w:rsidRPr="00A33550" w:rsidRDefault="001A62D7" w:rsidP="00052CC7">
            <w:pPr>
              <w:spacing w:before="60" w:after="60"/>
              <w:ind w:left="284"/>
              <w:jc w:val="left"/>
              <w:rPr>
                <w:rFonts w:eastAsia="Times New Roman"/>
                <w:noProof/>
                <w:sz w:val="22"/>
              </w:rPr>
            </w:pPr>
            <w:r w:rsidRPr="00A33550">
              <w:rPr>
                <w:noProof/>
                <w:sz w:val="22"/>
              </w:rPr>
              <w:t>4. Kontroll ja aruandlus</w:t>
            </w:r>
          </w:p>
        </w:tc>
        <w:tc>
          <w:tcPr>
            <w:tcW w:w="2932" w:type="dxa"/>
            <w:gridSpan w:val="2"/>
            <w:shd w:val="clear" w:color="auto" w:fill="D9D9D9"/>
            <w:vAlign w:val="center"/>
          </w:tcPr>
          <w:p w:rsidR="001A62D7" w:rsidRPr="00A33550" w:rsidRDefault="001A62D7" w:rsidP="00052CC7">
            <w:pPr>
              <w:spacing w:before="60" w:after="60"/>
              <w:jc w:val="center"/>
              <w:rPr>
                <w:rFonts w:eastAsia="Times New Roman"/>
                <w:noProof/>
                <w:sz w:val="22"/>
              </w:rPr>
            </w:pPr>
            <w:r w:rsidRPr="00A33550">
              <w:rPr>
                <w:noProof/>
                <w:sz w:val="22"/>
              </w:rPr>
              <w:t>‒</w:t>
            </w:r>
          </w:p>
        </w:tc>
        <w:tc>
          <w:tcPr>
            <w:tcW w:w="2136" w:type="dxa"/>
            <w:tcBorders>
              <w:bottom w:val="single" w:sz="4" w:space="0" w:color="auto"/>
            </w:tcBorders>
            <w:shd w:val="clear" w:color="auto" w:fill="auto"/>
          </w:tcPr>
          <w:p w:rsidR="001A62D7" w:rsidRPr="00A33550" w:rsidRDefault="00941A00" w:rsidP="00052CC7">
            <w:pPr>
              <w:spacing w:before="60" w:after="60"/>
              <w:jc w:val="center"/>
              <w:rPr>
                <w:rFonts w:eastAsia="Times New Roman"/>
                <w:noProof/>
                <w:sz w:val="22"/>
              </w:rPr>
            </w:pPr>
            <w:r w:rsidRPr="00A33550">
              <w:rPr>
                <w:noProof/>
              </w:rPr>
              <w:t>13 684</w:t>
            </w:r>
          </w:p>
        </w:tc>
      </w:tr>
      <w:tr w:rsidR="001A62D7" w:rsidRPr="00A33550" w:rsidTr="00A15112">
        <w:trPr>
          <w:trHeight w:val="203"/>
        </w:trPr>
        <w:tc>
          <w:tcPr>
            <w:tcW w:w="4221" w:type="dxa"/>
            <w:vMerge w:val="restart"/>
            <w:shd w:val="clear" w:color="auto" w:fill="auto"/>
            <w:vAlign w:val="center"/>
          </w:tcPr>
          <w:p w:rsidR="001A62D7" w:rsidRPr="00A33550" w:rsidRDefault="001A62D7" w:rsidP="00052CC7">
            <w:pPr>
              <w:spacing w:before="60" w:after="60"/>
              <w:jc w:val="right"/>
              <w:rPr>
                <w:rFonts w:eastAsia="Times New Roman"/>
                <w:noProof/>
                <w:sz w:val="22"/>
              </w:rPr>
            </w:pPr>
            <w:r w:rsidRPr="00A33550">
              <w:rPr>
                <w:noProof/>
                <w:sz w:val="22"/>
              </w:rPr>
              <w:t>Vahesumma (c):</w:t>
            </w:r>
          </w:p>
          <w:p w:rsidR="001A62D7" w:rsidRPr="00A33550" w:rsidRDefault="001A62D7" w:rsidP="00052CC7">
            <w:pPr>
              <w:spacing w:before="60" w:after="60"/>
              <w:jc w:val="right"/>
              <w:rPr>
                <w:rFonts w:eastAsia="Times New Roman"/>
                <w:noProof/>
                <w:sz w:val="22"/>
              </w:rPr>
            </w:pPr>
            <w:r w:rsidRPr="00A33550">
              <w:rPr>
                <w:noProof/>
                <w:sz w:val="22"/>
              </w:rPr>
              <w:t>Protsent kogukuludest:</w:t>
            </w:r>
          </w:p>
        </w:tc>
        <w:tc>
          <w:tcPr>
            <w:tcW w:w="2932" w:type="dxa"/>
            <w:gridSpan w:val="2"/>
            <w:vMerge w:val="restart"/>
            <w:shd w:val="clear" w:color="auto" w:fill="D9D9D9"/>
            <w:vAlign w:val="center"/>
          </w:tcPr>
          <w:p w:rsidR="001A62D7" w:rsidRPr="00A33550" w:rsidRDefault="001A62D7" w:rsidP="00052CC7">
            <w:pPr>
              <w:spacing w:before="0" w:after="0"/>
              <w:jc w:val="center"/>
              <w:rPr>
                <w:rFonts w:eastAsia="Times New Roman"/>
                <w:noProof/>
                <w:sz w:val="22"/>
              </w:rPr>
            </w:pPr>
            <w:r w:rsidRPr="00A33550">
              <w:rPr>
                <w:noProof/>
                <w:sz w:val="22"/>
              </w:rPr>
              <w:t>‒</w:t>
            </w:r>
          </w:p>
        </w:tc>
        <w:tc>
          <w:tcPr>
            <w:tcW w:w="2136" w:type="dxa"/>
            <w:tcBorders>
              <w:bottom w:val="nil"/>
            </w:tcBorders>
            <w:shd w:val="clear" w:color="auto" w:fill="auto"/>
            <w:vAlign w:val="center"/>
          </w:tcPr>
          <w:p w:rsidR="001A62D7" w:rsidRPr="00A33550" w:rsidRDefault="00941A00" w:rsidP="00052CC7">
            <w:pPr>
              <w:spacing w:before="60" w:after="60"/>
              <w:jc w:val="center"/>
              <w:rPr>
                <w:rFonts w:eastAsia="Times New Roman"/>
                <w:noProof/>
                <w:sz w:val="22"/>
              </w:rPr>
            </w:pPr>
            <w:r w:rsidRPr="00A33550">
              <w:rPr>
                <w:noProof/>
              </w:rPr>
              <w:t>546 560</w:t>
            </w:r>
          </w:p>
        </w:tc>
      </w:tr>
      <w:tr w:rsidR="001A62D7" w:rsidRPr="00A33550" w:rsidTr="00A15112">
        <w:trPr>
          <w:trHeight w:val="202"/>
        </w:trPr>
        <w:tc>
          <w:tcPr>
            <w:tcW w:w="4221" w:type="dxa"/>
            <w:vMerge/>
            <w:shd w:val="clear" w:color="auto" w:fill="auto"/>
          </w:tcPr>
          <w:p w:rsidR="001A62D7" w:rsidRPr="00A33550" w:rsidRDefault="001A62D7" w:rsidP="00052CC7">
            <w:pPr>
              <w:spacing w:before="0" w:after="0"/>
              <w:jc w:val="right"/>
              <w:rPr>
                <w:rFonts w:eastAsia="Times New Roman"/>
                <w:noProof/>
                <w:sz w:val="22"/>
              </w:rPr>
            </w:pPr>
          </w:p>
        </w:tc>
        <w:tc>
          <w:tcPr>
            <w:tcW w:w="2932" w:type="dxa"/>
            <w:gridSpan w:val="2"/>
            <w:vMerge/>
            <w:shd w:val="clear" w:color="auto" w:fill="D9D9D9"/>
            <w:vAlign w:val="center"/>
          </w:tcPr>
          <w:p w:rsidR="001A62D7" w:rsidRPr="00A33550" w:rsidRDefault="001A62D7" w:rsidP="00052CC7">
            <w:pPr>
              <w:spacing w:before="0" w:after="0"/>
              <w:jc w:val="center"/>
              <w:rPr>
                <w:rFonts w:eastAsia="Times New Roman"/>
                <w:noProof/>
                <w:sz w:val="22"/>
              </w:rPr>
            </w:pPr>
          </w:p>
        </w:tc>
        <w:tc>
          <w:tcPr>
            <w:tcW w:w="2136" w:type="dxa"/>
            <w:tcBorders>
              <w:top w:val="nil"/>
            </w:tcBorders>
            <w:shd w:val="clear" w:color="auto" w:fill="auto"/>
            <w:vAlign w:val="center"/>
          </w:tcPr>
          <w:p w:rsidR="001A62D7" w:rsidRPr="00A33550" w:rsidRDefault="001A62D7" w:rsidP="00052CC7">
            <w:pPr>
              <w:spacing w:before="60" w:after="60"/>
              <w:jc w:val="center"/>
              <w:rPr>
                <w:rFonts w:eastAsia="Times New Roman"/>
                <w:noProof/>
                <w:sz w:val="22"/>
              </w:rPr>
            </w:pPr>
            <w:r w:rsidRPr="00A33550">
              <w:rPr>
                <w:noProof/>
                <w:sz w:val="22"/>
              </w:rPr>
              <w:t>(</w:t>
            </w:r>
            <w:r w:rsidRPr="00A33550">
              <w:rPr>
                <w:noProof/>
              </w:rPr>
              <w:t>3,85 </w:t>
            </w:r>
            <w:r w:rsidRPr="00A33550">
              <w:rPr>
                <w:noProof/>
                <w:sz w:val="22"/>
              </w:rPr>
              <w:t>%)</w:t>
            </w:r>
          </w:p>
        </w:tc>
      </w:tr>
      <w:tr w:rsidR="001A62D7" w:rsidRPr="00A33550" w:rsidTr="00A15112">
        <w:tc>
          <w:tcPr>
            <w:tcW w:w="4221" w:type="dxa"/>
            <w:shd w:val="clear" w:color="auto" w:fill="auto"/>
          </w:tcPr>
          <w:p w:rsidR="001A62D7" w:rsidRPr="00A33550" w:rsidRDefault="001A62D7" w:rsidP="00052CC7">
            <w:pPr>
              <w:spacing w:before="60" w:after="60"/>
              <w:jc w:val="left"/>
              <w:rPr>
                <w:rFonts w:eastAsia="Times New Roman"/>
                <w:noProof/>
                <w:sz w:val="22"/>
              </w:rPr>
            </w:pPr>
            <w:r w:rsidRPr="00A33550">
              <w:rPr>
                <w:noProof/>
                <w:sz w:val="22"/>
              </w:rPr>
              <w:t>Kogukulud (a + b + c):</w:t>
            </w:r>
          </w:p>
        </w:tc>
        <w:tc>
          <w:tcPr>
            <w:tcW w:w="2932" w:type="dxa"/>
            <w:gridSpan w:val="2"/>
            <w:shd w:val="clear" w:color="auto" w:fill="D9D9D9"/>
            <w:vAlign w:val="center"/>
          </w:tcPr>
          <w:p w:rsidR="001A62D7" w:rsidRPr="00A33550" w:rsidRDefault="001A62D7" w:rsidP="00052CC7">
            <w:pPr>
              <w:spacing w:before="60" w:after="60"/>
              <w:jc w:val="center"/>
              <w:rPr>
                <w:rFonts w:eastAsia="Times New Roman"/>
                <w:noProof/>
                <w:sz w:val="22"/>
              </w:rPr>
            </w:pPr>
            <w:r w:rsidRPr="00A33550">
              <w:rPr>
                <w:noProof/>
                <w:sz w:val="22"/>
              </w:rPr>
              <w:t>‒</w:t>
            </w:r>
          </w:p>
        </w:tc>
        <w:tc>
          <w:tcPr>
            <w:tcW w:w="2136" w:type="dxa"/>
            <w:shd w:val="clear" w:color="auto" w:fill="auto"/>
          </w:tcPr>
          <w:p w:rsidR="001A62D7" w:rsidRPr="00A33550" w:rsidRDefault="00941A00" w:rsidP="00052CC7">
            <w:pPr>
              <w:spacing w:before="60" w:after="60"/>
              <w:jc w:val="center"/>
              <w:rPr>
                <w:noProof/>
                <w:sz w:val="22"/>
              </w:rPr>
            </w:pPr>
            <w:r w:rsidRPr="00A33550">
              <w:rPr>
                <w:noProof/>
              </w:rPr>
              <w:t>14 210 537</w:t>
            </w:r>
          </w:p>
        </w:tc>
      </w:tr>
      <w:tr w:rsidR="001A62D7" w:rsidRPr="00A33550" w:rsidTr="00A15112">
        <w:tc>
          <w:tcPr>
            <w:tcW w:w="4221" w:type="dxa"/>
            <w:shd w:val="clear" w:color="auto" w:fill="auto"/>
          </w:tcPr>
          <w:p w:rsidR="001A62D7" w:rsidRPr="00A33550" w:rsidRDefault="001A62D7" w:rsidP="00052CC7">
            <w:pPr>
              <w:spacing w:before="60" w:after="60"/>
              <w:jc w:val="left"/>
              <w:rPr>
                <w:rFonts w:eastAsia="Times New Roman"/>
                <w:noProof/>
                <w:sz w:val="22"/>
              </w:rPr>
            </w:pPr>
            <w:r w:rsidRPr="00A33550">
              <w:rPr>
                <w:noProof/>
                <w:sz w:val="22"/>
              </w:rPr>
              <w:t>EGFi toetus (</w:t>
            </w:r>
            <w:r w:rsidRPr="00A33550">
              <w:rPr>
                <w:noProof/>
              </w:rPr>
              <w:t>60</w:t>
            </w:r>
            <w:r w:rsidRPr="00A33550">
              <w:rPr>
                <w:noProof/>
                <w:sz w:val="22"/>
              </w:rPr>
              <w:t xml:space="preserve"> % kogukuludest)</w:t>
            </w:r>
          </w:p>
        </w:tc>
        <w:tc>
          <w:tcPr>
            <w:tcW w:w="2932" w:type="dxa"/>
            <w:gridSpan w:val="2"/>
            <w:shd w:val="clear" w:color="auto" w:fill="D9D9D9"/>
            <w:vAlign w:val="center"/>
          </w:tcPr>
          <w:p w:rsidR="001A62D7" w:rsidRPr="00A33550" w:rsidRDefault="001A62D7" w:rsidP="00052CC7">
            <w:pPr>
              <w:spacing w:before="60" w:after="60"/>
              <w:jc w:val="center"/>
              <w:rPr>
                <w:rFonts w:eastAsia="Times New Roman"/>
                <w:noProof/>
                <w:sz w:val="22"/>
              </w:rPr>
            </w:pPr>
            <w:r w:rsidRPr="00A33550">
              <w:rPr>
                <w:noProof/>
                <w:sz w:val="22"/>
              </w:rPr>
              <w:t>‒</w:t>
            </w:r>
          </w:p>
        </w:tc>
        <w:tc>
          <w:tcPr>
            <w:tcW w:w="2136" w:type="dxa"/>
            <w:shd w:val="clear" w:color="auto" w:fill="auto"/>
          </w:tcPr>
          <w:p w:rsidR="001A62D7" w:rsidRPr="00A33550" w:rsidRDefault="00941A00" w:rsidP="00052CC7">
            <w:pPr>
              <w:spacing w:before="60" w:after="60"/>
              <w:jc w:val="center"/>
              <w:rPr>
                <w:rFonts w:eastAsia="Times New Roman"/>
                <w:noProof/>
                <w:sz w:val="22"/>
              </w:rPr>
            </w:pPr>
            <w:r w:rsidRPr="00A33550">
              <w:rPr>
                <w:noProof/>
              </w:rPr>
              <w:t>8 526 322</w:t>
            </w:r>
          </w:p>
        </w:tc>
      </w:tr>
    </w:tbl>
    <w:p w:rsidR="001A62D7" w:rsidRPr="00A33550" w:rsidRDefault="008C6F8A" w:rsidP="008C6F8A">
      <w:pPr>
        <w:pStyle w:val="ManualNumPar1"/>
        <w:rPr>
          <w:noProof/>
          <w:szCs w:val="20"/>
        </w:rPr>
      </w:pPr>
      <w:r w:rsidRPr="008C6F8A">
        <w:rPr>
          <w:noProof/>
        </w:rPr>
        <w:t>39.</w:t>
      </w:r>
      <w:r w:rsidRPr="008C6F8A">
        <w:rPr>
          <w:noProof/>
        </w:rPr>
        <w:tab/>
      </w:r>
      <w:r w:rsidR="001A62D7" w:rsidRPr="00A33550">
        <w:rPr>
          <w:noProof/>
        </w:rPr>
        <w:t>Nende meetmete kulud, mis on tabelis esitatud kui määruse (EL) 2021/691 artikli 7 lõike 2 teise lõigu punkti b kohased meetmed, ei ületa 35 % individuaalsete teenuste kooskõlastatud paketi kogukuludest. Rootsi kinnitas, et nende meetmete puhul nõutakse sihtrühma kuuluvate toetusesaajate aktiivset osalemist tööotsingul või koolitustegevuses.</w:t>
      </w:r>
    </w:p>
    <w:p w:rsidR="001A62D7" w:rsidRPr="00A33550" w:rsidRDefault="008C6F8A" w:rsidP="008C6F8A">
      <w:pPr>
        <w:pStyle w:val="ManualNumPar1"/>
        <w:rPr>
          <w:noProof/>
        </w:rPr>
      </w:pPr>
      <w:r w:rsidRPr="008C6F8A">
        <w:rPr>
          <w:noProof/>
        </w:rPr>
        <w:t>40.</w:t>
      </w:r>
      <w:r w:rsidRPr="008C6F8A">
        <w:rPr>
          <w:noProof/>
        </w:rPr>
        <w:tab/>
      </w:r>
      <w:r w:rsidR="001A62D7" w:rsidRPr="00A33550">
        <w:rPr>
          <w:noProof/>
        </w:rPr>
        <w:t>Kooskõlas määruse (EL) 2021/691 artikli 7 lõike 2 neljanda lõiguga kinnitas Rootsi, et iseenda tööandjana tegutsemise, ettevõtluse alustamise ja töötajate ülevõtmisega seotud investeerimiskulud ei ületa 22 000 eurot toetusesaaja kohta.</w:t>
      </w:r>
    </w:p>
    <w:p w:rsidR="001A62D7" w:rsidRPr="00A33550" w:rsidRDefault="001A62D7" w:rsidP="001A62D7">
      <w:pPr>
        <w:pStyle w:val="ManualHeading3"/>
        <w:rPr>
          <w:noProof/>
        </w:rPr>
      </w:pPr>
      <w:r w:rsidRPr="00A33550">
        <w:rPr>
          <w:noProof/>
        </w:rPr>
        <w:t>Kulude rahastamiskõlblikkuse periood</w:t>
      </w:r>
    </w:p>
    <w:p w:rsidR="001A62D7" w:rsidRPr="00A33550" w:rsidRDefault="008C6F8A" w:rsidP="008C6F8A">
      <w:pPr>
        <w:pStyle w:val="ManualNumPar1"/>
        <w:rPr>
          <w:noProof/>
        </w:rPr>
      </w:pPr>
      <w:r w:rsidRPr="008C6F8A">
        <w:rPr>
          <w:noProof/>
        </w:rPr>
        <w:t>41.</w:t>
      </w:r>
      <w:r w:rsidRPr="008C6F8A">
        <w:rPr>
          <w:noProof/>
        </w:rPr>
        <w:tab/>
      </w:r>
      <w:r w:rsidR="00354072" w:rsidRPr="00A33550">
        <w:rPr>
          <w:noProof/>
        </w:rPr>
        <w:t>Rootsi ametiasutused hakkasid sihtrühma kuuluvatele toetusesaajatele individuaalseid teenuseid osutama 25. oktoobril 2024. Seega on meetmete kulud EGFist toetuse saamiseks kõlblikud alates 25. oktoobrist 2024 kuni 24 kuu möödumiseni rahastamisotsuse jõustumise kuupäevast, välja arvatud haridus- või koolituskursused, mille kestus on vähemalt kaks aastat ja mis on rahastamiskõlblikud kuni 31 kuud pärast rahastamisotsuse jõustumise kuupäeva.</w:t>
      </w:r>
    </w:p>
    <w:p w:rsidR="001A62D7" w:rsidRPr="00A33550" w:rsidRDefault="008C6F8A" w:rsidP="008C6F8A">
      <w:pPr>
        <w:pStyle w:val="ManualNumPar1"/>
        <w:rPr>
          <w:noProof/>
        </w:rPr>
      </w:pPr>
      <w:r w:rsidRPr="008C6F8A">
        <w:rPr>
          <w:noProof/>
        </w:rPr>
        <w:t>42.</w:t>
      </w:r>
      <w:r w:rsidRPr="008C6F8A">
        <w:rPr>
          <w:noProof/>
        </w:rPr>
        <w:tab/>
      </w:r>
      <w:r w:rsidR="009F7C12" w:rsidRPr="00A33550">
        <w:rPr>
          <w:noProof/>
        </w:rPr>
        <w:t xml:space="preserve">Rootsi ametiasutused hakkasid EGFi rakendamisega seotud halduskulusid kandma 25. oktoobril 2024. Järelikult on ettevalmistus-, haldus-, teavitamis- ja reklaami- ning kontrolli- ja aruandluskulud EGFi rahalise toetuse jaoks rahastamiskõlblikud alates 25. oktoobrist 2024 kuni 31 kuu möödumiseni rahastamisotsuse jõustumise kuupäevast. </w:t>
      </w:r>
    </w:p>
    <w:p w:rsidR="001A62D7" w:rsidRPr="00A33550" w:rsidRDefault="001A62D7" w:rsidP="001A62D7">
      <w:pPr>
        <w:pStyle w:val="ManualHeading2"/>
        <w:rPr>
          <w:noProof/>
        </w:rPr>
      </w:pPr>
      <w:r w:rsidRPr="00A33550">
        <w:rPr>
          <w:noProof/>
        </w:rPr>
        <w:t>Haldus- ja kontrollisüsteemid</w:t>
      </w:r>
    </w:p>
    <w:p w:rsidR="006F4354" w:rsidRPr="00A33550" w:rsidRDefault="008C6F8A" w:rsidP="008C6F8A">
      <w:pPr>
        <w:pStyle w:val="ManualNumPar1"/>
        <w:rPr>
          <w:noProof/>
        </w:rPr>
      </w:pPr>
      <w:r w:rsidRPr="008C6F8A">
        <w:rPr>
          <w:noProof/>
        </w:rPr>
        <w:t>43.</w:t>
      </w:r>
      <w:r w:rsidRPr="008C6F8A">
        <w:rPr>
          <w:noProof/>
        </w:rPr>
        <w:tab/>
      </w:r>
      <w:r w:rsidR="001A62D7" w:rsidRPr="00A33550">
        <w:rPr>
          <w:noProof/>
        </w:rPr>
        <w:t>Taotlus sisaldab määruse (EL) 2021/691 artiklis 23 nõutud haldus- ja kontrollisüsteemi kirjeldust, milles on täpsustatud asjaomaste asutuste vastutusalad. Rootsi on komisjonile teatanud, et rahalist toetust haldab Rootsi riiklik tööturuasutus Arbetsförmedlingen, nagu varasemate EGFi juhtumite puhul. Arbetsförmedlingen tegutseb korraldus- ja makseasutusena. Üldvastutus EGFi meetmete haldamise eest lasub peadirektori büroo ELi ja rahvusvahelise koostöö üksusel. Finantsosakonna raamatupidamise ja aruandluse üksus vastutab rahaliste vahendite haldamise eest. Projekti lõpliku raamatupidamisaruande kinnitamiseks on määratud ka sertifitseerimisfunktsioon. Rootsi teatas ka, et korraldusasutus sõlmib lepingu väliselt hangitud sõltumatu auditeerimisettevõttega, kes esitab auditiarvamuse selle kohta, kas ELi kaasrahastatavad kulud on seaduslikud ja korrektsed, kas programmi kulusid kirjeldavad raamatupidamisaruanded annavad õige ja õiglase ülevaate ning kas kehtestatud kontrollisüsteemid toimivad nõuetekohaselt.</w:t>
      </w:r>
    </w:p>
    <w:p w:rsidR="001A62D7" w:rsidRPr="00A33550" w:rsidRDefault="001A62D7" w:rsidP="001A62D7">
      <w:pPr>
        <w:pStyle w:val="ManualHeading2"/>
        <w:rPr>
          <w:noProof/>
        </w:rPr>
      </w:pPr>
      <w:r w:rsidRPr="00A33550">
        <w:rPr>
          <w:noProof/>
        </w:rPr>
        <w:t>Asjaomase liikmesriigi kohustused</w:t>
      </w:r>
    </w:p>
    <w:p w:rsidR="001A62D7" w:rsidRPr="00A33550" w:rsidRDefault="008C6F8A" w:rsidP="008C6F8A">
      <w:pPr>
        <w:pStyle w:val="ManualNumPar1"/>
        <w:rPr>
          <w:noProof/>
        </w:rPr>
      </w:pPr>
      <w:r w:rsidRPr="008C6F8A">
        <w:rPr>
          <w:noProof/>
        </w:rPr>
        <w:t>44.</w:t>
      </w:r>
      <w:r w:rsidRPr="008C6F8A">
        <w:rPr>
          <w:noProof/>
        </w:rPr>
        <w:tab/>
      </w:r>
      <w:r w:rsidR="00307EA7" w:rsidRPr="00A33550">
        <w:rPr>
          <w:noProof/>
        </w:rPr>
        <w:t xml:space="preserve">Rootsi on esitanud kõik vajalikud tagatised seoses järgmisega: </w:t>
      </w:r>
    </w:p>
    <w:p w:rsidR="001A62D7" w:rsidRPr="00A33550" w:rsidRDefault="001A62D7" w:rsidP="001A62D7">
      <w:pPr>
        <w:pStyle w:val="Tiret1"/>
        <w:rPr>
          <w:noProof/>
        </w:rPr>
      </w:pPr>
      <w:r w:rsidRPr="00A33550">
        <w:rPr>
          <w:noProof/>
        </w:rPr>
        <w:t>kavandatud meetmetele juurdepääsu võimaldamisel ja nende rakendamisel järgitakse võrdse kohtlemise ja mittediskrimineerimise põhimõtteid;</w:t>
      </w:r>
    </w:p>
    <w:p w:rsidR="001A62D7" w:rsidRPr="00A33550" w:rsidRDefault="001A62D7" w:rsidP="001A62D7">
      <w:pPr>
        <w:pStyle w:val="Tiret1"/>
        <w:rPr>
          <w:noProof/>
        </w:rPr>
      </w:pPr>
      <w:r w:rsidRPr="00A33550">
        <w:rPr>
          <w:noProof/>
        </w:rPr>
        <w:t>liikmesriigi ja ELi õigusaktides sätestatud nõuded kollektiivse koondamise kohta on täidetud;</w:t>
      </w:r>
    </w:p>
    <w:p w:rsidR="001A62D7" w:rsidRPr="00A33550" w:rsidRDefault="001A62D7" w:rsidP="001A62D7">
      <w:pPr>
        <w:pStyle w:val="Tiret1"/>
        <w:rPr>
          <w:noProof/>
        </w:rPr>
      </w:pPr>
      <w:r w:rsidRPr="00A33550">
        <w:rPr>
          <w:noProof/>
        </w:rPr>
        <w:t>topeltrahastamist välditakse;</w:t>
      </w:r>
    </w:p>
    <w:p w:rsidR="001A62D7" w:rsidRPr="00A33550" w:rsidRDefault="001A62D7" w:rsidP="001A62D7">
      <w:pPr>
        <w:pStyle w:val="Tiret1"/>
        <w:rPr>
          <w:noProof/>
        </w:rPr>
      </w:pPr>
      <w:r w:rsidRPr="00A33550">
        <w:rPr>
          <w:noProof/>
        </w:rPr>
        <w:t>EGFi rahaline toetus vastab liidu riigiabi menetlus- ja materiaalõiguse normidele.</w:t>
      </w:r>
    </w:p>
    <w:p w:rsidR="001A62D7" w:rsidRPr="00A33550" w:rsidRDefault="001A62D7" w:rsidP="001A62D7">
      <w:pPr>
        <w:pStyle w:val="ManualHeading1"/>
        <w:rPr>
          <w:noProof/>
        </w:rPr>
      </w:pPr>
      <w:r w:rsidRPr="00A33550">
        <w:rPr>
          <w:noProof/>
        </w:rPr>
        <w:t>MÕJU EELARVELE</w:t>
      </w:r>
    </w:p>
    <w:p w:rsidR="001A62D7" w:rsidRPr="00A33550" w:rsidRDefault="001A62D7" w:rsidP="001A62D7">
      <w:pPr>
        <w:pStyle w:val="ManualHeading2"/>
        <w:rPr>
          <w:noProof/>
        </w:rPr>
      </w:pPr>
      <w:r w:rsidRPr="00A33550">
        <w:rPr>
          <w:noProof/>
        </w:rPr>
        <w:t>Eelarveettepanek</w:t>
      </w:r>
    </w:p>
    <w:p w:rsidR="001A62D7" w:rsidRPr="00A33550" w:rsidRDefault="008C6F8A" w:rsidP="008C6F8A">
      <w:pPr>
        <w:pStyle w:val="ManualNumPar1"/>
        <w:rPr>
          <w:noProof/>
        </w:rPr>
      </w:pPr>
      <w:r w:rsidRPr="008C6F8A">
        <w:rPr>
          <w:noProof/>
        </w:rPr>
        <w:t>45.</w:t>
      </w:r>
      <w:r w:rsidRPr="008C6F8A">
        <w:rPr>
          <w:noProof/>
        </w:rPr>
        <w:tab/>
      </w:r>
      <w:r w:rsidR="001A62D7" w:rsidRPr="00A33550">
        <w:rPr>
          <w:noProof/>
        </w:rPr>
        <w:t>EGFi toetus ei ületa iga-aastast maksimumsummat, mis on 30 miljonit eurot (2018. aasta hindades), nagu on ette nähtud nõukogu 17. detsembri 2020. aasta määruse (EL, Euratom) 2020/2093 (millega määratakse kindlaks mitmeaastane finantsraamistik aastateks 2021–2027)</w:t>
      </w:r>
      <w:r w:rsidR="001A62D7" w:rsidRPr="00A33550">
        <w:rPr>
          <w:rStyle w:val="FootnoteReference"/>
          <w:noProof/>
        </w:rPr>
        <w:footnoteReference w:id="19"/>
      </w:r>
      <w:r w:rsidR="001A62D7" w:rsidRPr="00A33550">
        <w:rPr>
          <w:noProof/>
        </w:rPr>
        <w:t xml:space="preserve"> artikliga 8, mida on muudetud nõukogu 29. veebruari 2024. aasta määrusega (EL, Euratom) 2024/765</w:t>
      </w:r>
      <w:r w:rsidR="001A62D7" w:rsidRPr="00A33550">
        <w:rPr>
          <w:rStyle w:val="FootnoteReference"/>
          <w:noProof/>
        </w:rPr>
        <w:footnoteReference w:id="20"/>
      </w:r>
      <w:r w:rsidR="001A62D7" w:rsidRPr="00A33550">
        <w:rPr>
          <w:noProof/>
        </w:rPr>
        <w:t>.</w:t>
      </w:r>
    </w:p>
    <w:p w:rsidR="001A62D7" w:rsidRPr="00A33550" w:rsidRDefault="008C6F8A" w:rsidP="008C6F8A">
      <w:pPr>
        <w:pStyle w:val="ManualNumPar1"/>
        <w:rPr>
          <w:rFonts w:eastAsia="Calibri"/>
          <w:noProof/>
        </w:rPr>
      </w:pPr>
      <w:r w:rsidRPr="008C6F8A">
        <w:rPr>
          <w:noProof/>
        </w:rPr>
        <w:t>46.</w:t>
      </w:r>
      <w:r w:rsidRPr="008C6F8A">
        <w:rPr>
          <w:noProof/>
        </w:rPr>
        <w:tab/>
      </w:r>
      <w:r w:rsidR="001A62D7" w:rsidRPr="00A33550">
        <w:rPr>
          <w:noProof/>
        </w:rPr>
        <w:t>Olles hinnanud taotlust määruse (EL) 2021/691 artikli 13 lõigetes 1 ja 2 sätestatud tingimuste kohaselt ning arvestades sihtrühma kuuluvate toetusesaajate arvu, kavandatavaid meetmeid ja hinnangulisi kulusid, teeb komisjon ettepaneku, et rahalise toetuse andmiseks taotluse alusel võetaks kasutusele EGFi vahendeid 8 526 322 euro suuruses summas, mis moodustab 60 % kavandatud meetmete kogukuludest.</w:t>
      </w:r>
    </w:p>
    <w:p w:rsidR="001A62D7" w:rsidRPr="00A33550" w:rsidRDefault="008C6F8A" w:rsidP="008C6F8A">
      <w:pPr>
        <w:pStyle w:val="ManualNumPar1"/>
        <w:rPr>
          <w:rFonts w:eastAsia="Times New Roman"/>
          <w:noProof/>
        </w:rPr>
      </w:pPr>
      <w:r w:rsidRPr="008C6F8A">
        <w:rPr>
          <w:noProof/>
        </w:rPr>
        <w:t>47.</w:t>
      </w:r>
      <w:r w:rsidRPr="008C6F8A">
        <w:rPr>
          <w:noProof/>
        </w:rPr>
        <w:tab/>
      </w:r>
      <w:r w:rsidR="001A62D7" w:rsidRPr="00A33550">
        <w:rPr>
          <w:noProof/>
        </w:rPr>
        <w:t>EGFi vahendite kasutuselevõtmise ettepaneku kohta teevad otsuse Euroopa Parlament ja nõukogu ühiselt, nagu on sätestatud määruse (EL) 2021/691 artikli 15 lõike 1 esimese lõigu teises lauses ning 16. detsembri 2020. aasta institutsioonidevahelise kokkuleppe (Euroopa Parlamendi, Euroopa Liidu Nõukogu ja Euroopa Komisjoni vahel eelarvedistsipliini, eelarvealase koostöö ning usaldusväärse finantsjuhtimise kohta, samuti uute omavahendite, sealhulgas uute omavahendite kasutuselevõtmise suunas liikumise tegevuskava kohta)</w:t>
      </w:r>
      <w:r w:rsidR="001A62D7" w:rsidRPr="00A33550">
        <w:rPr>
          <w:rStyle w:val="FootnoteReference"/>
          <w:noProof/>
        </w:rPr>
        <w:footnoteReference w:id="21"/>
      </w:r>
      <w:r w:rsidR="001A62D7" w:rsidRPr="00A33550">
        <w:rPr>
          <w:noProof/>
        </w:rPr>
        <w:t xml:space="preserve"> punktis 9.</w:t>
      </w:r>
    </w:p>
    <w:p w:rsidR="001A62D7" w:rsidRPr="00A33550" w:rsidRDefault="001A62D7" w:rsidP="001A62D7">
      <w:pPr>
        <w:pStyle w:val="ManualHeading2"/>
        <w:rPr>
          <w:noProof/>
        </w:rPr>
      </w:pPr>
      <w:r w:rsidRPr="00A33550">
        <w:rPr>
          <w:noProof/>
        </w:rPr>
        <w:t>Seotud õigusaktid</w:t>
      </w:r>
    </w:p>
    <w:p w:rsidR="001A62D7" w:rsidRPr="00A33550" w:rsidRDefault="008C6F8A" w:rsidP="008C6F8A">
      <w:pPr>
        <w:pStyle w:val="ManualNumPar1"/>
        <w:rPr>
          <w:noProof/>
        </w:rPr>
      </w:pPr>
      <w:r w:rsidRPr="008C6F8A">
        <w:rPr>
          <w:noProof/>
        </w:rPr>
        <w:t>48.</w:t>
      </w:r>
      <w:r w:rsidRPr="008C6F8A">
        <w:rPr>
          <w:noProof/>
        </w:rPr>
        <w:tab/>
      </w:r>
      <w:r w:rsidR="001A62D7" w:rsidRPr="00A33550">
        <w:rPr>
          <w:noProof/>
        </w:rPr>
        <w:t>EGFi kasutuselevõtmise otsust käsitleva ettepaneku tegemisega samal ajal esitab komisjon Euroopa Parlamendile ja nõukogule ettepaneku 8 526 322 euro ümberpaigutamiseks asjakohasele eelarvereale.</w:t>
      </w:r>
    </w:p>
    <w:p w:rsidR="001A62D7" w:rsidRPr="00A33550" w:rsidRDefault="008C6F8A" w:rsidP="008C6F8A">
      <w:pPr>
        <w:pStyle w:val="ManualNumPar1"/>
        <w:rPr>
          <w:noProof/>
        </w:rPr>
      </w:pPr>
      <w:r w:rsidRPr="008C6F8A">
        <w:rPr>
          <w:noProof/>
        </w:rPr>
        <w:t>49.</w:t>
      </w:r>
      <w:r w:rsidRPr="008C6F8A">
        <w:rPr>
          <w:noProof/>
        </w:rPr>
        <w:tab/>
      </w:r>
      <w:r w:rsidR="001A62D7" w:rsidRPr="00A33550">
        <w:rPr>
          <w:noProof/>
        </w:rPr>
        <w:t>Samal ajal kui komisjon võttis vastu käesoleva ettepaneku EGFi kasutuselevõtmise otsuse kohta, võttis ta vastu ka otsuse rahalise toetuse kohta, mis on rahastamisotsus määruse (EL, Euratom) 2024/2509</w:t>
      </w:r>
      <w:r w:rsidR="001A62D7" w:rsidRPr="00A33550">
        <w:rPr>
          <w:rStyle w:val="FootnoteReference"/>
          <w:noProof/>
        </w:rPr>
        <w:footnoteReference w:id="22"/>
      </w:r>
      <w:r w:rsidR="001A62D7" w:rsidRPr="00A33550">
        <w:rPr>
          <w:noProof/>
        </w:rPr>
        <w:t xml:space="preserve"> artikli 110 tähenduses. Rahastamisotsus jõustub päeval, mil Euroopa Parlament ja nõukogu teavitavad komisjoni eelarvevahendite ümberpaigutamise heakskiitmisest vastavalt määruse (EL) 2021/691 artikli 15 lõike 2 esimesele lõigule.</w:t>
      </w:r>
    </w:p>
    <w:p w:rsidR="001A62D7" w:rsidRPr="00A33550" w:rsidRDefault="001A62D7" w:rsidP="001A62D7">
      <w:pPr>
        <w:rPr>
          <w:noProof/>
        </w:rPr>
        <w:sectPr w:rsidR="001A62D7" w:rsidRPr="00A33550" w:rsidSect="005C6C2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08"/>
          <w:docGrid w:linePitch="360"/>
        </w:sectPr>
      </w:pPr>
    </w:p>
    <w:p w:rsidR="00544F4A" w:rsidRDefault="00157DED">
      <w:pPr>
        <w:pStyle w:val="Rfrenceinterinstitutionnelle"/>
        <w:rPr>
          <w:noProof/>
        </w:rPr>
      </w:pPr>
      <w:r>
        <w:rPr>
          <w:noProof/>
        </w:rPr>
        <w:t>2025/0326 (BUD)</w:t>
      </w:r>
    </w:p>
    <w:p w:rsidR="001A62D7" w:rsidRPr="00A33550" w:rsidRDefault="00BE7BCE" w:rsidP="00BE7BCE">
      <w:pPr>
        <w:pStyle w:val="Statut"/>
        <w:rPr>
          <w:noProof/>
        </w:rPr>
      </w:pPr>
      <w:r w:rsidRPr="00A33550">
        <w:rPr>
          <w:noProof/>
        </w:rPr>
        <w:t>Ettepanek:</w:t>
      </w:r>
    </w:p>
    <w:p w:rsidR="001A62D7" w:rsidRPr="00A33550" w:rsidRDefault="00BE7BCE" w:rsidP="00BE7BCE">
      <w:pPr>
        <w:pStyle w:val="Typedudocument"/>
        <w:rPr>
          <w:noProof/>
        </w:rPr>
      </w:pPr>
      <w:r w:rsidRPr="00A33550">
        <w:rPr>
          <w:noProof/>
        </w:rPr>
        <w:t>EUROOPA PARLAMENDI JA NÕUKOGU OTSUS</w:t>
      </w:r>
    </w:p>
    <w:p w:rsidR="001A62D7" w:rsidRPr="00A33550" w:rsidRDefault="00BE7BCE" w:rsidP="00BE7BCE">
      <w:pPr>
        <w:pStyle w:val="Titreobjet"/>
        <w:rPr>
          <w:noProof/>
        </w:rPr>
      </w:pPr>
      <w:r w:rsidRPr="00A33550">
        <w:rPr>
          <w:noProof/>
        </w:rPr>
        <w:t>koondatud töötajate toetuseks loodud Globaliseerumisega Kohanemise Euroopa Fondi vahendite kasutuselevõtmise kohta (Rootsi taotlus – EGF/2025/003 SE/Northvolt)</w:t>
      </w:r>
    </w:p>
    <w:p w:rsidR="001A62D7" w:rsidRPr="00A33550" w:rsidRDefault="001A62D7" w:rsidP="001A62D7">
      <w:pPr>
        <w:pStyle w:val="Institutionquiagit"/>
        <w:rPr>
          <w:noProof/>
        </w:rPr>
      </w:pPr>
      <w:r w:rsidRPr="00A33550">
        <w:rPr>
          <w:noProof/>
        </w:rPr>
        <w:t>EUROOPA PARLAMENT JA EUROOPA LIIDU NÕUKOGU,</w:t>
      </w:r>
    </w:p>
    <w:p w:rsidR="001A62D7" w:rsidRPr="00A33550" w:rsidRDefault="001A62D7" w:rsidP="001A62D7">
      <w:pPr>
        <w:rPr>
          <w:noProof/>
        </w:rPr>
      </w:pPr>
      <w:r w:rsidRPr="00A33550">
        <w:rPr>
          <w:noProof/>
        </w:rPr>
        <w:t>võttes arvesse Euroopa Liidu toimimise lepingut,</w:t>
      </w:r>
    </w:p>
    <w:p w:rsidR="001A62D7" w:rsidRPr="00A33550" w:rsidRDefault="001A62D7" w:rsidP="001A62D7">
      <w:pPr>
        <w:rPr>
          <w:noProof/>
        </w:rPr>
      </w:pPr>
      <w:r w:rsidRPr="00A33550">
        <w:rPr>
          <w:noProof/>
        </w:rPr>
        <w:t>võttes arvesse Euroopa Parlamendi ja nõukogu 28. aprilli 2021. aasta määrust (EL) 2021/691, millega luuakse Globaliseerumisega Kohanemise Euroopa Fond (EGF) koondatud töötajate toetuseks ja tunnistatakse kehtetuks määrus (EL) nr 1309/2013,</w:t>
      </w:r>
      <w:r w:rsidRPr="00A33550">
        <w:rPr>
          <w:rStyle w:val="FootnoteReference"/>
          <w:noProof/>
        </w:rPr>
        <w:footnoteReference w:id="23"/>
      </w:r>
      <w:r w:rsidRPr="00A33550">
        <w:rPr>
          <w:noProof/>
        </w:rPr>
        <w:t xml:space="preserve"> eriti selle artikli 15 lõike 1 esimest lõiku,</w:t>
      </w:r>
    </w:p>
    <w:p w:rsidR="001A62D7" w:rsidRPr="00A33550" w:rsidRDefault="001A62D7" w:rsidP="001A62D7">
      <w:pPr>
        <w:rPr>
          <w:noProof/>
        </w:rPr>
      </w:pPr>
      <w:r w:rsidRPr="00A33550">
        <w:rPr>
          <w:noProof/>
        </w:rPr>
        <w:t>võttes arvesse 16. detsembri 2020. aasta institutsioonidevahelist kokkulepet Euroopa Parlamendi, Euroopa Liidu Nõukogu ja Euroopa Komisjoni vahel, mis käsitleb eelarvedistsipliini, eelarvealast koostööd ning usaldusväärset finantsjuhtimist, samuti uusi omavahendeid, sealhulgas uute omavahendite kasutuselevõtmise suunas liikumise tegevuskava,</w:t>
      </w:r>
      <w:r w:rsidRPr="00A33550">
        <w:rPr>
          <w:rStyle w:val="FootnoteReference"/>
          <w:noProof/>
        </w:rPr>
        <w:footnoteReference w:id="24"/>
      </w:r>
      <w:r w:rsidRPr="00A33550">
        <w:rPr>
          <w:noProof/>
        </w:rPr>
        <w:t xml:space="preserve"> eriti selle punkti 9,</w:t>
      </w:r>
    </w:p>
    <w:p w:rsidR="001A62D7" w:rsidRPr="00A33550" w:rsidRDefault="001A62D7" w:rsidP="001A62D7">
      <w:pPr>
        <w:rPr>
          <w:noProof/>
        </w:rPr>
      </w:pPr>
      <w:r w:rsidRPr="00A33550">
        <w:rPr>
          <w:noProof/>
        </w:rPr>
        <w:t>võttes arvesse Euroopa Komisjoni ettepanekut</w:t>
      </w:r>
    </w:p>
    <w:p w:rsidR="001A62D7" w:rsidRPr="00A33550" w:rsidRDefault="001A62D7" w:rsidP="001A62D7">
      <w:pPr>
        <w:rPr>
          <w:noProof/>
        </w:rPr>
      </w:pPr>
      <w:r w:rsidRPr="00A33550">
        <w:rPr>
          <w:noProof/>
        </w:rPr>
        <w:t>ning arvestades järgmist:</w:t>
      </w:r>
    </w:p>
    <w:p w:rsidR="001A62D7" w:rsidRPr="00A33550" w:rsidRDefault="008C6F8A" w:rsidP="008C6F8A">
      <w:pPr>
        <w:pStyle w:val="ManualConsidrant"/>
        <w:rPr>
          <w:noProof/>
        </w:rPr>
      </w:pPr>
      <w:r w:rsidRPr="008C6F8A">
        <w:rPr>
          <w:noProof/>
        </w:rPr>
        <w:t>(1)</w:t>
      </w:r>
      <w:r w:rsidRPr="008C6F8A">
        <w:rPr>
          <w:noProof/>
        </w:rPr>
        <w:tab/>
      </w:r>
      <w:r w:rsidR="001A62D7" w:rsidRPr="00A33550">
        <w:rPr>
          <w:noProof/>
        </w:rPr>
        <w:t xml:space="preserve">Koondatud töötajate toetuseks loodud Globaliseerumisega Kohanemise Euroopa Fondi (EGF) eesmärk on näidata üles solidaarsust ning edendada inimväärset ja kestlikku tööhõivet liidus, toetades suurettevõtete restruktureerimise käigus koondatud töötajaid ja tegevuse lõpetanud füüsilisest isikust ettevõtjaid ning aidates neil võimalikult kiiresti saada uuesti inimväärset ja kestlikku tööd. </w:t>
      </w:r>
    </w:p>
    <w:p w:rsidR="001A62D7" w:rsidRPr="00A33550" w:rsidRDefault="008C6F8A" w:rsidP="008C6F8A">
      <w:pPr>
        <w:pStyle w:val="ManualConsidrant"/>
        <w:rPr>
          <w:noProof/>
        </w:rPr>
      </w:pPr>
      <w:r w:rsidRPr="008C6F8A">
        <w:rPr>
          <w:noProof/>
        </w:rPr>
        <w:t>(2)</w:t>
      </w:r>
      <w:r w:rsidRPr="008C6F8A">
        <w:rPr>
          <w:noProof/>
        </w:rPr>
        <w:tab/>
      </w:r>
      <w:r w:rsidR="001A62D7" w:rsidRPr="00A33550">
        <w:rPr>
          <w:noProof/>
        </w:rPr>
        <w:t>Nõukogu määruse (EL, Euratom) 2020/2093</w:t>
      </w:r>
      <w:r w:rsidR="001A62D7" w:rsidRPr="00A33550">
        <w:rPr>
          <w:rStyle w:val="FootnoteReference"/>
          <w:noProof/>
        </w:rPr>
        <w:footnoteReference w:id="25"/>
      </w:r>
      <w:r w:rsidR="001A62D7" w:rsidRPr="00A33550">
        <w:rPr>
          <w:noProof/>
        </w:rPr>
        <w:t xml:space="preserve"> (mida on muudetud nõukogu määrusega (EL, Euratom) 2024/765) artikli 8 ja määruse (EL) 2021/691 artikli 16 kohaselt ei tohi EGFist antav toetus ületada iga-aastast maksimumsummat, mis on 30 miljonit eurot (2018. aasta hindades).</w:t>
      </w:r>
    </w:p>
    <w:p w:rsidR="001A62D7" w:rsidRPr="00A33550" w:rsidRDefault="008C6F8A" w:rsidP="008C6F8A">
      <w:pPr>
        <w:pStyle w:val="ManualConsidrant"/>
        <w:rPr>
          <w:noProof/>
        </w:rPr>
      </w:pPr>
      <w:r w:rsidRPr="008C6F8A">
        <w:rPr>
          <w:noProof/>
        </w:rPr>
        <w:t>(3)</w:t>
      </w:r>
      <w:r w:rsidRPr="008C6F8A">
        <w:rPr>
          <w:noProof/>
        </w:rPr>
        <w:tab/>
      </w:r>
      <w:r w:rsidR="001A62D7" w:rsidRPr="00A33550">
        <w:rPr>
          <w:noProof/>
        </w:rPr>
        <w:t>16. juunil 2025 esitas Rootsi määruse (EL) 2021/691 artikli 8 lõike 1 kohase taotluse EGFi vahendite kasutuselevõtmiseks seoses töötajate koondamisega Rootsi ettevõtja Northvolt (Northvolt AB) ja selle tütarettevõtjate ning 13 alltöövõtja, tarnija ja tootmisahela järgmise etapi tootja juures. Taotluse kohta esitati lisateavet vastavalt määruse (EL) 2021/691 artikli 8 lõikele 5. Leitakse, et kõnealune taotlus vastab EGFist rahalise toetuse andmise tingimustele, mis on sätestatud määruse (EL) 2021/691 artiklis 13, tuginedes komisjoni hinnangule, mis on esitatud ettepanekus võtta vastu Euroopa Parlamendi ja nõukogu otsus fondi vahendite kasutuselevõtmise kohta</w:t>
      </w:r>
      <w:r w:rsidR="001A62D7" w:rsidRPr="00A33550">
        <w:rPr>
          <w:rStyle w:val="FootnoteReference"/>
          <w:iCs/>
          <w:noProof/>
        </w:rPr>
        <w:footnoteReference w:id="26"/>
      </w:r>
      <w:r w:rsidR="001A62D7" w:rsidRPr="00A33550">
        <w:rPr>
          <w:noProof/>
        </w:rPr>
        <w:t>.</w:t>
      </w:r>
    </w:p>
    <w:p w:rsidR="001A62D7" w:rsidRPr="00A33550" w:rsidRDefault="008C6F8A" w:rsidP="008C6F8A">
      <w:pPr>
        <w:pStyle w:val="ManualConsidrant"/>
        <w:rPr>
          <w:noProof/>
        </w:rPr>
      </w:pPr>
      <w:r w:rsidRPr="008C6F8A">
        <w:rPr>
          <w:noProof/>
        </w:rPr>
        <w:t>(4)</w:t>
      </w:r>
      <w:r w:rsidRPr="008C6F8A">
        <w:rPr>
          <w:noProof/>
        </w:rPr>
        <w:tab/>
      </w:r>
      <w:r w:rsidR="001A62D7" w:rsidRPr="00A33550">
        <w:rPr>
          <w:noProof/>
        </w:rPr>
        <w:t>Seepärast tuleks võtta kasutusele EGF, et anda Rootsile taotluse alusel rahalist toetust summas 8 526 322 eurot.</w:t>
      </w:r>
    </w:p>
    <w:p w:rsidR="001A62D7" w:rsidRPr="00A33550" w:rsidRDefault="008C6F8A" w:rsidP="008C6F8A">
      <w:pPr>
        <w:pStyle w:val="ManualConsidrant"/>
        <w:rPr>
          <w:noProof/>
        </w:rPr>
      </w:pPr>
      <w:r w:rsidRPr="008C6F8A">
        <w:rPr>
          <w:noProof/>
        </w:rPr>
        <w:t>(5)</w:t>
      </w:r>
      <w:r w:rsidRPr="008C6F8A">
        <w:rPr>
          <w:noProof/>
        </w:rPr>
        <w:tab/>
      </w:r>
      <w:r w:rsidR="001A62D7" w:rsidRPr="00A33550">
        <w:rPr>
          <w:noProof/>
        </w:rPr>
        <w:t>EGFi võimalikult kiireks kasutuselevõtmiseks tuleks käesolevat otsust kohaldada alates selle vastuvõtmise kuupäevast,</w:t>
      </w:r>
    </w:p>
    <w:p w:rsidR="001A62D7" w:rsidRPr="00A33550" w:rsidRDefault="001A62D7" w:rsidP="001A62D7">
      <w:pPr>
        <w:pStyle w:val="Formuledadoption"/>
        <w:rPr>
          <w:noProof/>
        </w:rPr>
      </w:pPr>
      <w:r w:rsidRPr="00A33550">
        <w:rPr>
          <w:noProof/>
        </w:rPr>
        <w:t xml:space="preserve">ON VASTU VÕTNUD KÄESOLEVA OTSUSE: </w:t>
      </w:r>
    </w:p>
    <w:p w:rsidR="001A62D7" w:rsidRPr="00A33550" w:rsidRDefault="001A62D7" w:rsidP="001A62D7">
      <w:pPr>
        <w:pStyle w:val="Titrearticle"/>
        <w:rPr>
          <w:noProof/>
        </w:rPr>
      </w:pPr>
      <w:r w:rsidRPr="00A33550">
        <w:rPr>
          <w:noProof/>
        </w:rPr>
        <w:t>Artikkel 1</w:t>
      </w:r>
    </w:p>
    <w:p w:rsidR="001A62D7" w:rsidRPr="00A33550" w:rsidRDefault="001A62D7" w:rsidP="001A62D7">
      <w:pPr>
        <w:rPr>
          <w:noProof/>
        </w:rPr>
      </w:pPr>
      <w:r w:rsidRPr="00A33550">
        <w:rPr>
          <w:noProof/>
        </w:rPr>
        <w:t>Euroopa Liidu 2025. aasta üldeelarvest võetakse Globaliseerumisega Kohanemise Euroopa Fondi raames kulukohustuste ja maksete assigneeringutena kasutusele 8 526 322 eurot.</w:t>
      </w:r>
    </w:p>
    <w:p w:rsidR="001A62D7" w:rsidRPr="00A33550" w:rsidRDefault="001A62D7" w:rsidP="001A62D7">
      <w:pPr>
        <w:pStyle w:val="Titrearticle"/>
        <w:rPr>
          <w:noProof/>
        </w:rPr>
      </w:pPr>
      <w:r w:rsidRPr="00A33550">
        <w:rPr>
          <w:noProof/>
        </w:rPr>
        <w:t>Artikkel 2</w:t>
      </w:r>
    </w:p>
    <w:p w:rsidR="004C7EB7" w:rsidRPr="00A33550" w:rsidRDefault="003B3282" w:rsidP="003B3282">
      <w:pPr>
        <w:keepNext/>
        <w:keepLines/>
        <w:rPr>
          <w:noProof/>
        </w:rPr>
      </w:pPr>
      <w:r w:rsidRPr="00A33550">
        <w:rPr>
          <w:noProof/>
        </w:rPr>
        <w:t xml:space="preserve">Käesolev otsus jõustub selle </w:t>
      </w:r>
      <w:r w:rsidRPr="00A33550">
        <w:rPr>
          <w:i/>
          <w:noProof/>
        </w:rPr>
        <w:t>Euroopa Liidu Teatajas</w:t>
      </w:r>
      <w:r w:rsidRPr="00A33550">
        <w:rPr>
          <w:noProof/>
        </w:rPr>
        <w:t xml:space="preserve"> avaldamise päeval.</w:t>
      </w:r>
    </w:p>
    <w:p w:rsidR="003B3282" w:rsidRPr="00A33550" w:rsidRDefault="003B3282" w:rsidP="003B3282">
      <w:pPr>
        <w:keepNext/>
        <w:keepLines/>
        <w:rPr>
          <w:noProof/>
        </w:rPr>
      </w:pPr>
      <w:r w:rsidRPr="00A33550">
        <w:rPr>
          <w:noProof/>
        </w:rPr>
        <w:t xml:space="preserve">Seda kohaldatakse alates </w:t>
      </w:r>
      <w:r w:rsidRPr="00A33550">
        <w:rPr>
          <w:noProof/>
          <w:color w:val="FF0000"/>
        </w:rPr>
        <w:t>[vastuvõtmise kuupäev]</w:t>
      </w:r>
      <w:r w:rsidRPr="00A33550">
        <w:rPr>
          <w:rStyle w:val="FootnoteReference"/>
          <w:noProof/>
        </w:rPr>
        <w:footnoteReference w:customMarkFollows="1" w:id="27"/>
        <w:t>*</w:t>
      </w:r>
      <w:r w:rsidRPr="00A33550">
        <w:rPr>
          <w:noProof/>
        </w:rPr>
        <w:t>.</w:t>
      </w:r>
    </w:p>
    <w:p w:rsidR="001A62D7" w:rsidRPr="00A33550" w:rsidRDefault="00BE7BCE" w:rsidP="0006597A">
      <w:pPr>
        <w:pStyle w:val="Fait"/>
        <w:rPr>
          <w:noProof/>
        </w:rPr>
      </w:pPr>
      <w:r>
        <w:rPr>
          <w:noProof/>
        </w:rPr>
        <w:t>Brüssel,</w:t>
      </w:r>
    </w:p>
    <w:p w:rsidR="001A62D7" w:rsidRPr="00A33550" w:rsidRDefault="001A62D7" w:rsidP="0006597A">
      <w:pPr>
        <w:pStyle w:val="Institutionquisigne"/>
        <w:rPr>
          <w:noProof/>
        </w:rPr>
      </w:pPr>
      <w:r w:rsidRPr="00A33550">
        <w:rPr>
          <w:noProof/>
        </w:rPr>
        <w:t>Euroopa Parlamendi nimel</w:t>
      </w:r>
      <w:r w:rsidRPr="00A33550">
        <w:rPr>
          <w:noProof/>
        </w:rPr>
        <w:tab/>
        <w:t>Nõukogu nimel</w:t>
      </w:r>
    </w:p>
    <w:p w:rsidR="001A62D7" w:rsidRPr="00A33550" w:rsidRDefault="001A62D7" w:rsidP="001A62D7">
      <w:pPr>
        <w:pStyle w:val="Personnequisigne"/>
        <w:rPr>
          <w:noProof/>
        </w:rPr>
      </w:pPr>
      <w:r w:rsidRPr="00A33550">
        <w:rPr>
          <w:noProof/>
        </w:rPr>
        <w:t>president</w:t>
      </w:r>
      <w:r w:rsidRPr="00A33550">
        <w:rPr>
          <w:noProof/>
        </w:rPr>
        <w:tab/>
        <w:t>eesistuja</w:t>
      </w:r>
    </w:p>
    <w:sectPr w:rsidR="001A62D7" w:rsidRPr="00A33550" w:rsidSect="005C6C2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781" w:rsidRDefault="00525781" w:rsidP="001A62D7">
      <w:pPr>
        <w:spacing w:before="0" w:after="0"/>
      </w:pPr>
      <w:r>
        <w:separator/>
      </w:r>
    </w:p>
  </w:endnote>
  <w:endnote w:type="continuationSeparator" w:id="0">
    <w:p w:rsidR="00525781" w:rsidRDefault="00525781" w:rsidP="001A62D7">
      <w:pPr>
        <w:spacing w:before="0" w:after="0"/>
      </w:pPr>
      <w:r>
        <w:continuationSeparator/>
      </w:r>
    </w:p>
  </w:endnote>
  <w:endnote w:type="continuationNotice" w:id="1">
    <w:p w:rsidR="00525781" w:rsidRDefault="005257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28" w:rsidRPr="005C6C28" w:rsidRDefault="005C6C28" w:rsidP="005C6C28">
    <w:pPr>
      <w:pStyle w:val="Footer"/>
      <w:rPr>
        <w:rFonts w:ascii="Arial" w:hAnsi="Arial" w:cs="Arial"/>
        <w:b/>
        <w:sz w:val="48"/>
      </w:rPr>
    </w:pPr>
    <w:r w:rsidRPr="005C6C28">
      <w:rPr>
        <w:rFonts w:ascii="Arial" w:hAnsi="Arial" w:cs="Arial"/>
        <w:b/>
        <w:sz w:val="48"/>
      </w:rPr>
      <w:t>ET</w:t>
    </w:r>
    <w:r w:rsidRPr="005C6C28">
      <w:rPr>
        <w:rFonts w:ascii="Arial" w:hAnsi="Arial" w:cs="Arial"/>
        <w:b/>
        <w:sz w:val="48"/>
      </w:rPr>
      <w:tab/>
    </w:r>
    <w:r w:rsidRPr="005C6C28">
      <w:rPr>
        <w:rFonts w:ascii="Arial" w:hAnsi="Arial" w:cs="Arial"/>
        <w:b/>
        <w:sz w:val="48"/>
      </w:rPr>
      <w:tab/>
    </w:r>
    <w:r w:rsidRPr="005C6C28">
      <w:tab/>
    </w:r>
    <w:r w:rsidRPr="005C6C28">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28" w:rsidRPr="005C6C28" w:rsidRDefault="005C6C28" w:rsidP="005C6C28">
    <w:pPr>
      <w:pStyle w:val="Footer"/>
      <w:rPr>
        <w:rFonts w:ascii="Arial" w:hAnsi="Arial" w:cs="Arial"/>
        <w:b/>
        <w:sz w:val="48"/>
      </w:rPr>
    </w:pPr>
    <w:r w:rsidRPr="005C6C28">
      <w:rPr>
        <w:rFonts w:ascii="Arial" w:hAnsi="Arial" w:cs="Arial"/>
        <w:b/>
        <w:sz w:val="48"/>
      </w:rPr>
      <w:t>ET</w:t>
    </w:r>
    <w:r w:rsidRPr="005C6C28">
      <w:rPr>
        <w:rFonts w:ascii="Arial" w:hAnsi="Arial" w:cs="Arial"/>
        <w:b/>
        <w:sz w:val="48"/>
      </w:rPr>
      <w:tab/>
    </w:r>
    <w:r w:rsidRPr="005C6C28">
      <w:rPr>
        <w:rFonts w:ascii="Arial" w:hAnsi="Arial" w:cs="Arial"/>
        <w:b/>
        <w:sz w:val="48"/>
      </w:rPr>
      <w:tab/>
    </w:r>
    <w:r w:rsidRPr="005C6C28">
      <w:tab/>
    </w:r>
    <w:r w:rsidRPr="005C6C28">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28" w:rsidRDefault="005C6C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28" w:rsidRPr="005C6C28" w:rsidRDefault="005C6C28" w:rsidP="005C6C28">
    <w:pPr>
      <w:pStyle w:val="Footer"/>
      <w:rPr>
        <w:rFonts w:ascii="Arial" w:hAnsi="Arial" w:cs="Arial"/>
        <w:b/>
        <w:sz w:val="48"/>
      </w:rPr>
    </w:pPr>
    <w:r w:rsidRPr="005C6C28">
      <w:rPr>
        <w:rFonts w:ascii="Arial" w:hAnsi="Arial" w:cs="Arial"/>
        <w:b/>
        <w:sz w:val="48"/>
      </w:rPr>
      <w:t>ET</w:t>
    </w:r>
    <w:r w:rsidRPr="005C6C28">
      <w:rPr>
        <w:rFonts w:ascii="Arial" w:hAnsi="Arial" w:cs="Arial"/>
        <w:b/>
        <w:sz w:val="48"/>
      </w:rPr>
      <w:tab/>
    </w:r>
    <w:r>
      <w:fldChar w:fldCharType="begin"/>
    </w:r>
    <w:r>
      <w:instrText xml:space="preserve"> PAGE  \* MERGEFORMAT </w:instrText>
    </w:r>
    <w:r>
      <w:fldChar w:fldCharType="separate"/>
    </w:r>
    <w:r w:rsidR="0006597A">
      <w:rPr>
        <w:noProof/>
      </w:rPr>
      <w:t>13</w:t>
    </w:r>
    <w:r>
      <w:fldChar w:fldCharType="end"/>
    </w:r>
    <w:r>
      <w:tab/>
    </w:r>
    <w:r w:rsidRPr="005C6C28">
      <w:tab/>
    </w:r>
    <w:r w:rsidRPr="005C6C28">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28" w:rsidRDefault="005C6C28" w:rsidP="005C6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781" w:rsidRDefault="00525781" w:rsidP="001A62D7">
      <w:pPr>
        <w:spacing w:before="0" w:after="0"/>
      </w:pPr>
      <w:r>
        <w:separator/>
      </w:r>
    </w:p>
  </w:footnote>
  <w:footnote w:type="continuationSeparator" w:id="0">
    <w:p w:rsidR="00525781" w:rsidRDefault="00525781" w:rsidP="001A62D7">
      <w:pPr>
        <w:spacing w:before="0" w:after="0"/>
      </w:pPr>
      <w:r>
        <w:continuationSeparator/>
      </w:r>
    </w:p>
  </w:footnote>
  <w:footnote w:type="continuationNotice" w:id="1">
    <w:p w:rsidR="00525781" w:rsidRDefault="00525781">
      <w:pPr>
        <w:spacing w:before="0" w:after="0"/>
      </w:pPr>
    </w:p>
  </w:footnote>
  <w:footnote w:id="2">
    <w:p w:rsidR="001A62D7" w:rsidRPr="00BE109D" w:rsidRDefault="001A62D7" w:rsidP="001A62D7">
      <w:pPr>
        <w:pStyle w:val="FootnoteText"/>
      </w:pPr>
      <w:r>
        <w:rPr>
          <w:rStyle w:val="FootnoteReference"/>
        </w:rPr>
        <w:footnoteRef/>
      </w:r>
      <w:r>
        <w:tab/>
        <w:t>ELT L 153, 3.5.2021, lk 48.</w:t>
      </w:r>
    </w:p>
  </w:footnote>
  <w:footnote w:id="3">
    <w:p w:rsidR="001A62D7" w:rsidRPr="002308DE" w:rsidRDefault="001A62D7" w:rsidP="001A62D7">
      <w:pPr>
        <w:pStyle w:val="FootnoteText"/>
      </w:pPr>
      <w:r>
        <w:rPr>
          <w:rStyle w:val="FootnoteReference"/>
        </w:rPr>
        <w:footnoteRef/>
      </w:r>
      <w:r>
        <w:tab/>
        <w:t>Komisjoni 8. augusti 2019. aasta delegeeritud määrus (EL) 2019/1755, millega muudetakse Euroopa Parlamendi ja nõukogu määruse (EÜ) nr 1059/2003 (millega kehtestatakse ühine statistiliste territoriaalüksuste liigitus (NUTS)) lisasid (ELT L 270, 24.10.2019, lk 1–56).</w:t>
      </w:r>
    </w:p>
  </w:footnote>
  <w:footnote w:id="4">
    <w:p w:rsidR="00C544BB" w:rsidRPr="00A2538E" w:rsidRDefault="00C544BB">
      <w:pPr>
        <w:pStyle w:val="FootnoteText"/>
      </w:pPr>
      <w:r>
        <w:rPr>
          <w:rStyle w:val="FootnoteReference"/>
        </w:rPr>
        <w:footnoteRef/>
      </w:r>
      <w:r>
        <w:tab/>
        <w:t>See arv hõlmab ka väljaspool vaatlusperioodi toimunud koondamisi Northvoltis (sh tema tütarettevõtjate juures) ning Adecco Sweden AB, Away Group AB, Dongjin Sweden AB, Falck Sverige AB, Kubli Bod AB, Randstad AB, Sodexo AB ja Uggla Engineering Sweden AB juures.</w:t>
      </w:r>
    </w:p>
  </w:footnote>
  <w:footnote w:id="5">
    <w:p w:rsidR="001A62D7" w:rsidRPr="00A50D50" w:rsidRDefault="001A62D7" w:rsidP="001A62D7">
      <w:pPr>
        <w:pStyle w:val="FootnoteText"/>
      </w:pPr>
      <w:r>
        <w:rPr>
          <w:rStyle w:val="FootnoteReference"/>
        </w:rPr>
        <w:footnoteRef/>
      </w:r>
      <w:r>
        <w:tab/>
        <w:t>ELT L 393, 30.12.2006, lk 1.</w:t>
      </w:r>
    </w:p>
  </w:footnote>
  <w:footnote w:id="6">
    <w:p w:rsidR="00173B4E" w:rsidRPr="00173B4E" w:rsidRDefault="00173B4E">
      <w:pPr>
        <w:pStyle w:val="FootnoteText"/>
      </w:pPr>
      <w:r>
        <w:rPr>
          <w:rStyle w:val="FootnoteReference"/>
        </w:rPr>
        <w:footnoteRef/>
      </w:r>
      <w:r>
        <w:tab/>
        <w:t>See arv on seotud vaatlusperioodi jooksul toimunud koondamistega.</w:t>
      </w:r>
    </w:p>
  </w:footnote>
  <w:footnote w:id="7">
    <w:p w:rsidR="00A15112" w:rsidRPr="00A50D50" w:rsidRDefault="00A15112" w:rsidP="001A62D7">
      <w:pPr>
        <w:pStyle w:val="FootnoteText"/>
      </w:pPr>
      <w:r>
        <w:rPr>
          <w:rStyle w:val="FootnoteReference"/>
        </w:rPr>
        <w:footnoteRef/>
      </w:r>
      <w:r>
        <w:tab/>
        <w:t>Vastavalt määruse (EL) 2021/691 artikli 7 lõikele 5.</w:t>
      </w:r>
    </w:p>
  </w:footnote>
  <w:footnote w:id="8">
    <w:p w:rsidR="00CD68E2" w:rsidRDefault="00CD68E2">
      <w:pPr>
        <w:pStyle w:val="FootnoteText"/>
      </w:pPr>
      <w:r>
        <w:rPr>
          <w:rStyle w:val="FootnoteReference"/>
        </w:rPr>
        <w:footnoteRef/>
      </w:r>
      <w:r>
        <w:tab/>
        <w:t>Novo Energy Production AB, Novo Energy R&amp;D AB ja Novo Energy AB asutati ettevõtjate Northvolt ja Volvo Cars ühisettevõtetena. 2025. aasta alguses omandas Volvo Cars kõik aktsiad, et olla nende ettevõtete ainuomanik.</w:t>
      </w:r>
    </w:p>
  </w:footnote>
  <w:footnote w:id="9">
    <w:p w:rsidR="00A266B0" w:rsidRPr="00A266B0" w:rsidRDefault="00A266B0">
      <w:pPr>
        <w:pStyle w:val="FootnoteText"/>
      </w:pPr>
      <w:r>
        <w:rPr>
          <w:rStyle w:val="FootnoteReference"/>
        </w:rPr>
        <w:footnoteRef/>
      </w:r>
      <w:r>
        <w:tab/>
        <w:t>Põhiettevõtja Northvolt, sealhulgas tütarettevõtjad ja kaheksa alltöövõtjat, tarnijat ja tootmisahela järgmise etapi tootjat.</w:t>
      </w:r>
    </w:p>
  </w:footnote>
  <w:footnote w:id="10">
    <w:p w:rsidR="001A62D7" w:rsidRPr="00A63605" w:rsidRDefault="001A62D7" w:rsidP="001A62D7">
      <w:pPr>
        <w:pStyle w:val="FootnoteText"/>
      </w:pPr>
      <w:r>
        <w:rPr>
          <w:rStyle w:val="FootnoteReference"/>
        </w:rPr>
        <w:footnoteRef/>
      </w:r>
      <w:r>
        <w:tab/>
        <w:t>Nõukogu 20. juuli 1998. aasta direktiiv 98/59/EÜ kollektiivseid koondamisi käsitlevate liikmesriikide õigusaktide ühtlustamise kohta (EÜT L 225, 12.8.1998, lk 16).</w:t>
      </w:r>
    </w:p>
  </w:footnote>
  <w:footnote w:id="11">
    <w:p w:rsidR="009A30CC" w:rsidRPr="002F19DB" w:rsidRDefault="009A30CC">
      <w:pPr>
        <w:pStyle w:val="FootnoteText"/>
      </w:pPr>
      <w:r>
        <w:rPr>
          <w:rStyle w:val="FootnoteReference"/>
        </w:rPr>
        <w:footnoteRef/>
      </w:r>
      <w:r>
        <w:tab/>
        <w:t>TRR (Trygghetsrådet) toetab ametnikke ja TSL (Trygghetsfonden) lihttöölisi.</w:t>
      </w:r>
    </w:p>
  </w:footnote>
  <w:footnote w:id="12">
    <w:p w:rsidR="001A62D7" w:rsidRPr="00A31F0E" w:rsidRDefault="001A62D7" w:rsidP="001A62D7">
      <w:pPr>
        <w:pStyle w:val="FootnoteText"/>
      </w:pPr>
      <w:r>
        <w:rPr>
          <w:rStyle w:val="FootnoteReference"/>
        </w:rPr>
        <w:footnoteRef/>
      </w:r>
      <w:r>
        <w:tab/>
        <w:t>ISCED 0–2</w:t>
      </w:r>
    </w:p>
  </w:footnote>
  <w:footnote w:id="13">
    <w:p w:rsidR="001A62D7" w:rsidRPr="00A31F0E" w:rsidRDefault="001A62D7" w:rsidP="001A62D7">
      <w:pPr>
        <w:pStyle w:val="FootnoteText"/>
      </w:pPr>
      <w:r>
        <w:rPr>
          <w:rStyle w:val="FootnoteReference"/>
        </w:rPr>
        <w:footnoteRef/>
      </w:r>
      <w:r>
        <w:tab/>
        <w:t>ISCED 3</w:t>
      </w:r>
    </w:p>
  </w:footnote>
  <w:footnote w:id="14">
    <w:p w:rsidR="001A62D7" w:rsidRPr="00A31F0E" w:rsidRDefault="001A62D7" w:rsidP="001A62D7">
      <w:pPr>
        <w:pStyle w:val="FootnoteText"/>
      </w:pPr>
      <w:r>
        <w:rPr>
          <w:rStyle w:val="FootnoteReference"/>
        </w:rPr>
        <w:footnoteRef/>
      </w:r>
      <w:r>
        <w:tab/>
        <w:t>ISCED 4</w:t>
      </w:r>
    </w:p>
  </w:footnote>
  <w:footnote w:id="15">
    <w:p w:rsidR="001A62D7" w:rsidRPr="00A31F0E" w:rsidRDefault="001A62D7" w:rsidP="001A62D7">
      <w:pPr>
        <w:pStyle w:val="FootnoteText"/>
      </w:pPr>
      <w:r>
        <w:rPr>
          <w:rStyle w:val="FootnoteReference"/>
        </w:rPr>
        <w:footnoteRef/>
      </w:r>
      <w:r>
        <w:tab/>
        <w:t>ISCED 5–8</w:t>
      </w:r>
    </w:p>
  </w:footnote>
  <w:footnote w:id="16">
    <w:p w:rsidR="000116B2" w:rsidRPr="000116B2" w:rsidRDefault="000116B2">
      <w:pPr>
        <w:pStyle w:val="FootnoteText"/>
      </w:pPr>
      <w:r>
        <w:rPr>
          <w:rStyle w:val="FootnoteReference"/>
        </w:rPr>
        <w:footnoteRef/>
      </w:r>
      <w:r>
        <w:tab/>
        <w:t>Kursuse sisu näiteks on programmeeritav loogikakontroll (PLC), tööstuse automatiseerimine, digitaalne tootmise juhtimine, energiatõhus tehnoloogia ja põhiprogrammeerimine.</w:t>
      </w:r>
    </w:p>
  </w:footnote>
  <w:footnote w:id="17">
    <w:p w:rsidR="001A62D7" w:rsidRPr="00AB0B03" w:rsidRDefault="001A62D7" w:rsidP="001A62D7">
      <w:pPr>
        <w:pStyle w:val="FootnoteText"/>
      </w:pPr>
      <w:r>
        <w:rPr>
          <w:rStyle w:val="FootnoteReference"/>
        </w:rPr>
        <w:footnoteRef/>
      </w:r>
      <w:r>
        <w:tab/>
        <w:t>Kümnendkohtade vältimiseks on hinnangulised kulud ühe töötaja kohta ümardatud. Ümardamine ei mõjuta siiski iga meetme kogumaksumust, mis jääb selliseks nagu Rootsi esitatud taotluses.</w:t>
      </w:r>
    </w:p>
  </w:footnote>
  <w:footnote w:id="18">
    <w:p w:rsidR="001A62D7" w:rsidRPr="002060F6" w:rsidRDefault="001A62D7" w:rsidP="001A62D7">
      <w:pPr>
        <w:pStyle w:val="FootnoteText"/>
      </w:pPr>
      <w:r>
        <w:rPr>
          <w:rStyle w:val="FootnoteReference"/>
        </w:rPr>
        <w:footnoteRef/>
      </w:r>
      <w:r>
        <w:tab/>
        <w:t>Ümardamise tõttu ei ole kogusumma päris täpne.</w:t>
      </w:r>
    </w:p>
  </w:footnote>
  <w:footnote w:id="19">
    <w:p w:rsidR="001A62D7" w:rsidRDefault="001A62D7" w:rsidP="001A62D7">
      <w:pPr>
        <w:pStyle w:val="FootnoteText"/>
      </w:pPr>
      <w:r>
        <w:rPr>
          <w:rStyle w:val="FootnoteReference"/>
        </w:rPr>
        <w:footnoteRef/>
      </w:r>
      <w:r>
        <w:tab/>
        <w:t>ELT L 433 I, 22.12.2020, lk 11.</w:t>
      </w:r>
    </w:p>
  </w:footnote>
  <w:footnote w:id="20">
    <w:p w:rsidR="001A62D7" w:rsidRPr="00B54269" w:rsidRDefault="001A62D7" w:rsidP="001A62D7">
      <w:pPr>
        <w:pStyle w:val="FootnoteText"/>
      </w:pPr>
      <w:r>
        <w:rPr>
          <w:rStyle w:val="FootnoteReference"/>
        </w:rPr>
        <w:footnoteRef/>
      </w:r>
      <w:r>
        <w:tab/>
        <w:t>ELT L, 2024/765, 29.2.2024.</w:t>
      </w:r>
    </w:p>
  </w:footnote>
  <w:footnote w:id="21">
    <w:p w:rsidR="001A62D7" w:rsidRDefault="001A62D7" w:rsidP="001A62D7">
      <w:pPr>
        <w:pStyle w:val="FootnoteText"/>
      </w:pPr>
      <w:r>
        <w:rPr>
          <w:rStyle w:val="FootnoteReference"/>
        </w:rPr>
        <w:footnoteRef/>
      </w:r>
      <w:r>
        <w:tab/>
        <w:t>ELT L 433 I, 22.12.2020, lk 28.</w:t>
      </w:r>
    </w:p>
  </w:footnote>
  <w:footnote w:id="22">
    <w:p w:rsidR="001A62D7" w:rsidRPr="00E76684" w:rsidRDefault="001A62D7" w:rsidP="001A62D7">
      <w:pPr>
        <w:pStyle w:val="FootnoteText"/>
      </w:pPr>
      <w:r>
        <w:rPr>
          <w:rStyle w:val="FootnoteReference"/>
        </w:rPr>
        <w:footnoteRef/>
      </w:r>
      <w:r>
        <w:tab/>
        <w:t>Euroopa Parlamendi ja nõukogu 23. septembri 2024. aasta määrus (EL, Euratom) 2024/2509, mis käsitleb liidu üldeelarve suhtes kohaldatavaid finantsreegleid (uuesti sõnastatud) (ELT L 2024/2509, 26.9.2024).</w:t>
      </w:r>
    </w:p>
  </w:footnote>
  <w:footnote w:id="23">
    <w:p w:rsidR="001A62D7" w:rsidRDefault="001A62D7" w:rsidP="001A62D7">
      <w:pPr>
        <w:pStyle w:val="FootnoteText"/>
      </w:pPr>
      <w:r>
        <w:rPr>
          <w:rStyle w:val="FootnoteReference"/>
        </w:rPr>
        <w:footnoteRef/>
      </w:r>
      <w:r>
        <w:tab/>
        <w:t>EL</w:t>
      </w:r>
      <w:r w:rsidR="003E72FB">
        <w:t>T</w:t>
      </w:r>
      <w:r>
        <w:t xml:space="preserve"> L 153, 3.5.2021, lk 48, ELI: http://data.europa.eu/eli/reg/2021/691/oj.</w:t>
      </w:r>
    </w:p>
  </w:footnote>
  <w:footnote w:id="24">
    <w:p w:rsidR="001A62D7" w:rsidRPr="002A5EB9" w:rsidRDefault="001A62D7" w:rsidP="001A62D7">
      <w:pPr>
        <w:pStyle w:val="FootnoteText"/>
      </w:pPr>
      <w:r>
        <w:rPr>
          <w:rStyle w:val="FootnoteReference"/>
        </w:rPr>
        <w:footnoteRef/>
      </w:r>
      <w:r>
        <w:tab/>
        <w:t>ELT L 433 I, 22.12.2020, lk 28, ELI: https://data.europa.eu/eli/agree_interinstit/2020/1222/oj.</w:t>
      </w:r>
    </w:p>
  </w:footnote>
  <w:footnote w:id="25">
    <w:p w:rsidR="001A62D7" w:rsidRPr="009F7C73" w:rsidRDefault="001A62D7" w:rsidP="001A62D7">
      <w:pPr>
        <w:pStyle w:val="FootnoteText"/>
      </w:pPr>
      <w:r>
        <w:rPr>
          <w:rStyle w:val="FootnoteReference"/>
        </w:rPr>
        <w:footnoteRef/>
      </w:r>
      <w:r>
        <w:tab/>
        <w:t>Nõukogu 17. detsembri 2020. aasta määrus (EL, Euratom) 2020/2093, millega määratakse kindlaks mitmeaastane finantsraamistik aastateks 2021–2027 (ELT L 433 I, 22.12.2020, lk 11, ELI: http://data.europa.eu/eli/reg/2020/2093/oj).</w:t>
      </w:r>
    </w:p>
  </w:footnote>
  <w:footnote w:id="26">
    <w:p w:rsidR="001A62D7" w:rsidRPr="003450D2" w:rsidRDefault="001A62D7" w:rsidP="001A62D7">
      <w:pPr>
        <w:pStyle w:val="FootnoteText"/>
      </w:pPr>
      <w:r>
        <w:rPr>
          <w:rStyle w:val="FootnoteReference"/>
        </w:rPr>
        <w:footnoteRef/>
      </w:r>
      <w:r>
        <w:tab/>
        <w:t>COM(2025) 621 final.</w:t>
      </w:r>
    </w:p>
  </w:footnote>
  <w:footnote w:id="27">
    <w:p w:rsidR="003B3282" w:rsidRPr="00DE46A1" w:rsidRDefault="003B3282" w:rsidP="003B3282">
      <w:pPr>
        <w:pStyle w:val="FootnoteText"/>
      </w:pPr>
      <w:r>
        <w:rPr>
          <w:rStyle w:val="FootnoteReference"/>
        </w:rPr>
        <w:t>*</w:t>
      </w:r>
      <w:r>
        <w:tab/>
      </w:r>
      <w:r>
        <w:rPr>
          <w:color w:val="FF0000"/>
        </w:rPr>
        <w:t>Kuupäeva lisab Euroopa Parlament enne ELTs avaldamist.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28" w:rsidRDefault="005C6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28" w:rsidRDefault="005C6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num>
  <w:num w:numId="19">
    <w:abstractNumId w:val="12"/>
    <w:lvlOverride w:ilvl="0">
      <w:startOverride w:val="1"/>
    </w:lvlOverride>
  </w:num>
  <w:num w:numId="20">
    <w:abstractNumId w:val="23"/>
  </w:num>
  <w:num w:numId="21">
    <w:abstractNumId w:val="12"/>
  </w:num>
  <w:num w:numId="22">
    <w:abstractNumId w:val="26"/>
  </w:num>
  <w:num w:numId="23">
    <w:abstractNumId w:val="6"/>
  </w:num>
  <w:num w:numId="24">
    <w:abstractNumId w:val="13"/>
  </w:num>
  <w:num w:numId="25">
    <w:abstractNumId w:val="14"/>
  </w:num>
  <w:num w:numId="26">
    <w:abstractNumId w:val="4"/>
  </w:num>
  <w:num w:numId="27">
    <w:abstractNumId w:val="25"/>
  </w:num>
  <w:num w:numId="28">
    <w:abstractNumId w:val="3"/>
  </w:num>
  <w:num w:numId="29">
    <w:abstractNumId w:val="15"/>
  </w:num>
  <w:num w:numId="30">
    <w:abstractNumId w:val="21"/>
  </w:num>
  <w:num w:numId="31">
    <w:abstractNumId w:val="22"/>
  </w:num>
  <w:num w:numId="32">
    <w:abstractNumId w:val="5"/>
  </w:num>
  <w:num w:numId="33">
    <w:abstractNumId w:val="19"/>
  </w:num>
  <w:num w:numId="3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ocumentProtection w:edit="forms"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0-21 07:55: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8CC5C66-1D9C-489E-A968-1D466DE9EEB9"/>
    <w:docVar w:name="LW_COVERPAGE_TYPE" w:val="1"/>
    <w:docVar w:name="LW_CreatedUtc" w:val="2025-02-03T12:09:04.7855178Z"/>
    <w:docVar w:name="LW_CROSSREFERENCE" w:val="&lt;UNUSED&gt;"/>
    <w:docVar w:name="LW_DocType" w:val="COM"/>
    <w:docVar w:name="LW_EMISSION" w:val="28.10.2025"/>
    <w:docVar w:name="LW_EMISSION_ISODATE" w:val="2025-10-28"/>
    <w:docVar w:name="LW_EMISSION_LOCATION" w:val="BRX"/>
    <w:docVar w:name="LW_EMISSION_PREFIX" w:val="Brüssel,"/>
    <w:docVar w:name="LW_EMISSION_SUFFIX" w:val=" "/>
    <w:docVar w:name="LW_ID_DOCMODEL" w:val="SJ-026"/>
    <w:docVar w:name="LW_ID_DOCSIGNATURE" w:val="SJ-026"/>
    <w:docVar w:name="LW_ID_DOCSTRUCTURE" w:val="COM/PL/ORG"/>
    <w:docVar w:name="LW_ID_DOCTYPE" w:val="SJ-026"/>
    <w:docVar w:name="LW_ID_STATUT" w:val="SJ-026"/>
    <w:docVar w:name="LW_INSERT_EXP.MOTIFS.NEW" w:val="1"/>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BUD"/>
    <w:docVar w:name="LW_REF.II.NEW.CP_NUMBER" w:val="0326"/>
    <w:docVar w:name="LW_REF.II.NEW.CP_YEAR" w:val="2025"/>
    <w:docVar w:name="LW_REF.INST.NEW" w:val="COM"/>
    <w:docVar w:name="LW_REF.INST.NEW_ADOPTED" w:val="final"/>
    <w:docVar w:name="LW_REF.INST.NEW_TEXT" w:val="(2025) 62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koondatud töötajate toetuseks loodud Globaliseerumisega Kohanemise Euroopa Fondi vahendite kasutuselevõtmise kohta (Rootsi taotlus \u8211? EGF/2025/003 SE/Northvolt)"/>
    <w:docVar w:name="LW_TYPE.DOC.CP" w:val="EUROOPA PARLAMENDI JA NÕUKOGU OTSUS"/>
    <w:docVar w:name="LwApiVersions" w:val="LW4CoDe 1.24.5.0; LW 9.0, Build 20240221"/>
  </w:docVars>
  <w:rsids>
    <w:rsidRoot w:val="001A62D7"/>
    <w:rsid w:val="000116B2"/>
    <w:rsid w:val="00011FAA"/>
    <w:rsid w:val="00017FE4"/>
    <w:rsid w:val="0002182E"/>
    <w:rsid w:val="00032828"/>
    <w:rsid w:val="00036588"/>
    <w:rsid w:val="00046DD1"/>
    <w:rsid w:val="00052CC7"/>
    <w:rsid w:val="00055197"/>
    <w:rsid w:val="00060301"/>
    <w:rsid w:val="0006597A"/>
    <w:rsid w:val="00072FCD"/>
    <w:rsid w:val="0007300A"/>
    <w:rsid w:val="00074062"/>
    <w:rsid w:val="000742F0"/>
    <w:rsid w:val="00075527"/>
    <w:rsid w:val="00076673"/>
    <w:rsid w:val="00085412"/>
    <w:rsid w:val="000B5FD2"/>
    <w:rsid w:val="000C1B4E"/>
    <w:rsid w:val="000C31DE"/>
    <w:rsid w:val="000C4C86"/>
    <w:rsid w:val="000D23C5"/>
    <w:rsid w:val="000D50D2"/>
    <w:rsid w:val="000F478D"/>
    <w:rsid w:val="001065F5"/>
    <w:rsid w:val="00115DA9"/>
    <w:rsid w:val="00122513"/>
    <w:rsid w:val="00122636"/>
    <w:rsid w:val="001238EF"/>
    <w:rsid w:val="00125374"/>
    <w:rsid w:val="0014379F"/>
    <w:rsid w:val="0014588D"/>
    <w:rsid w:val="00146D64"/>
    <w:rsid w:val="00154BDB"/>
    <w:rsid w:val="00163694"/>
    <w:rsid w:val="001649FF"/>
    <w:rsid w:val="001677AF"/>
    <w:rsid w:val="00173B4E"/>
    <w:rsid w:val="00184853"/>
    <w:rsid w:val="00190119"/>
    <w:rsid w:val="00195A16"/>
    <w:rsid w:val="00197613"/>
    <w:rsid w:val="001A1FB5"/>
    <w:rsid w:val="001A62D7"/>
    <w:rsid w:val="001B2035"/>
    <w:rsid w:val="001C0583"/>
    <w:rsid w:val="001C0B35"/>
    <w:rsid w:val="001D14BF"/>
    <w:rsid w:val="001E0E0E"/>
    <w:rsid w:val="001E58B5"/>
    <w:rsid w:val="001F0EAF"/>
    <w:rsid w:val="001F1E43"/>
    <w:rsid w:val="002040F4"/>
    <w:rsid w:val="002043D9"/>
    <w:rsid w:val="00204BD8"/>
    <w:rsid w:val="00205A09"/>
    <w:rsid w:val="00207EE3"/>
    <w:rsid w:val="00223229"/>
    <w:rsid w:val="00225C0F"/>
    <w:rsid w:val="00233DC7"/>
    <w:rsid w:val="00236714"/>
    <w:rsid w:val="00236B80"/>
    <w:rsid w:val="002421CF"/>
    <w:rsid w:val="00244058"/>
    <w:rsid w:val="00247779"/>
    <w:rsid w:val="00251AC8"/>
    <w:rsid w:val="002542CD"/>
    <w:rsid w:val="002551A0"/>
    <w:rsid w:val="00273D96"/>
    <w:rsid w:val="00284C33"/>
    <w:rsid w:val="00285BEE"/>
    <w:rsid w:val="00292432"/>
    <w:rsid w:val="00292E4F"/>
    <w:rsid w:val="0029533F"/>
    <w:rsid w:val="002A0F0F"/>
    <w:rsid w:val="002A1949"/>
    <w:rsid w:val="002A5EB9"/>
    <w:rsid w:val="002A6E3A"/>
    <w:rsid w:val="002B30AF"/>
    <w:rsid w:val="002E7BDD"/>
    <w:rsid w:val="002F19B6"/>
    <w:rsid w:val="002F19DB"/>
    <w:rsid w:val="002F1D82"/>
    <w:rsid w:val="002F2BA1"/>
    <w:rsid w:val="002F6199"/>
    <w:rsid w:val="00307EA7"/>
    <w:rsid w:val="0032003A"/>
    <w:rsid w:val="003217C2"/>
    <w:rsid w:val="00332FFC"/>
    <w:rsid w:val="0033344A"/>
    <w:rsid w:val="00344742"/>
    <w:rsid w:val="003450D2"/>
    <w:rsid w:val="00354072"/>
    <w:rsid w:val="00367C53"/>
    <w:rsid w:val="00372266"/>
    <w:rsid w:val="0037267F"/>
    <w:rsid w:val="00390472"/>
    <w:rsid w:val="00397ECC"/>
    <w:rsid w:val="003B3282"/>
    <w:rsid w:val="003B714B"/>
    <w:rsid w:val="003B7ACC"/>
    <w:rsid w:val="003D21D1"/>
    <w:rsid w:val="003D2D76"/>
    <w:rsid w:val="003D67C5"/>
    <w:rsid w:val="003E72FB"/>
    <w:rsid w:val="003F28E6"/>
    <w:rsid w:val="0040751B"/>
    <w:rsid w:val="00411996"/>
    <w:rsid w:val="00420E8F"/>
    <w:rsid w:val="0042648E"/>
    <w:rsid w:val="00453B4B"/>
    <w:rsid w:val="0045598D"/>
    <w:rsid w:val="00460E55"/>
    <w:rsid w:val="004637B4"/>
    <w:rsid w:val="004770B9"/>
    <w:rsid w:val="00477A78"/>
    <w:rsid w:val="00485FD5"/>
    <w:rsid w:val="00487C31"/>
    <w:rsid w:val="00492B11"/>
    <w:rsid w:val="00492C18"/>
    <w:rsid w:val="004936D2"/>
    <w:rsid w:val="004A0D86"/>
    <w:rsid w:val="004A1A0C"/>
    <w:rsid w:val="004A4D38"/>
    <w:rsid w:val="004B0EDF"/>
    <w:rsid w:val="004C1A95"/>
    <w:rsid w:val="004C7EB7"/>
    <w:rsid w:val="004D7664"/>
    <w:rsid w:val="004E5E99"/>
    <w:rsid w:val="004E7555"/>
    <w:rsid w:val="004F7E04"/>
    <w:rsid w:val="005034DE"/>
    <w:rsid w:val="00503F05"/>
    <w:rsid w:val="00505D97"/>
    <w:rsid w:val="0050750F"/>
    <w:rsid w:val="00507CF1"/>
    <w:rsid w:val="00512F0B"/>
    <w:rsid w:val="00522400"/>
    <w:rsid w:val="00525781"/>
    <w:rsid w:val="00535EFE"/>
    <w:rsid w:val="00544F4A"/>
    <w:rsid w:val="00545F7C"/>
    <w:rsid w:val="00562857"/>
    <w:rsid w:val="00563DDC"/>
    <w:rsid w:val="00575EF4"/>
    <w:rsid w:val="005822AE"/>
    <w:rsid w:val="005832F1"/>
    <w:rsid w:val="00594460"/>
    <w:rsid w:val="00594A81"/>
    <w:rsid w:val="0059613B"/>
    <w:rsid w:val="00596802"/>
    <w:rsid w:val="005B1EB6"/>
    <w:rsid w:val="005B3966"/>
    <w:rsid w:val="005C1CAA"/>
    <w:rsid w:val="005C6C28"/>
    <w:rsid w:val="005D1C91"/>
    <w:rsid w:val="005D1DC5"/>
    <w:rsid w:val="005E047F"/>
    <w:rsid w:val="00604AFD"/>
    <w:rsid w:val="006202DD"/>
    <w:rsid w:val="0063151F"/>
    <w:rsid w:val="0063549B"/>
    <w:rsid w:val="00641E6E"/>
    <w:rsid w:val="00641F01"/>
    <w:rsid w:val="0065207F"/>
    <w:rsid w:val="00655797"/>
    <w:rsid w:val="00661A41"/>
    <w:rsid w:val="0068352B"/>
    <w:rsid w:val="00684A50"/>
    <w:rsid w:val="00693169"/>
    <w:rsid w:val="006B665D"/>
    <w:rsid w:val="006B7B84"/>
    <w:rsid w:val="006C5784"/>
    <w:rsid w:val="006E0159"/>
    <w:rsid w:val="006E1B4D"/>
    <w:rsid w:val="006E6A33"/>
    <w:rsid w:val="006F4354"/>
    <w:rsid w:val="00705EEC"/>
    <w:rsid w:val="007216F5"/>
    <w:rsid w:val="00725CAD"/>
    <w:rsid w:val="00731699"/>
    <w:rsid w:val="00737AEC"/>
    <w:rsid w:val="007479C9"/>
    <w:rsid w:val="00750B0E"/>
    <w:rsid w:val="00751A96"/>
    <w:rsid w:val="00755591"/>
    <w:rsid w:val="0076025E"/>
    <w:rsid w:val="007669B9"/>
    <w:rsid w:val="0076760B"/>
    <w:rsid w:val="00770D8E"/>
    <w:rsid w:val="00773331"/>
    <w:rsid w:val="00776384"/>
    <w:rsid w:val="007926EA"/>
    <w:rsid w:val="007932EF"/>
    <w:rsid w:val="007A15AA"/>
    <w:rsid w:val="007A3526"/>
    <w:rsid w:val="007B368A"/>
    <w:rsid w:val="007B69C6"/>
    <w:rsid w:val="007E05B0"/>
    <w:rsid w:val="007E6C4B"/>
    <w:rsid w:val="007F220E"/>
    <w:rsid w:val="007F7E81"/>
    <w:rsid w:val="00802E39"/>
    <w:rsid w:val="00807CC2"/>
    <w:rsid w:val="008110C3"/>
    <w:rsid w:val="0082267A"/>
    <w:rsid w:val="0082480C"/>
    <w:rsid w:val="008305B1"/>
    <w:rsid w:val="008327DA"/>
    <w:rsid w:val="00842DE2"/>
    <w:rsid w:val="00842E8B"/>
    <w:rsid w:val="00857F0B"/>
    <w:rsid w:val="00860C85"/>
    <w:rsid w:val="008664AF"/>
    <w:rsid w:val="00874D22"/>
    <w:rsid w:val="00877CB9"/>
    <w:rsid w:val="00882186"/>
    <w:rsid w:val="00884DE5"/>
    <w:rsid w:val="008A2914"/>
    <w:rsid w:val="008B0D2D"/>
    <w:rsid w:val="008C2FFD"/>
    <w:rsid w:val="008C536F"/>
    <w:rsid w:val="008C6F8A"/>
    <w:rsid w:val="008D15CF"/>
    <w:rsid w:val="008D4A9A"/>
    <w:rsid w:val="008D6F9B"/>
    <w:rsid w:val="008E470D"/>
    <w:rsid w:val="008E4D8E"/>
    <w:rsid w:val="008E4FFB"/>
    <w:rsid w:val="0092072E"/>
    <w:rsid w:val="00923D6C"/>
    <w:rsid w:val="009243BF"/>
    <w:rsid w:val="00924AE9"/>
    <w:rsid w:val="00924C72"/>
    <w:rsid w:val="00932C87"/>
    <w:rsid w:val="00935AF6"/>
    <w:rsid w:val="00941A00"/>
    <w:rsid w:val="009460A3"/>
    <w:rsid w:val="00953D1D"/>
    <w:rsid w:val="00970A51"/>
    <w:rsid w:val="00984C11"/>
    <w:rsid w:val="00985A79"/>
    <w:rsid w:val="009869C5"/>
    <w:rsid w:val="00986E92"/>
    <w:rsid w:val="00987ED6"/>
    <w:rsid w:val="0099366A"/>
    <w:rsid w:val="009A30CC"/>
    <w:rsid w:val="009A31F2"/>
    <w:rsid w:val="009A42A0"/>
    <w:rsid w:val="009B1C62"/>
    <w:rsid w:val="009C3643"/>
    <w:rsid w:val="009D4644"/>
    <w:rsid w:val="009D6467"/>
    <w:rsid w:val="009F7C12"/>
    <w:rsid w:val="00A03141"/>
    <w:rsid w:val="00A15112"/>
    <w:rsid w:val="00A2538E"/>
    <w:rsid w:val="00A25E9A"/>
    <w:rsid w:val="00A266B0"/>
    <w:rsid w:val="00A33550"/>
    <w:rsid w:val="00A4040A"/>
    <w:rsid w:val="00A54313"/>
    <w:rsid w:val="00A62D73"/>
    <w:rsid w:val="00A6718F"/>
    <w:rsid w:val="00A70A08"/>
    <w:rsid w:val="00A76E74"/>
    <w:rsid w:val="00A84C88"/>
    <w:rsid w:val="00A851CA"/>
    <w:rsid w:val="00AA173A"/>
    <w:rsid w:val="00AB0B03"/>
    <w:rsid w:val="00AF3FB8"/>
    <w:rsid w:val="00AF62A9"/>
    <w:rsid w:val="00B05E28"/>
    <w:rsid w:val="00B06F7C"/>
    <w:rsid w:val="00B10AFB"/>
    <w:rsid w:val="00B4234D"/>
    <w:rsid w:val="00B42F67"/>
    <w:rsid w:val="00B6143B"/>
    <w:rsid w:val="00B620F9"/>
    <w:rsid w:val="00B822BC"/>
    <w:rsid w:val="00B82734"/>
    <w:rsid w:val="00B8630A"/>
    <w:rsid w:val="00B907AD"/>
    <w:rsid w:val="00BA761D"/>
    <w:rsid w:val="00BA782F"/>
    <w:rsid w:val="00BA7A26"/>
    <w:rsid w:val="00BB07B8"/>
    <w:rsid w:val="00BC3C6D"/>
    <w:rsid w:val="00BE7BCE"/>
    <w:rsid w:val="00C1093F"/>
    <w:rsid w:val="00C12301"/>
    <w:rsid w:val="00C26EB4"/>
    <w:rsid w:val="00C3113F"/>
    <w:rsid w:val="00C32628"/>
    <w:rsid w:val="00C40D78"/>
    <w:rsid w:val="00C416E0"/>
    <w:rsid w:val="00C453DE"/>
    <w:rsid w:val="00C47D38"/>
    <w:rsid w:val="00C544BB"/>
    <w:rsid w:val="00C54A62"/>
    <w:rsid w:val="00C67FF1"/>
    <w:rsid w:val="00C72EC9"/>
    <w:rsid w:val="00C735F6"/>
    <w:rsid w:val="00C90704"/>
    <w:rsid w:val="00CA01A7"/>
    <w:rsid w:val="00CA0C56"/>
    <w:rsid w:val="00CB54F9"/>
    <w:rsid w:val="00CC1120"/>
    <w:rsid w:val="00CC6902"/>
    <w:rsid w:val="00CC7952"/>
    <w:rsid w:val="00CD3D47"/>
    <w:rsid w:val="00CD4080"/>
    <w:rsid w:val="00CD68E2"/>
    <w:rsid w:val="00CE2FDF"/>
    <w:rsid w:val="00CE51C0"/>
    <w:rsid w:val="00CE7A55"/>
    <w:rsid w:val="00CF26FB"/>
    <w:rsid w:val="00D05015"/>
    <w:rsid w:val="00D06C35"/>
    <w:rsid w:val="00D20381"/>
    <w:rsid w:val="00D26078"/>
    <w:rsid w:val="00D32F50"/>
    <w:rsid w:val="00D34EE6"/>
    <w:rsid w:val="00D54F1D"/>
    <w:rsid w:val="00D66E5A"/>
    <w:rsid w:val="00D75662"/>
    <w:rsid w:val="00D765B3"/>
    <w:rsid w:val="00D95EE6"/>
    <w:rsid w:val="00DA1B88"/>
    <w:rsid w:val="00DA2E91"/>
    <w:rsid w:val="00DB6881"/>
    <w:rsid w:val="00DB74BA"/>
    <w:rsid w:val="00DC4B8B"/>
    <w:rsid w:val="00DD1BEB"/>
    <w:rsid w:val="00DD302E"/>
    <w:rsid w:val="00DE6C12"/>
    <w:rsid w:val="00E12FD6"/>
    <w:rsid w:val="00E224AE"/>
    <w:rsid w:val="00E3440A"/>
    <w:rsid w:val="00E4089C"/>
    <w:rsid w:val="00E41E17"/>
    <w:rsid w:val="00E4456D"/>
    <w:rsid w:val="00E601E5"/>
    <w:rsid w:val="00E73E28"/>
    <w:rsid w:val="00E8095D"/>
    <w:rsid w:val="00E9189A"/>
    <w:rsid w:val="00EA6275"/>
    <w:rsid w:val="00EB1A39"/>
    <w:rsid w:val="00EC1F6D"/>
    <w:rsid w:val="00EC6E4D"/>
    <w:rsid w:val="00ED5A00"/>
    <w:rsid w:val="00EF7B93"/>
    <w:rsid w:val="00F16CA0"/>
    <w:rsid w:val="00F36A9C"/>
    <w:rsid w:val="00F60385"/>
    <w:rsid w:val="00F63CFC"/>
    <w:rsid w:val="00F73B18"/>
    <w:rsid w:val="00F808A7"/>
    <w:rsid w:val="00F81DA2"/>
    <w:rsid w:val="00F852AC"/>
    <w:rsid w:val="00FC38F8"/>
    <w:rsid w:val="00FC72CB"/>
    <w:rsid w:val="00FD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69A94AA8-0223-42D5-91F6-91890698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1A62D7"/>
    <w:pPr>
      <w:numPr>
        <w:numId w:val="2"/>
      </w:numPr>
      <w:tabs>
        <w:tab w:val="num" w:pos="360"/>
      </w:tabs>
      <w:ind w:left="0" w:firstLine="0"/>
    </w:pPr>
    <w:rPr>
      <w:rFonts w:eastAsia="Times New Roman"/>
      <w:lang w:eastAsia="de-DE"/>
    </w:rPr>
  </w:style>
  <w:style w:type="paragraph" w:styleId="ListNumber">
    <w:name w:val="List Number"/>
    <w:basedOn w:val="Normal"/>
    <w:uiPriority w:val="99"/>
    <w:rsid w:val="001A62D7"/>
    <w:pPr>
      <w:numPr>
        <w:numId w:val="6"/>
      </w:numPr>
    </w:pPr>
    <w:rPr>
      <w:rFonts w:eastAsia="Times New Roman"/>
      <w:lang w:eastAsia="de-DE"/>
    </w:rPr>
  </w:style>
  <w:style w:type="paragraph" w:customStyle="1" w:styleId="ListBullet1">
    <w:name w:val="List Bullet 1"/>
    <w:basedOn w:val="Normal"/>
    <w:rsid w:val="001A62D7"/>
    <w:pPr>
      <w:numPr>
        <w:numId w:val="1"/>
      </w:numPr>
    </w:pPr>
    <w:rPr>
      <w:rFonts w:eastAsia="Times New Roman"/>
      <w:lang w:eastAsia="de-DE"/>
    </w:rPr>
  </w:style>
  <w:style w:type="paragraph" w:customStyle="1" w:styleId="ListDash">
    <w:name w:val="List Dash"/>
    <w:basedOn w:val="Normal"/>
    <w:rsid w:val="001A62D7"/>
    <w:pPr>
      <w:numPr>
        <w:numId w:val="3"/>
      </w:numPr>
    </w:pPr>
    <w:rPr>
      <w:rFonts w:eastAsia="Times New Roman"/>
      <w:lang w:eastAsia="de-DE"/>
    </w:rPr>
  </w:style>
  <w:style w:type="paragraph" w:customStyle="1" w:styleId="ListDash1">
    <w:name w:val="List Dash 1"/>
    <w:basedOn w:val="Normal"/>
    <w:rsid w:val="001A62D7"/>
    <w:pPr>
      <w:numPr>
        <w:numId w:val="4"/>
      </w:numPr>
    </w:pPr>
    <w:rPr>
      <w:rFonts w:eastAsia="Times New Roman"/>
      <w:lang w:eastAsia="de-DE"/>
    </w:rPr>
  </w:style>
  <w:style w:type="paragraph" w:customStyle="1" w:styleId="ListDash2">
    <w:name w:val="List Dash 2"/>
    <w:basedOn w:val="Normal"/>
    <w:rsid w:val="001A62D7"/>
    <w:pPr>
      <w:numPr>
        <w:numId w:val="5"/>
      </w:numPr>
    </w:pPr>
    <w:rPr>
      <w:rFonts w:eastAsia="Times New Roman"/>
      <w:lang w:eastAsia="de-DE"/>
    </w:rPr>
  </w:style>
  <w:style w:type="paragraph" w:customStyle="1" w:styleId="ListNumberLevel2">
    <w:name w:val="List Number (Level 2)"/>
    <w:basedOn w:val="Normal"/>
    <w:rsid w:val="001A62D7"/>
    <w:pPr>
      <w:numPr>
        <w:ilvl w:val="1"/>
        <w:numId w:val="6"/>
      </w:numPr>
    </w:pPr>
    <w:rPr>
      <w:rFonts w:eastAsia="Times New Roman"/>
      <w:lang w:eastAsia="de-DE"/>
    </w:rPr>
  </w:style>
  <w:style w:type="paragraph" w:customStyle="1" w:styleId="ListNumberLevel3">
    <w:name w:val="List Number (Level 3)"/>
    <w:basedOn w:val="Normal"/>
    <w:rsid w:val="001A62D7"/>
    <w:pPr>
      <w:numPr>
        <w:ilvl w:val="2"/>
        <w:numId w:val="6"/>
      </w:numPr>
    </w:pPr>
    <w:rPr>
      <w:rFonts w:eastAsia="Times New Roman"/>
      <w:lang w:eastAsia="de-DE"/>
    </w:rPr>
  </w:style>
  <w:style w:type="paragraph" w:customStyle="1" w:styleId="ListNumberLevel4">
    <w:name w:val="List Number (Level 4)"/>
    <w:basedOn w:val="Normal"/>
    <w:rsid w:val="001A62D7"/>
    <w:pPr>
      <w:numPr>
        <w:ilvl w:val="3"/>
        <w:numId w:val="6"/>
      </w:numPr>
    </w:pPr>
    <w:rPr>
      <w:rFonts w:eastAsia="Times New Roman"/>
      <w:lang w:eastAsia="de-DE"/>
    </w:rPr>
  </w:style>
  <w:style w:type="table" w:styleId="TableGrid">
    <w:name w:val="Table Grid"/>
    <w:basedOn w:val="TableNormal"/>
    <w:rsid w:val="001A62D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A62D7"/>
    <w:rPr>
      <w:color w:val="0000FF"/>
      <w:u w:val="single"/>
    </w:rPr>
  </w:style>
  <w:style w:type="paragraph" w:styleId="ListBullet">
    <w:name w:val="List Bullet"/>
    <w:basedOn w:val="Normal"/>
    <w:uiPriority w:val="99"/>
    <w:rsid w:val="001A62D7"/>
    <w:pPr>
      <w:numPr>
        <w:numId w:val="7"/>
      </w:numPr>
    </w:pPr>
    <w:rPr>
      <w:rFonts w:eastAsia="Times New Roman"/>
      <w:lang w:eastAsia="en-GB"/>
    </w:rPr>
  </w:style>
  <w:style w:type="paragraph" w:styleId="ListBullet2">
    <w:name w:val="List Bullet 2"/>
    <w:basedOn w:val="Normal"/>
    <w:uiPriority w:val="99"/>
    <w:rsid w:val="001A62D7"/>
    <w:pPr>
      <w:numPr>
        <w:numId w:val="8"/>
      </w:numPr>
    </w:pPr>
    <w:rPr>
      <w:rFonts w:eastAsia="Times New Roman"/>
      <w:lang w:eastAsia="en-GB"/>
    </w:rPr>
  </w:style>
  <w:style w:type="paragraph" w:styleId="ListBullet3">
    <w:name w:val="List Bullet 3"/>
    <w:basedOn w:val="Normal"/>
    <w:uiPriority w:val="99"/>
    <w:rsid w:val="001A62D7"/>
    <w:pPr>
      <w:numPr>
        <w:numId w:val="9"/>
      </w:numPr>
    </w:pPr>
    <w:rPr>
      <w:rFonts w:eastAsia="Times New Roman"/>
      <w:lang w:eastAsia="en-GB"/>
    </w:rPr>
  </w:style>
  <w:style w:type="paragraph" w:styleId="ListNumber2">
    <w:name w:val="List Number 2"/>
    <w:basedOn w:val="Normal"/>
    <w:uiPriority w:val="99"/>
    <w:rsid w:val="001A62D7"/>
    <w:pPr>
      <w:numPr>
        <w:numId w:val="13"/>
      </w:numPr>
    </w:pPr>
    <w:rPr>
      <w:rFonts w:eastAsia="Times New Roman"/>
      <w:lang w:eastAsia="en-GB"/>
    </w:rPr>
  </w:style>
  <w:style w:type="paragraph" w:styleId="ListNumber3">
    <w:name w:val="List Number 3"/>
    <w:basedOn w:val="Normal"/>
    <w:uiPriority w:val="99"/>
    <w:rsid w:val="001A62D7"/>
    <w:pPr>
      <w:numPr>
        <w:numId w:val="14"/>
      </w:numPr>
    </w:pPr>
    <w:rPr>
      <w:rFonts w:eastAsia="Times New Roman"/>
      <w:lang w:eastAsia="en-GB"/>
    </w:rPr>
  </w:style>
  <w:style w:type="paragraph" w:styleId="ListNumber4">
    <w:name w:val="List Number 4"/>
    <w:basedOn w:val="Normal"/>
    <w:uiPriority w:val="99"/>
    <w:rsid w:val="001A62D7"/>
    <w:pPr>
      <w:numPr>
        <w:numId w:val="15"/>
      </w:numPr>
    </w:pPr>
    <w:rPr>
      <w:rFonts w:eastAsia="Times New Roman"/>
      <w:lang w:eastAsia="en-GB"/>
    </w:rPr>
  </w:style>
  <w:style w:type="paragraph" w:customStyle="1" w:styleId="ListDash3">
    <w:name w:val="List Dash 3"/>
    <w:basedOn w:val="Normal"/>
    <w:rsid w:val="001A62D7"/>
    <w:pPr>
      <w:numPr>
        <w:numId w:val="10"/>
      </w:numPr>
    </w:pPr>
    <w:rPr>
      <w:rFonts w:eastAsia="Times New Roman"/>
      <w:lang w:eastAsia="en-GB"/>
    </w:rPr>
  </w:style>
  <w:style w:type="paragraph" w:customStyle="1" w:styleId="ListDash4">
    <w:name w:val="List Dash 4"/>
    <w:basedOn w:val="Normal"/>
    <w:rsid w:val="001A62D7"/>
    <w:pPr>
      <w:numPr>
        <w:numId w:val="11"/>
      </w:numPr>
    </w:pPr>
    <w:rPr>
      <w:rFonts w:eastAsia="Times New Roman"/>
      <w:lang w:eastAsia="en-GB"/>
    </w:rPr>
  </w:style>
  <w:style w:type="paragraph" w:customStyle="1" w:styleId="ListNumber1">
    <w:name w:val="List Number 1"/>
    <w:basedOn w:val="Text1"/>
    <w:rsid w:val="001A62D7"/>
    <w:pPr>
      <w:numPr>
        <w:numId w:val="12"/>
      </w:numPr>
    </w:pPr>
    <w:rPr>
      <w:rFonts w:eastAsia="Times New Roman"/>
      <w:lang w:eastAsia="en-GB"/>
    </w:rPr>
  </w:style>
  <w:style w:type="paragraph" w:customStyle="1" w:styleId="ListNumber1Level2">
    <w:name w:val="List Number 1 (Level 2)"/>
    <w:basedOn w:val="Text1"/>
    <w:rsid w:val="001A62D7"/>
    <w:pPr>
      <w:numPr>
        <w:ilvl w:val="1"/>
        <w:numId w:val="12"/>
      </w:numPr>
    </w:pPr>
    <w:rPr>
      <w:rFonts w:eastAsia="Times New Roman"/>
      <w:lang w:eastAsia="en-GB"/>
    </w:rPr>
  </w:style>
  <w:style w:type="paragraph" w:customStyle="1" w:styleId="ListNumber2Level2">
    <w:name w:val="List Number 2 (Level 2)"/>
    <w:basedOn w:val="Text2"/>
    <w:rsid w:val="001A62D7"/>
    <w:pPr>
      <w:numPr>
        <w:ilvl w:val="1"/>
        <w:numId w:val="13"/>
      </w:numPr>
    </w:pPr>
    <w:rPr>
      <w:rFonts w:eastAsia="Times New Roman"/>
      <w:lang w:eastAsia="en-GB"/>
    </w:rPr>
  </w:style>
  <w:style w:type="paragraph" w:customStyle="1" w:styleId="ListNumber3Level2">
    <w:name w:val="List Number 3 (Level 2)"/>
    <w:basedOn w:val="Text3"/>
    <w:rsid w:val="001A62D7"/>
    <w:pPr>
      <w:numPr>
        <w:ilvl w:val="1"/>
        <w:numId w:val="14"/>
      </w:numPr>
    </w:pPr>
    <w:rPr>
      <w:rFonts w:eastAsia="Times New Roman"/>
      <w:lang w:eastAsia="en-GB"/>
    </w:rPr>
  </w:style>
  <w:style w:type="paragraph" w:customStyle="1" w:styleId="ListNumber4Level2">
    <w:name w:val="List Number 4 (Level 2)"/>
    <w:basedOn w:val="Text4"/>
    <w:rsid w:val="001A62D7"/>
    <w:pPr>
      <w:numPr>
        <w:ilvl w:val="1"/>
        <w:numId w:val="15"/>
      </w:numPr>
    </w:pPr>
    <w:rPr>
      <w:rFonts w:eastAsia="Times New Roman"/>
      <w:lang w:eastAsia="en-GB"/>
    </w:rPr>
  </w:style>
  <w:style w:type="paragraph" w:customStyle="1" w:styleId="ListNumber1Level3">
    <w:name w:val="List Number 1 (Level 3)"/>
    <w:basedOn w:val="Text1"/>
    <w:rsid w:val="001A62D7"/>
    <w:pPr>
      <w:numPr>
        <w:ilvl w:val="2"/>
        <w:numId w:val="12"/>
      </w:numPr>
    </w:pPr>
    <w:rPr>
      <w:rFonts w:eastAsia="Times New Roman"/>
      <w:lang w:eastAsia="en-GB"/>
    </w:rPr>
  </w:style>
  <w:style w:type="paragraph" w:customStyle="1" w:styleId="ListNumber2Level3">
    <w:name w:val="List Number 2 (Level 3)"/>
    <w:basedOn w:val="Text2"/>
    <w:rsid w:val="001A62D7"/>
    <w:pPr>
      <w:numPr>
        <w:ilvl w:val="2"/>
        <w:numId w:val="13"/>
      </w:numPr>
    </w:pPr>
    <w:rPr>
      <w:rFonts w:eastAsia="Times New Roman"/>
      <w:lang w:eastAsia="en-GB"/>
    </w:rPr>
  </w:style>
  <w:style w:type="paragraph" w:customStyle="1" w:styleId="ListNumber3Level3">
    <w:name w:val="List Number 3 (Level 3)"/>
    <w:basedOn w:val="Text3"/>
    <w:rsid w:val="001A62D7"/>
    <w:pPr>
      <w:numPr>
        <w:ilvl w:val="2"/>
        <w:numId w:val="14"/>
      </w:numPr>
    </w:pPr>
    <w:rPr>
      <w:rFonts w:eastAsia="Times New Roman"/>
      <w:lang w:eastAsia="en-GB"/>
    </w:rPr>
  </w:style>
  <w:style w:type="paragraph" w:customStyle="1" w:styleId="ListNumber4Level3">
    <w:name w:val="List Number 4 (Level 3)"/>
    <w:basedOn w:val="Text4"/>
    <w:rsid w:val="001A62D7"/>
    <w:pPr>
      <w:numPr>
        <w:ilvl w:val="2"/>
        <w:numId w:val="15"/>
      </w:numPr>
    </w:pPr>
    <w:rPr>
      <w:rFonts w:eastAsia="Times New Roman"/>
      <w:lang w:eastAsia="en-GB"/>
    </w:rPr>
  </w:style>
  <w:style w:type="paragraph" w:customStyle="1" w:styleId="ListNumber1Level4">
    <w:name w:val="List Number 1 (Level 4)"/>
    <w:basedOn w:val="Text1"/>
    <w:rsid w:val="001A62D7"/>
    <w:pPr>
      <w:numPr>
        <w:ilvl w:val="3"/>
        <w:numId w:val="12"/>
      </w:numPr>
    </w:pPr>
    <w:rPr>
      <w:rFonts w:eastAsia="Times New Roman"/>
      <w:lang w:eastAsia="en-GB"/>
    </w:rPr>
  </w:style>
  <w:style w:type="paragraph" w:customStyle="1" w:styleId="ListNumber2Level4">
    <w:name w:val="List Number 2 (Level 4)"/>
    <w:basedOn w:val="Text2"/>
    <w:rsid w:val="001A62D7"/>
    <w:pPr>
      <w:numPr>
        <w:ilvl w:val="3"/>
        <w:numId w:val="13"/>
      </w:numPr>
    </w:pPr>
    <w:rPr>
      <w:rFonts w:eastAsia="Times New Roman"/>
      <w:lang w:eastAsia="en-GB"/>
    </w:rPr>
  </w:style>
  <w:style w:type="paragraph" w:customStyle="1" w:styleId="ListNumber3Level4">
    <w:name w:val="List Number 3 (Level 4)"/>
    <w:basedOn w:val="Text3"/>
    <w:rsid w:val="001A62D7"/>
    <w:pPr>
      <w:numPr>
        <w:ilvl w:val="3"/>
        <w:numId w:val="14"/>
      </w:numPr>
    </w:pPr>
    <w:rPr>
      <w:rFonts w:eastAsia="Times New Roman"/>
      <w:lang w:eastAsia="en-GB"/>
    </w:rPr>
  </w:style>
  <w:style w:type="paragraph" w:customStyle="1" w:styleId="ListNumber4Level4">
    <w:name w:val="List Number 4 (Level 4)"/>
    <w:basedOn w:val="Text4"/>
    <w:rsid w:val="001A62D7"/>
    <w:pPr>
      <w:numPr>
        <w:ilvl w:val="3"/>
        <w:numId w:val="15"/>
      </w:numPr>
    </w:pPr>
    <w:rPr>
      <w:rFonts w:eastAsia="Times New Roman"/>
      <w:lang w:eastAsia="en-GB"/>
    </w:rPr>
  </w:style>
  <w:style w:type="paragraph" w:customStyle="1" w:styleId="Annexetitreacte">
    <w:name w:val="Annexe titre (acte)"/>
    <w:basedOn w:val="Normal"/>
    <w:next w:val="Normal"/>
    <w:rsid w:val="001A62D7"/>
    <w:pPr>
      <w:jc w:val="center"/>
    </w:pPr>
    <w:rPr>
      <w:rFonts w:eastAsia="Times New Roman"/>
      <w:b/>
      <w:u w:val="single"/>
      <w:lang w:eastAsia="en-GB"/>
    </w:rPr>
  </w:style>
  <w:style w:type="paragraph" w:customStyle="1" w:styleId="Annexetitreexposglobal">
    <w:name w:val="Annexe titre (exposé global)"/>
    <w:basedOn w:val="Normal"/>
    <w:next w:val="Normal"/>
    <w:rsid w:val="001A62D7"/>
    <w:pPr>
      <w:jc w:val="center"/>
    </w:pPr>
    <w:rPr>
      <w:rFonts w:eastAsia="Times New Roman"/>
      <w:b/>
      <w:u w:val="single"/>
      <w:lang w:eastAsia="en-GB"/>
    </w:rPr>
  </w:style>
  <w:style w:type="paragraph" w:customStyle="1" w:styleId="Annexetitrefichefinacte">
    <w:name w:val="Annexe titre (fiche fin. acte)"/>
    <w:basedOn w:val="Normal"/>
    <w:next w:val="Normal"/>
    <w:rsid w:val="001A62D7"/>
    <w:pPr>
      <w:jc w:val="center"/>
    </w:pPr>
    <w:rPr>
      <w:rFonts w:eastAsia="Times New Roman"/>
      <w:b/>
      <w:u w:val="single"/>
      <w:lang w:eastAsia="en-GB"/>
    </w:rPr>
  </w:style>
  <w:style w:type="paragraph" w:customStyle="1" w:styleId="Annexetitrefichefinglobale">
    <w:name w:val="Annexe titre (fiche fin. globale)"/>
    <w:basedOn w:val="Normal"/>
    <w:next w:val="Normal"/>
    <w:rsid w:val="001A62D7"/>
    <w:pPr>
      <w:jc w:val="center"/>
    </w:pPr>
    <w:rPr>
      <w:rFonts w:eastAsia="Times New Roman"/>
      <w:b/>
      <w:u w:val="single"/>
      <w:lang w:eastAsia="en-GB"/>
    </w:rPr>
  </w:style>
  <w:style w:type="paragraph" w:customStyle="1" w:styleId="Annexetitreglobale">
    <w:name w:val="Annexe titre (globale)"/>
    <w:basedOn w:val="Normal"/>
    <w:next w:val="Normal"/>
    <w:rsid w:val="001A62D7"/>
    <w:pPr>
      <w:jc w:val="center"/>
    </w:pPr>
    <w:rPr>
      <w:rFonts w:eastAsia="Times New Roman"/>
      <w:b/>
      <w:u w:val="single"/>
      <w:lang w:eastAsia="en-GB"/>
    </w:rPr>
  </w:style>
  <w:style w:type="paragraph" w:customStyle="1" w:styleId="Exposdesmotifstitreglobal">
    <w:name w:val="Exposé des motifs titre (global)"/>
    <w:basedOn w:val="Normal"/>
    <w:next w:val="Normal"/>
    <w:rsid w:val="001A62D7"/>
    <w:pPr>
      <w:jc w:val="center"/>
    </w:pPr>
    <w:rPr>
      <w:rFonts w:eastAsia="Times New Roman"/>
      <w:b/>
      <w:u w:val="single"/>
      <w:lang w:eastAsia="en-GB"/>
    </w:rPr>
  </w:style>
  <w:style w:type="paragraph" w:customStyle="1" w:styleId="Langueoriginale">
    <w:name w:val="Langue originale"/>
    <w:basedOn w:val="Normal"/>
    <w:rsid w:val="001A62D7"/>
    <w:pPr>
      <w:spacing w:before="360"/>
      <w:jc w:val="center"/>
    </w:pPr>
    <w:rPr>
      <w:rFonts w:eastAsia="Times New Roman"/>
      <w:caps/>
      <w:lang w:eastAsia="en-GB"/>
    </w:rPr>
  </w:style>
  <w:style w:type="paragraph" w:customStyle="1" w:styleId="Phrasefinale">
    <w:name w:val="Phrase finale"/>
    <w:basedOn w:val="Normal"/>
    <w:next w:val="Normal"/>
    <w:rsid w:val="001A62D7"/>
    <w:pPr>
      <w:spacing w:before="360" w:after="0"/>
      <w:jc w:val="center"/>
    </w:pPr>
    <w:rPr>
      <w:rFonts w:eastAsia="Times New Roman"/>
      <w:lang w:eastAsia="en-GB"/>
    </w:rPr>
  </w:style>
  <w:style w:type="paragraph" w:customStyle="1" w:styleId="Prliminairetitre">
    <w:name w:val="Préliminaire titre"/>
    <w:basedOn w:val="Normal"/>
    <w:next w:val="Normal"/>
    <w:rsid w:val="001A62D7"/>
    <w:pPr>
      <w:spacing w:before="360" w:after="360"/>
      <w:jc w:val="center"/>
    </w:pPr>
    <w:rPr>
      <w:rFonts w:eastAsia="Times New Roman"/>
      <w:b/>
      <w:lang w:eastAsia="en-GB"/>
    </w:rPr>
  </w:style>
  <w:style w:type="paragraph" w:customStyle="1" w:styleId="Prliminairetype">
    <w:name w:val="Préliminaire type"/>
    <w:basedOn w:val="Normal"/>
    <w:next w:val="Normal"/>
    <w:rsid w:val="001A62D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A62D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A62D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A62D7"/>
    <w:pPr>
      <w:spacing w:before="0" w:after="0"/>
      <w:ind w:left="5103"/>
      <w:jc w:val="left"/>
    </w:pPr>
    <w:rPr>
      <w:rFonts w:eastAsia="Times New Roman"/>
      <w:lang w:eastAsia="en-GB"/>
    </w:rPr>
  </w:style>
  <w:style w:type="paragraph" w:customStyle="1" w:styleId="Sous-titreobjetprliminaire">
    <w:name w:val="Sous-titre objet (préliminaire)"/>
    <w:basedOn w:val="Normal"/>
    <w:rsid w:val="001A62D7"/>
    <w:pPr>
      <w:spacing w:before="0" w:after="0"/>
      <w:jc w:val="center"/>
    </w:pPr>
    <w:rPr>
      <w:rFonts w:eastAsia="Times New Roman"/>
      <w:b/>
      <w:lang w:eastAsia="en-GB"/>
    </w:rPr>
  </w:style>
  <w:style w:type="paragraph" w:customStyle="1" w:styleId="Statutprliminaire">
    <w:name w:val="Statut (préliminaire)"/>
    <w:basedOn w:val="Normal"/>
    <w:next w:val="Normal"/>
    <w:rsid w:val="001A62D7"/>
    <w:pPr>
      <w:spacing w:before="360" w:after="0"/>
      <w:jc w:val="center"/>
    </w:pPr>
    <w:rPr>
      <w:rFonts w:eastAsia="Times New Roman"/>
      <w:lang w:eastAsia="en-GB"/>
    </w:rPr>
  </w:style>
  <w:style w:type="paragraph" w:customStyle="1" w:styleId="Titreobjetprliminaire">
    <w:name w:val="Titre objet (préliminaire)"/>
    <w:basedOn w:val="Normal"/>
    <w:next w:val="Normal"/>
    <w:rsid w:val="001A62D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A62D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A62D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A62D7"/>
    <w:pPr>
      <w:jc w:val="center"/>
    </w:pPr>
    <w:rPr>
      <w:rFonts w:eastAsia="Times New Roman"/>
      <w:b/>
      <w:u w:val="single"/>
      <w:lang w:eastAsia="en-GB"/>
    </w:rPr>
  </w:style>
  <w:style w:type="paragraph" w:customStyle="1" w:styleId="Fichefinanciretravailtitre">
    <w:name w:val="Fiche financière (travail) titre"/>
    <w:basedOn w:val="Normal"/>
    <w:next w:val="Normal"/>
    <w:rsid w:val="001A62D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A62D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A62D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A62D7"/>
    <w:pPr>
      <w:jc w:val="center"/>
    </w:pPr>
    <w:rPr>
      <w:rFonts w:eastAsia="Times New Roman"/>
      <w:b/>
      <w:u w:val="single"/>
      <w:lang w:eastAsia="en-GB"/>
    </w:rPr>
  </w:style>
  <w:style w:type="character" w:styleId="CommentReference">
    <w:name w:val="annotation reference"/>
    <w:uiPriority w:val="99"/>
    <w:rsid w:val="001A62D7"/>
    <w:rPr>
      <w:rFonts w:cs="Times New Roman"/>
      <w:sz w:val="16"/>
      <w:szCs w:val="16"/>
    </w:rPr>
  </w:style>
  <w:style w:type="paragraph" w:styleId="CommentText">
    <w:name w:val="annotation text"/>
    <w:basedOn w:val="Normal"/>
    <w:link w:val="CommentTextChar"/>
    <w:uiPriority w:val="99"/>
    <w:rsid w:val="001A62D7"/>
    <w:rPr>
      <w:rFonts w:eastAsia="Times New Roman"/>
      <w:sz w:val="20"/>
      <w:szCs w:val="20"/>
      <w:lang w:eastAsia="en-GB"/>
    </w:rPr>
  </w:style>
  <w:style w:type="character" w:customStyle="1" w:styleId="CommentTextChar">
    <w:name w:val="Comment Text Char"/>
    <w:basedOn w:val="DefaultParagraphFont"/>
    <w:link w:val="CommentText"/>
    <w:uiPriority w:val="99"/>
    <w:rsid w:val="001A62D7"/>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uiPriority w:val="99"/>
    <w:rsid w:val="001A62D7"/>
    <w:rPr>
      <w:b/>
      <w:bCs/>
    </w:rPr>
  </w:style>
  <w:style w:type="character" w:customStyle="1" w:styleId="CommentSubjectChar">
    <w:name w:val="Comment Subject Char"/>
    <w:basedOn w:val="CommentTextChar"/>
    <w:link w:val="CommentSubject"/>
    <w:uiPriority w:val="99"/>
    <w:rsid w:val="001A62D7"/>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uiPriority w:val="99"/>
    <w:rsid w:val="001A62D7"/>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1A62D7"/>
    <w:rPr>
      <w:rFonts w:ascii="Tahoma" w:eastAsia="Times New Roman" w:hAnsi="Tahoma" w:cs="Tahoma"/>
      <w:sz w:val="16"/>
      <w:szCs w:val="16"/>
      <w:lang w:val="et-EE" w:eastAsia="en-GB"/>
    </w:rPr>
  </w:style>
  <w:style w:type="paragraph" w:styleId="Caption">
    <w:name w:val="caption"/>
    <w:basedOn w:val="Normal"/>
    <w:next w:val="Normal"/>
    <w:uiPriority w:val="35"/>
    <w:qFormat/>
    <w:rsid w:val="001A62D7"/>
    <w:rPr>
      <w:rFonts w:eastAsia="Times New Roman"/>
      <w:b/>
      <w:bCs/>
      <w:sz w:val="20"/>
      <w:szCs w:val="20"/>
      <w:lang w:eastAsia="en-GB"/>
    </w:rPr>
  </w:style>
  <w:style w:type="paragraph" w:styleId="TableofFigures">
    <w:name w:val="table of figures"/>
    <w:basedOn w:val="Normal"/>
    <w:next w:val="Normal"/>
    <w:uiPriority w:val="99"/>
    <w:rsid w:val="001A62D7"/>
    <w:rPr>
      <w:rFonts w:eastAsia="Times New Roman"/>
      <w:lang w:eastAsia="en-GB"/>
    </w:rPr>
  </w:style>
  <w:style w:type="character" w:styleId="PageNumber">
    <w:name w:val="page number"/>
    <w:rsid w:val="001A62D7"/>
  </w:style>
  <w:style w:type="character" w:customStyle="1" w:styleId="tw4winMark">
    <w:name w:val="tw4winMark"/>
    <w:rsid w:val="001A62D7"/>
    <w:rPr>
      <w:vanish/>
      <w:color w:val="800080"/>
      <w:vertAlign w:val="subscript"/>
    </w:rPr>
  </w:style>
  <w:style w:type="character" w:styleId="FollowedHyperlink">
    <w:name w:val="FollowedHyperlink"/>
    <w:rsid w:val="001A62D7"/>
    <w:rPr>
      <w:color w:val="800080"/>
      <w:u w:val="single"/>
    </w:rPr>
  </w:style>
  <w:style w:type="paragraph" w:customStyle="1" w:styleId="Sous-titreobjet">
    <w:name w:val="Sous-titre objet"/>
    <w:basedOn w:val="Normal"/>
    <w:rsid w:val="001A62D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A62D7"/>
  </w:style>
  <w:style w:type="paragraph" w:styleId="Revision">
    <w:name w:val="Revision"/>
    <w:hidden/>
    <w:uiPriority w:val="99"/>
    <w:semiHidden/>
    <w:rsid w:val="001A62D7"/>
    <w:rPr>
      <w:rFonts w:ascii="Calibri" w:eastAsia="Calibri" w:hAnsi="Calibri" w:cs="Times New Roman"/>
      <w:sz w:val="24"/>
      <w:lang w:eastAsia="en-GB"/>
    </w:rPr>
  </w:style>
  <w:style w:type="paragraph" w:customStyle="1" w:styleId="FooterCoverPage">
    <w:name w:val="Footer Cover Page"/>
    <w:basedOn w:val="Normal"/>
    <w:link w:val="FooterCoverPageChar"/>
    <w:rsid w:val="001A62D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A62D7"/>
    <w:rPr>
      <w:rFonts w:ascii="Times New Roman" w:hAnsi="Times New Roman" w:cs="Times New Roman"/>
      <w:b/>
      <w:sz w:val="28"/>
      <w:lang w:val="et-EE"/>
    </w:rPr>
  </w:style>
  <w:style w:type="character" w:customStyle="1" w:styleId="FooterCoverPageChar">
    <w:name w:val="Footer Cover Page Char"/>
    <w:link w:val="FooterCoverPage"/>
    <w:rsid w:val="001A62D7"/>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1A62D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A62D7"/>
    <w:rPr>
      <w:rFonts w:ascii="Times New Roman" w:eastAsia="Calibri" w:hAnsi="Times New Roman" w:cs="Times New Roman"/>
      <w:sz w:val="24"/>
      <w:lang w:val="et-EE" w:eastAsia="en-GB"/>
    </w:rPr>
  </w:style>
  <w:style w:type="character" w:customStyle="1" w:styleId="FooterSensitivityChar">
    <w:name w:val="Footer Sensitivity Char"/>
    <w:rsid w:val="001A62D7"/>
    <w:rPr>
      <w:rFonts w:ascii="Times New Roman" w:hAnsi="Times New Roman" w:cs="Times New Roman"/>
      <w:b/>
      <w:sz w:val="32"/>
      <w:lang w:val="et-EE"/>
    </w:rPr>
  </w:style>
  <w:style w:type="character" w:customStyle="1" w:styleId="HeaderSensitivityChar">
    <w:name w:val="Header Sensitivity Char"/>
    <w:rsid w:val="001A62D7"/>
    <w:rPr>
      <w:rFonts w:ascii="Times New Roman" w:hAnsi="Times New Roman" w:cs="Times New Roman"/>
      <w:b/>
      <w:sz w:val="32"/>
      <w:lang w:val="et-EE"/>
    </w:rPr>
  </w:style>
  <w:style w:type="character" w:customStyle="1" w:styleId="HeaderSensitivityRightChar">
    <w:name w:val="Header Sensitivity Right Char"/>
    <w:rsid w:val="001A62D7"/>
    <w:rPr>
      <w:rFonts w:ascii="Times New Roman" w:hAnsi="Times New Roman" w:cs="Times New Roman"/>
      <w:sz w:val="28"/>
      <w:lang w:val="et-EE"/>
    </w:rPr>
  </w:style>
  <w:style w:type="paragraph" w:customStyle="1" w:styleId="LegalNumPar">
    <w:name w:val="LegalNumPar"/>
    <w:basedOn w:val="Normal"/>
    <w:rsid w:val="001A62D7"/>
    <w:pPr>
      <w:numPr>
        <w:numId w:val="16"/>
      </w:numPr>
      <w:spacing w:line="360" w:lineRule="auto"/>
    </w:pPr>
    <w:rPr>
      <w:rFonts w:eastAsia="Times New Roman"/>
      <w:lang w:eastAsia="en-GB"/>
    </w:rPr>
  </w:style>
  <w:style w:type="paragraph" w:customStyle="1" w:styleId="LegalNumPar2">
    <w:name w:val="LegalNumPar2"/>
    <w:basedOn w:val="Normal"/>
    <w:rsid w:val="001A62D7"/>
    <w:pPr>
      <w:numPr>
        <w:ilvl w:val="1"/>
        <w:numId w:val="16"/>
      </w:numPr>
      <w:spacing w:line="360" w:lineRule="auto"/>
    </w:pPr>
    <w:rPr>
      <w:rFonts w:eastAsia="Times New Roman"/>
      <w:lang w:eastAsia="en-GB"/>
    </w:rPr>
  </w:style>
  <w:style w:type="paragraph" w:customStyle="1" w:styleId="LegalNumPar3">
    <w:name w:val="LegalNumPar3"/>
    <w:basedOn w:val="Normal"/>
    <w:rsid w:val="001A62D7"/>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1A62D7"/>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1A62D7"/>
    <w:rPr>
      <w:color w:val="605E5C"/>
      <w:shd w:val="clear" w:color="auto" w:fill="E1DFDD"/>
    </w:rPr>
  </w:style>
  <w:style w:type="character" w:styleId="Strong">
    <w:name w:val="Strong"/>
    <w:basedOn w:val="DefaultParagraphFont"/>
    <w:qFormat/>
    <w:rsid w:val="001A62D7"/>
    <w:rPr>
      <w:b/>
      <w:bCs/>
    </w:rPr>
  </w:style>
  <w:style w:type="character" w:styleId="Emphasis">
    <w:name w:val="Emphasis"/>
    <w:basedOn w:val="DefaultParagraphFont"/>
    <w:qFormat/>
    <w:rsid w:val="001A62D7"/>
    <w:rPr>
      <w:i/>
      <w:iCs/>
    </w:rPr>
  </w:style>
  <w:style w:type="character" w:customStyle="1" w:styleId="Mention">
    <w:name w:val="Mention"/>
    <w:basedOn w:val="DefaultParagraphFont"/>
    <w:uiPriority w:val="99"/>
    <w:unhideWhenUsed/>
    <w:rsid w:val="001A62D7"/>
    <w:rPr>
      <w:color w:val="2B579A"/>
      <w:shd w:val="clear" w:color="auto" w:fill="E1DFDD"/>
    </w:rPr>
  </w:style>
  <w:style w:type="character" w:customStyle="1" w:styleId="normaltextrun">
    <w:name w:val="normaltextrun"/>
    <w:basedOn w:val="DefaultParagraphFont"/>
    <w:rsid w:val="001A62D7"/>
  </w:style>
  <w:style w:type="character" w:customStyle="1" w:styleId="eop">
    <w:name w:val="eop"/>
    <w:basedOn w:val="DefaultParagraphFont"/>
    <w:rsid w:val="001A62D7"/>
  </w:style>
  <w:style w:type="character" w:customStyle="1" w:styleId="viiyi">
    <w:name w:val="viiyi"/>
    <w:basedOn w:val="DefaultParagraphFont"/>
    <w:rsid w:val="001A62D7"/>
  </w:style>
  <w:style w:type="character" w:customStyle="1" w:styleId="jlqj4b">
    <w:name w:val="jlqj4b"/>
    <w:basedOn w:val="DefaultParagraphFont"/>
    <w:rsid w:val="001A62D7"/>
  </w:style>
  <w:style w:type="paragraph" w:styleId="EndnoteText">
    <w:name w:val="endnote text"/>
    <w:basedOn w:val="Normal"/>
    <w:link w:val="EndnoteTextChar"/>
    <w:uiPriority w:val="99"/>
    <w:semiHidden/>
    <w:unhideWhenUsed/>
    <w:rsid w:val="002F19DB"/>
    <w:pPr>
      <w:spacing w:before="0" w:after="0"/>
    </w:pPr>
    <w:rPr>
      <w:sz w:val="20"/>
      <w:szCs w:val="20"/>
    </w:rPr>
  </w:style>
  <w:style w:type="character" w:customStyle="1" w:styleId="EndnoteTextChar">
    <w:name w:val="Endnote Text Char"/>
    <w:basedOn w:val="DefaultParagraphFont"/>
    <w:link w:val="EndnoteText"/>
    <w:uiPriority w:val="99"/>
    <w:semiHidden/>
    <w:rsid w:val="002F19DB"/>
    <w:rPr>
      <w:rFonts w:ascii="Times New Roman" w:hAnsi="Times New Roman" w:cs="Times New Roman"/>
      <w:sz w:val="20"/>
      <w:szCs w:val="20"/>
      <w:lang w:val="et-EE"/>
    </w:rPr>
  </w:style>
  <w:style w:type="character" w:styleId="EndnoteReference">
    <w:name w:val="endnote reference"/>
    <w:basedOn w:val="DefaultParagraphFont"/>
    <w:uiPriority w:val="99"/>
    <w:semiHidden/>
    <w:unhideWhenUsed/>
    <w:rsid w:val="002F19DB"/>
    <w:rPr>
      <w:vertAlign w:val="superscript"/>
    </w:rPr>
  </w:style>
  <w:style w:type="character" w:customStyle="1" w:styleId="HeaderChar">
    <w:name w:val="Header Char"/>
    <w:basedOn w:val="DefaultParagraphFont"/>
    <w:link w:val="Header"/>
    <w:uiPriority w:val="99"/>
    <w:rsid w:val="005C6C28"/>
    <w:rPr>
      <w:rFonts w:ascii="Times New Roman" w:hAnsi="Times New Roman" w:cs="Times New Roman"/>
      <w:sz w:val="24"/>
      <w:lang w:val="et-EE"/>
    </w:rPr>
  </w:style>
  <w:style w:type="character" w:customStyle="1" w:styleId="FooterChar">
    <w:name w:val="Footer Char"/>
    <w:basedOn w:val="DefaultParagraphFont"/>
    <w:link w:val="Footer"/>
    <w:uiPriority w:val="99"/>
    <w:rsid w:val="005C6C28"/>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C6C2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C6C28"/>
    <w:pPr>
      <w:spacing w:before="0"/>
      <w:jc w:val="right"/>
    </w:pPr>
    <w:rPr>
      <w:sz w:val="28"/>
    </w:rPr>
  </w:style>
  <w:style w:type="paragraph" w:customStyle="1" w:styleId="FooterSensitivity">
    <w:name w:val="Footer Sensitivity"/>
    <w:basedOn w:val="Normal"/>
    <w:rsid w:val="005C6C2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C6C28"/>
    <w:pPr>
      <w:tabs>
        <w:tab w:val="center" w:pos="4535"/>
        <w:tab w:val="right" w:pos="9071"/>
      </w:tabs>
      <w:spacing w:before="0"/>
    </w:pPr>
  </w:style>
  <w:style w:type="paragraph" w:customStyle="1" w:styleId="HeaderLandscape">
    <w:name w:val="HeaderLandscape"/>
    <w:basedOn w:val="Normal"/>
    <w:rsid w:val="005C6C28"/>
    <w:pPr>
      <w:tabs>
        <w:tab w:val="center" w:pos="7285"/>
        <w:tab w:val="right" w:pos="14003"/>
      </w:tabs>
      <w:spacing w:before="0"/>
    </w:pPr>
  </w:style>
  <w:style w:type="paragraph" w:styleId="Footer">
    <w:name w:val="footer"/>
    <w:basedOn w:val="Normal"/>
    <w:link w:val="FooterChar"/>
    <w:uiPriority w:val="99"/>
    <w:unhideWhenUsed/>
    <w:rsid w:val="005C6C2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C6C2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1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A367-6827-44D3-ADA3-93E90160D3A8}">
  <ds:schemaRefs>
    <ds:schemaRef ds:uri="http://purl.org/dc/elements/1.1/"/>
    <ds:schemaRef ds:uri="144c03d0-0f03-451f-9d46-5279004462a4"/>
    <ds:schemaRef ds:uri="http://purl.org/dc/terms/"/>
    <ds:schemaRef ds:uri="http://schemas.microsoft.com/office/2006/documentManagement/types"/>
    <ds:schemaRef ds:uri="f7bb8512-91eb-4bfd-be42-d6f021407e9a"/>
    <ds:schemaRef ds:uri="http://schemas.microsoft.com/office/infopath/2007/PartnerControls"/>
    <ds:schemaRef ds:uri="http://purl.org/dc/dcmitype/"/>
    <ds:schemaRef ds:uri="http://schemas.microsoft.com/sharepoint/v3/field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569FA1F-965D-4119-B5C4-047EF2605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71C6F-1AE7-423F-B168-25A6EBB875DA}">
  <ds:schemaRefs>
    <ds:schemaRef ds:uri="http://schemas.microsoft.com/sharepoint/v3/contenttype/forms"/>
  </ds:schemaRefs>
</ds:datastoreItem>
</file>

<file path=customXml/itemProps4.xml><?xml version="1.0" encoding="utf-8"?>
<ds:datastoreItem xmlns:ds="http://schemas.openxmlformats.org/officeDocument/2006/customXml" ds:itemID="{10356D7F-42FB-4362-9CD0-9FCADA33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53</TotalTime>
  <Pages>9</Pages>
  <Words>4071</Words>
  <Characters>23210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74</cp:revision>
  <cp:lastPrinted>2025-09-30T08:38:00Z</cp:lastPrinted>
  <dcterms:created xsi:type="dcterms:W3CDTF">2025-10-15T16:01:00Z</dcterms:created>
  <dcterms:modified xsi:type="dcterms:W3CDTF">2025-10-21T05:55:00Z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MSIP_Label_6bd9ddd1-4d20-43f6-abfa-fc3c07406f94_Enabled">
    <vt:lpwstr>true</vt:lpwstr>
  </property>
  <property fmtid="{D5CDD505-2E9C-101B-9397-08002B2CF9AE}" pid="11" name="MSIP_Label_6bd9ddd1-4d20-43f6-abfa-fc3c07406f94_SetDate">
    <vt:lpwstr>2025-02-03T12:15:49Z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56910240-6c56-4989-8e01-d1db357c2268</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MediaServiceImageTags">
    <vt:lpwstr/>
  </property>
  <property fmtid="{D5CDD505-2E9C-101B-9397-08002B2CF9AE}" pid="19" name="DQCStatus">
    <vt:lpwstr>Green (DQC version 03)</vt:lpwstr>
  </property>
</Properties>
</file>