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BC880" w14:textId="788EBE8C" w:rsidR="00BF22EA" w:rsidRPr="00797162" w:rsidRDefault="00B662D8" w:rsidP="00B662D8">
      <w:pPr>
        <w:pStyle w:val="Pagedecouverture"/>
        <w:rPr>
          <w:noProof/>
        </w:rPr>
      </w:pPr>
      <w:r>
        <w:rPr>
          <w:noProof/>
        </w:rPr>
        <w:pict w14:anchorId="3BCBC6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F36CBC70-4595-42DE-9CE1-5C5131566A99" style="width:455.25pt;height:383.25pt">
            <v:imagedata r:id="rId7" o:title=""/>
          </v:shape>
        </w:pict>
      </w:r>
    </w:p>
    <w:p w14:paraId="1FA7852F" w14:textId="77777777" w:rsidR="00BF22EA" w:rsidRPr="00797162" w:rsidRDefault="00BF22EA" w:rsidP="00BF22EA">
      <w:pPr>
        <w:rPr>
          <w:noProof/>
        </w:rPr>
        <w:sectPr w:rsidR="00BF22EA" w:rsidRPr="00797162" w:rsidSect="00B662D8">
          <w:footerReference w:type="even" r:id="rId8"/>
          <w:footerReference w:type="default" r:id="rId9"/>
          <w:pgSz w:w="11907" w:h="16839"/>
          <w:pgMar w:top="1134" w:right="1417" w:bottom="1134" w:left="1417" w:header="709" w:footer="709" w:gutter="0"/>
          <w:pgNumType w:start="0"/>
          <w:cols w:space="720"/>
          <w:docGrid w:linePitch="360"/>
        </w:sectPr>
      </w:pPr>
    </w:p>
    <w:p w14:paraId="78AD15C4" w14:textId="77777777" w:rsidR="00BF22EA" w:rsidRPr="00797162" w:rsidRDefault="00BF22EA" w:rsidP="00BF22EA">
      <w:pPr>
        <w:pStyle w:val="Exposdesmotifstitre"/>
        <w:rPr>
          <w:noProof/>
        </w:rPr>
      </w:pPr>
      <w:bookmarkStart w:id="0" w:name="_GoBack"/>
      <w:bookmarkEnd w:id="0"/>
      <w:r w:rsidRPr="00797162">
        <w:rPr>
          <w:noProof/>
        </w:rPr>
        <w:lastRenderedPageBreak/>
        <w:t>SELETUSKIRI</w:t>
      </w:r>
    </w:p>
    <w:p w14:paraId="2328FB2A" w14:textId="77777777" w:rsidR="00BF22EA" w:rsidRPr="00797162" w:rsidRDefault="00BF22EA" w:rsidP="00BF22EA">
      <w:pPr>
        <w:pStyle w:val="ManualHeading1"/>
        <w:rPr>
          <w:noProof/>
        </w:rPr>
      </w:pPr>
      <w:r w:rsidRPr="00797162">
        <w:rPr>
          <w:noProof/>
        </w:rPr>
        <w:t>1.</w:t>
      </w:r>
      <w:r w:rsidRPr="00797162">
        <w:rPr>
          <w:noProof/>
        </w:rPr>
        <w:tab/>
        <w:t>ETTEPANEKU TAUST</w:t>
      </w:r>
    </w:p>
    <w:p w14:paraId="76383094" w14:textId="77777777" w:rsidR="00BF22EA" w:rsidRPr="00797162" w:rsidRDefault="00BF22EA" w:rsidP="00BF22EA">
      <w:pPr>
        <w:pStyle w:val="ManualHeading2"/>
        <w:rPr>
          <w:noProof/>
        </w:rPr>
      </w:pPr>
      <w:r w:rsidRPr="00797162">
        <w:rPr>
          <w:noProof/>
          <w:u w:color="000000"/>
          <w:bdr w:val="nil"/>
        </w:rPr>
        <w:t>•</w:t>
      </w:r>
      <w:r w:rsidRPr="00797162">
        <w:rPr>
          <w:noProof/>
        </w:rPr>
        <w:tab/>
        <w:t>Ettepaneku põhjused ja eesmärgid</w:t>
      </w:r>
    </w:p>
    <w:p w14:paraId="64AC920D" w14:textId="77777777" w:rsidR="00BF22EA" w:rsidRPr="00797162" w:rsidRDefault="00BF22EA" w:rsidP="00BF22EA">
      <w:pPr>
        <w:rPr>
          <w:noProof/>
          <w:kern w:val="2"/>
        </w:rPr>
      </w:pPr>
      <w:r w:rsidRPr="00797162">
        <w:rPr>
          <w:noProof/>
        </w:rPr>
        <w:t>Seletuskiri on lisatud komisjoni ettepanekule võtta vastu nõukogu määrus (Euratom), millega luuakse ajavahemikuks 2028–2034 tuumaohutusalase koostöö ja dekomissioneerimise instrument</w:t>
      </w:r>
      <w:r w:rsidRPr="00797162">
        <w:rPr>
          <w:rStyle w:val="FootnoteReference"/>
          <w:noProof/>
        </w:rPr>
        <w:footnoteReference w:id="1"/>
      </w:r>
      <w:r w:rsidRPr="00797162">
        <w:rPr>
          <w:noProof/>
        </w:rPr>
        <w:t>. Ettepanek on tehtud järgmise mitmeaastase finantsraamistiku kontekstis, mida on kirjeldatud dokumendis „Järgmise mitmeaastase finantsraamistiku koostamise tegevuskava“</w:t>
      </w:r>
      <w:r w:rsidRPr="00797162">
        <w:rPr>
          <w:rStyle w:val="FootnoteReference"/>
          <w:noProof/>
        </w:rPr>
        <w:footnoteReference w:id="2"/>
      </w:r>
      <w:r w:rsidRPr="00797162">
        <w:rPr>
          <w:noProof/>
        </w:rPr>
        <w:t>. Kavakohaselt peaks instrument jõustuma koos järgmise mitmeaastase finantsraamistikuga 2028. aastal</w:t>
      </w:r>
      <w:r w:rsidRPr="00797162">
        <w:rPr>
          <w:rStyle w:val="FootnoteReference"/>
          <w:noProof/>
        </w:rPr>
        <w:footnoteReference w:id="3"/>
      </w:r>
      <w:r w:rsidRPr="00797162">
        <w:rPr>
          <w:noProof/>
        </w:rPr>
        <w:t>.</w:t>
      </w:r>
    </w:p>
    <w:p w14:paraId="4B6BF954" w14:textId="77777777" w:rsidR="00BF22EA" w:rsidRPr="00797162" w:rsidRDefault="00BF22EA" w:rsidP="00BF22EA">
      <w:pPr>
        <w:rPr>
          <w:i/>
          <w:noProof/>
          <w:kern w:val="2"/>
          <w:u w:val="single"/>
        </w:rPr>
      </w:pPr>
      <w:r w:rsidRPr="00797162">
        <w:rPr>
          <w:i/>
          <w:noProof/>
          <w:u w:val="single"/>
        </w:rPr>
        <w:t>Ettepaneku põhjused</w:t>
      </w:r>
    </w:p>
    <w:p w14:paraId="0848E7FB" w14:textId="77777777" w:rsidR="00BF22EA" w:rsidRPr="00797162" w:rsidRDefault="00BF22EA" w:rsidP="00BF22EA">
      <w:pPr>
        <w:spacing w:after="160" w:line="257" w:lineRule="auto"/>
        <w:rPr>
          <w:noProof/>
        </w:rPr>
      </w:pPr>
      <w:r w:rsidRPr="00797162">
        <w:rPr>
          <w:noProof/>
        </w:rPr>
        <w:t>Et ühtlustada Euroopa Aatomienergiaühenduse (Euratom) kohustusi ja vähendada halduskoormust seoses uue ettepaneku vastuvõtmisega, ühendatakse käesoleva määrusega järgmised praegused välis- ja sisetegevusele suunatud vahendid:</w:t>
      </w:r>
    </w:p>
    <w:p w14:paraId="6FF84134" w14:textId="2F293124" w:rsidR="00BF22EA" w:rsidRPr="00797162" w:rsidRDefault="00822AC9" w:rsidP="00822AC9">
      <w:pPr>
        <w:pStyle w:val="Point0"/>
        <w:rPr>
          <w:noProof/>
        </w:rPr>
      </w:pPr>
      <w:r w:rsidRPr="00822AC9">
        <w:rPr>
          <w:noProof/>
        </w:rPr>
        <w:t>(1)</w:t>
      </w:r>
      <w:r w:rsidRPr="00822AC9">
        <w:rPr>
          <w:noProof/>
        </w:rPr>
        <w:tab/>
      </w:r>
      <w:r w:rsidR="00BF22EA" w:rsidRPr="00797162">
        <w:rPr>
          <w:noProof/>
        </w:rPr>
        <w:t>nõukogu määrus, millega luuakse tuumaohutusalase rahvusvahelise koostöö Euroopa instrument (edaspidi ka „tuumaohutusalase koostöö instrument“),</w:t>
      </w:r>
      <w:r w:rsidR="00BF22EA" w:rsidRPr="00797162">
        <w:rPr>
          <w:rStyle w:val="FootnoteReference"/>
          <w:noProof/>
        </w:rPr>
        <w:footnoteReference w:id="4"/>
      </w:r>
      <w:r w:rsidR="00BF22EA" w:rsidRPr="00797162">
        <w:rPr>
          <w:noProof/>
        </w:rPr>
        <w:t xml:space="preserve"> mis on suunatud ELi tuuma- ja kiirgusohutusalasele koostööle partnerriikidega;</w:t>
      </w:r>
    </w:p>
    <w:p w14:paraId="21EA4A80" w14:textId="62609B0D" w:rsidR="00BF22EA" w:rsidRPr="00797162" w:rsidRDefault="00822AC9" w:rsidP="00822AC9">
      <w:pPr>
        <w:pStyle w:val="Point0"/>
        <w:rPr>
          <w:noProof/>
        </w:rPr>
      </w:pPr>
      <w:r w:rsidRPr="00822AC9">
        <w:rPr>
          <w:noProof/>
        </w:rPr>
        <w:t>(2)</w:t>
      </w:r>
      <w:r w:rsidRPr="00822AC9">
        <w:rPr>
          <w:noProof/>
        </w:rPr>
        <w:tab/>
      </w:r>
      <w:r w:rsidR="00BF22EA" w:rsidRPr="00797162">
        <w:rPr>
          <w:noProof/>
        </w:rPr>
        <w:t>tuumarajatiste dekomissioneerimise ja radioaktiivsete jäätmete käitlemise rahastamiskavad,</w:t>
      </w:r>
      <w:r w:rsidR="00BF22EA" w:rsidRPr="00797162">
        <w:rPr>
          <w:rStyle w:val="FootnoteReference"/>
          <w:noProof/>
        </w:rPr>
        <w:footnoteReference w:id="5"/>
      </w:r>
      <w:r w:rsidR="00BF22EA" w:rsidRPr="00797162">
        <w:rPr>
          <w:noProof/>
          <w:vertAlign w:val="superscript"/>
        </w:rPr>
        <w:t>,</w:t>
      </w:r>
      <w:r w:rsidR="00BF22EA" w:rsidRPr="00797162">
        <w:rPr>
          <w:rStyle w:val="FootnoteReference"/>
          <w:noProof/>
        </w:rPr>
        <w:footnoteReference w:id="6"/>
      </w:r>
      <w:r w:rsidR="00BF22EA" w:rsidRPr="00797162">
        <w:rPr>
          <w:noProof/>
        </w:rPr>
        <w:t xml:space="preserve"> mis on suunatud dekomissioneerimisele Bulgaarias ja Slovakkias</w:t>
      </w:r>
      <w:r w:rsidR="00BF22EA" w:rsidRPr="00797162">
        <w:rPr>
          <w:rStyle w:val="FootnoteReference"/>
          <w:noProof/>
        </w:rPr>
        <w:footnoteReference w:id="7"/>
      </w:r>
      <w:r w:rsidR="00BF22EA" w:rsidRPr="00797162">
        <w:rPr>
          <w:noProof/>
        </w:rPr>
        <w:t xml:space="preserve"> ning samuti Teadusuuringute Ühiskeskuse (JRC) tegevuskohtades Geelis, Ispras, Karlsruhes ja Pettenis</w:t>
      </w:r>
      <w:r w:rsidR="00BF22EA" w:rsidRPr="00797162">
        <w:rPr>
          <w:rFonts w:asciiTheme="minorHAnsi" w:hAnsiTheme="minorHAnsi"/>
          <w:noProof/>
          <w:vertAlign w:val="superscript"/>
        </w:rPr>
        <w:t>6</w:t>
      </w:r>
      <w:r w:rsidR="00BF22EA" w:rsidRPr="00797162">
        <w:rPr>
          <w:noProof/>
        </w:rPr>
        <w:t>.</w:t>
      </w:r>
    </w:p>
    <w:p w14:paraId="3438C57A" w14:textId="77777777" w:rsidR="00BF22EA" w:rsidRPr="00797162" w:rsidRDefault="00BF22EA" w:rsidP="00BF22EA">
      <w:pPr>
        <w:rPr>
          <w:noProof/>
        </w:rPr>
      </w:pPr>
      <w:r w:rsidRPr="00797162">
        <w:rPr>
          <w:noProof/>
        </w:rPr>
        <w:t xml:space="preserve">Tuumaohutusalase koostöö ja dekomissioneerimise instrumendi ettepanek on ajendatud kahest peamisest tegurist: 1) komisjoni kindel kavatsus jätkata praeguse tuumaohutusalase koostöö instrumendi rakendamist ka järgmise mitmeaastase finantsraamistiku ajal; 2) juriidilised kohustused jätkata Teadusuuringute Ühiskeskuse käimasolevaid dekomissioneerimistöid. Sellega kooskõlas jätkatakse uue instrumendi kavandatud tegevustega praeguse instrumendi ning Teadusuuringute Ühiskeskuse tuumarajatiste dekomissioneerimise ja tuumajäätmete käitlemise programmi tegevusi. Tehtud on ka väikesi muudatusi, et kasutada ära 2021.–2027. aasta </w:t>
      </w:r>
      <w:hyperlink r:id="rId10" w:tgtFrame="_blank" w:history="1">
        <w:r w:rsidRPr="00797162">
          <w:rPr>
            <w:rStyle w:val="Hyperlink"/>
            <w:noProof/>
          </w:rPr>
          <w:t>mitmeaastase finantsraamistiku</w:t>
        </w:r>
      </w:hyperlink>
      <w:r w:rsidRPr="00797162">
        <w:rPr>
          <w:noProof/>
        </w:rPr>
        <w:t xml:space="preserve"> rakendamisel saadud õppetunde, järgida hiljutisi arenguid tuumatehnoloogia valdkonnas ning võtta paremini arvesse võimalikke tulevasi muutusi ja ELi prioriteete.</w:t>
      </w:r>
    </w:p>
    <w:p w14:paraId="00FC9CE9" w14:textId="77777777" w:rsidR="00BF22EA" w:rsidRPr="00797162" w:rsidRDefault="00BF22EA" w:rsidP="00BF22EA">
      <w:pPr>
        <w:rPr>
          <w:noProof/>
        </w:rPr>
      </w:pPr>
      <w:r w:rsidRPr="00797162">
        <w:rPr>
          <w:noProof/>
        </w:rPr>
        <w:t xml:space="preserve">Välis- ja sisekomponendid on vajaduse korral endiselt eristatavad, et võimaldada selgust vahendite jaotamisel ja võtta arvesse erinevaid vajadusi. Instrumendi </w:t>
      </w:r>
      <w:r w:rsidRPr="00797162">
        <w:rPr>
          <w:noProof/>
          <w:u w:val="single"/>
        </w:rPr>
        <w:t>väliskomponent</w:t>
      </w:r>
      <w:r w:rsidRPr="00797162">
        <w:rPr>
          <w:noProof/>
        </w:rPr>
        <w:t xml:space="preserve"> täiendab programmi „Globaalne Euroopa“ ja </w:t>
      </w:r>
      <w:r w:rsidRPr="00797162">
        <w:rPr>
          <w:noProof/>
          <w:u w:val="single"/>
        </w:rPr>
        <w:t>sisekomponent</w:t>
      </w:r>
      <w:r w:rsidRPr="00797162">
        <w:rPr>
          <w:noProof/>
        </w:rPr>
        <w:t xml:space="preserve"> järgib Teadusuuringute Ühiskeskuse praeguse tuumarajatiste dekomissioneerimise ja tuumajäätmete käitlemise kava eesmärke.</w:t>
      </w:r>
    </w:p>
    <w:p w14:paraId="761C43F9" w14:textId="77777777" w:rsidR="00BF22EA" w:rsidRPr="00797162" w:rsidRDefault="00BF22EA" w:rsidP="00BF22EA">
      <w:pPr>
        <w:rPr>
          <w:i/>
          <w:noProof/>
          <w:u w:val="single"/>
        </w:rPr>
      </w:pPr>
      <w:r w:rsidRPr="00797162">
        <w:rPr>
          <w:i/>
          <w:noProof/>
          <w:u w:val="single"/>
        </w:rPr>
        <w:t>Probleemid, mida ettepanekuga loodetakse lahendada</w:t>
      </w:r>
    </w:p>
    <w:p w14:paraId="3568A38A" w14:textId="77777777" w:rsidR="00BF22EA" w:rsidRPr="00797162" w:rsidRDefault="00BF22EA" w:rsidP="00BF22EA">
      <w:pPr>
        <w:rPr>
          <w:noProof/>
        </w:rPr>
      </w:pPr>
      <w:r w:rsidRPr="00797162">
        <w:rPr>
          <w:noProof/>
        </w:rPr>
        <w:t xml:space="preserve">Kõrgetasemelise tuumaohutuse tagamine ja elanikkonna ning tööalaselt kiirgusega kokkupuutuvate töötajate piisav kiirguskaitse on alati olnud üks Euroopa Liidu prioriteete. Kuna ulatuslikel tuumaõnnetustel võib olla piiriülene mõju ja radioaktiivne saastus võib levida mitmesse riiki, on Euratom pidevalt teinud tuumaohutusalast koostööd partnerriikidega, eriti geograafilises läheduses asuvate, aga ka kaugemate riikidega. </w:t>
      </w:r>
    </w:p>
    <w:p w14:paraId="0A56C2B9" w14:textId="77777777" w:rsidR="00BF22EA" w:rsidRPr="00797162" w:rsidRDefault="00BF22EA" w:rsidP="00BF22EA">
      <w:pPr>
        <w:rPr>
          <w:noProof/>
        </w:rPr>
      </w:pPr>
      <w:r w:rsidRPr="00797162">
        <w:rPr>
          <w:noProof/>
        </w:rPr>
        <w:t>Tuumaohutusalase koostöö ja dekomissioneerimise instrument aitab suurendada tuuma- ja kiirgusohutust partnerriikides, et tagada ELi kodanike tuumaohutus ja kaitsta keskkonda. See pakub ühendusele otsest huvi, kuna tuuma- või kiirgusõnnetuste võimaliku ohu vähendamine kolmandates riikides suurendab tuumaohutust ja -julgeolekut ELis ning ülemaailmset kindlustunnet tuumaenergia rahuotstarbelise kasutamise suhtes.</w:t>
      </w:r>
    </w:p>
    <w:p w14:paraId="3D78E1AA" w14:textId="77777777" w:rsidR="00BF22EA" w:rsidRPr="00797162" w:rsidRDefault="00BF22EA" w:rsidP="00BF22EA">
      <w:pPr>
        <w:rPr>
          <w:rFonts w:eastAsia="Times New Roman"/>
          <w:noProof/>
        </w:rPr>
      </w:pPr>
      <w:r w:rsidRPr="00797162">
        <w:rPr>
          <w:noProof/>
        </w:rPr>
        <w:t>Euratomi asutamislepinguga loodi Tuumauuringute Ühiskeskus (millest on nüüdseks saanud Teadusuuringute Ühiskeskus) kui uurimisinstituut, mis vastutab tuumauuringute programmide rakendamise ja muude komisjoni määratud ülesannete täitmise eest. Teadusuuringute Ühiskeskus omab praegu tuumauuringute rajatisi neljas liikmesriigis: Belgias (Geel), Saksamaal (Karlsruhe), Itaalias (Ispra) ja Madalmaades (Petten). Mõned neist rajatistest on lõplikult suletud, samas kui teised on veel töös. Teadusuuringute Ühiskeskus vastutab kasutatud tuumkütuse ja radioaktiivsete jäätmete ohutu käitlemise eest nendes rajatistes kooskõlas vastava Euroopa direktiivi</w:t>
      </w:r>
      <w:r w:rsidRPr="00797162">
        <w:rPr>
          <w:rStyle w:val="FootnoteReference"/>
          <w:noProof/>
        </w:rPr>
        <w:footnoteReference w:id="8"/>
      </w:r>
      <w:r w:rsidRPr="00797162">
        <w:rPr>
          <w:noProof/>
        </w:rPr>
        <w:t xml:space="preserve"> ja asukohariikide asjakohaste eeskirjadega. </w:t>
      </w:r>
    </w:p>
    <w:p w14:paraId="617601E9" w14:textId="77777777" w:rsidR="00BF22EA" w:rsidRPr="00797162" w:rsidRDefault="00BF22EA" w:rsidP="00BF22EA">
      <w:pPr>
        <w:rPr>
          <w:rFonts w:eastAsia="Times New Roman"/>
          <w:noProof/>
          <w:szCs w:val="24"/>
          <w:vertAlign w:val="superscript"/>
        </w:rPr>
      </w:pPr>
      <w:r w:rsidRPr="00797162">
        <w:rPr>
          <w:noProof/>
        </w:rPr>
        <w:t>Euroopa Komisjon vastutab tegevuse lõpetanud tuumarajatiste dekomissioneerimise eest kooskõlas vastavate asukohaliikmesriikide tuumaohutusasutustele esitatud dekomissioneerimiskavadega. See töö on pooleli ning instrumendi sisekomponendi eesmärk on jätkata ja edendada seda tegevust ning levitada dekomissioneerimise ja radioaktiivsete jäätmete käitlemise käigus omandatud väärtuslikke teadmisi nii Teadusuuringute Ühiskeskuse tegevuskohtades kui ka tuumarajatiste dekomissioneerimise abiprogrammide raames</w:t>
      </w:r>
      <w:r w:rsidRPr="00797162">
        <w:rPr>
          <w:rStyle w:val="FootnoteReference"/>
          <w:rFonts w:eastAsia="Times New Roman"/>
          <w:noProof/>
          <w:szCs w:val="24"/>
        </w:rPr>
        <w:footnoteReference w:id="9"/>
      </w:r>
      <w:r w:rsidRPr="00797162">
        <w:rPr>
          <w:noProof/>
        </w:rPr>
        <w:t xml:space="preserve"> kõigile ELi liikmesriikidele.</w:t>
      </w:r>
    </w:p>
    <w:p w14:paraId="0734289B" w14:textId="77777777" w:rsidR="00BF22EA" w:rsidRPr="00797162" w:rsidRDefault="00BF22EA" w:rsidP="00BF22EA">
      <w:pPr>
        <w:rPr>
          <w:noProof/>
        </w:rPr>
      </w:pPr>
      <w:r w:rsidRPr="00797162">
        <w:rPr>
          <w:noProof/>
        </w:rPr>
        <w:t>Seega püütakse uue õigusaktiga täita kahte Euratomi õiguslikust alusest tulenevat nõuet.</w:t>
      </w:r>
    </w:p>
    <w:p w14:paraId="7706776E" w14:textId="77777777" w:rsidR="00BF22EA" w:rsidRPr="00797162" w:rsidRDefault="00BF22EA" w:rsidP="00BF22EA">
      <w:pPr>
        <w:rPr>
          <w:i/>
          <w:noProof/>
          <w:u w:val="single"/>
        </w:rPr>
      </w:pPr>
      <w:r w:rsidRPr="00797162">
        <w:rPr>
          <w:i/>
          <w:noProof/>
          <w:u w:val="single"/>
        </w:rPr>
        <w:t>Peamised eesmärgid</w:t>
      </w:r>
    </w:p>
    <w:p w14:paraId="4E20AED8" w14:textId="77777777" w:rsidR="00BF22EA" w:rsidRPr="00797162" w:rsidRDefault="00BF22EA" w:rsidP="00BF22EA">
      <w:pPr>
        <w:rPr>
          <w:noProof/>
        </w:rPr>
      </w:pPr>
      <w:r w:rsidRPr="00797162">
        <w:rPr>
          <w:noProof/>
          <w:u w:val="single"/>
        </w:rPr>
        <w:t>Väliskomponent:</w:t>
      </w:r>
      <w:r w:rsidRPr="00797162">
        <w:rPr>
          <w:noProof/>
        </w:rPr>
        <w:t xml:space="preserve"> edendada tuumaohutuse kõrget taset, kiirguskaitset, kasutatud tuumkütuse ja radioaktiivsete jäätmete ohutut käitlemist ning tõhusate ja tulemuslike kaitsemeetmete rakendamist partnerriikides. Selle eesmärgi saavutamiseks jagatakse partnerriikide peamiste sidusrühmadega ELiga seotud eksperditeadmisi ja parimaid tavasid, sealhulgas luuakse partnerlusi tuumavaldkonda reguleerivate asutuste ja nende tehnilise toe organisatsioonidega.</w:t>
      </w:r>
    </w:p>
    <w:p w14:paraId="56E08649" w14:textId="77777777" w:rsidR="00BF22EA" w:rsidRPr="00797162" w:rsidRDefault="00BF22EA" w:rsidP="00BF22EA">
      <w:pPr>
        <w:rPr>
          <w:noProof/>
        </w:rPr>
      </w:pPr>
      <w:r w:rsidRPr="00797162">
        <w:rPr>
          <w:noProof/>
          <w:u w:val="single"/>
        </w:rPr>
        <w:t>Sisekomponent:</w:t>
      </w:r>
      <w:r w:rsidRPr="00797162">
        <w:rPr>
          <w:noProof/>
        </w:rPr>
        <w:t xml:space="preserve"> jätkata komisjoni tuumarajatiste dekomissioneerimist Teadusuuringute Ühiskeskuse asjaomastes tegevuskohtades kooskõlas vastavates dekomissioneerimiskavades kindlaks määratud vajadustega ning käidelda ohutult kasutatud tuumkütust, tuumamaterjali ja radioaktiivseid jäätmeid.</w:t>
      </w:r>
    </w:p>
    <w:p w14:paraId="7E8C74FC" w14:textId="77777777" w:rsidR="00BF22EA" w:rsidRPr="00797162" w:rsidRDefault="00BF22EA" w:rsidP="00BF22EA">
      <w:pPr>
        <w:rPr>
          <w:i/>
          <w:noProof/>
          <w:u w:val="single"/>
        </w:rPr>
      </w:pPr>
      <w:r w:rsidRPr="00797162">
        <w:rPr>
          <w:i/>
          <w:noProof/>
          <w:u w:val="single"/>
        </w:rPr>
        <w:t>Institutsiooniline raamistik</w:t>
      </w:r>
    </w:p>
    <w:p w14:paraId="6D70D8E9" w14:textId="77777777" w:rsidR="00BF22EA" w:rsidRPr="00797162" w:rsidRDefault="00BF22EA" w:rsidP="00BF22EA">
      <w:pPr>
        <w:rPr>
          <w:noProof/>
        </w:rPr>
      </w:pPr>
      <w:r w:rsidRPr="00797162">
        <w:rPr>
          <w:noProof/>
        </w:rPr>
        <w:t xml:space="preserve">Euroopa hakkas rahvusvahelisse tuumaohutusalasesse koostöösse panustama aastatel 1991–2006 pärast Tšornobõli tuumaõnnetust Sõltumatute Riikide Ühendusse kuuluvatele riikidele tehnilise abi andmise programmiga. Rohkem kui kolme aastakümne jooksul on erinevates EÜ institutsioonides ja Euratomi ühenduse ekspertorganisatsioonides kogutud märkimisväärseid teadmisi ja kogemusi, mis hõlmavad kogu tuumaohutuse valdkonda. </w:t>
      </w:r>
    </w:p>
    <w:p w14:paraId="1D3E5C1B" w14:textId="18DD9491" w:rsidR="00BF22EA" w:rsidRPr="00797162" w:rsidRDefault="00DA49D1" w:rsidP="00BF22EA">
      <w:pPr>
        <w:pStyle w:val="Text1"/>
        <w:ind w:left="0"/>
        <w:rPr>
          <w:noProof/>
        </w:rPr>
      </w:pPr>
      <w:r w:rsidRPr="00797162">
        <w:rPr>
          <w:noProof/>
        </w:rPr>
        <w:t>Mis puudutab instrumendi sisekomponenti,</w:t>
      </w:r>
      <w:r w:rsidR="00BF22EA" w:rsidRPr="00797162">
        <w:rPr>
          <w:noProof/>
        </w:rPr>
        <w:t xml:space="preserve"> kehtestas Euroopa Komisjon 1999. aastal </w:t>
      </w:r>
      <w:r w:rsidRPr="00797162">
        <w:rPr>
          <w:noProof/>
        </w:rPr>
        <w:t>programmi varasemate ja käimasolevate tuumauuringutega seotud rajatiste dekomissioneerimiseks pärast nende tegevuse lõppu</w:t>
      </w:r>
      <w:r w:rsidR="00BF22EA" w:rsidRPr="00797162">
        <w:rPr>
          <w:noProof/>
        </w:rPr>
        <w:t>. Sellest ajast alates koordineerib dekomissioneerimist Teadusuuringute Ühiskeskuse kõigis tegevuskohtades spetsiaalne direktoraat konkreetse programmi alusel. Käesoleva ettepanekuga nähakse ette asjakohaste institutsiooniliste teadmiste tõhus ja tulemuslik kasutamine järgmisel mitmeaastase finantsraamistiku perioodil. Teadusuuringute Ühiskeskus on praeguse mitmeaastase finantsraamistiku raames algatanud teadmushalduse programmi, et jagada kogemusi ja oskusteavet, mis on saadud käimasoleva dekomissioneerimistegevuse käigus, mida EL rahastab Teadusuuringute Ühiskeskuse tegevuskohtades, ning Leedus, Slovakkias ja Bulgaarias.</w:t>
      </w:r>
    </w:p>
    <w:p w14:paraId="7C603C37" w14:textId="77777777" w:rsidR="00BF22EA" w:rsidRPr="00797162" w:rsidRDefault="00BF22EA" w:rsidP="00BF22EA">
      <w:pPr>
        <w:pStyle w:val="ManualHeading2"/>
        <w:rPr>
          <w:noProof/>
          <w:u w:color="000000"/>
          <w:bdr w:val="nil"/>
        </w:rPr>
      </w:pPr>
      <w:r w:rsidRPr="00797162">
        <w:rPr>
          <w:noProof/>
          <w:u w:color="000000"/>
          <w:bdr w:val="nil"/>
        </w:rPr>
        <w:t>•</w:t>
      </w:r>
      <w:r w:rsidRPr="00797162">
        <w:rPr>
          <w:noProof/>
        </w:rPr>
        <w:tab/>
        <w:t>Kooskõla poliitikavaldkonnas praegu kehtivate õigusnormidega</w:t>
      </w:r>
    </w:p>
    <w:p w14:paraId="12F303F8" w14:textId="77777777" w:rsidR="00BF22EA" w:rsidRPr="00797162" w:rsidRDefault="00BF22EA" w:rsidP="00BF22EA">
      <w:pPr>
        <w:pBdr>
          <w:top w:val="nil"/>
          <w:left w:val="nil"/>
          <w:bottom w:val="nil"/>
          <w:right w:val="nil"/>
          <w:between w:val="nil"/>
          <w:bar w:val="nil"/>
        </w:pBdr>
        <w:rPr>
          <w:i/>
          <w:noProof/>
          <w:u w:val="single"/>
        </w:rPr>
      </w:pPr>
      <w:r w:rsidRPr="00797162">
        <w:rPr>
          <w:i/>
          <w:noProof/>
          <w:u w:val="single"/>
        </w:rPr>
        <w:t>Asjakohased olemasolevad poliitikasätted</w:t>
      </w:r>
    </w:p>
    <w:p w14:paraId="0FEBE97C" w14:textId="77777777" w:rsidR="00BF22EA" w:rsidRPr="00797162" w:rsidRDefault="00BF22EA" w:rsidP="00BF22EA">
      <w:pPr>
        <w:pBdr>
          <w:top w:val="nil"/>
          <w:left w:val="nil"/>
          <w:bottom w:val="nil"/>
          <w:right w:val="nil"/>
          <w:between w:val="nil"/>
          <w:bar w:val="nil"/>
        </w:pBdr>
        <w:rPr>
          <w:noProof/>
        </w:rPr>
      </w:pPr>
      <w:r w:rsidRPr="00797162">
        <w:rPr>
          <w:noProof/>
        </w:rPr>
        <w:t>Väliskomponent loob tugiraamistiku, mille kaudu saab koostöös partnerriikidega rakendada tuuma- ja kiirgusohutusega seotud välistegevust ja täita rahvusvahelisi kohustusi. Selles mõttes on tegemist määruse (Euratom) 2021/948 kohase tuumaohutusalase rahvusvahelise koostöö Euroopa instrumendi kohandatud jätkuga. Väliskomponent täiendab seega naabruspiirkonna, arengu- ja rahvusvahelise koostöö instrumenti „Globaalne Euroopa“ ning täidab jätkuvalt järgmisi eesmärke:</w:t>
      </w:r>
    </w:p>
    <w:p w14:paraId="6868E9D9" w14:textId="77777777" w:rsidR="00BF22EA" w:rsidRPr="00797162" w:rsidRDefault="00BF22EA" w:rsidP="006C4068">
      <w:pPr>
        <w:pStyle w:val="Bullet0"/>
        <w:numPr>
          <w:ilvl w:val="0"/>
          <w:numId w:val="23"/>
        </w:numPr>
        <w:rPr>
          <w:noProof/>
        </w:rPr>
      </w:pPr>
      <w:r w:rsidRPr="00797162">
        <w:rPr>
          <w:noProof/>
        </w:rPr>
        <w:t>kõrgetasemelise tuumaohutuse ja kiirguskaitse edendamine;</w:t>
      </w:r>
    </w:p>
    <w:p w14:paraId="1BE025B1" w14:textId="77777777" w:rsidR="00BF22EA" w:rsidRPr="00797162" w:rsidRDefault="00BF22EA" w:rsidP="00BF22EA">
      <w:pPr>
        <w:pStyle w:val="Bullet0"/>
        <w:rPr>
          <w:noProof/>
        </w:rPr>
      </w:pPr>
      <w:r w:rsidRPr="00797162">
        <w:rPr>
          <w:noProof/>
        </w:rPr>
        <w:t>kasutatud tuumkütuse ja radioaktiivsete jäätmete ohutu käitlemise edendamine;</w:t>
      </w:r>
    </w:p>
    <w:p w14:paraId="0112B472" w14:textId="77777777" w:rsidR="00BF22EA" w:rsidRPr="00797162" w:rsidRDefault="00BF22EA" w:rsidP="00BF22EA">
      <w:pPr>
        <w:pStyle w:val="Bullet0"/>
        <w:rPr>
          <w:noProof/>
        </w:rPr>
      </w:pPr>
      <w:r w:rsidRPr="00797162">
        <w:rPr>
          <w:noProof/>
        </w:rPr>
        <w:t>tuumamaterjalide tõhusate ja tulemuslike kaitsemeetmete edendamine.</w:t>
      </w:r>
    </w:p>
    <w:p w14:paraId="45A13548" w14:textId="77777777" w:rsidR="00BF22EA" w:rsidRPr="00797162" w:rsidRDefault="00BF22EA" w:rsidP="00BF22EA">
      <w:pPr>
        <w:rPr>
          <w:noProof/>
        </w:rPr>
      </w:pPr>
      <w:r w:rsidRPr="00797162">
        <w:rPr>
          <w:noProof/>
        </w:rPr>
        <w:t>Väliskomponenti käsitlev ettepanek sisaldab praeguse tuumaohutusalase koostöö instrumendiga võrreldes järgmisi täiustusi:</w:t>
      </w:r>
    </w:p>
    <w:p w14:paraId="5485EA04" w14:textId="77777777" w:rsidR="00BF22EA" w:rsidRPr="00797162" w:rsidRDefault="00BF22EA" w:rsidP="00BF22EA">
      <w:pPr>
        <w:pStyle w:val="Bullet0"/>
        <w:rPr>
          <w:noProof/>
        </w:rPr>
      </w:pPr>
      <w:r w:rsidRPr="00797162">
        <w:rPr>
          <w:noProof/>
        </w:rPr>
        <w:t xml:space="preserve">toetuse tagamine uuenduslike tehnoloogiate (nt väikesed moodulreaktorid) ohutuks kasutamiseks, järgides tuumatehnoloogia rakenduste võimalikku ja prognoositavat arengut; </w:t>
      </w:r>
    </w:p>
    <w:p w14:paraId="306F7F1C" w14:textId="77777777" w:rsidR="00BF22EA" w:rsidRPr="00797162" w:rsidRDefault="00BF22EA" w:rsidP="00BF22EA">
      <w:pPr>
        <w:pStyle w:val="Bullet0"/>
        <w:rPr>
          <w:noProof/>
        </w:rPr>
      </w:pPr>
      <w:r w:rsidRPr="00797162">
        <w:rPr>
          <w:noProof/>
        </w:rPr>
        <w:t>kiire ja nõuetekohase reageerimise tagamine erakorralistel juhtudel (sealhulgas sõjaolukorras);</w:t>
      </w:r>
    </w:p>
    <w:p w14:paraId="406C1EFA" w14:textId="77777777" w:rsidR="00BF22EA" w:rsidRPr="00797162" w:rsidRDefault="00BF22EA" w:rsidP="00BF22EA">
      <w:pPr>
        <w:pStyle w:val="Bullet0"/>
        <w:rPr>
          <w:noProof/>
        </w:rPr>
      </w:pPr>
      <w:r w:rsidRPr="00797162">
        <w:rPr>
          <w:noProof/>
        </w:rPr>
        <w:t>toetuse laiendamine tuumajaamade käitajatele;</w:t>
      </w:r>
    </w:p>
    <w:p w14:paraId="0EED3371" w14:textId="77777777" w:rsidR="00BF22EA" w:rsidRPr="00797162" w:rsidRDefault="00BF22EA" w:rsidP="00BF22EA">
      <w:pPr>
        <w:pStyle w:val="Bullet0"/>
        <w:rPr>
          <w:noProof/>
        </w:rPr>
      </w:pPr>
      <w:r w:rsidRPr="00797162">
        <w:rPr>
          <w:noProof/>
        </w:rPr>
        <w:t>hädaolukordadeks valmisoleku ja neile reageerimise suutlikkuse toetuse suurendamine;</w:t>
      </w:r>
    </w:p>
    <w:p w14:paraId="3CDB28A1" w14:textId="77777777" w:rsidR="00BF22EA" w:rsidRPr="00797162" w:rsidRDefault="00BF22EA" w:rsidP="00BF22EA">
      <w:pPr>
        <w:pStyle w:val="Bullet0"/>
        <w:rPr>
          <w:noProof/>
        </w:rPr>
      </w:pPr>
      <w:r w:rsidRPr="00797162">
        <w:rPr>
          <w:noProof/>
        </w:rPr>
        <w:t>keskkonnakahju heastamise toetuse suurendamine, et aidata rohkem kaasa ülemaailmsele keskkonnakaitsealasele tööle;</w:t>
      </w:r>
    </w:p>
    <w:p w14:paraId="3EB27344" w14:textId="77777777" w:rsidR="00BF22EA" w:rsidRPr="00797162" w:rsidRDefault="00BF22EA" w:rsidP="00BF22EA">
      <w:pPr>
        <w:pStyle w:val="Bullet0"/>
        <w:rPr>
          <w:noProof/>
        </w:rPr>
      </w:pPr>
      <w:r w:rsidRPr="00797162">
        <w:rPr>
          <w:noProof/>
        </w:rPr>
        <w:t>terviklikuma lähenemise võimaldamine, sealhulgas abimenetluste ja koostööst kasusaajate väljavalimisel.</w:t>
      </w:r>
    </w:p>
    <w:p w14:paraId="5EFCDC2E" w14:textId="77777777" w:rsidR="00BF22EA" w:rsidRPr="00797162" w:rsidRDefault="00BF22EA" w:rsidP="00BF22EA">
      <w:pPr>
        <w:pBdr>
          <w:top w:val="nil"/>
          <w:left w:val="nil"/>
          <w:bottom w:val="nil"/>
          <w:right w:val="nil"/>
          <w:between w:val="nil"/>
          <w:bar w:val="nil"/>
        </w:pBdr>
        <w:rPr>
          <w:noProof/>
        </w:rPr>
      </w:pPr>
      <w:r w:rsidRPr="00797162">
        <w:rPr>
          <w:noProof/>
        </w:rPr>
        <w:t xml:space="preserve">Tuumaohutusalase koostöö ja dekomissioneerimise instrumendi sisekomponendi eesmärk on jätkata ja edendada Teadusuuringute Ühiskeskuse käimasolevat dekomissioneerimistegevust. Selles mõttes võib seda pidada ka Teadusuuringute Ühiskeskuse praeguse tuumarajatiste dekomissioneerimise ja tuumajäätmete käitlemise kava otseseks jätkuks määruse (Euratom) 2021/100 alusel. Seega taotleb see praeguse kavaga sarnaseid eesmärke, sealhulgas seoses dekomissioneerimist käsitleva oskusteabe levitamisega ELi liikmesriikidele. </w:t>
      </w:r>
    </w:p>
    <w:p w14:paraId="2597C0CE" w14:textId="77777777" w:rsidR="00BF22EA" w:rsidRPr="00797162" w:rsidRDefault="00BF22EA" w:rsidP="006C4068">
      <w:pPr>
        <w:pStyle w:val="Bullet0"/>
        <w:numPr>
          <w:ilvl w:val="0"/>
          <w:numId w:val="23"/>
        </w:numPr>
        <w:pBdr>
          <w:bar w:val="nil"/>
        </w:pBdr>
        <w:rPr>
          <w:noProof/>
        </w:rPr>
      </w:pPr>
      <w:r w:rsidRPr="00797162">
        <w:rPr>
          <w:noProof/>
        </w:rPr>
        <w:t>Ettepanek sisaldab ka sisekomponendi uut punkti: konkreetne ajakava läbirääkimisteks asjaomaste liikmesriikidega tuumavastutuse võimaliku üleandmise üle Teadusuuringute Ühiskeskuselt asukohaliikmesriigile.</w:t>
      </w:r>
    </w:p>
    <w:p w14:paraId="49CC6E7C" w14:textId="77777777" w:rsidR="00BF22EA" w:rsidRPr="00797162" w:rsidRDefault="00BF22EA" w:rsidP="00BF22EA">
      <w:pPr>
        <w:pBdr>
          <w:top w:val="nil"/>
          <w:left w:val="nil"/>
          <w:bottom w:val="nil"/>
          <w:right w:val="nil"/>
          <w:between w:val="nil"/>
          <w:bar w:val="nil"/>
        </w:pBdr>
        <w:rPr>
          <w:i/>
          <w:noProof/>
          <w:u w:val="single"/>
        </w:rPr>
      </w:pPr>
    </w:p>
    <w:p w14:paraId="42B7681C" w14:textId="77777777" w:rsidR="00BF22EA" w:rsidRPr="00797162" w:rsidRDefault="00BF22EA" w:rsidP="00BF22EA">
      <w:pPr>
        <w:pBdr>
          <w:top w:val="nil"/>
          <w:left w:val="nil"/>
          <w:bottom w:val="nil"/>
          <w:right w:val="nil"/>
          <w:between w:val="nil"/>
          <w:bar w:val="nil"/>
        </w:pBdr>
        <w:rPr>
          <w:i/>
          <w:noProof/>
          <w:u w:val="single"/>
        </w:rPr>
      </w:pPr>
      <w:r w:rsidRPr="00797162">
        <w:rPr>
          <w:i/>
          <w:noProof/>
          <w:u w:val="single"/>
        </w:rPr>
        <w:t>Ettepaneku ajastus</w:t>
      </w:r>
    </w:p>
    <w:p w14:paraId="1121C494" w14:textId="77777777" w:rsidR="00BF22EA" w:rsidRPr="00797162" w:rsidRDefault="00BF22EA" w:rsidP="00BF22EA">
      <w:pPr>
        <w:pBdr>
          <w:top w:val="nil"/>
          <w:left w:val="nil"/>
          <w:bottom w:val="nil"/>
          <w:right w:val="nil"/>
          <w:between w:val="nil"/>
          <w:bar w:val="nil"/>
        </w:pBdr>
        <w:rPr>
          <w:noProof/>
        </w:rPr>
      </w:pPr>
      <w:r w:rsidRPr="00797162">
        <w:rPr>
          <w:noProof/>
        </w:rPr>
        <w:t xml:space="preserve">Väliskomponent asendab tuumaohutusalase koostöö instrumendi 2028. aastal, et tagada sellega seotud tegevuste sujuv jätkumine. </w:t>
      </w:r>
    </w:p>
    <w:p w14:paraId="577F2367" w14:textId="77777777" w:rsidR="00BF22EA" w:rsidRPr="00797162" w:rsidRDefault="00BF22EA" w:rsidP="00BF22EA">
      <w:pPr>
        <w:pBdr>
          <w:top w:val="nil"/>
          <w:left w:val="nil"/>
          <w:bottom w:val="nil"/>
          <w:right w:val="nil"/>
          <w:between w:val="nil"/>
          <w:bar w:val="nil"/>
        </w:pBdr>
        <w:rPr>
          <w:noProof/>
        </w:rPr>
      </w:pPr>
      <w:r w:rsidRPr="00797162">
        <w:rPr>
          <w:noProof/>
        </w:rPr>
        <w:t>Tuumaohutusalase koostöö ja dekomissioneerimise instrumendi sisekomponent asendab Teadusuuringute Ühiskeskuse tuumarajatiste dekomissioneerimise ja tuumajäätmete käitlemise kava, et tagada Teadusuuringute Ühiskeskuse dekomissioneerimistegevuse sujuv jätkumine.</w:t>
      </w:r>
    </w:p>
    <w:p w14:paraId="437E04C1" w14:textId="77777777" w:rsidR="00BF22EA" w:rsidRPr="00797162" w:rsidRDefault="00BF22EA" w:rsidP="00BF22EA">
      <w:pPr>
        <w:pStyle w:val="ManualHeading2"/>
        <w:rPr>
          <w:noProof/>
        </w:rPr>
      </w:pPr>
      <w:r w:rsidRPr="00797162">
        <w:rPr>
          <w:noProof/>
          <w:u w:color="000000"/>
          <w:bdr w:val="nil"/>
        </w:rPr>
        <w:t>•</w:t>
      </w:r>
      <w:r w:rsidRPr="00797162">
        <w:rPr>
          <w:noProof/>
        </w:rPr>
        <w:tab/>
        <w:t>Kooskõla muude liidu tegevuspõhimõtetega</w:t>
      </w:r>
    </w:p>
    <w:p w14:paraId="54892DE3" w14:textId="77777777" w:rsidR="00BF22EA" w:rsidRPr="00797162" w:rsidRDefault="00BF22EA" w:rsidP="00BF22EA">
      <w:pPr>
        <w:pStyle w:val="Default"/>
        <w:spacing w:before="120" w:after="120"/>
        <w:jc w:val="both"/>
        <w:rPr>
          <w:noProof/>
          <w:color w:val="auto"/>
          <w:lang w:val="et-EE"/>
        </w:rPr>
      </w:pPr>
      <w:r w:rsidRPr="00797162">
        <w:rPr>
          <w:noProof/>
          <w:color w:val="auto"/>
          <w:lang w:val="et-EE"/>
        </w:rPr>
        <w:t>Käesoleva määruse rakendamisel tagatakse kooskõla muude välistegevuse valdkondade ja teiste asjakohaste ELi poliitikavaldkondadega. Nagu on kajastatud ÜRO kestliku arengu tegevuskavas aastani 2030</w:t>
      </w:r>
      <w:r w:rsidRPr="00797162">
        <w:rPr>
          <w:rStyle w:val="FootnoteReference"/>
          <w:noProof/>
          <w:color w:val="auto"/>
          <w:lang w:val="et-EE"/>
        </w:rPr>
        <w:footnoteReference w:id="10"/>
      </w:r>
      <w:r w:rsidRPr="00797162">
        <w:rPr>
          <w:noProof/>
          <w:color w:val="auto"/>
          <w:lang w:val="et-EE"/>
        </w:rPr>
        <w:t xml:space="preserve"> ja kinnitatud Euroopa rohelise kokkuleppega,</w:t>
      </w:r>
      <w:r w:rsidRPr="00797162">
        <w:rPr>
          <w:rStyle w:val="FootnoteReference"/>
          <w:noProof/>
          <w:color w:val="auto"/>
          <w:lang w:val="et-EE"/>
        </w:rPr>
        <w:footnoteReference w:id="11"/>
      </w:r>
      <w:r w:rsidRPr="00797162">
        <w:rPr>
          <w:noProof/>
          <w:color w:val="auto"/>
          <w:lang w:val="et-EE"/>
        </w:rPr>
        <w:t xml:space="preserve"> tuleb selleks arvesse võtta kõigi poliitikameetmete mõju kestlikule arengule kõigil tasanditel – liikmesriikides, ELis, teistes riikides ja üleilmselt. </w:t>
      </w:r>
    </w:p>
    <w:p w14:paraId="2DB24C23" w14:textId="77777777" w:rsidR="00BF22EA" w:rsidRPr="00797162" w:rsidRDefault="00BF22EA" w:rsidP="00BF22EA">
      <w:pPr>
        <w:rPr>
          <w:noProof/>
        </w:rPr>
      </w:pPr>
      <w:r w:rsidRPr="00797162">
        <w:rPr>
          <w:noProof/>
        </w:rPr>
        <w:t>Püütakse saavutada koostoimet muude ELi programmide raames võetavate meetmetega, et maksimeerida sekkumiste mõju. Ettepaneku väliskomponendi raames rahastatavad meetmed peaksid olema järjepidevad ja täiendama meetmeid, mida rakendatakse „Globaalse Euroopa“</w:t>
      </w:r>
      <w:r w:rsidRPr="00797162">
        <w:rPr>
          <w:rStyle w:val="FootnoteReference"/>
          <w:noProof/>
        </w:rPr>
        <w:footnoteReference w:id="12"/>
      </w:r>
      <w:r w:rsidRPr="00797162">
        <w:rPr>
          <w:noProof/>
        </w:rPr>
        <w:t>, ülemeremaade ja -territooriumide, sealhulgas Gröönimaa assotsieerimise otsuse</w:t>
      </w:r>
      <w:r w:rsidRPr="00797162">
        <w:rPr>
          <w:rStyle w:val="FootnoteReference"/>
          <w:noProof/>
        </w:rPr>
        <w:footnoteReference w:id="13"/>
      </w:r>
      <w:r w:rsidRPr="00797162">
        <w:rPr>
          <w:noProof/>
        </w:rPr>
        <w:t xml:space="preserve"> ning ühise välis- ja julgeolekupoliitika raames.</w:t>
      </w:r>
    </w:p>
    <w:p w14:paraId="2C1F990F" w14:textId="77777777" w:rsidR="00BF22EA" w:rsidRPr="00797162" w:rsidRDefault="00BF22EA" w:rsidP="00BF22EA">
      <w:pPr>
        <w:pStyle w:val="Default"/>
        <w:spacing w:before="120" w:after="120"/>
        <w:jc w:val="both"/>
        <w:rPr>
          <w:noProof/>
          <w:color w:val="auto"/>
          <w:lang w:val="et-EE"/>
        </w:rPr>
      </w:pPr>
      <w:r w:rsidRPr="00797162">
        <w:rPr>
          <w:noProof/>
          <w:lang w:val="et-EE"/>
        </w:rPr>
        <w:t>Sisekomponendiga kavatsetakse otsida ELi ja rahvusvahelisel tasandil võimalikku koostoimet teadmushalduses ja sellise väärtusliku teabe levitamisel, mis on saadud Teadusuuringute Ühiskeskuse tuumarajatiste dekomissioneerimise ja tuumajäätmete käitlemise programmi ning tuumarajatiste dekomissioneerimise abiprogrammi rakendamisel Leedus, Slovakkias ja Bulgaarias.</w:t>
      </w:r>
      <w:r w:rsidRPr="00797162">
        <w:rPr>
          <w:noProof/>
          <w:color w:val="auto"/>
          <w:lang w:val="et-EE"/>
        </w:rPr>
        <w:t xml:space="preserve"> See hõlmab aktiivset teadmussiiret ELi tuumaohutusasutustele, dekomissioneerimisettevõtjatele ja radioaktiivsete jäätmete käitlemise organisatsioonidele ning koostööd rahvusvaheliste organisatsioonidega (nt Rahvusvaheline Aatomienergiaagentuur ja OECD Tuumaenergia Agentuur).</w:t>
      </w:r>
    </w:p>
    <w:p w14:paraId="533F8CB8" w14:textId="77777777" w:rsidR="00BF22EA" w:rsidRPr="00797162" w:rsidRDefault="00BF22EA" w:rsidP="00BF22EA">
      <w:pPr>
        <w:pStyle w:val="ManualHeading1"/>
        <w:rPr>
          <w:noProof/>
        </w:rPr>
      </w:pPr>
      <w:r w:rsidRPr="00797162">
        <w:rPr>
          <w:noProof/>
        </w:rPr>
        <w:t>2.</w:t>
      </w:r>
      <w:r w:rsidRPr="00797162">
        <w:rPr>
          <w:noProof/>
        </w:rPr>
        <w:tab/>
        <w:t>ÕIGUSLIK ALUS, SUBSIDIAARSUS JA PROPORTSIONAALSUS</w:t>
      </w:r>
    </w:p>
    <w:p w14:paraId="4806587E" w14:textId="77777777" w:rsidR="00BF22EA" w:rsidRPr="00797162" w:rsidRDefault="00BF22EA" w:rsidP="00BF22EA">
      <w:pPr>
        <w:pStyle w:val="ManualHeading2"/>
        <w:rPr>
          <w:noProof/>
          <w:u w:color="000000"/>
          <w:bdr w:val="nil"/>
        </w:rPr>
      </w:pPr>
      <w:r w:rsidRPr="00797162">
        <w:rPr>
          <w:noProof/>
          <w:u w:color="000000"/>
          <w:bdr w:val="nil"/>
        </w:rPr>
        <w:t>•</w:t>
      </w:r>
      <w:r w:rsidRPr="00797162">
        <w:rPr>
          <w:noProof/>
        </w:rPr>
        <w:tab/>
      </w:r>
      <w:r w:rsidRPr="00797162">
        <w:rPr>
          <w:noProof/>
          <w:u w:color="000000"/>
          <w:bdr w:val="nil"/>
        </w:rPr>
        <w:t>Õiguslik alus</w:t>
      </w:r>
    </w:p>
    <w:p w14:paraId="367DB7F6" w14:textId="77777777" w:rsidR="00BF22EA" w:rsidRPr="00797162" w:rsidRDefault="00BF22EA" w:rsidP="00BF22EA">
      <w:pPr>
        <w:rPr>
          <w:noProof/>
        </w:rPr>
      </w:pPr>
      <w:r w:rsidRPr="00797162">
        <w:rPr>
          <w:noProof/>
        </w:rPr>
        <w:t>Käesoleva ettepaneku õiguslik alus on Euroopa Aatomienergiaühenduse (edaspidi „ühendus“) asutamislepingu</w:t>
      </w:r>
      <w:r w:rsidRPr="00797162">
        <w:rPr>
          <w:rStyle w:val="FootnoteReference"/>
          <w:noProof/>
        </w:rPr>
        <w:footnoteReference w:id="14"/>
      </w:r>
      <w:r w:rsidRPr="00797162">
        <w:rPr>
          <w:noProof/>
        </w:rPr>
        <w:t xml:space="preserve"> artikkel 203. </w:t>
      </w:r>
    </w:p>
    <w:p w14:paraId="10071836" w14:textId="77777777" w:rsidR="00BF22EA" w:rsidRPr="00797162" w:rsidRDefault="00BF22EA" w:rsidP="00BF22EA">
      <w:pPr>
        <w:rPr>
          <w:noProof/>
        </w:rPr>
      </w:pPr>
      <w:r w:rsidRPr="00797162">
        <w:rPr>
          <w:noProof/>
        </w:rPr>
        <w:t>Euratomi asutamislepingu</w:t>
      </w:r>
      <w:r w:rsidRPr="00797162">
        <w:rPr>
          <w:rStyle w:val="FootnoteReference"/>
          <w:noProof/>
        </w:rPr>
        <w:footnoteReference w:id="15"/>
      </w:r>
      <w:r w:rsidRPr="00797162">
        <w:rPr>
          <w:noProof/>
        </w:rPr>
        <w:t xml:space="preserve"> artikkel 203 on sise- ja väliskomponenti hõlmavate varasemate õigusaktide menetluse alus. Sellega volitatakse nõukogu komisjoni ettepaneku põhjal ja pärast konsulteerimist Euroopa Parlamendiga võtma asjakohaseid meetmeid Euratomi eesmärkide saavutamiseks. </w:t>
      </w:r>
    </w:p>
    <w:p w14:paraId="7B3879CC" w14:textId="77777777" w:rsidR="00BF22EA" w:rsidRPr="00797162" w:rsidRDefault="00BF22EA" w:rsidP="00BF22EA">
      <w:pPr>
        <w:pStyle w:val="ManualHeading2"/>
        <w:rPr>
          <w:noProof/>
          <w:u w:color="000000"/>
          <w:bdr w:val="nil"/>
        </w:rPr>
      </w:pPr>
      <w:r w:rsidRPr="00797162">
        <w:rPr>
          <w:noProof/>
          <w:u w:color="000000"/>
          <w:bdr w:val="nil"/>
        </w:rPr>
        <w:t>•</w:t>
      </w:r>
      <w:r w:rsidRPr="00797162">
        <w:rPr>
          <w:noProof/>
        </w:rPr>
        <w:tab/>
      </w:r>
      <w:r w:rsidRPr="00797162">
        <w:rPr>
          <w:noProof/>
          <w:u w:color="000000"/>
          <w:bdr w:val="nil"/>
        </w:rPr>
        <w:t xml:space="preserve">Subsidiaarsus (ainupädevusse mittekuuluva valdkonna puhul) </w:t>
      </w:r>
    </w:p>
    <w:p w14:paraId="40A5916D" w14:textId="77777777" w:rsidR="00BF22EA" w:rsidRPr="00797162" w:rsidRDefault="00BF22EA" w:rsidP="00BF22EA">
      <w:pPr>
        <w:widowControl w:val="0"/>
        <w:pBdr>
          <w:top w:val="nil"/>
          <w:left w:val="nil"/>
          <w:bottom w:val="nil"/>
          <w:right w:val="nil"/>
          <w:between w:val="nil"/>
        </w:pBdr>
        <w:rPr>
          <w:noProof/>
        </w:rPr>
      </w:pPr>
      <w:r w:rsidRPr="00797162">
        <w:rPr>
          <w:noProof/>
        </w:rPr>
        <w:t>Tuumaohutusalases koostöös kolmandate riikidega ei ole ELil ainupädevust. Paljud ELi liikmesriigid on alla kirjutanud asjakohastele mitmepoolsetele lepingutele rahvusvaheliste organisatsioonide (nt Rahvusvaheline Aatomienergiaagentuur, ÜRO või OECD Tuumaenergia Agentuur) egiidi all ning neil on ka teiste riikidega kahepoolsed lepingud tuumaenergia rahuotstarbelise kasutamise kohta. Need lepingud võivad hõlmata ühist teadus- ja arendustegevust või professionaalse abi andmist valitud tuumatehnoloogia valdkondades. Tuumaohutust reguleerivatel riiklikel reguleerivatel asutustel on sageli kahepoolsed koostöölepingud partnerriikide reguleerivate asutustega, et edendada regulatiivset teabevahetust ja jagada kogemusi. Lisaks Tuumarajatiste Käitajate Ülemaailmsele Ühendusele teevad tuumajaamade käitajad tavaliselt koostööd rahvusvaheliste kasutajaklubide kaudu, mis ühendavad teatavat liiki tuumajaama käitajaid, et jagada kogemusi ja häid tavasid.</w:t>
      </w:r>
    </w:p>
    <w:p w14:paraId="2AC8E86D" w14:textId="77777777" w:rsidR="00BF22EA" w:rsidRPr="00797162" w:rsidRDefault="00BF22EA" w:rsidP="00BF22EA">
      <w:pPr>
        <w:pStyle w:val="Bullet0"/>
        <w:rPr>
          <w:noProof/>
        </w:rPr>
      </w:pPr>
      <w:r w:rsidRPr="00797162">
        <w:rPr>
          <w:noProof/>
        </w:rPr>
        <w:t xml:space="preserve">Hoolimata ELi liikmesriikidele kättesaadavatest rikkalikest mitme- ja kahepoolsetest koostöövõimalustest, pakub tuumaohutusalane koostöö partnerriikidega ELi ja Euratomi raames märkimisväärseid eeliseid ja võib anda lisaväärtust. Euratomi riigiülese ühenduse staatus lisab poliitilist mõju, annab juurdepääsu mitmepoolsetele lepingutele, mille eesmärk on lahendada ülemaailmseid probleeme, ning sellest tulenevalt suurendab mõjujõudu. </w:t>
      </w:r>
    </w:p>
    <w:p w14:paraId="788971AA" w14:textId="77777777" w:rsidR="00BF22EA" w:rsidRPr="00797162" w:rsidRDefault="00BF22EA" w:rsidP="00BF22EA">
      <w:pPr>
        <w:pStyle w:val="Bullet0"/>
        <w:rPr>
          <w:noProof/>
        </w:rPr>
      </w:pPr>
      <w:r w:rsidRPr="00797162">
        <w:rPr>
          <w:noProof/>
        </w:rPr>
        <w:t>Ülemaailmne kohalolek on tagatud ELi delegatsioonide kaudu, kes tagavad võrgustiku vahetu ja usaldusväärse teabe hankimiseks kogu maailma riike mõjutavate arengute kohta.</w:t>
      </w:r>
    </w:p>
    <w:p w14:paraId="4BDA7F51" w14:textId="77777777" w:rsidR="00BF22EA" w:rsidRPr="00797162" w:rsidRDefault="00BF22EA" w:rsidP="00BF22EA">
      <w:pPr>
        <w:pStyle w:val="Bullet0"/>
        <w:rPr>
          <w:noProof/>
        </w:rPr>
      </w:pPr>
      <w:r w:rsidRPr="00797162">
        <w:rPr>
          <w:noProof/>
        </w:rPr>
        <w:t>Ühenduse tegevus täiendab liikmesriikide tegevust potentsiaalselt ohtlike olukordade lahendamisel või eriti kulukate sekkumiste käsitlemisel.</w:t>
      </w:r>
    </w:p>
    <w:p w14:paraId="18532A4F" w14:textId="77777777" w:rsidR="00BF22EA" w:rsidRPr="00797162" w:rsidRDefault="00BF22EA" w:rsidP="00BF22EA">
      <w:pPr>
        <w:pStyle w:val="Bullet0"/>
        <w:rPr>
          <w:noProof/>
        </w:rPr>
      </w:pPr>
      <w:r w:rsidRPr="00797162">
        <w:rPr>
          <w:noProof/>
        </w:rPr>
        <w:t>Koordineeritud tegevusega saab ühendus sekkuda suuremas ulatuses, minnes kaugemale üksikute liikmesriikide või teiste üksikrahastajate võimalikust panusest. Ulatuslike ja ambitsioonikate projektide puhul, nagu Kesk-Aasia varasemate uraanikaevanduste saneerimine või meetmed, millega jätkuvalt leevendatakse 1986. aasta Tšornobõli õnnetuse mõju, saab ELi ühistegevusega vahendeid tõhusamalt koordineerida.</w:t>
      </w:r>
    </w:p>
    <w:p w14:paraId="498AD10C" w14:textId="77777777" w:rsidR="00BF22EA" w:rsidRPr="00797162" w:rsidRDefault="00BF22EA" w:rsidP="00BF22EA">
      <w:pPr>
        <w:pStyle w:val="Bullet0"/>
        <w:rPr>
          <w:noProof/>
        </w:rPr>
      </w:pPr>
      <w:r w:rsidRPr="00797162">
        <w:rPr>
          <w:noProof/>
        </w:rPr>
        <w:t>Ühendus saab kasutada ära kõigi liikmesriikide kombineeritud laialdasi eksperditeadmisi ja mainet.</w:t>
      </w:r>
    </w:p>
    <w:p w14:paraId="6D82839C" w14:textId="77777777" w:rsidR="00BF22EA" w:rsidRPr="00797162" w:rsidRDefault="00BF22EA" w:rsidP="00BF22EA">
      <w:pPr>
        <w:pStyle w:val="Bullet0"/>
        <w:rPr>
          <w:noProof/>
        </w:rPr>
      </w:pPr>
      <w:r w:rsidRPr="00797162">
        <w:rPr>
          <w:noProof/>
        </w:rPr>
        <w:t>Ühendus võimaldab tõhusalt täita ELi juriidilisi kohustusi Teadusuuringute Ühiskeskuse lõplikult suletud tuumarajatiste dekomissioneerimise teel.</w:t>
      </w:r>
    </w:p>
    <w:p w14:paraId="42FFF819" w14:textId="77777777" w:rsidR="00BF22EA" w:rsidRPr="00797162" w:rsidRDefault="00BF22EA" w:rsidP="00BF22EA">
      <w:pPr>
        <w:widowControl w:val="0"/>
        <w:pBdr>
          <w:top w:val="nil"/>
          <w:left w:val="nil"/>
          <w:bottom w:val="nil"/>
          <w:right w:val="nil"/>
          <w:between w:val="nil"/>
        </w:pBdr>
        <w:rPr>
          <w:noProof/>
        </w:rPr>
      </w:pPr>
      <w:r w:rsidRPr="00797162">
        <w:rPr>
          <w:noProof/>
        </w:rPr>
        <w:t>Sisekomponendi puhul võib kahepoolsetel lepingutel siiski olla oma kindel roll. Euroopa Komisjon peab kahepoolseid läbirääkimisi iga mõjutatud asukohaliikmesriigiga (Belgia, Saksamaa, Itaalia ja Madalmaad), et teha kindlaks, kas liikmesriik on valmis Teadusuuringute Ühiskeskuse asjaomase tuumarajatise vabatahtlikult üle võtma ja jätkama dekomissioneerimisprogrammi kavakohast rakendamist. Kui asukohaliikmesriik on valmis sellist lepingut sõlmima, rahastaks Euroopa Komisjon asjaomast dekomissioneerimisprogrammi siiski täies ulatuses.</w:t>
      </w:r>
    </w:p>
    <w:p w14:paraId="70DDBDCE" w14:textId="77777777" w:rsidR="00BF22EA" w:rsidRPr="00797162" w:rsidRDefault="00BF22EA" w:rsidP="00BF22EA">
      <w:pPr>
        <w:pStyle w:val="ManualHeading2"/>
        <w:rPr>
          <w:noProof/>
        </w:rPr>
      </w:pPr>
      <w:r w:rsidRPr="00797162">
        <w:rPr>
          <w:noProof/>
          <w:bdr w:val="nil"/>
        </w:rPr>
        <w:t>•</w:t>
      </w:r>
      <w:r w:rsidRPr="00797162">
        <w:rPr>
          <w:noProof/>
        </w:rPr>
        <w:tab/>
      </w:r>
      <w:r w:rsidRPr="00797162">
        <w:rPr>
          <w:noProof/>
          <w:bdr w:val="nil"/>
        </w:rPr>
        <w:t>Proportsionaalsus</w:t>
      </w:r>
    </w:p>
    <w:p w14:paraId="05C7892B" w14:textId="77777777" w:rsidR="00BF22EA" w:rsidRPr="00797162" w:rsidRDefault="00BF22EA" w:rsidP="00BF22EA">
      <w:pPr>
        <w:pStyle w:val="Default"/>
        <w:spacing w:before="120" w:after="120"/>
        <w:jc w:val="both"/>
        <w:rPr>
          <w:i/>
          <w:noProof/>
          <w:color w:val="auto"/>
          <w:u w:val="single"/>
          <w:lang w:val="et-EE"/>
        </w:rPr>
      </w:pPr>
      <w:r w:rsidRPr="00797162">
        <w:rPr>
          <w:i/>
          <w:noProof/>
          <w:color w:val="auto"/>
          <w:u w:val="single"/>
          <w:lang w:val="et-EE"/>
        </w:rPr>
        <w:t>Vastavus proportsionaalsuse põhimõttele</w:t>
      </w:r>
    </w:p>
    <w:p w14:paraId="52E5D784" w14:textId="77777777" w:rsidR="00BF22EA" w:rsidRPr="00797162" w:rsidRDefault="00BF22EA" w:rsidP="00BF22EA">
      <w:pPr>
        <w:pStyle w:val="Default"/>
        <w:spacing w:before="120" w:after="120"/>
        <w:jc w:val="both"/>
        <w:rPr>
          <w:noProof/>
          <w:color w:val="auto"/>
          <w:lang w:val="et-EE"/>
        </w:rPr>
      </w:pPr>
      <w:r w:rsidRPr="00797162">
        <w:rPr>
          <w:noProof/>
          <w:color w:val="auto"/>
          <w:lang w:val="et-EE"/>
        </w:rPr>
        <w:t xml:space="preserve">Proportsionaalsuse põhimõtte kohaselt ei tohiks ükski liidu meede minna kaugemale sellest, mis on vajalik kõnealuse küsimuse lahendamiseks või aluslepingutes sätestatud eesmärkide saavutamiseks. Sellega seoses on mitmesugused hindamistulemused ja kättesaadavad tõendid näidanud, et tuumaohutusalase rahvusvahelise koostöö Euroopa instrument ning tuumarajatiste dekomissioneerimise ja tuumajäätmete käitlemise kava on praeguse ja eelmise mitmeaastase finantsraamistiku perioodil osutunud tõhusateks vahenditeks, et täita partnerriikide ja Euroopa Komisjoni vajadusi ning ELi eesmärke tuumaohutusalase rahvusvahelise koostöö ja dekomissioneerimise valdkonnas. </w:t>
      </w:r>
    </w:p>
    <w:p w14:paraId="5689B2D3" w14:textId="77777777" w:rsidR="00BF22EA" w:rsidRPr="00797162" w:rsidRDefault="00BF22EA" w:rsidP="00BF22EA">
      <w:pPr>
        <w:pBdr>
          <w:top w:val="nil"/>
          <w:left w:val="nil"/>
          <w:bottom w:val="nil"/>
          <w:right w:val="nil"/>
          <w:between w:val="nil"/>
          <w:bar w:val="nil"/>
        </w:pBdr>
        <w:rPr>
          <w:noProof/>
        </w:rPr>
      </w:pPr>
      <w:r w:rsidRPr="00797162">
        <w:rPr>
          <w:noProof/>
        </w:rPr>
        <w:t>Kooskõlas proportsionaalsuse põhimõttega ei lähe kavandatud määrus kaugemale, kui on vaja selleks, et saavutada määruse eesmärke, mis kajastuvad tegevuste prioriseerimises ja eraldatud eelarves.</w:t>
      </w:r>
    </w:p>
    <w:p w14:paraId="7B9E3A9D" w14:textId="77777777" w:rsidR="00BF22EA" w:rsidRPr="00797162" w:rsidRDefault="00BF22EA" w:rsidP="006C4068">
      <w:pPr>
        <w:pStyle w:val="Bullet1"/>
        <w:numPr>
          <w:ilvl w:val="0"/>
          <w:numId w:val="24"/>
        </w:numPr>
        <w:rPr>
          <w:noProof/>
        </w:rPr>
      </w:pPr>
      <w:r w:rsidRPr="00797162">
        <w:rPr>
          <w:noProof/>
        </w:rPr>
        <w:t>Vahendi valik</w:t>
      </w:r>
    </w:p>
    <w:p w14:paraId="003BA3CE" w14:textId="77777777" w:rsidR="00BF22EA" w:rsidRPr="00797162" w:rsidRDefault="00BF22EA" w:rsidP="00BF22EA">
      <w:pPr>
        <w:pStyle w:val="Text1"/>
        <w:ind w:left="0"/>
        <w:rPr>
          <w:noProof/>
        </w:rPr>
      </w:pPr>
      <w:r w:rsidRPr="00797162">
        <w:rPr>
          <w:noProof/>
        </w:rPr>
        <w:t>Euratomi asutamislepingu üks eesmärke on saavutada ELis tuumaohutuse kõrge tase. See tuleks saavutada ka väljaspool ELi. Kuna Euratomi asutamislepingus ei ole sätestatud vajalikke volitusi, tuleb artikli 203 alusel võtta asjakohaseid meetmeid. Kavandatav vahend on määrus, millega tagatakse selle ühetaoline kohaldamine, siduvus tervikuna ja otsekohaldatavus.</w:t>
      </w:r>
    </w:p>
    <w:p w14:paraId="0B07D89A" w14:textId="77777777" w:rsidR="00BF22EA" w:rsidRPr="00797162" w:rsidRDefault="00BF22EA" w:rsidP="00BF22EA">
      <w:pPr>
        <w:pStyle w:val="ManualHeading1"/>
        <w:rPr>
          <w:noProof/>
        </w:rPr>
      </w:pPr>
      <w:r w:rsidRPr="00797162">
        <w:rPr>
          <w:noProof/>
        </w:rPr>
        <w:t>3.</w:t>
      </w:r>
      <w:r w:rsidRPr="00797162">
        <w:rPr>
          <w:noProof/>
        </w:rPr>
        <w:tab/>
        <w:t>JÄRELHINDAMISE, SIDUSRÜHMADEGA KONSULTEERIMISE JA MÕJU HINDAMISE TULEMUSED</w:t>
      </w:r>
    </w:p>
    <w:p w14:paraId="470D395A" w14:textId="77777777" w:rsidR="00BF22EA" w:rsidRPr="00797162" w:rsidRDefault="00BF22EA" w:rsidP="00BF22EA">
      <w:pPr>
        <w:pStyle w:val="ManualHeading2"/>
        <w:rPr>
          <w:noProof/>
          <w:u w:color="000000"/>
          <w:bdr w:val="nil"/>
        </w:rPr>
      </w:pPr>
      <w:r w:rsidRPr="00797162">
        <w:rPr>
          <w:noProof/>
          <w:u w:color="000000"/>
          <w:bdr w:val="nil"/>
        </w:rPr>
        <w:t>•</w:t>
      </w:r>
      <w:r w:rsidRPr="00797162">
        <w:rPr>
          <w:noProof/>
        </w:rPr>
        <w:tab/>
      </w:r>
      <w:r w:rsidRPr="00797162">
        <w:rPr>
          <w:noProof/>
          <w:u w:color="000000"/>
          <w:bdr w:val="nil"/>
        </w:rPr>
        <w:t>Praegu kehtivate õigusaktide järelhindamine ja toimivuskontroll</w:t>
      </w:r>
    </w:p>
    <w:p w14:paraId="615E1CC2" w14:textId="77777777" w:rsidR="00BF22EA" w:rsidRPr="00797162" w:rsidRDefault="00BF22EA" w:rsidP="00BF22EA">
      <w:pPr>
        <w:rPr>
          <w:noProof/>
        </w:rPr>
      </w:pPr>
      <w:r w:rsidRPr="00797162">
        <w:rPr>
          <w:noProof/>
        </w:rPr>
        <w:t xml:space="preserve">Tuumaohutusalase koostöö ja dekomissioneerimise instrumendi </w:t>
      </w:r>
      <w:r w:rsidRPr="00797162">
        <w:rPr>
          <w:noProof/>
          <w:u w:val="single"/>
        </w:rPr>
        <w:t>väliskomponendiga</w:t>
      </w:r>
      <w:r w:rsidRPr="00797162">
        <w:rPr>
          <w:noProof/>
        </w:rPr>
        <w:t xml:space="preserve"> 2028.–2034. aasta mitmeaastase finantsraamistiku raames hõlmatud varasemate ja praeguste vahendite hindamised olid järgmised:</w:t>
      </w:r>
    </w:p>
    <w:p w14:paraId="72821EAF" w14:textId="77777777" w:rsidR="00BF22EA" w:rsidRPr="00797162" w:rsidRDefault="00BF22EA" w:rsidP="006C4068">
      <w:pPr>
        <w:pStyle w:val="Bullet0"/>
        <w:numPr>
          <w:ilvl w:val="0"/>
          <w:numId w:val="23"/>
        </w:numPr>
        <w:rPr>
          <w:noProof/>
        </w:rPr>
      </w:pPr>
      <w:r w:rsidRPr="00797162">
        <w:rPr>
          <w:noProof/>
        </w:rPr>
        <w:t>väline vahehindamine, milles hinnati üheksat ELi välistegevuse rahastut ajavahemikul 2014 – 2017. aasta keskpaik</w:t>
      </w:r>
      <w:r w:rsidRPr="00797162">
        <w:rPr>
          <w:rStyle w:val="FootnoteReference"/>
          <w:noProof/>
        </w:rPr>
        <w:footnoteReference w:id="16"/>
      </w:r>
      <w:r w:rsidRPr="00797162">
        <w:rPr>
          <w:noProof/>
        </w:rPr>
        <w:t>;</w:t>
      </w:r>
    </w:p>
    <w:p w14:paraId="04E0021C" w14:textId="77777777" w:rsidR="00BF22EA" w:rsidRPr="00797162" w:rsidRDefault="00BF22EA" w:rsidP="006C4068">
      <w:pPr>
        <w:pStyle w:val="Bullet0"/>
        <w:numPr>
          <w:ilvl w:val="0"/>
          <w:numId w:val="23"/>
        </w:numPr>
        <w:rPr>
          <w:noProof/>
        </w:rPr>
      </w:pPr>
      <w:r w:rsidRPr="00797162">
        <w:rPr>
          <w:noProof/>
        </w:rPr>
        <w:t>tuumaohutusalase rahvusvahelise koostöö Euroopa instrumendi sõltumatu järelhindamine ajavahemikul 2014–2020</w:t>
      </w:r>
      <w:r w:rsidRPr="00797162">
        <w:rPr>
          <w:rStyle w:val="FootnoteReference"/>
          <w:noProof/>
        </w:rPr>
        <w:footnoteReference w:id="17"/>
      </w:r>
      <w:r w:rsidRPr="00797162">
        <w:rPr>
          <w:noProof/>
        </w:rPr>
        <w:t xml:space="preserve">; </w:t>
      </w:r>
    </w:p>
    <w:p w14:paraId="20BD9A41" w14:textId="77777777" w:rsidR="00BF22EA" w:rsidRPr="00797162" w:rsidRDefault="00BF22EA" w:rsidP="006C4068">
      <w:pPr>
        <w:pStyle w:val="Bullet0"/>
        <w:numPr>
          <w:ilvl w:val="0"/>
          <w:numId w:val="23"/>
        </w:numPr>
        <w:rPr>
          <w:noProof/>
        </w:rPr>
      </w:pPr>
      <w:r w:rsidRPr="00797162">
        <w:rPr>
          <w:noProof/>
        </w:rPr>
        <w:t>Tuumaohutusalase rahvusvahelise koostöö instrumendi ettepaneku mõju eelhindamine ajavahemikuks 2021–2027</w:t>
      </w:r>
      <w:r w:rsidRPr="00797162">
        <w:rPr>
          <w:rStyle w:val="FootnoteReference"/>
          <w:noProof/>
        </w:rPr>
        <w:footnoteReference w:id="18"/>
      </w:r>
      <w:r w:rsidRPr="00797162">
        <w:rPr>
          <w:noProof/>
        </w:rPr>
        <w:t xml:space="preserve">; </w:t>
      </w:r>
    </w:p>
    <w:p w14:paraId="24D37E4A" w14:textId="77777777" w:rsidR="00BF22EA" w:rsidRPr="00797162" w:rsidRDefault="00BF22EA" w:rsidP="006C4068">
      <w:pPr>
        <w:pStyle w:val="Bullet0"/>
        <w:numPr>
          <w:ilvl w:val="0"/>
          <w:numId w:val="23"/>
        </w:numPr>
        <w:rPr>
          <w:noProof/>
        </w:rPr>
      </w:pPr>
      <w:r w:rsidRPr="00797162">
        <w:rPr>
          <w:noProof/>
        </w:rPr>
        <w:t>Tuumaohutusalase rahvusvahelise koostöö instrumendi vahehindamine ajavahemikuks 2021–2027</w:t>
      </w:r>
      <w:r w:rsidRPr="00797162">
        <w:rPr>
          <w:rStyle w:val="FootnoteReference"/>
          <w:noProof/>
        </w:rPr>
        <w:footnoteReference w:id="19"/>
      </w:r>
      <w:r w:rsidRPr="00797162">
        <w:rPr>
          <w:noProof/>
        </w:rPr>
        <w:t>.</w:t>
      </w:r>
    </w:p>
    <w:p w14:paraId="60A0AC15" w14:textId="77777777" w:rsidR="00BF22EA" w:rsidRPr="00797162" w:rsidRDefault="00BF22EA" w:rsidP="00BF22EA">
      <w:pPr>
        <w:rPr>
          <w:noProof/>
        </w:rPr>
      </w:pPr>
      <w:r w:rsidRPr="00797162">
        <w:rPr>
          <w:noProof/>
        </w:rPr>
        <w:t>Viimane aruanne 2021.–2027. aasta välistegevuse rahastute vahehindamise kohta avaldati 2024. aasta märtsis. Selles on kokku võetud kahe erineva menetluse tulemused: 1) 2014.–2020. aasta mitmeaastase finantsraamistiku välistegevuse rahastute lõpphindamine ja 2) 2021.–2027. aasta mitmeaastase finantsraamistiku välistegevuse rahastute vahehindamine. Järgmised kirjeldused keskenduvad 2021.–2027. aasta mitmeaastase finantsraamistiku vahehindamise ja 2017. aastal tehtud eelmise vahehindamise tulemustele.</w:t>
      </w:r>
    </w:p>
    <w:p w14:paraId="0EF67B3F" w14:textId="77777777" w:rsidR="00BF22EA" w:rsidRPr="00797162" w:rsidRDefault="00BF22EA" w:rsidP="00BF22EA">
      <w:pPr>
        <w:rPr>
          <w:noProof/>
        </w:rPr>
      </w:pPr>
      <w:r w:rsidRPr="00797162">
        <w:rPr>
          <w:noProof/>
        </w:rPr>
        <w:t>Kõigis eespool nimetatud aruannetes jõuti järeldusele, et välistegevuse rahastud olid eesmärgipärased ja eesmärkide saavutamine kulges kavakohaselt. Rahastutes on määratletud poliitika rakendamise ulatus, eesmärgid ja menetlused. Aruanded on näidanud ka seda, et välistegevuse rahastute võimalusterohkus lubab katta enamiku ELi välistegevuse vajadustest ja eesmärkidest.</w:t>
      </w:r>
    </w:p>
    <w:p w14:paraId="20E2DCA8" w14:textId="77777777" w:rsidR="00BF22EA" w:rsidRPr="00797162" w:rsidRDefault="00BF22EA" w:rsidP="00BF22EA">
      <w:pPr>
        <w:pStyle w:val="Bullet0"/>
        <w:rPr>
          <w:noProof/>
        </w:rPr>
      </w:pPr>
      <w:r w:rsidRPr="00797162">
        <w:rPr>
          <w:noProof/>
        </w:rPr>
        <w:t>Praeguse tuumaohutusalase koostöö instrumendi aluseks olevate õigusaktidega</w:t>
      </w:r>
      <w:r w:rsidRPr="00797162">
        <w:rPr>
          <w:noProof/>
          <w:vertAlign w:val="superscript"/>
        </w:rPr>
        <w:t>20</w:t>
      </w:r>
      <w:r w:rsidRPr="00797162">
        <w:rPr>
          <w:noProof/>
        </w:rPr>
        <w:t xml:space="preserve"> on rahastu ulatust ja eesmärke veidi kohandatud, et rõhutada läbipaistvust ja koostööd partnerriikidega.</w:t>
      </w:r>
    </w:p>
    <w:p w14:paraId="3A37D86C" w14:textId="77777777" w:rsidR="00BF22EA" w:rsidRPr="00797162" w:rsidRDefault="00BF22EA" w:rsidP="00BF22EA">
      <w:pPr>
        <w:pStyle w:val="Bullet0"/>
        <w:rPr>
          <w:noProof/>
        </w:rPr>
      </w:pPr>
      <w:r w:rsidRPr="00797162">
        <w:rPr>
          <w:noProof/>
        </w:rPr>
        <w:t>Eelmise ja praeguse mitmeaastase finantsraamistiku jaoks vastu võetud tuumaohutusalase rahvusvahelise koostöö instrumendi määruste vahel on tugev järjepidevus. Hoolimata mõningatest ajavahemikuks 2021–2027 kehtestatud uutest aspektidest (nt püüdlused suurendada tuumaenergiaalast läbipaistvust partnerriikides), jäid vahendi põhistruktuur ja toimimisviisid enam-vähem samaks.</w:t>
      </w:r>
    </w:p>
    <w:p w14:paraId="0B767457" w14:textId="5A37E227" w:rsidR="00BF22EA" w:rsidRPr="00797162" w:rsidRDefault="00BF22EA" w:rsidP="00BF22EA">
      <w:pPr>
        <w:pStyle w:val="Bullet0"/>
        <w:rPr>
          <w:noProof/>
        </w:rPr>
      </w:pPr>
      <w:r w:rsidRPr="00797162">
        <w:rPr>
          <w:noProof/>
        </w:rPr>
        <w:t xml:space="preserve">Tuumaohutusalase koostöö instrument on oma peamisi eesmärke (nt tuumaohutuskultuuri edendamine partnerriikides jne) arvesse võttes täielikult kooskõlas ELi poliitiliste põhimõtete ja prioriteetidega. </w:t>
      </w:r>
    </w:p>
    <w:p w14:paraId="5A59DD8F" w14:textId="77777777" w:rsidR="00BF22EA" w:rsidRPr="00797162" w:rsidRDefault="00BF22EA" w:rsidP="00BF22EA">
      <w:pPr>
        <w:pStyle w:val="Bullet0"/>
        <w:rPr>
          <w:noProof/>
        </w:rPr>
      </w:pPr>
      <w:r w:rsidRPr="00797162">
        <w:rPr>
          <w:noProof/>
        </w:rPr>
        <w:t>Ühe nõrkusena tehti kindlaks puudulik võime seada partnerriikidega ühiseid eesmärke.</w:t>
      </w:r>
    </w:p>
    <w:p w14:paraId="44959A61" w14:textId="77777777" w:rsidR="00BF22EA" w:rsidRPr="00797162" w:rsidRDefault="00BF22EA" w:rsidP="00BF22EA">
      <w:pPr>
        <w:pStyle w:val="Bullet0"/>
        <w:rPr>
          <w:noProof/>
        </w:rPr>
      </w:pPr>
      <w:r w:rsidRPr="00797162">
        <w:rPr>
          <w:noProof/>
        </w:rPr>
        <w:t>Märgatav suundumus on ka see, et kavandatakse ja rakendatakse vähem, kuid suuremaid meetmeid ja projekte. See on märgatav ka tuumaohutusalase rahvusvahelise koostöö instrumendi puhul, sest lepingute arv on alates 2014. aastast pidevalt vähenenud.</w:t>
      </w:r>
    </w:p>
    <w:p w14:paraId="3A505680" w14:textId="77777777" w:rsidR="00BF22EA" w:rsidRPr="00797162" w:rsidRDefault="00BF22EA" w:rsidP="00BF22EA">
      <w:pPr>
        <w:pStyle w:val="Bullet0"/>
        <w:rPr>
          <w:noProof/>
        </w:rPr>
      </w:pPr>
      <w:r w:rsidRPr="00797162">
        <w:rPr>
          <w:noProof/>
        </w:rPr>
        <w:t xml:space="preserve">Tuumaohutusalase rahvusvahelise koostöö instrumendi tulemusraamistik oli endiselt peamiselt väljundipõhine, hoolimata korduvatest jõupingutustest võtta kasutusele tulemus- ja mõjupõhine raamistik. </w:t>
      </w:r>
    </w:p>
    <w:p w14:paraId="37134F7B" w14:textId="77777777" w:rsidR="00BF22EA" w:rsidRPr="00797162" w:rsidRDefault="00BF22EA" w:rsidP="00BF22EA">
      <w:pPr>
        <w:pStyle w:val="Bullet0"/>
        <w:rPr>
          <w:noProof/>
        </w:rPr>
      </w:pPr>
      <w:r w:rsidRPr="00797162">
        <w:rPr>
          <w:noProof/>
        </w:rPr>
        <w:t xml:space="preserve">Tuumaohutusalase koostöö instrument on korduvalt tõestanud oma suurt paindlikkust suhetes Valgevene, Iraani ja eelkõige Ukrainaga, koostööd vajadusel kiiresti algatades, kohandades ja tõhustades või selle peatades, tänu kiiretele eelarveeraldistele ja sujuvale koordineerimisele. </w:t>
      </w:r>
    </w:p>
    <w:p w14:paraId="7ADCF97F" w14:textId="77777777" w:rsidR="00BF22EA" w:rsidRPr="00797162" w:rsidRDefault="00BF22EA" w:rsidP="00BF22EA">
      <w:pPr>
        <w:rPr>
          <w:noProof/>
        </w:rPr>
      </w:pPr>
      <w:r w:rsidRPr="00797162">
        <w:rPr>
          <w:noProof/>
        </w:rPr>
        <w:t>Aruandes märgitakse, et tuumaohutusalase koostöö instrumenti oleks võimalik viia paremini vastavusse ühinemiseelse abi instrumendiga ning naabruspiirkonna, arengu- ja rahvusvahelise koostöö instrumendiga „Globaalne Euroopa“ ning vastupidi.</w:t>
      </w:r>
    </w:p>
    <w:p w14:paraId="0A5C78D9" w14:textId="77777777" w:rsidR="00BF22EA" w:rsidRPr="00797162" w:rsidRDefault="00BF22EA" w:rsidP="00BF22EA">
      <w:pPr>
        <w:spacing w:after="160" w:line="257" w:lineRule="auto"/>
        <w:rPr>
          <w:noProof/>
        </w:rPr>
      </w:pPr>
      <w:r w:rsidRPr="00797162">
        <w:rPr>
          <w:i/>
          <w:noProof/>
          <w:u w:val="single"/>
        </w:rPr>
        <w:t>Hindamise tulemused ja kavandatav uus programm</w:t>
      </w:r>
      <w:r w:rsidRPr="00797162">
        <w:rPr>
          <w:noProof/>
        </w:rPr>
        <w:t xml:space="preserve"> </w:t>
      </w:r>
    </w:p>
    <w:tbl>
      <w:tblPr>
        <w:tblStyle w:val="GridTable7Colorful"/>
        <w:tblW w:w="0" w:type="auto"/>
        <w:tblLayout w:type="fixed"/>
        <w:tblLook w:val="04A0" w:firstRow="1" w:lastRow="0" w:firstColumn="1" w:lastColumn="0" w:noHBand="0" w:noVBand="1"/>
      </w:tblPr>
      <w:tblGrid>
        <w:gridCol w:w="4245"/>
        <w:gridCol w:w="4826"/>
      </w:tblGrid>
      <w:tr w:rsidR="00BF22EA" w:rsidRPr="00797162" w14:paraId="57004406" w14:textId="77777777" w:rsidTr="00BE7565">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4245" w:type="dxa"/>
            <w:tcBorders>
              <w:bottom w:val="single" w:sz="12" w:space="0" w:color="000000" w:themeColor="text1"/>
            </w:tcBorders>
          </w:tcPr>
          <w:p w14:paraId="1894CC1D" w14:textId="77777777" w:rsidR="00BF22EA" w:rsidRPr="00797162" w:rsidRDefault="00BF22EA" w:rsidP="00BE7565">
            <w:pPr>
              <w:rPr>
                <w:noProof/>
                <w:color w:val="auto"/>
              </w:rPr>
            </w:pPr>
            <w:r w:rsidRPr="00797162">
              <w:rPr>
                <w:noProof/>
              </w:rPr>
              <w:t>Hindamise tulemused</w:t>
            </w:r>
          </w:p>
        </w:tc>
        <w:tc>
          <w:tcPr>
            <w:tcW w:w="4826" w:type="dxa"/>
          </w:tcPr>
          <w:p w14:paraId="1F673F9E" w14:textId="77777777" w:rsidR="00BF22EA" w:rsidRPr="00797162" w:rsidRDefault="00BF22EA" w:rsidP="00BE7565">
            <w:pPr>
              <w:cnfStyle w:val="100000000000" w:firstRow="1" w:lastRow="0" w:firstColumn="0" w:lastColumn="0" w:oddVBand="0" w:evenVBand="0" w:oddHBand="0" w:evenHBand="0" w:firstRowFirstColumn="0" w:firstRowLastColumn="0" w:lastRowFirstColumn="0" w:lastRowLastColumn="0"/>
              <w:rPr>
                <w:noProof/>
                <w:color w:val="auto"/>
              </w:rPr>
            </w:pPr>
            <w:r w:rsidRPr="00797162">
              <w:rPr>
                <w:noProof/>
              </w:rPr>
              <w:t>Kavandatav tuumaohutusalase koostöö ja dekomissioneerimise instrument</w:t>
            </w:r>
          </w:p>
        </w:tc>
      </w:tr>
      <w:tr w:rsidR="00BF22EA" w:rsidRPr="00797162" w14:paraId="3C1C8750" w14:textId="77777777" w:rsidTr="00BE7565">
        <w:trPr>
          <w:cnfStyle w:val="000000100000" w:firstRow="0" w:lastRow="0" w:firstColumn="0" w:lastColumn="0" w:oddVBand="0" w:evenVBand="0" w:oddHBand="1" w:evenHBand="0" w:firstRowFirstColumn="0" w:firstRowLastColumn="0" w:lastRowFirstColumn="0" w:lastRowLastColumn="0"/>
          <w:trHeight w:val="1275"/>
        </w:trPr>
        <w:tc>
          <w:tcPr>
            <w:cnfStyle w:val="001000000000" w:firstRow="0" w:lastRow="0" w:firstColumn="1" w:lastColumn="0" w:oddVBand="0" w:evenVBand="0" w:oddHBand="0" w:evenHBand="0" w:firstRowFirstColumn="0" w:firstRowLastColumn="0" w:lastRowFirstColumn="0" w:lastRowLastColumn="0"/>
            <w:tcW w:w="4245" w:type="dxa"/>
            <w:tcBorders>
              <w:top w:val="single" w:sz="12" w:space="0" w:color="000000" w:themeColor="text1"/>
              <w:left w:val="none" w:sz="4" w:space="0" w:color="666666"/>
              <w:bottom w:val="none" w:sz="12" w:space="0" w:color="000000" w:themeColor="text1"/>
              <w:right w:val="none" w:sz="4" w:space="0" w:color="666666"/>
            </w:tcBorders>
          </w:tcPr>
          <w:p w14:paraId="403E79CA" w14:textId="6EA7A741" w:rsidR="00BF22EA" w:rsidRPr="00797162" w:rsidRDefault="00BF22EA" w:rsidP="00BE7565">
            <w:pPr>
              <w:rPr>
                <w:noProof/>
                <w:color w:val="auto"/>
              </w:rPr>
            </w:pPr>
            <w:r w:rsidRPr="00797162">
              <w:rPr>
                <w:noProof/>
              </w:rPr>
              <w:t>Globaalse ulatusega ülemaailmse instrumendina võimaldab tuumaohutusalase koostöö instrument ELil olla juhtpositsioonil tuumaohutuse ja kaitsemeetmete alases koostöös nii kahepoolsete partnerluste kaudu kui ka osana rahvusvahelisest struktuurist.</w:t>
            </w:r>
          </w:p>
        </w:tc>
        <w:tc>
          <w:tcPr>
            <w:tcW w:w="4826" w:type="dxa"/>
            <w:vMerge w:val="restart"/>
            <w:tcBorders>
              <w:bottom w:val="single" w:sz="12" w:space="0" w:color="000000" w:themeColor="text1"/>
            </w:tcBorders>
            <w:shd w:val="clear" w:color="auto" w:fill="FFFFFF" w:themeFill="background1"/>
          </w:tcPr>
          <w:p w14:paraId="37D30B88" w14:textId="77777777" w:rsidR="00BF22EA" w:rsidRPr="00797162" w:rsidRDefault="00BF22EA" w:rsidP="00BE7565">
            <w:pPr>
              <w:spacing w:after="160"/>
              <w:cnfStyle w:val="000000100000" w:firstRow="0" w:lastRow="0" w:firstColumn="0" w:lastColumn="0" w:oddVBand="0" w:evenVBand="0" w:oddHBand="1" w:evenHBand="0" w:firstRowFirstColumn="0" w:firstRowLastColumn="0" w:lastRowFirstColumn="0" w:lastRowLastColumn="0"/>
              <w:rPr>
                <w:noProof/>
                <w:color w:val="auto"/>
              </w:rPr>
            </w:pPr>
            <w:r w:rsidRPr="00797162">
              <w:rPr>
                <w:i/>
                <w:noProof/>
                <w:u w:val="single"/>
              </w:rPr>
              <w:t xml:space="preserve">Võimalusi loov instrument: </w:t>
            </w:r>
            <w:r w:rsidRPr="00797162">
              <w:rPr>
                <w:noProof/>
              </w:rPr>
              <w:t>Tuumaohutusalase koostöö instrumendi raames saadud kogemuste põhjal tehakse ettepanek instrumenti täiendada, et suurendada paindlikkust ja võimaldada ELil sekkuda tulevastesse ettenägematutesse olukordadesse.</w:t>
            </w:r>
          </w:p>
          <w:p w14:paraId="366E2F62" w14:textId="13EE25BA" w:rsidR="00BF22EA" w:rsidRPr="00797162" w:rsidRDefault="00BF22EA" w:rsidP="00BE7565">
            <w:pPr>
              <w:spacing w:after="160"/>
              <w:cnfStyle w:val="000000100000" w:firstRow="0" w:lastRow="0" w:firstColumn="0" w:lastColumn="0" w:oddVBand="0" w:evenVBand="0" w:oddHBand="1" w:evenHBand="0" w:firstRowFirstColumn="0" w:firstRowLastColumn="0" w:lastRowFirstColumn="0" w:lastRowLastColumn="0"/>
              <w:rPr>
                <w:noProof/>
                <w:color w:val="auto"/>
              </w:rPr>
            </w:pPr>
            <w:r w:rsidRPr="00797162">
              <w:rPr>
                <w:noProof/>
              </w:rPr>
              <w:t>Need muudatused olid ajendatud vahehindamise käigus saadud tagasisidest, tehnoloogia hiljutisest arengust tuumaenergia rahuotstarbelise kasutamise valdkonnas, viimastel aastatel toimunud geopoliitilistest muutustest ning püüdest parandada instrumendi haldamist ja rakendamist.</w:t>
            </w:r>
          </w:p>
        </w:tc>
      </w:tr>
      <w:tr w:rsidR="00BF22EA" w:rsidRPr="00797162" w14:paraId="780738A0" w14:textId="77777777" w:rsidTr="00BE7565">
        <w:trPr>
          <w:trHeight w:val="300"/>
        </w:trPr>
        <w:tc>
          <w:tcPr>
            <w:cnfStyle w:val="001000000000" w:firstRow="0" w:lastRow="0" w:firstColumn="1" w:lastColumn="0" w:oddVBand="0" w:evenVBand="0" w:oddHBand="0" w:evenHBand="0" w:firstRowFirstColumn="0" w:firstRowLastColumn="0" w:lastRowFirstColumn="0" w:lastRowLastColumn="0"/>
            <w:tcW w:w="4245" w:type="dxa"/>
            <w:tcBorders>
              <w:top w:val="none" w:sz="12" w:space="0" w:color="000000" w:themeColor="text1"/>
              <w:left w:val="none" w:sz="4" w:space="0" w:color="666666"/>
              <w:bottom w:val="single" w:sz="12" w:space="0" w:color="000000" w:themeColor="text1"/>
              <w:right w:val="none" w:sz="4" w:space="0" w:color="666666"/>
            </w:tcBorders>
          </w:tcPr>
          <w:p w14:paraId="2D7FD132" w14:textId="77777777" w:rsidR="00BF22EA" w:rsidRPr="00797162" w:rsidRDefault="00BF22EA" w:rsidP="00BE7565">
            <w:pPr>
              <w:rPr>
                <w:noProof/>
                <w:color w:val="auto"/>
              </w:rPr>
            </w:pPr>
            <w:r w:rsidRPr="00797162">
              <w:rPr>
                <w:noProof/>
              </w:rPr>
              <w:t>Tuumaohutusalase koostöö instrument võimaldab ELil osaleda poliitilises dialoogis partnerriikidega, eelkõige ELi naabruspiirkonnas, kus tuumaohutuse küsimused võivad avaldada märkimisväärset mõju ELi liikmesriikidele ja Euroopa kodanike julgeolekule.</w:t>
            </w:r>
          </w:p>
        </w:tc>
        <w:tc>
          <w:tcPr>
            <w:tcW w:w="4826" w:type="dxa"/>
            <w:vMerge/>
          </w:tcPr>
          <w:p w14:paraId="1B89296F" w14:textId="77777777" w:rsidR="00BF22EA" w:rsidRPr="00797162" w:rsidRDefault="00BF22EA" w:rsidP="00BE7565">
            <w:pPr>
              <w:cnfStyle w:val="000000000000" w:firstRow="0" w:lastRow="0" w:firstColumn="0" w:lastColumn="0" w:oddVBand="0" w:evenVBand="0" w:oddHBand="0" w:evenHBand="0" w:firstRowFirstColumn="0" w:firstRowLastColumn="0" w:lastRowFirstColumn="0" w:lastRowLastColumn="0"/>
              <w:rPr>
                <w:noProof/>
                <w:color w:val="auto"/>
              </w:rPr>
            </w:pPr>
          </w:p>
        </w:tc>
      </w:tr>
      <w:tr w:rsidR="00BF22EA" w:rsidRPr="00797162" w14:paraId="1F48ACB5" w14:textId="77777777" w:rsidTr="00BE7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45" w:type="dxa"/>
            <w:tcBorders>
              <w:top w:val="single" w:sz="12" w:space="0" w:color="000000" w:themeColor="text1"/>
              <w:bottom w:val="single" w:sz="12" w:space="0" w:color="000000" w:themeColor="text1"/>
            </w:tcBorders>
          </w:tcPr>
          <w:p w14:paraId="48143FE5" w14:textId="77777777" w:rsidR="00BF22EA" w:rsidRPr="00797162" w:rsidRDefault="00BF22EA" w:rsidP="00BE7565">
            <w:pPr>
              <w:spacing w:after="160"/>
              <w:rPr>
                <w:noProof/>
                <w:color w:val="auto"/>
              </w:rPr>
            </w:pPr>
            <w:r w:rsidRPr="00797162">
              <w:rPr>
                <w:noProof/>
              </w:rPr>
              <w:t>Instrumentide ühtlustamise tulemusena lihtsustati välistegevuse rahastu struktuuri ja ühtlustati programmitöö protsesse ühtsete mitmeaastaste sihtprogrammide vormide jne kasutamise kaudu.</w:t>
            </w:r>
          </w:p>
          <w:p w14:paraId="4BE41213" w14:textId="77777777" w:rsidR="00BF22EA" w:rsidRPr="00797162" w:rsidRDefault="00BF22EA" w:rsidP="00BE7565">
            <w:pPr>
              <w:spacing w:after="160"/>
              <w:rPr>
                <w:noProof/>
                <w:color w:val="auto"/>
              </w:rPr>
            </w:pPr>
            <w:r w:rsidRPr="00797162">
              <w:rPr>
                <w:noProof/>
              </w:rPr>
              <w:t xml:space="preserve">Üleminek eelmistelt välistegevuse rahastutelt praegustele ei olnud päris sujuv, sest 2021. aasta ajasurve ja piiratud suutlikkuse tõttu seadis EL programmitöö edenemise ja tulemuste saavutamise sisemiste institutsionaalsete muudatustega võrreldes esikohale. Välised asjaolud (nt COVID-19 pandeemia lõppfaas) raskendasid veelgi olukorda, mis oli suure töötajate voolavuse ja piisavate vahendite puudumise tõttu niigi pingeline. </w:t>
            </w:r>
          </w:p>
        </w:tc>
        <w:tc>
          <w:tcPr>
            <w:tcW w:w="4826" w:type="dxa"/>
            <w:tcBorders>
              <w:top w:val="single" w:sz="12" w:space="0" w:color="000000" w:themeColor="text1"/>
              <w:bottom w:val="single" w:sz="12" w:space="0" w:color="000000" w:themeColor="text1"/>
            </w:tcBorders>
            <w:shd w:val="clear" w:color="auto" w:fill="FFFFFF" w:themeFill="background1"/>
          </w:tcPr>
          <w:p w14:paraId="07965399" w14:textId="77777777" w:rsidR="00BF22EA" w:rsidRPr="00797162" w:rsidRDefault="00BF22EA" w:rsidP="00BE7565">
            <w:pPr>
              <w:spacing w:after="160"/>
              <w:cnfStyle w:val="000000100000" w:firstRow="0" w:lastRow="0" w:firstColumn="0" w:lastColumn="0" w:oddVBand="0" w:evenVBand="0" w:oddHBand="1" w:evenHBand="0" w:firstRowFirstColumn="0" w:firstRowLastColumn="0" w:lastRowFirstColumn="0" w:lastRowLastColumn="0"/>
              <w:rPr>
                <w:rFonts w:eastAsia="Aptos"/>
                <w:noProof/>
                <w:color w:val="auto"/>
              </w:rPr>
            </w:pPr>
            <w:r w:rsidRPr="00797162">
              <w:rPr>
                <w:i/>
                <w:noProof/>
                <w:u w:val="single"/>
              </w:rPr>
              <w:t xml:space="preserve">Välistegevuse rahastute edasine ühtlustamine: </w:t>
            </w:r>
            <w:r w:rsidRPr="00797162">
              <w:rPr>
                <w:noProof/>
              </w:rPr>
              <w:t>2014.–2020. aasta mitmeaastases finantsraamistikus tegutses „Globaalse Euroopa“ raames mitu sõltumatut välistegevuse rahastut. 2021.–2027. aasta mitmeaastase finantsraamistiku kavandamisel ühtlustas komisjon välistegevuse rahastuid, et paremini arvesse võtta muutunud geopoliitilist reaalsust ja tagada seotud programmide parem haldamine. Lihtsustamise tulemusena paigutati naabruspiirkonna, arengu- ja rahvusvahelise koostöö instrumendi „Globaalne Euroopa“ alla 11 instrumenti, mida varem rakendati omaette. Tuumaohutusalase koostöö instrument kui Euratomist tuleneva õigusliku alusega sihtotstarbeline vahend jäi naabruspiirkonna, arengu- ja rahvusvahelise koostöö instrumendist „Globaalne Euroopa“ eraldiseisvaks.</w:t>
            </w:r>
          </w:p>
          <w:p w14:paraId="2D11CF41" w14:textId="77777777" w:rsidR="00BF22EA" w:rsidRPr="00797162" w:rsidRDefault="00BF22EA" w:rsidP="00BE7565">
            <w:pPr>
              <w:spacing w:after="160"/>
              <w:cnfStyle w:val="000000100000" w:firstRow="0" w:lastRow="0" w:firstColumn="0" w:lastColumn="0" w:oddVBand="0" w:evenVBand="0" w:oddHBand="1" w:evenHBand="0" w:firstRowFirstColumn="0" w:firstRowLastColumn="0" w:lastRowFirstColumn="0" w:lastRowLastColumn="0"/>
              <w:rPr>
                <w:noProof/>
                <w:color w:val="auto"/>
              </w:rPr>
            </w:pPr>
            <w:r w:rsidRPr="00797162">
              <w:rPr>
                <w:noProof/>
              </w:rPr>
              <w:t xml:space="preserve">Järgmises, 2028–2034. aasta mitmeaastases finantsraamistikus tehakse ettepanek välistegevuse rahastute edasiseks ühtlustamiseks, kuna „Globaalne Euroopa“ tugineb naabruspiirkonna, arengu- ja rahvusvahelise koostöö instrumendile „Globaalne Euroopa“, ühinemiseelse abi instrumendile IPA III, Ukraina rahastule, Lääne-Balkani reformi- ja kasvurahastule ning Moldova reformi- ja kasvurahastule. </w:t>
            </w:r>
          </w:p>
        </w:tc>
      </w:tr>
      <w:tr w:rsidR="00BF22EA" w:rsidRPr="00797162" w14:paraId="10B1B06A" w14:textId="77777777" w:rsidTr="00BE7565">
        <w:trPr>
          <w:trHeight w:val="300"/>
        </w:trPr>
        <w:tc>
          <w:tcPr>
            <w:cnfStyle w:val="001000000000" w:firstRow="0" w:lastRow="0" w:firstColumn="1" w:lastColumn="0" w:oddVBand="0" w:evenVBand="0" w:oddHBand="0" w:evenHBand="0" w:firstRowFirstColumn="0" w:firstRowLastColumn="0" w:lastRowFirstColumn="0" w:lastRowLastColumn="0"/>
            <w:tcW w:w="4245" w:type="dxa"/>
            <w:tcBorders>
              <w:top w:val="single" w:sz="12" w:space="0" w:color="000000" w:themeColor="text1"/>
              <w:left w:val="none" w:sz="4" w:space="0" w:color="666666"/>
              <w:bottom w:val="none" w:sz="12" w:space="0" w:color="000000" w:themeColor="text1"/>
              <w:right w:val="none" w:sz="4" w:space="0" w:color="666666"/>
            </w:tcBorders>
          </w:tcPr>
          <w:p w14:paraId="42166928" w14:textId="77777777" w:rsidR="00BF22EA" w:rsidRPr="00797162" w:rsidRDefault="00BF22EA" w:rsidP="00BE7565">
            <w:pPr>
              <w:rPr>
                <w:noProof/>
                <w:color w:val="auto"/>
              </w:rPr>
            </w:pPr>
            <w:r w:rsidRPr="00797162">
              <w:rPr>
                <w:noProof/>
              </w:rPr>
              <w:t>Hindamine kinnitas, et tuumaohutusalase koostöö instrumendi säilitamine eraldi vahendina, tulenevalt selle väga spetsiifilisest ja tehnilisest laadist ning erinevast õiguslikust alusest, oli asjakohane otsus.</w:t>
            </w:r>
          </w:p>
        </w:tc>
        <w:tc>
          <w:tcPr>
            <w:tcW w:w="4826" w:type="dxa"/>
            <w:vMerge w:val="restart"/>
            <w:tcBorders>
              <w:top w:val="single" w:sz="12" w:space="0" w:color="000000" w:themeColor="text1"/>
            </w:tcBorders>
            <w:shd w:val="clear" w:color="auto" w:fill="FFFFFF" w:themeFill="background1"/>
          </w:tcPr>
          <w:p w14:paraId="70CCEF5B" w14:textId="77777777" w:rsidR="00BF22EA" w:rsidRPr="00797162" w:rsidRDefault="00BF22EA" w:rsidP="00BE7565">
            <w:pPr>
              <w:spacing w:after="160"/>
              <w:cnfStyle w:val="000000000000" w:firstRow="0" w:lastRow="0" w:firstColumn="0" w:lastColumn="0" w:oddVBand="0" w:evenVBand="0" w:oddHBand="0" w:evenHBand="0" w:firstRowFirstColumn="0" w:firstRowLastColumn="0" w:lastRowFirstColumn="0" w:lastRowLastColumn="0"/>
              <w:rPr>
                <w:rFonts w:eastAsia="Aptos"/>
                <w:noProof/>
                <w:color w:val="auto"/>
              </w:rPr>
            </w:pPr>
            <w:r w:rsidRPr="00797162">
              <w:rPr>
                <w:i/>
                <w:noProof/>
                <w:u w:val="single"/>
              </w:rPr>
              <w:t xml:space="preserve">Tuumaohutusalase koostöö instrumendi ühendamine Teadusuuringute Ühiskeskuse dekomissioneerimisprogrammiga </w:t>
            </w:r>
            <w:r w:rsidRPr="00797162">
              <w:rPr>
                <w:noProof/>
              </w:rPr>
              <w:t xml:space="preserve">Tuumaohutusalase koostöö instrument ühendatakse Teadusuuringute Ühiskeskuse dekomissioneerimisprogrammiga. Kavandatav tuumaohutusalase koostöö ja dekomissioneerimise instrument koondab kaks määrust üheks õigusaktiks. </w:t>
            </w:r>
          </w:p>
          <w:p w14:paraId="01076F5F" w14:textId="77777777" w:rsidR="00BF22EA" w:rsidRPr="00797162" w:rsidRDefault="00BF22EA" w:rsidP="00BE7565">
            <w:pPr>
              <w:spacing w:after="160"/>
              <w:cnfStyle w:val="000000000000" w:firstRow="0" w:lastRow="0" w:firstColumn="0" w:lastColumn="0" w:oddVBand="0" w:evenVBand="0" w:oddHBand="0" w:evenHBand="0" w:firstRowFirstColumn="0" w:firstRowLastColumn="0" w:lastRowFirstColumn="0" w:lastRowLastColumn="0"/>
              <w:rPr>
                <w:rFonts w:eastAsia="Aptos"/>
                <w:noProof/>
                <w:color w:val="auto"/>
              </w:rPr>
            </w:pPr>
            <w:r w:rsidRPr="00797162">
              <w:rPr>
                <w:noProof/>
              </w:rPr>
              <w:t xml:space="preserve">Väliskomponent täiendab „Globaalset Euroopat“ ja taotleb praeguse tuumaohutusalase koostöö instrumendiga sarnaseid eesmärke. </w:t>
            </w:r>
          </w:p>
          <w:p w14:paraId="154845FD" w14:textId="77777777" w:rsidR="00BF22EA" w:rsidRPr="00797162" w:rsidRDefault="00BF22EA" w:rsidP="00BE7565">
            <w:pPr>
              <w:spacing w:after="160"/>
              <w:cnfStyle w:val="000000000000" w:firstRow="0" w:lastRow="0" w:firstColumn="0" w:lastColumn="0" w:oddVBand="0" w:evenVBand="0" w:oddHBand="0" w:evenHBand="0" w:firstRowFirstColumn="0" w:firstRowLastColumn="0" w:lastRowFirstColumn="0" w:lastRowLastColumn="0"/>
              <w:rPr>
                <w:noProof/>
                <w:color w:val="auto"/>
              </w:rPr>
            </w:pPr>
            <w:r w:rsidRPr="00797162">
              <w:rPr>
                <w:noProof/>
              </w:rPr>
              <w:t xml:space="preserve">Sisekomponent aitab saavutada Teadusuuringute Ühiskeskuse tuumarajatiste dekomissioneerimise ja tuumajäätmete käitlemise programmi eesmärke. </w:t>
            </w:r>
          </w:p>
        </w:tc>
      </w:tr>
      <w:tr w:rsidR="00BF22EA" w:rsidRPr="00797162" w14:paraId="51C0EF39" w14:textId="77777777" w:rsidTr="00BE7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45" w:type="dxa"/>
            <w:tcBorders>
              <w:top w:val="none" w:sz="12" w:space="0" w:color="000000" w:themeColor="text1"/>
              <w:left w:val="none" w:sz="4" w:space="0" w:color="666666"/>
              <w:bottom w:val="none" w:sz="4" w:space="0" w:color="666666"/>
              <w:right w:val="none" w:sz="4" w:space="0" w:color="666666"/>
            </w:tcBorders>
          </w:tcPr>
          <w:p w14:paraId="0BC985A6" w14:textId="77777777" w:rsidR="00BF22EA" w:rsidRPr="00797162" w:rsidRDefault="00BF22EA" w:rsidP="00BE7565">
            <w:pPr>
              <w:rPr>
                <w:noProof/>
                <w:color w:val="auto"/>
              </w:rPr>
            </w:pPr>
            <w:r w:rsidRPr="00797162">
              <w:rPr>
                <w:noProof/>
              </w:rPr>
              <w:t>Vaja on suuremat kooskõla konkreetse instrumendi osade, eri instrumentide ja rahastajate vahel.</w:t>
            </w:r>
          </w:p>
        </w:tc>
        <w:tc>
          <w:tcPr>
            <w:tcW w:w="4826" w:type="dxa"/>
            <w:vMerge/>
          </w:tcPr>
          <w:p w14:paraId="4D18F6CD" w14:textId="77777777" w:rsidR="00BF22EA" w:rsidRPr="00797162" w:rsidRDefault="00BF22EA" w:rsidP="00BE7565">
            <w:pPr>
              <w:cnfStyle w:val="000000100000" w:firstRow="0" w:lastRow="0" w:firstColumn="0" w:lastColumn="0" w:oddVBand="0" w:evenVBand="0" w:oddHBand="1" w:evenHBand="0" w:firstRowFirstColumn="0" w:firstRowLastColumn="0" w:lastRowFirstColumn="0" w:lastRowLastColumn="0"/>
              <w:rPr>
                <w:noProof/>
                <w:color w:val="auto"/>
              </w:rPr>
            </w:pPr>
          </w:p>
        </w:tc>
      </w:tr>
    </w:tbl>
    <w:p w14:paraId="71A650A5" w14:textId="77777777" w:rsidR="00BF22EA" w:rsidRPr="00797162" w:rsidRDefault="00BF22EA" w:rsidP="00BF22EA">
      <w:pPr>
        <w:keepNext/>
        <w:tabs>
          <w:tab w:val="left" w:pos="850"/>
        </w:tabs>
        <w:outlineLvl w:val="1"/>
        <w:rPr>
          <w:b/>
          <w:noProof/>
        </w:rPr>
      </w:pPr>
      <w:r w:rsidRPr="00797162">
        <w:rPr>
          <w:b/>
          <w:noProof/>
        </w:rPr>
        <w:t>Teadusuuringute Ühiskeskuse dekomissioneerimisprogrammi hiljutised hindamised</w:t>
      </w:r>
    </w:p>
    <w:p w14:paraId="1470BC36" w14:textId="77777777" w:rsidR="00BF22EA" w:rsidRPr="00797162" w:rsidRDefault="00BF22EA" w:rsidP="00BF22EA">
      <w:pPr>
        <w:keepNext/>
        <w:tabs>
          <w:tab w:val="left" w:pos="850"/>
        </w:tabs>
        <w:outlineLvl w:val="1"/>
        <w:rPr>
          <w:noProof/>
        </w:rPr>
      </w:pPr>
      <w:r w:rsidRPr="00797162">
        <w:rPr>
          <w:noProof/>
        </w:rPr>
        <w:t>Teadusuuringute Ühiskeskuse siseauditi talitus auditeeris tuumarajatiste dekomissioneerimise ja tuumajäätmete käitlemise programmi 2024. aastal ja esitas kuus soovitust programmi rakendamise parandamiseks. Teadusuuringute Ühiskeskus esitas tegevuskava, milles lepiti kokku ja mida rakendati, et käsitleda kõiki probleeme:</w:t>
      </w:r>
    </w:p>
    <w:p w14:paraId="43F1173E" w14:textId="77777777" w:rsidR="00BF22EA" w:rsidRPr="00797162" w:rsidRDefault="00BF22EA" w:rsidP="00BF22EA">
      <w:pPr>
        <w:pStyle w:val="Bullet0"/>
        <w:rPr>
          <w:noProof/>
        </w:rPr>
      </w:pPr>
      <w:r w:rsidRPr="00797162">
        <w:rPr>
          <w:noProof/>
        </w:rPr>
        <w:t>Teadusuuringute Ühiskeskuse järelevalvekord (oluline);</w:t>
      </w:r>
    </w:p>
    <w:p w14:paraId="13158523" w14:textId="77777777" w:rsidR="00BF22EA" w:rsidRPr="00797162" w:rsidRDefault="00BF22EA" w:rsidP="00BF22EA">
      <w:pPr>
        <w:pStyle w:val="Bullet0"/>
        <w:rPr>
          <w:noProof/>
        </w:rPr>
      </w:pPr>
      <w:r w:rsidRPr="00797162">
        <w:rPr>
          <w:noProof/>
        </w:rPr>
        <w:t>Teadusuuringute Ühiskeskuse sisemine töökorraldus seoses tuumarajatiste dekomissioneerimise ja tuumajäätmete käitlemise kava kohaste kohustustega (väga oluline);</w:t>
      </w:r>
    </w:p>
    <w:p w14:paraId="3BA13A80" w14:textId="77777777" w:rsidR="00BF22EA" w:rsidRPr="00797162" w:rsidRDefault="00BF22EA" w:rsidP="00BF22EA">
      <w:pPr>
        <w:pStyle w:val="Bullet0"/>
        <w:rPr>
          <w:noProof/>
        </w:rPr>
      </w:pPr>
      <w:r w:rsidRPr="00797162">
        <w:rPr>
          <w:noProof/>
        </w:rPr>
        <w:t>Teadusuuringute Ühiskeskuse tegevuskohtade dekomissioneerimiskavad (väga oluline);</w:t>
      </w:r>
    </w:p>
    <w:p w14:paraId="334E0F7A" w14:textId="77777777" w:rsidR="00BF22EA" w:rsidRPr="00797162" w:rsidRDefault="00BF22EA" w:rsidP="00BF22EA">
      <w:pPr>
        <w:pStyle w:val="Bullet0"/>
        <w:rPr>
          <w:noProof/>
        </w:rPr>
      </w:pPr>
      <w:r w:rsidRPr="00797162">
        <w:rPr>
          <w:noProof/>
        </w:rPr>
        <w:t>Teadusuuringute Ühiskeskuse tuumaobjektide dekomissioneerimise kuluprognoosid (väga oluline);</w:t>
      </w:r>
    </w:p>
    <w:p w14:paraId="54B48007" w14:textId="77777777" w:rsidR="00BF22EA" w:rsidRPr="00797162" w:rsidRDefault="00BF22EA" w:rsidP="00BF22EA">
      <w:pPr>
        <w:pStyle w:val="Bullet0"/>
        <w:rPr>
          <w:noProof/>
        </w:rPr>
      </w:pPr>
      <w:r w:rsidRPr="00797162">
        <w:rPr>
          <w:noProof/>
        </w:rPr>
        <w:t>tuumarajatiste dekomissioneerimise ja tuumajäätmete käitlemise kava eelarve paindlikkuse vajadus (väga oluline);</w:t>
      </w:r>
    </w:p>
    <w:p w14:paraId="2BA07C0A" w14:textId="77777777" w:rsidR="00BF22EA" w:rsidRPr="00797162" w:rsidRDefault="00BF22EA" w:rsidP="00BF22EA">
      <w:pPr>
        <w:pStyle w:val="Bullet0"/>
        <w:rPr>
          <w:noProof/>
          <w:bdr w:val="nil"/>
        </w:rPr>
      </w:pPr>
      <w:r w:rsidRPr="00797162">
        <w:rPr>
          <w:noProof/>
        </w:rPr>
        <w:t>personali kavandamine ja jaotamine (oluline).</w:t>
      </w:r>
    </w:p>
    <w:p w14:paraId="46C349E6" w14:textId="77777777" w:rsidR="00BF22EA" w:rsidRPr="00797162" w:rsidRDefault="00BF22EA" w:rsidP="00BF22EA">
      <w:pPr>
        <w:pStyle w:val="ManualHeading2"/>
        <w:rPr>
          <w:noProof/>
          <w:u w:color="000000"/>
          <w:bdr w:val="nil"/>
        </w:rPr>
      </w:pPr>
      <w:r w:rsidRPr="00797162">
        <w:rPr>
          <w:noProof/>
          <w:u w:color="000000"/>
          <w:bdr w:val="nil"/>
        </w:rPr>
        <w:t>Konsulteerimine sidusrühmadega</w:t>
      </w:r>
    </w:p>
    <w:p w14:paraId="4CF6D438" w14:textId="77777777" w:rsidR="00BF22EA" w:rsidRPr="00797162" w:rsidRDefault="00BF22EA" w:rsidP="00BF22EA">
      <w:pPr>
        <w:rPr>
          <w:i/>
          <w:noProof/>
          <w:u w:val="single"/>
        </w:rPr>
      </w:pPr>
      <w:r w:rsidRPr="00797162">
        <w:rPr>
          <w:i/>
          <w:noProof/>
          <w:u w:val="single"/>
        </w:rPr>
        <w:t>Avalik konsultatsioon</w:t>
      </w:r>
    </w:p>
    <w:p w14:paraId="3438561D" w14:textId="77777777" w:rsidR="00BF22EA" w:rsidRPr="00797162" w:rsidRDefault="00BF22EA" w:rsidP="00BF22EA">
      <w:pPr>
        <w:rPr>
          <w:noProof/>
        </w:rPr>
      </w:pPr>
      <w:r w:rsidRPr="00797162">
        <w:rPr>
          <w:noProof/>
        </w:rPr>
        <w:t>Kooskõlas vastavate eeskirjadega korraldas komisjon avaliku konsultatsiooni</w:t>
      </w:r>
      <w:r w:rsidRPr="00797162">
        <w:rPr>
          <w:rStyle w:val="FootnoteReference"/>
          <w:noProof/>
        </w:rPr>
        <w:footnoteReference w:id="20"/>
      </w:r>
      <w:r w:rsidRPr="00797162">
        <w:rPr>
          <w:noProof/>
        </w:rPr>
        <w:t xml:space="preserve"> ELi välistegevuse rahastamise üle järgmise mitmeaastase finantsraamistiku raames. Tuumaohutusalase koostöö instrumendi puhul olid konsultatsiooni tulemused järgmised.</w:t>
      </w:r>
    </w:p>
    <w:p w14:paraId="704C7458" w14:textId="77777777" w:rsidR="00BF22EA" w:rsidRPr="00797162" w:rsidRDefault="00BF22EA" w:rsidP="00BF22EA">
      <w:pPr>
        <w:rPr>
          <w:noProof/>
        </w:rPr>
      </w:pPr>
      <w:r w:rsidRPr="00797162">
        <w:rPr>
          <w:noProof/>
        </w:rPr>
        <w:t xml:space="preserve">Ligikaudu 50 % vastanutest suhtus tuumaohutusalase koostöö instrumendi eesmärkidesse positiivselt ja nõustus nendega </w:t>
      </w:r>
      <w:r w:rsidRPr="00797162">
        <w:rPr>
          <w:noProof/>
          <w:u w:val="single"/>
        </w:rPr>
        <w:t>suurel määral</w:t>
      </w:r>
      <w:r w:rsidRPr="00797162">
        <w:rPr>
          <w:noProof/>
        </w:rPr>
        <w:t xml:space="preserve"> või </w:t>
      </w:r>
      <w:r w:rsidRPr="00797162">
        <w:rPr>
          <w:noProof/>
          <w:u w:val="single"/>
        </w:rPr>
        <w:t>mõnevõrra</w:t>
      </w:r>
      <w:r w:rsidRPr="00797162">
        <w:rPr>
          <w:rStyle w:val="FootnoteReference"/>
          <w:noProof/>
        </w:rPr>
        <w:footnoteReference w:id="21"/>
      </w:r>
      <w:r w:rsidRPr="00797162">
        <w:rPr>
          <w:noProof/>
        </w:rPr>
        <w:t xml:space="preserve">. Ainult 13 % vastanutest oli selle vastu ja 27 %-l ei olnud kindlat (ei positiivset ega negatiivset) arvamust. </w:t>
      </w:r>
    </w:p>
    <w:p w14:paraId="40183DB1" w14:textId="77777777" w:rsidR="00BF22EA" w:rsidRPr="00797162" w:rsidRDefault="00BF22EA" w:rsidP="00BF22EA">
      <w:pPr>
        <w:rPr>
          <w:noProof/>
        </w:rPr>
      </w:pPr>
      <w:r w:rsidRPr="00797162">
        <w:rPr>
          <w:noProof/>
        </w:rPr>
        <w:t>Eespool esitatud tulemused näitavad, et enamik vastanutest toetab ELi abi andmist partnerriikidele tuuma- ja kiirgusohutuse ning kaitsemeetmete valdkonnas.</w:t>
      </w:r>
    </w:p>
    <w:p w14:paraId="7D039487" w14:textId="77777777" w:rsidR="00BF22EA" w:rsidRPr="00797162" w:rsidRDefault="00BF22EA" w:rsidP="00BF22EA">
      <w:pPr>
        <w:rPr>
          <w:i/>
          <w:noProof/>
          <w:u w:val="single"/>
        </w:rPr>
      </w:pPr>
      <w:r w:rsidRPr="00797162">
        <w:rPr>
          <w:i/>
          <w:noProof/>
          <w:u w:val="single"/>
        </w:rPr>
        <w:t>Konsulteerimine teiste sidusrühmadega</w:t>
      </w:r>
    </w:p>
    <w:p w14:paraId="0D65E819" w14:textId="77777777" w:rsidR="00BF22EA" w:rsidRPr="00797162" w:rsidRDefault="00BF22EA" w:rsidP="00BF22EA">
      <w:pPr>
        <w:autoSpaceDE w:val="0"/>
        <w:autoSpaceDN w:val="0"/>
        <w:adjustRightInd w:val="0"/>
        <w:rPr>
          <w:noProof/>
        </w:rPr>
      </w:pPr>
      <w:r w:rsidRPr="00797162">
        <w:rPr>
          <w:noProof/>
        </w:rPr>
        <w:t>Sidusrühmadega peetud konsultatsioonide tulemusi kasutati tõendavate dokumentide põhjal tehtud järelduste täiendamiseks. Välistegevuse rahastute hindamise 2021.–2024. aasta vahearuande aluseks olnud hindamisdokumentide koostamisel peeti sidusrühmadega järgmist liiki konsultatsioone:</w:t>
      </w:r>
    </w:p>
    <w:p w14:paraId="1985ADAC" w14:textId="77777777" w:rsidR="00BF22EA" w:rsidRPr="00797162" w:rsidRDefault="00BF22EA" w:rsidP="00BF22EA">
      <w:pPr>
        <w:pStyle w:val="Bullet0"/>
        <w:rPr>
          <w:noProof/>
        </w:rPr>
      </w:pPr>
      <w:r w:rsidRPr="00797162">
        <w:rPr>
          <w:noProof/>
        </w:rPr>
        <w:t xml:space="preserve">poolstruktureeritud kohapealsed ja kaugintervjuud ligikaudu 350 peamise sidusrühmaga, sealhulgas Euroopa Komisjoni (komisjoni peasekretariaadi, rahvusvahelise partnerluse, naabruspoliitika ja laienemisläbirääkimiste peadirektoraatide, välispoliitika vahendite talituse jne), Euroopa välisteenistuse ja ELi delegatsioonide töötajatega; </w:t>
      </w:r>
    </w:p>
    <w:p w14:paraId="386467DE" w14:textId="77777777" w:rsidR="00BF22EA" w:rsidRPr="00797162" w:rsidRDefault="00BF22EA" w:rsidP="00BF22EA">
      <w:pPr>
        <w:pStyle w:val="Bullet0"/>
        <w:rPr>
          <w:noProof/>
        </w:rPr>
      </w:pPr>
      <w:r w:rsidRPr="00797162">
        <w:rPr>
          <w:noProof/>
        </w:rPr>
        <w:t>intervjueeriti ka väliseid sidusrühmi, nagu ÜRO asutuste, ELi liikmesriikide ja partnerriikide valitsuste esindajad;</w:t>
      </w:r>
    </w:p>
    <w:p w14:paraId="7EF174F4" w14:textId="77777777" w:rsidR="00BF22EA" w:rsidRPr="00797162" w:rsidRDefault="00BF22EA" w:rsidP="00BF22EA">
      <w:pPr>
        <w:pStyle w:val="Bullet0"/>
        <w:rPr>
          <w:noProof/>
        </w:rPr>
      </w:pPr>
      <w:r w:rsidRPr="00797162">
        <w:rPr>
          <w:noProof/>
        </w:rPr>
        <w:t>komisjon korraldas sihtkonsultatsioone konkreetsete sidusrühmadega, nagu ELi liikmesriikide eksperdid ning asjaomaste ÜRO asutuste ja rahvusvaheliste finantsasutuste esindajad;</w:t>
      </w:r>
    </w:p>
    <w:p w14:paraId="1020B585" w14:textId="77777777" w:rsidR="00BF22EA" w:rsidRPr="00797162" w:rsidRDefault="00BF22EA" w:rsidP="00BF22EA">
      <w:pPr>
        <w:pStyle w:val="Bullet0"/>
        <w:rPr>
          <w:noProof/>
        </w:rPr>
      </w:pPr>
      <w:r w:rsidRPr="00797162">
        <w:rPr>
          <w:noProof/>
        </w:rPr>
        <w:t>eespool nimetatud konsultatsioone täiendasid kolm e-küsitlust, millega saadi vabatahtlikku täiendavat teavet peamiselt ELi delegatsioonidelt.</w:t>
      </w:r>
    </w:p>
    <w:p w14:paraId="51E072FA" w14:textId="77777777" w:rsidR="00BF22EA" w:rsidRPr="00797162" w:rsidRDefault="00BF22EA" w:rsidP="00BF22EA">
      <w:pPr>
        <w:autoSpaceDE w:val="0"/>
        <w:autoSpaceDN w:val="0"/>
        <w:adjustRightInd w:val="0"/>
        <w:rPr>
          <w:noProof/>
        </w:rPr>
      </w:pPr>
      <w:r w:rsidRPr="00797162">
        <w:rPr>
          <w:noProof/>
        </w:rPr>
        <w:t>Konsulteeritud sidusrühmade peamised sõnumid on kokkuvõtlikult esitatud vahehindamise aruande II osa III lisas. Üksikasju siin ei korrata ning lühiduse huvides viidatakse ainult kõige olulisematele punktidele.</w:t>
      </w:r>
    </w:p>
    <w:p w14:paraId="2AA7BB7C" w14:textId="77777777" w:rsidR="00BF22EA" w:rsidRPr="00797162" w:rsidRDefault="00BF22EA" w:rsidP="00BF22EA">
      <w:pPr>
        <w:autoSpaceDE w:val="0"/>
        <w:autoSpaceDN w:val="0"/>
        <w:adjustRightInd w:val="0"/>
        <w:rPr>
          <w:noProof/>
        </w:rPr>
      </w:pPr>
      <w:r w:rsidRPr="00797162">
        <w:rPr>
          <w:noProof/>
        </w:rPr>
        <w:t xml:space="preserve">Sidusrühmad nõustusid, et välistegevuse rahastud peaksid olema kriisidele ja geopoliitilise olukorra ootamatutele muutustele reageerimisel paindlikumad. Samuti rõhutati, et tuleb tagada suurem kooskõla ELi sise- ja välispoliitika ning välistegevuse rahastute endi vahel. Üldiselt tunnistati välistegevuse rahastute olulist panust kestliku arengu tegevuskavas 2030 kehtestatud kestliku arengu eesmärkide saavutamisse ning juhiti tähelepanu sellele, et kestliku arengu eesmärkidega seotud tegevuste korraldamine tavaliselt suurendab sise- ja välispoliitika sidusust. </w:t>
      </w:r>
    </w:p>
    <w:p w14:paraId="7FD055A4" w14:textId="77777777" w:rsidR="00BF22EA" w:rsidRPr="00797162" w:rsidRDefault="00BF22EA" w:rsidP="00BF22EA">
      <w:pPr>
        <w:autoSpaceDE w:val="0"/>
        <w:autoSpaceDN w:val="0"/>
        <w:adjustRightInd w:val="0"/>
        <w:rPr>
          <w:noProof/>
        </w:rPr>
      </w:pPr>
      <w:r w:rsidRPr="00797162">
        <w:rPr>
          <w:noProof/>
        </w:rPr>
        <w:t xml:space="preserve">Uue laiahaardelise instrumendi „Globaalne Euroopa“ kasutuselevõttu praeguses mitmeaastases finantsraamistikus üldiselt tervitati ning pooldati välistegevuse rahastute üldise ülesehituse edasist lihtsustamist. Positiivselt suhtuti ka geograafiliste programmide temaatilistesse mõõtmetesse ning jõuti üldisele kokkuleppele, et geograafiliste ja temaatiliste programmide kombineerimine annab enamasti häid tulemusi. </w:t>
      </w:r>
    </w:p>
    <w:p w14:paraId="76726D5C" w14:textId="77777777" w:rsidR="00BF22EA" w:rsidRPr="00797162" w:rsidRDefault="00BF22EA" w:rsidP="00BF22EA">
      <w:pPr>
        <w:autoSpaceDE w:val="0"/>
        <w:autoSpaceDN w:val="0"/>
        <w:adjustRightInd w:val="0"/>
        <w:rPr>
          <w:noProof/>
        </w:rPr>
      </w:pPr>
      <w:r w:rsidRPr="00797162">
        <w:rPr>
          <w:noProof/>
        </w:rPr>
        <w:t>Tagatakse tuumaohutusalase koostöö ja dekomissioneerimise instrumendi ettepaneku järjepidevus ja vastastikune täiendavus „Globaalse Euroopaga“, eelkõige rakendades tuumaenergia rahuotstarbelise kasutamisega seotud rahvusvahelist koostööd valdkondades, mis täiendavad „Globaalse Euroopa“ laiemaid eesmärke, kooskõlas tervishoiu, põllumajanduse, tööstuse ja sotsiaalprojektide valdkonna rahvusvahelise ja arengukoostöö poliitikaga.</w:t>
      </w:r>
    </w:p>
    <w:p w14:paraId="1EDA5B22" w14:textId="77777777" w:rsidR="00BF22EA" w:rsidRPr="00797162" w:rsidRDefault="00BF22EA" w:rsidP="00BF22EA">
      <w:pPr>
        <w:pStyle w:val="ManualHeading2"/>
        <w:rPr>
          <w:noProof/>
          <w:u w:color="000000"/>
          <w:bdr w:val="nil"/>
        </w:rPr>
      </w:pPr>
      <w:r w:rsidRPr="00797162">
        <w:rPr>
          <w:noProof/>
          <w:u w:color="000000"/>
          <w:bdr w:val="nil"/>
        </w:rPr>
        <w:t>•</w:t>
      </w:r>
      <w:r w:rsidRPr="00797162">
        <w:rPr>
          <w:noProof/>
        </w:rPr>
        <w:tab/>
      </w:r>
      <w:r w:rsidRPr="00797162">
        <w:rPr>
          <w:noProof/>
          <w:u w:color="000000"/>
          <w:bdr w:val="nil"/>
        </w:rPr>
        <w:t>Eksperdiarvamuste kogumine ja kasutamine tuumaohutusalase koostöö instrumendi jaoks</w:t>
      </w:r>
    </w:p>
    <w:p w14:paraId="39E6F2CE" w14:textId="77777777" w:rsidR="00BF22EA" w:rsidRPr="00797162" w:rsidRDefault="00BF22EA" w:rsidP="00BF22EA">
      <w:pPr>
        <w:autoSpaceDE w:val="0"/>
        <w:autoSpaceDN w:val="0"/>
        <w:adjustRightInd w:val="0"/>
        <w:rPr>
          <w:noProof/>
        </w:rPr>
      </w:pPr>
      <w:r w:rsidRPr="00797162">
        <w:rPr>
          <w:noProof/>
        </w:rPr>
        <w:t>Kolm eespool osutatud hindamisaruannet koostati sõltumatute hindamiste raames, mille viisid aastatel 2017–2024 läbi valitud konsortsiumid, mis koosnesid silmapaistvatest välisekspertide ettevõtetest. Lisaks tõendavatele dokumentidele tugineti hindamistes ulatuslikele kohapealsetele ja kaugkonsultatsioonidele, milles osales ka arvukalt Euroopa Komisjoni töötajaid. Ehkki märkimisväärne osa hindamisaruannetes sisalduvast teabest pärineb otse komisjoni töötajatelt, kajastavad aruanded sõltumatute välisekspertide järeldusi ja neid ei käsitata mingil juhul komisjoni enesehindamisaruannetena.</w:t>
      </w:r>
    </w:p>
    <w:p w14:paraId="6BFD9F4D" w14:textId="77777777" w:rsidR="00BF22EA" w:rsidRPr="00797162" w:rsidRDefault="00BF22EA" w:rsidP="00BF22EA">
      <w:pPr>
        <w:autoSpaceDE w:val="0"/>
        <w:autoSpaceDN w:val="0"/>
        <w:adjustRightInd w:val="0"/>
        <w:rPr>
          <w:noProof/>
        </w:rPr>
      </w:pPr>
      <w:r w:rsidRPr="00797162">
        <w:rPr>
          <w:noProof/>
        </w:rPr>
        <w:t>Kõik eespool nimetatud hindamisaruanded on avalikult kättesaadavad.</w:t>
      </w:r>
    </w:p>
    <w:p w14:paraId="7BD53E56" w14:textId="77777777" w:rsidR="00BF22EA" w:rsidRPr="00797162" w:rsidRDefault="00BF22EA" w:rsidP="00BF22EA">
      <w:pPr>
        <w:autoSpaceDE w:val="0"/>
        <w:autoSpaceDN w:val="0"/>
        <w:adjustRightInd w:val="0"/>
        <w:rPr>
          <w:noProof/>
        </w:rPr>
      </w:pPr>
      <w:r w:rsidRPr="00797162">
        <w:rPr>
          <w:noProof/>
        </w:rPr>
        <w:t xml:space="preserve">Mis puudutab asjaomaste rahvusvaheliste kutseorganisatsioonide arvamust ELi tuumaohutusealase koostöö kohta partnerriikidega, siis 2017. aastal toimunud IAEA tuumaohutuse konventsiooni seitsmendal läbivaatamiskohtumisel tunnustati ametlikult tuumaohutusalase koostöö instrumendi silmapaistvat lisaväärtust, märkides, et </w:t>
      </w:r>
      <w:r w:rsidRPr="00797162">
        <w:rPr>
          <w:i/>
          <w:iCs/>
          <w:noProof/>
        </w:rPr>
        <w:t>„ELi-väliste riikide abistamiseks mõeldud tuumaohutuse koostööprogrammi instrumendi rakendamine on tunnistatud heaks tavaks“</w:t>
      </w:r>
      <w:r w:rsidRPr="00797162">
        <w:rPr>
          <w:rStyle w:val="FootnoteReference"/>
          <w:noProof/>
        </w:rPr>
        <w:footnoteReference w:id="22"/>
      </w:r>
      <w:r w:rsidRPr="00797162">
        <w:rPr>
          <w:noProof/>
        </w:rPr>
        <w:t>.</w:t>
      </w:r>
    </w:p>
    <w:p w14:paraId="3EC562B4" w14:textId="77777777" w:rsidR="00BF22EA" w:rsidRPr="00797162" w:rsidRDefault="00BF22EA" w:rsidP="00BF22EA">
      <w:pPr>
        <w:autoSpaceDE w:val="0"/>
        <w:autoSpaceDN w:val="0"/>
        <w:adjustRightInd w:val="0"/>
        <w:rPr>
          <w:noProof/>
        </w:rPr>
      </w:pPr>
      <w:r w:rsidRPr="00797162">
        <w:rPr>
          <w:noProof/>
        </w:rPr>
        <w:t>Viimase kolme aastakümne jooksul on Euratom süstemaatiliselt kohaldanud tuumaohutusalase koostöö instrumenti tõhusa vahendina tuumaohutuse, kiirguskaitse ja tõhusate kaitsemeetmete kõrge taseme saavutamiseks ja säilitamiseks. Tuumaohutusalase koostöö instrumendi rolli ühenduse eeskirjade ja parimate tavade levitamisel on tunnustanud ka tuumaohutust reguleerivate asutuste Euroopa töörühm (ENSREG) oma seisukohavõtus tuumaohutusalase rahvusvahelise koostöö instrumendi kohta</w:t>
      </w:r>
      <w:r w:rsidRPr="00797162">
        <w:rPr>
          <w:rStyle w:val="FootnoteReference"/>
          <w:noProof/>
        </w:rPr>
        <w:footnoteReference w:id="23"/>
      </w:r>
      <w:r w:rsidRPr="00797162">
        <w:rPr>
          <w:noProof/>
        </w:rPr>
        <w:t>. ENSREG moodustas ka töörühma selleks, et kommenteerida tuumaohutusalase koostöö instrumendi mitmeaastaseid sihtprogramme, vaadata läbi instrumendi vahearuanded ning teha ettepanekuid võimalike partnerriike abistavate projektide vajalikkuse ja teostatavuse kohta.</w:t>
      </w:r>
    </w:p>
    <w:p w14:paraId="356857CD" w14:textId="77777777" w:rsidR="00BF22EA" w:rsidRPr="00797162" w:rsidRDefault="00BF22EA" w:rsidP="00285AC0">
      <w:pPr>
        <w:pStyle w:val="ManualHeading2"/>
        <w:rPr>
          <w:noProof/>
          <w:u w:color="000000"/>
          <w:bdr w:val="nil"/>
        </w:rPr>
      </w:pPr>
      <w:r w:rsidRPr="00797162">
        <w:rPr>
          <w:noProof/>
          <w:u w:color="000000"/>
          <w:bdr w:val="nil"/>
        </w:rPr>
        <w:t>Välisekspertide kasutamine Teadusuuringute Ühiskeskuse dekomissioneerimisprogrammis</w:t>
      </w:r>
    </w:p>
    <w:p w14:paraId="7EFD2717" w14:textId="77777777" w:rsidR="00BF22EA" w:rsidRPr="00797162" w:rsidRDefault="00BF22EA" w:rsidP="00BF22EA">
      <w:pPr>
        <w:pStyle w:val="ListParagraph"/>
        <w:pBdr>
          <w:top w:val="nil"/>
          <w:left w:val="nil"/>
          <w:bottom w:val="nil"/>
          <w:right w:val="nil"/>
          <w:between w:val="nil"/>
          <w:bar w:val="nil"/>
        </w:pBdr>
        <w:ind w:left="0"/>
        <w:rPr>
          <w:noProof/>
        </w:rPr>
      </w:pPr>
      <w:r w:rsidRPr="00797162">
        <w:rPr>
          <w:noProof/>
        </w:rPr>
        <w:t>2024. aastal tehti Teadusuuringute Ühiskeskuse tuumarajatiste dekomissioneerimise ja tuumajäätmete käitlemise programmi vahehindamine. Vahehindamise järeldused ja soovitused</w:t>
      </w:r>
      <w:r w:rsidRPr="00797162">
        <w:rPr>
          <w:rStyle w:val="FootnoteReference"/>
          <w:noProof/>
        </w:rPr>
        <w:footnoteReference w:id="24"/>
      </w:r>
      <w:r w:rsidRPr="00797162">
        <w:rPr>
          <w:noProof/>
        </w:rPr>
        <w:t xml:space="preserve"> on järgmised:</w:t>
      </w:r>
    </w:p>
    <w:p w14:paraId="50D19278" w14:textId="77777777" w:rsidR="00BF22EA" w:rsidRPr="00797162" w:rsidRDefault="00BF22EA" w:rsidP="00BF22EA">
      <w:pPr>
        <w:pStyle w:val="ListParagraph"/>
        <w:pBdr>
          <w:top w:val="nil"/>
          <w:left w:val="nil"/>
          <w:bottom w:val="nil"/>
          <w:right w:val="nil"/>
          <w:between w:val="nil"/>
        </w:pBdr>
        <w:ind w:left="0"/>
        <w:rPr>
          <w:noProof/>
          <w:u w:val="single"/>
        </w:rPr>
      </w:pPr>
    </w:p>
    <w:p w14:paraId="12ECDBD7" w14:textId="77777777" w:rsidR="00BF22EA" w:rsidRPr="00797162" w:rsidRDefault="00BF22EA" w:rsidP="00BF22EA">
      <w:pPr>
        <w:pStyle w:val="ListParagraph"/>
        <w:pBdr>
          <w:top w:val="nil"/>
          <w:left w:val="nil"/>
          <w:bottom w:val="nil"/>
          <w:right w:val="nil"/>
          <w:between w:val="nil"/>
        </w:pBdr>
        <w:ind w:left="0"/>
        <w:rPr>
          <w:noProof/>
          <w:u w:val="single"/>
        </w:rPr>
      </w:pPr>
      <w:r w:rsidRPr="00797162">
        <w:rPr>
          <w:noProof/>
          <w:u w:val="single"/>
        </w:rPr>
        <w:t>Leiud</w:t>
      </w:r>
    </w:p>
    <w:p w14:paraId="23BA7D35" w14:textId="77777777" w:rsidR="00BF22EA" w:rsidRPr="00797162" w:rsidRDefault="00BF22EA" w:rsidP="00BF22EA">
      <w:pPr>
        <w:pStyle w:val="Bullet0"/>
        <w:rPr>
          <w:noProof/>
        </w:rPr>
      </w:pPr>
      <w:r w:rsidRPr="00797162">
        <w:rPr>
          <w:noProof/>
        </w:rPr>
        <w:t>Teadusuuringute Ühiskeskuse tegevuskohtades on tehtud märkimisväärseid edusamme sidusrühmade haldamisel.</w:t>
      </w:r>
    </w:p>
    <w:p w14:paraId="44621346" w14:textId="77777777" w:rsidR="00BF22EA" w:rsidRPr="00797162" w:rsidRDefault="00BF22EA" w:rsidP="00BF22EA">
      <w:pPr>
        <w:pStyle w:val="Bullet0"/>
        <w:rPr>
          <w:noProof/>
        </w:rPr>
      </w:pPr>
      <w:r w:rsidRPr="00797162">
        <w:rPr>
          <w:noProof/>
        </w:rPr>
        <w:t>Ispras ja Pettenis on edenenud varasemate jäätmete ohutu kogumine, töötlemine ja ladustamine.</w:t>
      </w:r>
    </w:p>
    <w:p w14:paraId="018A470A" w14:textId="77777777" w:rsidR="00BF22EA" w:rsidRPr="00797162" w:rsidRDefault="00BF22EA" w:rsidP="00BF22EA">
      <w:pPr>
        <w:pStyle w:val="Bullet0"/>
        <w:rPr>
          <w:noProof/>
        </w:rPr>
      </w:pPr>
      <w:r w:rsidRPr="00797162">
        <w:rPr>
          <w:noProof/>
        </w:rPr>
        <w:t>Kuna paljud kulud on ajas muutuvad, võrduvad projektide viivitused kulude suurenemisega, kuigi saavutatud väärtuse analüüsi“ seirenäitajatest ilmneb, et programm on üldiselt rahaliselt tõhus.</w:t>
      </w:r>
    </w:p>
    <w:p w14:paraId="30D3FF9C" w14:textId="77777777" w:rsidR="00BF22EA" w:rsidRPr="00797162" w:rsidRDefault="00BF22EA" w:rsidP="00BF22EA">
      <w:pPr>
        <w:pStyle w:val="Bullet0"/>
        <w:rPr>
          <w:noProof/>
        </w:rPr>
      </w:pPr>
      <w:r w:rsidRPr="00797162">
        <w:rPr>
          <w:noProof/>
        </w:rPr>
        <w:t>Juhtimisraamistik on eesmärgipärane ja kohandatud tuumarajatiste dekomissioneerimise ja tuumajäätmete käitlemise programmi eesmärkidega.</w:t>
      </w:r>
    </w:p>
    <w:p w14:paraId="5001C742" w14:textId="77777777" w:rsidR="00BF22EA" w:rsidRPr="00797162" w:rsidRDefault="00BF22EA" w:rsidP="00BF22EA">
      <w:pPr>
        <w:pStyle w:val="Bullet0"/>
        <w:rPr>
          <w:noProof/>
        </w:rPr>
      </w:pPr>
      <w:r w:rsidRPr="00797162">
        <w:rPr>
          <w:noProof/>
        </w:rPr>
        <w:t>Programmi rakendamine on kooskõlas ELi õigustiku ning ELi ja liikmesriikide õigusaktide ja poliitikaga.</w:t>
      </w:r>
    </w:p>
    <w:p w14:paraId="6F460E2C" w14:textId="77777777" w:rsidR="00BF22EA" w:rsidRPr="00797162" w:rsidRDefault="00BF22EA" w:rsidP="00BF22EA">
      <w:pPr>
        <w:pStyle w:val="Bullet0"/>
        <w:rPr>
          <w:noProof/>
        </w:rPr>
      </w:pPr>
      <w:r w:rsidRPr="00797162">
        <w:rPr>
          <w:noProof/>
        </w:rPr>
        <w:t>Kõigis tuumajaamade tegevuskohtades on kooskõlas eesmärkidega töötatud välja teadmustooted.</w:t>
      </w:r>
    </w:p>
    <w:p w14:paraId="6D9A9263" w14:textId="77777777" w:rsidR="00BF22EA" w:rsidRPr="00797162" w:rsidRDefault="00BF22EA" w:rsidP="00BF22EA">
      <w:pPr>
        <w:pStyle w:val="Bullet0"/>
        <w:rPr>
          <w:noProof/>
        </w:rPr>
      </w:pPr>
      <w:r w:rsidRPr="00797162">
        <w:rPr>
          <w:noProof/>
        </w:rPr>
        <w:t>Teadmushaldus on soodustanud koostööd ja teabevahetust kolme tuumarajatiste dekomissioneerimise abiprogrammi vahel.</w:t>
      </w:r>
    </w:p>
    <w:p w14:paraId="5DEEC916" w14:textId="77777777" w:rsidR="00BF22EA" w:rsidRPr="00797162" w:rsidRDefault="00BF22EA" w:rsidP="00BF22EA">
      <w:pPr>
        <w:pStyle w:val="ListParagraph"/>
        <w:pBdr>
          <w:top w:val="nil"/>
          <w:left w:val="nil"/>
          <w:bottom w:val="nil"/>
          <w:right w:val="nil"/>
          <w:between w:val="nil"/>
        </w:pBdr>
        <w:ind w:left="0"/>
        <w:rPr>
          <w:noProof/>
          <w:u w:val="single"/>
        </w:rPr>
      </w:pPr>
      <w:r w:rsidRPr="00797162">
        <w:rPr>
          <w:noProof/>
          <w:u w:val="single"/>
        </w:rPr>
        <w:t xml:space="preserve">Soovitused </w:t>
      </w:r>
    </w:p>
    <w:p w14:paraId="2CA54B34" w14:textId="77777777" w:rsidR="00BF22EA" w:rsidRPr="00797162" w:rsidRDefault="00BF22EA" w:rsidP="00BF22EA">
      <w:pPr>
        <w:pStyle w:val="Bullet0"/>
        <w:rPr>
          <w:noProof/>
        </w:rPr>
      </w:pPr>
      <w:r w:rsidRPr="00797162">
        <w:rPr>
          <w:noProof/>
        </w:rPr>
        <w:t>Prognoosida ja valmistada ette litsentsimisnõudeid reguleeriva asutuse varajase kaasamise kaudu, et piirata nende mõju programmi rakendamisele.</w:t>
      </w:r>
    </w:p>
    <w:p w14:paraId="5C42C72E" w14:textId="77777777" w:rsidR="00BF22EA" w:rsidRPr="00797162" w:rsidRDefault="00BF22EA" w:rsidP="00BF22EA">
      <w:pPr>
        <w:pStyle w:val="Bullet0"/>
        <w:pBdr>
          <w:top w:val="nil"/>
          <w:left w:val="nil"/>
          <w:bottom w:val="nil"/>
          <w:right w:val="nil"/>
          <w:between w:val="nil"/>
          <w:bar w:val="nil"/>
        </w:pBdr>
        <w:spacing w:before="0" w:after="240"/>
        <w:rPr>
          <w:noProof/>
        </w:rPr>
      </w:pPr>
      <w:r w:rsidRPr="00797162">
        <w:rPr>
          <w:noProof/>
        </w:rPr>
        <w:t>Suurendada hangete korraldamise suutlikkust.</w:t>
      </w:r>
    </w:p>
    <w:p w14:paraId="08E01FE2" w14:textId="77777777" w:rsidR="00BF22EA" w:rsidRPr="00797162" w:rsidRDefault="00BF22EA" w:rsidP="006C4068">
      <w:pPr>
        <w:pStyle w:val="Bullet0"/>
        <w:numPr>
          <w:ilvl w:val="0"/>
          <w:numId w:val="23"/>
        </w:numPr>
        <w:pBdr>
          <w:top w:val="nil"/>
          <w:left w:val="nil"/>
          <w:bottom w:val="nil"/>
          <w:right w:val="nil"/>
          <w:between w:val="nil"/>
          <w:bar w:val="nil"/>
        </w:pBdr>
        <w:spacing w:before="0" w:after="240"/>
        <w:rPr>
          <w:noProof/>
        </w:rPr>
      </w:pPr>
      <w:r w:rsidRPr="00797162">
        <w:rPr>
          <w:noProof/>
        </w:rPr>
        <w:t>Töötada välja ja rakendada seirenäitajad, et mõõta tuumarajatiste dekomissioneerimise ja tuumajäätmete käitlemise programmi ja tuumarajatiste dekomissioneerimise abiprogrammi raames välja töötatud teadmustoodete kasutamise mõju.</w:t>
      </w:r>
    </w:p>
    <w:p w14:paraId="1933D15C" w14:textId="77777777" w:rsidR="00BF22EA" w:rsidRPr="00797162" w:rsidRDefault="00BF22EA" w:rsidP="00BF22EA">
      <w:pPr>
        <w:pStyle w:val="ManualHeading2"/>
        <w:rPr>
          <w:noProof/>
          <w:bdr w:val="nil"/>
        </w:rPr>
      </w:pPr>
      <w:r w:rsidRPr="00797162">
        <w:rPr>
          <w:noProof/>
          <w:bdr w:val="nil"/>
        </w:rPr>
        <w:t>•</w:t>
      </w:r>
      <w:r w:rsidRPr="00797162">
        <w:rPr>
          <w:noProof/>
        </w:rPr>
        <w:tab/>
      </w:r>
      <w:r w:rsidRPr="00797162">
        <w:rPr>
          <w:noProof/>
          <w:bdr w:val="nil"/>
        </w:rPr>
        <w:t>Eelhindamine</w:t>
      </w:r>
    </w:p>
    <w:p w14:paraId="73F368FF" w14:textId="77777777" w:rsidR="00BF22EA" w:rsidRPr="00797162" w:rsidRDefault="00BF22EA" w:rsidP="00BF22EA">
      <w:pPr>
        <w:rPr>
          <w:noProof/>
        </w:rPr>
      </w:pPr>
      <w:r w:rsidRPr="00797162">
        <w:rPr>
          <w:noProof/>
        </w:rPr>
        <w:t>Parema õigusloome vahendis nr 9 on sedastatud, et programmide puhul, mis oma üldise sisu ja struktuuri poolest tagavad järjepidevuse ja on väikesed, on vaja ainult eelhindamist. Selle tulemusena koostati põhjalik eelhindamise aruanne,</w:t>
      </w:r>
      <w:r w:rsidRPr="00797162">
        <w:rPr>
          <w:rStyle w:val="FootnoteReference"/>
          <w:noProof/>
        </w:rPr>
        <w:footnoteReference w:id="25"/>
      </w:r>
      <w:r w:rsidRPr="00797162">
        <w:rPr>
          <w:noProof/>
        </w:rPr>
        <w:t xml:space="preserve"> mis on lisatud tuumaohutusalase koostöö ja dekomissioneerimise instrumendi ettepanekule, milles analüüsitakse eri poliitikavariantide mõju.</w:t>
      </w:r>
    </w:p>
    <w:p w14:paraId="5C0FEFC7" w14:textId="77777777" w:rsidR="00BF22EA" w:rsidRPr="00797162" w:rsidRDefault="00BF22EA" w:rsidP="00BF22EA">
      <w:pPr>
        <w:rPr>
          <w:noProof/>
        </w:rPr>
      </w:pPr>
      <w:r w:rsidRPr="00797162">
        <w:rPr>
          <w:noProof/>
        </w:rPr>
        <w:t>Analüüs on näidanud, et ainult üks poliitikavariant</w:t>
      </w:r>
      <w:r w:rsidRPr="00797162">
        <w:rPr>
          <w:rStyle w:val="FootnoteReference"/>
          <w:noProof/>
        </w:rPr>
        <w:footnoteReference w:id="26"/>
      </w:r>
      <w:r w:rsidRPr="00797162">
        <w:rPr>
          <w:noProof/>
        </w:rPr>
        <w:t xml:space="preserve"> vastab kõigile asjakohastele nõuetele. Tuumaohutusalase koostöö varasemate ja käimasolevate komponentide mõju ning tuumaohutusalase koostöö ja dekomissioneerimise instrumendi eeldatava mõju partnerriikidele võib kokku võtta järgmiselt:</w:t>
      </w:r>
    </w:p>
    <w:p w14:paraId="6A6E89EB" w14:textId="77777777" w:rsidR="00BF22EA" w:rsidRPr="00797162" w:rsidRDefault="00BF22EA" w:rsidP="00BF22EA">
      <w:pPr>
        <w:pStyle w:val="Bullet1"/>
        <w:rPr>
          <w:noProof/>
        </w:rPr>
      </w:pPr>
      <w:r w:rsidRPr="00797162">
        <w:rPr>
          <w:noProof/>
        </w:rPr>
        <w:t>riikliku tuumavaldkonda reguleeriva asutuse suurem regulatiivne suutlikkus;</w:t>
      </w:r>
    </w:p>
    <w:p w14:paraId="2DADFA67" w14:textId="77777777" w:rsidR="00BF22EA" w:rsidRPr="00797162" w:rsidRDefault="00BF22EA" w:rsidP="00BF22EA">
      <w:pPr>
        <w:pStyle w:val="Bullet1"/>
        <w:rPr>
          <w:noProof/>
        </w:rPr>
      </w:pPr>
      <w:r w:rsidRPr="00797162">
        <w:rPr>
          <w:noProof/>
        </w:rPr>
        <w:t>tuumavaldkonda reguleerivat asutust abistava pädeva tehnilise toe organisatsiooni loomine või edasiarendamine;</w:t>
      </w:r>
    </w:p>
    <w:p w14:paraId="066C08D4" w14:textId="77777777" w:rsidR="00BF22EA" w:rsidRPr="00797162" w:rsidRDefault="00BF22EA" w:rsidP="00BF22EA">
      <w:pPr>
        <w:pStyle w:val="Bullet1"/>
        <w:rPr>
          <w:noProof/>
        </w:rPr>
      </w:pPr>
      <w:r w:rsidRPr="00797162">
        <w:rPr>
          <w:noProof/>
        </w:rPr>
        <w:t>tuumaalastele hädaolukordadele reageerimise riikliku keskuse rakendamine, mis on varustatud tipptasemel diagnostika- ja prognoosivahendite ning otsustamist toetavate vahenditega;</w:t>
      </w:r>
    </w:p>
    <w:p w14:paraId="799B6476" w14:textId="77777777" w:rsidR="00BF22EA" w:rsidRPr="00797162" w:rsidRDefault="00BF22EA" w:rsidP="00BF22EA">
      <w:pPr>
        <w:pStyle w:val="Bullet1"/>
        <w:rPr>
          <w:noProof/>
        </w:rPr>
      </w:pPr>
      <w:r w:rsidRPr="00797162">
        <w:rPr>
          <w:noProof/>
        </w:rPr>
        <w:t>varajase hoiatamise suutlikkusega riikliku kiirgusseiresüsteemi loomine või edasiarendamine;</w:t>
      </w:r>
    </w:p>
    <w:p w14:paraId="5969EC97" w14:textId="77777777" w:rsidR="00BF22EA" w:rsidRPr="00797162" w:rsidRDefault="00BF22EA" w:rsidP="00BF22EA">
      <w:pPr>
        <w:pStyle w:val="Bullet1"/>
        <w:rPr>
          <w:noProof/>
        </w:rPr>
      </w:pPr>
      <w:r w:rsidRPr="00797162">
        <w:rPr>
          <w:noProof/>
        </w:rPr>
        <w:t>reguleerivate asutuste ja tehnilise toe organisatsioonide ekspertidele põhjaliku koolituse ja juhendamise pakkumine;</w:t>
      </w:r>
    </w:p>
    <w:p w14:paraId="4FA64215" w14:textId="77777777" w:rsidR="00BF22EA" w:rsidRPr="00797162" w:rsidRDefault="00BF22EA" w:rsidP="00BF22EA">
      <w:pPr>
        <w:pStyle w:val="Bullet1"/>
        <w:rPr>
          <w:noProof/>
        </w:rPr>
      </w:pPr>
      <w:r w:rsidRPr="00797162">
        <w:rPr>
          <w:noProof/>
        </w:rPr>
        <w:t>osalemine ELi stressitestides ja ENSREGi vastastikuses hindamises;</w:t>
      </w:r>
    </w:p>
    <w:p w14:paraId="384208AE" w14:textId="45278B8D" w:rsidR="00BF22EA" w:rsidRPr="00797162" w:rsidRDefault="00BF22EA" w:rsidP="00BF22EA">
      <w:pPr>
        <w:pStyle w:val="Bullet1"/>
        <w:rPr>
          <w:noProof/>
        </w:rPr>
      </w:pPr>
      <w:r w:rsidRPr="00797162">
        <w:rPr>
          <w:noProof/>
        </w:rPr>
        <w:t xml:space="preserve">radioaktiivse materjaliga saastatud varasemate </w:t>
      </w:r>
      <w:r w:rsidR="00AB54BF" w:rsidRPr="00797162">
        <w:rPr>
          <w:noProof/>
        </w:rPr>
        <w:t>rajatiste</w:t>
      </w:r>
      <w:r w:rsidRPr="00797162">
        <w:rPr>
          <w:noProof/>
        </w:rPr>
        <w:t xml:space="preserve"> saneerimine.</w:t>
      </w:r>
    </w:p>
    <w:p w14:paraId="5853C803" w14:textId="77777777" w:rsidR="00BF22EA" w:rsidRPr="00797162" w:rsidRDefault="00BF22EA" w:rsidP="00BF22EA">
      <w:pPr>
        <w:pStyle w:val="Text1"/>
        <w:ind w:left="0"/>
        <w:rPr>
          <w:noProof/>
          <w:szCs w:val="24"/>
        </w:rPr>
      </w:pPr>
      <w:r w:rsidRPr="00797162">
        <w:rPr>
          <w:noProof/>
        </w:rPr>
        <w:t xml:space="preserve">Teadusuuringute Ühiskeskuse dekomissioneerimistegevuse puhul parandas tuumarajatiste dekomissioneerimise ja tuumajäätmete käitlemise programmi rakendamine tõhusalt tuuma- ja kiirgusohutust Teadusuuringute Ühiskeskuse asjaomastes tegevuskohtades, tuues kasu ELi kodanikele ja keskkonnale. </w:t>
      </w:r>
    </w:p>
    <w:p w14:paraId="212CFBE6" w14:textId="77777777" w:rsidR="00BF22EA" w:rsidRPr="00797162" w:rsidRDefault="00BF22EA" w:rsidP="00BF22EA">
      <w:pPr>
        <w:pStyle w:val="Text1"/>
        <w:ind w:left="0"/>
        <w:rPr>
          <w:noProof/>
        </w:rPr>
      </w:pPr>
      <w:r w:rsidRPr="00797162">
        <w:rPr>
          <w:noProof/>
        </w:rPr>
        <w:t xml:space="preserve">Loodetakse, et tuumarajatiste dekomissioneerimise ja tuumajäätmete käitlemise programmi jätkamisega: </w:t>
      </w:r>
    </w:p>
    <w:p w14:paraId="55C8741B" w14:textId="77777777" w:rsidR="00BF22EA" w:rsidRPr="00797162" w:rsidRDefault="00BF22EA" w:rsidP="00BF22EA">
      <w:pPr>
        <w:pStyle w:val="Bullet1"/>
        <w:rPr>
          <w:noProof/>
        </w:rPr>
      </w:pPr>
      <w:r w:rsidRPr="00797162">
        <w:rPr>
          <w:noProof/>
        </w:rPr>
        <w:t>täidetakse nõuetekohaselt EÜ juriidilised kohustused ja antud lubadused;</w:t>
      </w:r>
    </w:p>
    <w:p w14:paraId="061B0994" w14:textId="77777777" w:rsidR="00BF22EA" w:rsidRPr="00797162" w:rsidRDefault="00BF22EA" w:rsidP="00BF22EA">
      <w:pPr>
        <w:pStyle w:val="Bullet1"/>
        <w:rPr>
          <w:noProof/>
        </w:rPr>
      </w:pPr>
      <w:r w:rsidRPr="00797162">
        <w:rPr>
          <w:noProof/>
        </w:rPr>
        <w:t>vähendatakse tuuma- ja kiirgusohtu Teadusuuringute Ühiskeskuse asjaomastes tegevuskohtades veelgi;</w:t>
      </w:r>
    </w:p>
    <w:p w14:paraId="564B171B" w14:textId="77777777" w:rsidR="00BF22EA" w:rsidRPr="00797162" w:rsidRDefault="00BF22EA" w:rsidP="00BF22EA">
      <w:pPr>
        <w:pStyle w:val="Bullet1"/>
        <w:rPr>
          <w:noProof/>
        </w:rPr>
      </w:pPr>
      <w:r w:rsidRPr="00797162">
        <w:rPr>
          <w:noProof/>
        </w:rPr>
        <w:t>saavutatakse programmi rakendamise lõppetapis asjaomaste rajatiste täielik vabastamine regulatiivsest kontrollist;</w:t>
      </w:r>
    </w:p>
    <w:p w14:paraId="19C24452" w14:textId="77777777" w:rsidR="00BF22EA" w:rsidRPr="00797162" w:rsidRDefault="00BF22EA" w:rsidP="00BF22EA">
      <w:pPr>
        <w:pStyle w:val="Bullet1"/>
        <w:rPr>
          <w:noProof/>
        </w:rPr>
      </w:pPr>
      <w:r w:rsidRPr="00797162">
        <w:rPr>
          <w:noProof/>
        </w:rPr>
        <w:t>luuakse märkimisväärne tehnoloogiline oskusteave ja praktilised teadmised, mida jagatakse dekomissioneerimise ja tuumajäätmete käitlemisega tegelevate ELi sidusrühmadega.</w:t>
      </w:r>
    </w:p>
    <w:p w14:paraId="4CC3CBA4" w14:textId="77777777" w:rsidR="00BF22EA" w:rsidRPr="00797162" w:rsidRDefault="00BF22EA" w:rsidP="00BF22EA">
      <w:pPr>
        <w:pStyle w:val="ListParagraph"/>
        <w:pBdr>
          <w:top w:val="nil"/>
          <w:left w:val="nil"/>
          <w:bottom w:val="nil"/>
          <w:right w:val="nil"/>
          <w:between w:val="nil"/>
          <w:bar w:val="nil"/>
        </w:pBdr>
        <w:ind w:left="0"/>
        <w:rPr>
          <w:rFonts w:eastAsia="Arial Unicode MS"/>
          <w:noProof/>
        </w:rPr>
      </w:pPr>
      <w:r w:rsidRPr="00797162">
        <w:rPr>
          <w:noProof/>
        </w:rPr>
        <w:t>Tuumarajatiste dekomissioneerimise ja tuumajäätmete käitlemise programmi rakendava sisekomponendi puhul on Teadusuuringute Ühiskeskus hakanud uurima võimalust anda tuumavastutus üle asukohaliikmesriikidele (Itaalia ja Madalmaad). Seda ei ole veel otsustatud, kuid võimalus selle üle läbirääkimisi pidada on lisatud uude alusakti kavandatava tähtajaga kaks aastat pärast instrumendi kehtima hakkamist.</w:t>
      </w:r>
    </w:p>
    <w:p w14:paraId="0E6821DB" w14:textId="77777777" w:rsidR="00BF22EA" w:rsidRPr="00797162" w:rsidRDefault="00BF22EA" w:rsidP="00BF22EA">
      <w:pPr>
        <w:pStyle w:val="ListParagraph"/>
        <w:pBdr>
          <w:top w:val="nil"/>
          <w:left w:val="nil"/>
          <w:bottom w:val="nil"/>
          <w:right w:val="nil"/>
          <w:between w:val="nil"/>
          <w:bar w:val="nil"/>
        </w:pBdr>
        <w:ind w:left="0"/>
        <w:rPr>
          <w:noProof/>
        </w:rPr>
      </w:pPr>
    </w:p>
    <w:p w14:paraId="4BE788C7" w14:textId="77777777" w:rsidR="00BF22EA" w:rsidRPr="00797162" w:rsidRDefault="00BF22EA" w:rsidP="00BF22EA">
      <w:pPr>
        <w:pStyle w:val="ListParagraph"/>
        <w:pBdr>
          <w:top w:val="nil"/>
          <w:left w:val="nil"/>
          <w:bottom w:val="nil"/>
          <w:right w:val="nil"/>
          <w:between w:val="nil"/>
          <w:bar w:val="nil"/>
        </w:pBdr>
        <w:ind w:left="0"/>
        <w:rPr>
          <w:rFonts w:eastAsia="Arial Unicode MS"/>
          <w:noProof/>
        </w:rPr>
      </w:pPr>
      <w:r w:rsidRPr="00797162">
        <w:rPr>
          <w:noProof/>
        </w:rPr>
        <w:t>Tuumarajatiste dekomissioneerimise ja tuumajäätmete käitlemise programm võimaldab kohalikul majandusel aidata kaasa programmi rakendamisele, kuna tekib võimalus osaleda avatud hankemenetlustes dekomissioneerimise ja tuumajäätmete käitlemisega seotud mitmetahulistes pädevusvaldkondades. Dekomissioneerimistegevusega kaasnevad võimalused toetavad nii oskuste arendamist kui ka sotsiaalset arengut. Lisaks aitab vananenud tuumarajatiste dekomissioneerimine ja radioaktiivsete jäätmete käitlemise probleemide lahendamine tänu parimate rahvusvaheliste standardite ja uusimate meetodite rakendamisele muuta keskkonda ohutumaks ja puhtamaks. Programm aitab kaitsta inimesi ja keskkonda radioaktiivsusega seotud ohtude eest.</w:t>
      </w:r>
    </w:p>
    <w:p w14:paraId="0C77194E" w14:textId="77777777" w:rsidR="00BF22EA" w:rsidRPr="00797162" w:rsidRDefault="00BF22EA" w:rsidP="00BF22EA">
      <w:pPr>
        <w:pStyle w:val="ListParagraph"/>
        <w:pBdr>
          <w:top w:val="nil"/>
          <w:left w:val="nil"/>
          <w:bottom w:val="nil"/>
          <w:right w:val="nil"/>
          <w:between w:val="nil"/>
          <w:bar w:val="nil"/>
        </w:pBdr>
        <w:ind w:left="0"/>
        <w:rPr>
          <w:rFonts w:eastAsia="Arial Unicode MS"/>
          <w:noProof/>
        </w:rPr>
      </w:pPr>
    </w:p>
    <w:p w14:paraId="50128519" w14:textId="77777777" w:rsidR="00BF22EA" w:rsidRPr="00797162" w:rsidRDefault="00BF22EA" w:rsidP="00BF22EA">
      <w:pPr>
        <w:pStyle w:val="Text1"/>
        <w:ind w:left="0"/>
        <w:rPr>
          <w:i/>
          <w:noProof/>
          <w:u w:val="single"/>
        </w:rPr>
      </w:pPr>
      <w:r w:rsidRPr="00797162">
        <w:rPr>
          <w:i/>
          <w:noProof/>
          <w:u w:val="single"/>
        </w:rPr>
        <w:t>Poliitikavariantide selgitus</w:t>
      </w:r>
    </w:p>
    <w:p w14:paraId="71890006" w14:textId="77777777" w:rsidR="00BF22EA" w:rsidRPr="00797162" w:rsidRDefault="00BF22EA" w:rsidP="00BF22EA">
      <w:pPr>
        <w:pStyle w:val="Text1"/>
        <w:ind w:left="0"/>
        <w:rPr>
          <w:noProof/>
        </w:rPr>
      </w:pPr>
      <w:r w:rsidRPr="00797162">
        <w:rPr>
          <w:noProof/>
        </w:rPr>
        <w:t xml:space="preserve">Tuumaohutusalase koostöö ja dekomissioneerimise instrumendi ettepaneku väljatöötamisel uuriti mitut poliitikavarianti. </w:t>
      </w:r>
    </w:p>
    <w:p w14:paraId="2FD2CE42" w14:textId="77777777" w:rsidR="00BF22EA" w:rsidRPr="00797162" w:rsidRDefault="00BF22EA" w:rsidP="00BF22EA">
      <w:pPr>
        <w:pStyle w:val="Text1"/>
        <w:ind w:left="0"/>
        <w:rPr>
          <w:noProof/>
        </w:rPr>
      </w:pPr>
      <w:r w:rsidRPr="00797162">
        <w:rPr>
          <w:noProof/>
        </w:rPr>
        <w:t xml:space="preserve">Variant A – lähtetase (säilitatakse kaks eraldi vahendit). Variant lükati tagasi, kuna see on vastuolus komisjoni lihtsustamiseesmärkidega. </w:t>
      </w:r>
    </w:p>
    <w:p w14:paraId="453F78FE" w14:textId="77777777" w:rsidR="00BF22EA" w:rsidRPr="00797162" w:rsidRDefault="00BF22EA" w:rsidP="00BF22EA">
      <w:pPr>
        <w:pStyle w:val="Text1"/>
        <w:ind w:left="0"/>
        <w:rPr>
          <w:noProof/>
        </w:rPr>
      </w:pPr>
      <w:r w:rsidRPr="00797162">
        <w:rPr>
          <w:noProof/>
        </w:rPr>
        <w:t xml:space="preserve">Variant B – programmi lõpetamine. Variant lükati tagasi, kuna sellega kaasneb suur risk, et ELi mõju ülemaailmses tuumaohutusalases koostöös väheneb, ning see on vastuolus Euratomi õiguslike ja poliitiliste kohustustega. </w:t>
      </w:r>
    </w:p>
    <w:p w14:paraId="2F1178E6" w14:textId="77777777" w:rsidR="00BF22EA" w:rsidRPr="00797162" w:rsidRDefault="00BF22EA" w:rsidP="00BF22EA">
      <w:pPr>
        <w:pStyle w:val="Text1"/>
        <w:ind w:left="0"/>
        <w:rPr>
          <w:noProof/>
        </w:rPr>
      </w:pPr>
      <w:r w:rsidRPr="00797162">
        <w:rPr>
          <w:noProof/>
        </w:rPr>
        <w:t>Variant C – täielik integreerimine teise ELi instrumendiga. Variant lükati tagasi Euratomi asutamislepingust tulenevate õiguslike takistuste tõttu, mis takistasid tuumaohutusmeetmete ühendamist näiteks „Globaalse Euroopaga“.</w:t>
      </w:r>
    </w:p>
    <w:p w14:paraId="4C57D41D" w14:textId="77777777" w:rsidR="00BF22EA" w:rsidRPr="00797162" w:rsidRDefault="00BF22EA" w:rsidP="00BF22EA">
      <w:pPr>
        <w:pStyle w:val="Text1"/>
        <w:ind w:left="0"/>
        <w:rPr>
          <w:noProof/>
        </w:rPr>
      </w:pPr>
      <w:r w:rsidRPr="00797162">
        <w:rPr>
          <w:noProof/>
        </w:rPr>
        <w:t>Variant D – kahe Euratomi vahendi ühendamine. See variant valiti eelistatud lahenduseks. See vastas kõigile nõuetele: kooskõla Euratomi asutamislepingu õigusraamistikuga, ELi välistegevuse menetluste järgimine ja vastavus komisjoni lihtsustamiseesmärgile. Koondades rahvusvahelise tuumaohutusalase koostöö ja Teadusuuringute Ühiskeskuse dekomissioneerimiskohustused üheks vahendiks, tagas see variant teostatavuse, järjepidevuse ja regulatiivse tõhususe ja osutus seega tuumaohutusalase koostöö ja dekomissioneerimise instrumendi ettepaneku jaoks optimaalseks valikuks.</w:t>
      </w:r>
    </w:p>
    <w:p w14:paraId="60713E17" w14:textId="77777777" w:rsidR="00BF22EA" w:rsidRPr="00797162" w:rsidRDefault="00BF22EA" w:rsidP="00BF22EA">
      <w:pPr>
        <w:pStyle w:val="ManualHeading2"/>
        <w:rPr>
          <w:noProof/>
          <w:u w:color="000000"/>
          <w:bdr w:val="nil"/>
        </w:rPr>
      </w:pPr>
      <w:r w:rsidRPr="00797162">
        <w:rPr>
          <w:noProof/>
          <w:u w:color="000000"/>
          <w:bdr w:val="nil"/>
        </w:rPr>
        <w:t>•</w:t>
      </w:r>
      <w:r w:rsidRPr="00797162">
        <w:rPr>
          <w:noProof/>
        </w:rPr>
        <w:tab/>
      </w:r>
      <w:r w:rsidRPr="00797162">
        <w:rPr>
          <w:noProof/>
          <w:u w:color="000000"/>
          <w:bdr w:val="nil"/>
        </w:rPr>
        <w:t>Lihtsustamine</w:t>
      </w:r>
    </w:p>
    <w:p w14:paraId="7367E539" w14:textId="77777777" w:rsidR="00BF22EA" w:rsidRPr="00797162" w:rsidRDefault="00BF22EA" w:rsidP="00BF22EA">
      <w:pPr>
        <w:rPr>
          <w:noProof/>
        </w:rPr>
      </w:pPr>
      <w:r w:rsidRPr="00797162">
        <w:rPr>
          <w:noProof/>
        </w:rPr>
        <w:t>Kavandatav tuumaohutusalase koostöö ja dekomissioneerimise instrument koondab kaks eraldi määrust üheks vahendiks. Selline ühendamine on ajendatud mitmest strateegilisest ja regulatiivsest tegurist ja nendega põhjendatud, näiteks komisjoni reguleerimise lihtsustamise eesmärgid ja parema õigusloome tegevuskava. Järgmise mitmeaastase finantsraamistiku lihtsustamispõhimõtete kohaselt tuleks kattuvad protsessid ja võimalik kattuv halduskoormus kõrvaldada, ühendades programmid, mis võivad vajada sarnast tehnilist ja/või logistilist tuge.</w:t>
      </w:r>
    </w:p>
    <w:p w14:paraId="73D1B8FC" w14:textId="77777777" w:rsidR="00BF22EA" w:rsidRPr="00797162" w:rsidRDefault="00BF22EA" w:rsidP="00BF22EA">
      <w:pPr>
        <w:rPr>
          <w:noProof/>
        </w:rPr>
      </w:pPr>
      <w:r w:rsidRPr="00797162">
        <w:rPr>
          <w:noProof/>
        </w:rPr>
        <w:t>Sellist ühinemist võimaldab sama õiguslik alus (Euratom). Mitmeaastase finantsraamistiku lihtsustamiseesmärk on vähendada keerukust ELis, et suurendada läbipaistvust ja koordineerimist ning luua sidusrühmadele (ametid, liikmesriigid, töövõtjad) lihtsam õigus- ja finantsraamistik. Ühendamine on kooskõlas ka Euroopa uue innovatsioonikava kogu valitsemissektorit hõlmava juhtimise põhimõttega, edendades killustatud lähenemisviiside asemel asutustevahelist koostööd.</w:t>
      </w:r>
    </w:p>
    <w:p w14:paraId="4FB2905C" w14:textId="77777777" w:rsidR="00BF22EA" w:rsidRPr="00797162" w:rsidRDefault="00BF22EA" w:rsidP="00BF22EA">
      <w:pPr>
        <w:rPr>
          <w:noProof/>
        </w:rPr>
      </w:pPr>
      <w:r w:rsidRPr="00797162">
        <w:rPr>
          <w:noProof/>
        </w:rPr>
        <w:t>Euroopa Komisjoni edendatavale lihtsustamisele aitab kaasa samast õiguslikust alusest lähtuva ja ühiste eesmärkidega, ehkki algselt eraldiseisva vahendi (tuumaohutusalase rahvusvahelise koostöö instrument) ja programmi (tuumarajatiste dekomissioneerimise ja tuumajäätmete käitlemise programm) ühendamine.</w:t>
      </w:r>
    </w:p>
    <w:p w14:paraId="1058FA28" w14:textId="77777777" w:rsidR="00BF22EA" w:rsidRPr="00797162" w:rsidRDefault="00BF22EA" w:rsidP="00BF22EA">
      <w:pPr>
        <w:pStyle w:val="ManualHeading2"/>
        <w:rPr>
          <w:noProof/>
          <w:bdr w:val="nil"/>
        </w:rPr>
      </w:pPr>
      <w:r w:rsidRPr="00797162">
        <w:rPr>
          <w:noProof/>
          <w:bdr w:val="nil"/>
        </w:rPr>
        <w:t>•</w:t>
      </w:r>
      <w:r w:rsidRPr="00797162">
        <w:rPr>
          <w:noProof/>
        </w:rPr>
        <w:tab/>
      </w:r>
      <w:r w:rsidRPr="00797162">
        <w:rPr>
          <w:noProof/>
          <w:bdr w:val="nil"/>
        </w:rPr>
        <w:t>Põhiõigused</w:t>
      </w:r>
    </w:p>
    <w:p w14:paraId="4081971D" w14:textId="77777777" w:rsidR="00BF22EA" w:rsidRPr="00797162" w:rsidRDefault="00BF22EA" w:rsidP="00BF22EA">
      <w:pPr>
        <w:rPr>
          <w:noProof/>
        </w:rPr>
      </w:pPr>
      <w:r w:rsidRPr="00797162">
        <w:rPr>
          <w:noProof/>
        </w:rPr>
        <w:t>Meede ei mõjuta põhiõigusi.</w:t>
      </w:r>
    </w:p>
    <w:p w14:paraId="468F116C" w14:textId="77777777" w:rsidR="00BF22EA" w:rsidRPr="00797162" w:rsidRDefault="00BF22EA" w:rsidP="00BF22EA">
      <w:pPr>
        <w:pStyle w:val="ManualHeading1"/>
        <w:rPr>
          <w:noProof/>
        </w:rPr>
      </w:pPr>
      <w:r w:rsidRPr="00797162">
        <w:rPr>
          <w:noProof/>
        </w:rPr>
        <w:t>4.</w:t>
      </w:r>
      <w:r w:rsidRPr="00797162">
        <w:rPr>
          <w:noProof/>
        </w:rPr>
        <w:tab/>
        <w:t>MÕJU EELARVELE</w:t>
      </w:r>
    </w:p>
    <w:p w14:paraId="799C268F" w14:textId="77777777" w:rsidR="00BF22EA" w:rsidRPr="00797162" w:rsidRDefault="00BF22EA" w:rsidP="00BF22EA">
      <w:pPr>
        <w:rPr>
          <w:noProof/>
        </w:rPr>
      </w:pPr>
      <w:r w:rsidRPr="00797162">
        <w:rPr>
          <w:noProof/>
        </w:rPr>
        <w:t>Euroopa Komisjon tegi 16. juuli 2025. aasta teatises</w:t>
      </w:r>
      <w:r w:rsidRPr="00797162">
        <w:rPr>
          <w:rStyle w:val="FootnoteReference"/>
          <w:noProof/>
        </w:rPr>
        <w:footnoteReference w:id="27"/>
      </w:r>
      <w:r w:rsidRPr="00797162">
        <w:rPr>
          <w:noProof/>
        </w:rPr>
        <w:t xml:space="preserve"> ettepaneku eraldada 966 000 000 eurot tuumaohutusalase koostöö ja dekomissioneerimise instrumendile.</w:t>
      </w:r>
    </w:p>
    <w:p w14:paraId="76804357" w14:textId="77777777" w:rsidR="00BF22EA" w:rsidRPr="00797162" w:rsidRDefault="00BF22EA" w:rsidP="00BF22EA">
      <w:pPr>
        <w:pStyle w:val="ManualHeading1"/>
        <w:rPr>
          <w:noProof/>
        </w:rPr>
      </w:pPr>
      <w:r w:rsidRPr="00797162">
        <w:rPr>
          <w:noProof/>
        </w:rPr>
        <w:t>5.</w:t>
      </w:r>
      <w:r w:rsidRPr="00797162">
        <w:rPr>
          <w:noProof/>
        </w:rPr>
        <w:tab/>
        <w:t>MUUD ASPEKTID</w:t>
      </w:r>
    </w:p>
    <w:p w14:paraId="31A46980" w14:textId="77777777" w:rsidR="00BF22EA" w:rsidRPr="00797162" w:rsidRDefault="00BF22EA" w:rsidP="00BF22EA">
      <w:pPr>
        <w:pStyle w:val="ManualHeading2"/>
        <w:rPr>
          <w:noProof/>
          <w:u w:color="000000"/>
          <w:bdr w:val="nil"/>
        </w:rPr>
      </w:pPr>
      <w:r w:rsidRPr="00797162">
        <w:rPr>
          <w:noProof/>
          <w:u w:color="000000"/>
          <w:bdr w:val="nil"/>
        </w:rPr>
        <w:t>•</w:t>
      </w:r>
      <w:r w:rsidRPr="00797162">
        <w:rPr>
          <w:noProof/>
        </w:rPr>
        <w:tab/>
      </w:r>
      <w:r w:rsidRPr="00797162">
        <w:rPr>
          <w:noProof/>
          <w:u w:color="000000"/>
          <w:bdr w:val="nil"/>
        </w:rPr>
        <w:t>Rakenduskavad ning järelevalve, hindamise ja aruandluse kord</w:t>
      </w:r>
    </w:p>
    <w:p w14:paraId="0B7027F3" w14:textId="77777777" w:rsidR="00BF22EA" w:rsidRPr="00797162" w:rsidRDefault="00BF22EA" w:rsidP="00BF22EA">
      <w:pPr>
        <w:rPr>
          <w:noProof/>
        </w:rPr>
      </w:pPr>
      <w:r w:rsidRPr="00797162">
        <w:rPr>
          <w:noProof/>
        </w:rPr>
        <w:t>Tuumaohutusalase koostöö ja dekomissioneerimise instrumendi rakendamist jälgitakse 2027. aasta järgse eelarve tulemusraamistiku abil. Tulemusraamistikus on programmi rakendusetapis ette nähtud rakendamisaruanne ning järelhindamine, mis tuleb läbi viia kooskõlas määruse (EL, Euratom) 2024/2509</w:t>
      </w:r>
      <w:r w:rsidRPr="00797162">
        <w:rPr>
          <w:rStyle w:val="FootnoteReference"/>
          <w:noProof/>
        </w:rPr>
        <w:footnoteReference w:id="28"/>
      </w:r>
      <w:r w:rsidRPr="00797162">
        <w:rPr>
          <w:noProof/>
        </w:rPr>
        <w:t xml:space="preserve"> artikli 34 lõikega 3. Hindamine toimub kooskõlas komisjoni parema õigusloome suunistega</w:t>
      </w:r>
      <w:r w:rsidRPr="00797162">
        <w:rPr>
          <w:rStyle w:val="FootnoteReference"/>
          <w:noProof/>
        </w:rPr>
        <w:footnoteReference w:id="29"/>
      </w:r>
      <w:r w:rsidRPr="00797162">
        <w:rPr>
          <w:noProof/>
        </w:rPr>
        <w:t xml:space="preserve"> ja põhineb instrumendi eesmärkidega seotud näitajatel. </w:t>
      </w:r>
    </w:p>
    <w:p w14:paraId="68B93D96" w14:textId="77777777" w:rsidR="00BF22EA" w:rsidRPr="00797162" w:rsidRDefault="00BF22EA" w:rsidP="00BF22EA">
      <w:pPr>
        <w:rPr>
          <w:noProof/>
        </w:rPr>
      </w:pPr>
      <w:r w:rsidRPr="00797162">
        <w:rPr>
          <w:noProof/>
        </w:rPr>
        <w:t>Ühise tulemusraamistiku kasutamise metoodiline põhjendus on see, et programmide suhtes koondnäitajate kohaldamine võib kõigi tulevaste mitmeaastase finantsraamistiku programmide puhul oluliselt lihtsustada erinevate aruandluskohustuste täitmist. Eeldatakse, et selline lähenemisviis võimaldab oluliselt vähendada halduskoormust, kuna vähendatakse näitajate arvu ja määratakse näitajad igale sekkumisvaldkonnale.</w:t>
      </w:r>
    </w:p>
    <w:p w14:paraId="257C990E" w14:textId="77777777" w:rsidR="00BF22EA" w:rsidRPr="00797162" w:rsidRDefault="00BF22EA" w:rsidP="006C4068">
      <w:pPr>
        <w:pStyle w:val="Bullet0"/>
        <w:numPr>
          <w:ilvl w:val="0"/>
          <w:numId w:val="23"/>
        </w:numPr>
        <w:rPr>
          <w:b/>
          <w:bCs/>
          <w:noProof/>
        </w:rPr>
      </w:pPr>
      <w:r w:rsidRPr="00797162">
        <w:rPr>
          <w:b/>
          <w:noProof/>
        </w:rPr>
        <w:t>Geograafiline ulatus</w:t>
      </w:r>
    </w:p>
    <w:p w14:paraId="380887B3" w14:textId="77777777" w:rsidR="00BF22EA" w:rsidRPr="00797162" w:rsidRDefault="00BF22EA" w:rsidP="00BF22EA">
      <w:pPr>
        <w:rPr>
          <w:noProof/>
        </w:rPr>
      </w:pPr>
      <w:r w:rsidRPr="00797162">
        <w:rPr>
          <w:noProof/>
        </w:rPr>
        <w:t>Kavandatava tuumaohutusalase koostöö ja dekomissioneerimise instrumendi väliskomponendi geograafiline ulatus on ülemaailmne. Eelistatakse siiski ühinevate riikide, kandidaatriikide (sh Ukraina), potentsiaalsete kandidaatriikide ja Euroopa naabruspoliitika riikide isikuid ja üksusi.</w:t>
      </w:r>
    </w:p>
    <w:p w14:paraId="3A4AC128" w14:textId="77777777" w:rsidR="00BF22EA" w:rsidRPr="00797162" w:rsidRDefault="00BF22EA" w:rsidP="00BF22EA">
      <w:pPr>
        <w:rPr>
          <w:noProof/>
        </w:rPr>
      </w:pPr>
      <w:r w:rsidRPr="00797162">
        <w:rPr>
          <w:noProof/>
        </w:rPr>
        <w:t>Sisekomponendi geograafiline ulatus piirdub Teadusuuringute Ühiskeskuse dekomissioneerimisega seotud tegevuskohtadega, st Geel Belgias, Ispra Itaalias, Karlsruhe Saksamaal ja Petten Madalmaades.</w:t>
      </w:r>
    </w:p>
    <w:p w14:paraId="60E10148" w14:textId="77777777" w:rsidR="00BF22EA" w:rsidRPr="00797162" w:rsidRDefault="00BF22EA" w:rsidP="00BF22EA">
      <w:pPr>
        <w:rPr>
          <w:noProof/>
        </w:rPr>
      </w:pPr>
    </w:p>
    <w:p w14:paraId="32FB1A9F" w14:textId="77777777" w:rsidR="00BF22EA" w:rsidRPr="00797162" w:rsidRDefault="00BF22EA" w:rsidP="00BF22EA">
      <w:pPr>
        <w:rPr>
          <w:noProof/>
        </w:rPr>
      </w:pPr>
    </w:p>
    <w:p w14:paraId="66391C14" w14:textId="77777777" w:rsidR="00BF22EA" w:rsidRPr="00797162" w:rsidRDefault="00BF22EA" w:rsidP="00BF22EA">
      <w:pPr>
        <w:spacing w:before="0" w:after="160" w:line="278" w:lineRule="auto"/>
        <w:jc w:val="left"/>
        <w:rPr>
          <w:noProof/>
        </w:rPr>
      </w:pPr>
      <w:r w:rsidRPr="00797162">
        <w:rPr>
          <w:noProof/>
        </w:rPr>
        <w:br w:type="page"/>
      </w:r>
      <w:bookmarkStart w:id="1" w:name="_Hlk204792769"/>
    </w:p>
    <w:p w14:paraId="37F70EB2" w14:textId="77777777" w:rsidR="00BF22EA" w:rsidRPr="00797162" w:rsidRDefault="00BF22EA" w:rsidP="00BF22EA">
      <w:pPr>
        <w:rPr>
          <w:noProof/>
        </w:rPr>
        <w:sectPr w:rsidR="00BF22EA" w:rsidRPr="00797162" w:rsidSect="00B662D8">
          <w:headerReference w:type="even"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bookmarkEnd w:id="1"/>
    <w:p w14:paraId="5375AB51" w14:textId="1B509E1C" w:rsidR="00C77716" w:rsidRPr="00797162" w:rsidRDefault="00554997" w:rsidP="00554997">
      <w:pPr>
        <w:pStyle w:val="Rfrenceinterinstitutionnelle"/>
        <w:rPr>
          <w:noProof/>
        </w:rPr>
      </w:pPr>
      <w:r>
        <w:rPr>
          <w:noProof/>
        </w:rPr>
        <w:t>2025/0265 (CNS)</w:t>
      </w:r>
    </w:p>
    <w:p w14:paraId="1BFB9DEE" w14:textId="4FB3DD60" w:rsidR="00BF22EA" w:rsidRPr="00797162" w:rsidRDefault="00554997" w:rsidP="00554997">
      <w:pPr>
        <w:pStyle w:val="Statut"/>
        <w:rPr>
          <w:noProof/>
        </w:rPr>
      </w:pPr>
      <w:r w:rsidRPr="00797162">
        <w:rPr>
          <w:noProof/>
        </w:rPr>
        <w:t>Ettepanek:</w:t>
      </w:r>
    </w:p>
    <w:p w14:paraId="1EE67015" w14:textId="4114469E" w:rsidR="00BF22EA" w:rsidRPr="00797162" w:rsidRDefault="00554997" w:rsidP="00554997">
      <w:pPr>
        <w:pStyle w:val="Typedudocument"/>
        <w:rPr>
          <w:noProof/>
        </w:rPr>
      </w:pPr>
      <w:r w:rsidRPr="00797162">
        <w:rPr>
          <w:noProof/>
        </w:rPr>
        <w:t>NÕUKOGU MÄÄRUS,</w:t>
      </w:r>
    </w:p>
    <w:p w14:paraId="09668716" w14:textId="2D687D8F" w:rsidR="00BF22EA" w:rsidRPr="00797162" w:rsidRDefault="00554997" w:rsidP="00554997">
      <w:pPr>
        <w:pStyle w:val="Titreobjet"/>
        <w:rPr>
          <w:noProof/>
        </w:rPr>
      </w:pPr>
      <w:r w:rsidRPr="00797162">
        <w:rPr>
          <w:noProof/>
        </w:rPr>
        <w:t>millega luuakse tuumaohutusalase koostöö ja dekomissioneerimise instrument ajavahemikuks 2028–2034 ning tunnistatakse kehtetuks määrused (Euratom) 2021/100 ja (Euratom) 2021/948</w:t>
      </w:r>
    </w:p>
    <w:p w14:paraId="3D5905F9" w14:textId="77777777" w:rsidR="00BF22EA" w:rsidRPr="00797162" w:rsidRDefault="00BF22EA" w:rsidP="00BF22EA">
      <w:pPr>
        <w:pStyle w:val="Institutionquiagit"/>
        <w:rPr>
          <w:noProof/>
        </w:rPr>
      </w:pPr>
      <w:r w:rsidRPr="00797162">
        <w:rPr>
          <w:noProof/>
        </w:rPr>
        <w:t>EUROOPA LIIDU NÕUKOGU,</w:t>
      </w:r>
    </w:p>
    <w:p w14:paraId="1B46F707" w14:textId="77777777" w:rsidR="00BF22EA" w:rsidRPr="00797162" w:rsidRDefault="00BF22EA" w:rsidP="00BF22EA">
      <w:pPr>
        <w:rPr>
          <w:noProof/>
        </w:rPr>
      </w:pPr>
      <w:r w:rsidRPr="00797162">
        <w:rPr>
          <w:noProof/>
        </w:rPr>
        <w:t>võttes arvesse Euroopa Aatomienergiaühenduse asutamislepingut, eriti selle artiklit 203,</w:t>
      </w:r>
    </w:p>
    <w:p w14:paraId="0C7F8BA8" w14:textId="77777777" w:rsidR="00BF22EA" w:rsidRPr="00797162" w:rsidRDefault="00BF22EA" w:rsidP="00BF22EA">
      <w:pPr>
        <w:rPr>
          <w:noProof/>
        </w:rPr>
      </w:pPr>
      <w:r w:rsidRPr="00797162">
        <w:rPr>
          <w:noProof/>
        </w:rPr>
        <w:t>võttes arvesse Euroopa Komisjoni ettepanekut,</w:t>
      </w:r>
    </w:p>
    <w:p w14:paraId="141D63C8" w14:textId="77777777" w:rsidR="00BF22EA" w:rsidRPr="00797162" w:rsidRDefault="00BF22EA" w:rsidP="00BF22EA">
      <w:pPr>
        <w:rPr>
          <w:noProof/>
        </w:rPr>
      </w:pPr>
      <w:r w:rsidRPr="00797162">
        <w:rPr>
          <w:noProof/>
        </w:rPr>
        <w:t>võttes arvesse Euroopa Parlamendi arvamust</w:t>
      </w:r>
      <w:r w:rsidRPr="00797162">
        <w:rPr>
          <w:rStyle w:val="FootnoteReference"/>
          <w:noProof/>
        </w:rPr>
        <w:footnoteReference w:id="30"/>
      </w:r>
    </w:p>
    <w:p w14:paraId="4689A887" w14:textId="77777777" w:rsidR="00BF22EA" w:rsidRPr="00797162" w:rsidRDefault="00BF22EA" w:rsidP="00BF22EA">
      <w:pPr>
        <w:rPr>
          <w:noProof/>
        </w:rPr>
      </w:pPr>
      <w:r w:rsidRPr="00797162">
        <w:rPr>
          <w:noProof/>
        </w:rPr>
        <w:t>ning arvestades järgmist:</w:t>
      </w:r>
    </w:p>
    <w:p w14:paraId="2A1317B7" w14:textId="6B742948" w:rsidR="00BF22EA" w:rsidRPr="00797162" w:rsidRDefault="00822AC9" w:rsidP="00822AC9">
      <w:pPr>
        <w:pStyle w:val="ManualConsidrant"/>
        <w:rPr>
          <w:noProof/>
        </w:rPr>
      </w:pPr>
      <w:r w:rsidRPr="00822AC9">
        <w:rPr>
          <w:noProof/>
        </w:rPr>
        <w:t>(1)</w:t>
      </w:r>
      <w:r w:rsidRPr="00822AC9">
        <w:rPr>
          <w:noProof/>
        </w:rPr>
        <w:tab/>
      </w:r>
      <w:r w:rsidR="00BF22EA" w:rsidRPr="00797162">
        <w:rPr>
          <w:noProof/>
        </w:rPr>
        <w:t xml:space="preserve">Käesoleva määruse eesmärk on kehtestada eeskirjad ja menetlused Euroopa Aatomienergiaühenduse (edaspidi „ühendus“) tuumaohutusalase koostöö ja dekomissioneerimistegevuse jaoks tuumaohutusalase koostöö ja dekomissioneerimise instrumendi (edaspidi ka „instrument“) raames. </w:t>
      </w:r>
    </w:p>
    <w:p w14:paraId="398184B3" w14:textId="2B1BFAE0" w:rsidR="00BF22EA" w:rsidRPr="00797162" w:rsidRDefault="00822AC9" w:rsidP="00822AC9">
      <w:pPr>
        <w:pStyle w:val="ManualConsidrant"/>
        <w:rPr>
          <w:noProof/>
        </w:rPr>
      </w:pPr>
      <w:r w:rsidRPr="00822AC9">
        <w:rPr>
          <w:noProof/>
        </w:rPr>
        <w:t>(1)</w:t>
      </w:r>
      <w:r w:rsidRPr="00822AC9">
        <w:rPr>
          <w:noProof/>
        </w:rPr>
        <w:tab/>
      </w:r>
      <w:r w:rsidR="00BF22EA" w:rsidRPr="00797162">
        <w:rPr>
          <w:noProof/>
        </w:rPr>
        <w:t>Tuumaohutuse ja selle reguleerimise tagamiseks ja selle jätkuva parandamise edendamiseks võttis nõukogu vastu direktiivi 2009/71/Euratom</w:t>
      </w:r>
      <w:r w:rsidR="00BF22EA" w:rsidRPr="00797162">
        <w:rPr>
          <w:rStyle w:val="FootnoteReference"/>
          <w:noProof/>
        </w:rPr>
        <w:footnoteReference w:id="31"/>
      </w:r>
      <w:r w:rsidR="00BF22EA" w:rsidRPr="00797162">
        <w:rPr>
          <w:noProof/>
        </w:rPr>
        <w:t>. See direktiiv ja ühenduses tuumaohutuse, kiirguskaitse ning radioaktiivsete jäätmete ja kasutatud tuumkütuse käitlemise alal kehtestatud ranged standardid on eeskujulikud näited, mille varal julgustada partnerriike võtma vastu sama rangeid standardeid.</w:t>
      </w:r>
    </w:p>
    <w:p w14:paraId="38CC89DD" w14:textId="512FA00D" w:rsidR="00BF22EA" w:rsidRPr="00797162" w:rsidRDefault="00822AC9" w:rsidP="00822AC9">
      <w:pPr>
        <w:pStyle w:val="ManualConsidrant"/>
        <w:rPr>
          <w:noProof/>
        </w:rPr>
      </w:pPr>
      <w:r w:rsidRPr="00822AC9">
        <w:rPr>
          <w:noProof/>
        </w:rPr>
        <w:t>(2)</w:t>
      </w:r>
      <w:r w:rsidRPr="00822AC9">
        <w:rPr>
          <w:noProof/>
        </w:rPr>
        <w:tab/>
      </w:r>
      <w:r w:rsidR="00BF22EA" w:rsidRPr="00797162">
        <w:rPr>
          <w:noProof/>
        </w:rPr>
        <w:t>Ühendus ja selle liikmesriigid on 17. juunil 1994 vastu võetud tuumaohutuse konventsiooni</w:t>
      </w:r>
      <w:r w:rsidR="00BF22EA" w:rsidRPr="00797162">
        <w:rPr>
          <w:rStyle w:val="FootnoteReference"/>
          <w:noProof/>
        </w:rPr>
        <w:footnoteReference w:id="32"/>
      </w:r>
      <w:r w:rsidR="00BF22EA" w:rsidRPr="00797162">
        <w:rPr>
          <w:noProof/>
        </w:rPr>
        <w:t xml:space="preserve"> ja 5. septembril 1997 vastu võetud kasutatud tuumkütuse käitlemise ohutust ja radioaktiivsete jäätmete käitlemise ohutust käsitleva ühiskonventsiooni</w:t>
      </w:r>
      <w:r w:rsidR="00BF22EA" w:rsidRPr="00797162">
        <w:rPr>
          <w:rStyle w:val="FootnoteReference"/>
          <w:noProof/>
        </w:rPr>
        <w:footnoteReference w:id="33"/>
      </w:r>
      <w:r w:rsidR="00BF22EA" w:rsidRPr="00797162">
        <w:rPr>
          <w:noProof/>
        </w:rPr>
        <w:t xml:space="preserve"> osalised.</w:t>
      </w:r>
    </w:p>
    <w:p w14:paraId="19D1BE07" w14:textId="4100A7BC" w:rsidR="00BF22EA" w:rsidRPr="00797162" w:rsidRDefault="00822AC9" w:rsidP="00822AC9">
      <w:pPr>
        <w:pStyle w:val="ManualConsidrant"/>
        <w:rPr>
          <w:noProof/>
        </w:rPr>
      </w:pPr>
      <w:r w:rsidRPr="00822AC9">
        <w:rPr>
          <w:noProof/>
        </w:rPr>
        <w:t>(3)</w:t>
      </w:r>
      <w:r w:rsidRPr="00822AC9">
        <w:rPr>
          <w:noProof/>
        </w:rPr>
        <w:tab/>
      </w:r>
      <w:r w:rsidR="00BF22EA" w:rsidRPr="00797162">
        <w:rPr>
          <w:noProof/>
        </w:rPr>
        <w:t>Liikmesriigid on tuumarelvade leviku tõkestamise lepingu</w:t>
      </w:r>
      <w:r w:rsidR="00BF22EA" w:rsidRPr="00797162">
        <w:rPr>
          <w:rStyle w:val="FootnoteReference"/>
          <w:noProof/>
        </w:rPr>
        <w:footnoteReference w:id="34"/>
      </w:r>
      <w:r w:rsidR="00BF22EA" w:rsidRPr="00797162">
        <w:rPr>
          <w:noProof/>
        </w:rPr>
        <w:t xml:space="preserve"> osalised ning sõlmisid Rahvusvahelise Aatomienergiaagentuuriga üldiste kaitsemeetmete lepingu ja allkirjastasid selle lepingu lisaprotokolli</w:t>
      </w:r>
      <w:r w:rsidR="00BF22EA" w:rsidRPr="00797162">
        <w:rPr>
          <w:rStyle w:val="FootnoteReference"/>
          <w:noProof/>
        </w:rPr>
        <w:footnoteReference w:id="35"/>
      </w:r>
      <w:r w:rsidR="00BF22EA" w:rsidRPr="00797162">
        <w:rPr>
          <w:noProof/>
        </w:rPr>
        <w:t>.</w:t>
      </w:r>
    </w:p>
    <w:p w14:paraId="1E73C4BF" w14:textId="27D8BE13" w:rsidR="00BF22EA" w:rsidRPr="00797162" w:rsidRDefault="00822AC9" w:rsidP="00822AC9">
      <w:pPr>
        <w:pStyle w:val="ManualConsidrant"/>
        <w:rPr>
          <w:noProof/>
        </w:rPr>
      </w:pPr>
      <w:r w:rsidRPr="00822AC9">
        <w:rPr>
          <w:noProof/>
        </w:rPr>
        <w:t>(4)</w:t>
      </w:r>
      <w:r w:rsidRPr="00822AC9">
        <w:rPr>
          <w:noProof/>
        </w:rPr>
        <w:tab/>
      </w:r>
      <w:r w:rsidR="00BF22EA" w:rsidRPr="00797162">
        <w:rPr>
          <w:noProof/>
        </w:rPr>
        <w:t>Kuna Euroopa Aatomienergiaühenduse asutamisleping (edaspidi „Euratomi asutamisleping“) hõlmab nii sise- kui ka välispoliitikat ning sellega on ette nähtud nende kahe koostoime, koosneb käesolev instrument kahest komponendist, mis käsitlevad vastavalt välis- ja sisetegevust.</w:t>
      </w:r>
    </w:p>
    <w:p w14:paraId="5A4FA1AF" w14:textId="1A902B45" w:rsidR="00BF22EA" w:rsidRPr="00797162" w:rsidRDefault="00822AC9" w:rsidP="00822AC9">
      <w:pPr>
        <w:pStyle w:val="ManualConsidrant"/>
        <w:rPr>
          <w:noProof/>
        </w:rPr>
      </w:pPr>
      <w:r w:rsidRPr="00822AC9">
        <w:rPr>
          <w:noProof/>
        </w:rPr>
        <w:t>(5)</w:t>
      </w:r>
      <w:r w:rsidRPr="00822AC9">
        <w:rPr>
          <w:noProof/>
        </w:rPr>
        <w:tab/>
      </w:r>
      <w:r w:rsidR="00BF22EA" w:rsidRPr="00797162">
        <w:rPr>
          <w:noProof/>
        </w:rPr>
        <w:t>Instrumendi väliskomponent peaks toetama rahvusvahelise tuumaohutusalase koostöö meetmeid, lähtudes meetmetest, mida varem toetati nõukogu määruse (Euratom) 2021/948</w:t>
      </w:r>
      <w:r w:rsidR="00BF22EA" w:rsidRPr="00797162">
        <w:rPr>
          <w:rStyle w:val="FootnoteReference"/>
          <w:noProof/>
        </w:rPr>
        <w:footnoteReference w:id="36"/>
      </w:r>
      <w:r w:rsidR="00BF22EA" w:rsidRPr="00797162">
        <w:rPr>
          <w:noProof/>
        </w:rPr>
        <w:t xml:space="preserve"> alusel. Väliskomponent on kooskõlas määruse (EL) 202X/XXXX [„Globaalne Euroopa“]</w:t>
      </w:r>
      <w:r w:rsidR="00BF22EA" w:rsidRPr="00797162">
        <w:rPr>
          <w:rStyle w:val="FootnoteReference"/>
          <w:noProof/>
        </w:rPr>
        <w:footnoteReference w:id="37"/>
      </w:r>
      <w:r w:rsidR="00BF22EA" w:rsidRPr="00797162">
        <w:rPr>
          <w:noProof/>
        </w:rPr>
        <w:t xml:space="preserve"> alusel toetatava välistegevusega ja täiendab seda.</w:t>
      </w:r>
    </w:p>
    <w:p w14:paraId="3BFAAFA9" w14:textId="69847BD9" w:rsidR="00BF22EA" w:rsidRPr="00797162" w:rsidRDefault="00822AC9" w:rsidP="00822AC9">
      <w:pPr>
        <w:pStyle w:val="ManualConsidrant"/>
        <w:rPr>
          <w:noProof/>
        </w:rPr>
      </w:pPr>
      <w:r w:rsidRPr="00822AC9">
        <w:rPr>
          <w:noProof/>
        </w:rPr>
        <w:t>(6)</w:t>
      </w:r>
      <w:r w:rsidRPr="00822AC9">
        <w:rPr>
          <w:noProof/>
        </w:rPr>
        <w:tab/>
      </w:r>
      <w:r w:rsidR="00BF22EA" w:rsidRPr="00797162">
        <w:rPr>
          <w:noProof/>
        </w:rPr>
        <w:t>Instrumendi sisekomponendiga tuleks toetada komisjoni tegevust dekomissioneerimise ja radioaktiivsete jäätmete käitlemise valdkonnas (Teadusuuringute Ühiskeskuse dekomissioneerimise ja tuumajäätmete käitlemise programm), käsitledes komisjoni tuumaalaseid kohustusi, mis tulenevad Teadusuuringute Ühiskeskuse (JRC) tegevuskohtades – JRC-Geel Belgias, JRC-Karlsruhe Saksamaal, JRC-Ispra Itaalias ja JRC-Petten Madalmaades – tehtud varasematest tuumauuringutest, lähtudes meetmetest, mida varem toetati nõukogu määruse (Euratom) 2021/100</w:t>
      </w:r>
      <w:r w:rsidR="00BF22EA" w:rsidRPr="00797162">
        <w:rPr>
          <w:rStyle w:val="FootnoteReference"/>
          <w:noProof/>
        </w:rPr>
        <w:footnoteReference w:id="38"/>
      </w:r>
      <w:r w:rsidR="00BF22EA" w:rsidRPr="00797162">
        <w:rPr>
          <w:noProof/>
        </w:rPr>
        <w:t xml:space="preserve"> alusel.</w:t>
      </w:r>
    </w:p>
    <w:p w14:paraId="1B31AE41" w14:textId="23AE1C68" w:rsidR="00BF22EA" w:rsidRPr="00797162" w:rsidRDefault="00822AC9" w:rsidP="00822AC9">
      <w:pPr>
        <w:pStyle w:val="ManualConsidrant"/>
        <w:rPr>
          <w:noProof/>
        </w:rPr>
      </w:pPr>
      <w:r w:rsidRPr="00822AC9">
        <w:rPr>
          <w:noProof/>
        </w:rPr>
        <w:t>(7)</w:t>
      </w:r>
      <w:r w:rsidRPr="00822AC9">
        <w:rPr>
          <w:noProof/>
        </w:rPr>
        <w:tab/>
      </w:r>
      <w:r w:rsidR="00BF22EA" w:rsidRPr="00797162">
        <w:rPr>
          <w:noProof/>
        </w:rPr>
        <w:t>Programmide hindamised on näidanud, et liidu rahastuse keerukas struktuur vähendab halduskoormuse tõttu liidu eelarve mõju. Seepärast tuleks määrusega (Euratom) 2021/100 reguleeritud Teadusuuringute Ühiskeskuse tuumauuringute rajatiste dekomissioneerimise ja määrusega (Euratom) 2021/948 reguleeritud rahvusvahelise tuumaohutusalase koostöö valdkonna tegevused ümber rühmitada, et neid reguleeritaks ühe õigusaktiga.</w:t>
      </w:r>
    </w:p>
    <w:p w14:paraId="5BF6AE81" w14:textId="6B322A75" w:rsidR="00BF22EA" w:rsidRPr="00797162" w:rsidRDefault="00822AC9" w:rsidP="00822AC9">
      <w:pPr>
        <w:pStyle w:val="ManualConsidrant"/>
        <w:rPr>
          <w:noProof/>
        </w:rPr>
      </w:pPr>
      <w:r w:rsidRPr="00822AC9">
        <w:rPr>
          <w:noProof/>
        </w:rPr>
        <w:t>(8)</w:t>
      </w:r>
      <w:r w:rsidRPr="00822AC9">
        <w:rPr>
          <w:noProof/>
        </w:rPr>
        <w:tab/>
      </w:r>
      <w:r w:rsidR="00BF22EA" w:rsidRPr="00797162">
        <w:rPr>
          <w:noProof/>
        </w:rPr>
        <w:t>Instrumendi üldeesmärk on edendada tuumaohutuse kõrget taset, kiirguskaitset, kasutatud tuumkütuse ja radioaktiivsete jäätmete ohutut käitlemist, dekomissioneerimist ning tuumamaterjalide suhtes tõhusate ja tulemuslike kaitsemeetmete rakendamist.</w:t>
      </w:r>
      <w:bookmarkStart w:id="2" w:name="_Hlk198541624"/>
    </w:p>
    <w:p w14:paraId="2191823A" w14:textId="0B5F89B2" w:rsidR="00BF22EA" w:rsidRPr="00797162" w:rsidRDefault="00822AC9" w:rsidP="00822AC9">
      <w:pPr>
        <w:pStyle w:val="ManualConsidrant"/>
        <w:rPr>
          <w:noProof/>
        </w:rPr>
      </w:pPr>
      <w:bookmarkStart w:id="3" w:name="_Hlk198541706"/>
      <w:bookmarkEnd w:id="2"/>
      <w:r w:rsidRPr="00822AC9">
        <w:rPr>
          <w:noProof/>
        </w:rPr>
        <w:t>(9)</w:t>
      </w:r>
      <w:r w:rsidRPr="00822AC9">
        <w:rPr>
          <w:noProof/>
        </w:rPr>
        <w:tab/>
      </w:r>
      <w:r w:rsidR="00BF22EA" w:rsidRPr="00797162">
        <w:rPr>
          <w:noProof/>
        </w:rPr>
        <w:t>Samuti on määruse eesmärk pakkuda suuremat paindlikkust programmitöö lähenemisviisis, sealhulgas abi andmise viiside ja rahastamiskõlblike üksuste puhul, et reageerida ettenägematutele vajadustele, mis tehakse kindlaks määruse (Euratom) 2021/948 kohaste hindamiste ja konsultatsioonide käigus.</w:t>
      </w:r>
    </w:p>
    <w:p w14:paraId="663DAC1B" w14:textId="5708E5AA" w:rsidR="00BF22EA" w:rsidRPr="00797162" w:rsidRDefault="00822AC9" w:rsidP="00822AC9">
      <w:pPr>
        <w:pStyle w:val="ManualConsidrant"/>
        <w:rPr>
          <w:noProof/>
        </w:rPr>
      </w:pPr>
      <w:r w:rsidRPr="00822AC9">
        <w:rPr>
          <w:noProof/>
        </w:rPr>
        <w:t>(10)</w:t>
      </w:r>
      <w:r w:rsidRPr="00822AC9">
        <w:rPr>
          <w:noProof/>
        </w:rPr>
        <w:tab/>
      </w:r>
      <w:r w:rsidR="00BF22EA" w:rsidRPr="00797162">
        <w:rPr>
          <w:noProof/>
        </w:rPr>
        <w:t>Määruse alusel tehtava ühenduse koostöö eesmärk ei ole tuumaenergia edendamine partnerriikides.</w:t>
      </w:r>
      <w:r w:rsidR="00BF22EA" w:rsidRPr="00797162">
        <w:rPr>
          <w:rStyle w:val="FootnoteReference"/>
          <w:noProof/>
        </w:rPr>
        <w:footnoteReference w:id="39"/>
      </w:r>
    </w:p>
    <w:bookmarkEnd w:id="3"/>
    <w:p w14:paraId="67007B1F" w14:textId="78B51C3A" w:rsidR="00BF22EA" w:rsidRPr="00797162" w:rsidRDefault="00822AC9" w:rsidP="00822AC9">
      <w:pPr>
        <w:pStyle w:val="ManualConsidrant"/>
        <w:rPr>
          <w:noProof/>
        </w:rPr>
      </w:pPr>
      <w:r w:rsidRPr="00822AC9">
        <w:rPr>
          <w:noProof/>
        </w:rPr>
        <w:t>(11)</w:t>
      </w:r>
      <w:r w:rsidRPr="00822AC9">
        <w:rPr>
          <w:noProof/>
        </w:rPr>
        <w:tab/>
      </w:r>
      <w:r w:rsidR="00BF22EA" w:rsidRPr="00797162">
        <w:rPr>
          <w:noProof/>
        </w:rPr>
        <w:t>Määrusega kehtestatakse kogu instrumendi esialgne rahastamispakett.</w:t>
      </w:r>
      <w:r w:rsidR="00BF22EA" w:rsidRPr="00797162">
        <w:rPr>
          <w:rFonts w:ascii="Segoe UI" w:hAnsi="Segoe UI"/>
          <w:noProof/>
          <w:sz w:val="18"/>
        </w:rPr>
        <w:t xml:space="preserve"> </w:t>
      </w:r>
      <w:r w:rsidR="00BF22EA" w:rsidRPr="00797162">
        <w:rPr>
          <w:noProof/>
        </w:rPr>
        <w:t>Määruse kohaldamisel kasutatakse jooksevhindade arvutamisel kindlaksmääratud 2 % deflaatorit.</w:t>
      </w:r>
    </w:p>
    <w:p w14:paraId="18804302" w14:textId="0470DC03" w:rsidR="00BF22EA" w:rsidRPr="00797162" w:rsidRDefault="00822AC9" w:rsidP="00822AC9">
      <w:pPr>
        <w:pStyle w:val="ManualConsidrant"/>
        <w:rPr>
          <w:noProof/>
        </w:rPr>
      </w:pPr>
      <w:r w:rsidRPr="00822AC9">
        <w:rPr>
          <w:noProof/>
        </w:rPr>
        <w:t>(12)</w:t>
      </w:r>
      <w:r w:rsidRPr="00822AC9">
        <w:rPr>
          <w:noProof/>
        </w:rPr>
        <w:tab/>
      </w:r>
      <w:r w:rsidR="00BF22EA" w:rsidRPr="00797162">
        <w:rPr>
          <w:noProof/>
        </w:rPr>
        <w:t>Kiiresti muutuvas majanduslikus, sotsiaalses ja geopoliitilises olukorras on hiljutised kogemused näidanud, et mitmeaastane finantsraamistik ja liidu rahastamisprogrammid peaksid olema paindlikumad. Seepärast tuleks kooskõlas käesoleva määruse eesmärkidega võtta rahastamisel nõuetekohaselt arvesse muutuvaid poliitilisi vajadusi ja liidu prioriteete, mis on kindlaks määratud komisjoni avaldatud asjakohastes dokumentides, nõukogu järeldustes ja Euroopa Parlamendi resolutsioonides, tagades samal ajal eelarve täitmise piisava prognoositavuse.</w:t>
      </w:r>
    </w:p>
    <w:p w14:paraId="0B97690A" w14:textId="3C5E3054" w:rsidR="00BF22EA" w:rsidRPr="00797162" w:rsidRDefault="00822AC9" w:rsidP="00822AC9">
      <w:pPr>
        <w:pStyle w:val="ManualConsidrant"/>
        <w:rPr>
          <w:noProof/>
        </w:rPr>
      </w:pPr>
      <w:r w:rsidRPr="00822AC9">
        <w:rPr>
          <w:noProof/>
        </w:rPr>
        <w:t>(13)</w:t>
      </w:r>
      <w:r w:rsidRPr="00822AC9">
        <w:rPr>
          <w:noProof/>
        </w:rPr>
        <w:tab/>
      </w:r>
      <w:r w:rsidR="00BF22EA" w:rsidRPr="00797162">
        <w:rPr>
          <w:noProof/>
        </w:rPr>
        <w:t>Instrumendi suhtes kohaldatakse Euroopa Parlamendi ja nõukogu määrust (EL, Euratom) 2024/2509</w:t>
      </w:r>
      <w:r w:rsidR="00BF22EA" w:rsidRPr="00797162">
        <w:rPr>
          <w:rStyle w:val="FootnoteReference"/>
          <w:noProof/>
        </w:rPr>
        <w:footnoteReference w:id="40"/>
      </w:r>
      <w:r w:rsidR="00BF22EA" w:rsidRPr="00797162">
        <w:rPr>
          <w:noProof/>
        </w:rPr>
        <w:t>. Selles on sätestatud liidu üldeelarve koostamise ja täitmise eeskirjad, sealhulgas eeskirjad sihttoetuste, auhindade, mitterahaliste annetuste ja hangete kohta ning eelarve kaudse täitmise kohta rahastamisvahendite ja eelarveliste tagatiste kujul.</w:t>
      </w:r>
    </w:p>
    <w:p w14:paraId="4AA558C8" w14:textId="26B9AE3D" w:rsidR="00BF22EA" w:rsidRPr="00797162" w:rsidRDefault="00822AC9" w:rsidP="00822AC9">
      <w:pPr>
        <w:pStyle w:val="ManualConsidrant"/>
        <w:rPr>
          <w:noProof/>
        </w:rPr>
      </w:pPr>
      <w:r w:rsidRPr="00822AC9">
        <w:rPr>
          <w:noProof/>
        </w:rPr>
        <w:t>(14)</w:t>
      </w:r>
      <w:r w:rsidRPr="00822AC9">
        <w:rPr>
          <w:noProof/>
        </w:rPr>
        <w:tab/>
      </w:r>
      <w:r w:rsidR="00BF22EA" w:rsidRPr="00797162">
        <w:rPr>
          <w:noProof/>
        </w:rPr>
        <w:t>Instrumendile eraldatavate assigneeringute summa ja programmitöö periood ning rahaliste vahendite jaotus eri tegevuste vahel tuleks läbi vaadata Euroopa Parlamendi ja nõukogu määruse (EL, Euratom) 202X/XXXX [tulemusraamistiku määrus]</w:t>
      </w:r>
      <w:r w:rsidR="00BF22EA" w:rsidRPr="00797162">
        <w:rPr>
          <w:rStyle w:val="FootnoteReference"/>
          <w:noProof/>
        </w:rPr>
        <w:footnoteReference w:id="41"/>
      </w:r>
      <w:r w:rsidR="00BF22EA" w:rsidRPr="00797162">
        <w:rPr>
          <w:noProof/>
        </w:rPr>
        <w:t xml:space="preserve"> artikli 10 kohaselt tehtud hindamise tulemuste põhjal.</w:t>
      </w:r>
    </w:p>
    <w:p w14:paraId="444BDAAE" w14:textId="5D3DCBA0" w:rsidR="00BF22EA" w:rsidRPr="00797162" w:rsidRDefault="00822AC9" w:rsidP="00822AC9">
      <w:pPr>
        <w:pStyle w:val="ManualConsidrant"/>
        <w:rPr>
          <w:noProof/>
        </w:rPr>
      </w:pPr>
      <w:r w:rsidRPr="00822AC9">
        <w:rPr>
          <w:noProof/>
        </w:rPr>
        <w:t>(15)</w:t>
      </w:r>
      <w:r w:rsidRPr="00822AC9">
        <w:rPr>
          <w:noProof/>
        </w:rPr>
        <w:tab/>
      </w:r>
      <w:r w:rsidR="00BF22EA" w:rsidRPr="00797162">
        <w:rPr>
          <w:noProof/>
        </w:rPr>
        <w:t>Vastavalt määrusele (EL, Euratom) 2024/2509, Euroopa Parlamendi ja nõukogu määrusele (EL, Euratom) nr 883/2013</w:t>
      </w:r>
      <w:r w:rsidR="00BF22EA" w:rsidRPr="00797162">
        <w:rPr>
          <w:rStyle w:val="FootnoteReference"/>
          <w:noProof/>
        </w:rPr>
        <w:footnoteReference w:id="42"/>
      </w:r>
      <w:r w:rsidR="00BF22EA" w:rsidRPr="00797162">
        <w:rPr>
          <w:noProof/>
        </w:rPr>
        <w:t xml:space="preserve"> ning nõukogu määrustele (EÜ, Euratom) nr 2988/95,</w:t>
      </w:r>
      <w:r w:rsidR="00BF22EA" w:rsidRPr="00797162">
        <w:rPr>
          <w:rStyle w:val="FootnoteReference"/>
          <w:noProof/>
        </w:rPr>
        <w:footnoteReference w:id="43"/>
      </w:r>
      <w:r w:rsidR="00BF22EA" w:rsidRPr="00797162">
        <w:rPr>
          <w:noProof/>
        </w:rPr>
        <w:t xml:space="preserve"> (Euratom, EÜ) nr 2185/96</w:t>
      </w:r>
      <w:r w:rsidR="00BF22EA" w:rsidRPr="00797162">
        <w:rPr>
          <w:rStyle w:val="FootnoteReference"/>
          <w:noProof/>
        </w:rPr>
        <w:footnoteReference w:id="44"/>
      </w:r>
      <w:r w:rsidR="00BF22EA" w:rsidRPr="00797162">
        <w:rPr>
          <w:noProof/>
        </w:rPr>
        <w:t xml:space="preserve"> ja (EL) 2017/1939</w:t>
      </w:r>
      <w:r w:rsidR="00BF22EA" w:rsidRPr="00797162">
        <w:rPr>
          <w:rStyle w:val="FootnoteReference"/>
          <w:noProof/>
        </w:rPr>
        <w:footnoteReference w:id="45"/>
      </w:r>
      <w:r w:rsidR="00BF22EA" w:rsidRPr="00797162">
        <w:rPr>
          <w:noProof/>
        </w:rPr>
        <w:t xml:space="preserve"> tuleb liidu finantshuve kaitsta proportsionaalsete meetmetega, mis hõlmavad õigusnormide rikkumise ja pettuste ärahoidmist, avastamist, korrigeerimist ja uurimist, kaotatud, alusetult väljamakstud või ebaõigesti kasutatud summade tagasinõudmist ja vajaduse korral halduskaristuste kehtestamist. Eelkõige võib Euroopa Pettustevastane Amet (OLAF) kooskõlas määrustega (EL, Euratom) nr 883/2013 ja (Euratom, EÜ) nr 2185/96 korraldada juurdlusi, sealhulgas kohapealseid kontrolle ja inspekteerimisi, et teha kindlaks, kas on esinenud pettust, korruptsiooni või muud liidu finantshuve kahjustavat ebaseaduslikku tegevust. Vastavalt määrusele (EL) 2017/1939 võib Euroopa Prokuratuur uurida pettusi ja muid ebaseaduslikke toiminguid, mis mõjutavad liidu finantshuve, ja esitada nende kohta süüdistusi, nagu on ette nähtud Euroopa Parlamendi ja nõukogu direktiiviga (EL) 2017/1371</w:t>
      </w:r>
      <w:r w:rsidR="00BF22EA" w:rsidRPr="00797162">
        <w:rPr>
          <w:rStyle w:val="FootnoteReference"/>
          <w:noProof/>
        </w:rPr>
        <w:footnoteReference w:id="46"/>
      </w:r>
      <w:r w:rsidR="00BF22EA" w:rsidRPr="00797162">
        <w:rPr>
          <w:noProof/>
        </w:rPr>
        <w:t xml:space="preserve">. Määruse (EL, Euratom) 2024/2509 kohaselt peab iga isik või üksus, kes saab liidu rahalisi vahendeid, tegema liidu finantshuvide kaitsel täielikult koostööd ja andma komisjonile, OLAFile, Euroopa Prokuratuurile ja Euroopa Kontrollikojale vajalikud õigused ja juurdepääsu ning tagama, et kolmandad isikud, kes on kaasatud liidu vahendite haldamisse, annaksid samaväärsed õigused. </w:t>
      </w:r>
    </w:p>
    <w:p w14:paraId="2D111FE0" w14:textId="7865320B" w:rsidR="00BF22EA" w:rsidRPr="00797162" w:rsidRDefault="00822AC9" w:rsidP="00822AC9">
      <w:pPr>
        <w:pStyle w:val="ManualConsidrant"/>
        <w:rPr>
          <w:noProof/>
        </w:rPr>
      </w:pPr>
      <w:r w:rsidRPr="00822AC9">
        <w:rPr>
          <w:noProof/>
        </w:rPr>
        <w:t>(16)</w:t>
      </w:r>
      <w:r w:rsidRPr="00822AC9">
        <w:rPr>
          <w:noProof/>
        </w:rPr>
        <w:tab/>
      </w:r>
      <w:r w:rsidR="00BF22EA" w:rsidRPr="00797162">
        <w:rPr>
          <w:noProof/>
        </w:rPr>
        <w:t>Instrumenti tuleb rakendada kooskõlas määrusega (EL, Euratom) 202X/XXXX [tulemusraamistiku määrus], millega kehtestatakse eelarvekulude jälgimise ja eelarve tulemuslikkuse raamistik, sealhulgas eeskirjad, millega tagatakse määruse (EL, Euratom) 2024/2509 artikli 33 lõike 2 punktis d osutatud põhimõtte „ei kahjusta oluliselt“ ja punktis f osutatud soolise võrdõiguslikkuse põhimõtte ühtne kohaldamine, liidu programmide ja meetmete tulemuslikkuse seire ja aruandluse eeskirjad, liidu rahastamisportaali loomise eeskirjad, programmide hindamise eeskirjad ning muud horisontaalsed sätted, mida kohaldatakse kõigi liidu programmide suhtes, näiteks need, mis käsitlevad teavet, teabevahetust ja nähtavust.</w:t>
      </w:r>
    </w:p>
    <w:p w14:paraId="0500A5FA" w14:textId="67245887" w:rsidR="00BF22EA" w:rsidRPr="00797162" w:rsidRDefault="00822AC9" w:rsidP="00822AC9">
      <w:pPr>
        <w:pStyle w:val="ManualConsidrant"/>
        <w:rPr>
          <w:noProof/>
        </w:rPr>
      </w:pPr>
      <w:r w:rsidRPr="00822AC9">
        <w:rPr>
          <w:noProof/>
        </w:rPr>
        <w:t>(17)</w:t>
      </w:r>
      <w:r w:rsidRPr="00822AC9">
        <w:rPr>
          <w:noProof/>
        </w:rPr>
        <w:tab/>
      </w:r>
      <w:r w:rsidR="00BF22EA" w:rsidRPr="00797162">
        <w:rPr>
          <w:noProof/>
        </w:rPr>
        <w:t>Käesoleva määrusega ette nähtud liidu rahastamise vormide ja eelarve täitmise viiside valikul tuleks lähtuda sellest, kuivõrd need aitavad saavutada meetmete erieesmärke ja anda tulemusi, võttes eelkõige arvesse kontrollidega seotud kulusid, halduskoormust ja eeldatavat nõuete täitmata jätmisega seotud riski. Sealhulgas tuleks kaaluda kindlasummaliste maksete, ühtsete määrade ja ühikuhindade kasutamist, samuti kuludega sidumata rahastamist, millele on osutatud määruse (EL, Euratom) 2024/2509 artikli 125 lõike 1 punktis a.</w:t>
      </w:r>
    </w:p>
    <w:p w14:paraId="04EC13E2" w14:textId="7A7EA246" w:rsidR="00BF22EA" w:rsidRPr="00797162" w:rsidRDefault="00822AC9" w:rsidP="00822AC9">
      <w:pPr>
        <w:pStyle w:val="ManualConsidrant"/>
        <w:rPr>
          <w:noProof/>
        </w:rPr>
      </w:pPr>
      <w:r w:rsidRPr="00822AC9">
        <w:rPr>
          <w:noProof/>
        </w:rPr>
        <w:t>(18)</w:t>
      </w:r>
      <w:r w:rsidRPr="00822AC9">
        <w:rPr>
          <w:noProof/>
        </w:rPr>
        <w:tab/>
      </w:r>
      <w:r w:rsidR="00BF22EA" w:rsidRPr="00797162">
        <w:rPr>
          <w:noProof/>
        </w:rPr>
        <w:t>Käesoleva määruse alusel rakendatavaid meetmeid tuleks koordineerida pideva koostöö ja dialoogi kaudu liikmesriikide, partnerriikide ja nende asjaomaste asutustega, eelkõige tuumaohutuse, kaitsemeetmete ja dekomissioneerimise valdkonnas pädevate reguleerivate asutustega, et vältida dubleerimist.</w:t>
      </w:r>
    </w:p>
    <w:p w14:paraId="6FC37115" w14:textId="2B306425" w:rsidR="00BF22EA" w:rsidRPr="00797162" w:rsidRDefault="00822AC9" w:rsidP="00822AC9">
      <w:pPr>
        <w:pStyle w:val="ManualConsidrant"/>
        <w:rPr>
          <w:noProof/>
        </w:rPr>
      </w:pPr>
      <w:r w:rsidRPr="00822AC9">
        <w:rPr>
          <w:noProof/>
        </w:rPr>
        <w:t>(19)</w:t>
      </w:r>
      <w:r w:rsidRPr="00822AC9">
        <w:rPr>
          <w:noProof/>
        </w:rPr>
        <w:tab/>
      </w:r>
      <w:r w:rsidR="00BF22EA" w:rsidRPr="00797162">
        <w:rPr>
          <w:noProof/>
        </w:rPr>
        <w:t>Välistegevusega seotud osa järjepideva rakendamise tagamiseks tuleks instrumendi väliskomponendi suhtes kohaldada määruses (EU) 202X/XXXX [„Globaalne Euroopa“] sätestatud eeskirju ja menetlusi, kui need on asjakohased, ning käesoleva määruse kohastes rakendussätetes tuleks osutada nimetatud määrusega ette nähtud sätetele.</w:t>
      </w:r>
    </w:p>
    <w:p w14:paraId="37D6245F" w14:textId="468659D0" w:rsidR="00BF22EA" w:rsidRPr="00797162" w:rsidRDefault="00822AC9" w:rsidP="00822AC9">
      <w:pPr>
        <w:pStyle w:val="ManualConsidrant"/>
        <w:rPr>
          <w:noProof/>
        </w:rPr>
      </w:pPr>
      <w:r w:rsidRPr="00822AC9">
        <w:rPr>
          <w:noProof/>
        </w:rPr>
        <w:t>(20)</w:t>
      </w:r>
      <w:r w:rsidRPr="00822AC9">
        <w:rPr>
          <w:noProof/>
        </w:rPr>
        <w:tab/>
      </w:r>
      <w:r w:rsidR="00BF22EA" w:rsidRPr="00797162">
        <w:rPr>
          <w:noProof/>
        </w:rPr>
        <w:t>Instrumendi väliskomponendi puhul peaksid käesolevas määruses osutatud ühe- või mitmeaastased tegevuskavad ja meetmed olema tööprogrammid määruse (EL, Euratom) 2024/2509 tähenduses. Iga-aastased või mitmeaastased tegevuskavad peaksid koosnema ühte dokumenti koondatud meetmete kogumitest.</w:t>
      </w:r>
    </w:p>
    <w:p w14:paraId="2D3E2029" w14:textId="07C25D6A" w:rsidR="00BF22EA" w:rsidRPr="00797162" w:rsidRDefault="00822AC9" w:rsidP="00822AC9">
      <w:pPr>
        <w:pStyle w:val="ManualConsidrant"/>
        <w:rPr>
          <w:noProof/>
        </w:rPr>
      </w:pPr>
      <w:r w:rsidRPr="00822AC9">
        <w:rPr>
          <w:noProof/>
        </w:rPr>
        <w:t>(21)</w:t>
      </w:r>
      <w:r w:rsidRPr="00822AC9">
        <w:rPr>
          <w:noProof/>
        </w:rPr>
        <w:tab/>
      </w:r>
      <w:r w:rsidR="00BF22EA" w:rsidRPr="00797162">
        <w:rPr>
          <w:noProof/>
        </w:rPr>
        <w:t xml:space="preserve">Komisjon peaks vastu võtma mitmeaastased sihtprogrammid, mis on kooskõlas määruse (EL) 202X/XXXX [„Globaalne Euroopa“] 1. peatükis osutatud mitmeaastaste sihtprogrammidega ja täiendavad neid. </w:t>
      </w:r>
    </w:p>
    <w:p w14:paraId="4364A1F5" w14:textId="342B9A11" w:rsidR="00BF22EA" w:rsidRPr="00797162" w:rsidRDefault="00822AC9" w:rsidP="00822AC9">
      <w:pPr>
        <w:pStyle w:val="ManualConsidrant"/>
        <w:rPr>
          <w:noProof/>
        </w:rPr>
      </w:pPr>
      <w:r w:rsidRPr="00822AC9">
        <w:rPr>
          <w:noProof/>
        </w:rPr>
        <w:t>(22)</w:t>
      </w:r>
      <w:r w:rsidRPr="00822AC9">
        <w:rPr>
          <w:noProof/>
        </w:rPr>
        <w:tab/>
      </w:r>
      <w:r w:rsidR="00BF22EA" w:rsidRPr="00797162">
        <w:rPr>
          <w:noProof/>
        </w:rPr>
        <w:t>Instrumendi väliskomponendi rakendamise üldise poliitikaraamistiku moodustavad assotsieerimislepingud, partnerlus- ja koostöölepingud, mitmepoolsed kokkulepped, tuumaalased koostöölepingud, vastastikuse mõistmise memorandumid ja muud kokkulepped, millega luuakse suhted liidu ja tema partnerriikide vahel, samuti Euroopa Ülemkogu ja nõukogu järeldused, tippkohtumiste deklaratsioonid, kõrgetasemelistel kohtumistel partnerriikidega vastu võetud järeldused, komisjoni teatised ning komisjoni ja liidu välisasjade ja julgeolekupoliitika kõrge esindaja ühisteatised.</w:t>
      </w:r>
    </w:p>
    <w:p w14:paraId="06A5FE69" w14:textId="34016279" w:rsidR="00BF22EA" w:rsidRPr="00797162" w:rsidRDefault="00822AC9" w:rsidP="00822AC9">
      <w:pPr>
        <w:pStyle w:val="ManualConsidrant"/>
        <w:rPr>
          <w:noProof/>
        </w:rPr>
      </w:pPr>
      <w:bookmarkStart w:id="4" w:name="_Hlk205390721"/>
      <w:bookmarkStart w:id="5" w:name="_Hlk205390781"/>
      <w:bookmarkStart w:id="6" w:name="_Hlk198543026"/>
      <w:r w:rsidRPr="00822AC9">
        <w:rPr>
          <w:noProof/>
        </w:rPr>
        <w:t>(23)</w:t>
      </w:r>
      <w:r w:rsidRPr="00822AC9">
        <w:rPr>
          <w:noProof/>
        </w:rPr>
        <w:tab/>
      </w:r>
      <w:r w:rsidR="00BF22EA" w:rsidRPr="00797162">
        <w:rPr>
          <w:noProof/>
        </w:rPr>
        <w:t>Instrumendi väliskomponendist võib rahastada meetmeid mis tahes partnerriigis käesolevas määruses sätestatud kriteeriumide alusel.</w:t>
      </w:r>
      <w:bookmarkEnd w:id="4"/>
      <w:r w:rsidR="00BF22EA" w:rsidRPr="00797162">
        <w:rPr>
          <w:noProof/>
        </w:rPr>
        <w:t xml:space="preserve"> Eelistada tuleks ühinevate riikide, kandidaatriikide (sh Ukraina), potentsiaalsete kandidaatriikide ja Euroopa naabruspoliitika riikide isikuid ja üksusi.</w:t>
      </w:r>
    </w:p>
    <w:bookmarkEnd w:id="5"/>
    <w:p w14:paraId="291DC3C9" w14:textId="658ED800" w:rsidR="00BF22EA" w:rsidRPr="00797162" w:rsidRDefault="00822AC9" w:rsidP="00822AC9">
      <w:pPr>
        <w:pStyle w:val="ManualConsidrant"/>
        <w:rPr>
          <w:noProof/>
        </w:rPr>
      </w:pPr>
      <w:r w:rsidRPr="00822AC9">
        <w:rPr>
          <w:noProof/>
        </w:rPr>
        <w:t>(24)</w:t>
      </w:r>
      <w:r w:rsidRPr="00822AC9">
        <w:rPr>
          <w:noProof/>
        </w:rPr>
        <w:tab/>
      </w:r>
      <w:r w:rsidR="00BF22EA" w:rsidRPr="00797162">
        <w:rPr>
          <w:noProof/>
        </w:rPr>
        <w:t>Rahvusvaheline koostöö põhineb IAEA ohutusstandardites sätestatud ohutuse aluspõhimõtetel.</w:t>
      </w:r>
    </w:p>
    <w:p w14:paraId="75ECADFD" w14:textId="2B15273B" w:rsidR="00BF22EA" w:rsidRPr="00797162" w:rsidRDefault="00822AC9" w:rsidP="00822AC9">
      <w:pPr>
        <w:pStyle w:val="ManualConsidrant"/>
        <w:rPr>
          <w:noProof/>
        </w:rPr>
      </w:pPr>
      <w:r w:rsidRPr="00822AC9">
        <w:rPr>
          <w:noProof/>
        </w:rPr>
        <w:t>(25)</w:t>
      </w:r>
      <w:r w:rsidRPr="00822AC9">
        <w:rPr>
          <w:noProof/>
        </w:rPr>
        <w:tab/>
      </w:r>
      <w:r w:rsidR="00BF22EA" w:rsidRPr="00797162">
        <w:rPr>
          <w:noProof/>
        </w:rPr>
        <w:t xml:space="preserve">Võttes arvesse jätkuvat vajadust suurendada tuumaenergia rahuotstarbelise kasutamise ohutust partnerriikides, tuleks instrumendiga edendada kõrgeimat tuumaohutuse ja kiirguskaitse taset, kasutatud tuumkütuse ja radioaktiivsete jäätmete ohutut käitlemist ning tõhusate ja tulemuslike tuumaenergiaalaste kaitsemeetmete kohaldamist partnerriikides. See hõlmab radioloogiliselt saastunud varasemate </w:t>
      </w:r>
      <w:r w:rsidR="00AB54BF" w:rsidRPr="00797162">
        <w:rPr>
          <w:noProof/>
        </w:rPr>
        <w:t>rajatiste</w:t>
      </w:r>
      <w:r w:rsidR="00BF22EA" w:rsidRPr="00797162">
        <w:rPr>
          <w:noProof/>
        </w:rPr>
        <w:t xml:space="preserve"> saneerimist ja regulatiivse suutlikkuse suurendamist. </w:t>
      </w:r>
    </w:p>
    <w:p w14:paraId="13DBB70D" w14:textId="182A5540" w:rsidR="00BF22EA" w:rsidRPr="00797162" w:rsidRDefault="00822AC9" w:rsidP="00822AC9">
      <w:pPr>
        <w:pStyle w:val="ManualConsidrant"/>
        <w:rPr>
          <w:noProof/>
        </w:rPr>
      </w:pPr>
      <w:r w:rsidRPr="00822AC9">
        <w:rPr>
          <w:noProof/>
        </w:rPr>
        <w:t>(26)</w:t>
      </w:r>
      <w:r w:rsidRPr="00822AC9">
        <w:rPr>
          <w:noProof/>
        </w:rPr>
        <w:tab/>
      </w:r>
      <w:r w:rsidR="00BF22EA" w:rsidRPr="00797162">
        <w:rPr>
          <w:noProof/>
        </w:rPr>
        <w:t>Võttes arvesse, et tuumaenergia rahuotstarbeline kasutamine areneb jätkuvalt, peaks instrument sobima tegevusteks tuumaohutuse ning hädaolukordadeks valmisoleku ja neile reageerimisega seotud uutes valdkondades, näiteks aidates kaasa väikeste ja moodulreaktorite ohutusele ning kiirguskaitsele uutes meditsiiniradioloogia rakendustes.</w:t>
      </w:r>
    </w:p>
    <w:p w14:paraId="6F0A362D" w14:textId="77050F56" w:rsidR="00BF22EA" w:rsidRPr="00797162" w:rsidRDefault="00822AC9" w:rsidP="00822AC9">
      <w:pPr>
        <w:pStyle w:val="ManualConsidrant"/>
        <w:rPr>
          <w:noProof/>
        </w:rPr>
      </w:pPr>
      <w:r w:rsidRPr="00822AC9">
        <w:rPr>
          <w:noProof/>
        </w:rPr>
        <w:t>(27)</w:t>
      </w:r>
      <w:r w:rsidRPr="00822AC9">
        <w:rPr>
          <w:noProof/>
        </w:rPr>
        <w:tab/>
      </w:r>
      <w:r w:rsidR="00BF22EA" w:rsidRPr="00797162">
        <w:rPr>
          <w:noProof/>
        </w:rPr>
        <w:t>Venemaa agressioonisõda Ukraina vastu kahjustab Ukraina taristut, sealhulgas riigi tuumarajatisi, nagu näitas 14. veebruari 2025. aasta droonirünnak Tšornobõli reaktori uuele ohutuskattele. Seoses liidu toetusega Ukrainaga seotud vajadustele tuumaohutuse valdkonnas võib nõukogu määruse (EL, Euratom) 202X/XXXX [mitmeaastase finantsraamistiku määrus] artiklis 6 osutatud Ukraina reservist kasutusele võetud assigneeringuid teha kättesaadavaks instrumendi väliskomponendi raames tagastamatu toetuse, rahastamisvahendite ja eelarvelise tagatise eraldistena antava toetuse jaoks. Käesoleva määrusega loodava instrumendi väliskomponendi raames Ukrainale nõukogu otsuse 77/270/Euratom alusel laenudena antavat toetust tuleks anda nõukogu otsusega 77/270/Euratom kehtestatud summa ja „Globaalse Euroopa“ määruse artikli 6 lõike 2 teises lõigus osutatud ülemmäära piires. Kui neid laene antakse Ukrainale kui suveräänsele riigile, tuleks need hõlmata nõukogu määruse (EL, Euratom) 202X/XXXX [mitmeaastase finantsraamistiku määrus] artikli 2 lõike 3 teise lõigu kohaselt antud tagatisega. Sellest tulenevalt on asjakohane näha ette erand määruse (EL, Euratom) 2024/2509 artikli 214 lõikest 1 ja mitte kehtestada nende Ukrainale antavate laenude suhtes eraldiste määra, nagu on sätestatud „Globaalse Euroopa“ määruse artikli 24 lõike 3 viimases lõigus.</w:t>
      </w:r>
    </w:p>
    <w:p w14:paraId="75CD4EFC" w14:textId="734D4961" w:rsidR="00BF22EA" w:rsidRPr="00797162" w:rsidRDefault="00822AC9" w:rsidP="00822AC9">
      <w:pPr>
        <w:pStyle w:val="ManualConsidrant"/>
        <w:rPr>
          <w:noProof/>
        </w:rPr>
      </w:pPr>
      <w:r w:rsidRPr="00822AC9">
        <w:rPr>
          <w:noProof/>
        </w:rPr>
        <w:t>(28)</w:t>
      </w:r>
      <w:r w:rsidRPr="00822AC9">
        <w:rPr>
          <w:noProof/>
        </w:rPr>
        <w:tab/>
      </w:r>
      <w:r w:rsidR="00BF22EA" w:rsidRPr="00797162">
        <w:rPr>
          <w:noProof/>
        </w:rPr>
        <w:t xml:space="preserve">Järjepidevuse tagamiseks tuleks instrumendi väliskomponendi eelarvelist tagatist ja rahastamisvahendeid, sealhulgas kombineerituna tagastamatu toetusega segarahastamistoimingute puhul, rakendada kooskõlas määruse (EL) 202X/XXXX [„Globaalne Euroopa“] alusel kohaldatavate eeskirjadega selliste lepingute kaudu, mis </w:t>
      </w:r>
      <w:bookmarkStart w:id="7" w:name="_Hlk203559861"/>
      <w:r w:rsidR="00BF22EA" w:rsidRPr="00797162">
        <w:rPr>
          <w:noProof/>
        </w:rPr>
        <w:t>sõlmitakse seda liiki toetuse jaoks programmi „Globaalne Euroopa“ rakendamismehhanismi kohaselt</w:t>
      </w:r>
      <w:bookmarkEnd w:id="7"/>
      <w:r w:rsidR="00BF22EA" w:rsidRPr="00797162">
        <w:rPr>
          <w:noProof/>
        </w:rPr>
        <w:t>.</w:t>
      </w:r>
    </w:p>
    <w:p w14:paraId="605C1673" w14:textId="4EF39FFB" w:rsidR="00BF22EA" w:rsidRPr="00797162" w:rsidRDefault="00822AC9" w:rsidP="00822AC9">
      <w:pPr>
        <w:pStyle w:val="ManualConsidrant"/>
        <w:rPr>
          <w:noProof/>
        </w:rPr>
      </w:pPr>
      <w:r w:rsidRPr="00822AC9">
        <w:rPr>
          <w:noProof/>
        </w:rPr>
        <w:t>(29)</w:t>
      </w:r>
      <w:r w:rsidRPr="00822AC9">
        <w:rPr>
          <w:noProof/>
        </w:rPr>
        <w:tab/>
      </w:r>
      <w:r w:rsidR="00BF22EA" w:rsidRPr="00797162">
        <w:rPr>
          <w:noProof/>
        </w:rPr>
        <w:t xml:space="preserve">Kui instrumendi raames antakse väliskomponendi puhul liidu toetust eelarvelise tagatise või rahastamisvahendina, sealhulgas kombineerituna tagastamatu toetusega segarahastamistoimingute puhul, tuleb seda anda üksnes instrumendi „Globaalne Euroopa“ rakendamismehhanismi kaudu kooskõlas „Globaalse Euroopa“ rakendamismehhanismi suhtes kohaldatavate eeskirjadega. </w:t>
      </w:r>
    </w:p>
    <w:bookmarkEnd w:id="6"/>
    <w:p w14:paraId="47D63230" w14:textId="57FE3993" w:rsidR="00BF22EA" w:rsidRPr="00797162" w:rsidRDefault="00822AC9" w:rsidP="00822AC9">
      <w:pPr>
        <w:pStyle w:val="ManualConsidrant"/>
        <w:rPr>
          <w:noProof/>
        </w:rPr>
      </w:pPr>
      <w:r w:rsidRPr="00822AC9">
        <w:rPr>
          <w:noProof/>
        </w:rPr>
        <w:t>(30)</w:t>
      </w:r>
      <w:r w:rsidRPr="00822AC9">
        <w:rPr>
          <w:noProof/>
        </w:rPr>
        <w:tab/>
      </w:r>
      <w:r w:rsidR="00BF22EA" w:rsidRPr="00797162">
        <w:rPr>
          <w:noProof/>
        </w:rPr>
        <w:t>Edukaks tuumaohutusalaseks koostööks peetakse vajalikuks tihedat koostööd rahvusvaheliste organisatsioonidega, kelle eesmärgid on sarnased instrumendi eesmärkidega, nagu on osutatud Euratomi asutamislepingu II jaotise 10. peatükis, eelkõige Rahvusvahelise Aatomienergiaagentuuriga (IAEA).</w:t>
      </w:r>
    </w:p>
    <w:p w14:paraId="7F50314D" w14:textId="7BDFE918" w:rsidR="00BF22EA" w:rsidRPr="00797162" w:rsidRDefault="00822AC9" w:rsidP="00822AC9">
      <w:pPr>
        <w:pStyle w:val="ManualConsidrant"/>
        <w:rPr>
          <w:noProof/>
        </w:rPr>
      </w:pPr>
      <w:r w:rsidRPr="00822AC9">
        <w:rPr>
          <w:noProof/>
        </w:rPr>
        <w:t>(31)</w:t>
      </w:r>
      <w:r w:rsidRPr="00822AC9">
        <w:rPr>
          <w:noProof/>
        </w:rPr>
        <w:tab/>
      </w:r>
      <w:r w:rsidR="00BF22EA" w:rsidRPr="00797162">
        <w:rPr>
          <w:noProof/>
        </w:rPr>
        <w:t>Olemasolevate vahendite kõige tõhusamaks kasutamiseks tuleks tagada liidu välistegevuse rahastute sidusus ja täiendavus ning koostoime liidu muude poliitikameetmete ja programmidega. Ühise eesmärgi saavutamiseks rakendatavate kombineeritud sekkumiste võimalikult suure mõju huvides peaks käesolev määrus võimaldama kombineerida rahastamist ühenduse ja liidu muude programmidega, tingimusel et toetusest ei kaeta samu kulusid.</w:t>
      </w:r>
    </w:p>
    <w:p w14:paraId="42805D52" w14:textId="2809FC52" w:rsidR="00BF22EA" w:rsidRPr="00797162" w:rsidRDefault="00822AC9" w:rsidP="00822AC9">
      <w:pPr>
        <w:pStyle w:val="ManualConsidrant"/>
        <w:rPr>
          <w:noProof/>
        </w:rPr>
      </w:pPr>
      <w:r w:rsidRPr="00822AC9">
        <w:rPr>
          <w:noProof/>
        </w:rPr>
        <w:t>(32)</w:t>
      </w:r>
      <w:r w:rsidRPr="00822AC9">
        <w:rPr>
          <w:noProof/>
        </w:rPr>
        <w:tab/>
      </w:r>
      <w:r w:rsidR="00BF22EA" w:rsidRPr="00797162">
        <w:rPr>
          <w:noProof/>
        </w:rPr>
        <w:t>Eelmine määruse (Euratom) 2021/100 kohane rahastamiskava näitas, et teadmiste kogumine ja levitamine annab täiendavat ühenduse lisaväärtust. Euratomi asutamislepingu artikli 8 ja nõukogu direktiivi 2011/70/Euratom</w:t>
      </w:r>
      <w:r w:rsidR="00BF22EA" w:rsidRPr="00797162">
        <w:rPr>
          <w:rStyle w:val="FootnoteReference"/>
          <w:noProof/>
        </w:rPr>
        <w:footnoteReference w:id="47"/>
      </w:r>
      <w:r w:rsidR="00BF22EA" w:rsidRPr="00797162">
        <w:rPr>
          <w:noProof/>
        </w:rPr>
        <w:t xml:space="preserve"> artikli 7 kohaselt vastutab Teadusuuringute Ühiskeskus oma varasemate tuumaalaste kohustuste täitmise ja suletud tuumarajatiste dekomissioneerimise eest, järgides vastavaid riigisiseseid õigusakte. Seetõttu käivitati 1999. aastal teatisega Euroopa Parlamendile ja nõukogule</w:t>
      </w:r>
      <w:r w:rsidR="00BF22EA" w:rsidRPr="00797162">
        <w:rPr>
          <w:rStyle w:val="FootnoteReference"/>
          <w:noProof/>
        </w:rPr>
        <w:footnoteReference w:id="48"/>
      </w:r>
      <w:r w:rsidR="00BF22EA" w:rsidRPr="00797162">
        <w:rPr>
          <w:noProof/>
        </w:rPr>
        <w:t xml:space="preserve"> Teadusuuringute Ühiskeskuse tuumarajatiste dekomissioneerimise ja tuumajäätmete käitlemise programm ning alates sellest ajast on komisjon regulaarselt esitanud ajakohastatud teavet programmi edenemise kohta</w:t>
      </w:r>
      <w:r w:rsidR="00BF22EA" w:rsidRPr="00797162">
        <w:rPr>
          <w:rStyle w:val="FootnoteReference"/>
          <w:noProof/>
        </w:rPr>
        <w:footnoteReference w:id="49"/>
      </w:r>
      <w:r w:rsidR="00BF22EA" w:rsidRPr="00797162">
        <w:rPr>
          <w:noProof/>
        </w:rPr>
        <w:t xml:space="preserve">. </w:t>
      </w:r>
    </w:p>
    <w:p w14:paraId="5188E07D" w14:textId="71B0D5E1" w:rsidR="00BF22EA" w:rsidRPr="00797162" w:rsidRDefault="00822AC9" w:rsidP="00822AC9">
      <w:pPr>
        <w:pStyle w:val="ManualConsidrant"/>
        <w:rPr>
          <w:noProof/>
        </w:rPr>
      </w:pPr>
      <w:r w:rsidRPr="00822AC9">
        <w:rPr>
          <w:noProof/>
        </w:rPr>
        <w:t>(33)</w:t>
      </w:r>
      <w:r w:rsidRPr="00822AC9">
        <w:rPr>
          <w:noProof/>
        </w:rPr>
        <w:tab/>
      </w:r>
      <w:r w:rsidR="00BF22EA" w:rsidRPr="00797162">
        <w:rPr>
          <w:noProof/>
        </w:rPr>
        <w:t>Komisjon on jõudnud järeldusele, et parim võimalus nõukogu direktiivi 2011/70/Euratom artikli 5 lõike 1 punktis f ja artiklis 7 sätestatud nõuete täitmiseks on järgida dekomissioneerimist ja radioaktiivsete jäätmete käitlemist ühendavat strateegiat ning samal ajal algatada Teadusuuringute Ühiskeskuse ja asukohaliikmesriikide vahel arutelud dekomissioneerimise ja kasutatud tuumkütuse ja radioaktiivsete jäätmete käitlemisega seotud vastutuse võimaliku üleandmise üle, kui komisjoni ja asukohaliikmesriigi vahel on sõlmitud vastastikused kokkulepped. Teadusuuringute Ühiskeskus peaks tagama ja säilitama piisavad vahendid, et täita oma kohustused seoses dekomissioneerimise ning kasutatud tuumkütuse ja radioaktiivsete jäätmete ohutu käitlemisega.</w:t>
      </w:r>
    </w:p>
    <w:p w14:paraId="0B19031D" w14:textId="1276C6AF" w:rsidR="00BF22EA" w:rsidRPr="00797162" w:rsidRDefault="00822AC9" w:rsidP="00822AC9">
      <w:pPr>
        <w:pStyle w:val="ManualConsidrant"/>
        <w:rPr>
          <w:noProof/>
        </w:rPr>
      </w:pPr>
      <w:r w:rsidRPr="00822AC9">
        <w:rPr>
          <w:noProof/>
        </w:rPr>
        <w:t>(34)</w:t>
      </w:r>
      <w:r w:rsidRPr="00822AC9">
        <w:rPr>
          <w:noProof/>
        </w:rPr>
        <w:tab/>
      </w:r>
      <w:r w:rsidR="00BF22EA" w:rsidRPr="00797162">
        <w:rPr>
          <w:noProof/>
        </w:rPr>
        <w:t>Selleks et tagada käesoleva määruse ühetaolised rakendamistingimused, tuleks komisjonile anda rakendamisvolitused. Neid volitusi tuleks täita kooskõlas Euroopa Parlamendi ja nõukogu määrusega (EL) nr 182/2011</w:t>
      </w:r>
      <w:r w:rsidR="00BF22EA" w:rsidRPr="00797162">
        <w:rPr>
          <w:rStyle w:val="FootnoteReference"/>
          <w:noProof/>
        </w:rPr>
        <w:footnoteReference w:id="50"/>
      </w:r>
      <w:r w:rsidR="00BF22EA" w:rsidRPr="00797162">
        <w:rPr>
          <w:noProof/>
        </w:rPr>
        <w:t>.</w:t>
      </w:r>
    </w:p>
    <w:p w14:paraId="599931FF" w14:textId="1659EA1B" w:rsidR="00BF22EA" w:rsidRPr="00797162" w:rsidRDefault="00822AC9" w:rsidP="00822AC9">
      <w:pPr>
        <w:pStyle w:val="ManualConsidrant"/>
        <w:rPr>
          <w:noProof/>
        </w:rPr>
      </w:pPr>
      <w:r w:rsidRPr="00822AC9">
        <w:rPr>
          <w:noProof/>
        </w:rPr>
        <w:t>(35)</w:t>
      </w:r>
      <w:r w:rsidRPr="00822AC9">
        <w:rPr>
          <w:noProof/>
        </w:rPr>
        <w:tab/>
      </w:r>
      <w:r w:rsidR="00BF22EA" w:rsidRPr="00797162">
        <w:rPr>
          <w:noProof/>
        </w:rPr>
        <w:t>Komisjon peaks viivitamata vastu võtma kohaldatavad rakendusaktid, et kehtestada ja muuta instrumendi väliskomponendi raames iga- või mitmeaastaseid tegevuskavasid ja meetmeid, kui seda nõuavad tungivad põhjused nõuetekohaselt põhjendatud juhtudel, mis on seotud ühenduse kiire reageerimise vajadusega.</w:t>
      </w:r>
    </w:p>
    <w:p w14:paraId="651FE1E5" w14:textId="6854C016" w:rsidR="00BF22EA" w:rsidRPr="00797162" w:rsidRDefault="00822AC9" w:rsidP="00822AC9">
      <w:pPr>
        <w:pStyle w:val="ManualConsidrant"/>
        <w:rPr>
          <w:noProof/>
        </w:rPr>
      </w:pPr>
      <w:r w:rsidRPr="00822AC9">
        <w:rPr>
          <w:noProof/>
        </w:rPr>
        <w:t>(36)</w:t>
      </w:r>
      <w:r w:rsidRPr="00822AC9">
        <w:rPr>
          <w:noProof/>
        </w:rPr>
        <w:tab/>
      </w:r>
      <w:r w:rsidR="00BF22EA" w:rsidRPr="00797162">
        <w:rPr>
          <w:noProof/>
        </w:rPr>
        <w:t>Kooskõlas nõukogu otsuse 2010/427/EL artikliga 9 tagab kõrge esindaja komisjoni asepresidendina liidu välistegevuse üldise poliitilise koordineerimise, tagades käesolevas õigusaktis sätestatud instrumendi rakendamise abil selle ühtsuse, järjepidevuse ja tõhususe.</w:t>
      </w:r>
    </w:p>
    <w:p w14:paraId="1329FB5D" w14:textId="1F24F842" w:rsidR="00BF22EA" w:rsidRPr="00797162" w:rsidRDefault="00822AC9" w:rsidP="00822AC9">
      <w:pPr>
        <w:pStyle w:val="ManualConsidrant"/>
        <w:rPr>
          <w:noProof/>
        </w:rPr>
      </w:pPr>
      <w:r w:rsidRPr="00822AC9">
        <w:rPr>
          <w:noProof/>
        </w:rPr>
        <w:t>(37)</w:t>
      </w:r>
      <w:r w:rsidRPr="00822AC9">
        <w:rPr>
          <w:noProof/>
        </w:rPr>
        <w:tab/>
      </w:r>
      <w:r w:rsidR="00BF22EA" w:rsidRPr="00797162">
        <w:rPr>
          <w:noProof/>
        </w:rPr>
        <w:t>Viited nõukogu otsuses 2010/427/EL</w:t>
      </w:r>
      <w:r w:rsidR="00BF22EA" w:rsidRPr="00797162">
        <w:rPr>
          <w:rStyle w:val="FootnoteReference"/>
          <w:noProof/>
        </w:rPr>
        <w:footnoteReference w:id="51"/>
      </w:r>
      <w:r w:rsidR="00BF22EA" w:rsidRPr="00797162">
        <w:rPr>
          <w:noProof/>
        </w:rPr>
        <w:t xml:space="preserve"> osutatud välisabi rahastamisvahenditele tuleks lugeda viideteks käesolevale määrusele ja selles osutatud määrustele. Komisjon peaks tagama, et käesolevat määrust rakendatakse kooskõlas kõnealuses otsuses Euroopa välisteenistuse jaoks ette nähtud rolliga.</w:t>
      </w:r>
    </w:p>
    <w:p w14:paraId="4C9CEB36" w14:textId="4DBB2270" w:rsidR="00BF22EA" w:rsidRPr="00797162" w:rsidRDefault="00822AC9" w:rsidP="00822AC9">
      <w:pPr>
        <w:pStyle w:val="ManualConsidrant"/>
        <w:rPr>
          <w:noProof/>
        </w:rPr>
      </w:pPr>
      <w:r w:rsidRPr="00822AC9">
        <w:rPr>
          <w:noProof/>
        </w:rPr>
        <w:t>(38)</w:t>
      </w:r>
      <w:r w:rsidRPr="00822AC9">
        <w:rPr>
          <w:noProof/>
        </w:rPr>
        <w:tab/>
      </w:r>
      <w:r w:rsidR="00BF22EA" w:rsidRPr="00797162">
        <w:rPr>
          <w:noProof/>
        </w:rPr>
        <w:t>Selleks, et tagada asjaomastes poliitikavaldkondades toetuse andmise järjepidevus ja võimaldada rakendamise alustamist mitmeaastase finantsraamistiku 2028–2034 algusest, tuleks käesolevat määrust kohaldada alates 1. jaanuarist 2028.</w:t>
      </w:r>
    </w:p>
    <w:p w14:paraId="3AF85AF2" w14:textId="03757FF9" w:rsidR="00BF22EA" w:rsidRPr="00797162" w:rsidRDefault="00822AC9" w:rsidP="00822AC9">
      <w:pPr>
        <w:pStyle w:val="ManualConsidrant"/>
        <w:rPr>
          <w:noProof/>
        </w:rPr>
      </w:pPr>
      <w:r w:rsidRPr="00822AC9">
        <w:rPr>
          <w:noProof/>
        </w:rPr>
        <w:t>(39)</w:t>
      </w:r>
      <w:r w:rsidRPr="00822AC9">
        <w:rPr>
          <w:noProof/>
        </w:rPr>
        <w:tab/>
      </w:r>
      <w:r w:rsidR="00BF22EA" w:rsidRPr="00797162">
        <w:rPr>
          <w:noProof/>
        </w:rPr>
        <w:t>Euroopa Liidu lepingu artikli 29 ja ELi toimimise lepingu artikli 215 lõike 2 alusel vastu võetud ELi piiravate meetmete raames ei tohi rahalisi vahendeid ega majandusressursse teha otse ega kaudselt kättesaadavaks kindlaks määratud füüsilistele või juriidilistele isikutele, üksustele või asutustele või nende kasuks. Seepärast ei tohiks selliseid füüsilisi või juriidilisi isikuid, üksusi või asutusi ega nende omandis või kontrolli all olevaid juriidilisi isikuid, üksusi või asutusi toetada.</w:t>
      </w:r>
    </w:p>
    <w:p w14:paraId="64C5D811" w14:textId="6E45B674" w:rsidR="00BF22EA" w:rsidRPr="00797162" w:rsidRDefault="00822AC9" w:rsidP="00822AC9">
      <w:pPr>
        <w:pStyle w:val="ManualConsidrant"/>
        <w:rPr>
          <w:noProof/>
        </w:rPr>
      </w:pPr>
      <w:r w:rsidRPr="00822AC9">
        <w:rPr>
          <w:noProof/>
        </w:rPr>
        <w:t>(40)</w:t>
      </w:r>
      <w:r w:rsidRPr="00822AC9">
        <w:rPr>
          <w:noProof/>
        </w:rPr>
        <w:tab/>
      </w:r>
      <w:r w:rsidR="00BF22EA" w:rsidRPr="00797162">
        <w:rPr>
          <w:noProof/>
        </w:rPr>
        <w:t>Seetõttu tuleks määrused (Euratom) 2021/100 ja (Euratom) 2021/948 kehtetuks tunnistada,</w:t>
      </w:r>
    </w:p>
    <w:p w14:paraId="14FF026F" w14:textId="77777777" w:rsidR="00BF22EA" w:rsidRPr="00797162" w:rsidRDefault="00BF22EA" w:rsidP="00BF22EA">
      <w:pPr>
        <w:pStyle w:val="Formuledadoption"/>
        <w:rPr>
          <w:noProof/>
        </w:rPr>
      </w:pPr>
      <w:r w:rsidRPr="00797162">
        <w:rPr>
          <w:noProof/>
        </w:rPr>
        <w:t>ON VASTU VÕTNUD KÄESOLEVA MÄÄRUSE:</w:t>
      </w:r>
    </w:p>
    <w:p w14:paraId="160D1247" w14:textId="77777777" w:rsidR="00BF22EA" w:rsidRPr="00797162" w:rsidRDefault="00BF22EA" w:rsidP="00BF22EA">
      <w:pPr>
        <w:pStyle w:val="Titrearticle"/>
        <w:rPr>
          <w:noProof/>
        </w:rPr>
      </w:pPr>
    </w:p>
    <w:p w14:paraId="0E82D8E1" w14:textId="77777777" w:rsidR="00BF22EA" w:rsidRPr="00797162" w:rsidRDefault="00BF22EA" w:rsidP="00BF22EA">
      <w:pPr>
        <w:rPr>
          <w:noProof/>
        </w:rPr>
      </w:pPr>
    </w:p>
    <w:p w14:paraId="4CC6F439" w14:textId="77777777" w:rsidR="00BF22EA" w:rsidRPr="00797162" w:rsidRDefault="00BF22EA" w:rsidP="00BF22EA">
      <w:pPr>
        <w:pStyle w:val="ChapterTitle"/>
        <w:rPr>
          <w:noProof/>
        </w:rPr>
      </w:pPr>
      <w:r w:rsidRPr="00797162">
        <w:rPr>
          <w:noProof/>
        </w:rPr>
        <w:t xml:space="preserve">I PEATÜKK </w:t>
      </w:r>
    </w:p>
    <w:p w14:paraId="0794094D" w14:textId="77777777" w:rsidR="00BF22EA" w:rsidRPr="00797162" w:rsidRDefault="00BF22EA" w:rsidP="00BF22EA">
      <w:pPr>
        <w:spacing w:line="276" w:lineRule="auto"/>
        <w:jc w:val="center"/>
        <w:rPr>
          <w:b/>
          <w:noProof/>
        </w:rPr>
      </w:pPr>
      <w:r w:rsidRPr="00797162">
        <w:rPr>
          <w:b/>
          <w:noProof/>
        </w:rPr>
        <w:t>ÜLDSÄTTED</w:t>
      </w:r>
    </w:p>
    <w:p w14:paraId="5535733D" w14:textId="77777777" w:rsidR="00BF22EA" w:rsidRPr="00797162" w:rsidRDefault="00BF22EA" w:rsidP="00BF22EA">
      <w:pPr>
        <w:pStyle w:val="Titrearticle"/>
        <w:rPr>
          <w:noProof/>
        </w:rPr>
      </w:pPr>
      <w:r w:rsidRPr="00797162">
        <w:rPr>
          <w:noProof/>
        </w:rPr>
        <w:t>Artikkel 1</w:t>
      </w:r>
    </w:p>
    <w:p w14:paraId="7E92C1B3" w14:textId="77777777" w:rsidR="00BF22EA" w:rsidRPr="00797162" w:rsidRDefault="00BF22EA" w:rsidP="00BF22EA">
      <w:pPr>
        <w:pStyle w:val="Titrearticle"/>
        <w:rPr>
          <w:b/>
          <w:noProof/>
        </w:rPr>
      </w:pPr>
      <w:r w:rsidRPr="00797162">
        <w:rPr>
          <w:b/>
          <w:noProof/>
        </w:rPr>
        <w:t>Reguleerimisese</w:t>
      </w:r>
    </w:p>
    <w:p w14:paraId="5F1DE85C" w14:textId="30B00BC9" w:rsidR="00BF22EA" w:rsidRPr="00797162" w:rsidRDefault="00BF22EA" w:rsidP="00BF22EA">
      <w:pPr>
        <w:spacing w:line="276" w:lineRule="auto"/>
        <w:rPr>
          <w:noProof/>
        </w:rPr>
      </w:pPr>
      <w:r w:rsidRPr="00797162">
        <w:rPr>
          <w:noProof/>
        </w:rPr>
        <w:t>Käesoleva määrusega luuakse tuumaohutusalase koostöö ja dekomissioneerimise instrument (edaspidi ka „instrument“) ja sätestatakse selle eesmärgid, esialgne eelarve ajavahemikuks 1.</w:t>
      </w:r>
      <w:r w:rsidR="00F2788F" w:rsidRPr="00797162">
        <w:rPr>
          <w:noProof/>
        </w:rPr>
        <w:t> </w:t>
      </w:r>
      <w:r w:rsidRPr="00797162">
        <w:rPr>
          <w:noProof/>
        </w:rPr>
        <w:t>jaanuar 2028 – 31. detsember 2034, liidu rahastamise vormid ja instrumendist rahastuse andmise eeskirjad. Selles käsitletakse ka instrumendi mõlema komponendi – väliskomponendi ja sisekomponendi eripära.</w:t>
      </w:r>
    </w:p>
    <w:p w14:paraId="196806D6" w14:textId="77777777" w:rsidR="00BF22EA" w:rsidRPr="00797162" w:rsidRDefault="00BF22EA" w:rsidP="00BF22EA">
      <w:pPr>
        <w:spacing w:line="276" w:lineRule="auto"/>
        <w:rPr>
          <w:noProof/>
        </w:rPr>
      </w:pPr>
    </w:p>
    <w:p w14:paraId="3DE99306" w14:textId="77777777" w:rsidR="00F2788F" w:rsidRPr="00797162" w:rsidRDefault="00F2788F" w:rsidP="00BF22EA">
      <w:pPr>
        <w:pStyle w:val="Titrechapitre"/>
        <w:rPr>
          <w:noProof/>
        </w:rPr>
      </w:pPr>
      <w:bookmarkStart w:id="8" w:name="_Hlk194421668"/>
    </w:p>
    <w:p w14:paraId="31E859FA" w14:textId="77777777" w:rsidR="00F2788F" w:rsidRPr="00797162" w:rsidRDefault="00F2788F" w:rsidP="00BF22EA">
      <w:pPr>
        <w:pStyle w:val="Titrechapitre"/>
        <w:rPr>
          <w:noProof/>
        </w:rPr>
      </w:pPr>
    </w:p>
    <w:p w14:paraId="46DB0B6B" w14:textId="44BA15EF" w:rsidR="00BF22EA" w:rsidRPr="00797162" w:rsidRDefault="00BF22EA" w:rsidP="00BF22EA">
      <w:pPr>
        <w:pStyle w:val="Titrechapitre"/>
        <w:rPr>
          <w:noProof/>
        </w:rPr>
      </w:pPr>
      <w:r w:rsidRPr="00797162">
        <w:rPr>
          <w:noProof/>
        </w:rPr>
        <w:t xml:space="preserve">Artikkel 2 </w:t>
      </w:r>
    </w:p>
    <w:p w14:paraId="5C51F33E" w14:textId="77777777" w:rsidR="00BF22EA" w:rsidRPr="00797162" w:rsidRDefault="00BF22EA" w:rsidP="00BF22EA">
      <w:pPr>
        <w:pStyle w:val="Titrearticle"/>
        <w:rPr>
          <w:b/>
          <w:noProof/>
        </w:rPr>
      </w:pPr>
      <w:r w:rsidRPr="00797162">
        <w:rPr>
          <w:b/>
          <w:noProof/>
        </w:rPr>
        <w:t>Instrumendi eesmärgid</w:t>
      </w:r>
    </w:p>
    <w:bookmarkEnd w:id="8"/>
    <w:p w14:paraId="4EED7687" w14:textId="25C76A4C" w:rsidR="00BF22EA" w:rsidRPr="00797162" w:rsidRDefault="00822AC9" w:rsidP="00822AC9">
      <w:pPr>
        <w:pStyle w:val="ManualNumPar1"/>
        <w:rPr>
          <w:noProof/>
        </w:rPr>
      </w:pPr>
      <w:r w:rsidRPr="00822AC9">
        <w:rPr>
          <w:noProof/>
        </w:rPr>
        <w:t>1.</w:t>
      </w:r>
      <w:r w:rsidRPr="00822AC9">
        <w:rPr>
          <w:noProof/>
        </w:rPr>
        <w:tab/>
      </w:r>
      <w:r w:rsidR="00BF22EA" w:rsidRPr="00797162">
        <w:rPr>
          <w:noProof/>
        </w:rPr>
        <w:t xml:space="preserve">Instrumendi väliskomponendi üldeesmärk on aidata kaasa kõrgetasemelisele tuumaohutusele, kiirguskaitsele, kasutatud tuumkütuse ja radioaktiivsete jäätmete ohutule käitlemisele, dekomissioneerimisele ning tuumamaterjalide tõhusate ja tulemuslike kaitsemeetmete rakendamisele partnerriikides, täiendades määrust (EL) 202X/XXXX [„Globaalne Euroopa“] ja tuginedes ühenduses toimuvale tegevusele, sealhulgas asjakohasele Euratomi reguleerivale raamistikule. </w:t>
      </w:r>
    </w:p>
    <w:p w14:paraId="06E8ED31" w14:textId="6FF504D6" w:rsidR="00BF22EA" w:rsidRPr="00797162" w:rsidRDefault="00822AC9" w:rsidP="00822AC9">
      <w:pPr>
        <w:pStyle w:val="ManualNumPar1"/>
        <w:rPr>
          <w:noProof/>
        </w:rPr>
      </w:pPr>
      <w:r w:rsidRPr="00822AC9">
        <w:rPr>
          <w:noProof/>
        </w:rPr>
        <w:t>2.</w:t>
      </w:r>
      <w:r w:rsidRPr="00822AC9">
        <w:rPr>
          <w:noProof/>
        </w:rPr>
        <w:tab/>
      </w:r>
      <w:r w:rsidR="00BF22EA" w:rsidRPr="00797162">
        <w:rPr>
          <w:noProof/>
        </w:rPr>
        <w:t xml:space="preserve">Instrumendi sisekomponendi üldeesmärk on toetada komisjoni tuumarajatiste dekomissioneerimist Teadusuuringute Ühiskeskuse (JRC) tegevuskohtades kooskõlas vastavates dekomissioneerimiskavades kindlaks määratud vajadustega ning sellega seoses käidelda ohutult kasutatud tuumkütust, tuumamaterjali ja radioaktiivseid jäätmeid. Lisaks toetatakse instrumendist tuumarajatiste dekomissioneerimise protsessist ja sellest tulenevate radioaktiivsete jäätmete käitlemisest saadavaid teadmisi, mida jagatakse ühenduse sidusrühmadega. </w:t>
      </w:r>
    </w:p>
    <w:p w14:paraId="30E0239A" w14:textId="43B7744A" w:rsidR="00BF22EA" w:rsidRPr="00797162" w:rsidRDefault="00822AC9" w:rsidP="00822AC9">
      <w:pPr>
        <w:pStyle w:val="ManualNumPar1"/>
        <w:rPr>
          <w:noProof/>
        </w:rPr>
      </w:pPr>
      <w:r w:rsidRPr="00822AC9">
        <w:rPr>
          <w:noProof/>
        </w:rPr>
        <w:t>3.</w:t>
      </w:r>
      <w:r w:rsidRPr="00822AC9">
        <w:rPr>
          <w:noProof/>
        </w:rPr>
        <w:tab/>
      </w:r>
      <w:r w:rsidR="00BF22EA" w:rsidRPr="00797162">
        <w:rPr>
          <w:noProof/>
        </w:rPr>
        <w:t>Instrumendi väliskomponendi erieesmärgid on järgmised:</w:t>
      </w:r>
    </w:p>
    <w:p w14:paraId="21C2AAA2" w14:textId="71A435F9" w:rsidR="00BF22EA" w:rsidRPr="00797162" w:rsidRDefault="00822AC9" w:rsidP="00822AC9">
      <w:pPr>
        <w:pStyle w:val="Point1"/>
        <w:rPr>
          <w:noProof/>
        </w:rPr>
      </w:pPr>
      <w:r w:rsidRPr="00822AC9">
        <w:rPr>
          <w:noProof/>
        </w:rPr>
        <w:t>(a)</w:t>
      </w:r>
      <w:r w:rsidRPr="00822AC9">
        <w:rPr>
          <w:noProof/>
        </w:rPr>
        <w:tab/>
      </w:r>
      <w:r w:rsidR="00BF22EA" w:rsidRPr="00797162">
        <w:rPr>
          <w:noProof/>
        </w:rPr>
        <w:t>edendada tõhusat tuumaohutus- ja kiirguskaitsekultuuri ning kõrgeimate tuumaohutuse ja kiirguskaitse standardite rakendamist, sealhulgas tarnekindluse, hädaolukordadeks valmisoleku ja neile reageerimise, suutlikkuse arendamise ja partnerriikide ametiasutuste otsustusprotsesside läbipaistvuse osas;</w:t>
      </w:r>
    </w:p>
    <w:p w14:paraId="4418BA9B" w14:textId="7DCB0C4F" w:rsidR="00BF22EA" w:rsidRPr="00797162" w:rsidRDefault="00822AC9" w:rsidP="00822AC9">
      <w:pPr>
        <w:pStyle w:val="Point1"/>
        <w:rPr>
          <w:noProof/>
        </w:rPr>
      </w:pPr>
      <w:r w:rsidRPr="00822AC9">
        <w:rPr>
          <w:noProof/>
        </w:rPr>
        <w:t>(b)</w:t>
      </w:r>
      <w:r w:rsidRPr="00822AC9">
        <w:rPr>
          <w:noProof/>
        </w:rPr>
        <w:tab/>
      </w:r>
      <w:r w:rsidR="00BF22EA" w:rsidRPr="00797162">
        <w:rPr>
          <w:noProof/>
        </w:rPr>
        <w:t>toetada kasutatud tuumkütuse ja radioaktiivsete jäätmete vastutustundlikku ja ohutut käitlemist ning endiste tuumaobjektide ja -rajatiste dekomissioneerimist ja saneerimist partnerriikides;</w:t>
      </w:r>
    </w:p>
    <w:p w14:paraId="03BB972A" w14:textId="6384EED3" w:rsidR="00BF22EA" w:rsidRPr="00797162" w:rsidRDefault="00822AC9" w:rsidP="00822AC9">
      <w:pPr>
        <w:pStyle w:val="Point1"/>
        <w:rPr>
          <w:noProof/>
        </w:rPr>
      </w:pPr>
      <w:r w:rsidRPr="00822AC9">
        <w:rPr>
          <w:noProof/>
        </w:rPr>
        <w:t>(c)</w:t>
      </w:r>
      <w:r w:rsidRPr="00822AC9">
        <w:rPr>
          <w:noProof/>
        </w:rPr>
        <w:tab/>
      </w:r>
      <w:r w:rsidR="00BF22EA" w:rsidRPr="00797162">
        <w:rPr>
          <w:noProof/>
        </w:rPr>
        <w:t>tugevdada tuumamaterjali suhtes kehtestatud tõhusaid ja tulemuslikke kaitsemeetmeid partnerriikides.</w:t>
      </w:r>
    </w:p>
    <w:p w14:paraId="4EA2EB57" w14:textId="4E95CA76" w:rsidR="00BF22EA" w:rsidRPr="00797162" w:rsidRDefault="00822AC9" w:rsidP="00822AC9">
      <w:pPr>
        <w:pStyle w:val="ManualNumPar1"/>
        <w:rPr>
          <w:noProof/>
        </w:rPr>
      </w:pPr>
      <w:r w:rsidRPr="00822AC9">
        <w:rPr>
          <w:noProof/>
        </w:rPr>
        <w:t>4.</w:t>
      </w:r>
      <w:r w:rsidRPr="00822AC9">
        <w:rPr>
          <w:noProof/>
        </w:rPr>
        <w:tab/>
      </w:r>
      <w:r w:rsidR="00BF22EA" w:rsidRPr="00797162">
        <w:rPr>
          <w:noProof/>
        </w:rPr>
        <w:t>Instrumendi sisekomponendi erieesmärgid on järgmised:</w:t>
      </w:r>
    </w:p>
    <w:p w14:paraId="5B2B5493" w14:textId="1964E444" w:rsidR="00BF22EA" w:rsidRPr="00797162" w:rsidRDefault="00822AC9" w:rsidP="00822AC9">
      <w:pPr>
        <w:pStyle w:val="Point1"/>
        <w:rPr>
          <w:noProof/>
        </w:rPr>
      </w:pPr>
      <w:bookmarkStart w:id="9" w:name="_Hlk5636883"/>
      <w:r w:rsidRPr="00822AC9">
        <w:rPr>
          <w:noProof/>
        </w:rPr>
        <w:t>(a)</w:t>
      </w:r>
      <w:r w:rsidRPr="00822AC9">
        <w:rPr>
          <w:noProof/>
        </w:rPr>
        <w:tab/>
      </w:r>
      <w:r w:rsidR="00BF22EA" w:rsidRPr="00797162">
        <w:rPr>
          <w:noProof/>
        </w:rPr>
        <w:t xml:space="preserve">toetada dekomissioneerimiskava ja viia kooskõlas asukohaliikmesriigi õigusega ellu meetmeid komisjoni tuumarajatiste demonteerimiseks ja saastest puhastamiseks Teadusuuringute Ühiskeskuse tegevuskohtades ja seonduvate radioaktiivsete jäätmete ohutuks käitlemiseks ning vajaduse korral valmistada ette seonduva tuumavastutuse võimalik üleandmine </w:t>
      </w:r>
      <w:r w:rsidR="00F2788F" w:rsidRPr="00797162">
        <w:rPr>
          <w:noProof/>
        </w:rPr>
        <w:t>Teadusuuringute Ühiskeskuselt</w:t>
      </w:r>
      <w:r w:rsidR="00BF22EA" w:rsidRPr="00797162">
        <w:rPr>
          <w:noProof/>
        </w:rPr>
        <w:t xml:space="preserve"> asukohaliikmesriigile;</w:t>
      </w:r>
    </w:p>
    <w:p w14:paraId="285881CA" w14:textId="71D87DF4" w:rsidR="00BF22EA" w:rsidRPr="00797162" w:rsidRDefault="00822AC9" w:rsidP="00822AC9">
      <w:pPr>
        <w:pStyle w:val="Point1"/>
        <w:rPr>
          <w:noProof/>
        </w:rPr>
      </w:pPr>
      <w:r w:rsidRPr="00822AC9">
        <w:rPr>
          <w:noProof/>
        </w:rPr>
        <w:t>(b)</w:t>
      </w:r>
      <w:r w:rsidRPr="00822AC9">
        <w:rPr>
          <w:noProof/>
        </w:rPr>
        <w:tab/>
      </w:r>
      <w:r w:rsidR="00BF22EA" w:rsidRPr="00797162">
        <w:rPr>
          <w:noProof/>
        </w:rPr>
        <w:t>Teadusuuringute Ühiskeskuse puhul arendada sidemeid ja teabevahetust liidu sidusrühmade vahel tuumarajatiste dekomissioneerimise valdkonnas, et tagada teadmiste levitamine ja kogemuste jagamine kõikides asjakohastes valdkondades, nagu reguleerimine ja koolitus, ning arendada võimalikku liidu koostoimet.</w:t>
      </w:r>
    </w:p>
    <w:bookmarkEnd w:id="9"/>
    <w:p w14:paraId="6677FBEC" w14:textId="77777777" w:rsidR="00BF22EA" w:rsidRPr="00797162" w:rsidRDefault="00BF22EA" w:rsidP="00BF22EA">
      <w:pPr>
        <w:rPr>
          <w:noProof/>
        </w:rPr>
      </w:pPr>
      <w:r w:rsidRPr="00797162">
        <w:rPr>
          <w:noProof/>
        </w:rPr>
        <w:t>Esimese lõigu punktis a osutatud vastutuse üleandmine on asukohaliikmesriigile vabatahtlik ning üleandmine toimub komisjoni ja asukohaliikmesriigi vahel sõlmitud kahepoolse kokkuleppe alusel. Selles kahepoolses kokkuleppes nähakse ette, et kõik Teadusuuringute Ühiskeskuse tegevuskohtades asuvate komisjoni tuumarajatiste dekomissioneerimise ja sellega seotud radioaktiivsete jäätmete ladustamise kulud kannab ühendus ning et see tegevus on täielikult kooskõlas direktiiviga 2011/70/Euratom. Läbirääkimised komisjoni ja asukohaliikmesriigi vahel viiakse lõpule kahe aasta jooksul alates käesoleva määruse jõustumise kuupäevast.</w:t>
      </w:r>
    </w:p>
    <w:p w14:paraId="240868E6" w14:textId="77777777" w:rsidR="00BF22EA" w:rsidRPr="00797162" w:rsidRDefault="00BF22EA" w:rsidP="00BF22EA">
      <w:pPr>
        <w:pStyle w:val="Titrearticle"/>
        <w:rPr>
          <w:noProof/>
        </w:rPr>
      </w:pPr>
      <w:bookmarkStart w:id="10" w:name="_Hlk194421688"/>
      <w:r w:rsidRPr="00797162">
        <w:rPr>
          <w:noProof/>
        </w:rPr>
        <w:t>Artikkel 3</w:t>
      </w:r>
    </w:p>
    <w:p w14:paraId="71AD0310" w14:textId="77777777" w:rsidR="00BF22EA" w:rsidRPr="00797162" w:rsidRDefault="00BF22EA" w:rsidP="00BF22EA">
      <w:pPr>
        <w:pStyle w:val="Titrearticle"/>
        <w:rPr>
          <w:b/>
          <w:noProof/>
        </w:rPr>
      </w:pPr>
      <w:r w:rsidRPr="00797162">
        <w:rPr>
          <w:b/>
          <w:noProof/>
        </w:rPr>
        <w:t>Eelarve</w:t>
      </w:r>
    </w:p>
    <w:bookmarkEnd w:id="10"/>
    <w:p w14:paraId="155B6FE8" w14:textId="77777777" w:rsidR="00BF22EA" w:rsidRPr="00797162" w:rsidRDefault="009B2A09" w:rsidP="009B2A09">
      <w:pPr>
        <w:pStyle w:val="Point0"/>
        <w:rPr>
          <w:noProof/>
        </w:rPr>
      </w:pPr>
      <w:r w:rsidRPr="00797162">
        <w:rPr>
          <w:noProof/>
        </w:rPr>
        <w:t>1.</w:t>
      </w:r>
      <w:r w:rsidRPr="00797162">
        <w:rPr>
          <w:noProof/>
        </w:rPr>
        <w:tab/>
        <w:t>Instrumendi rakendamise esialgne rahastamispakett ajavahemikuks 1. jaanuarist 2028 kuni 31. detsembrini 2034 on 966 000 000 eurot jooksevhindades.</w:t>
      </w:r>
    </w:p>
    <w:p w14:paraId="6FE0CAC1" w14:textId="213A1DE8" w:rsidR="00BF22EA" w:rsidRPr="00797162" w:rsidRDefault="009B2A09" w:rsidP="009B2A09">
      <w:pPr>
        <w:pStyle w:val="Point0"/>
        <w:rPr>
          <w:noProof/>
        </w:rPr>
      </w:pPr>
      <w:bookmarkStart w:id="11" w:name="_Hlk205986023"/>
      <w:r w:rsidRPr="00797162">
        <w:rPr>
          <w:noProof/>
        </w:rPr>
        <w:t>2.</w:t>
      </w:r>
      <w:r w:rsidRPr="00797162">
        <w:rPr>
          <w:noProof/>
        </w:rPr>
        <w:tab/>
      </w:r>
      <w:r w:rsidR="008A21A1" w:rsidRPr="00797162">
        <w:rPr>
          <w:noProof/>
        </w:rPr>
        <w:t>Lisaks võib kasutada määruse (EL, Euratom) 202X/XXXX [mitmeaastase finantsraamistiku määrus] artikli 6 kohasest Ukraina reservist määruse (EL) 202X/XXXX [„Globaalne Euroopa“] artikli 6 lõike 2 alusel kasutusele võetud rahalisi vahendeid, kui see on asjakohane, et anda Ukrainale käesoleva määruse alusel liidu toetust</w:t>
      </w:r>
      <w:r w:rsidRPr="00797162">
        <w:rPr>
          <w:noProof/>
        </w:rPr>
        <w:t>.</w:t>
      </w:r>
      <w:bookmarkEnd w:id="11"/>
      <w:r w:rsidRPr="00797162">
        <w:rPr>
          <w:noProof/>
        </w:rPr>
        <w:t xml:space="preserve"> </w:t>
      </w:r>
    </w:p>
    <w:p w14:paraId="1DCF4627" w14:textId="6C827651" w:rsidR="00BF22EA" w:rsidRPr="00797162" w:rsidRDefault="009B2A09" w:rsidP="009B2A09">
      <w:pPr>
        <w:pStyle w:val="Point0"/>
        <w:rPr>
          <w:noProof/>
        </w:rPr>
      </w:pPr>
      <w:r w:rsidRPr="00797162">
        <w:rPr>
          <w:noProof/>
        </w:rPr>
        <w:t>3.</w:t>
      </w:r>
      <w:r w:rsidRPr="00797162">
        <w:rPr>
          <w:noProof/>
        </w:rPr>
        <w:tab/>
        <w:t xml:space="preserve">Assigneeringuid võib kanda liidu eelarvesse ka pärast 2034. aastat, et katta vajalikud kulud ja hallata meetmeid, mida ei ole instrumendi kehtivusaja lõpuks veel lõpule viidud. </w:t>
      </w:r>
    </w:p>
    <w:p w14:paraId="33C2F958" w14:textId="77777777" w:rsidR="00BF22EA" w:rsidRPr="00797162" w:rsidRDefault="009B2A09" w:rsidP="009B2A09">
      <w:pPr>
        <w:pStyle w:val="Point0"/>
        <w:rPr>
          <w:noProof/>
        </w:rPr>
      </w:pPr>
      <w:r w:rsidRPr="00797162">
        <w:rPr>
          <w:noProof/>
        </w:rPr>
        <w:t>4.</w:t>
      </w:r>
      <w:r w:rsidRPr="00797162">
        <w:rPr>
          <w:noProof/>
        </w:rPr>
        <w:tab/>
        <w:t>Käesoleva artikli lõikes 1 osutatud rahastamispaketti, artiklis 2 osutatud rahalisi vahendeid ning artiklis 3 osutatud täiendavaid vahendeid võib kasutada ka instrumendi rakendamiseks antava tehnilise ja haldusabi jaoks, näiteks ettevalmistus-, seire-, kontrolli-, auditi- ja hindamistegevuseks, ettevõtete infotehnoloogiasüsteemide ja -platvormide arendamiseks, teabe- ja kommunikatsioonitegevuseks, sh liidu poliitiliste prioriteetide tutvustamiseks, nähtavuse suurendamiseks ning muuks tehniliseks ja haldusabiks või personaliga seotud kuludeks, mida komisjon instrumendi haldamisel kannab.</w:t>
      </w:r>
    </w:p>
    <w:p w14:paraId="59E48121" w14:textId="77777777" w:rsidR="00BF22EA" w:rsidRPr="00797162" w:rsidRDefault="009B2A09" w:rsidP="009B2A09">
      <w:pPr>
        <w:pStyle w:val="Point0"/>
        <w:rPr>
          <w:noProof/>
        </w:rPr>
      </w:pPr>
      <w:r w:rsidRPr="00797162">
        <w:rPr>
          <w:noProof/>
        </w:rPr>
        <w:t>5.</w:t>
      </w:r>
      <w:r w:rsidRPr="00797162">
        <w:rPr>
          <w:noProof/>
        </w:rPr>
        <w:tab/>
        <w:t>Instrumendi väliskomponendi puhul kohaldatakse käesoleva määruse rakendamisel määruse (EL) 202X/XXXX [„Globaalne Euroopa“] artiklis 22 sätestatud eeskirju ja menetlusi, mis käsitlevad ülekandmisi käesolevast instrumendist või selle eelkäijatest rahastatavatest rahastamisvahenditest, iga-aastaseid osamakseid, tagasimakseid, tulusid ja sissenõudmisi ning instrumendist või selle eelkäijatest eraldatud eelarveliste tagatiste ja laenude ülejääke.</w:t>
      </w:r>
    </w:p>
    <w:p w14:paraId="2E3AB8DD" w14:textId="77777777" w:rsidR="00BF22EA" w:rsidRPr="00797162" w:rsidRDefault="00BF22EA" w:rsidP="00BF22EA">
      <w:pPr>
        <w:rPr>
          <w:noProof/>
        </w:rPr>
      </w:pPr>
    </w:p>
    <w:p w14:paraId="1DD2C304" w14:textId="77777777" w:rsidR="00BF22EA" w:rsidRPr="00797162" w:rsidRDefault="00BF22EA" w:rsidP="00BF22EA">
      <w:pPr>
        <w:pStyle w:val="Titrearticle"/>
        <w:rPr>
          <w:noProof/>
        </w:rPr>
      </w:pPr>
      <w:r w:rsidRPr="00797162">
        <w:rPr>
          <w:noProof/>
        </w:rPr>
        <w:t>Artikkel 4</w:t>
      </w:r>
    </w:p>
    <w:p w14:paraId="399023EE" w14:textId="77777777" w:rsidR="00BF22EA" w:rsidRPr="00797162" w:rsidRDefault="00BF22EA" w:rsidP="00BF22EA">
      <w:pPr>
        <w:pStyle w:val="Titrearticle"/>
        <w:rPr>
          <w:b/>
          <w:noProof/>
        </w:rPr>
      </w:pPr>
      <w:r w:rsidRPr="00797162">
        <w:rPr>
          <w:b/>
          <w:noProof/>
        </w:rPr>
        <w:t xml:space="preserve">Täiendavad vahendid </w:t>
      </w:r>
    </w:p>
    <w:p w14:paraId="69BF3321" w14:textId="77777777" w:rsidR="00BF22EA" w:rsidRPr="00797162" w:rsidRDefault="00BF22EA" w:rsidP="00BF22EA">
      <w:pPr>
        <w:rPr>
          <w:noProof/>
        </w:rPr>
      </w:pPr>
      <w:r w:rsidRPr="00797162">
        <w:rPr>
          <w:noProof/>
        </w:rPr>
        <w:t xml:space="preserve">Liikmesriigid, liidu institutsioonid, organid ja asutused, partnerriigid, rahvusvahelised organisatsioonid, rahvusvahelised finantsasutused või muud kolmandad isikud võivad instrumenti täiendavalt rahaliselt või mitterahaliselt toetada. Täiendavat rahalist toetust käsitatakse sihtotstarbelise välistuluna määruse (EL, Euratom) 2024/2509 artikli 21 lõike 2 punktide a, d või e või artikli 21 lõike 5 tähenduses. </w:t>
      </w:r>
    </w:p>
    <w:p w14:paraId="671978BD" w14:textId="77777777" w:rsidR="00BF22EA" w:rsidRPr="00797162" w:rsidRDefault="00BF22EA" w:rsidP="00BF22EA">
      <w:pPr>
        <w:pStyle w:val="Titrearticle"/>
        <w:rPr>
          <w:noProof/>
        </w:rPr>
      </w:pPr>
      <w:r w:rsidRPr="00797162">
        <w:rPr>
          <w:noProof/>
        </w:rPr>
        <w:t>Artikkel 5</w:t>
      </w:r>
    </w:p>
    <w:p w14:paraId="5739DF3F" w14:textId="77777777" w:rsidR="00BF22EA" w:rsidRPr="00797162" w:rsidRDefault="00BF22EA" w:rsidP="00BF22EA">
      <w:pPr>
        <w:pStyle w:val="Titrearticle"/>
        <w:rPr>
          <w:b/>
          <w:noProof/>
        </w:rPr>
      </w:pPr>
      <w:r w:rsidRPr="00797162">
        <w:rPr>
          <w:b/>
          <w:noProof/>
        </w:rPr>
        <w:t xml:space="preserve">Alternatiivne, kombineeritud ja kumulatiivne rahastamine </w:t>
      </w:r>
    </w:p>
    <w:p w14:paraId="62366600" w14:textId="77777777" w:rsidR="00BF22EA" w:rsidRPr="00797162" w:rsidRDefault="009B2A09" w:rsidP="009B2A09">
      <w:pPr>
        <w:pStyle w:val="Point0"/>
        <w:rPr>
          <w:noProof/>
        </w:rPr>
      </w:pPr>
      <w:r w:rsidRPr="00797162">
        <w:rPr>
          <w:noProof/>
        </w:rPr>
        <w:t>1.</w:t>
      </w:r>
      <w:r w:rsidRPr="00797162">
        <w:rPr>
          <w:noProof/>
        </w:rPr>
        <w:tab/>
        <w:t xml:space="preserve">Instrumenti rakendatakse koostoimes teiste ühenduse ja liidu programmidega. Toetust võib saada ka meede, mis on saanud ühenduse ja liidu toetust mõnest teisest programmist. Vastava rahalise toetuse suhtes kohaldatakse liidu asjaomase programmi eeskirju või kõigi toetuste suhtes võib kohaldada ühtseid eeskirju ja võtta ühe juriidilise kohustuse. Kui liidu rahaline toetus põhineb rahastamiskõlblikel kuludel, ei tohi liidu eelarvest antav kumulatiivne toetus ületada meetme rahastamiskõlblike kulude kogusummat ja selle võib arvutada proportsionaalselt vastavalt toetuse tingimustele. </w:t>
      </w:r>
    </w:p>
    <w:p w14:paraId="5BF40057" w14:textId="77777777" w:rsidR="00BF22EA" w:rsidRPr="00797162" w:rsidRDefault="009B2A09" w:rsidP="009B2A09">
      <w:pPr>
        <w:pStyle w:val="Point0"/>
        <w:rPr>
          <w:noProof/>
        </w:rPr>
      </w:pPr>
      <w:r w:rsidRPr="00797162">
        <w:rPr>
          <w:noProof/>
        </w:rPr>
        <w:t>2.</w:t>
      </w:r>
      <w:r w:rsidRPr="00797162">
        <w:rPr>
          <w:noProof/>
        </w:rPr>
        <w:tab/>
        <w:t>Instrumendi raames võib väljavalimismenetlusi korraldada eelarve otsese või kaudse täitmise raames ühiselt liikmesriikide, liidu institutsioonide, organite ja asutuste, partnerriikide, rahvusvaheliste organisatsioonide, rahvusvaheliste finantsasutuste või muude kolmandate isikutega (edaspidi „ühise väljavalimismenetluse partner“), tingimusel et on tagatud liidu finantshuvide kaitse. Selliste menetluste suhtes kohaldatakse ühtseid eeskirju ja nendega kaasneb üksainus juriidiline kohustus. Selleks võivad ühise väljavalimismenetluse partnerid teha instrumendi jaoks kättesaadavaks vahendid kooskõlas käesoleva määruse artikliga [4] või delegeerida väljavalimismenetluse rakendamise partneritele, kui see on kohaldatav kooskõlas määruse (EL, Euratom) 2024/2509 artikli 62 lõike 1 punktiga c. Ühise väljavalimismenetluse partnerite esindajad võivad kuuluda ka määruse (EL, Euratom) 2024/2509 artikli 153 lõikes 3 osutatud hindamiskomisjoni.</w:t>
      </w:r>
    </w:p>
    <w:p w14:paraId="3ABDEA7D" w14:textId="77777777" w:rsidR="00BF22EA" w:rsidRPr="00797162" w:rsidRDefault="00BF22EA" w:rsidP="00BF22EA">
      <w:pPr>
        <w:spacing w:line="276" w:lineRule="auto"/>
        <w:rPr>
          <w:b/>
          <w:noProof/>
        </w:rPr>
      </w:pPr>
      <w:bookmarkStart w:id="12" w:name="_Hlk194421736"/>
    </w:p>
    <w:p w14:paraId="22D991EE" w14:textId="77777777" w:rsidR="00BF22EA" w:rsidRPr="00797162" w:rsidRDefault="00BF22EA" w:rsidP="00BF22EA">
      <w:pPr>
        <w:pStyle w:val="Titrearticle"/>
        <w:rPr>
          <w:noProof/>
        </w:rPr>
      </w:pPr>
      <w:r w:rsidRPr="00797162">
        <w:rPr>
          <w:noProof/>
        </w:rPr>
        <w:t>Artikkel 6</w:t>
      </w:r>
    </w:p>
    <w:p w14:paraId="0FC02D1B" w14:textId="77777777" w:rsidR="00BF22EA" w:rsidRPr="00797162" w:rsidRDefault="00BF22EA" w:rsidP="00BF22EA">
      <w:pPr>
        <w:pStyle w:val="Titrearticle"/>
        <w:rPr>
          <w:b/>
          <w:noProof/>
        </w:rPr>
      </w:pPr>
      <w:r w:rsidRPr="00797162">
        <w:rPr>
          <w:b/>
          <w:noProof/>
        </w:rPr>
        <w:t>Liidu rahastuse rakendamine ja vormid</w:t>
      </w:r>
    </w:p>
    <w:p w14:paraId="5A8F2FE3" w14:textId="79489DBE" w:rsidR="00BF22EA" w:rsidRPr="00797162" w:rsidRDefault="00822AC9" w:rsidP="00822AC9">
      <w:pPr>
        <w:pStyle w:val="ManualNumPar1"/>
        <w:rPr>
          <w:noProof/>
        </w:rPr>
      </w:pPr>
      <w:r w:rsidRPr="00822AC9">
        <w:rPr>
          <w:noProof/>
        </w:rPr>
        <w:t>1.</w:t>
      </w:r>
      <w:r w:rsidRPr="00822AC9">
        <w:rPr>
          <w:noProof/>
        </w:rPr>
        <w:tab/>
      </w:r>
      <w:r w:rsidR="00BF22EA" w:rsidRPr="00797162">
        <w:rPr>
          <w:noProof/>
        </w:rPr>
        <w:t>Instrumenti rakendatakse kooskõlas määrusega (EL, Euratom) 2024/2509, kas täites eelarvet otse või kaudselt koos kõnealuse määruse artikli 62 lõike 1 punktis c osutatud üksustega.</w:t>
      </w:r>
    </w:p>
    <w:p w14:paraId="422CF174" w14:textId="52BEB593" w:rsidR="00BF22EA" w:rsidRPr="00797162" w:rsidRDefault="00822AC9" w:rsidP="00822AC9">
      <w:pPr>
        <w:pStyle w:val="ManualNumPar1"/>
        <w:rPr>
          <w:noProof/>
        </w:rPr>
      </w:pPr>
      <w:r w:rsidRPr="00822AC9">
        <w:rPr>
          <w:noProof/>
        </w:rPr>
        <w:t>2.</w:t>
      </w:r>
      <w:r w:rsidRPr="00822AC9">
        <w:rPr>
          <w:noProof/>
        </w:rPr>
        <w:tab/>
      </w:r>
      <w:r w:rsidR="00BF22EA" w:rsidRPr="00797162">
        <w:rPr>
          <w:noProof/>
        </w:rPr>
        <w:t>Liidu rahastust võib anda mis tahes kujul kooskõlas määrusega (EL, Euratom) 2024/2509, eelkõige sihttoetuste, auhindade, hangete, mitterahaliste annetuste, eelarveliste tagatiste, rahastamisvahendite ja segarahastamistoimingute kaudu.</w:t>
      </w:r>
    </w:p>
    <w:p w14:paraId="5137CEC0" w14:textId="77777777" w:rsidR="00BF22EA" w:rsidRPr="00797162" w:rsidRDefault="00BF22EA" w:rsidP="00BF22EA">
      <w:pPr>
        <w:pStyle w:val="Text1"/>
        <w:ind w:left="0"/>
        <w:rPr>
          <w:noProof/>
        </w:rPr>
      </w:pPr>
    </w:p>
    <w:bookmarkEnd w:id="12"/>
    <w:p w14:paraId="65036CE5" w14:textId="77777777" w:rsidR="00BF22EA" w:rsidRPr="00797162" w:rsidRDefault="00BF22EA" w:rsidP="00BF22EA">
      <w:pPr>
        <w:pStyle w:val="ChapterTitle"/>
        <w:rPr>
          <w:noProof/>
        </w:rPr>
      </w:pPr>
      <w:r w:rsidRPr="00797162">
        <w:rPr>
          <w:noProof/>
        </w:rPr>
        <w:t xml:space="preserve">II PEATÜKK </w:t>
      </w:r>
    </w:p>
    <w:p w14:paraId="4F758287" w14:textId="77777777" w:rsidR="00BF22EA" w:rsidRPr="00797162" w:rsidRDefault="00BF22EA" w:rsidP="00BF22EA">
      <w:pPr>
        <w:spacing w:line="276" w:lineRule="auto"/>
        <w:jc w:val="center"/>
        <w:rPr>
          <w:b/>
          <w:noProof/>
        </w:rPr>
      </w:pPr>
      <w:r w:rsidRPr="00797162">
        <w:rPr>
          <w:b/>
          <w:noProof/>
        </w:rPr>
        <w:t xml:space="preserve">INSTRUMENDI ERI KOMPONENTIDE RAKENDAMINE </w:t>
      </w:r>
    </w:p>
    <w:p w14:paraId="6A1D601D" w14:textId="77777777" w:rsidR="00BF22EA" w:rsidRPr="00797162" w:rsidRDefault="00BF22EA" w:rsidP="00BF22EA">
      <w:pPr>
        <w:pStyle w:val="SectionTitle"/>
        <w:rPr>
          <w:noProof/>
        </w:rPr>
      </w:pPr>
      <w:r w:rsidRPr="00797162">
        <w:rPr>
          <w:noProof/>
        </w:rPr>
        <w:t xml:space="preserve">1. jaotis. Instrumendi väliskomponendi rakendamise erisätted </w:t>
      </w:r>
    </w:p>
    <w:p w14:paraId="03FD2808" w14:textId="77777777" w:rsidR="00BF22EA" w:rsidRPr="00797162" w:rsidRDefault="00BF22EA" w:rsidP="00BF22EA">
      <w:pPr>
        <w:pStyle w:val="Titrearticle"/>
        <w:rPr>
          <w:noProof/>
        </w:rPr>
      </w:pPr>
      <w:r w:rsidRPr="00797162">
        <w:rPr>
          <w:noProof/>
        </w:rPr>
        <w:t>Artikkel 7</w:t>
      </w:r>
    </w:p>
    <w:p w14:paraId="21F5792C" w14:textId="77777777" w:rsidR="00BF22EA" w:rsidRPr="00797162" w:rsidRDefault="00BF22EA" w:rsidP="00BF22EA">
      <w:pPr>
        <w:pStyle w:val="Titrearticle"/>
        <w:rPr>
          <w:b/>
          <w:noProof/>
        </w:rPr>
      </w:pPr>
      <w:r w:rsidRPr="00797162">
        <w:rPr>
          <w:b/>
          <w:noProof/>
        </w:rPr>
        <w:t xml:space="preserve">Poliitikaraamistik </w:t>
      </w:r>
    </w:p>
    <w:p w14:paraId="613664A6" w14:textId="77777777" w:rsidR="00BF22EA" w:rsidRPr="00797162" w:rsidRDefault="00BF22EA" w:rsidP="00BF22EA">
      <w:pPr>
        <w:spacing w:line="276" w:lineRule="auto"/>
        <w:rPr>
          <w:noProof/>
        </w:rPr>
      </w:pPr>
      <w:r w:rsidRPr="00797162">
        <w:rPr>
          <w:noProof/>
        </w:rPr>
        <w:t>Instrumendi rakendamise üldise poliitikaraamistiku moodustavad poliitikasuunad, mis on kindlaks määratud assotsieerimislepingutes, partnerlus- ja koostöölepingutes, sh tuumaalase koostöö lepingutes, mitmepoolsetes kokkulepetes, õiguslikult mittesiduvates lepetes, nagu vastastikuse mõistmise memorandumid, deklaratsioonid ja muud kokkulepped, millega luuakse suhted liidu ja/või ühenduse ja partnerriikide vahel, samuti Euroopa Ülemkogu ja nõukogu järeldustes, tippkohtumiste deklaratsioonides, kõrgetasemelistel kohtumistel partnerriikidega vastu võetud järeldustes, strateegiates, komisjoni teatistes ning komisjoni ja liidu välisasjade ja julgeolekupoliitika kõrge esindaja ühisteatistes.</w:t>
      </w:r>
    </w:p>
    <w:p w14:paraId="7EC02212" w14:textId="77777777" w:rsidR="00BF22EA" w:rsidRPr="00797162" w:rsidRDefault="00BF22EA" w:rsidP="00BF22EA">
      <w:pPr>
        <w:pStyle w:val="Text1"/>
        <w:rPr>
          <w:noProof/>
        </w:rPr>
      </w:pPr>
    </w:p>
    <w:p w14:paraId="2BE810B7" w14:textId="77777777" w:rsidR="00BF22EA" w:rsidRPr="00797162" w:rsidRDefault="00BF22EA" w:rsidP="00BF22EA">
      <w:pPr>
        <w:jc w:val="center"/>
        <w:rPr>
          <w:i/>
          <w:noProof/>
        </w:rPr>
      </w:pPr>
      <w:r w:rsidRPr="00797162">
        <w:rPr>
          <w:i/>
          <w:noProof/>
        </w:rPr>
        <w:t>Artikkel 8</w:t>
      </w:r>
    </w:p>
    <w:p w14:paraId="00D5FFD8" w14:textId="77777777" w:rsidR="00BF22EA" w:rsidRPr="00797162" w:rsidRDefault="00BF22EA" w:rsidP="00BF22EA">
      <w:pPr>
        <w:jc w:val="center"/>
        <w:rPr>
          <w:i/>
          <w:iCs/>
          <w:noProof/>
        </w:rPr>
      </w:pPr>
    </w:p>
    <w:p w14:paraId="2CC4C043" w14:textId="3444D04B" w:rsidR="00BF22EA" w:rsidRPr="00797162" w:rsidRDefault="00BF22EA" w:rsidP="00BF22EA">
      <w:pPr>
        <w:jc w:val="center"/>
        <w:rPr>
          <w:b/>
          <w:i/>
          <w:noProof/>
        </w:rPr>
      </w:pPr>
      <w:r w:rsidRPr="00797162">
        <w:rPr>
          <w:b/>
          <w:i/>
          <w:noProof/>
        </w:rPr>
        <w:t xml:space="preserve">Rakendamine ja rahastamiskõlblikkus kooskõlas </w:t>
      </w:r>
      <w:r w:rsidR="00406E62" w:rsidRPr="00797162">
        <w:rPr>
          <w:b/>
          <w:i/>
          <w:noProof/>
        </w:rPr>
        <w:t>instrumendiga</w:t>
      </w:r>
      <w:r w:rsidRPr="00797162">
        <w:rPr>
          <w:b/>
          <w:i/>
          <w:noProof/>
        </w:rPr>
        <w:t xml:space="preserve"> „Globaalne Euroopa“ </w:t>
      </w:r>
    </w:p>
    <w:p w14:paraId="13108610" w14:textId="77777777" w:rsidR="00BF22EA" w:rsidRPr="00797162" w:rsidRDefault="00BF22EA" w:rsidP="00BF22EA">
      <w:pPr>
        <w:pStyle w:val="Point0"/>
        <w:rPr>
          <w:noProof/>
        </w:rPr>
      </w:pPr>
      <w:r w:rsidRPr="00797162">
        <w:rPr>
          <w:noProof/>
        </w:rPr>
        <w:t>1.</w:t>
      </w:r>
      <w:r w:rsidRPr="00797162">
        <w:rPr>
          <w:noProof/>
        </w:rPr>
        <w:tab/>
        <w:t>Kui käesolevas määruses ei ole sätestatud teisiti, rakendatakse instrumendi väliskomponendi liidupoolset rahastamist kooskõlas käesoleva määrusega, määrusega (EL, Euratom) 2024/2509 ning vajaduse korral määruse (EL) 202X/XXXX [„Globaalne Euroopa“] II jaotise II ja III peatükiga, välja arvatud kõnealuse määruse artikkel 19, artikli 20 lõiked 2 ja 3 ning artikkel 26. Määruse (EL) 202X/XXXX [„Globaalne Euroopa“] artikli 20 lõigetes 1 ja 4–12 sätestatud rahastamiskõlblikkuse eeskirju kohaldatakse kõigi väliskomponendi raames rahastatavate meetmete suhtes.</w:t>
      </w:r>
    </w:p>
    <w:p w14:paraId="7BF3C9DF" w14:textId="77777777" w:rsidR="00BF22EA" w:rsidRPr="00797162" w:rsidRDefault="00BF22EA" w:rsidP="00BF22EA">
      <w:pPr>
        <w:pStyle w:val="Point0"/>
        <w:rPr>
          <w:noProof/>
        </w:rPr>
      </w:pPr>
      <w:r w:rsidRPr="00797162">
        <w:rPr>
          <w:noProof/>
        </w:rPr>
        <w:t>2.</w:t>
      </w:r>
      <w:r w:rsidRPr="00797162">
        <w:rPr>
          <w:noProof/>
        </w:rPr>
        <w:tab/>
        <w:t xml:space="preserve">Kui liidu toetust antakse eelarvelise tagatise või rahastamisvahendina, sealhulgas juhul, kui seda kombineeritakse tagastamatu toetusega segarahastamistoimingu raames, antakse seda üksnes instrumendi „Globaalne Euroopa“ rakendamismehhanismi kaudu ning seda rakendatakse kooskõlas instrumendi „Globaalne Euroopa“ rakendamismehhanismi suhtes kohaldatavate eeskirjadega instrumendi „Globaalne Euroopa“ rakendamismehhanismi raames seda liiki toetuse andmiseks sõlmitud lepingute alusel. </w:t>
      </w:r>
    </w:p>
    <w:p w14:paraId="52945F18" w14:textId="77777777" w:rsidR="00BF22EA" w:rsidRPr="00797162" w:rsidRDefault="00BF22EA" w:rsidP="00BF22EA">
      <w:pPr>
        <w:pStyle w:val="Point0"/>
        <w:rPr>
          <w:noProof/>
        </w:rPr>
      </w:pPr>
      <w:r w:rsidRPr="00797162">
        <w:rPr>
          <w:noProof/>
        </w:rPr>
        <w:t>3.</w:t>
      </w:r>
      <w:r w:rsidRPr="00797162">
        <w:rPr>
          <w:noProof/>
        </w:rPr>
        <w:tab/>
        <w:t xml:space="preserve">Eelarvelise tagatisena antakse liidu toetust instrumendi „Globaalne Euroopa“ määrusega kehtestatud eelarvelise tagatise maksimumsumma piires. </w:t>
      </w:r>
    </w:p>
    <w:p w14:paraId="2110ED51" w14:textId="77777777" w:rsidR="00BF22EA" w:rsidRPr="00797162" w:rsidRDefault="00BF22EA" w:rsidP="00BF22EA">
      <w:pPr>
        <w:pStyle w:val="Point0"/>
        <w:rPr>
          <w:noProof/>
        </w:rPr>
      </w:pPr>
      <w:r w:rsidRPr="00797162">
        <w:rPr>
          <w:noProof/>
        </w:rPr>
        <w:t>4.</w:t>
      </w:r>
      <w:r w:rsidRPr="00797162">
        <w:rPr>
          <w:noProof/>
        </w:rPr>
        <w:tab/>
        <w:t>Kui instrumendi raames kasutatakse instrumendi „Globaalne Euroopa“ rakendamismehhanismi, nähakse ette eraldised eelarvelise tagatise jaoks ja rahastamisvahendite rahastamine, sealhulgas juhul, kui rahastamist kombineeritakse tagastamatu toetusega segarahastamistoimingu raames.</w:t>
      </w:r>
    </w:p>
    <w:p w14:paraId="216D0ED9" w14:textId="77777777" w:rsidR="00BF22EA" w:rsidRPr="00797162" w:rsidRDefault="00BF22EA" w:rsidP="00BF22EA">
      <w:pPr>
        <w:rPr>
          <w:noProof/>
        </w:rPr>
      </w:pPr>
    </w:p>
    <w:p w14:paraId="6FDF6D2D" w14:textId="77777777" w:rsidR="00BF22EA" w:rsidRPr="00797162" w:rsidRDefault="00BF22EA" w:rsidP="00BF22EA">
      <w:pPr>
        <w:pStyle w:val="Titrearticle"/>
        <w:rPr>
          <w:noProof/>
        </w:rPr>
      </w:pPr>
      <w:r w:rsidRPr="00797162">
        <w:rPr>
          <w:noProof/>
        </w:rPr>
        <w:t>Artikkel 9</w:t>
      </w:r>
    </w:p>
    <w:p w14:paraId="696C4916" w14:textId="77777777" w:rsidR="00BF22EA" w:rsidRPr="00797162" w:rsidRDefault="00BF22EA" w:rsidP="00BF22EA">
      <w:pPr>
        <w:pStyle w:val="Titrearticle"/>
        <w:rPr>
          <w:b/>
          <w:noProof/>
        </w:rPr>
      </w:pPr>
      <w:r w:rsidRPr="00797162">
        <w:rPr>
          <w:b/>
          <w:noProof/>
        </w:rPr>
        <w:t xml:space="preserve">Euratomi laenud </w:t>
      </w:r>
    </w:p>
    <w:p w14:paraId="7A3CC700" w14:textId="272BB4AA" w:rsidR="00BF22EA" w:rsidRPr="00797162" w:rsidRDefault="00822AC9" w:rsidP="00822AC9">
      <w:pPr>
        <w:pStyle w:val="ManualNumPar1"/>
        <w:rPr>
          <w:noProof/>
        </w:rPr>
      </w:pPr>
      <w:bookmarkStart w:id="13" w:name="_Hlk205986164"/>
      <w:bookmarkStart w:id="14" w:name="_Hlk205306074"/>
      <w:r w:rsidRPr="00822AC9">
        <w:rPr>
          <w:noProof/>
        </w:rPr>
        <w:t>1.</w:t>
      </w:r>
      <w:r w:rsidRPr="00822AC9">
        <w:rPr>
          <w:noProof/>
        </w:rPr>
        <w:tab/>
      </w:r>
      <w:r w:rsidR="00BF22EA" w:rsidRPr="00797162">
        <w:rPr>
          <w:noProof/>
        </w:rPr>
        <w:t>Liidu toetust Ukrainale nõukogu otsuse 77/270/Euratom kohaste laenudena antakse määruse (EL) 202X/XXXX [„Globaalne Euroopa“] artikli 6 lõike 2 teises lõigus osutatud maksimumsumma piires. Nõukogu otsuse 77/270/Euratom alusel Ukrainale antavate laenude suhtes kohaldatakse määruse (EL) 202X/XXXX [„Globaalne Euroopa“] artikli 24 lõike 3 viimase lõigu sätteid.</w:t>
      </w:r>
      <w:bookmarkEnd w:id="13"/>
      <w:r w:rsidR="00BF22EA" w:rsidRPr="00797162">
        <w:rPr>
          <w:noProof/>
        </w:rPr>
        <w:t xml:space="preserve"> </w:t>
      </w:r>
    </w:p>
    <w:p w14:paraId="08AB4E6E" w14:textId="77777777" w:rsidR="00BF22EA" w:rsidRPr="00797162" w:rsidRDefault="00BF22EA" w:rsidP="00C01FA9">
      <w:pPr>
        <w:pStyle w:val="Text1"/>
        <w:rPr>
          <w:noProof/>
        </w:rPr>
      </w:pPr>
    </w:p>
    <w:p w14:paraId="2EEC7627" w14:textId="3C51BF7B" w:rsidR="00BF22EA" w:rsidRPr="00797162" w:rsidRDefault="00822AC9" w:rsidP="00822AC9">
      <w:pPr>
        <w:pStyle w:val="ManualNumPar1"/>
        <w:rPr>
          <w:noProof/>
        </w:rPr>
      </w:pPr>
      <w:r w:rsidRPr="00822AC9">
        <w:rPr>
          <w:noProof/>
        </w:rPr>
        <w:t>2.</w:t>
      </w:r>
      <w:r w:rsidRPr="00822AC9">
        <w:rPr>
          <w:noProof/>
        </w:rPr>
        <w:tab/>
      </w:r>
      <w:r w:rsidR="00BF22EA" w:rsidRPr="00797162">
        <w:rPr>
          <w:noProof/>
        </w:rPr>
        <w:t>Nõukogu otsuse 77/270/Euratom alusel Armeeniale laenudena antava liidu toetuse eraldiste määr on määruse (EL) 202X/XXXX [„Globaalne Euroopa“] artiklis 24 sätestatud eraldiste määr.</w:t>
      </w:r>
    </w:p>
    <w:p w14:paraId="407D85BE" w14:textId="77777777" w:rsidR="00BF22EA" w:rsidRPr="00797162" w:rsidRDefault="00BF22EA" w:rsidP="00BF22EA">
      <w:pPr>
        <w:pStyle w:val="Point6number"/>
        <w:numPr>
          <w:ilvl w:val="0"/>
          <w:numId w:val="0"/>
        </w:numPr>
        <w:rPr>
          <w:noProof/>
        </w:rPr>
      </w:pPr>
    </w:p>
    <w:bookmarkEnd w:id="14"/>
    <w:p w14:paraId="2A80A01E" w14:textId="77777777" w:rsidR="00BF22EA" w:rsidRPr="00797162" w:rsidRDefault="00BF22EA" w:rsidP="00BF22EA">
      <w:pPr>
        <w:rPr>
          <w:noProof/>
        </w:rPr>
      </w:pPr>
    </w:p>
    <w:p w14:paraId="238B6D6D" w14:textId="77777777" w:rsidR="00BF22EA" w:rsidRPr="00797162" w:rsidRDefault="00BF22EA" w:rsidP="00BF22EA">
      <w:pPr>
        <w:jc w:val="center"/>
        <w:rPr>
          <w:i/>
          <w:noProof/>
        </w:rPr>
      </w:pPr>
      <w:r w:rsidRPr="00797162">
        <w:rPr>
          <w:i/>
          <w:noProof/>
        </w:rPr>
        <w:t>Artikkel 10</w:t>
      </w:r>
    </w:p>
    <w:p w14:paraId="36F1AFDC" w14:textId="77777777" w:rsidR="00BF22EA" w:rsidRPr="00797162" w:rsidRDefault="00BF22EA" w:rsidP="00BF22EA">
      <w:pPr>
        <w:pStyle w:val="Titrearticle"/>
        <w:rPr>
          <w:b/>
          <w:noProof/>
        </w:rPr>
      </w:pPr>
      <w:r w:rsidRPr="00797162">
        <w:rPr>
          <w:b/>
          <w:noProof/>
        </w:rPr>
        <w:t xml:space="preserve">Mitmeaastased sihtprogrammid </w:t>
      </w:r>
    </w:p>
    <w:p w14:paraId="70F46CC7" w14:textId="0D2AC199" w:rsidR="00BF22EA" w:rsidRPr="00797162" w:rsidRDefault="00822AC9" w:rsidP="00822AC9">
      <w:pPr>
        <w:pStyle w:val="ManualNumPar1"/>
        <w:rPr>
          <w:noProof/>
        </w:rPr>
      </w:pPr>
      <w:r w:rsidRPr="00822AC9">
        <w:rPr>
          <w:noProof/>
        </w:rPr>
        <w:t>1.</w:t>
      </w:r>
      <w:r w:rsidRPr="00822AC9">
        <w:rPr>
          <w:noProof/>
        </w:rPr>
        <w:tab/>
      </w:r>
      <w:r w:rsidR="00BF22EA" w:rsidRPr="00797162">
        <w:rPr>
          <w:noProof/>
        </w:rPr>
        <w:t>Instrumendi väliskomponenti rakendatakse mitmeaastaste sihtprogrammide kaudu, mis võetakse vastu rakendusaktidega kooskõlas artikli 17 lõikes 3 osutatud kontrollimenetlusega. Sellised mitmeaastased sihtprogrammid:</w:t>
      </w:r>
    </w:p>
    <w:p w14:paraId="6BFDF0AC" w14:textId="6049E032" w:rsidR="00BF22EA" w:rsidRPr="00797162" w:rsidRDefault="00822AC9" w:rsidP="00822AC9">
      <w:pPr>
        <w:pStyle w:val="Point0"/>
        <w:rPr>
          <w:noProof/>
        </w:rPr>
      </w:pPr>
      <w:r w:rsidRPr="00822AC9">
        <w:rPr>
          <w:noProof/>
        </w:rPr>
        <w:t>(a)</w:t>
      </w:r>
      <w:r w:rsidRPr="00822AC9">
        <w:rPr>
          <w:noProof/>
        </w:rPr>
        <w:tab/>
      </w:r>
      <w:r w:rsidR="00BF22EA" w:rsidRPr="00797162">
        <w:rPr>
          <w:noProof/>
        </w:rPr>
        <w:t>lähtuvad eesmärgist luua ühenduse ning asjaomase partnerriigi või piirkonna koostööks sidus raamistik viisil, mis on kooskõlas käesoleva määruse reguleerimiseseme ja -alaga ning ühenduse eesmärkide, põhimõtete ja poliitikaga ning mis tugineb käesoleva määruse artiklis 7 osutatud poliitikaraamistikule;</w:t>
      </w:r>
    </w:p>
    <w:p w14:paraId="0806E35C" w14:textId="4C7207E4" w:rsidR="00BF22EA" w:rsidRPr="00797162" w:rsidRDefault="00822AC9" w:rsidP="00822AC9">
      <w:pPr>
        <w:pStyle w:val="Point0"/>
        <w:rPr>
          <w:noProof/>
        </w:rPr>
      </w:pPr>
      <w:r w:rsidRPr="00822AC9">
        <w:rPr>
          <w:noProof/>
        </w:rPr>
        <w:t>(b)</w:t>
      </w:r>
      <w:r w:rsidRPr="00822AC9">
        <w:rPr>
          <w:noProof/>
        </w:rPr>
        <w:tab/>
      </w:r>
      <w:r w:rsidR="00BF22EA" w:rsidRPr="00797162">
        <w:rPr>
          <w:noProof/>
        </w:rPr>
        <w:t xml:space="preserve">moodustavad instrumendist lähtuva tuumaohutusalase koostöö üldise aluse ning määravad kindlaks ühenduse eesmärgid koostöö tegemisel, võttes arvesse asjaomaste riikide vajadusi, ühenduse prioriteete, rahvusvahelist olukorda ja asjaomaste partnerriikide meetmeid; </w:t>
      </w:r>
    </w:p>
    <w:p w14:paraId="0B4CF10E" w14:textId="5E610E64" w:rsidR="00BF22EA" w:rsidRPr="00797162" w:rsidRDefault="00822AC9" w:rsidP="00822AC9">
      <w:pPr>
        <w:pStyle w:val="Point0"/>
        <w:rPr>
          <w:noProof/>
        </w:rPr>
      </w:pPr>
      <w:r w:rsidRPr="00822AC9">
        <w:rPr>
          <w:noProof/>
        </w:rPr>
        <w:t>(c)</w:t>
      </w:r>
      <w:r w:rsidRPr="00822AC9">
        <w:rPr>
          <w:noProof/>
        </w:rPr>
        <w:tab/>
      </w:r>
      <w:r w:rsidR="00BF22EA" w:rsidRPr="00797162">
        <w:rPr>
          <w:noProof/>
        </w:rPr>
        <w:t>näitavad punktis b osutatud koostöö lisaväärtust ja seda, kuidas vältida kattuvust muude programmide ja algatustega, eelkõige sarnaste eesmärkidega rahvusvaheliste organisatsioonide ja teiste peamiste rahastajate programmide ja algatustega;</w:t>
      </w:r>
    </w:p>
    <w:p w14:paraId="21C85525" w14:textId="535AD317" w:rsidR="00BF22EA" w:rsidRPr="00797162" w:rsidRDefault="00822AC9" w:rsidP="00822AC9">
      <w:pPr>
        <w:pStyle w:val="Point0"/>
        <w:rPr>
          <w:noProof/>
        </w:rPr>
      </w:pPr>
      <w:r w:rsidRPr="00822AC9">
        <w:rPr>
          <w:noProof/>
        </w:rPr>
        <w:t>(d)</w:t>
      </w:r>
      <w:r w:rsidRPr="00822AC9">
        <w:rPr>
          <w:noProof/>
        </w:rPr>
        <w:tab/>
      </w:r>
      <w:r w:rsidR="00BF22EA" w:rsidRPr="00797162">
        <w:rPr>
          <w:noProof/>
        </w:rPr>
        <w:t>kehtestavad liidu rahastamiseks valitud geograafilised ja poliitilised prioriteedid, erieesmärgid ning vajaduse korral soovituslikud rahaeraldised ja rakendusmeetodid;</w:t>
      </w:r>
    </w:p>
    <w:p w14:paraId="1D77229E" w14:textId="4B7952A6" w:rsidR="00BF22EA" w:rsidRPr="00797162" w:rsidRDefault="00822AC9" w:rsidP="00822AC9">
      <w:pPr>
        <w:pStyle w:val="Point0"/>
        <w:rPr>
          <w:noProof/>
        </w:rPr>
      </w:pPr>
      <w:r w:rsidRPr="00822AC9">
        <w:rPr>
          <w:noProof/>
        </w:rPr>
        <w:t>(e)</w:t>
      </w:r>
      <w:r w:rsidRPr="00822AC9">
        <w:rPr>
          <w:noProof/>
        </w:rPr>
        <w:tab/>
      </w:r>
      <w:r w:rsidR="00BF22EA" w:rsidRPr="00797162">
        <w:rPr>
          <w:noProof/>
        </w:rPr>
        <w:t>põhinevad partnerriikide või -piirkondadega peetaval dialoogil, millesse on kaasatud asjaomased sidusrühmad, eelkõige valitsusasutused ja reguleerivad asutused ning nende määratud organisatsioonid, ja vajaduse korral konsultatsioonidel komisjoni otsusega 2007/530/Euratom</w:t>
      </w:r>
      <w:r w:rsidR="00BF22EA" w:rsidRPr="00797162">
        <w:rPr>
          <w:rStyle w:val="FootnoteReference"/>
          <w:noProof/>
        </w:rPr>
        <w:footnoteReference w:id="52"/>
      </w:r>
      <w:r w:rsidR="00BF22EA" w:rsidRPr="00797162">
        <w:rPr>
          <w:noProof/>
        </w:rPr>
        <w:t xml:space="preserve"> loodud tuumaohutust reguleerivate asutuste Euroopa töörühmaga (ENSREG).</w:t>
      </w:r>
    </w:p>
    <w:p w14:paraId="7E77C762" w14:textId="6469D766" w:rsidR="00BF22EA" w:rsidRPr="00797162" w:rsidRDefault="00822AC9" w:rsidP="00822AC9">
      <w:pPr>
        <w:pStyle w:val="ManualNumPar1"/>
        <w:rPr>
          <w:noProof/>
        </w:rPr>
      </w:pPr>
      <w:r w:rsidRPr="00822AC9">
        <w:rPr>
          <w:noProof/>
        </w:rPr>
        <w:t>2.</w:t>
      </w:r>
      <w:r w:rsidRPr="00822AC9">
        <w:rPr>
          <w:noProof/>
        </w:rPr>
        <w:tab/>
      </w:r>
      <w:r w:rsidR="00BF22EA" w:rsidRPr="00797162">
        <w:rPr>
          <w:noProof/>
        </w:rPr>
        <w:t xml:space="preserve">Mitmeaastased sihtprogrammid võib vajaduse korral läbi vaadata, kui see on vajalik nende tõhusaks rakendamiseks, eelkõige juhul, kui artiklis </w:t>
      </w:r>
      <w:r w:rsidR="00AB54BF" w:rsidRPr="00797162">
        <w:rPr>
          <w:noProof/>
        </w:rPr>
        <w:t>7</w:t>
      </w:r>
      <w:r w:rsidR="00BF22EA" w:rsidRPr="00797162">
        <w:rPr>
          <w:noProof/>
        </w:rPr>
        <w:t xml:space="preserve"> osutatud poliitikaraamistikus tehakse olulisi muudatusi või kui on tekkinud kriisiolukord või kriisijärgne olukord. Artikli 17 lõikes 3 osutatud kontrollimenetlust kohaldatakse ka läbivaatamiste suhtes, mis muudavad oluliselt mitmeaastase sihtprogrammi sisu. </w:t>
      </w:r>
    </w:p>
    <w:p w14:paraId="5428FF73" w14:textId="77777777" w:rsidR="00BF22EA" w:rsidRPr="00797162" w:rsidRDefault="00BF22EA" w:rsidP="00BF22EA">
      <w:pPr>
        <w:pStyle w:val="Titrearticle"/>
        <w:ind w:left="1210"/>
        <w:rPr>
          <w:noProof/>
        </w:rPr>
      </w:pPr>
      <w:r w:rsidRPr="00797162">
        <w:rPr>
          <w:noProof/>
        </w:rPr>
        <w:t>Artikkel 11</w:t>
      </w:r>
    </w:p>
    <w:p w14:paraId="43DCBA91" w14:textId="77777777" w:rsidR="00BF22EA" w:rsidRPr="00797162" w:rsidRDefault="00BF22EA" w:rsidP="00BF22EA">
      <w:pPr>
        <w:pStyle w:val="Titrearticle"/>
        <w:rPr>
          <w:b/>
          <w:bCs/>
          <w:noProof/>
        </w:rPr>
      </w:pPr>
      <w:r w:rsidRPr="00797162">
        <w:rPr>
          <w:b/>
          <w:noProof/>
        </w:rPr>
        <w:t>Tegevuskavade ja meetmete vastuvõtmine</w:t>
      </w:r>
    </w:p>
    <w:p w14:paraId="05EE13B6" w14:textId="39CF6531" w:rsidR="00BF22EA" w:rsidRPr="00797162" w:rsidRDefault="00822AC9" w:rsidP="00822AC9">
      <w:pPr>
        <w:pStyle w:val="ManualNumPar1"/>
        <w:rPr>
          <w:noProof/>
        </w:rPr>
      </w:pPr>
      <w:bookmarkStart w:id="15" w:name="_Hlk204772738"/>
      <w:r w:rsidRPr="00822AC9">
        <w:rPr>
          <w:noProof/>
        </w:rPr>
        <w:t>1.</w:t>
      </w:r>
      <w:r w:rsidRPr="00822AC9">
        <w:rPr>
          <w:noProof/>
        </w:rPr>
        <w:tab/>
      </w:r>
      <w:r w:rsidR="00BF22EA" w:rsidRPr="00797162">
        <w:rPr>
          <w:noProof/>
        </w:rPr>
        <w:t>Instrumendi väliskomponendi ühe- või mitmeaastased tegevuskavad ja meetmed</w:t>
      </w:r>
      <w:bookmarkEnd w:id="15"/>
      <w:r w:rsidR="00BF22EA" w:rsidRPr="00797162">
        <w:rPr>
          <w:noProof/>
        </w:rPr>
        <w:t xml:space="preserve"> on tööprogrammid määruse (EL, Euratom) 2024/2509 tähenduses.</w:t>
      </w:r>
    </w:p>
    <w:p w14:paraId="1976E817" w14:textId="68DE78DB" w:rsidR="00BF22EA" w:rsidRPr="00797162" w:rsidRDefault="00822AC9" w:rsidP="00822AC9">
      <w:pPr>
        <w:pStyle w:val="ManualNumPar1"/>
        <w:rPr>
          <w:noProof/>
        </w:rPr>
      </w:pPr>
      <w:r w:rsidRPr="00822AC9">
        <w:rPr>
          <w:noProof/>
        </w:rPr>
        <w:t>2.</w:t>
      </w:r>
      <w:r w:rsidRPr="00822AC9">
        <w:rPr>
          <w:noProof/>
        </w:rPr>
        <w:tab/>
      </w:r>
      <w:r w:rsidR="00BF22EA" w:rsidRPr="00797162">
        <w:rPr>
          <w:noProof/>
        </w:rPr>
        <w:t xml:space="preserve">Lõikes 1 osutatud tegevuskavad ja meetmed võtab vastu komisjon rakendusaktidega. Need rakendusaktid võetakse vastu kooskõlas artikli 17 lõikes 3 osutatud kontrollimenetlusega. </w:t>
      </w:r>
    </w:p>
    <w:p w14:paraId="01B26BF6" w14:textId="6A26AD97" w:rsidR="00BF22EA" w:rsidRPr="00797162" w:rsidRDefault="00822AC9" w:rsidP="00822AC9">
      <w:pPr>
        <w:pStyle w:val="ManualNumPar1"/>
        <w:rPr>
          <w:noProof/>
        </w:rPr>
      </w:pPr>
      <w:r w:rsidRPr="00822AC9">
        <w:rPr>
          <w:noProof/>
        </w:rPr>
        <w:t>3.</w:t>
      </w:r>
      <w:r w:rsidRPr="00822AC9">
        <w:rPr>
          <w:noProof/>
        </w:rPr>
        <w:tab/>
      </w:r>
      <w:r w:rsidR="00BF22EA" w:rsidRPr="00797162">
        <w:rPr>
          <w:noProof/>
        </w:rPr>
        <w:t xml:space="preserve">Lõikes 2 osutatud kontrollimenetluse järgimine ei ole nõutav järgmistel juhtudel: </w:t>
      </w:r>
    </w:p>
    <w:p w14:paraId="34E47949" w14:textId="7562CB85" w:rsidR="00BF22EA" w:rsidRPr="00797162" w:rsidRDefault="00822AC9" w:rsidP="00822AC9">
      <w:pPr>
        <w:pStyle w:val="Point1"/>
        <w:rPr>
          <w:noProof/>
        </w:rPr>
      </w:pPr>
      <w:r w:rsidRPr="00822AC9">
        <w:rPr>
          <w:noProof/>
        </w:rPr>
        <w:t>(a)</w:t>
      </w:r>
      <w:r w:rsidRPr="00822AC9">
        <w:rPr>
          <w:noProof/>
        </w:rPr>
        <w:tab/>
      </w:r>
      <w:r w:rsidR="00BF22EA" w:rsidRPr="00797162">
        <w:rPr>
          <w:noProof/>
        </w:rPr>
        <w:t>erimeetmed ja toetusmeetmed, mille liidupoolne rahastamine ei ületa 10</w:t>
      </w:r>
      <w:r w:rsidR="00406E62" w:rsidRPr="00797162">
        <w:rPr>
          <w:noProof/>
        </w:rPr>
        <w:t> </w:t>
      </w:r>
      <w:r w:rsidR="00BF22EA" w:rsidRPr="00797162">
        <w:rPr>
          <w:noProof/>
        </w:rPr>
        <w:t xml:space="preserve">miljonit eurot; </w:t>
      </w:r>
    </w:p>
    <w:p w14:paraId="3C0DB2D9" w14:textId="69B8E62A" w:rsidR="00BF22EA" w:rsidRPr="00797162" w:rsidRDefault="00822AC9" w:rsidP="00822AC9">
      <w:pPr>
        <w:pStyle w:val="Point1"/>
        <w:rPr>
          <w:noProof/>
        </w:rPr>
      </w:pPr>
      <w:r w:rsidRPr="00822AC9">
        <w:rPr>
          <w:noProof/>
        </w:rPr>
        <w:t>(b)</w:t>
      </w:r>
      <w:r w:rsidRPr="00822AC9">
        <w:rPr>
          <w:noProof/>
        </w:rPr>
        <w:tab/>
      </w:r>
      <w:r w:rsidR="00BF22EA" w:rsidRPr="00797162">
        <w:rPr>
          <w:noProof/>
        </w:rPr>
        <w:t>tehnilised muudatused, eeldusel et need ei mõjuta märkimisväärselt asjaomase tegevuskava või meetme eesmärke, sh näiteks järgmised muudatused:</w:t>
      </w:r>
    </w:p>
    <w:p w14:paraId="74930AB1" w14:textId="77777777" w:rsidR="00BF22EA" w:rsidRPr="00797162" w:rsidRDefault="00BF22EA" w:rsidP="00BF22EA">
      <w:pPr>
        <w:pStyle w:val="Point2"/>
        <w:rPr>
          <w:noProof/>
        </w:rPr>
      </w:pPr>
      <w:r w:rsidRPr="00797162">
        <w:rPr>
          <w:noProof/>
        </w:rPr>
        <w:t>i)</w:t>
      </w:r>
      <w:r w:rsidRPr="00797162">
        <w:rPr>
          <w:noProof/>
        </w:rPr>
        <w:tab/>
        <w:t>rakendusmeetodi muutmine;</w:t>
      </w:r>
    </w:p>
    <w:p w14:paraId="480E1CAA" w14:textId="77777777" w:rsidR="00BF22EA" w:rsidRPr="00797162" w:rsidRDefault="00BF22EA" w:rsidP="00BF22EA">
      <w:pPr>
        <w:pStyle w:val="Point2"/>
        <w:rPr>
          <w:noProof/>
        </w:rPr>
      </w:pPr>
      <w:r w:rsidRPr="00797162">
        <w:rPr>
          <w:noProof/>
        </w:rPr>
        <w:t>ii)</w:t>
      </w:r>
      <w:r w:rsidRPr="00797162">
        <w:rPr>
          <w:noProof/>
        </w:rPr>
        <w:tab/>
        <w:t>vahendite ümberjaotamine tegevuskavas sisalduvate meetmete vahel;</w:t>
      </w:r>
    </w:p>
    <w:p w14:paraId="606E830B" w14:textId="77777777" w:rsidR="00BF22EA" w:rsidRPr="00797162" w:rsidRDefault="00BF22EA" w:rsidP="00BF22EA">
      <w:pPr>
        <w:pStyle w:val="Point2"/>
        <w:rPr>
          <w:noProof/>
        </w:rPr>
      </w:pPr>
      <w:r w:rsidRPr="00797162">
        <w:rPr>
          <w:noProof/>
        </w:rPr>
        <w:t>iii)</w:t>
      </w:r>
      <w:r w:rsidRPr="00797162">
        <w:rPr>
          <w:noProof/>
        </w:rPr>
        <w:tab/>
        <w:t>tegevuskavade ja meetmete eelarve suurendamine kuni 20 % võrra sellest eelarvest.</w:t>
      </w:r>
    </w:p>
    <w:p w14:paraId="0AA61C4F" w14:textId="77777777" w:rsidR="00BF22EA" w:rsidRPr="00797162" w:rsidRDefault="00BF22EA" w:rsidP="00C01FA9">
      <w:pPr>
        <w:pStyle w:val="Text1"/>
        <w:rPr>
          <w:noProof/>
        </w:rPr>
      </w:pPr>
      <w:r w:rsidRPr="00797162">
        <w:rPr>
          <w:noProof/>
        </w:rPr>
        <w:t>Kui käesoleva lõike alusel võetakse erimeetmeid ja toetusmeetmeid või tehakse tehnilisi muudatusi, teavitatakse sellest artikli 17 lõikes 1 osutatud komitee kaudu liikmesriike ühe kuu jooksul alates meetmete vastuvõtmisest. Nendest teatatakse ka Euroopa Parlamendile.</w:t>
      </w:r>
    </w:p>
    <w:p w14:paraId="2198B7FA" w14:textId="4F82D882" w:rsidR="00BF22EA" w:rsidRPr="00797162" w:rsidRDefault="00822AC9" w:rsidP="00822AC9">
      <w:pPr>
        <w:pStyle w:val="ManualNumPar1"/>
        <w:rPr>
          <w:noProof/>
        </w:rPr>
      </w:pPr>
      <w:r w:rsidRPr="00822AC9">
        <w:rPr>
          <w:noProof/>
        </w:rPr>
        <w:t>4.</w:t>
      </w:r>
      <w:r w:rsidRPr="00822AC9">
        <w:rPr>
          <w:noProof/>
        </w:rPr>
        <w:tab/>
      </w:r>
      <w:r w:rsidR="00BF22EA" w:rsidRPr="00797162">
        <w:rPr>
          <w:noProof/>
        </w:rPr>
        <w:t>Nõuetekohaselt põhjendatud kiireloomulistel juhtudel, kui on vajalik ühenduse kiire reageerimine, võtab komisjon vastu käesoleva artikli lõikes 1 osutatud tegevuskavad või meetmed või muudab neid, kasutades selleks viivitamata kohaldatavaid rakendusakte, kooskõlas artikli 17 lõikes 4 osutatud menetlusega.</w:t>
      </w:r>
    </w:p>
    <w:p w14:paraId="7AD6AAEA" w14:textId="77777777" w:rsidR="00BF22EA" w:rsidRPr="00797162" w:rsidRDefault="00BF22EA" w:rsidP="00BF22EA">
      <w:pPr>
        <w:pStyle w:val="Titrearticle"/>
        <w:rPr>
          <w:noProof/>
        </w:rPr>
      </w:pPr>
      <w:r w:rsidRPr="00797162">
        <w:rPr>
          <w:noProof/>
        </w:rPr>
        <w:t>Artikkel 12</w:t>
      </w:r>
    </w:p>
    <w:p w14:paraId="1867BC96" w14:textId="77777777" w:rsidR="00BF22EA" w:rsidRPr="00797162" w:rsidRDefault="00BF22EA" w:rsidP="00BF22EA">
      <w:pPr>
        <w:pStyle w:val="Titrearticle"/>
        <w:rPr>
          <w:b/>
          <w:bCs/>
          <w:noProof/>
        </w:rPr>
      </w:pPr>
      <w:r w:rsidRPr="00797162">
        <w:rPr>
          <w:b/>
          <w:noProof/>
        </w:rPr>
        <w:t>Rahvusvahelise koostöö kriteeriumid</w:t>
      </w:r>
    </w:p>
    <w:p w14:paraId="5EBA776B" w14:textId="53CF3721" w:rsidR="00BF22EA" w:rsidRPr="00797162" w:rsidRDefault="00822AC9" w:rsidP="00822AC9">
      <w:pPr>
        <w:pStyle w:val="ManualNumPar1"/>
        <w:rPr>
          <w:noProof/>
        </w:rPr>
      </w:pPr>
      <w:r w:rsidRPr="00822AC9">
        <w:rPr>
          <w:noProof/>
        </w:rPr>
        <w:t>1.</w:t>
      </w:r>
      <w:r w:rsidRPr="00822AC9">
        <w:rPr>
          <w:noProof/>
        </w:rPr>
        <w:tab/>
      </w:r>
      <w:r w:rsidR="00BF22EA" w:rsidRPr="00797162">
        <w:rPr>
          <w:noProof/>
        </w:rPr>
        <w:t>Instrumendi väliskomponendist võib rahastada meetmeid partnerriikides käesolevas artiklis sätestatud kriteeriumide alusel.</w:t>
      </w:r>
    </w:p>
    <w:p w14:paraId="3284352A" w14:textId="7C1BDBE1" w:rsidR="00BF22EA" w:rsidRPr="00797162" w:rsidRDefault="00822AC9" w:rsidP="00822AC9">
      <w:pPr>
        <w:pStyle w:val="ManualNumPar1"/>
        <w:rPr>
          <w:noProof/>
        </w:rPr>
      </w:pPr>
      <w:r w:rsidRPr="00822AC9">
        <w:rPr>
          <w:noProof/>
        </w:rPr>
        <w:t>2.</w:t>
      </w:r>
      <w:r w:rsidRPr="00822AC9">
        <w:rPr>
          <w:noProof/>
        </w:rPr>
        <w:tab/>
      </w:r>
      <w:r w:rsidR="00BF22EA" w:rsidRPr="00797162">
        <w:rPr>
          <w:noProof/>
        </w:rPr>
        <w:t>Koostöö aluseks on partnerriigi ja ühenduse ühine arusaam või vastastikune kokkulepe.</w:t>
      </w:r>
    </w:p>
    <w:p w14:paraId="14F85850" w14:textId="3215744F" w:rsidR="00BF22EA" w:rsidRPr="00797162" w:rsidRDefault="00822AC9" w:rsidP="00822AC9">
      <w:pPr>
        <w:pStyle w:val="ManualNumPar1"/>
        <w:rPr>
          <w:noProof/>
        </w:rPr>
      </w:pPr>
      <w:r w:rsidRPr="00822AC9">
        <w:rPr>
          <w:noProof/>
        </w:rPr>
        <w:t>3.</w:t>
      </w:r>
      <w:r w:rsidRPr="00822AC9">
        <w:rPr>
          <w:noProof/>
        </w:rPr>
        <w:tab/>
      </w:r>
      <w:r w:rsidR="00BF22EA" w:rsidRPr="00797162">
        <w:rPr>
          <w:noProof/>
        </w:rPr>
        <w:t xml:space="preserve">Partnerriigid, kes soovivad teha ühendusega koostööd tuumaenergiaalaste kaitsemeetmete valdkonnas, on tuumarelvade leviku tõkestamise lepingu osalised ja on sõlminud IAEAga üldiste kaitsemeetmete lepingu või kehtestanud IAEAga lisaprotokolli. </w:t>
      </w:r>
    </w:p>
    <w:p w14:paraId="1660B68D" w14:textId="6FCD4D25" w:rsidR="00BF22EA" w:rsidRPr="00797162" w:rsidRDefault="00822AC9" w:rsidP="00822AC9">
      <w:pPr>
        <w:pStyle w:val="ManualNumPar1"/>
        <w:rPr>
          <w:noProof/>
        </w:rPr>
      </w:pPr>
      <w:r w:rsidRPr="00822AC9">
        <w:rPr>
          <w:noProof/>
        </w:rPr>
        <w:t>4.</w:t>
      </w:r>
      <w:r w:rsidRPr="00822AC9">
        <w:rPr>
          <w:noProof/>
        </w:rPr>
        <w:tab/>
      </w:r>
      <w:r w:rsidR="00BF22EA" w:rsidRPr="00797162">
        <w:rPr>
          <w:noProof/>
        </w:rPr>
        <w:t>Partnerriigid, kes soovivad teha ühendusega koostööd tuumaohutuse valdkonnas, peavad olema tuumaohutuse konventsiooni ning kasutatud tuumkütuse käitlemise ohutust ja radioaktiivsete jäätmete käitlemise ohutust käsitleva ühiskonventsiooni või muude asjaomaste konventsioonide aktiivsed osalised või olema astunud samme, mis demonstreerivad nende kindlat kavatsust liituda nimetatud konventsioonidega.</w:t>
      </w:r>
    </w:p>
    <w:p w14:paraId="17480FA0" w14:textId="3C4CF7DA" w:rsidR="00BF22EA" w:rsidRPr="00797162" w:rsidRDefault="00822AC9" w:rsidP="00822AC9">
      <w:pPr>
        <w:pStyle w:val="ManualNumPar1"/>
        <w:rPr>
          <w:noProof/>
        </w:rPr>
      </w:pPr>
      <w:r w:rsidRPr="00822AC9">
        <w:rPr>
          <w:noProof/>
        </w:rPr>
        <w:t>5.</w:t>
      </w:r>
      <w:r w:rsidRPr="00822AC9">
        <w:rPr>
          <w:noProof/>
        </w:rPr>
        <w:tab/>
      </w:r>
      <w:r w:rsidR="00BF22EA" w:rsidRPr="00797162">
        <w:rPr>
          <w:noProof/>
        </w:rPr>
        <w:t>Partnerriikidel, kes soovivad teha ühendusega koostööd hädaolukorraks valmisoleku ja sellele reageerimise, kiirguskaitse või radioaktiivsete jäätmete käitlemise valdkonnas ning kes ei vasta</w:t>
      </w:r>
      <w:r w:rsidR="004F411B" w:rsidRPr="00797162">
        <w:rPr>
          <w:noProof/>
        </w:rPr>
        <w:t xml:space="preserve"> lõigetes 3 või 4 sätestatud</w:t>
      </w:r>
      <w:r w:rsidR="00BF22EA" w:rsidRPr="00797162">
        <w:rPr>
          <w:noProof/>
        </w:rPr>
        <w:t xml:space="preserve"> kriteeriumidele, ei tohi nende territooriumil olla tuumarajatisi.</w:t>
      </w:r>
    </w:p>
    <w:p w14:paraId="428C1CC8" w14:textId="086F98FE" w:rsidR="00BF22EA" w:rsidRPr="00797162" w:rsidRDefault="00822AC9" w:rsidP="00822AC9">
      <w:pPr>
        <w:pStyle w:val="ManualNumPar1"/>
        <w:rPr>
          <w:noProof/>
          <w:szCs w:val="24"/>
        </w:rPr>
      </w:pPr>
      <w:r w:rsidRPr="00822AC9">
        <w:rPr>
          <w:noProof/>
        </w:rPr>
        <w:t>6.</w:t>
      </w:r>
      <w:r w:rsidRPr="00822AC9">
        <w:rPr>
          <w:noProof/>
        </w:rPr>
        <w:tab/>
      </w:r>
      <w:r w:rsidR="00BF22EA" w:rsidRPr="00797162">
        <w:rPr>
          <w:noProof/>
        </w:rPr>
        <w:t>Koostöö partnerriikidega, kes ei vasta artikli 12 lõigetes 3–5 sätestatud kriteeriumidele, on erandlikku laadi, leiab aset asjaomase partnerriigi otsese taotluse korral ning piirdub nende taotletud toetusega tuumaavarii või kiirgusliku avariiolukorra korral, nagu on osutatud tuumaavariist operatiivse teatamise konventsioonis ja tuumaavarii või kiirgusliku avariiolukorra puhul abi andmise konventsioonis.</w:t>
      </w:r>
    </w:p>
    <w:p w14:paraId="1438EC37" w14:textId="721771A4" w:rsidR="00BF22EA" w:rsidRPr="00797162" w:rsidRDefault="00822AC9" w:rsidP="00822AC9">
      <w:pPr>
        <w:pStyle w:val="ManualNumPar1"/>
        <w:rPr>
          <w:noProof/>
        </w:rPr>
      </w:pPr>
      <w:r w:rsidRPr="00822AC9">
        <w:rPr>
          <w:noProof/>
        </w:rPr>
        <w:t>7.</w:t>
      </w:r>
      <w:r w:rsidRPr="00822AC9">
        <w:rPr>
          <w:noProof/>
        </w:rPr>
        <w:tab/>
      </w:r>
      <w:r w:rsidR="00BF22EA" w:rsidRPr="00797162">
        <w:rPr>
          <w:noProof/>
        </w:rPr>
        <w:t xml:space="preserve">Koostöö kandidaatriikide või potentsiaalsete kandidaatriikidega, kes ei vasta oma riigi staatuse tõttu artikli 12 lõigetes 3–6 sätestatud kriteeriumidele, on erandlik. </w:t>
      </w:r>
    </w:p>
    <w:p w14:paraId="66CABF5D" w14:textId="434D9F5B" w:rsidR="00BF22EA" w:rsidRPr="00797162" w:rsidRDefault="00822AC9" w:rsidP="00822AC9">
      <w:pPr>
        <w:pStyle w:val="ManualNumPar1"/>
        <w:rPr>
          <w:noProof/>
        </w:rPr>
      </w:pPr>
      <w:r w:rsidRPr="00822AC9">
        <w:rPr>
          <w:noProof/>
        </w:rPr>
        <w:t>8.</w:t>
      </w:r>
      <w:r w:rsidRPr="00822AC9">
        <w:rPr>
          <w:noProof/>
        </w:rPr>
        <w:tab/>
      </w:r>
      <w:r w:rsidR="00BF22EA" w:rsidRPr="00797162">
        <w:rPr>
          <w:noProof/>
        </w:rPr>
        <w:t>Instrumendi koostööeesmärkide täitmise ja selle üle seire tagamiseks peab asjaomane partnerriik nõustuma võetud meetmete hindamisega. Hindamine peab võimaldama jälgida eesmärkide järgimist ja kontrollida nende täitmist ning see on ühenduse rahalise toetuse jätkuva maksmise eeltingimus.</w:t>
      </w:r>
      <w:bookmarkStart w:id="16" w:name="_Hlk194570315"/>
      <w:bookmarkStart w:id="17" w:name="_Hlk196913517"/>
    </w:p>
    <w:p w14:paraId="0B1C3445" w14:textId="77777777" w:rsidR="00BF22EA" w:rsidRPr="00797162" w:rsidRDefault="00BF22EA" w:rsidP="00BF22EA">
      <w:pPr>
        <w:pStyle w:val="Titrearticle"/>
        <w:rPr>
          <w:noProof/>
        </w:rPr>
      </w:pPr>
      <w:r w:rsidRPr="00797162">
        <w:rPr>
          <w:noProof/>
        </w:rPr>
        <w:t>Artikkel 13</w:t>
      </w:r>
    </w:p>
    <w:p w14:paraId="540DFA9B" w14:textId="77777777" w:rsidR="00BF22EA" w:rsidRPr="00797162" w:rsidRDefault="00BF22EA" w:rsidP="00BF22EA">
      <w:pPr>
        <w:pStyle w:val="Titrearticle"/>
        <w:rPr>
          <w:b/>
          <w:noProof/>
        </w:rPr>
      </w:pPr>
      <w:r w:rsidRPr="00797162">
        <w:rPr>
          <w:b/>
          <w:noProof/>
        </w:rPr>
        <w:t>EUROOPA VÄLISTEENISTUS</w:t>
      </w:r>
    </w:p>
    <w:bookmarkEnd w:id="16"/>
    <w:bookmarkEnd w:id="17"/>
    <w:p w14:paraId="3753E759" w14:textId="77777777" w:rsidR="00BF22EA" w:rsidRPr="00797162" w:rsidRDefault="00BF22EA" w:rsidP="00BF22EA">
      <w:pPr>
        <w:spacing w:line="276" w:lineRule="auto"/>
        <w:rPr>
          <w:noProof/>
        </w:rPr>
      </w:pPr>
      <w:r w:rsidRPr="00797162">
        <w:rPr>
          <w:noProof/>
        </w:rPr>
        <w:t>Instrumendi väliskomponendi rakendamisel võetakse arvesse Euroopa välisteenistuse rolli, mis on sätestatud nõukogu otsuses 2010/427/EL, eelkõige selle artiklites 3 ja 9.</w:t>
      </w:r>
    </w:p>
    <w:p w14:paraId="28DF0F69" w14:textId="77777777" w:rsidR="00BF22EA" w:rsidRPr="00797162" w:rsidRDefault="00BF22EA" w:rsidP="00BF22EA">
      <w:pPr>
        <w:spacing w:line="276" w:lineRule="auto"/>
        <w:rPr>
          <w:noProof/>
        </w:rPr>
      </w:pPr>
    </w:p>
    <w:p w14:paraId="105EECF7" w14:textId="77777777" w:rsidR="00BF22EA" w:rsidRPr="00797162" w:rsidRDefault="00BF22EA" w:rsidP="00BF22EA">
      <w:pPr>
        <w:pStyle w:val="SectionTitle"/>
        <w:rPr>
          <w:noProof/>
        </w:rPr>
      </w:pPr>
      <w:r w:rsidRPr="00797162">
        <w:rPr>
          <w:noProof/>
        </w:rPr>
        <w:t>2. jaotis. Instrumendi sisekomponendi rakendamise erisätted</w:t>
      </w:r>
    </w:p>
    <w:p w14:paraId="24B56D97" w14:textId="77777777" w:rsidR="00BF22EA" w:rsidRPr="00797162" w:rsidRDefault="00BF22EA" w:rsidP="00BF22EA">
      <w:pPr>
        <w:pStyle w:val="Text1"/>
        <w:jc w:val="center"/>
        <w:rPr>
          <w:i/>
          <w:noProof/>
        </w:rPr>
      </w:pPr>
      <w:r w:rsidRPr="00797162">
        <w:rPr>
          <w:i/>
          <w:noProof/>
        </w:rPr>
        <w:t>Artikkel 14</w:t>
      </w:r>
    </w:p>
    <w:p w14:paraId="5F39F3A0" w14:textId="77777777" w:rsidR="00BF22EA" w:rsidRPr="00797162" w:rsidRDefault="00BF22EA" w:rsidP="00BF22EA">
      <w:pPr>
        <w:pStyle w:val="Text1"/>
        <w:jc w:val="center"/>
        <w:rPr>
          <w:i/>
          <w:noProof/>
        </w:rPr>
      </w:pPr>
      <w:r w:rsidRPr="00797162">
        <w:rPr>
          <w:b/>
          <w:i/>
          <w:noProof/>
        </w:rPr>
        <w:t>Tööprogrammid</w:t>
      </w:r>
    </w:p>
    <w:p w14:paraId="4D441CB0" w14:textId="353EBFB7" w:rsidR="00BF22EA" w:rsidRPr="00797162" w:rsidRDefault="00822AC9" w:rsidP="00822AC9">
      <w:pPr>
        <w:pStyle w:val="ManualNumPar1"/>
        <w:rPr>
          <w:noProof/>
        </w:rPr>
      </w:pPr>
      <w:r w:rsidRPr="00822AC9">
        <w:rPr>
          <w:noProof/>
        </w:rPr>
        <w:t>1.</w:t>
      </w:r>
      <w:r w:rsidRPr="00822AC9">
        <w:rPr>
          <w:noProof/>
        </w:rPr>
        <w:tab/>
      </w:r>
      <w:r w:rsidR="00BF22EA" w:rsidRPr="00797162">
        <w:rPr>
          <w:noProof/>
        </w:rPr>
        <w:t xml:space="preserve">Instrumendi sisekomponenti rakendatakse määruse (EL, Euratom) 2024/2509 artiklis 110 osutatud tööprogrammide kaudu. </w:t>
      </w:r>
    </w:p>
    <w:p w14:paraId="490D646D" w14:textId="77777777" w:rsidR="00BF22EA" w:rsidRPr="00797162" w:rsidRDefault="00BF22EA" w:rsidP="009B2A09">
      <w:pPr>
        <w:pStyle w:val="Text1"/>
        <w:rPr>
          <w:noProof/>
        </w:rPr>
      </w:pPr>
      <w:r w:rsidRPr="00797162">
        <w:rPr>
          <w:noProof/>
        </w:rPr>
        <w:t>Instrumendi sisekomponendi tööprogramm:</w:t>
      </w:r>
    </w:p>
    <w:p w14:paraId="21D2974B" w14:textId="0324C8FA" w:rsidR="00BF22EA" w:rsidRPr="00797162" w:rsidRDefault="00822AC9" w:rsidP="00822AC9">
      <w:pPr>
        <w:pStyle w:val="Point1"/>
        <w:rPr>
          <w:noProof/>
        </w:rPr>
      </w:pPr>
      <w:r w:rsidRPr="00822AC9">
        <w:rPr>
          <w:noProof/>
        </w:rPr>
        <w:t>(a)</w:t>
      </w:r>
      <w:r w:rsidRPr="00822AC9">
        <w:rPr>
          <w:noProof/>
        </w:rPr>
        <w:tab/>
      </w:r>
      <w:r w:rsidR="00BF22EA" w:rsidRPr="00797162">
        <w:rPr>
          <w:noProof/>
        </w:rPr>
        <w:t xml:space="preserve">annab ülevaate mitmeaastase tööprogrammiga hõlmatud ajavahemikuks kavandatud tegevustest; </w:t>
      </w:r>
    </w:p>
    <w:p w14:paraId="2702EF17" w14:textId="637463C8" w:rsidR="00BF22EA" w:rsidRPr="00797162" w:rsidRDefault="00822AC9" w:rsidP="00822AC9">
      <w:pPr>
        <w:pStyle w:val="Point1"/>
        <w:rPr>
          <w:noProof/>
        </w:rPr>
      </w:pPr>
      <w:r w:rsidRPr="00822AC9">
        <w:rPr>
          <w:noProof/>
        </w:rPr>
        <w:t>(b)</w:t>
      </w:r>
      <w:r w:rsidRPr="00822AC9">
        <w:rPr>
          <w:noProof/>
        </w:rPr>
        <w:tab/>
      </w:r>
      <w:r w:rsidR="00BF22EA" w:rsidRPr="00797162">
        <w:rPr>
          <w:noProof/>
        </w:rPr>
        <w:t>moodustab üldise aluse käesoleva määrusega hõlmatud tegevuste rakendamiseks ning põhineb kõrgeimatel tuumaohutusstandarditel ja ühenduse tuumaalaste kohustuste täitmise parimatel tavadel.</w:t>
      </w:r>
    </w:p>
    <w:p w14:paraId="369B0CD7" w14:textId="77777777" w:rsidR="00BF22EA" w:rsidRPr="00797162" w:rsidRDefault="00BF22EA" w:rsidP="00BF22EA">
      <w:pPr>
        <w:pStyle w:val="Titrearticle"/>
        <w:rPr>
          <w:noProof/>
        </w:rPr>
      </w:pPr>
      <w:bookmarkStart w:id="18" w:name="_Hlk194570327"/>
      <w:r w:rsidRPr="00797162">
        <w:rPr>
          <w:noProof/>
        </w:rPr>
        <w:t>Artikkel 15</w:t>
      </w:r>
    </w:p>
    <w:p w14:paraId="75485285" w14:textId="77777777" w:rsidR="00BF22EA" w:rsidRPr="00797162" w:rsidRDefault="00BF22EA" w:rsidP="00BF22EA">
      <w:pPr>
        <w:pStyle w:val="Titrearticle"/>
        <w:rPr>
          <w:b/>
          <w:bCs/>
          <w:noProof/>
        </w:rPr>
      </w:pPr>
      <w:r w:rsidRPr="00797162">
        <w:rPr>
          <w:b/>
          <w:noProof/>
        </w:rPr>
        <w:t>Liidu rahastamise rakendamine ja vormid ning rahastamiskõlblikkuse kriteeriumid instrumendi sisekomponendi rakendamiseks</w:t>
      </w:r>
    </w:p>
    <w:bookmarkEnd w:id="18"/>
    <w:p w14:paraId="72929DEB" w14:textId="77777777" w:rsidR="00BF22EA" w:rsidRPr="00797162" w:rsidRDefault="00BF22EA" w:rsidP="00BF22EA">
      <w:pPr>
        <w:rPr>
          <w:noProof/>
        </w:rPr>
      </w:pPr>
      <w:r w:rsidRPr="00797162">
        <w:rPr>
          <w:noProof/>
        </w:rPr>
        <w:t>Kui käesolevas määruses ei ole sätestatud teisiti, rakendatakse instrumendi sisekomponendi liidupoolset rahastamist kooskõlas käesoleva määrusega ja määrusega (EL, Euratom) 2024/2509.</w:t>
      </w:r>
    </w:p>
    <w:p w14:paraId="7DC125E5" w14:textId="77777777" w:rsidR="00BF22EA" w:rsidRPr="00797162" w:rsidRDefault="00BF22EA" w:rsidP="00BF22EA">
      <w:pPr>
        <w:rPr>
          <w:noProof/>
        </w:rPr>
      </w:pPr>
      <w:r w:rsidRPr="00797162">
        <w:rPr>
          <w:noProof/>
        </w:rPr>
        <w:t>Instrumendi sisekomponendi raames on liidu rahastamiseks kõlblikud ainult järgmised tegevused:</w:t>
      </w:r>
    </w:p>
    <w:p w14:paraId="75D7C730" w14:textId="0FB30FDE" w:rsidR="00BF22EA" w:rsidRPr="00797162" w:rsidRDefault="00822AC9" w:rsidP="00822AC9">
      <w:pPr>
        <w:pStyle w:val="Point0"/>
        <w:rPr>
          <w:noProof/>
        </w:rPr>
      </w:pPr>
      <w:r w:rsidRPr="00822AC9">
        <w:rPr>
          <w:noProof/>
        </w:rPr>
        <w:t>(a)</w:t>
      </w:r>
      <w:r w:rsidRPr="00822AC9">
        <w:rPr>
          <w:noProof/>
        </w:rPr>
        <w:tab/>
      </w:r>
      <w:r w:rsidR="00BF22EA" w:rsidRPr="00797162">
        <w:rPr>
          <w:noProof/>
        </w:rPr>
        <w:t>suletud tuumarajatiste ohutu konserveerimine ja käitamine;</w:t>
      </w:r>
    </w:p>
    <w:p w14:paraId="72016629" w14:textId="0FC83C04" w:rsidR="00BF22EA" w:rsidRPr="00797162" w:rsidRDefault="00822AC9" w:rsidP="00822AC9">
      <w:pPr>
        <w:pStyle w:val="Point0"/>
        <w:rPr>
          <w:noProof/>
        </w:rPr>
      </w:pPr>
      <w:r w:rsidRPr="00822AC9">
        <w:rPr>
          <w:noProof/>
        </w:rPr>
        <w:t>(b)</w:t>
      </w:r>
      <w:r w:rsidRPr="00822AC9">
        <w:rPr>
          <w:noProof/>
        </w:rPr>
        <w:tab/>
      </w:r>
      <w:r w:rsidR="00BF22EA" w:rsidRPr="00797162">
        <w:rPr>
          <w:noProof/>
        </w:rPr>
        <w:t>vananenud või mittekasutuses olevate tuumarajatiste või mõlema demonteerimine;</w:t>
      </w:r>
    </w:p>
    <w:p w14:paraId="3AB91820" w14:textId="61C9A4E8" w:rsidR="00BF22EA" w:rsidRPr="00797162" w:rsidRDefault="00822AC9" w:rsidP="00822AC9">
      <w:pPr>
        <w:pStyle w:val="Point0"/>
        <w:rPr>
          <w:noProof/>
        </w:rPr>
      </w:pPr>
      <w:r w:rsidRPr="00822AC9">
        <w:rPr>
          <w:noProof/>
        </w:rPr>
        <w:t>(c)</w:t>
      </w:r>
      <w:r w:rsidRPr="00822AC9">
        <w:rPr>
          <w:noProof/>
        </w:rPr>
        <w:tab/>
      </w:r>
      <w:r w:rsidR="00BF22EA" w:rsidRPr="00797162">
        <w:rPr>
          <w:noProof/>
        </w:rPr>
        <w:t>radioaktiivsete jäätmete ja kasutatud tuumkütuse ohutu käitlemine, sealhulgas kogumine, kirjeldamine, töötlemine, transport ja ladustamine;</w:t>
      </w:r>
    </w:p>
    <w:p w14:paraId="69DF4662" w14:textId="4568D53F" w:rsidR="00BF22EA" w:rsidRPr="00797162" w:rsidRDefault="00822AC9" w:rsidP="00822AC9">
      <w:pPr>
        <w:pStyle w:val="Point0"/>
        <w:rPr>
          <w:noProof/>
        </w:rPr>
      </w:pPr>
      <w:r w:rsidRPr="00822AC9">
        <w:rPr>
          <w:noProof/>
        </w:rPr>
        <w:t>(d)</w:t>
      </w:r>
      <w:r w:rsidRPr="00822AC9">
        <w:rPr>
          <w:noProof/>
        </w:rPr>
        <w:tab/>
      </w:r>
      <w:r w:rsidR="00BF22EA" w:rsidRPr="00797162">
        <w:rPr>
          <w:noProof/>
        </w:rPr>
        <w:t>tuumamaterjali varude vähendamine Teadusuuringute Ühiskeskuse tegevuskohtades;</w:t>
      </w:r>
    </w:p>
    <w:p w14:paraId="359C17BC" w14:textId="196B5356" w:rsidR="00BF22EA" w:rsidRPr="00797162" w:rsidRDefault="00822AC9" w:rsidP="00822AC9">
      <w:pPr>
        <w:pStyle w:val="Point0"/>
        <w:rPr>
          <w:noProof/>
        </w:rPr>
      </w:pPr>
      <w:r w:rsidRPr="00822AC9">
        <w:rPr>
          <w:noProof/>
        </w:rPr>
        <w:t>(e)</w:t>
      </w:r>
      <w:r w:rsidRPr="00822AC9">
        <w:rPr>
          <w:noProof/>
        </w:rPr>
        <w:tab/>
      </w:r>
      <w:r w:rsidR="00BF22EA" w:rsidRPr="00797162">
        <w:rPr>
          <w:noProof/>
        </w:rPr>
        <w:t>radioaktiivsete jäätmete käitluskohtade arendamine ja ehitamine;</w:t>
      </w:r>
    </w:p>
    <w:p w14:paraId="404763FC" w14:textId="3B572676" w:rsidR="00BF22EA" w:rsidRPr="00797162" w:rsidRDefault="00822AC9" w:rsidP="00822AC9">
      <w:pPr>
        <w:pStyle w:val="Point0"/>
        <w:rPr>
          <w:noProof/>
        </w:rPr>
      </w:pPr>
      <w:r w:rsidRPr="00822AC9">
        <w:rPr>
          <w:noProof/>
        </w:rPr>
        <w:t>(f)</w:t>
      </w:r>
      <w:r w:rsidRPr="00822AC9">
        <w:rPr>
          <w:noProof/>
        </w:rPr>
        <w:tab/>
      </w:r>
      <w:r w:rsidR="00BF22EA" w:rsidRPr="00797162">
        <w:rPr>
          <w:noProof/>
        </w:rPr>
        <w:t>dekomissioneerimiskavade, tehniliste uuringute ja litsentsimistoimikute koostamine ja ajakohastamine;</w:t>
      </w:r>
    </w:p>
    <w:p w14:paraId="0DD3887A" w14:textId="3A7BD2EA" w:rsidR="00BF22EA" w:rsidRPr="00797162" w:rsidRDefault="00822AC9" w:rsidP="00822AC9">
      <w:pPr>
        <w:pStyle w:val="Point0"/>
        <w:rPr>
          <w:noProof/>
        </w:rPr>
      </w:pPr>
      <w:r w:rsidRPr="00822AC9">
        <w:rPr>
          <w:noProof/>
        </w:rPr>
        <w:t>(g)</w:t>
      </w:r>
      <w:r w:rsidRPr="00822AC9">
        <w:rPr>
          <w:noProof/>
        </w:rPr>
        <w:tab/>
      </w:r>
      <w:r w:rsidR="00BF22EA" w:rsidRPr="00797162">
        <w:rPr>
          <w:noProof/>
        </w:rPr>
        <w:t>välistoetus projektide kavandamisele, hindamisele ja juhtimisele;</w:t>
      </w:r>
    </w:p>
    <w:p w14:paraId="07276034" w14:textId="0E53A8B5" w:rsidR="00BF22EA" w:rsidRPr="00797162" w:rsidRDefault="00822AC9" w:rsidP="00822AC9">
      <w:pPr>
        <w:pStyle w:val="Point0"/>
        <w:rPr>
          <w:noProof/>
        </w:rPr>
      </w:pPr>
      <w:r w:rsidRPr="00822AC9">
        <w:rPr>
          <w:noProof/>
        </w:rPr>
        <w:t>(h)</w:t>
      </w:r>
      <w:r w:rsidRPr="00822AC9">
        <w:rPr>
          <w:noProof/>
        </w:rPr>
        <w:tab/>
      </w:r>
      <w:r w:rsidR="00BF22EA" w:rsidRPr="00797162">
        <w:rPr>
          <w:noProof/>
        </w:rPr>
        <w:t>operatiivabi, sealhulgas kiirguskaitse ning seadmete ja rajatiste hooldus;</w:t>
      </w:r>
    </w:p>
    <w:p w14:paraId="0CA260FE" w14:textId="2441E0A4" w:rsidR="00BF22EA" w:rsidRPr="00797162" w:rsidRDefault="00822AC9" w:rsidP="00822AC9">
      <w:pPr>
        <w:pStyle w:val="Point0"/>
        <w:rPr>
          <w:noProof/>
        </w:rPr>
      </w:pPr>
      <w:r w:rsidRPr="00822AC9">
        <w:rPr>
          <w:noProof/>
        </w:rPr>
        <w:t>(i)</w:t>
      </w:r>
      <w:r w:rsidRPr="00822AC9">
        <w:rPr>
          <w:noProof/>
        </w:rPr>
        <w:tab/>
      </w:r>
      <w:r w:rsidR="00BF22EA" w:rsidRPr="00797162">
        <w:rPr>
          <w:noProof/>
        </w:rPr>
        <w:t>läbirääkimiste pidamine asukohaliikmesriikidega komisjoni tuumavastutuse üleandmiseks;</w:t>
      </w:r>
    </w:p>
    <w:p w14:paraId="4C6FA94B" w14:textId="325FE786" w:rsidR="00BF22EA" w:rsidRPr="00797162" w:rsidRDefault="00822AC9" w:rsidP="00822AC9">
      <w:pPr>
        <w:pStyle w:val="Point0"/>
        <w:rPr>
          <w:noProof/>
        </w:rPr>
      </w:pPr>
      <w:r w:rsidRPr="00822AC9">
        <w:rPr>
          <w:noProof/>
        </w:rPr>
        <w:t>(j)</w:t>
      </w:r>
      <w:r w:rsidRPr="00822AC9">
        <w:rPr>
          <w:noProof/>
        </w:rPr>
        <w:tab/>
      </w:r>
      <w:r w:rsidR="00BF22EA" w:rsidRPr="00797162">
        <w:rPr>
          <w:noProof/>
        </w:rPr>
        <w:t>teabevahetus ja koostöö väliste sidusrühmadega;</w:t>
      </w:r>
    </w:p>
    <w:p w14:paraId="72BE84D9" w14:textId="4E8729EA" w:rsidR="00BF22EA" w:rsidRPr="00797162" w:rsidRDefault="00822AC9" w:rsidP="00822AC9">
      <w:pPr>
        <w:pStyle w:val="Point0"/>
        <w:rPr>
          <w:noProof/>
        </w:rPr>
      </w:pPr>
      <w:r w:rsidRPr="00822AC9">
        <w:rPr>
          <w:noProof/>
        </w:rPr>
        <w:t>(k)</w:t>
      </w:r>
      <w:r w:rsidRPr="00822AC9">
        <w:rPr>
          <w:noProof/>
        </w:rPr>
        <w:tab/>
      </w:r>
      <w:r w:rsidR="00BF22EA" w:rsidRPr="00797162">
        <w:rPr>
          <w:noProof/>
        </w:rPr>
        <w:t>tuumarajatiste dekomissioneerimise alaste teadmiste kogumine, loomine, hindamine ja levitamine, sealhulgas koolitustegevus;</w:t>
      </w:r>
    </w:p>
    <w:p w14:paraId="11FB7A89" w14:textId="458305ED" w:rsidR="00BF22EA" w:rsidRPr="00797162" w:rsidRDefault="00822AC9" w:rsidP="00822AC9">
      <w:pPr>
        <w:pStyle w:val="Point0"/>
        <w:rPr>
          <w:noProof/>
        </w:rPr>
      </w:pPr>
      <w:r w:rsidRPr="00822AC9">
        <w:rPr>
          <w:noProof/>
        </w:rPr>
        <w:t>(l)</w:t>
      </w:r>
      <w:r w:rsidRPr="00822AC9">
        <w:rPr>
          <w:noProof/>
        </w:rPr>
        <w:tab/>
      </w:r>
      <w:r w:rsidR="00BF22EA" w:rsidRPr="00797162">
        <w:rPr>
          <w:noProof/>
        </w:rPr>
        <w:t>mis tahes muu tegevus, millega toetatakse komisjoni tuumarajatiste dekomissioneerimist Teadusuuringute Ühiskeskuse tegevuskohtades ning tuumarajatiste dekomissioneerimist ja tuumajäätmete käitlemist, nagu on osutatud artiklis 2.</w:t>
      </w:r>
    </w:p>
    <w:p w14:paraId="77989D6D" w14:textId="77777777" w:rsidR="00BF22EA" w:rsidRPr="00797162" w:rsidRDefault="00BF22EA" w:rsidP="00EC6550">
      <w:pPr>
        <w:rPr>
          <w:noProof/>
        </w:rPr>
      </w:pPr>
    </w:p>
    <w:p w14:paraId="34DC5FA0" w14:textId="77777777" w:rsidR="00BF22EA" w:rsidRPr="00797162" w:rsidRDefault="00BF22EA" w:rsidP="00BF22EA">
      <w:pPr>
        <w:pStyle w:val="Titrearticle"/>
        <w:rPr>
          <w:noProof/>
        </w:rPr>
      </w:pPr>
      <w:r w:rsidRPr="00797162">
        <w:rPr>
          <w:noProof/>
        </w:rPr>
        <w:t>Artikkel 16</w:t>
      </w:r>
    </w:p>
    <w:p w14:paraId="054D4EE0" w14:textId="77777777" w:rsidR="00BF22EA" w:rsidRPr="00797162" w:rsidRDefault="00BF22EA" w:rsidP="00BF22EA">
      <w:pPr>
        <w:pStyle w:val="Titrearticle"/>
        <w:rPr>
          <w:b/>
          <w:noProof/>
        </w:rPr>
      </w:pPr>
      <w:r w:rsidRPr="00797162">
        <w:rPr>
          <w:b/>
          <w:noProof/>
        </w:rPr>
        <w:t xml:space="preserve">Teadmiste jagamine </w:t>
      </w:r>
    </w:p>
    <w:p w14:paraId="01D7A160" w14:textId="4D5EB643" w:rsidR="00BF22EA" w:rsidRPr="00797162" w:rsidRDefault="00822AC9" w:rsidP="00822AC9">
      <w:pPr>
        <w:pStyle w:val="ManualNumPar1"/>
        <w:rPr>
          <w:noProof/>
        </w:rPr>
      </w:pPr>
      <w:r w:rsidRPr="00822AC9">
        <w:rPr>
          <w:noProof/>
        </w:rPr>
        <w:t>1.</w:t>
      </w:r>
      <w:r w:rsidRPr="00822AC9">
        <w:rPr>
          <w:noProof/>
        </w:rPr>
        <w:tab/>
      </w:r>
      <w:r w:rsidR="00BF22EA" w:rsidRPr="00797162">
        <w:rPr>
          <w:noProof/>
        </w:rPr>
        <w:t>Teadusuuringute Ühiskeskuse tuumarajatiste dekomissioneerimise ja tuumajäätmete käitlemise programmi rakendamise käigus saadud teadmisi levitatakse ühenduse tasandil.</w:t>
      </w:r>
    </w:p>
    <w:p w14:paraId="4856839E" w14:textId="6999D3C9" w:rsidR="00BF22EA" w:rsidRPr="00797162" w:rsidRDefault="00822AC9" w:rsidP="00822AC9">
      <w:pPr>
        <w:pStyle w:val="ManualNumPar1"/>
        <w:rPr>
          <w:noProof/>
        </w:rPr>
      </w:pPr>
      <w:r w:rsidRPr="00822AC9">
        <w:rPr>
          <w:noProof/>
        </w:rPr>
        <w:t>2.</w:t>
      </w:r>
      <w:r w:rsidRPr="00822AC9">
        <w:rPr>
          <w:noProof/>
        </w:rPr>
        <w:tab/>
      </w:r>
      <w:r w:rsidR="00BF22EA" w:rsidRPr="00797162">
        <w:rPr>
          <w:noProof/>
        </w:rPr>
        <w:t>Lõikes 1 osutatud tegevuse elluviimiseks võetavaid meetmeid rahastatakse instrumendi raames. Teadmiste struktureerimist ja liikmesriikidele levitamist koordineerib Teadusuuringute Ühiskeskus.</w:t>
      </w:r>
    </w:p>
    <w:p w14:paraId="3A041087" w14:textId="0F3B1B7A" w:rsidR="00BF22EA" w:rsidRPr="00797162" w:rsidRDefault="00822AC9" w:rsidP="00822AC9">
      <w:pPr>
        <w:pStyle w:val="ManualNumPar1"/>
        <w:rPr>
          <w:noProof/>
        </w:rPr>
      </w:pPr>
      <w:r w:rsidRPr="00822AC9">
        <w:rPr>
          <w:noProof/>
        </w:rPr>
        <w:t>3.</w:t>
      </w:r>
      <w:r w:rsidRPr="00822AC9">
        <w:rPr>
          <w:noProof/>
        </w:rPr>
        <w:tab/>
      </w:r>
      <w:r w:rsidR="00BF22EA" w:rsidRPr="00797162">
        <w:rPr>
          <w:noProof/>
        </w:rPr>
        <w:t>Teadmiste levitamise protsessi käsitletakse ja see määratletakse artiklis 16 osutatud tööprogrammides.</w:t>
      </w:r>
    </w:p>
    <w:p w14:paraId="48FAEA80" w14:textId="77777777" w:rsidR="00BF22EA" w:rsidRPr="00797162" w:rsidRDefault="00BF22EA" w:rsidP="00EC6550">
      <w:pPr>
        <w:rPr>
          <w:noProof/>
        </w:rPr>
      </w:pPr>
    </w:p>
    <w:p w14:paraId="5D031A13" w14:textId="77777777" w:rsidR="00BF22EA" w:rsidRPr="00797162" w:rsidRDefault="00BF22EA" w:rsidP="00BF22EA">
      <w:pPr>
        <w:rPr>
          <w:noProof/>
        </w:rPr>
      </w:pPr>
    </w:p>
    <w:p w14:paraId="5B0C221E" w14:textId="77777777" w:rsidR="00BF22EA" w:rsidRPr="00797162" w:rsidRDefault="00BF22EA" w:rsidP="00BF22EA">
      <w:pPr>
        <w:pStyle w:val="ChapterTitle"/>
        <w:rPr>
          <w:noProof/>
        </w:rPr>
      </w:pPr>
      <w:r w:rsidRPr="00797162">
        <w:rPr>
          <w:noProof/>
        </w:rPr>
        <w:t xml:space="preserve">III PEATÜKK </w:t>
      </w:r>
    </w:p>
    <w:p w14:paraId="7B85C338" w14:textId="77777777" w:rsidR="00BF22EA" w:rsidRPr="00797162" w:rsidRDefault="00BF22EA" w:rsidP="00BF22EA">
      <w:pPr>
        <w:jc w:val="center"/>
        <w:rPr>
          <w:noProof/>
        </w:rPr>
      </w:pPr>
      <w:r w:rsidRPr="00797162">
        <w:rPr>
          <w:b/>
          <w:noProof/>
        </w:rPr>
        <w:t>RAKENDAMISVOLITUSED NING ÜLEMINEKU- JA LÕPPSÄTTED</w:t>
      </w:r>
    </w:p>
    <w:p w14:paraId="559F31E1" w14:textId="77777777" w:rsidR="00BF22EA" w:rsidRPr="00797162" w:rsidRDefault="00BF22EA" w:rsidP="00BF22EA">
      <w:pPr>
        <w:pStyle w:val="Titrearticle"/>
        <w:rPr>
          <w:noProof/>
        </w:rPr>
      </w:pPr>
      <w:bookmarkStart w:id="19" w:name="_Hlk194421832"/>
      <w:r w:rsidRPr="00797162">
        <w:rPr>
          <w:noProof/>
        </w:rPr>
        <w:t>Artikkel 17</w:t>
      </w:r>
    </w:p>
    <w:p w14:paraId="57496C5D" w14:textId="77777777" w:rsidR="00BF22EA" w:rsidRPr="00797162" w:rsidRDefault="00BF22EA" w:rsidP="00BF22EA">
      <w:pPr>
        <w:pStyle w:val="Titrearticle"/>
        <w:rPr>
          <w:b/>
          <w:noProof/>
        </w:rPr>
      </w:pPr>
      <w:r w:rsidRPr="00797162">
        <w:rPr>
          <w:b/>
          <w:noProof/>
        </w:rPr>
        <w:t xml:space="preserve">Komiteemenetlus </w:t>
      </w:r>
    </w:p>
    <w:p w14:paraId="36CF0DA4" w14:textId="48D42FD0" w:rsidR="00BF22EA" w:rsidRPr="00797162" w:rsidRDefault="00822AC9" w:rsidP="00822AC9">
      <w:pPr>
        <w:pStyle w:val="ManualNumPar1"/>
        <w:rPr>
          <w:noProof/>
        </w:rPr>
      </w:pPr>
      <w:r w:rsidRPr="00822AC9">
        <w:rPr>
          <w:noProof/>
        </w:rPr>
        <w:t>1.</w:t>
      </w:r>
      <w:r w:rsidRPr="00822AC9">
        <w:rPr>
          <w:noProof/>
        </w:rPr>
        <w:tab/>
      </w:r>
      <w:r w:rsidR="00BF22EA" w:rsidRPr="00797162">
        <w:rPr>
          <w:noProof/>
        </w:rPr>
        <w:t xml:space="preserve">Komisjoni abistab instrumendi väliskomponendi komitee. Nimetatud komitee on komitee määruse (EL) nr 182/2011 tähenduses. </w:t>
      </w:r>
    </w:p>
    <w:p w14:paraId="404B2EF6" w14:textId="4A696854" w:rsidR="00BF22EA" w:rsidRPr="00797162" w:rsidRDefault="00822AC9" w:rsidP="00822AC9">
      <w:pPr>
        <w:pStyle w:val="ManualNumPar1"/>
        <w:rPr>
          <w:noProof/>
        </w:rPr>
      </w:pPr>
      <w:r w:rsidRPr="00822AC9">
        <w:rPr>
          <w:noProof/>
        </w:rPr>
        <w:t>2.</w:t>
      </w:r>
      <w:r w:rsidRPr="00822AC9">
        <w:rPr>
          <w:noProof/>
        </w:rPr>
        <w:tab/>
      </w:r>
      <w:r w:rsidR="00BF22EA" w:rsidRPr="00797162">
        <w:rPr>
          <w:noProof/>
        </w:rPr>
        <w:t>Sõltuvalt teemast või valdkonnast tuleb komitee kokku eri koosseisudes.</w:t>
      </w:r>
    </w:p>
    <w:p w14:paraId="1F5559CD" w14:textId="4DA191F6" w:rsidR="00BF22EA" w:rsidRPr="00797162" w:rsidRDefault="00822AC9" w:rsidP="00822AC9">
      <w:pPr>
        <w:pStyle w:val="ManualNumPar1"/>
        <w:rPr>
          <w:noProof/>
        </w:rPr>
      </w:pPr>
      <w:r w:rsidRPr="00822AC9">
        <w:rPr>
          <w:noProof/>
        </w:rPr>
        <w:t>3.</w:t>
      </w:r>
      <w:r w:rsidRPr="00822AC9">
        <w:rPr>
          <w:noProof/>
        </w:rPr>
        <w:tab/>
      </w:r>
      <w:r w:rsidR="00BF22EA" w:rsidRPr="00797162">
        <w:rPr>
          <w:noProof/>
        </w:rPr>
        <w:t>Käesolevale lõikele viitamisel kohaldatakse määruse (EL) nr 182/2011 artiklit 5.</w:t>
      </w:r>
    </w:p>
    <w:p w14:paraId="2862DD6C" w14:textId="326451C4" w:rsidR="00BF22EA" w:rsidRPr="00797162" w:rsidRDefault="00822AC9" w:rsidP="00822AC9">
      <w:pPr>
        <w:pStyle w:val="ManualNumPar1"/>
        <w:rPr>
          <w:noProof/>
        </w:rPr>
      </w:pPr>
      <w:r w:rsidRPr="00822AC9">
        <w:rPr>
          <w:noProof/>
        </w:rPr>
        <w:t>4.</w:t>
      </w:r>
      <w:r w:rsidRPr="00822AC9">
        <w:rPr>
          <w:noProof/>
        </w:rPr>
        <w:tab/>
      </w:r>
      <w:r w:rsidR="00BF22EA" w:rsidRPr="00797162">
        <w:rPr>
          <w:noProof/>
        </w:rPr>
        <w:t>Käesolevale lõikele viitamisel kohaldatakse määruse (EL) nr 182/2011 artiklit 8 koostoimes artikliga 5.</w:t>
      </w:r>
    </w:p>
    <w:p w14:paraId="73D54ACD" w14:textId="7A29D885" w:rsidR="00BF22EA" w:rsidRPr="00797162" w:rsidRDefault="00822AC9" w:rsidP="00822AC9">
      <w:pPr>
        <w:pStyle w:val="ManualNumPar1"/>
        <w:rPr>
          <w:noProof/>
        </w:rPr>
      </w:pPr>
      <w:r w:rsidRPr="00822AC9">
        <w:rPr>
          <w:noProof/>
        </w:rPr>
        <w:t>5.</w:t>
      </w:r>
      <w:r w:rsidRPr="00822AC9">
        <w:rPr>
          <w:noProof/>
        </w:rPr>
        <w:tab/>
      </w:r>
      <w:r w:rsidR="00BF22EA" w:rsidRPr="00797162">
        <w:rPr>
          <w:noProof/>
        </w:rPr>
        <w:t xml:space="preserve">Kui komitee arvamus saadakse kirjaliku menetlusega, lõpetatakse nimetatud menetlus ilma tulemust saavutamata, kui arvamuse esitamiseks ettenähtud tähtaja jooksul komitee eesistuja nii otsustab või kui lihtenamus komitee liikmetest seda taotleb. </w:t>
      </w:r>
    </w:p>
    <w:p w14:paraId="58A3A11E" w14:textId="0FE5B3A7" w:rsidR="00BF22EA" w:rsidRPr="00797162" w:rsidRDefault="00822AC9" w:rsidP="00822AC9">
      <w:pPr>
        <w:pStyle w:val="ManualNumPar1"/>
        <w:rPr>
          <w:noProof/>
        </w:rPr>
      </w:pPr>
      <w:r w:rsidRPr="00822AC9">
        <w:rPr>
          <w:noProof/>
        </w:rPr>
        <w:t>6.</w:t>
      </w:r>
      <w:r w:rsidRPr="00822AC9">
        <w:rPr>
          <w:noProof/>
        </w:rPr>
        <w:tab/>
      </w:r>
      <w:r w:rsidR="00BF22EA" w:rsidRPr="00797162">
        <w:rPr>
          <w:noProof/>
        </w:rPr>
        <w:t>Vastavalt liidu sõlmitud rahvusvahelistele lepingutele võib partnerriikide või rahvusvaheliste organisatsioonide esindajaid kutsuda komitee koosolekutele vaatlejana osalema komitee töökorras sätestatud tingimustel, võttes arvesse liidu või selle liikmesriikide julgeolekut ja avalikku korda. Partnerriikide või rahvusvaheliste organisatsioonide esindajad ei osale käesoleva määruse artiklis 8 osutatud kõlblikkuskriteeriume käsitlevates aruteludes.</w:t>
      </w:r>
    </w:p>
    <w:p w14:paraId="1868E57A" w14:textId="77777777" w:rsidR="00BF22EA" w:rsidRPr="00797162" w:rsidRDefault="00BF22EA" w:rsidP="00BF22EA">
      <w:pPr>
        <w:pStyle w:val="Titrearticle"/>
        <w:rPr>
          <w:noProof/>
        </w:rPr>
      </w:pPr>
      <w:bookmarkStart w:id="20" w:name="_Hlk194570579"/>
      <w:r w:rsidRPr="00797162">
        <w:rPr>
          <w:noProof/>
        </w:rPr>
        <w:t>Artikkel 18</w:t>
      </w:r>
    </w:p>
    <w:p w14:paraId="0B382A2D" w14:textId="77777777" w:rsidR="00BF22EA" w:rsidRPr="00797162" w:rsidRDefault="00BF22EA" w:rsidP="00BF22EA">
      <w:pPr>
        <w:pStyle w:val="Titrearticle"/>
        <w:rPr>
          <w:b/>
          <w:noProof/>
        </w:rPr>
      </w:pPr>
      <w:r w:rsidRPr="00797162">
        <w:rPr>
          <w:b/>
          <w:noProof/>
        </w:rPr>
        <w:t>Kehtetuks tunnistamine</w:t>
      </w:r>
    </w:p>
    <w:bookmarkEnd w:id="19"/>
    <w:bookmarkEnd w:id="20"/>
    <w:p w14:paraId="04B6C450" w14:textId="77777777" w:rsidR="00BF22EA" w:rsidRPr="00797162" w:rsidRDefault="00BF22EA" w:rsidP="00BF22EA">
      <w:pPr>
        <w:spacing w:line="276" w:lineRule="auto"/>
        <w:rPr>
          <w:noProof/>
        </w:rPr>
      </w:pPr>
      <w:r w:rsidRPr="00797162">
        <w:rPr>
          <w:noProof/>
        </w:rPr>
        <w:t>Määrused (Euratom) 2021/100 ja (Euratom) 2021/948 tunnistatakse kehtetuks alates 1. jaanuarist 2028.</w:t>
      </w:r>
    </w:p>
    <w:p w14:paraId="7295DADF" w14:textId="77777777" w:rsidR="00BF22EA" w:rsidRPr="00797162" w:rsidRDefault="00BF22EA" w:rsidP="00BF22EA">
      <w:pPr>
        <w:pStyle w:val="Titrearticle"/>
        <w:rPr>
          <w:noProof/>
        </w:rPr>
      </w:pPr>
      <w:bookmarkStart w:id="21" w:name="_Hlk194421844"/>
      <w:r w:rsidRPr="00797162">
        <w:rPr>
          <w:noProof/>
        </w:rPr>
        <w:t>Artikkel 19</w:t>
      </w:r>
    </w:p>
    <w:p w14:paraId="79FA847C" w14:textId="77777777" w:rsidR="00BF22EA" w:rsidRPr="00797162" w:rsidRDefault="00BF22EA" w:rsidP="00BF22EA">
      <w:pPr>
        <w:pStyle w:val="Titrearticle"/>
        <w:rPr>
          <w:b/>
          <w:noProof/>
        </w:rPr>
      </w:pPr>
      <w:r w:rsidRPr="00797162">
        <w:rPr>
          <w:b/>
          <w:noProof/>
        </w:rPr>
        <w:t xml:space="preserve">Üleminekusätted </w:t>
      </w:r>
    </w:p>
    <w:bookmarkEnd w:id="21"/>
    <w:p w14:paraId="1AB98368" w14:textId="67785F1C" w:rsidR="00BF22EA" w:rsidRPr="00797162" w:rsidRDefault="00822AC9" w:rsidP="00822AC9">
      <w:pPr>
        <w:pStyle w:val="ManualNumPar1"/>
        <w:rPr>
          <w:noProof/>
        </w:rPr>
      </w:pPr>
      <w:r w:rsidRPr="00822AC9">
        <w:rPr>
          <w:noProof/>
        </w:rPr>
        <w:t>1.</w:t>
      </w:r>
      <w:r w:rsidRPr="00822AC9">
        <w:rPr>
          <w:noProof/>
        </w:rPr>
        <w:tab/>
      </w:r>
      <w:r w:rsidR="00BF22EA" w:rsidRPr="00797162">
        <w:rPr>
          <w:noProof/>
        </w:rPr>
        <w:t>Käesolev määrus ei mõjuta määruste (Euratom) 2021/100 ja (Euratom) 2021/948 kohaste asjaomaste meetmete jätkumist või muutmist kuni nende meetmete lõpetamiseni; nimetatud määrusi kohaldatakse nende meetmete suhtes kuni nende lõpetamiseni.</w:t>
      </w:r>
    </w:p>
    <w:p w14:paraId="59F2F815" w14:textId="1990EA47" w:rsidR="00BF22EA" w:rsidRPr="00797162" w:rsidRDefault="00822AC9" w:rsidP="00822AC9">
      <w:pPr>
        <w:pStyle w:val="ManualNumPar1"/>
        <w:rPr>
          <w:noProof/>
        </w:rPr>
      </w:pPr>
      <w:r w:rsidRPr="00822AC9">
        <w:rPr>
          <w:noProof/>
        </w:rPr>
        <w:t>2.</w:t>
      </w:r>
      <w:r w:rsidRPr="00822AC9">
        <w:rPr>
          <w:noProof/>
        </w:rPr>
        <w:tab/>
      </w:r>
      <w:r w:rsidR="00BF22EA" w:rsidRPr="00797162">
        <w:rPr>
          <w:noProof/>
        </w:rPr>
        <w:t>Instrumendi rahastamispaketist võib katta ka tehnilise ja haldusabi kulud, mida on vaja selleks, et tagada üleminek määrustelt (Euratom) 2021/100 ja (Euratom) 2021/948 alusel vastu võetud meetmetelt instrumendile.</w:t>
      </w:r>
    </w:p>
    <w:p w14:paraId="59242C86" w14:textId="77777777" w:rsidR="00BF22EA" w:rsidRPr="00797162" w:rsidRDefault="00BF22EA" w:rsidP="00BF22EA">
      <w:pPr>
        <w:pStyle w:val="Titrearticle"/>
        <w:rPr>
          <w:noProof/>
        </w:rPr>
      </w:pPr>
      <w:r w:rsidRPr="00797162">
        <w:rPr>
          <w:noProof/>
        </w:rPr>
        <w:t>Artikkel 20</w:t>
      </w:r>
    </w:p>
    <w:p w14:paraId="5BCCE3EC" w14:textId="77777777" w:rsidR="00BF22EA" w:rsidRPr="00797162" w:rsidRDefault="00BF22EA" w:rsidP="00BF22EA">
      <w:pPr>
        <w:pStyle w:val="Titrearticle"/>
        <w:rPr>
          <w:b/>
          <w:noProof/>
        </w:rPr>
      </w:pPr>
      <w:r w:rsidRPr="00797162">
        <w:rPr>
          <w:b/>
          <w:noProof/>
        </w:rPr>
        <w:t>Jõustumine ja kohaldamine</w:t>
      </w:r>
    </w:p>
    <w:p w14:paraId="5E50CD5E" w14:textId="77777777" w:rsidR="00BF22EA" w:rsidRPr="00797162" w:rsidRDefault="00BF22EA" w:rsidP="00BF22EA">
      <w:pPr>
        <w:spacing w:line="276" w:lineRule="auto"/>
        <w:rPr>
          <w:noProof/>
        </w:rPr>
      </w:pPr>
      <w:r w:rsidRPr="00797162">
        <w:rPr>
          <w:noProof/>
        </w:rPr>
        <w:t xml:space="preserve">Käesolev määrus jõustub kahekümnendal päeval pärast selle avaldamist </w:t>
      </w:r>
      <w:r w:rsidRPr="00797162">
        <w:rPr>
          <w:i/>
          <w:iCs/>
          <w:noProof/>
        </w:rPr>
        <w:t>Euroopa Liidu Teatajas</w:t>
      </w:r>
      <w:r w:rsidRPr="00797162">
        <w:rPr>
          <w:noProof/>
        </w:rPr>
        <w:t>.</w:t>
      </w:r>
    </w:p>
    <w:p w14:paraId="5CE379EB" w14:textId="77777777" w:rsidR="00BF22EA" w:rsidRPr="00797162" w:rsidRDefault="00BF22EA" w:rsidP="00BF22EA">
      <w:pPr>
        <w:spacing w:line="276" w:lineRule="auto"/>
        <w:rPr>
          <w:noProof/>
        </w:rPr>
      </w:pPr>
      <w:r w:rsidRPr="00797162">
        <w:rPr>
          <w:noProof/>
        </w:rPr>
        <w:t>Seda kohaldatakse alates 1. jaanuarist 2028.</w:t>
      </w:r>
    </w:p>
    <w:p w14:paraId="1DC9265B" w14:textId="77777777" w:rsidR="00BF22EA" w:rsidRPr="00797162" w:rsidRDefault="00BF22EA" w:rsidP="00BF22EA">
      <w:pPr>
        <w:spacing w:line="276" w:lineRule="auto"/>
        <w:rPr>
          <w:noProof/>
        </w:rPr>
      </w:pPr>
      <w:r w:rsidRPr="00797162">
        <w:rPr>
          <w:noProof/>
        </w:rPr>
        <w:t>Käesolev määrus on tervikuna siduv ja vahetult kohaldatav kõikides liikmesriikides.</w:t>
      </w:r>
    </w:p>
    <w:p w14:paraId="48D13FCF" w14:textId="132DB48F" w:rsidR="00BF22EA" w:rsidRPr="00797162" w:rsidRDefault="00554997" w:rsidP="00742A0E">
      <w:pPr>
        <w:pStyle w:val="Fait"/>
        <w:rPr>
          <w:noProof/>
        </w:rPr>
      </w:pPr>
      <w:r>
        <w:rPr>
          <w:noProof/>
        </w:rPr>
        <w:t>Brüssel,</w:t>
      </w:r>
    </w:p>
    <w:p w14:paraId="1E89BE5E" w14:textId="77777777" w:rsidR="00BF22EA" w:rsidRPr="00797162" w:rsidRDefault="00BF22EA" w:rsidP="00742A0E">
      <w:pPr>
        <w:pStyle w:val="Institutionquisigne"/>
        <w:rPr>
          <w:noProof/>
        </w:rPr>
      </w:pPr>
      <w:r w:rsidRPr="00797162">
        <w:rPr>
          <w:noProof/>
        </w:rPr>
        <w:tab/>
        <w:t>Nõukogu nimel</w:t>
      </w:r>
    </w:p>
    <w:p w14:paraId="2558F1A5" w14:textId="77777777" w:rsidR="00BF22EA" w:rsidRPr="00797162" w:rsidRDefault="00BF22EA" w:rsidP="00BF22EA">
      <w:pPr>
        <w:pStyle w:val="Personnequisigne"/>
        <w:rPr>
          <w:noProof/>
        </w:rPr>
      </w:pPr>
      <w:r w:rsidRPr="00797162">
        <w:rPr>
          <w:noProof/>
        </w:rPr>
        <w:tab/>
        <w:t>eesistuja</w:t>
      </w:r>
    </w:p>
    <w:p w14:paraId="603B0415" w14:textId="77777777" w:rsidR="00BF22EA" w:rsidRPr="00797162" w:rsidRDefault="00BF22EA" w:rsidP="00BF22EA">
      <w:pPr>
        <w:rPr>
          <w:noProof/>
        </w:rPr>
        <w:sectPr w:rsidR="00BF22EA" w:rsidRPr="00797162" w:rsidSect="00B662D8">
          <w:pgSz w:w="11907" w:h="16839"/>
          <w:pgMar w:top="1134" w:right="1417" w:bottom="1134" w:left="1417" w:header="709" w:footer="709" w:gutter="0"/>
          <w:cols w:space="708"/>
          <w:docGrid w:linePitch="360"/>
        </w:sectPr>
      </w:pPr>
    </w:p>
    <w:p w14:paraId="53187BDC" w14:textId="77777777" w:rsidR="00BF22EA" w:rsidRPr="00797162" w:rsidRDefault="00BF22EA" w:rsidP="00BF22EA">
      <w:pPr>
        <w:pStyle w:val="Fichefinanciretitre"/>
        <w:keepNext/>
        <w:rPr>
          <w:noProof/>
        </w:rPr>
      </w:pPr>
      <w:r w:rsidRPr="00797162">
        <w:rPr>
          <w:noProof/>
        </w:rPr>
        <w:t>FINANTS- JA DIGISELGITUS</w:t>
      </w:r>
    </w:p>
    <w:p w14:paraId="6D5485C7" w14:textId="77777777" w:rsidR="00BF22EA" w:rsidRPr="00797162" w:rsidRDefault="00BF22EA" w:rsidP="00BF22EA">
      <w:pPr>
        <w:keepNext/>
        <w:jc w:val="center"/>
        <w:rPr>
          <w:b/>
          <w:noProof/>
          <w:u w:val="single"/>
        </w:rPr>
      </w:pPr>
    </w:p>
    <w:p w14:paraId="5E9D21D8" w14:textId="77777777" w:rsidR="00BF22EA" w:rsidRPr="00797162" w:rsidRDefault="00BF22EA" w:rsidP="00BF22EA">
      <w:pPr>
        <w:tabs>
          <w:tab w:val="right" w:leader="dot" w:pos="8928"/>
        </w:tabs>
        <w:spacing w:before="60"/>
        <w:ind w:left="850" w:hanging="850"/>
        <w:jc w:val="left"/>
        <w:rPr>
          <w:rFonts w:asciiTheme="minorHAnsi" w:hAnsiTheme="minorHAnsi"/>
          <w:noProof/>
          <w:kern w:val="2"/>
          <w:sz w:val="22"/>
          <w14:ligatures w14:val="standardContextual"/>
        </w:rPr>
      </w:pPr>
      <w:r w:rsidRPr="00797162">
        <w:rPr>
          <w:noProof/>
        </w:rPr>
        <w:t>1.</w:t>
      </w:r>
      <w:r w:rsidRPr="00797162">
        <w:rPr>
          <w:noProof/>
        </w:rPr>
        <w:tab/>
        <w:t>ETTEPANEKU/ALGATUSE RAAMISTIK</w:t>
      </w:r>
      <w:r w:rsidRPr="00797162">
        <w:rPr>
          <w:noProof/>
        </w:rPr>
        <w:tab/>
      </w:r>
      <w:r w:rsidRPr="00797162">
        <w:rPr>
          <w:noProof/>
          <w:webHidden/>
        </w:rPr>
        <w:t>3</w:t>
      </w:r>
    </w:p>
    <w:p w14:paraId="4D2853BA" w14:textId="77777777" w:rsidR="00BF22EA" w:rsidRPr="00797162" w:rsidRDefault="00BF22EA" w:rsidP="00BF22EA">
      <w:pPr>
        <w:tabs>
          <w:tab w:val="right" w:leader="dot" w:pos="9071"/>
        </w:tabs>
        <w:spacing w:before="60"/>
        <w:ind w:left="850" w:hanging="850"/>
        <w:jc w:val="left"/>
        <w:rPr>
          <w:rFonts w:asciiTheme="minorHAnsi" w:hAnsiTheme="minorHAnsi"/>
          <w:noProof/>
          <w:kern w:val="2"/>
          <w:sz w:val="22"/>
          <w14:ligatures w14:val="standardContextual"/>
        </w:rPr>
      </w:pPr>
      <w:r w:rsidRPr="00797162">
        <w:rPr>
          <w:noProof/>
        </w:rPr>
        <w:t>1.1.</w:t>
      </w:r>
      <w:r w:rsidRPr="00797162">
        <w:rPr>
          <w:noProof/>
        </w:rPr>
        <w:tab/>
        <w:t>Ettepaneku/algatuse nimetus</w:t>
      </w:r>
      <w:r w:rsidRPr="00797162">
        <w:rPr>
          <w:noProof/>
        </w:rPr>
        <w:tab/>
      </w:r>
      <w:r w:rsidRPr="00797162">
        <w:rPr>
          <w:noProof/>
          <w:webHidden/>
        </w:rPr>
        <w:t>3</w:t>
      </w:r>
    </w:p>
    <w:p w14:paraId="1F20F4DE" w14:textId="77777777" w:rsidR="00BF22EA" w:rsidRPr="00797162" w:rsidRDefault="00BF22EA" w:rsidP="00BF22EA">
      <w:pPr>
        <w:tabs>
          <w:tab w:val="right" w:leader="dot" w:pos="9071"/>
        </w:tabs>
        <w:spacing w:before="60"/>
        <w:ind w:left="850" w:hanging="850"/>
        <w:jc w:val="left"/>
        <w:rPr>
          <w:rFonts w:asciiTheme="minorHAnsi" w:hAnsiTheme="minorHAnsi"/>
          <w:noProof/>
          <w:kern w:val="2"/>
          <w:sz w:val="22"/>
          <w14:ligatures w14:val="standardContextual"/>
        </w:rPr>
      </w:pPr>
      <w:r w:rsidRPr="00797162">
        <w:rPr>
          <w:noProof/>
        </w:rPr>
        <w:t>1.2.</w:t>
      </w:r>
      <w:r w:rsidRPr="00797162">
        <w:rPr>
          <w:noProof/>
        </w:rPr>
        <w:tab/>
        <w:t>Asjaomased poliitikavaldkonnad</w:t>
      </w:r>
      <w:r w:rsidRPr="00797162">
        <w:rPr>
          <w:noProof/>
        </w:rPr>
        <w:tab/>
      </w:r>
      <w:r w:rsidRPr="00797162">
        <w:rPr>
          <w:noProof/>
          <w:webHidden/>
        </w:rPr>
        <w:t>3</w:t>
      </w:r>
    </w:p>
    <w:p w14:paraId="4E5EAA83" w14:textId="77777777" w:rsidR="00BF22EA" w:rsidRPr="00797162" w:rsidRDefault="00BF22EA" w:rsidP="00BF22EA">
      <w:pPr>
        <w:tabs>
          <w:tab w:val="right" w:leader="dot" w:pos="9071"/>
        </w:tabs>
        <w:spacing w:before="60"/>
        <w:ind w:left="850" w:hanging="850"/>
        <w:jc w:val="left"/>
        <w:rPr>
          <w:rFonts w:asciiTheme="minorHAnsi" w:hAnsiTheme="minorHAnsi"/>
          <w:noProof/>
          <w:kern w:val="2"/>
          <w:sz w:val="22"/>
          <w14:ligatures w14:val="standardContextual"/>
        </w:rPr>
      </w:pPr>
      <w:r w:rsidRPr="00797162">
        <w:rPr>
          <w:noProof/>
        </w:rPr>
        <w:t>1.3.</w:t>
      </w:r>
      <w:r w:rsidRPr="00797162">
        <w:rPr>
          <w:noProof/>
        </w:rPr>
        <w:tab/>
        <w:t>Eesmärgid</w:t>
      </w:r>
      <w:r w:rsidRPr="00797162">
        <w:rPr>
          <w:noProof/>
        </w:rPr>
        <w:tab/>
      </w:r>
      <w:r w:rsidRPr="00797162">
        <w:rPr>
          <w:noProof/>
          <w:webHidden/>
        </w:rPr>
        <w:t>3</w:t>
      </w:r>
    </w:p>
    <w:p w14:paraId="20C03078" w14:textId="77777777" w:rsidR="00BF22EA" w:rsidRPr="00797162" w:rsidRDefault="00BF22EA" w:rsidP="00BF22EA">
      <w:pPr>
        <w:tabs>
          <w:tab w:val="right" w:leader="dot" w:pos="9071"/>
        </w:tabs>
        <w:spacing w:before="60"/>
        <w:ind w:left="850" w:hanging="850"/>
        <w:jc w:val="left"/>
        <w:rPr>
          <w:rFonts w:asciiTheme="minorHAnsi" w:hAnsiTheme="minorHAnsi"/>
          <w:noProof/>
          <w:kern w:val="2"/>
          <w:sz w:val="22"/>
          <w14:ligatures w14:val="standardContextual"/>
        </w:rPr>
      </w:pPr>
      <w:r w:rsidRPr="00797162">
        <w:rPr>
          <w:noProof/>
        </w:rPr>
        <w:t>1.3.1.</w:t>
      </w:r>
      <w:r w:rsidRPr="00797162">
        <w:rPr>
          <w:noProof/>
        </w:rPr>
        <w:tab/>
        <w:t>Üldeesmärgid</w:t>
      </w:r>
      <w:r w:rsidRPr="00797162">
        <w:rPr>
          <w:noProof/>
        </w:rPr>
        <w:tab/>
      </w:r>
      <w:r w:rsidRPr="00797162">
        <w:rPr>
          <w:noProof/>
          <w:webHidden/>
        </w:rPr>
        <w:t>3</w:t>
      </w:r>
    </w:p>
    <w:p w14:paraId="08102D03" w14:textId="77777777" w:rsidR="00BF22EA" w:rsidRPr="00797162" w:rsidRDefault="00BF22EA" w:rsidP="00BF22EA">
      <w:pPr>
        <w:tabs>
          <w:tab w:val="right" w:leader="dot" w:pos="9071"/>
        </w:tabs>
        <w:spacing w:before="60"/>
        <w:ind w:left="850" w:hanging="850"/>
        <w:jc w:val="left"/>
        <w:rPr>
          <w:rFonts w:asciiTheme="minorHAnsi" w:hAnsiTheme="minorHAnsi"/>
          <w:noProof/>
          <w:kern w:val="2"/>
          <w:sz w:val="22"/>
          <w14:ligatures w14:val="standardContextual"/>
        </w:rPr>
      </w:pPr>
      <w:r w:rsidRPr="00797162">
        <w:rPr>
          <w:noProof/>
        </w:rPr>
        <w:t>1.3.2.</w:t>
      </w:r>
      <w:r w:rsidRPr="00797162">
        <w:rPr>
          <w:noProof/>
        </w:rPr>
        <w:tab/>
        <w:t>Erieesmärgid</w:t>
      </w:r>
      <w:r w:rsidRPr="00797162">
        <w:rPr>
          <w:noProof/>
        </w:rPr>
        <w:tab/>
      </w:r>
      <w:r w:rsidRPr="00797162">
        <w:rPr>
          <w:noProof/>
          <w:webHidden/>
        </w:rPr>
        <w:t>3</w:t>
      </w:r>
    </w:p>
    <w:p w14:paraId="6F9B6F27" w14:textId="77777777" w:rsidR="00BF22EA" w:rsidRPr="00797162" w:rsidRDefault="00BF22EA" w:rsidP="00BF22EA">
      <w:pPr>
        <w:tabs>
          <w:tab w:val="right" w:leader="dot" w:pos="9071"/>
        </w:tabs>
        <w:spacing w:before="60"/>
        <w:ind w:left="850" w:hanging="850"/>
        <w:jc w:val="left"/>
        <w:rPr>
          <w:rFonts w:asciiTheme="minorHAnsi" w:hAnsiTheme="minorHAnsi"/>
          <w:noProof/>
          <w:kern w:val="2"/>
          <w:sz w:val="22"/>
          <w14:ligatures w14:val="standardContextual"/>
        </w:rPr>
      </w:pPr>
      <w:r w:rsidRPr="00797162">
        <w:rPr>
          <w:noProof/>
        </w:rPr>
        <w:t>1.3.3.</w:t>
      </w:r>
      <w:r w:rsidRPr="00797162">
        <w:rPr>
          <w:noProof/>
        </w:rPr>
        <w:tab/>
        <w:t>Oodatavad tulemused ja mõju</w:t>
      </w:r>
      <w:r w:rsidRPr="00797162">
        <w:rPr>
          <w:noProof/>
        </w:rPr>
        <w:tab/>
      </w:r>
      <w:r w:rsidRPr="00797162">
        <w:rPr>
          <w:noProof/>
          <w:webHidden/>
        </w:rPr>
        <w:t>3</w:t>
      </w:r>
    </w:p>
    <w:p w14:paraId="39042BAC" w14:textId="77777777" w:rsidR="00BF22EA" w:rsidRPr="00797162" w:rsidRDefault="00BF22EA" w:rsidP="00BF22EA">
      <w:pPr>
        <w:tabs>
          <w:tab w:val="right" w:leader="dot" w:pos="9071"/>
        </w:tabs>
        <w:spacing w:before="60"/>
        <w:ind w:left="850" w:hanging="850"/>
        <w:jc w:val="left"/>
        <w:rPr>
          <w:rFonts w:asciiTheme="minorHAnsi" w:hAnsiTheme="minorHAnsi"/>
          <w:noProof/>
          <w:kern w:val="2"/>
          <w:sz w:val="22"/>
          <w14:ligatures w14:val="standardContextual"/>
        </w:rPr>
      </w:pPr>
      <w:r w:rsidRPr="00797162">
        <w:rPr>
          <w:noProof/>
        </w:rPr>
        <w:t>1.3.4.</w:t>
      </w:r>
      <w:r w:rsidRPr="00797162">
        <w:rPr>
          <w:noProof/>
        </w:rPr>
        <w:tab/>
        <w:t>Tulemusnäitajad</w:t>
      </w:r>
      <w:r w:rsidRPr="00797162">
        <w:rPr>
          <w:noProof/>
        </w:rPr>
        <w:tab/>
      </w:r>
      <w:r w:rsidRPr="00797162">
        <w:rPr>
          <w:noProof/>
          <w:webHidden/>
        </w:rPr>
        <w:t>3</w:t>
      </w:r>
    </w:p>
    <w:p w14:paraId="700C2CBD" w14:textId="77777777" w:rsidR="00BF22EA" w:rsidRPr="00797162" w:rsidRDefault="00BF22EA" w:rsidP="00BF22EA">
      <w:pPr>
        <w:tabs>
          <w:tab w:val="right" w:leader="dot" w:pos="9071"/>
        </w:tabs>
        <w:spacing w:before="60"/>
        <w:ind w:left="850" w:hanging="850"/>
        <w:jc w:val="left"/>
        <w:rPr>
          <w:rFonts w:asciiTheme="minorHAnsi" w:hAnsiTheme="minorHAnsi"/>
          <w:noProof/>
          <w:kern w:val="2"/>
          <w:sz w:val="22"/>
          <w14:ligatures w14:val="standardContextual"/>
        </w:rPr>
      </w:pPr>
      <w:r w:rsidRPr="00797162">
        <w:rPr>
          <w:noProof/>
        </w:rPr>
        <w:t>1.4.</w:t>
      </w:r>
      <w:r w:rsidRPr="00797162">
        <w:rPr>
          <w:noProof/>
        </w:rPr>
        <w:tab/>
        <w:t>Ettepanek/algatus käsitleb</w:t>
      </w:r>
      <w:r w:rsidRPr="00797162">
        <w:rPr>
          <w:noProof/>
        </w:rPr>
        <w:tab/>
      </w:r>
      <w:r w:rsidRPr="00797162">
        <w:rPr>
          <w:noProof/>
          <w:webHidden/>
        </w:rPr>
        <w:t>4</w:t>
      </w:r>
    </w:p>
    <w:p w14:paraId="1E1D44E6" w14:textId="77777777" w:rsidR="00BF22EA" w:rsidRPr="00797162" w:rsidRDefault="00BF22EA" w:rsidP="00BF22EA">
      <w:pPr>
        <w:tabs>
          <w:tab w:val="right" w:leader="dot" w:pos="9071"/>
        </w:tabs>
        <w:spacing w:before="60"/>
        <w:ind w:left="850" w:hanging="850"/>
        <w:jc w:val="left"/>
        <w:rPr>
          <w:rFonts w:asciiTheme="minorHAnsi" w:hAnsiTheme="minorHAnsi"/>
          <w:noProof/>
          <w:kern w:val="2"/>
          <w:sz w:val="22"/>
          <w14:ligatures w14:val="standardContextual"/>
        </w:rPr>
      </w:pPr>
      <w:r w:rsidRPr="00797162">
        <w:rPr>
          <w:noProof/>
        </w:rPr>
        <w:t>1.5.</w:t>
      </w:r>
      <w:r w:rsidRPr="00797162">
        <w:rPr>
          <w:noProof/>
        </w:rPr>
        <w:tab/>
        <w:t>Ettepaneku/algatuse põhjendused</w:t>
      </w:r>
      <w:r w:rsidRPr="00797162">
        <w:rPr>
          <w:noProof/>
        </w:rPr>
        <w:tab/>
      </w:r>
      <w:r w:rsidRPr="00797162">
        <w:rPr>
          <w:noProof/>
          <w:webHidden/>
        </w:rPr>
        <w:t>4</w:t>
      </w:r>
    </w:p>
    <w:p w14:paraId="63E8F74E" w14:textId="77777777" w:rsidR="00BF22EA" w:rsidRPr="00797162" w:rsidRDefault="00BF22EA" w:rsidP="00BF22EA">
      <w:pPr>
        <w:tabs>
          <w:tab w:val="right" w:leader="dot" w:pos="9071"/>
        </w:tabs>
        <w:spacing w:before="60"/>
        <w:ind w:left="850" w:hanging="850"/>
        <w:jc w:val="left"/>
        <w:rPr>
          <w:rFonts w:asciiTheme="minorHAnsi" w:hAnsiTheme="minorHAnsi"/>
          <w:noProof/>
          <w:kern w:val="2"/>
          <w:sz w:val="22"/>
          <w14:ligatures w14:val="standardContextual"/>
        </w:rPr>
      </w:pPr>
      <w:r w:rsidRPr="00797162">
        <w:rPr>
          <w:noProof/>
        </w:rPr>
        <w:t>1.5.1.</w:t>
      </w:r>
      <w:r w:rsidRPr="00797162">
        <w:rPr>
          <w:noProof/>
        </w:rPr>
        <w:tab/>
        <w:t>Lühi- või pikaajalises perspektiivis täidetavad vajadused, sealhulgas algatuse rakendamise üksikasjalik ajakava</w:t>
      </w:r>
      <w:r w:rsidRPr="00797162">
        <w:rPr>
          <w:noProof/>
        </w:rPr>
        <w:tab/>
      </w:r>
      <w:r w:rsidRPr="00797162">
        <w:rPr>
          <w:noProof/>
          <w:webHidden/>
        </w:rPr>
        <w:t>4</w:t>
      </w:r>
    </w:p>
    <w:p w14:paraId="7B645DAC" w14:textId="77777777" w:rsidR="00BF22EA" w:rsidRPr="00797162" w:rsidRDefault="00BF22EA" w:rsidP="00BF22EA">
      <w:pPr>
        <w:tabs>
          <w:tab w:val="right" w:leader="dot" w:pos="9071"/>
        </w:tabs>
        <w:spacing w:before="60"/>
        <w:ind w:left="850" w:hanging="850"/>
        <w:jc w:val="left"/>
        <w:rPr>
          <w:rFonts w:asciiTheme="minorHAnsi" w:hAnsiTheme="minorHAnsi"/>
          <w:noProof/>
          <w:kern w:val="2"/>
          <w:sz w:val="22"/>
          <w14:ligatures w14:val="standardContextual"/>
        </w:rPr>
      </w:pPr>
      <w:r w:rsidRPr="00797162">
        <w:rPr>
          <w:noProof/>
        </w:rPr>
        <w:t>1.5.2.</w:t>
      </w:r>
      <w:r w:rsidRPr="00797162">
        <w:rPr>
          <w:noProof/>
        </w:rPr>
        <w:tab/>
        <w:t>ELi meetme lisaväärtus (see võib tuleneda eri teguritest, nagu kooskõlastamisest saadav kasu, õiguskindlus, suurem tõhusus või vastastikune täiendavus). Käesoleva punkti kohaldamisel tähendab „ELi meetme lisaväärtus“ väärtust, mis tuleneb liidu sekkumisest ja lisandub väärtusele, mille liikmesriigid oleksid muidu üksi loonud.</w:t>
      </w:r>
      <w:r w:rsidRPr="00797162">
        <w:rPr>
          <w:noProof/>
        </w:rPr>
        <w:tab/>
      </w:r>
      <w:r w:rsidRPr="00797162">
        <w:rPr>
          <w:noProof/>
          <w:webHidden/>
        </w:rPr>
        <w:t>4</w:t>
      </w:r>
    </w:p>
    <w:p w14:paraId="546A96BB" w14:textId="77777777" w:rsidR="00BF22EA" w:rsidRPr="00797162" w:rsidRDefault="00BF22EA" w:rsidP="00BF22EA">
      <w:pPr>
        <w:tabs>
          <w:tab w:val="right" w:leader="dot" w:pos="9071"/>
        </w:tabs>
        <w:spacing w:before="60"/>
        <w:ind w:left="850" w:hanging="850"/>
        <w:jc w:val="left"/>
        <w:rPr>
          <w:rFonts w:asciiTheme="minorHAnsi" w:hAnsiTheme="minorHAnsi"/>
          <w:noProof/>
          <w:kern w:val="2"/>
          <w:sz w:val="22"/>
          <w14:ligatures w14:val="standardContextual"/>
        </w:rPr>
      </w:pPr>
      <w:r w:rsidRPr="00797162">
        <w:rPr>
          <w:noProof/>
        </w:rPr>
        <w:t>1.5.3.</w:t>
      </w:r>
      <w:r w:rsidRPr="00797162">
        <w:rPr>
          <w:noProof/>
        </w:rPr>
        <w:tab/>
        <w:t>Samalaadsetest kogemustest saadud õppetunnid</w:t>
      </w:r>
      <w:r w:rsidRPr="00797162">
        <w:rPr>
          <w:noProof/>
        </w:rPr>
        <w:tab/>
      </w:r>
      <w:r w:rsidRPr="00797162">
        <w:rPr>
          <w:noProof/>
          <w:webHidden/>
        </w:rPr>
        <w:t>4</w:t>
      </w:r>
    </w:p>
    <w:p w14:paraId="18255888" w14:textId="77777777" w:rsidR="00BF22EA" w:rsidRPr="00797162" w:rsidRDefault="00BF22EA" w:rsidP="00BF22EA">
      <w:pPr>
        <w:tabs>
          <w:tab w:val="right" w:leader="dot" w:pos="9071"/>
        </w:tabs>
        <w:spacing w:before="60"/>
        <w:ind w:left="850" w:hanging="850"/>
        <w:jc w:val="left"/>
        <w:rPr>
          <w:rFonts w:asciiTheme="minorHAnsi" w:hAnsiTheme="minorHAnsi"/>
          <w:noProof/>
          <w:kern w:val="2"/>
          <w:sz w:val="22"/>
          <w14:ligatures w14:val="standardContextual"/>
        </w:rPr>
      </w:pPr>
      <w:r w:rsidRPr="00797162">
        <w:rPr>
          <w:noProof/>
        </w:rPr>
        <w:t>1.5.4.</w:t>
      </w:r>
      <w:r w:rsidRPr="00797162">
        <w:rPr>
          <w:noProof/>
        </w:rPr>
        <w:tab/>
        <w:t>Kooskõla mitmeaastase finantsraamistikuga ja võimalik koostoime muude asjakohaste vahenditega</w:t>
      </w:r>
      <w:r w:rsidRPr="00797162">
        <w:rPr>
          <w:noProof/>
        </w:rPr>
        <w:tab/>
      </w:r>
      <w:r w:rsidRPr="00797162">
        <w:rPr>
          <w:noProof/>
          <w:webHidden/>
        </w:rPr>
        <w:t>5</w:t>
      </w:r>
    </w:p>
    <w:p w14:paraId="6BC20FA7" w14:textId="77777777" w:rsidR="00BF22EA" w:rsidRPr="00797162" w:rsidRDefault="00BF22EA" w:rsidP="00BF22EA">
      <w:pPr>
        <w:tabs>
          <w:tab w:val="right" w:leader="dot" w:pos="9071"/>
        </w:tabs>
        <w:spacing w:before="60"/>
        <w:ind w:left="850" w:hanging="850"/>
        <w:jc w:val="left"/>
        <w:rPr>
          <w:rFonts w:asciiTheme="minorHAnsi" w:hAnsiTheme="minorHAnsi"/>
          <w:noProof/>
          <w:kern w:val="2"/>
          <w:sz w:val="22"/>
          <w14:ligatures w14:val="standardContextual"/>
        </w:rPr>
      </w:pPr>
      <w:r w:rsidRPr="00797162">
        <w:rPr>
          <w:noProof/>
        </w:rPr>
        <w:t>1.5.5.</w:t>
      </w:r>
      <w:r w:rsidRPr="00797162">
        <w:rPr>
          <w:noProof/>
        </w:rPr>
        <w:tab/>
        <w:t>Erinevate kasutada olevate rahastamisvõimaluste, sealhulgas vahendite ümberpaigutamise võimaluste hinnang</w:t>
      </w:r>
      <w:r w:rsidRPr="00797162">
        <w:rPr>
          <w:noProof/>
        </w:rPr>
        <w:tab/>
      </w:r>
      <w:r w:rsidRPr="00797162">
        <w:rPr>
          <w:noProof/>
          <w:webHidden/>
        </w:rPr>
        <w:t>5</w:t>
      </w:r>
    </w:p>
    <w:p w14:paraId="0EDF66FE" w14:textId="77777777" w:rsidR="00BF22EA" w:rsidRPr="00797162" w:rsidRDefault="00BF22EA" w:rsidP="00BF22EA">
      <w:pPr>
        <w:tabs>
          <w:tab w:val="right" w:leader="dot" w:pos="9071"/>
        </w:tabs>
        <w:spacing w:before="60"/>
        <w:ind w:left="850" w:hanging="850"/>
        <w:jc w:val="left"/>
        <w:rPr>
          <w:rFonts w:asciiTheme="minorHAnsi" w:hAnsiTheme="minorHAnsi"/>
          <w:noProof/>
          <w:kern w:val="2"/>
          <w:sz w:val="22"/>
          <w14:ligatures w14:val="standardContextual"/>
        </w:rPr>
      </w:pPr>
      <w:r w:rsidRPr="00797162">
        <w:rPr>
          <w:noProof/>
        </w:rPr>
        <w:t>1.6.</w:t>
      </w:r>
      <w:r w:rsidRPr="00797162">
        <w:rPr>
          <w:noProof/>
        </w:rPr>
        <w:tab/>
        <w:t>Ettepaneku/algatuse ja selle finantsmõju kestus</w:t>
      </w:r>
      <w:r w:rsidRPr="00797162">
        <w:rPr>
          <w:noProof/>
        </w:rPr>
        <w:tab/>
      </w:r>
      <w:r w:rsidRPr="00797162">
        <w:rPr>
          <w:noProof/>
          <w:webHidden/>
        </w:rPr>
        <w:t>6</w:t>
      </w:r>
    </w:p>
    <w:p w14:paraId="2B7ED25A" w14:textId="77777777" w:rsidR="00BF22EA" w:rsidRPr="00797162" w:rsidRDefault="00BF22EA" w:rsidP="00BF22EA">
      <w:pPr>
        <w:tabs>
          <w:tab w:val="right" w:leader="dot" w:pos="9071"/>
        </w:tabs>
        <w:spacing w:before="60"/>
        <w:ind w:left="850" w:hanging="850"/>
        <w:jc w:val="left"/>
        <w:rPr>
          <w:rFonts w:asciiTheme="minorHAnsi" w:hAnsiTheme="minorHAnsi"/>
          <w:noProof/>
          <w:kern w:val="2"/>
          <w:sz w:val="22"/>
          <w14:ligatures w14:val="standardContextual"/>
        </w:rPr>
      </w:pPr>
      <w:r w:rsidRPr="00797162">
        <w:rPr>
          <w:noProof/>
        </w:rPr>
        <w:t>1.7.</w:t>
      </w:r>
      <w:r w:rsidRPr="00797162">
        <w:rPr>
          <w:noProof/>
        </w:rPr>
        <w:tab/>
        <w:t>Kavandatud eelarve täitmise viisid</w:t>
      </w:r>
      <w:r w:rsidRPr="00797162">
        <w:rPr>
          <w:noProof/>
        </w:rPr>
        <w:tab/>
      </w:r>
      <w:r w:rsidRPr="00797162">
        <w:rPr>
          <w:noProof/>
          <w:webHidden/>
        </w:rPr>
        <w:t>6</w:t>
      </w:r>
    </w:p>
    <w:p w14:paraId="3B588363" w14:textId="77777777" w:rsidR="00BF22EA" w:rsidRPr="00797162" w:rsidRDefault="00BF22EA" w:rsidP="00BF22EA">
      <w:pPr>
        <w:tabs>
          <w:tab w:val="right" w:leader="dot" w:pos="9071"/>
        </w:tabs>
        <w:spacing w:before="60"/>
        <w:ind w:left="850" w:hanging="850"/>
        <w:jc w:val="left"/>
        <w:rPr>
          <w:rFonts w:asciiTheme="minorHAnsi" w:hAnsiTheme="minorHAnsi"/>
          <w:noProof/>
          <w:kern w:val="2"/>
          <w:sz w:val="22"/>
          <w14:ligatures w14:val="standardContextual"/>
        </w:rPr>
      </w:pPr>
      <w:r w:rsidRPr="00797162">
        <w:rPr>
          <w:noProof/>
        </w:rPr>
        <w:t>2.</w:t>
      </w:r>
      <w:r w:rsidRPr="00797162">
        <w:rPr>
          <w:noProof/>
        </w:rPr>
        <w:tab/>
        <w:t>HALDUSMEETMED</w:t>
      </w:r>
      <w:r w:rsidRPr="00797162">
        <w:rPr>
          <w:noProof/>
        </w:rPr>
        <w:tab/>
      </w:r>
      <w:r w:rsidRPr="00797162">
        <w:rPr>
          <w:noProof/>
          <w:webHidden/>
        </w:rPr>
        <w:t>8</w:t>
      </w:r>
    </w:p>
    <w:p w14:paraId="4DB54BC0" w14:textId="77777777" w:rsidR="00BF22EA" w:rsidRPr="00797162" w:rsidRDefault="00BF22EA" w:rsidP="00BF22EA">
      <w:pPr>
        <w:tabs>
          <w:tab w:val="right" w:leader="dot" w:pos="9071"/>
        </w:tabs>
        <w:spacing w:before="60"/>
        <w:ind w:left="850" w:hanging="850"/>
        <w:jc w:val="left"/>
        <w:rPr>
          <w:rFonts w:asciiTheme="minorHAnsi" w:hAnsiTheme="minorHAnsi"/>
          <w:noProof/>
          <w:kern w:val="2"/>
          <w:sz w:val="22"/>
          <w14:ligatures w14:val="standardContextual"/>
        </w:rPr>
      </w:pPr>
      <w:r w:rsidRPr="00797162">
        <w:rPr>
          <w:noProof/>
        </w:rPr>
        <w:t>2.1.</w:t>
      </w:r>
      <w:r w:rsidRPr="00797162">
        <w:rPr>
          <w:noProof/>
        </w:rPr>
        <w:tab/>
        <w:t>Järelevalve ja aruandluse reeglid</w:t>
      </w:r>
      <w:r w:rsidRPr="00797162">
        <w:rPr>
          <w:noProof/>
        </w:rPr>
        <w:tab/>
      </w:r>
      <w:r w:rsidRPr="00797162">
        <w:rPr>
          <w:noProof/>
          <w:webHidden/>
        </w:rPr>
        <w:t>8</w:t>
      </w:r>
    </w:p>
    <w:p w14:paraId="3F27D5F9" w14:textId="77777777" w:rsidR="00BF22EA" w:rsidRPr="00797162" w:rsidRDefault="00BF22EA" w:rsidP="00BF22EA">
      <w:pPr>
        <w:tabs>
          <w:tab w:val="right" w:leader="dot" w:pos="9071"/>
        </w:tabs>
        <w:spacing w:before="60"/>
        <w:ind w:left="850" w:hanging="850"/>
        <w:jc w:val="left"/>
        <w:rPr>
          <w:rFonts w:asciiTheme="minorHAnsi" w:hAnsiTheme="minorHAnsi"/>
          <w:noProof/>
          <w:kern w:val="2"/>
          <w:sz w:val="22"/>
          <w14:ligatures w14:val="standardContextual"/>
        </w:rPr>
      </w:pPr>
      <w:r w:rsidRPr="00797162">
        <w:rPr>
          <w:noProof/>
        </w:rPr>
        <w:t>2.2.</w:t>
      </w:r>
      <w:r w:rsidRPr="00797162">
        <w:rPr>
          <w:noProof/>
        </w:rPr>
        <w:tab/>
        <w:t>Haldus- ja kontrollisüsteem(id)</w:t>
      </w:r>
      <w:r w:rsidRPr="00797162">
        <w:rPr>
          <w:noProof/>
        </w:rPr>
        <w:tab/>
      </w:r>
      <w:r w:rsidRPr="00797162">
        <w:rPr>
          <w:noProof/>
          <w:webHidden/>
        </w:rPr>
        <w:t>8</w:t>
      </w:r>
    </w:p>
    <w:p w14:paraId="76488766" w14:textId="77777777" w:rsidR="00BF22EA" w:rsidRPr="00797162" w:rsidRDefault="00BF22EA" w:rsidP="00BF22EA">
      <w:pPr>
        <w:tabs>
          <w:tab w:val="right" w:leader="dot" w:pos="9071"/>
        </w:tabs>
        <w:spacing w:before="60"/>
        <w:ind w:left="850" w:hanging="850"/>
        <w:jc w:val="left"/>
        <w:rPr>
          <w:rFonts w:asciiTheme="minorHAnsi" w:hAnsiTheme="minorHAnsi"/>
          <w:noProof/>
          <w:kern w:val="2"/>
          <w:sz w:val="22"/>
          <w14:ligatures w14:val="standardContextual"/>
        </w:rPr>
      </w:pPr>
      <w:r w:rsidRPr="00797162">
        <w:rPr>
          <w:noProof/>
        </w:rPr>
        <w:t>2.2.1.</w:t>
      </w:r>
      <w:r w:rsidRPr="00797162">
        <w:rPr>
          <w:noProof/>
        </w:rPr>
        <w:tab/>
        <w:t>Eelarve täitmise viisi(de), rahastuse rakendamise mehhanismi(de), maksete tegemise korra ja kavandatava kontrollistrateegia selgitus</w:t>
      </w:r>
      <w:r w:rsidRPr="00797162">
        <w:rPr>
          <w:noProof/>
        </w:rPr>
        <w:tab/>
      </w:r>
      <w:r w:rsidRPr="00797162">
        <w:rPr>
          <w:noProof/>
          <w:webHidden/>
        </w:rPr>
        <w:t>8</w:t>
      </w:r>
    </w:p>
    <w:p w14:paraId="577F3B01" w14:textId="77777777" w:rsidR="00BF22EA" w:rsidRPr="00797162" w:rsidRDefault="00BF22EA" w:rsidP="00BF22EA">
      <w:pPr>
        <w:tabs>
          <w:tab w:val="right" w:leader="dot" w:pos="9071"/>
        </w:tabs>
        <w:spacing w:before="60"/>
        <w:ind w:left="850" w:hanging="850"/>
        <w:jc w:val="left"/>
        <w:rPr>
          <w:rFonts w:asciiTheme="minorHAnsi" w:hAnsiTheme="minorHAnsi"/>
          <w:noProof/>
          <w:kern w:val="2"/>
          <w:sz w:val="22"/>
          <w14:ligatures w14:val="standardContextual"/>
        </w:rPr>
      </w:pPr>
      <w:r w:rsidRPr="00797162">
        <w:rPr>
          <w:noProof/>
        </w:rPr>
        <w:t>2.2.2.</w:t>
      </w:r>
      <w:r w:rsidRPr="00797162">
        <w:rPr>
          <w:noProof/>
        </w:rPr>
        <w:tab/>
        <w:t>Teave kindlakstehtud riskide ja nende vähendamiseks kasutusele võetud sisekontrollisüsteemi(de) kohta</w:t>
      </w:r>
      <w:r w:rsidRPr="00797162">
        <w:rPr>
          <w:noProof/>
        </w:rPr>
        <w:tab/>
      </w:r>
      <w:r w:rsidRPr="00797162">
        <w:rPr>
          <w:noProof/>
          <w:webHidden/>
        </w:rPr>
        <w:t>8</w:t>
      </w:r>
    </w:p>
    <w:p w14:paraId="47078562" w14:textId="77777777" w:rsidR="00BF22EA" w:rsidRPr="00797162" w:rsidRDefault="00BF22EA" w:rsidP="00BF22EA">
      <w:pPr>
        <w:tabs>
          <w:tab w:val="right" w:leader="dot" w:pos="9071"/>
        </w:tabs>
        <w:spacing w:before="60"/>
        <w:ind w:left="850" w:hanging="850"/>
        <w:jc w:val="left"/>
        <w:rPr>
          <w:rFonts w:asciiTheme="minorHAnsi" w:hAnsiTheme="minorHAnsi"/>
          <w:noProof/>
          <w:kern w:val="2"/>
          <w:sz w:val="22"/>
          <w14:ligatures w14:val="standardContextual"/>
        </w:rPr>
      </w:pPr>
      <w:r w:rsidRPr="00797162">
        <w:rPr>
          <w:noProof/>
        </w:rPr>
        <w:t>2.2.3.</w:t>
      </w:r>
      <w:r w:rsidRPr="00797162">
        <w:rPr>
          <w:noProof/>
        </w:rPr>
        <w:tab/>
        <w:t>Kontrollimeetmete hinnanguline kulutõhusus (kontrollikulude suhe hallatavate vahendite väärtusse), selle põhjendus ja oodatav veariski tase (maksete tegemise ja sulgemise ajal)</w:t>
      </w:r>
      <w:r w:rsidRPr="00797162">
        <w:rPr>
          <w:noProof/>
        </w:rPr>
        <w:tab/>
      </w:r>
      <w:r w:rsidRPr="00797162">
        <w:rPr>
          <w:noProof/>
          <w:webHidden/>
        </w:rPr>
        <w:t>8</w:t>
      </w:r>
    </w:p>
    <w:p w14:paraId="0694C949" w14:textId="77777777" w:rsidR="00BF22EA" w:rsidRPr="00797162" w:rsidRDefault="00BF22EA" w:rsidP="00BF22EA">
      <w:pPr>
        <w:tabs>
          <w:tab w:val="right" w:leader="dot" w:pos="9071"/>
        </w:tabs>
        <w:spacing w:before="60"/>
        <w:ind w:left="850" w:hanging="850"/>
        <w:jc w:val="left"/>
        <w:rPr>
          <w:rFonts w:asciiTheme="minorHAnsi" w:hAnsiTheme="minorHAnsi"/>
          <w:noProof/>
          <w:kern w:val="2"/>
          <w:sz w:val="22"/>
          <w14:ligatures w14:val="standardContextual"/>
        </w:rPr>
      </w:pPr>
      <w:r w:rsidRPr="00797162">
        <w:rPr>
          <w:noProof/>
        </w:rPr>
        <w:t>2.3.</w:t>
      </w:r>
      <w:r w:rsidRPr="00797162">
        <w:rPr>
          <w:noProof/>
        </w:rPr>
        <w:tab/>
        <w:t>Pettuste ja õigusnormide rikkumise ärahoidmise meetmed</w:t>
      </w:r>
      <w:r w:rsidRPr="00797162">
        <w:rPr>
          <w:noProof/>
        </w:rPr>
        <w:tab/>
      </w:r>
      <w:r w:rsidRPr="00797162">
        <w:rPr>
          <w:noProof/>
          <w:webHidden/>
        </w:rPr>
        <w:t>9</w:t>
      </w:r>
    </w:p>
    <w:p w14:paraId="14FAB057" w14:textId="77777777" w:rsidR="00BF22EA" w:rsidRPr="00797162" w:rsidRDefault="00BF22EA" w:rsidP="00BF22EA">
      <w:pPr>
        <w:tabs>
          <w:tab w:val="right" w:leader="dot" w:pos="8914"/>
        </w:tabs>
        <w:spacing w:before="60"/>
        <w:ind w:left="850" w:hanging="850"/>
        <w:jc w:val="left"/>
        <w:rPr>
          <w:rFonts w:asciiTheme="minorHAnsi" w:hAnsiTheme="minorHAnsi"/>
          <w:noProof/>
          <w:kern w:val="2"/>
          <w:sz w:val="22"/>
          <w14:ligatures w14:val="standardContextual"/>
        </w:rPr>
      </w:pPr>
      <w:r w:rsidRPr="00797162">
        <w:rPr>
          <w:noProof/>
        </w:rPr>
        <w:t>3.</w:t>
      </w:r>
      <w:r w:rsidRPr="00797162">
        <w:rPr>
          <w:noProof/>
        </w:rPr>
        <w:tab/>
        <w:t>ETTEPANEKU/ALGATUSE HINNANGULINE FINANTSMÕJU</w:t>
      </w:r>
      <w:r w:rsidRPr="00797162">
        <w:rPr>
          <w:noProof/>
        </w:rPr>
        <w:tab/>
      </w:r>
      <w:r w:rsidRPr="00797162">
        <w:rPr>
          <w:noProof/>
          <w:webHidden/>
        </w:rPr>
        <w:t>10</w:t>
      </w:r>
    </w:p>
    <w:p w14:paraId="704BC3A2" w14:textId="77777777" w:rsidR="00BF22EA" w:rsidRPr="00797162" w:rsidRDefault="00BF22EA" w:rsidP="00BF22EA">
      <w:pPr>
        <w:tabs>
          <w:tab w:val="right" w:leader="dot" w:pos="9071"/>
        </w:tabs>
        <w:spacing w:before="60"/>
        <w:ind w:left="850" w:hanging="850"/>
        <w:jc w:val="left"/>
        <w:rPr>
          <w:rFonts w:asciiTheme="minorHAnsi" w:hAnsiTheme="minorHAnsi"/>
          <w:noProof/>
          <w:kern w:val="2"/>
          <w:sz w:val="22"/>
          <w14:ligatures w14:val="standardContextual"/>
        </w:rPr>
      </w:pPr>
      <w:r w:rsidRPr="00797162">
        <w:rPr>
          <w:noProof/>
        </w:rPr>
        <w:t>3.1.</w:t>
      </w:r>
      <w:r w:rsidRPr="00797162">
        <w:rPr>
          <w:noProof/>
        </w:rPr>
        <w:tab/>
        <w:t>Mitmeaastase finantsraamistiku rubriigid ja kulude eelarveread, millele mõju avaldub</w:t>
      </w:r>
      <w:r w:rsidRPr="00797162">
        <w:rPr>
          <w:noProof/>
        </w:rPr>
        <w:tab/>
      </w:r>
      <w:r w:rsidRPr="00797162">
        <w:rPr>
          <w:noProof/>
          <w:webHidden/>
        </w:rPr>
        <w:t>10</w:t>
      </w:r>
    </w:p>
    <w:p w14:paraId="259D0960" w14:textId="77777777" w:rsidR="00BF22EA" w:rsidRPr="00797162" w:rsidRDefault="00BF22EA" w:rsidP="00BF22EA">
      <w:pPr>
        <w:tabs>
          <w:tab w:val="right" w:leader="dot" w:pos="9071"/>
        </w:tabs>
        <w:spacing w:before="60"/>
        <w:ind w:left="850" w:hanging="850"/>
        <w:jc w:val="left"/>
        <w:rPr>
          <w:rFonts w:asciiTheme="minorHAnsi" w:hAnsiTheme="minorHAnsi"/>
          <w:noProof/>
          <w:kern w:val="2"/>
          <w:sz w:val="22"/>
          <w14:ligatures w14:val="standardContextual"/>
        </w:rPr>
      </w:pPr>
      <w:r w:rsidRPr="00797162">
        <w:rPr>
          <w:noProof/>
        </w:rPr>
        <w:t>3.2.</w:t>
      </w:r>
      <w:r w:rsidRPr="00797162">
        <w:rPr>
          <w:noProof/>
        </w:rPr>
        <w:tab/>
        <w:t>Ettepaneku hinnanguline finantsmõju assigneeringutele</w:t>
      </w:r>
      <w:r w:rsidRPr="00797162">
        <w:rPr>
          <w:noProof/>
        </w:rPr>
        <w:tab/>
      </w:r>
      <w:r w:rsidRPr="00797162">
        <w:rPr>
          <w:noProof/>
          <w:webHidden/>
        </w:rPr>
        <w:t>12</w:t>
      </w:r>
    </w:p>
    <w:p w14:paraId="147D7488" w14:textId="77777777" w:rsidR="00BF22EA" w:rsidRPr="00797162" w:rsidRDefault="00BF22EA" w:rsidP="00BF22EA">
      <w:pPr>
        <w:tabs>
          <w:tab w:val="right" w:leader="dot" w:pos="9071"/>
        </w:tabs>
        <w:spacing w:before="60"/>
        <w:ind w:left="850" w:hanging="850"/>
        <w:jc w:val="left"/>
        <w:rPr>
          <w:rFonts w:asciiTheme="minorHAnsi" w:hAnsiTheme="minorHAnsi"/>
          <w:noProof/>
          <w:kern w:val="2"/>
          <w:sz w:val="22"/>
          <w14:ligatures w14:val="standardContextual"/>
        </w:rPr>
      </w:pPr>
      <w:r w:rsidRPr="00797162">
        <w:rPr>
          <w:noProof/>
        </w:rPr>
        <w:t>3.2.1.</w:t>
      </w:r>
      <w:r w:rsidRPr="00797162">
        <w:rPr>
          <w:noProof/>
        </w:rPr>
        <w:tab/>
        <w:t>Hinnanguline mõju tegevusassigneeringutele – ülevaade</w:t>
      </w:r>
      <w:r w:rsidRPr="00797162">
        <w:rPr>
          <w:noProof/>
        </w:rPr>
        <w:tab/>
      </w:r>
      <w:r w:rsidRPr="00797162">
        <w:rPr>
          <w:noProof/>
          <w:webHidden/>
        </w:rPr>
        <w:t>12</w:t>
      </w:r>
    </w:p>
    <w:p w14:paraId="2BEC31EA" w14:textId="77777777" w:rsidR="00BF22EA" w:rsidRPr="00797162" w:rsidRDefault="00BF22EA" w:rsidP="00BF22EA">
      <w:pPr>
        <w:tabs>
          <w:tab w:val="right" w:leader="dot" w:pos="9071"/>
        </w:tabs>
        <w:spacing w:before="60"/>
        <w:ind w:left="850" w:hanging="850"/>
        <w:jc w:val="left"/>
        <w:rPr>
          <w:rFonts w:asciiTheme="minorHAnsi" w:hAnsiTheme="minorHAnsi"/>
          <w:noProof/>
          <w:kern w:val="2"/>
          <w:sz w:val="22"/>
          <w14:ligatures w14:val="standardContextual"/>
        </w:rPr>
      </w:pPr>
      <w:r w:rsidRPr="00797162">
        <w:rPr>
          <w:noProof/>
        </w:rPr>
        <w:t>3.2.1,1.</w:t>
      </w:r>
      <w:r w:rsidRPr="00797162">
        <w:rPr>
          <w:noProof/>
        </w:rPr>
        <w:tab/>
        <w:t>Heakskiidetud eelarvest saadavad assigneeringud</w:t>
      </w:r>
      <w:r w:rsidRPr="00797162">
        <w:rPr>
          <w:noProof/>
        </w:rPr>
        <w:tab/>
      </w:r>
      <w:r w:rsidRPr="00797162">
        <w:rPr>
          <w:noProof/>
          <w:webHidden/>
        </w:rPr>
        <w:t>12</w:t>
      </w:r>
    </w:p>
    <w:p w14:paraId="1F43B3CE" w14:textId="77777777" w:rsidR="00BF22EA" w:rsidRPr="00797162" w:rsidRDefault="00BF22EA" w:rsidP="00BF22EA">
      <w:pPr>
        <w:tabs>
          <w:tab w:val="right" w:leader="dot" w:pos="9071"/>
        </w:tabs>
        <w:spacing w:before="60"/>
        <w:ind w:left="850" w:hanging="850"/>
        <w:jc w:val="left"/>
        <w:rPr>
          <w:rFonts w:asciiTheme="minorHAnsi" w:hAnsiTheme="minorHAnsi"/>
          <w:noProof/>
          <w:kern w:val="2"/>
          <w:sz w:val="22"/>
          <w14:ligatures w14:val="standardContextual"/>
        </w:rPr>
      </w:pPr>
      <w:r w:rsidRPr="00797162">
        <w:rPr>
          <w:noProof/>
        </w:rPr>
        <w:t>3.2.1,2.</w:t>
      </w:r>
      <w:r w:rsidRPr="00797162">
        <w:rPr>
          <w:noProof/>
        </w:rPr>
        <w:tab/>
        <w:t>Sihtotstarbelisest välistulust saadavad assigneeringud</w:t>
      </w:r>
      <w:r w:rsidRPr="00797162">
        <w:rPr>
          <w:noProof/>
        </w:rPr>
        <w:tab/>
      </w:r>
      <w:r w:rsidRPr="00797162">
        <w:rPr>
          <w:noProof/>
          <w:webHidden/>
        </w:rPr>
        <w:t>17</w:t>
      </w:r>
    </w:p>
    <w:p w14:paraId="0355987E" w14:textId="77777777" w:rsidR="00BF22EA" w:rsidRPr="00797162" w:rsidRDefault="00BF22EA" w:rsidP="00BF22EA">
      <w:pPr>
        <w:tabs>
          <w:tab w:val="right" w:leader="dot" w:pos="9071"/>
        </w:tabs>
        <w:spacing w:before="60"/>
        <w:ind w:left="850" w:hanging="850"/>
        <w:jc w:val="left"/>
        <w:rPr>
          <w:rFonts w:asciiTheme="minorHAnsi" w:hAnsiTheme="minorHAnsi"/>
          <w:noProof/>
          <w:kern w:val="2"/>
          <w:sz w:val="22"/>
          <w14:ligatures w14:val="standardContextual"/>
        </w:rPr>
      </w:pPr>
      <w:r w:rsidRPr="00797162">
        <w:rPr>
          <w:noProof/>
        </w:rPr>
        <w:t>3.2.2.</w:t>
      </w:r>
      <w:r w:rsidRPr="00797162">
        <w:rPr>
          <w:noProof/>
        </w:rPr>
        <w:tab/>
        <w:t>Hinnanguline tegevusassigneeringutest rahastatav väljund</w:t>
      </w:r>
      <w:r w:rsidRPr="00797162">
        <w:rPr>
          <w:noProof/>
        </w:rPr>
        <w:tab/>
      </w:r>
      <w:r w:rsidRPr="00797162">
        <w:rPr>
          <w:noProof/>
          <w:webHidden/>
        </w:rPr>
        <w:t>22</w:t>
      </w:r>
    </w:p>
    <w:p w14:paraId="05C7C529" w14:textId="77777777" w:rsidR="00BF22EA" w:rsidRPr="00797162" w:rsidRDefault="00BF22EA" w:rsidP="00BF22EA">
      <w:pPr>
        <w:tabs>
          <w:tab w:val="right" w:leader="dot" w:pos="9071"/>
        </w:tabs>
        <w:spacing w:before="60"/>
        <w:ind w:left="850" w:hanging="850"/>
        <w:jc w:val="left"/>
        <w:rPr>
          <w:rFonts w:asciiTheme="minorHAnsi" w:hAnsiTheme="minorHAnsi"/>
          <w:noProof/>
          <w:kern w:val="2"/>
          <w:sz w:val="22"/>
          <w14:ligatures w14:val="standardContextual"/>
        </w:rPr>
      </w:pPr>
      <w:r w:rsidRPr="00797162">
        <w:rPr>
          <w:noProof/>
        </w:rPr>
        <w:t>3.2.3.</w:t>
      </w:r>
      <w:r w:rsidRPr="00797162">
        <w:rPr>
          <w:noProof/>
        </w:rPr>
        <w:tab/>
        <w:t>Hinnanguline mõju haldusassigneeringutele – ülevaade</w:t>
      </w:r>
      <w:r w:rsidRPr="00797162">
        <w:rPr>
          <w:noProof/>
        </w:rPr>
        <w:tab/>
      </w:r>
      <w:r w:rsidRPr="00797162">
        <w:rPr>
          <w:noProof/>
          <w:webHidden/>
        </w:rPr>
        <w:t>24</w:t>
      </w:r>
    </w:p>
    <w:p w14:paraId="5BE36FE3" w14:textId="77777777" w:rsidR="00BF22EA" w:rsidRPr="00797162" w:rsidRDefault="00BF22EA" w:rsidP="00BF22EA">
      <w:pPr>
        <w:tabs>
          <w:tab w:val="right" w:leader="dot" w:pos="9071"/>
        </w:tabs>
        <w:spacing w:before="60"/>
        <w:ind w:left="850" w:hanging="850"/>
        <w:jc w:val="left"/>
        <w:rPr>
          <w:rFonts w:asciiTheme="minorHAnsi" w:hAnsiTheme="minorHAnsi"/>
          <w:noProof/>
          <w:kern w:val="2"/>
          <w:sz w:val="22"/>
          <w14:ligatures w14:val="standardContextual"/>
        </w:rPr>
      </w:pPr>
      <w:r w:rsidRPr="00797162">
        <w:rPr>
          <w:noProof/>
        </w:rPr>
        <w:t>3.2.3,1. Heakskiidetud eelarvest saadavad assigneeringud</w:t>
      </w:r>
      <w:r w:rsidRPr="00797162">
        <w:rPr>
          <w:noProof/>
        </w:rPr>
        <w:tab/>
      </w:r>
      <w:r w:rsidRPr="00797162">
        <w:rPr>
          <w:noProof/>
          <w:webHidden/>
        </w:rPr>
        <w:t>24</w:t>
      </w:r>
    </w:p>
    <w:p w14:paraId="3F4847EF" w14:textId="77777777" w:rsidR="00BF22EA" w:rsidRPr="00797162" w:rsidRDefault="00BF22EA" w:rsidP="00BF22EA">
      <w:pPr>
        <w:tabs>
          <w:tab w:val="right" w:leader="dot" w:pos="9071"/>
        </w:tabs>
        <w:spacing w:before="60"/>
        <w:ind w:left="850" w:hanging="850"/>
        <w:jc w:val="left"/>
        <w:rPr>
          <w:rFonts w:asciiTheme="minorHAnsi" w:hAnsiTheme="minorHAnsi"/>
          <w:noProof/>
          <w:kern w:val="2"/>
          <w:sz w:val="22"/>
          <w14:ligatures w14:val="standardContextual"/>
        </w:rPr>
      </w:pPr>
      <w:r w:rsidRPr="00797162">
        <w:rPr>
          <w:noProof/>
        </w:rPr>
        <w:t>3.2.3,2.</w:t>
      </w:r>
      <w:r w:rsidRPr="00797162">
        <w:rPr>
          <w:noProof/>
        </w:rPr>
        <w:tab/>
        <w:t>Sihtotstarbelisest välistulust saadavad assigneeringud</w:t>
      </w:r>
      <w:r w:rsidRPr="00797162">
        <w:rPr>
          <w:noProof/>
        </w:rPr>
        <w:tab/>
      </w:r>
      <w:r w:rsidRPr="00797162">
        <w:rPr>
          <w:noProof/>
          <w:webHidden/>
        </w:rPr>
        <w:t>24</w:t>
      </w:r>
    </w:p>
    <w:p w14:paraId="52FC67F3" w14:textId="77777777" w:rsidR="00BF22EA" w:rsidRPr="00797162" w:rsidRDefault="00BF22EA" w:rsidP="00BF22EA">
      <w:pPr>
        <w:tabs>
          <w:tab w:val="right" w:leader="dot" w:pos="8928"/>
        </w:tabs>
        <w:spacing w:before="60"/>
        <w:ind w:left="850" w:hanging="850"/>
        <w:jc w:val="left"/>
        <w:rPr>
          <w:rFonts w:asciiTheme="minorHAnsi" w:hAnsiTheme="minorHAnsi"/>
          <w:noProof/>
          <w:kern w:val="2"/>
          <w:sz w:val="22"/>
          <w14:ligatures w14:val="standardContextual"/>
        </w:rPr>
      </w:pPr>
      <w:r w:rsidRPr="00797162">
        <w:rPr>
          <w:noProof/>
        </w:rPr>
        <w:t>3.2.3,3.</w:t>
      </w:r>
      <w:r w:rsidRPr="00797162">
        <w:rPr>
          <w:noProof/>
        </w:rPr>
        <w:tab/>
        <w:t>Assigneeringud kokku</w:t>
      </w:r>
      <w:r w:rsidRPr="00797162">
        <w:rPr>
          <w:noProof/>
        </w:rPr>
        <w:tab/>
      </w:r>
      <w:r w:rsidRPr="00797162">
        <w:rPr>
          <w:noProof/>
          <w:webHidden/>
        </w:rPr>
        <w:t>24</w:t>
      </w:r>
    </w:p>
    <w:p w14:paraId="382CC419" w14:textId="77777777" w:rsidR="00BF22EA" w:rsidRPr="00797162" w:rsidRDefault="00BF22EA" w:rsidP="00BF22EA">
      <w:pPr>
        <w:tabs>
          <w:tab w:val="right" w:leader="dot" w:pos="9071"/>
        </w:tabs>
        <w:spacing w:before="60"/>
        <w:ind w:left="850" w:hanging="850"/>
        <w:jc w:val="left"/>
        <w:rPr>
          <w:rFonts w:asciiTheme="minorHAnsi" w:hAnsiTheme="minorHAnsi"/>
          <w:noProof/>
          <w:kern w:val="2"/>
          <w:sz w:val="22"/>
          <w14:ligatures w14:val="standardContextual"/>
        </w:rPr>
      </w:pPr>
      <w:r w:rsidRPr="00797162">
        <w:rPr>
          <w:noProof/>
        </w:rPr>
        <w:t>3.2.4.</w:t>
      </w:r>
      <w:r w:rsidRPr="00797162">
        <w:rPr>
          <w:noProof/>
        </w:rPr>
        <w:tab/>
        <w:t>Hinnanguline personalivajadus</w:t>
      </w:r>
      <w:r w:rsidRPr="00797162">
        <w:rPr>
          <w:noProof/>
        </w:rPr>
        <w:tab/>
      </w:r>
      <w:r w:rsidRPr="00797162">
        <w:rPr>
          <w:noProof/>
          <w:webHidden/>
        </w:rPr>
        <w:t>25</w:t>
      </w:r>
    </w:p>
    <w:p w14:paraId="286BBF5C" w14:textId="77777777" w:rsidR="00BF22EA" w:rsidRPr="00797162" w:rsidRDefault="00BF22EA" w:rsidP="00BF22EA">
      <w:pPr>
        <w:tabs>
          <w:tab w:val="right" w:leader="dot" w:pos="9071"/>
        </w:tabs>
        <w:spacing w:before="60"/>
        <w:ind w:left="850" w:hanging="850"/>
        <w:jc w:val="left"/>
        <w:rPr>
          <w:rFonts w:asciiTheme="minorHAnsi" w:hAnsiTheme="minorHAnsi"/>
          <w:noProof/>
          <w:kern w:val="2"/>
          <w:sz w:val="22"/>
          <w14:ligatures w14:val="standardContextual"/>
        </w:rPr>
      </w:pPr>
      <w:r w:rsidRPr="00797162">
        <w:rPr>
          <w:noProof/>
        </w:rPr>
        <w:t>3.2.4,1.</w:t>
      </w:r>
      <w:r w:rsidRPr="00797162">
        <w:rPr>
          <w:noProof/>
        </w:rPr>
        <w:tab/>
        <w:t>Rahastatakse heakskiidetud eelarvest</w:t>
      </w:r>
      <w:r w:rsidRPr="00797162">
        <w:rPr>
          <w:noProof/>
        </w:rPr>
        <w:tab/>
      </w:r>
      <w:r w:rsidRPr="00797162">
        <w:rPr>
          <w:noProof/>
          <w:webHidden/>
        </w:rPr>
        <w:t>25</w:t>
      </w:r>
    </w:p>
    <w:p w14:paraId="489902D0" w14:textId="77777777" w:rsidR="00BF22EA" w:rsidRPr="00797162" w:rsidRDefault="00BF22EA" w:rsidP="00BF22EA">
      <w:pPr>
        <w:tabs>
          <w:tab w:val="right" w:leader="dot" w:pos="9071"/>
        </w:tabs>
        <w:spacing w:before="60"/>
        <w:ind w:left="850" w:hanging="850"/>
        <w:jc w:val="left"/>
        <w:rPr>
          <w:rFonts w:asciiTheme="minorHAnsi" w:hAnsiTheme="minorHAnsi"/>
          <w:noProof/>
          <w:kern w:val="2"/>
          <w:sz w:val="22"/>
          <w14:ligatures w14:val="standardContextual"/>
        </w:rPr>
      </w:pPr>
      <w:r w:rsidRPr="00797162">
        <w:rPr>
          <w:noProof/>
        </w:rPr>
        <w:t>3.2.4,2.</w:t>
      </w:r>
      <w:r w:rsidRPr="00797162">
        <w:rPr>
          <w:noProof/>
        </w:rPr>
        <w:tab/>
        <w:t>Rahastatakse sihtotstarbelisest välistulust</w:t>
      </w:r>
      <w:r w:rsidRPr="00797162">
        <w:rPr>
          <w:noProof/>
        </w:rPr>
        <w:tab/>
      </w:r>
      <w:r w:rsidRPr="00797162">
        <w:rPr>
          <w:noProof/>
          <w:webHidden/>
        </w:rPr>
        <w:t>26</w:t>
      </w:r>
    </w:p>
    <w:p w14:paraId="310DCFF6" w14:textId="77777777" w:rsidR="00BF22EA" w:rsidRPr="00797162" w:rsidRDefault="00BF22EA" w:rsidP="00BF22EA">
      <w:pPr>
        <w:tabs>
          <w:tab w:val="right" w:leader="dot" w:pos="8928"/>
        </w:tabs>
        <w:spacing w:before="60"/>
        <w:ind w:left="850" w:hanging="850"/>
        <w:jc w:val="left"/>
        <w:rPr>
          <w:rFonts w:asciiTheme="minorHAnsi" w:hAnsiTheme="minorHAnsi"/>
          <w:noProof/>
          <w:kern w:val="2"/>
          <w:sz w:val="22"/>
          <w14:ligatures w14:val="standardContextual"/>
        </w:rPr>
      </w:pPr>
      <w:r w:rsidRPr="00797162">
        <w:rPr>
          <w:noProof/>
        </w:rPr>
        <w:t>3.2.4,3.</w:t>
      </w:r>
      <w:r w:rsidRPr="00797162">
        <w:rPr>
          <w:noProof/>
        </w:rPr>
        <w:tab/>
        <w:t>Personalivajadus kokku</w:t>
      </w:r>
      <w:r w:rsidRPr="00797162">
        <w:rPr>
          <w:noProof/>
        </w:rPr>
        <w:tab/>
      </w:r>
      <w:r w:rsidRPr="00797162">
        <w:rPr>
          <w:noProof/>
          <w:webHidden/>
        </w:rPr>
        <w:t>26</w:t>
      </w:r>
    </w:p>
    <w:p w14:paraId="79EFE781" w14:textId="77777777" w:rsidR="00BF22EA" w:rsidRPr="00797162" w:rsidRDefault="00BF22EA" w:rsidP="00BF22EA">
      <w:pPr>
        <w:tabs>
          <w:tab w:val="right" w:leader="dot" w:pos="9071"/>
        </w:tabs>
        <w:spacing w:before="60"/>
        <w:ind w:left="850" w:hanging="850"/>
        <w:jc w:val="left"/>
        <w:rPr>
          <w:rFonts w:asciiTheme="minorHAnsi" w:hAnsiTheme="minorHAnsi"/>
          <w:noProof/>
          <w:kern w:val="2"/>
          <w:sz w:val="22"/>
          <w14:ligatures w14:val="standardContextual"/>
        </w:rPr>
      </w:pPr>
      <w:r w:rsidRPr="00797162">
        <w:rPr>
          <w:noProof/>
        </w:rPr>
        <w:t>3.2.5.</w:t>
      </w:r>
      <w:r w:rsidRPr="00797162">
        <w:rPr>
          <w:noProof/>
        </w:rPr>
        <w:tab/>
        <w:t>Hinnanguline mõju digitehnoloogiaga seotud investeeringutele – ülevaade</w:t>
      </w:r>
      <w:r w:rsidRPr="00797162">
        <w:rPr>
          <w:noProof/>
        </w:rPr>
        <w:tab/>
      </w:r>
      <w:r w:rsidRPr="00797162">
        <w:rPr>
          <w:noProof/>
          <w:webHidden/>
        </w:rPr>
        <w:t>28</w:t>
      </w:r>
    </w:p>
    <w:p w14:paraId="03914996" w14:textId="77777777" w:rsidR="00BF22EA" w:rsidRPr="00797162" w:rsidRDefault="00BF22EA" w:rsidP="00BF22EA">
      <w:pPr>
        <w:tabs>
          <w:tab w:val="right" w:leader="dot" w:pos="9071"/>
        </w:tabs>
        <w:spacing w:before="60"/>
        <w:ind w:left="850" w:hanging="850"/>
        <w:jc w:val="left"/>
        <w:rPr>
          <w:rFonts w:asciiTheme="minorHAnsi" w:hAnsiTheme="minorHAnsi"/>
          <w:noProof/>
          <w:kern w:val="2"/>
          <w:sz w:val="22"/>
          <w14:ligatures w14:val="standardContextual"/>
        </w:rPr>
      </w:pPr>
      <w:r w:rsidRPr="00797162">
        <w:rPr>
          <w:noProof/>
        </w:rPr>
        <w:t>3.2.6.</w:t>
      </w:r>
      <w:r w:rsidRPr="00797162">
        <w:rPr>
          <w:noProof/>
        </w:rPr>
        <w:tab/>
        <w:t>Kooskõla kehtiva mitmeaastase finantsraamistikuga</w:t>
      </w:r>
      <w:r w:rsidRPr="00797162">
        <w:rPr>
          <w:noProof/>
        </w:rPr>
        <w:tab/>
      </w:r>
      <w:r w:rsidRPr="00797162">
        <w:rPr>
          <w:noProof/>
          <w:webHidden/>
        </w:rPr>
        <w:t>28</w:t>
      </w:r>
    </w:p>
    <w:p w14:paraId="77C0AD92" w14:textId="77777777" w:rsidR="00BF22EA" w:rsidRPr="00797162" w:rsidRDefault="00BF22EA" w:rsidP="00BF22EA">
      <w:pPr>
        <w:tabs>
          <w:tab w:val="right" w:leader="dot" w:pos="9071"/>
        </w:tabs>
        <w:spacing w:before="60"/>
        <w:ind w:left="850" w:hanging="850"/>
        <w:jc w:val="left"/>
        <w:rPr>
          <w:rFonts w:asciiTheme="minorHAnsi" w:hAnsiTheme="minorHAnsi"/>
          <w:noProof/>
          <w:kern w:val="2"/>
          <w:sz w:val="22"/>
          <w14:ligatures w14:val="standardContextual"/>
        </w:rPr>
      </w:pPr>
      <w:r w:rsidRPr="00797162">
        <w:rPr>
          <w:noProof/>
        </w:rPr>
        <w:t>3.2.7.</w:t>
      </w:r>
      <w:r w:rsidRPr="00797162">
        <w:rPr>
          <w:noProof/>
        </w:rPr>
        <w:tab/>
        <w:t>Kolmandate isikute rahaline osalus</w:t>
      </w:r>
      <w:r w:rsidRPr="00797162">
        <w:rPr>
          <w:noProof/>
        </w:rPr>
        <w:tab/>
      </w:r>
      <w:r w:rsidRPr="00797162">
        <w:rPr>
          <w:noProof/>
          <w:webHidden/>
        </w:rPr>
        <w:t>28</w:t>
      </w:r>
    </w:p>
    <w:p w14:paraId="35CFAF14" w14:textId="77777777" w:rsidR="00BF22EA" w:rsidRPr="00797162" w:rsidRDefault="00BF22EA" w:rsidP="00BF22EA">
      <w:pPr>
        <w:tabs>
          <w:tab w:val="right" w:leader="dot" w:pos="9071"/>
        </w:tabs>
        <w:spacing w:before="60"/>
        <w:ind w:left="850" w:hanging="850"/>
        <w:jc w:val="left"/>
        <w:rPr>
          <w:rFonts w:asciiTheme="minorHAnsi" w:hAnsiTheme="minorHAnsi"/>
          <w:noProof/>
          <w:kern w:val="2"/>
          <w:sz w:val="22"/>
          <w14:ligatures w14:val="standardContextual"/>
        </w:rPr>
      </w:pPr>
      <w:r w:rsidRPr="00797162">
        <w:rPr>
          <w:noProof/>
        </w:rPr>
        <w:t>3.3.</w:t>
      </w:r>
      <w:r w:rsidRPr="00797162">
        <w:rPr>
          <w:noProof/>
        </w:rPr>
        <w:tab/>
        <w:t>Hinnanguline mõju tuludele</w:t>
      </w:r>
      <w:r w:rsidRPr="00797162">
        <w:rPr>
          <w:noProof/>
        </w:rPr>
        <w:tab/>
      </w:r>
      <w:r w:rsidRPr="00797162">
        <w:rPr>
          <w:noProof/>
          <w:webHidden/>
        </w:rPr>
        <w:t>29</w:t>
      </w:r>
    </w:p>
    <w:p w14:paraId="7B7C619D" w14:textId="77777777" w:rsidR="00BF22EA" w:rsidRPr="00797162" w:rsidRDefault="00BF22EA" w:rsidP="00BF22EA">
      <w:pPr>
        <w:tabs>
          <w:tab w:val="right" w:leader="dot" w:pos="8928"/>
        </w:tabs>
        <w:spacing w:before="60"/>
        <w:ind w:left="850" w:hanging="850"/>
        <w:jc w:val="left"/>
        <w:rPr>
          <w:rFonts w:asciiTheme="minorHAnsi" w:hAnsiTheme="minorHAnsi"/>
          <w:noProof/>
          <w:kern w:val="2"/>
          <w:sz w:val="22"/>
          <w14:ligatures w14:val="standardContextual"/>
        </w:rPr>
      </w:pPr>
      <w:r w:rsidRPr="00797162">
        <w:rPr>
          <w:noProof/>
        </w:rPr>
        <w:t>4.</w:t>
      </w:r>
      <w:r w:rsidRPr="00797162">
        <w:rPr>
          <w:noProof/>
        </w:rPr>
        <w:tab/>
      </w:r>
      <w:r w:rsidRPr="00797162">
        <w:rPr>
          <w:caps/>
          <w:noProof/>
        </w:rPr>
        <w:t>Digimõõde</w:t>
      </w:r>
      <w:r w:rsidRPr="00797162">
        <w:rPr>
          <w:noProof/>
        </w:rPr>
        <w:tab/>
      </w:r>
      <w:r w:rsidRPr="00797162">
        <w:rPr>
          <w:noProof/>
          <w:webHidden/>
        </w:rPr>
        <w:t>29</w:t>
      </w:r>
    </w:p>
    <w:p w14:paraId="6DB9AB95" w14:textId="77777777" w:rsidR="00BF22EA" w:rsidRPr="00797162" w:rsidRDefault="00BF22EA" w:rsidP="00BF22EA">
      <w:pPr>
        <w:tabs>
          <w:tab w:val="right" w:leader="dot" w:pos="9071"/>
        </w:tabs>
        <w:spacing w:before="60"/>
        <w:ind w:left="850" w:hanging="850"/>
        <w:jc w:val="left"/>
        <w:rPr>
          <w:rFonts w:asciiTheme="minorHAnsi" w:hAnsiTheme="minorHAnsi"/>
          <w:noProof/>
          <w:kern w:val="2"/>
          <w:sz w:val="22"/>
          <w14:ligatures w14:val="standardContextual"/>
        </w:rPr>
      </w:pPr>
      <w:r w:rsidRPr="00797162">
        <w:rPr>
          <w:noProof/>
        </w:rPr>
        <w:t>4.1.</w:t>
      </w:r>
      <w:r w:rsidRPr="00797162">
        <w:rPr>
          <w:noProof/>
        </w:rPr>
        <w:tab/>
        <w:t>Diginõuded</w:t>
      </w:r>
      <w:r w:rsidRPr="00797162">
        <w:rPr>
          <w:noProof/>
        </w:rPr>
        <w:tab/>
      </w:r>
      <w:r w:rsidRPr="00797162">
        <w:rPr>
          <w:noProof/>
          <w:webHidden/>
        </w:rPr>
        <w:t>30</w:t>
      </w:r>
    </w:p>
    <w:p w14:paraId="06F87489" w14:textId="77777777" w:rsidR="00BF22EA" w:rsidRPr="00797162" w:rsidRDefault="00BF22EA" w:rsidP="00BF22EA">
      <w:pPr>
        <w:tabs>
          <w:tab w:val="right" w:leader="dot" w:pos="9071"/>
        </w:tabs>
        <w:spacing w:before="60"/>
        <w:ind w:left="850" w:hanging="850"/>
        <w:jc w:val="left"/>
        <w:rPr>
          <w:rFonts w:asciiTheme="minorHAnsi" w:hAnsiTheme="minorHAnsi"/>
          <w:noProof/>
          <w:kern w:val="2"/>
          <w:sz w:val="22"/>
          <w14:ligatures w14:val="standardContextual"/>
        </w:rPr>
      </w:pPr>
      <w:r w:rsidRPr="00797162">
        <w:rPr>
          <w:noProof/>
        </w:rPr>
        <w:t>4.2.</w:t>
      </w:r>
      <w:r w:rsidRPr="00797162">
        <w:rPr>
          <w:noProof/>
        </w:rPr>
        <w:tab/>
        <w:t>Andmed</w:t>
      </w:r>
      <w:r w:rsidRPr="00797162">
        <w:rPr>
          <w:noProof/>
        </w:rPr>
        <w:tab/>
      </w:r>
      <w:r w:rsidRPr="00797162">
        <w:rPr>
          <w:noProof/>
          <w:webHidden/>
        </w:rPr>
        <w:t>30</w:t>
      </w:r>
    </w:p>
    <w:p w14:paraId="049B538F" w14:textId="77777777" w:rsidR="00BF22EA" w:rsidRPr="00797162" w:rsidRDefault="00BF22EA" w:rsidP="00BF22EA">
      <w:pPr>
        <w:tabs>
          <w:tab w:val="right" w:leader="dot" w:pos="9071"/>
        </w:tabs>
        <w:spacing w:before="60"/>
        <w:ind w:left="850" w:hanging="850"/>
        <w:jc w:val="left"/>
        <w:rPr>
          <w:rFonts w:asciiTheme="minorHAnsi" w:hAnsiTheme="minorHAnsi"/>
          <w:noProof/>
          <w:kern w:val="2"/>
          <w:sz w:val="22"/>
          <w14:ligatures w14:val="standardContextual"/>
        </w:rPr>
      </w:pPr>
      <w:r w:rsidRPr="00797162">
        <w:rPr>
          <w:noProof/>
        </w:rPr>
        <w:t>4.3.</w:t>
      </w:r>
      <w:r w:rsidRPr="00797162">
        <w:rPr>
          <w:noProof/>
        </w:rPr>
        <w:tab/>
        <w:t>Digilahendused</w:t>
      </w:r>
      <w:r w:rsidRPr="00797162">
        <w:rPr>
          <w:noProof/>
        </w:rPr>
        <w:tab/>
      </w:r>
      <w:r w:rsidRPr="00797162">
        <w:rPr>
          <w:noProof/>
          <w:webHidden/>
        </w:rPr>
        <w:t>31</w:t>
      </w:r>
    </w:p>
    <w:p w14:paraId="55E159BB" w14:textId="77777777" w:rsidR="00BF22EA" w:rsidRPr="00797162" w:rsidRDefault="00BF22EA" w:rsidP="00BF22EA">
      <w:pPr>
        <w:tabs>
          <w:tab w:val="right" w:leader="dot" w:pos="9071"/>
        </w:tabs>
        <w:spacing w:before="60"/>
        <w:ind w:left="850" w:hanging="850"/>
        <w:jc w:val="left"/>
        <w:rPr>
          <w:rFonts w:asciiTheme="minorHAnsi" w:hAnsiTheme="minorHAnsi"/>
          <w:noProof/>
          <w:kern w:val="2"/>
          <w:sz w:val="22"/>
          <w14:ligatures w14:val="standardContextual"/>
        </w:rPr>
      </w:pPr>
      <w:r w:rsidRPr="00797162">
        <w:rPr>
          <w:noProof/>
        </w:rPr>
        <w:t>4.4.</w:t>
      </w:r>
      <w:r w:rsidRPr="00797162">
        <w:rPr>
          <w:noProof/>
        </w:rPr>
        <w:tab/>
        <w:t>Koostalitlusvõime hindamine</w:t>
      </w:r>
      <w:r w:rsidRPr="00797162">
        <w:rPr>
          <w:noProof/>
        </w:rPr>
        <w:tab/>
      </w:r>
      <w:r w:rsidRPr="00797162">
        <w:rPr>
          <w:noProof/>
          <w:webHidden/>
        </w:rPr>
        <w:t>31</w:t>
      </w:r>
    </w:p>
    <w:p w14:paraId="413C5165" w14:textId="77777777" w:rsidR="00BF22EA" w:rsidRPr="00797162" w:rsidRDefault="00BF22EA" w:rsidP="00BF22EA">
      <w:pPr>
        <w:tabs>
          <w:tab w:val="right" w:leader="dot" w:pos="9071"/>
        </w:tabs>
        <w:spacing w:before="60"/>
        <w:ind w:left="850" w:hanging="850"/>
        <w:jc w:val="left"/>
        <w:rPr>
          <w:rFonts w:asciiTheme="minorHAnsi" w:hAnsiTheme="minorHAnsi"/>
          <w:noProof/>
          <w:kern w:val="2"/>
          <w:sz w:val="22"/>
          <w14:ligatures w14:val="standardContextual"/>
        </w:rPr>
      </w:pPr>
      <w:r w:rsidRPr="00797162">
        <w:rPr>
          <w:noProof/>
        </w:rPr>
        <w:t>4.5.</w:t>
      </w:r>
      <w:r w:rsidRPr="00797162">
        <w:rPr>
          <w:noProof/>
        </w:rPr>
        <w:tab/>
        <w:t>Digimõõtme rakendamist toetavad meetmed</w:t>
      </w:r>
      <w:r w:rsidRPr="00797162">
        <w:rPr>
          <w:noProof/>
        </w:rPr>
        <w:tab/>
      </w:r>
      <w:r w:rsidRPr="00797162">
        <w:rPr>
          <w:noProof/>
          <w:webHidden/>
        </w:rPr>
        <w:t>32</w:t>
      </w:r>
    </w:p>
    <w:p w14:paraId="420B7033" w14:textId="77777777" w:rsidR="00BF22EA" w:rsidRPr="00797162" w:rsidRDefault="00BF22EA" w:rsidP="00BF22EA">
      <w:pPr>
        <w:tabs>
          <w:tab w:val="right" w:leader="dot" w:pos="9071"/>
        </w:tabs>
        <w:spacing w:before="60"/>
        <w:jc w:val="left"/>
        <w:rPr>
          <w:noProof/>
        </w:rPr>
        <w:sectPr w:rsidR="00BF22EA" w:rsidRPr="00797162" w:rsidSect="00B662D8">
          <w:pgSz w:w="11907" w:h="16840" w:code="9"/>
          <w:pgMar w:top="1134" w:right="1418" w:bottom="1134" w:left="1418" w:header="709" w:footer="709" w:gutter="0"/>
          <w:pgNumType w:start="1"/>
          <w:cols w:space="720"/>
          <w:docGrid w:linePitch="360"/>
        </w:sectPr>
      </w:pPr>
    </w:p>
    <w:p w14:paraId="4BDC2C91" w14:textId="77777777" w:rsidR="00BF22EA" w:rsidRPr="00797162" w:rsidRDefault="00BF22EA" w:rsidP="00BF22EA">
      <w:pPr>
        <w:keepNext/>
        <w:tabs>
          <w:tab w:val="left" w:pos="850"/>
        </w:tabs>
        <w:spacing w:before="360"/>
        <w:ind w:left="850" w:hanging="850"/>
        <w:outlineLvl w:val="0"/>
        <w:rPr>
          <w:b/>
          <w:smallCaps/>
          <w:noProof/>
        </w:rPr>
      </w:pPr>
      <w:bookmarkStart w:id="22" w:name="_Toc514938007"/>
      <w:bookmarkStart w:id="23" w:name="_Toc520485025"/>
      <w:bookmarkStart w:id="24" w:name="_Toc160804567"/>
      <w:bookmarkStart w:id="25" w:name="_Toc167220259"/>
      <w:bookmarkStart w:id="26" w:name="_Toc177548992"/>
      <w:r w:rsidRPr="00797162">
        <w:rPr>
          <w:b/>
          <w:smallCaps/>
          <w:noProof/>
        </w:rPr>
        <w:t>1.</w:t>
      </w:r>
      <w:r w:rsidRPr="00797162">
        <w:rPr>
          <w:noProof/>
        </w:rPr>
        <w:tab/>
      </w:r>
      <w:r w:rsidRPr="00797162">
        <w:rPr>
          <w:b/>
          <w:smallCaps/>
          <w:noProof/>
        </w:rPr>
        <w:t>ETTEPANEKU/ALGATUSE RAAMISTIK</w:t>
      </w:r>
      <w:bookmarkEnd w:id="22"/>
      <w:bookmarkEnd w:id="23"/>
      <w:bookmarkEnd w:id="24"/>
      <w:bookmarkEnd w:id="25"/>
      <w:bookmarkEnd w:id="26"/>
      <w:r w:rsidRPr="00797162">
        <w:rPr>
          <w:b/>
          <w:smallCaps/>
          <w:noProof/>
        </w:rPr>
        <w:t xml:space="preserve"> </w:t>
      </w:r>
    </w:p>
    <w:p w14:paraId="58A6A0EC" w14:textId="77777777" w:rsidR="00BF22EA" w:rsidRPr="00797162" w:rsidRDefault="00BF22EA" w:rsidP="00BF22EA">
      <w:pPr>
        <w:keepNext/>
        <w:tabs>
          <w:tab w:val="left" w:pos="850"/>
        </w:tabs>
        <w:ind w:left="850" w:hanging="850"/>
        <w:outlineLvl w:val="1"/>
        <w:rPr>
          <w:b/>
          <w:noProof/>
        </w:rPr>
      </w:pPr>
      <w:bookmarkStart w:id="27" w:name="_Toc514938008"/>
      <w:bookmarkStart w:id="28" w:name="_Toc520485026"/>
      <w:bookmarkStart w:id="29" w:name="_Toc160804568"/>
      <w:bookmarkStart w:id="30" w:name="_Toc167220260"/>
      <w:bookmarkStart w:id="31" w:name="_Toc177548993"/>
      <w:r w:rsidRPr="00797162">
        <w:rPr>
          <w:b/>
          <w:noProof/>
        </w:rPr>
        <w:t>1.1.</w:t>
      </w:r>
      <w:r w:rsidRPr="00797162">
        <w:rPr>
          <w:noProof/>
        </w:rPr>
        <w:tab/>
      </w:r>
      <w:r w:rsidRPr="00797162">
        <w:rPr>
          <w:b/>
          <w:noProof/>
        </w:rPr>
        <w:t>Ettepaneku/algatuse nimetus</w:t>
      </w:r>
      <w:bookmarkEnd w:id="27"/>
      <w:bookmarkEnd w:id="28"/>
      <w:bookmarkEnd w:id="29"/>
      <w:bookmarkEnd w:id="30"/>
      <w:bookmarkEnd w:id="31"/>
    </w:p>
    <w:p w14:paraId="0B786D4E" w14:textId="77777777" w:rsidR="00BF22EA" w:rsidRPr="00797162" w:rsidRDefault="00BF22EA" w:rsidP="00BF22EA">
      <w:pPr>
        <w:ind w:left="850"/>
        <w:rPr>
          <w:noProof/>
        </w:rPr>
      </w:pPr>
      <w:r w:rsidRPr="00797162">
        <w:rPr>
          <w:noProof/>
        </w:rPr>
        <w:t xml:space="preserve">Nõukogu määrus (Euratom), millega luuakse tuumaohutusalase koostöö ja dekomissioneerimise instrument ajavahemikuks 2028–2034. </w:t>
      </w:r>
    </w:p>
    <w:p w14:paraId="26060E92" w14:textId="77777777" w:rsidR="00BF22EA" w:rsidRPr="00797162" w:rsidRDefault="00BF22EA" w:rsidP="00BF22EA">
      <w:pPr>
        <w:keepNext/>
        <w:tabs>
          <w:tab w:val="left" w:pos="850"/>
        </w:tabs>
        <w:ind w:left="850" w:hanging="850"/>
        <w:outlineLvl w:val="1"/>
        <w:rPr>
          <w:b/>
          <w:i/>
          <w:noProof/>
        </w:rPr>
      </w:pPr>
      <w:bookmarkStart w:id="32" w:name="_Toc514938011"/>
      <w:bookmarkStart w:id="33" w:name="_Toc520485027"/>
      <w:bookmarkStart w:id="34" w:name="_Toc160804569"/>
      <w:bookmarkStart w:id="35" w:name="_Toc167220261"/>
      <w:bookmarkStart w:id="36" w:name="_Toc177548994"/>
      <w:r w:rsidRPr="00797162">
        <w:rPr>
          <w:b/>
          <w:noProof/>
        </w:rPr>
        <w:t>1.2.</w:t>
      </w:r>
      <w:r w:rsidRPr="00797162">
        <w:rPr>
          <w:noProof/>
        </w:rPr>
        <w:tab/>
      </w:r>
      <w:r w:rsidRPr="00797162">
        <w:rPr>
          <w:b/>
          <w:noProof/>
        </w:rPr>
        <w:t>Asjaomased poliitikavaldkonnad</w:t>
      </w:r>
      <w:bookmarkEnd w:id="32"/>
      <w:bookmarkEnd w:id="33"/>
      <w:bookmarkEnd w:id="34"/>
      <w:bookmarkEnd w:id="35"/>
      <w:bookmarkEnd w:id="36"/>
      <w:r w:rsidRPr="00797162">
        <w:rPr>
          <w:b/>
          <w:i/>
          <w:noProof/>
        </w:rPr>
        <w:t xml:space="preserve"> </w:t>
      </w:r>
    </w:p>
    <w:p w14:paraId="5169CA95" w14:textId="77777777" w:rsidR="00BF22EA" w:rsidRPr="00797162" w:rsidRDefault="00BF22EA" w:rsidP="00BF22EA">
      <w:pPr>
        <w:ind w:left="850"/>
        <w:rPr>
          <w:noProof/>
        </w:rPr>
      </w:pPr>
      <w:r w:rsidRPr="00797162">
        <w:rPr>
          <w:noProof/>
          <w:u w:val="single"/>
        </w:rPr>
        <w:t>Tuumaohutus</w:t>
      </w:r>
    </w:p>
    <w:p w14:paraId="628DA446" w14:textId="77777777" w:rsidR="00BF22EA" w:rsidRPr="00797162" w:rsidRDefault="00BF22EA" w:rsidP="00BF22EA">
      <w:pPr>
        <w:keepNext/>
        <w:tabs>
          <w:tab w:val="left" w:pos="850"/>
        </w:tabs>
        <w:ind w:left="850" w:hanging="850"/>
        <w:outlineLvl w:val="1"/>
        <w:rPr>
          <w:b/>
          <w:noProof/>
        </w:rPr>
      </w:pPr>
      <w:bookmarkStart w:id="37" w:name="_Toc514938015"/>
      <w:bookmarkStart w:id="38" w:name="_Toc520485029"/>
      <w:bookmarkStart w:id="39" w:name="_Toc160804571"/>
      <w:bookmarkStart w:id="40" w:name="_Toc167220263"/>
      <w:bookmarkStart w:id="41" w:name="_Toc177548995"/>
      <w:r w:rsidRPr="00797162">
        <w:rPr>
          <w:b/>
          <w:noProof/>
        </w:rPr>
        <w:t>1.3.</w:t>
      </w:r>
      <w:r w:rsidRPr="00797162">
        <w:rPr>
          <w:noProof/>
        </w:rPr>
        <w:tab/>
      </w:r>
      <w:r w:rsidRPr="00797162">
        <w:rPr>
          <w:b/>
          <w:noProof/>
        </w:rPr>
        <w:t>Eesmärgid</w:t>
      </w:r>
      <w:bookmarkEnd w:id="37"/>
      <w:bookmarkEnd w:id="38"/>
      <w:bookmarkEnd w:id="39"/>
      <w:bookmarkEnd w:id="40"/>
      <w:bookmarkEnd w:id="41"/>
    </w:p>
    <w:p w14:paraId="6EE3EBB7" w14:textId="77777777" w:rsidR="00BF22EA" w:rsidRPr="00797162" w:rsidRDefault="00BF22EA" w:rsidP="00BF22EA">
      <w:pPr>
        <w:keepNext/>
        <w:tabs>
          <w:tab w:val="left" w:pos="850"/>
        </w:tabs>
        <w:ind w:left="850" w:hanging="850"/>
        <w:outlineLvl w:val="2"/>
        <w:rPr>
          <w:i/>
          <w:noProof/>
        </w:rPr>
      </w:pPr>
      <w:bookmarkStart w:id="42" w:name="_Toc514938016"/>
      <w:bookmarkStart w:id="43" w:name="_Toc520485030"/>
      <w:bookmarkStart w:id="44" w:name="_Toc160804572"/>
      <w:bookmarkStart w:id="45" w:name="_Toc167220264"/>
      <w:bookmarkStart w:id="46" w:name="_Toc177548996"/>
      <w:r w:rsidRPr="00797162">
        <w:rPr>
          <w:i/>
          <w:noProof/>
        </w:rPr>
        <w:t>1.3.1.</w:t>
      </w:r>
      <w:r w:rsidRPr="00797162">
        <w:rPr>
          <w:noProof/>
        </w:rPr>
        <w:tab/>
      </w:r>
      <w:r w:rsidRPr="00797162">
        <w:rPr>
          <w:i/>
          <w:noProof/>
        </w:rPr>
        <w:t>Üldeesmärgid</w:t>
      </w:r>
      <w:bookmarkEnd w:id="42"/>
      <w:bookmarkEnd w:id="43"/>
      <w:bookmarkEnd w:id="44"/>
      <w:bookmarkEnd w:id="45"/>
      <w:bookmarkEnd w:id="46"/>
    </w:p>
    <w:p w14:paraId="38D6C6F7" w14:textId="77777777" w:rsidR="00BF22EA" w:rsidRPr="00797162" w:rsidRDefault="00BF22EA" w:rsidP="00BF22EA">
      <w:pPr>
        <w:pBdr>
          <w:top w:val="single" w:sz="4" w:space="1" w:color="auto"/>
          <w:left w:val="single" w:sz="4" w:space="4" w:color="auto"/>
          <w:bottom w:val="single" w:sz="4" w:space="1" w:color="auto"/>
          <w:right w:val="single" w:sz="4" w:space="4" w:color="auto"/>
        </w:pBdr>
        <w:ind w:left="850"/>
        <w:rPr>
          <w:noProof/>
        </w:rPr>
      </w:pPr>
      <w:r w:rsidRPr="00797162">
        <w:rPr>
          <w:b/>
          <w:noProof/>
        </w:rPr>
        <w:t>Instrument täidab üht välist ja üht sisemist eesmärki.</w:t>
      </w:r>
    </w:p>
    <w:p w14:paraId="229BB265" w14:textId="4737D713" w:rsidR="00BF22EA" w:rsidRPr="00797162" w:rsidRDefault="00BF22EA" w:rsidP="00C01FA9">
      <w:pPr>
        <w:pStyle w:val="Bullet1"/>
        <w:rPr>
          <w:noProof/>
        </w:rPr>
      </w:pPr>
      <w:r w:rsidRPr="00797162">
        <w:rPr>
          <w:noProof/>
        </w:rPr>
        <w:t>1. Instrumendi väliskomponendi üldeesmärk on edendada partnerriikides tuumaohutuse kõrgeimat taset, kiirguskaitset, kasutatud tuumkütuse ja radioaktiivsete jäätmete ohutut käitlemist, dekomissioneerimist ning tuumamaterjalide suhtes tõhusate ja tulemuslike kaitsemeetmete rakendamist.</w:t>
      </w:r>
    </w:p>
    <w:p w14:paraId="4A179D2A" w14:textId="77777777" w:rsidR="00BF22EA" w:rsidRPr="00797162" w:rsidRDefault="00BF22EA" w:rsidP="00C01FA9">
      <w:pPr>
        <w:pStyle w:val="Bullet1"/>
        <w:rPr>
          <w:noProof/>
        </w:rPr>
      </w:pPr>
      <w:r w:rsidRPr="00797162">
        <w:rPr>
          <w:noProof/>
        </w:rPr>
        <w:t>2. Instrumendi sisekomponendi üldeesmärk on toetada komisjoni tuumarajatiste dekomissioneerimist Teadusuuringute Ühiskeskuse tegevuskohtades ning käidelda ohutult kasutatud tuumkütust, tuumamaterjali ja radioaktiivseid jäätmeid.</w:t>
      </w:r>
    </w:p>
    <w:p w14:paraId="06F5313F" w14:textId="77777777" w:rsidR="00BF22EA" w:rsidRPr="00797162" w:rsidRDefault="00BF22EA" w:rsidP="00BF22EA">
      <w:pPr>
        <w:keepNext/>
        <w:tabs>
          <w:tab w:val="left" w:pos="850"/>
        </w:tabs>
        <w:ind w:left="850" w:hanging="850"/>
        <w:outlineLvl w:val="2"/>
        <w:rPr>
          <w:i/>
          <w:noProof/>
        </w:rPr>
      </w:pPr>
      <w:bookmarkStart w:id="47" w:name="_Toc514938018"/>
      <w:bookmarkStart w:id="48" w:name="_Toc520485031"/>
      <w:bookmarkStart w:id="49" w:name="_Toc160804573"/>
      <w:bookmarkStart w:id="50" w:name="_Toc167220265"/>
      <w:bookmarkStart w:id="51" w:name="_Toc177548997"/>
      <w:r w:rsidRPr="00797162">
        <w:rPr>
          <w:i/>
          <w:noProof/>
        </w:rPr>
        <w:t>1.3.2.</w:t>
      </w:r>
      <w:r w:rsidRPr="00797162">
        <w:rPr>
          <w:noProof/>
        </w:rPr>
        <w:tab/>
      </w:r>
      <w:r w:rsidRPr="00797162">
        <w:rPr>
          <w:i/>
          <w:noProof/>
        </w:rPr>
        <w:t>Erieesmärgid</w:t>
      </w:r>
      <w:bookmarkEnd w:id="47"/>
      <w:bookmarkEnd w:id="48"/>
      <w:bookmarkEnd w:id="49"/>
      <w:bookmarkEnd w:id="50"/>
      <w:bookmarkEnd w:id="51"/>
    </w:p>
    <w:p w14:paraId="076F0153" w14:textId="77777777" w:rsidR="00BF22EA" w:rsidRPr="00797162" w:rsidRDefault="00BF22EA" w:rsidP="00BF22EA">
      <w:pPr>
        <w:pBdr>
          <w:top w:val="single" w:sz="4" w:space="1" w:color="auto"/>
          <w:left w:val="single" w:sz="4" w:space="4" w:color="auto"/>
          <w:bottom w:val="single" w:sz="4" w:space="1" w:color="auto"/>
          <w:right w:val="single" w:sz="4" w:space="4" w:color="auto"/>
        </w:pBdr>
        <w:ind w:left="850"/>
        <w:rPr>
          <w:noProof/>
          <w:u w:val="single"/>
        </w:rPr>
      </w:pPr>
      <w:r w:rsidRPr="00797162">
        <w:rPr>
          <w:noProof/>
          <w:u w:val="single"/>
        </w:rPr>
        <w:t>Erieesmärk nr</w:t>
      </w:r>
    </w:p>
    <w:p w14:paraId="489292E9" w14:textId="77777777" w:rsidR="00BF22EA" w:rsidRPr="00797162" w:rsidRDefault="00BF22EA" w:rsidP="00BF22EA">
      <w:pPr>
        <w:pBdr>
          <w:top w:val="single" w:sz="4" w:space="1" w:color="auto"/>
          <w:left w:val="single" w:sz="4" w:space="4" w:color="auto"/>
          <w:bottom w:val="single" w:sz="4" w:space="1" w:color="auto"/>
          <w:right w:val="single" w:sz="4" w:space="4" w:color="auto"/>
        </w:pBdr>
        <w:ind w:left="850"/>
        <w:rPr>
          <w:noProof/>
        </w:rPr>
      </w:pPr>
      <w:r w:rsidRPr="00797162">
        <w:rPr>
          <w:noProof/>
        </w:rPr>
        <w:t>Väliskomponendi puhul:</w:t>
      </w:r>
    </w:p>
    <w:p w14:paraId="3A1AD29B" w14:textId="54AA635D" w:rsidR="00BF22EA" w:rsidRPr="00797162" w:rsidRDefault="00BF22EA" w:rsidP="0000314C">
      <w:pPr>
        <w:pStyle w:val="Bullet1"/>
        <w:numPr>
          <w:ilvl w:val="0"/>
          <w:numId w:val="39"/>
        </w:numPr>
        <w:rPr>
          <w:noProof/>
        </w:rPr>
      </w:pPr>
      <w:r w:rsidRPr="00797162">
        <w:rPr>
          <w:noProof/>
        </w:rPr>
        <w:t>1. edendada tõhusat tuumaohutuse ja kiirguskaitse kultuuri ja toetada rangeimate tuumaohutus- ja kiirguskaitsestandardite rakendamist ning tuumaohutuse pidevat parandamist, sealhulgas suurendada partnerriikide ametiasutustes tuumarajatiste rahuotstarbelise kasutamise ohutusega seotud otsustusprotsesside läbipaistvust;</w:t>
      </w:r>
    </w:p>
    <w:p w14:paraId="320E559B" w14:textId="10580302" w:rsidR="00BF22EA" w:rsidRPr="00797162" w:rsidRDefault="00BF22EA" w:rsidP="0000314C">
      <w:pPr>
        <w:pStyle w:val="Bullet1"/>
        <w:numPr>
          <w:ilvl w:val="0"/>
          <w:numId w:val="39"/>
        </w:numPr>
        <w:rPr>
          <w:noProof/>
        </w:rPr>
      </w:pPr>
      <w:r w:rsidRPr="00797162">
        <w:rPr>
          <w:noProof/>
        </w:rPr>
        <w:t>2. toetada kasutatud tuumkütuse ja radioaktiivsete jäätmete vastutustundlikku ja ohutut käitlemist ning endiste tuumaobjektide ja -rajatiste dekomissioneerimist ja saneerimist;</w:t>
      </w:r>
    </w:p>
    <w:p w14:paraId="6AF6F838" w14:textId="77777777" w:rsidR="00BF22EA" w:rsidRPr="00797162" w:rsidRDefault="00BF22EA" w:rsidP="0000314C">
      <w:pPr>
        <w:pStyle w:val="Bullet1"/>
        <w:numPr>
          <w:ilvl w:val="0"/>
          <w:numId w:val="39"/>
        </w:numPr>
        <w:rPr>
          <w:noProof/>
        </w:rPr>
      </w:pPr>
      <w:r w:rsidRPr="00797162">
        <w:rPr>
          <w:noProof/>
        </w:rPr>
        <w:t>3. kehtestada partnerriikides tuumamaterjali suhtes tõhusad ja tulemuslikud kaitsemeetmed. </w:t>
      </w:r>
    </w:p>
    <w:p w14:paraId="1F9D5F2D" w14:textId="77777777" w:rsidR="00BF22EA" w:rsidRPr="00797162" w:rsidRDefault="00BF22EA" w:rsidP="00BF22EA">
      <w:pPr>
        <w:pBdr>
          <w:top w:val="single" w:sz="4" w:space="1" w:color="auto"/>
          <w:left w:val="single" w:sz="4" w:space="4" w:color="auto"/>
          <w:bottom w:val="single" w:sz="4" w:space="1" w:color="auto"/>
          <w:right w:val="single" w:sz="4" w:space="4" w:color="auto"/>
        </w:pBdr>
        <w:ind w:left="851"/>
        <w:rPr>
          <w:noProof/>
        </w:rPr>
      </w:pPr>
      <w:r w:rsidRPr="00797162">
        <w:rPr>
          <w:noProof/>
        </w:rPr>
        <w:t>Sisekomponendi puhul:</w:t>
      </w:r>
    </w:p>
    <w:p w14:paraId="73590B4D" w14:textId="674D4C83" w:rsidR="00BF22EA" w:rsidRPr="00797162" w:rsidRDefault="00BF22EA" w:rsidP="00C01FA9">
      <w:pPr>
        <w:pStyle w:val="Bullet1"/>
        <w:rPr>
          <w:noProof/>
        </w:rPr>
      </w:pPr>
      <w:r w:rsidRPr="00797162">
        <w:rPr>
          <w:noProof/>
        </w:rPr>
        <w:t>1. toetada dekomissioneerimiskava ja viia kooskõlas asukohaliikmesriigi õigusega ellu meetmeid komisjoni tuumarajatiste demonteerimiseks ja saastest puhastamiseks Teadusuuringute Ühiskeskuse tegevuskohtades ja seonduvate radioaktiivsete jäätmete ohutuks käitlemiseks ning vajaduse korral valmistada ette sellega seotud tuumaalaste kohustuste vabatahtlik üleandmine Teadusuuringute Ühiskeskuselt asukohaliikmesriigile;</w:t>
      </w:r>
    </w:p>
    <w:p w14:paraId="3A136D87" w14:textId="77777777" w:rsidR="00BF22EA" w:rsidRPr="00797162" w:rsidRDefault="00BF22EA" w:rsidP="00C01FA9">
      <w:pPr>
        <w:pStyle w:val="Bullet1"/>
        <w:rPr>
          <w:noProof/>
        </w:rPr>
      </w:pPr>
      <w:r w:rsidRPr="00797162">
        <w:rPr>
          <w:noProof/>
        </w:rPr>
        <w:t xml:space="preserve">2. Teadusuuringute Ühiskeskuse puhul arendada sidemeid ja teabevahetust liidu sidusrühmade vahel tuumarajatiste dekomissioneerimise valdkonnas, et tagada teadmiste levitamine ja kogemuste jagamine kõikides asjakohastes valdkondades, nagu reguleerimine ja koolitus, ning arendada võimalikku liidu koostoimet. </w:t>
      </w:r>
    </w:p>
    <w:p w14:paraId="165DA4E5" w14:textId="77777777" w:rsidR="00BF22EA" w:rsidRPr="00797162" w:rsidRDefault="00BF22EA" w:rsidP="00BF22EA">
      <w:pPr>
        <w:keepNext/>
        <w:tabs>
          <w:tab w:val="left" w:pos="850"/>
        </w:tabs>
        <w:ind w:left="850" w:hanging="850"/>
        <w:outlineLvl w:val="2"/>
        <w:rPr>
          <w:i/>
          <w:noProof/>
        </w:rPr>
      </w:pPr>
      <w:bookmarkStart w:id="52" w:name="_Toc514938019"/>
      <w:bookmarkStart w:id="53" w:name="_Toc520485032"/>
      <w:bookmarkStart w:id="54" w:name="_Toc160804574"/>
      <w:bookmarkStart w:id="55" w:name="_Toc167220266"/>
      <w:bookmarkStart w:id="56" w:name="_Toc177548998"/>
      <w:r w:rsidRPr="00797162">
        <w:rPr>
          <w:i/>
          <w:noProof/>
        </w:rPr>
        <w:t>1.3.3.</w:t>
      </w:r>
      <w:r w:rsidRPr="00797162">
        <w:rPr>
          <w:noProof/>
        </w:rPr>
        <w:tab/>
      </w:r>
      <w:r w:rsidRPr="00797162">
        <w:rPr>
          <w:i/>
          <w:noProof/>
        </w:rPr>
        <w:t>Oodatavad tulemused ja mõju</w:t>
      </w:r>
      <w:bookmarkEnd w:id="52"/>
      <w:bookmarkEnd w:id="53"/>
      <w:bookmarkEnd w:id="54"/>
      <w:bookmarkEnd w:id="55"/>
      <w:bookmarkEnd w:id="56"/>
    </w:p>
    <w:p w14:paraId="218B984B" w14:textId="77777777" w:rsidR="00BF22EA" w:rsidRPr="00797162" w:rsidRDefault="00BF22EA" w:rsidP="00BF22EA">
      <w:pPr>
        <w:pBdr>
          <w:top w:val="single" w:sz="4" w:space="1" w:color="auto"/>
          <w:left w:val="single" w:sz="4" w:space="4" w:color="auto"/>
          <w:bottom w:val="single" w:sz="4" w:space="1" w:color="auto"/>
          <w:right w:val="single" w:sz="4" w:space="4" w:color="auto"/>
        </w:pBdr>
        <w:ind w:left="851"/>
        <w:rPr>
          <w:noProof/>
        </w:rPr>
      </w:pPr>
      <w:r w:rsidRPr="00797162">
        <w:rPr>
          <w:noProof/>
        </w:rPr>
        <w:t>Väliskomponendi puhul: </w:t>
      </w:r>
    </w:p>
    <w:p w14:paraId="035E4A72" w14:textId="77777777" w:rsidR="00BF22EA" w:rsidRPr="00797162" w:rsidRDefault="00BF22EA" w:rsidP="00C01FA9">
      <w:pPr>
        <w:pStyle w:val="Bullet1"/>
        <w:rPr>
          <w:noProof/>
        </w:rPr>
      </w:pPr>
      <w:r w:rsidRPr="00797162">
        <w:rPr>
          <w:noProof/>
        </w:rPr>
        <w:t>tuumaohutuse ja kiirguskaitse parem juhtimine välistes partnerriikides kooskõlas Euratomi õigustiku ja ELi parimate tavadega; </w:t>
      </w:r>
    </w:p>
    <w:p w14:paraId="535A98AE" w14:textId="77777777" w:rsidR="00BF22EA" w:rsidRPr="00797162" w:rsidRDefault="00BF22EA" w:rsidP="00C01FA9">
      <w:pPr>
        <w:pStyle w:val="Bullet1"/>
        <w:rPr>
          <w:noProof/>
        </w:rPr>
      </w:pPr>
      <w:r w:rsidRPr="00797162">
        <w:rPr>
          <w:noProof/>
        </w:rPr>
        <w:t>radioaktiivsete jäätmete käitlemine ja dekomissioneerimine välistes partnerriikides kooskõlas Euratomi õigustiku ja ELi parimate tavadega; </w:t>
      </w:r>
    </w:p>
    <w:p w14:paraId="55A03DED" w14:textId="77777777" w:rsidR="00BF22EA" w:rsidRPr="00797162" w:rsidRDefault="00BF22EA" w:rsidP="00C01FA9">
      <w:pPr>
        <w:pStyle w:val="Bullet1"/>
        <w:rPr>
          <w:noProof/>
        </w:rPr>
      </w:pPr>
      <w:r w:rsidRPr="00797162">
        <w:rPr>
          <w:noProof/>
        </w:rPr>
        <w:t>parem tuumaenergiaalaste kaitsemeetmete suutlikkus välistes partnerriikides. </w:t>
      </w:r>
    </w:p>
    <w:p w14:paraId="7F748A74" w14:textId="77777777" w:rsidR="00BF22EA" w:rsidRPr="00797162" w:rsidRDefault="00BF22EA" w:rsidP="00BF22EA">
      <w:pPr>
        <w:pBdr>
          <w:top w:val="single" w:sz="4" w:space="1" w:color="000000"/>
          <w:left w:val="single" w:sz="4" w:space="4" w:color="000000"/>
          <w:bottom w:val="single" w:sz="4" w:space="1" w:color="000000"/>
          <w:right w:val="single" w:sz="4" w:space="4" w:color="000000"/>
        </w:pBdr>
        <w:ind w:left="851"/>
        <w:rPr>
          <w:noProof/>
        </w:rPr>
      </w:pPr>
      <w:r w:rsidRPr="00797162">
        <w:rPr>
          <w:noProof/>
        </w:rPr>
        <w:t>Sisekomponendi puhul: </w:t>
      </w:r>
    </w:p>
    <w:p w14:paraId="34F090C8" w14:textId="77777777" w:rsidR="00BF22EA" w:rsidRPr="00797162" w:rsidRDefault="00BF22EA" w:rsidP="00C01FA9">
      <w:pPr>
        <w:pStyle w:val="Bullet1"/>
        <w:rPr>
          <w:noProof/>
        </w:rPr>
      </w:pPr>
      <w:r w:rsidRPr="00797162">
        <w:rPr>
          <w:noProof/>
        </w:rPr>
        <w:t>alates 2021. aastast põhineb Teadusuuringute Ühiskeskuse tuumarajatiste dekomissioneerimise ja tuumajäätmete käitlemise programmi rahastamine konkreetsel õiguslikul alusel. 1999. aastal Teadusuuringute Ühiskeskuse eelarve raames käivitatud programm on saanud kasu uuest lähenemisviisist ja selle rakendamine on muutunud tõhusamaks. Programm on tõhusalt parandanud tuumaohutust Teadusuuringute Ühiskeskuse tegevuskohtades, tuues kasu ELi kodanikele ja keskkonnale. Programmi on vaja jätkata, et täita Euroopa Komisjoni juriidilisi kohustusi, vähendada tuumaohte rajatiste täieliku vabastamiseni regulatiivse kontrolli alt ning luua ja jagada teadmisi dekomissioneerimise ja tuumajäätmete käitlemisega tegelevate ELi sidusrühmadega.</w:t>
      </w:r>
    </w:p>
    <w:p w14:paraId="0BEF2040" w14:textId="77777777" w:rsidR="00BF22EA" w:rsidRPr="00797162" w:rsidRDefault="00BF22EA" w:rsidP="00BF22EA">
      <w:pPr>
        <w:keepNext/>
        <w:tabs>
          <w:tab w:val="left" w:pos="850"/>
        </w:tabs>
        <w:ind w:left="850" w:hanging="850"/>
        <w:outlineLvl w:val="2"/>
        <w:rPr>
          <w:i/>
          <w:noProof/>
        </w:rPr>
      </w:pPr>
      <w:bookmarkStart w:id="57" w:name="_Toc514938023"/>
      <w:bookmarkStart w:id="58" w:name="_Toc520485033"/>
      <w:bookmarkStart w:id="59" w:name="_Toc160804575"/>
      <w:bookmarkStart w:id="60" w:name="_Toc167220267"/>
      <w:bookmarkStart w:id="61" w:name="_Toc177548999"/>
      <w:r w:rsidRPr="00797162">
        <w:rPr>
          <w:i/>
          <w:noProof/>
        </w:rPr>
        <w:t>1.3.4.</w:t>
      </w:r>
      <w:r w:rsidRPr="00797162">
        <w:rPr>
          <w:noProof/>
        </w:rPr>
        <w:tab/>
      </w:r>
      <w:r w:rsidRPr="00797162">
        <w:rPr>
          <w:i/>
          <w:noProof/>
        </w:rPr>
        <w:t>Tulemusnäitajad</w:t>
      </w:r>
      <w:bookmarkEnd w:id="57"/>
      <w:bookmarkEnd w:id="58"/>
      <w:bookmarkEnd w:id="59"/>
      <w:bookmarkEnd w:id="60"/>
      <w:bookmarkEnd w:id="61"/>
    </w:p>
    <w:p w14:paraId="6FB4F7B0" w14:textId="77777777" w:rsidR="00BF22EA" w:rsidRPr="00797162" w:rsidRDefault="00BF22EA" w:rsidP="00BF22EA">
      <w:pPr>
        <w:rPr>
          <w:noProof/>
        </w:rPr>
      </w:pPr>
      <w:r w:rsidRPr="00797162">
        <w:rPr>
          <w:noProof/>
        </w:rPr>
        <w:t>Programmi edenemise ja saavutuste jälgimiseks kasutatavad väljund- ja mõjunäitajad vastavad määruses xxx [tulemusraamistiku määrus] sätestatud ühistele näitajatele.</w:t>
      </w:r>
    </w:p>
    <w:p w14:paraId="0C8EFCDF" w14:textId="77777777" w:rsidR="00BF22EA" w:rsidRPr="00797162" w:rsidRDefault="00BF22EA" w:rsidP="00BF22EA">
      <w:pPr>
        <w:keepNext/>
        <w:tabs>
          <w:tab w:val="left" w:pos="850"/>
        </w:tabs>
        <w:ind w:left="850" w:hanging="850"/>
        <w:outlineLvl w:val="1"/>
        <w:rPr>
          <w:b/>
          <w:noProof/>
        </w:rPr>
      </w:pPr>
      <w:bookmarkStart w:id="62" w:name="_Toc177549000"/>
      <w:r w:rsidRPr="00797162">
        <w:rPr>
          <w:b/>
          <w:noProof/>
        </w:rPr>
        <w:t>1.4.</w:t>
      </w:r>
      <w:r w:rsidRPr="00797162">
        <w:rPr>
          <w:noProof/>
        </w:rPr>
        <w:tab/>
      </w:r>
      <w:r w:rsidRPr="00797162">
        <w:rPr>
          <w:b/>
          <w:noProof/>
        </w:rPr>
        <w:t>Ettepanek/algatus käsitleb</w:t>
      </w:r>
      <w:bookmarkEnd w:id="62"/>
      <w:r w:rsidRPr="00797162">
        <w:rPr>
          <w:b/>
          <w:noProof/>
        </w:rPr>
        <w:t xml:space="preserve"> </w:t>
      </w:r>
    </w:p>
    <w:p w14:paraId="6487BA12" w14:textId="77777777" w:rsidR="00BF22EA" w:rsidRPr="00797162" w:rsidRDefault="00BF22EA" w:rsidP="00BF22EA">
      <w:pPr>
        <w:ind w:left="850"/>
        <w:rPr>
          <w:noProof/>
          <w:sz w:val="22"/>
        </w:rPr>
      </w:pPr>
      <w:r w:rsidRPr="00797162">
        <w:rPr>
          <w:rFonts w:ascii="Wingdings" w:hAnsi="Wingdings"/>
          <w:noProof/>
          <w:sz w:val="22"/>
        </w:rPr>
        <w:t></w:t>
      </w:r>
      <w:r w:rsidRPr="00797162">
        <w:rPr>
          <w:i/>
          <w:noProof/>
          <w:sz w:val="22"/>
        </w:rPr>
        <w:t xml:space="preserve"> </w:t>
      </w:r>
      <w:r w:rsidRPr="00797162">
        <w:rPr>
          <w:noProof/>
        </w:rPr>
        <w:t>uut meedet</w:t>
      </w:r>
      <w:r w:rsidRPr="00797162">
        <w:rPr>
          <w:noProof/>
          <w:sz w:val="22"/>
        </w:rPr>
        <w:t xml:space="preserve"> </w:t>
      </w:r>
    </w:p>
    <w:p w14:paraId="45FA342F" w14:textId="77777777" w:rsidR="00BF22EA" w:rsidRPr="00797162" w:rsidRDefault="00BF22EA" w:rsidP="00BF22EA">
      <w:pPr>
        <w:ind w:left="850"/>
        <w:rPr>
          <w:noProof/>
          <w:sz w:val="22"/>
        </w:rPr>
      </w:pPr>
      <w:r w:rsidRPr="00797162">
        <w:rPr>
          <w:rFonts w:ascii="Wingdings" w:hAnsi="Wingdings"/>
          <w:noProof/>
          <w:sz w:val="22"/>
        </w:rPr>
        <w:t></w:t>
      </w:r>
      <w:r w:rsidRPr="00797162">
        <w:rPr>
          <w:i/>
          <w:noProof/>
          <w:sz w:val="22"/>
        </w:rPr>
        <w:t xml:space="preserve"> </w:t>
      </w:r>
      <w:r w:rsidRPr="00797162">
        <w:rPr>
          <w:noProof/>
        </w:rPr>
        <w:t>uut meedet, mis tuleneb katseprojektist / ettevalmistavast meetmest</w:t>
      </w:r>
      <w:r w:rsidRPr="00797162">
        <w:rPr>
          <w:rStyle w:val="FootnoteReference"/>
          <w:noProof/>
        </w:rPr>
        <w:footnoteReference w:id="53"/>
      </w:r>
      <w:r w:rsidRPr="00797162">
        <w:rPr>
          <w:noProof/>
          <w:sz w:val="22"/>
        </w:rPr>
        <w:t xml:space="preserve"> </w:t>
      </w:r>
    </w:p>
    <w:p w14:paraId="2AB0BB47" w14:textId="77777777" w:rsidR="00BF22EA" w:rsidRPr="00797162" w:rsidRDefault="00BF22EA" w:rsidP="00BF22EA">
      <w:pPr>
        <w:ind w:left="850"/>
        <w:rPr>
          <w:noProof/>
          <w:sz w:val="22"/>
        </w:rPr>
      </w:pPr>
      <w:r w:rsidRPr="00797162">
        <w:rPr>
          <w:rFonts w:ascii="Wingdings" w:hAnsi="Wingdings"/>
          <w:noProof/>
          <w:sz w:val="22"/>
        </w:rPr>
        <w:t></w:t>
      </w:r>
      <w:r w:rsidRPr="00797162">
        <w:rPr>
          <w:i/>
          <w:noProof/>
          <w:sz w:val="22"/>
        </w:rPr>
        <w:t xml:space="preserve"> </w:t>
      </w:r>
      <w:r w:rsidRPr="00797162">
        <w:rPr>
          <w:noProof/>
        </w:rPr>
        <w:t>olemasoleva meetme pikendamist</w:t>
      </w:r>
      <w:r w:rsidRPr="00797162">
        <w:rPr>
          <w:noProof/>
          <w:sz w:val="22"/>
        </w:rPr>
        <w:t xml:space="preserve"> </w:t>
      </w:r>
    </w:p>
    <w:p w14:paraId="590D6237" w14:textId="77777777" w:rsidR="00BF22EA" w:rsidRPr="00797162" w:rsidRDefault="00BF22EA" w:rsidP="00BF22EA">
      <w:pPr>
        <w:ind w:left="850"/>
        <w:rPr>
          <w:noProof/>
        </w:rPr>
      </w:pPr>
      <w:r w:rsidRPr="00797162">
        <w:rPr>
          <w:rFonts w:ascii="Wingdings" w:hAnsi="Wingdings"/>
          <w:noProof/>
          <w:sz w:val="22"/>
        </w:rPr>
        <w:t></w:t>
      </w:r>
      <w:r w:rsidRPr="00797162">
        <w:rPr>
          <w:i/>
          <w:noProof/>
          <w:sz w:val="22"/>
        </w:rPr>
        <w:t xml:space="preserve"> </w:t>
      </w:r>
      <w:r w:rsidRPr="00797162">
        <w:rPr>
          <w:noProof/>
        </w:rPr>
        <w:t>ühe või mitme meetme ümbersuunamist teise või uude meetmesse või ühendamist teise või uue meetmega</w:t>
      </w:r>
    </w:p>
    <w:p w14:paraId="717DC67F" w14:textId="77777777" w:rsidR="00BF22EA" w:rsidRPr="00797162" w:rsidRDefault="00BF22EA" w:rsidP="00BF22EA">
      <w:pPr>
        <w:keepNext/>
        <w:tabs>
          <w:tab w:val="left" w:pos="850"/>
        </w:tabs>
        <w:ind w:left="850" w:hanging="850"/>
        <w:outlineLvl w:val="1"/>
        <w:rPr>
          <w:b/>
          <w:noProof/>
        </w:rPr>
      </w:pPr>
      <w:bookmarkStart w:id="63" w:name="_Toc514938025"/>
      <w:bookmarkStart w:id="64" w:name="_Toc520485034"/>
      <w:bookmarkStart w:id="65" w:name="_Toc160804576"/>
      <w:bookmarkStart w:id="66" w:name="_Toc167220268"/>
      <w:bookmarkStart w:id="67" w:name="_Toc177549001"/>
      <w:r w:rsidRPr="00797162">
        <w:rPr>
          <w:b/>
          <w:noProof/>
        </w:rPr>
        <w:t>1.5.</w:t>
      </w:r>
      <w:r w:rsidRPr="00797162">
        <w:rPr>
          <w:noProof/>
        </w:rPr>
        <w:tab/>
      </w:r>
      <w:r w:rsidRPr="00797162">
        <w:rPr>
          <w:b/>
          <w:noProof/>
        </w:rPr>
        <w:t>Ettepaneku/algatuse põhjendused</w:t>
      </w:r>
      <w:bookmarkEnd w:id="63"/>
      <w:bookmarkEnd w:id="64"/>
      <w:bookmarkEnd w:id="65"/>
      <w:bookmarkEnd w:id="66"/>
      <w:bookmarkEnd w:id="67"/>
      <w:r w:rsidRPr="00797162">
        <w:rPr>
          <w:b/>
          <w:noProof/>
        </w:rPr>
        <w:t xml:space="preserve"> </w:t>
      </w:r>
    </w:p>
    <w:p w14:paraId="0134F345" w14:textId="77777777" w:rsidR="00BF22EA" w:rsidRPr="00797162" w:rsidRDefault="00BF22EA" w:rsidP="00BF22EA">
      <w:pPr>
        <w:keepNext/>
        <w:tabs>
          <w:tab w:val="left" w:pos="850"/>
        </w:tabs>
        <w:ind w:left="850" w:hanging="850"/>
        <w:outlineLvl w:val="2"/>
        <w:rPr>
          <w:i/>
          <w:noProof/>
        </w:rPr>
      </w:pPr>
      <w:bookmarkStart w:id="68" w:name="_Toc514938026"/>
      <w:bookmarkStart w:id="69" w:name="_Toc520485035"/>
      <w:bookmarkStart w:id="70" w:name="_Toc160804577"/>
      <w:bookmarkStart w:id="71" w:name="_Toc167220269"/>
      <w:bookmarkStart w:id="72" w:name="_Toc177549002"/>
      <w:r w:rsidRPr="00797162">
        <w:rPr>
          <w:i/>
          <w:noProof/>
        </w:rPr>
        <w:t>1.5.1.</w:t>
      </w:r>
      <w:r w:rsidRPr="00797162">
        <w:rPr>
          <w:noProof/>
        </w:rPr>
        <w:tab/>
      </w:r>
      <w:r w:rsidRPr="00797162">
        <w:rPr>
          <w:i/>
          <w:noProof/>
        </w:rPr>
        <w:t>Lühi- või pikaajalises perspektiivis täidetavad vajadused, sealhulgas algatuse rakendamise üksikasjalik ajakava</w:t>
      </w:r>
      <w:bookmarkEnd w:id="68"/>
      <w:bookmarkEnd w:id="69"/>
      <w:bookmarkEnd w:id="70"/>
      <w:bookmarkEnd w:id="71"/>
      <w:bookmarkEnd w:id="72"/>
    </w:p>
    <w:p w14:paraId="67655EBA" w14:textId="77777777" w:rsidR="00BF22EA" w:rsidRPr="00797162" w:rsidRDefault="00BF22EA" w:rsidP="00BF22EA">
      <w:pPr>
        <w:pBdr>
          <w:top w:val="single" w:sz="4" w:space="1" w:color="auto"/>
          <w:left w:val="single" w:sz="4" w:space="4" w:color="auto"/>
          <w:bottom w:val="single" w:sz="4" w:space="1" w:color="auto"/>
          <w:right w:val="single" w:sz="4" w:space="4" w:color="auto"/>
        </w:pBdr>
        <w:ind w:left="850"/>
        <w:rPr>
          <w:noProof/>
        </w:rPr>
      </w:pPr>
      <w:r w:rsidRPr="00797162">
        <w:rPr>
          <w:noProof/>
        </w:rPr>
        <w:t xml:space="preserve">Väliskomponent on tuumaohutusalase rahvusvahelise koostöö Euroopa instrumendi loomulik areng ja seetõttu eeldatakse, et sarnane institutsiooniline ülesehitus tagab sujuva rakendamise. Sisekomponent jätkab 1999. aastal algatatud tegevust Teadusuuringute Ühiskeskuse tuumapärandi käsitlemiseks. Instrumendi eesmärk on edendada vananenud tuumarajatiste dekomissioneerimist ja demonteerimist kooskõlas asukohapõhise dekomissioneerimiskavaga ning tagada radioaktiivsete jäätmete ohutu käitlemine. </w:t>
      </w:r>
    </w:p>
    <w:p w14:paraId="36EFFC69" w14:textId="77777777" w:rsidR="00BF22EA" w:rsidRPr="00797162" w:rsidRDefault="00BF22EA" w:rsidP="00BF22EA">
      <w:pPr>
        <w:keepNext/>
        <w:tabs>
          <w:tab w:val="left" w:pos="850"/>
        </w:tabs>
        <w:ind w:left="850" w:hanging="850"/>
        <w:outlineLvl w:val="2"/>
        <w:rPr>
          <w:i/>
          <w:noProof/>
        </w:rPr>
      </w:pPr>
      <w:bookmarkStart w:id="73" w:name="_Toc514938029"/>
      <w:bookmarkStart w:id="74" w:name="_Toc520485036"/>
      <w:bookmarkStart w:id="75" w:name="_Toc160804578"/>
      <w:bookmarkStart w:id="76" w:name="_Toc167220270"/>
      <w:bookmarkStart w:id="77" w:name="_Toc177549003"/>
      <w:r w:rsidRPr="00797162">
        <w:rPr>
          <w:i/>
          <w:noProof/>
        </w:rPr>
        <w:t>1.5.2.</w:t>
      </w:r>
      <w:r w:rsidRPr="00797162">
        <w:rPr>
          <w:noProof/>
        </w:rPr>
        <w:tab/>
      </w:r>
      <w:r w:rsidRPr="00797162">
        <w:rPr>
          <w:i/>
          <w:noProof/>
        </w:rPr>
        <w:t xml:space="preserve">ELi meetme lisaväärtus </w:t>
      </w:r>
      <w:bookmarkEnd w:id="73"/>
      <w:bookmarkEnd w:id="74"/>
      <w:bookmarkEnd w:id="75"/>
      <w:bookmarkEnd w:id="76"/>
      <w:bookmarkEnd w:id="77"/>
    </w:p>
    <w:p w14:paraId="2FB30A3C" w14:textId="77777777" w:rsidR="00BF22EA" w:rsidRPr="00797162" w:rsidRDefault="00BF22EA" w:rsidP="00BF22EA">
      <w:pPr>
        <w:pBdr>
          <w:top w:val="single" w:sz="4" w:space="1" w:color="auto"/>
          <w:left w:val="single" w:sz="4" w:space="4" w:color="auto"/>
          <w:bottom w:val="single" w:sz="4" w:space="1" w:color="auto"/>
          <w:right w:val="single" w:sz="4" w:space="4" w:color="auto"/>
        </w:pBdr>
        <w:ind w:left="850"/>
        <w:rPr>
          <w:noProof/>
        </w:rPr>
      </w:pPr>
      <w:r w:rsidRPr="00797162">
        <w:rPr>
          <w:noProof/>
        </w:rPr>
        <w:t>ELi tasandi meetmete põhjused (eelhindamine). Seoses väliskomponendiga võiksid välispartnerid ühenduse tasandil võetavatest meetmetest kasu saada tänu paindlikule rakendamisele ja kuna neil on juurdepääs kogu liikmesriikide kogemustepagasile;</w:t>
      </w:r>
    </w:p>
    <w:p w14:paraId="029C5B38" w14:textId="77777777" w:rsidR="00BF22EA" w:rsidRPr="00797162" w:rsidRDefault="00BF22EA" w:rsidP="00BF22EA">
      <w:pPr>
        <w:pBdr>
          <w:top w:val="single" w:sz="4" w:space="1" w:color="auto"/>
          <w:left w:val="single" w:sz="4" w:space="4" w:color="auto"/>
          <w:bottom w:val="single" w:sz="4" w:space="1" w:color="auto"/>
          <w:right w:val="single" w:sz="4" w:space="4" w:color="auto"/>
        </w:pBdr>
        <w:ind w:left="850"/>
        <w:rPr>
          <w:noProof/>
        </w:rPr>
      </w:pPr>
      <w:r w:rsidRPr="00797162">
        <w:rPr>
          <w:noProof/>
        </w:rPr>
        <w:t>väliskomponendi puhul on mõju, tõhusus ja nähtavus suurem, kui see oleks juhul, kui meetmeid rakendaksid liikmesriigid üksikult. Sisekomponent põhineb Euroopa Komisjoni õiguslikul vastutusel oma tuumauuringute rajatiste haldamise eest.</w:t>
      </w:r>
    </w:p>
    <w:p w14:paraId="43642865" w14:textId="77777777" w:rsidR="00BF22EA" w:rsidRPr="00797162" w:rsidRDefault="00BF22EA" w:rsidP="00BF22EA">
      <w:pPr>
        <w:pBdr>
          <w:top w:val="single" w:sz="4" w:space="1" w:color="auto"/>
          <w:left w:val="single" w:sz="4" w:space="4" w:color="auto"/>
          <w:bottom w:val="single" w:sz="4" w:space="1" w:color="auto"/>
          <w:right w:val="single" w:sz="4" w:space="4" w:color="auto"/>
        </w:pBdr>
        <w:ind w:left="850"/>
        <w:rPr>
          <w:noProof/>
        </w:rPr>
      </w:pPr>
      <w:r w:rsidRPr="00797162">
        <w:rPr>
          <w:noProof/>
        </w:rPr>
        <w:t>Sisekomponendi puhul tuleneb ELi osalemine Euroopa Komisjoni õiguslikest kohustustest seoses tema varasemate ja käimasolevate teadusuuringute tuumaalaste aspektidega.</w:t>
      </w:r>
    </w:p>
    <w:p w14:paraId="746E753F" w14:textId="77777777" w:rsidR="00BF22EA" w:rsidRPr="00797162" w:rsidRDefault="00BF22EA" w:rsidP="00BF22EA">
      <w:pPr>
        <w:pBdr>
          <w:top w:val="single" w:sz="4" w:space="1" w:color="auto"/>
          <w:left w:val="single" w:sz="4" w:space="4" w:color="auto"/>
          <w:bottom w:val="single" w:sz="4" w:space="1" w:color="auto"/>
          <w:right w:val="single" w:sz="4" w:space="4" w:color="auto"/>
        </w:pBdr>
        <w:ind w:left="850"/>
        <w:rPr>
          <w:noProof/>
        </w:rPr>
      </w:pPr>
    </w:p>
    <w:p w14:paraId="4C94D877" w14:textId="77777777" w:rsidR="00BF22EA" w:rsidRPr="00797162" w:rsidRDefault="00BF22EA" w:rsidP="00BF22EA">
      <w:pPr>
        <w:keepNext/>
        <w:tabs>
          <w:tab w:val="left" w:pos="850"/>
        </w:tabs>
        <w:ind w:left="850" w:hanging="850"/>
        <w:outlineLvl w:val="2"/>
        <w:rPr>
          <w:i/>
          <w:noProof/>
        </w:rPr>
      </w:pPr>
      <w:bookmarkStart w:id="78" w:name="_Toc514938030"/>
      <w:bookmarkStart w:id="79" w:name="_Toc520485037"/>
      <w:bookmarkStart w:id="80" w:name="_Toc160804579"/>
      <w:bookmarkStart w:id="81" w:name="_Toc167220271"/>
      <w:bookmarkStart w:id="82" w:name="_Toc177549004"/>
      <w:r w:rsidRPr="00797162">
        <w:rPr>
          <w:i/>
          <w:noProof/>
        </w:rPr>
        <w:t>1.5.3.</w:t>
      </w:r>
      <w:r w:rsidRPr="00797162">
        <w:rPr>
          <w:noProof/>
        </w:rPr>
        <w:tab/>
      </w:r>
      <w:r w:rsidRPr="00797162">
        <w:rPr>
          <w:i/>
          <w:noProof/>
        </w:rPr>
        <w:t>Samalaadsetest kogemustest saadud õppetunnid</w:t>
      </w:r>
      <w:bookmarkEnd w:id="78"/>
      <w:bookmarkEnd w:id="79"/>
      <w:bookmarkEnd w:id="80"/>
      <w:bookmarkEnd w:id="81"/>
      <w:bookmarkEnd w:id="82"/>
    </w:p>
    <w:p w14:paraId="05411A56" w14:textId="77777777" w:rsidR="00BF22EA" w:rsidRPr="00797162" w:rsidRDefault="00BF22EA" w:rsidP="00BF22EA">
      <w:pPr>
        <w:pBdr>
          <w:top w:val="single" w:sz="4" w:space="1" w:color="auto"/>
          <w:left w:val="single" w:sz="4" w:space="4" w:color="auto"/>
          <w:bottom w:val="single" w:sz="4" w:space="1" w:color="auto"/>
          <w:right w:val="single" w:sz="4" w:space="4" w:color="auto"/>
        </w:pBdr>
        <w:ind w:left="850"/>
        <w:rPr>
          <w:noProof/>
        </w:rPr>
      </w:pPr>
      <w:r w:rsidRPr="00797162">
        <w:rPr>
          <w:noProof/>
        </w:rPr>
        <w:t xml:space="preserve">Rahvusvahelise tuumaohutusalase koostöö Euroopa instrumendi ja selle eelkäijate rakendamisel saadud õppetunde kasutatakse väliskomponendi rakendamiseks. </w:t>
      </w:r>
    </w:p>
    <w:p w14:paraId="2D9C0533" w14:textId="77777777" w:rsidR="00BF22EA" w:rsidRPr="00797162" w:rsidDel="0055587D" w:rsidRDefault="00BF22EA" w:rsidP="00BF22EA">
      <w:pPr>
        <w:pBdr>
          <w:top w:val="single" w:sz="4" w:space="1" w:color="auto"/>
          <w:left w:val="single" w:sz="4" w:space="4" w:color="auto"/>
          <w:bottom w:val="single" w:sz="4" w:space="1" w:color="auto"/>
          <w:right w:val="single" w:sz="4" w:space="4" w:color="auto"/>
        </w:pBdr>
        <w:ind w:left="850"/>
        <w:rPr>
          <w:noProof/>
        </w:rPr>
      </w:pPr>
      <w:r w:rsidRPr="00797162">
        <w:rPr>
          <w:noProof/>
        </w:rPr>
        <w:t>Varasema tuumarajatiste dekomissioneerimise abiprogrammi rakendamisel saadud õppetunde kasutatakse sisekomponendi rakendamiseks.</w:t>
      </w:r>
    </w:p>
    <w:p w14:paraId="55803298" w14:textId="77777777" w:rsidR="00BF22EA" w:rsidRPr="00797162" w:rsidRDefault="00BF22EA" w:rsidP="00BF22EA">
      <w:pPr>
        <w:keepNext/>
        <w:tabs>
          <w:tab w:val="left" w:pos="850"/>
        </w:tabs>
        <w:ind w:left="850" w:hanging="850"/>
        <w:outlineLvl w:val="2"/>
        <w:rPr>
          <w:i/>
          <w:noProof/>
        </w:rPr>
      </w:pPr>
      <w:bookmarkStart w:id="83" w:name="_Toc514938033"/>
      <w:bookmarkStart w:id="84" w:name="_Toc520485038"/>
      <w:bookmarkStart w:id="85" w:name="_Toc160804580"/>
      <w:bookmarkStart w:id="86" w:name="_Toc167220272"/>
      <w:bookmarkStart w:id="87" w:name="_Toc177549005"/>
      <w:r w:rsidRPr="00797162">
        <w:rPr>
          <w:i/>
          <w:noProof/>
        </w:rPr>
        <w:t>1.5.4.</w:t>
      </w:r>
      <w:r w:rsidRPr="00797162">
        <w:rPr>
          <w:noProof/>
        </w:rPr>
        <w:tab/>
      </w:r>
      <w:r w:rsidRPr="00797162">
        <w:rPr>
          <w:i/>
          <w:noProof/>
        </w:rPr>
        <w:t>Kooskõla mitmeaastase finantsraamistikuga ja võimalik koostoime muude asjakohaste vahenditega</w:t>
      </w:r>
      <w:bookmarkEnd w:id="83"/>
      <w:bookmarkEnd w:id="84"/>
      <w:bookmarkEnd w:id="85"/>
      <w:bookmarkEnd w:id="86"/>
      <w:bookmarkEnd w:id="87"/>
    </w:p>
    <w:p w14:paraId="3221CC7C" w14:textId="77777777" w:rsidR="00BF22EA" w:rsidRPr="00797162" w:rsidRDefault="00BF22EA" w:rsidP="00BF22EA">
      <w:pPr>
        <w:pBdr>
          <w:top w:val="single" w:sz="4" w:space="1" w:color="auto"/>
          <w:left w:val="single" w:sz="4" w:space="4" w:color="auto"/>
          <w:bottom w:val="single" w:sz="4" w:space="1" w:color="auto"/>
          <w:right w:val="single" w:sz="4" w:space="4" w:color="auto"/>
        </w:pBdr>
        <w:ind w:left="850"/>
        <w:rPr>
          <w:noProof/>
        </w:rPr>
      </w:pPr>
      <w:r w:rsidRPr="00797162">
        <w:rPr>
          <w:noProof/>
        </w:rPr>
        <w:t xml:space="preserve">Programm on üks mitmeaastase finantsraamistiku 2028–2034 rahastamisviisidest ning sellel on märkimisväärne sidusus ja vastastikune täiendavus muude peamiste ELi prioriteetide ja rahastamiskavadega. </w:t>
      </w:r>
    </w:p>
    <w:p w14:paraId="55AE6DAA" w14:textId="77777777" w:rsidR="00BF22EA" w:rsidRPr="00797162" w:rsidRDefault="00BF22EA" w:rsidP="00BF22EA">
      <w:pPr>
        <w:pBdr>
          <w:top w:val="single" w:sz="4" w:space="1" w:color="auto"/>
          <w:left w:val="single" w:sz="4" w:space="4" w:color="auto"/>
          <w:bottom w:val="single" w:sz="4" w:space="1" w:color="auto"/>
          <w:right w:val="single" w:sz="4" w:space="4" w:color="auto"/>
        </w:pBdr>
        <w:ind w:left="850"/>
        <w:rPr>
          <w:noProof/>
        </w:rPr>
      </w:pPr>
      <w:r w:rsidRPr="00797162">
        <w:rPr>
          <w:noProof/>
        </w:rPr>
        <w:t>Sisekomponendi puhul on kahe ühendatud vahendi (tuumaohutusalase koostöö instrument ja dekomissioneerimise programm) ühine eesmärk tuumaohutuse ja radioaktiivsete jäätmete ohutu käitlemise kõrgeimate standardite edendamine ja rakendamine. See on kooskõlas energeetika peadirektoraadi hallatava tuumarajatiste dekomissioneerimise programmiga, millega toetatakse dekomissioneerimistegevust Euroopa Liidu liikmesriikides.</w:t>
      </w:r>
    </w:p>
    <w:p w14:paraId="1FB1EA93" w14:textId="77777777" w:rsidR="00BF22EA" w:rsidRPr="00797162" w:rsidRDefault="00BF22EA" w:rsidP="00BF22EA">
      <w:pPr>
        <w:pBdr>
          <w:top w:val="single" w:sz="4" w:space="1" w:color="000000"/>
          <w:left w:val="single" w:sz="4" w:space="4" w:color="000000"/>
          <w:bottom w:val="single" w:sz="4" w:space="1" w:color="000000"/>
          <w:right w:val="single" w:sz="4" w:space="4" w:color="000000"/>
        </w:pBdr>
        <w:ind w:left="850"/>
        <w:rPr>
          <w:noProof/>
        </w:rPr>
      </w:pPr>
      <w:r w:rsidRPr="00797162">
        <w:rPr>
          <w:noProof/>
        </w:rPr>
        <w:t>Käesoleva määruse rakendamisel tagatakse kooskõla muude välistegevuse valdkondade ja teiste asjakohaste ELi poliitikavaldkondadega. Tuleks püüda saavutada koostoimet muude ELi programmide raames võetavate meetmetega, et maksimeerida kombineeritud sekkumiste mõju.</w:t>
      </w:r>
    </w:p>
    <w:p w14:paraId="0780DEC0" w14:textId="77777777" w:rsidR="00BF22EA" w:rsidRPr="00797162" w:rsidRDefault="00BF22EA" w:rsidP="00BF22EA">
      <w:pPr>
        <w:pBdr>
          <w:top w:val="single" w:sz="4" w:space="1" w:color="000000"/>
          <w:left w:val="single" w:sz="4" w:space="4" w:color="000000"/>
          <w:bottom w:val="single" w:sz="4" w:space="1" w:color="000000"/>
          <w:right w:val="single" w:sz="4" w:space="4" w:color="000000"/>
        </w:pBdr>
        <w:ind w:left="850"/>
        <w:rPr>
          <w:noProof/>
        </w:rPr>
      </w:pPr>
      <w:r w:rsidRPr="00797162">
        <w:rPr>
          <w:noProof/>
        </w:rPr>
        <w:t>Käesoleva ettepaneku alusel rahastatavad meetmed peaksid olema sidusad ja täiendama meetmeid, mida rakendatakse instrumendi „Globaalne Euroopa“, ülemeremaid ja -territooriume käsitleva otsuse, ühise välis- ja julgeolekupoliitika ning ELi eelarve välise Euroopa rahutagamisrahastu raames.</w:t>
      </w:r>
    </w:p>
    <w:p w14:paraId="75EE1AF4" w14:textId="77777777" w:rsidR="00BF22EA" w:rsidRPr="00797162" w:rsidRDefault="00BF22EA" w:rsidP="00BF22EA">
      <w:pPr>
        <w:pBdr>
          <w:top w:val="single" w:sz="4" w:space="1" w:color="auto"/>
          <w:left w:val="single" w:sz="4" w:space="4" w:color="auto"/>
          <w:bottom w:val="single" w:sz="4" w:space="1" w:color="auto"/>
          <w:right w:val="single" w:sz="4" w:space="4" w:color="auto"/>
        </w:pBdr>
        <w:ind w:left="850"/>
        <w:rPr>
          <w:noProof/>
        </w:rPr>
      </w:pPr>
      <w:bookmarkStart w:id="88" w:name="_Toc514938036"/>
      <w:bookmarkStart w:id="89" w:name="_Toc520485039"/>
      <w:bookmarkStart w:id="90" w:name="_Toc160804581"/>
      <w:bookmarkStart w:id="91" w:name="_Toc167220273"/>
      <w:bookmarkStart w:id="92" w:name="_Toc177549006"/>
      <w:r w:rsidRPr="00797162">
        <w:rPr>
          <w:noProof/>
        </w:rPr>
        <w:t>1.5.5.</w:t>
      </w:r>
      <w:r w:rsidRPr="00797162">
        <w:rPr>
          <w:noProof/>
        </w:rPr>
        <w:tab/>
        <w:t xml:space="preserve">Erinevate kasutada olevate rahastamisvõimaluste, sealhulgas vahendite ümberpaigutamise võimaluste hinnang </w:t>
      </w:r>
      <w:bookmarkEnd w:id="88"/>
      <w:bookmarkEnd w:id="89"/>
      <w:bookmarkEnd w:id="90"/>
      <w:bookmarkEnd w:id="91"/>
      <w:bookmarkEnd w:id="92"/>
    </w:p>
    <w:p w14:paraId="4A8CED1D" w14:textId="77777777" w:rsidR="00BF22EA" w:rsidRPr="00797162" w:rsidRDefault="00BF22EA" w:rsidP="00BF22EA">
      <w:pPr>
        <w:pBdr>
          <w:top w:val="single" w:sz="4" w:space="1" w:color="auto"/>
          <w:left w:val="single" w:sz="4" w:space="4" w:color="auto"/>
          <w:bottom w:val="single" w:sz="4" w:space="1" w:color="auto"/>
          <w:right w:val="single" w:sz="4" w:space="4" w:color="auto"/>
        </w:pBdr>
        <w:ind w:left="850"/>
        <w:rPr>
          <w:noProof/>
        </w:rPr>
      </w:pPr>
      <w:r w:rsidRPr="00797162">
        <w:rPr>
          <w:noProof/>
        </w:rPr>
        <w:t>Ei kohaldata, kuna käesolev ettepanek on osa mitmeaastase finantsraamistiku 2028–2034 uute rahastamisprogrammide paketist. Selle programmi jaoks kavandatud eelarveassigneeringud kaetakse seega täielikult mitmeaastase finantsraamistiku 2028–2034 rubriigi 1 assigneeringutest ja ümberpaigutamine ühestki muust programmist ei ole nõutav.</w:t>
      </w:r>
    </w:p>
    <w:p w14:paraId="1B714FB9" w14:textId="77777777" w:rsidR="00BF22EA" w:rsidRPr="00797162" w:rsidRDefault="00BF22EA" w:rsidP="00BF22EA">
      <w:pPr>
        <w:pBdr>
          <w:top w:val="single" w:sz="4" w:space="1" w:color="auto"/>
          <w:left w:val="single" w:sz="4" w:space="4" w:color="auto"/>
          <w:bottom w:val="single" w:sz="4" w:space="1" w:color="auto"/>
          <w:right w:val="single" w:sz="4" w:space="4" w:color="auto"/>
        </w:pBdr>
        <w:ind w:left="850"/>
        <w:rPr>
          <w:noProof/>
        </w:rPr>
      </w:pPr>
    </w:p>
    <w:p w14:paraId="650C2C0B" w14:textId="77777777" w:rsidR="00BF22EA" w:rsidRPr="00797162" w:rsidRDefault="00BF22EA" w:rsidP="00BF22EA">
      <w:pPr>
        <w:pBdr>
          <w:top w:val="single" w:sz="4" w:space="1" w:color="auto"/>
          <w:left w:val="single" w:sz="4" w:space="4" w:color="auto"/>
          <w:bottom w:val="single" w:sz="4" w:space="1" w:color="auto"/>
          <w:right w:val="single" w:sz="4" w:space="4" w:color="auto"/>
        </w:pBdr>
        <w:ind w:left="850"/>
        <w:rPr>
          <w:noProof/>
        </w:rPr>
      </w:pPr>
    </w:p>
    <w:p w14:paraId="1F0298E9" w14:textId="1B7D266B" w:rsidR="00BF22EA" w:rsidRPr="00797162" w:rsidRDefault="00BF22EA" w:rsidP="00BF22EA">
      <w:pPr>
        <w:keepNext/>
        <w:tabs>
          <w:tab w:val="left" w:pos="850"/>
        </w:tabs>
        <w:ind w:left="850" w:hanging="850"/>
        <w:outlineLvl w:val="1"/>
        <w:rPr>
          <w:b/>
          <w:noProof/>
        </w:rPr>
      </w:pPr>
      <w:r w:rsidRPr="00797162">
        <w:rPr>
          <w:noProof/>
        </w:rPr>
        <w:br w:type="page"/>
      </w:r>
      <w:bookmarkStart w:id="93" w:name="_Toc514938039"/>
      <w:bookmarkStart w:id="94" w:name="_Toc520485040"/>
      <w:bookmarkStart w:id="95" w:name="_Toc160804582"/>
      <w:bookmarkStart w:id="96" w:name="_Toc167220274"/>
      <w:bookmarkStart w:id="97" w:name="_Toc177549007"/>
      <w:r w:rsidRPr="00797162">
        <w:rPr>
          <w:b/>
          <w:noProof/>
        </w:rPr>
        <w:t>1.6.</w:t>
      </w:r>
      <w:r w:rsidRPr="00797162">
        <w:rPr>
          <w:noProof/>
        </w:rPr>
        <w:tab/>
      </w:r>
      <w:r w:rsidRPr="00797162">
        <w:rPr>
          <w:b/>
          <w:noProof/>
        </w:rPr>
        <w:t>Ettepaneku/algatuse</w:t>
      </w:r>
      <w:bookmarkEnd w:id="93"/>
      <w:bookmarkEnd w:id="94"/>
      <w:r w:rsidRPr="00797162">
        <w:rPr>
          <w:b/>
          <w:noProof/>
        </w:rPr>
        <w:t xml:space="preserve"> ja selle finantsmõju kestus</w:t>
      </w:r>
      <w:bookmarkEnd w:id="95"/>
      <w:bookmarkEnd w:id="96"/>
      <w:bookmarkEnd w:id="97"/>
    </w:p>
    <w:p w14:paraId="41B0E03C" w14:textId="77777777" w:rsidR="008B1401" w:rsidRPr="00797162" w:rsidRDefault="008B1401" w:rsidP="008B1401">
      <w:pPr>
        <w:ind w:left="850"/>
        <w:rPr>
          <w:noProof/>
        </w:rPr>
      </w:pPr>
      <w:bookmarkStart w:id="98" w:name="_Toc514938040"/>
      <w:bookmarkStart w:id="99" w:name="_Toc520485041"/>
      <w:bookmarkStart w:id="100" w:name="_Toc160804583"/>
      <w:bookmarkStart w:id="101" w:name="_Toc167220275"/>
      <w:bookmarkStart w:id="102" w:name="_Toc177549008"/>
      <w:r w:rsidRPr="00797162">
        <w:rPr>
          <w:rFonts w:ascii="Wingdings" w:hAnsi="Wingdings"/>
          <w:noProof/>
        </w:rPr>
        <w:t></w:t>
      </w:r>
      <w:r w:rsidRPr="00797162">
        <w:rPr>
          <w:b/>
          <w:i/>
          <w:noProof/>
        </w:rPr>
        <w:t xml:space="preserve"> </w:t>
      </w:r>
      <w:r w:rsidRPr="00797162">
        <w:rPr>
          <w:b/>
          <w:noProof/>
        </w:rPr>
        <w:t xml:space="preserve">Piiratud kestusega </w:t>
      </w:r>
    </w:p>
    <w:p w14:paraId="3997437A" w14:textId="77777777" w:rsidR="008B1401" w:rsidRPr="00797162" w:rsidRDefault="008B1401" w:rsidP="008B1401">
      <w:pPr>
        <w:pStyle w:val="ListDash2"/>
        <w:rPr>
          <w:noProof/>
        </w:rPr>
      </w:pPr>
      <w:r w:rsidRPr="00797162">
        <w:rPr>
          <w:rFonts w:ascii="Wingdings" w:hAnsi="Wingdings"/>
          <w:noProof/>
        </w:rPr>
        <w:t></w:t>
      </w:r>
      <w:r w:rsidRPr="00797162">
        <w:rPr>
          <w:noProof/>
        </w:rPr>
        <w:tab/>
        <w:t xml:space="preserve">kehtib ajavahemikul 1.1.2028–31.12.2034 </w:t>
      </w:r>
    </w:p>
    <w:p w14:paraId="7B046573" w14:textId="77777777" w:rsidR="008B1401" w:rsidRPr="00797162" w:rsidRDefault="008B1401" w:rsidP="008B1401">
      <w:pPr>
        <w:pStyle w:val="ListDash2"/>
        <w:rPr>
          <w:noProof/>
        </w:rPr>
      </w:pPr>
      <w:r w:rsidRPr="00797162">
        <w:rPr>
          <w:rFonts w:ascii="Wingdings" w:hAnsi="Wingdings"/>
          <w:noProof/>
        </w:rPr>
        <w:t></w:t>
      </w:r>
      <w:r w:rsidRPr="00797162">
        <w:rPr>
          <w:noProof/>
        </w:rPr>
        <w:tab/>
        <w:t>finantsmõju 2028–2034 kulukohustuste assigneeringutel ja 2028–2041 maksete assigneeringutel.</w:t>
      </w:r>
    </w:p>
    <w:p w14:paraId="72B4ED94" w14:textId="77777777" w:rsidR="008B1401" w:rsidRPr="00797162" w:rsidRDefault="008B1401" w:rsidP="008B1401">
      <w:pPr>
        <w:ind w:left="850"/>
        <w:rPr>
          <w:noProof/>
        </w:rPr>
      </w:pPr>
      <w:r w:rsidRPr="00797162">
        <w:rPr>
          <w:rFonts w:ascii="Wingdings" w:hAnsi="Wingdings"/>
          <w:noProof/>
        </w:rPr>
        <w:t></w:t>
      </w:r>
      <w:r w:rsidRPr="00797162">
        <w:rPr>
          <w:b/>
          <w:i/>
          <w:noProof/>
        </w:rPr>
        <w:t xml:space="preserve"> </w:t>
      </w:r>
      <w:r w:rsidRPr="00797162">
        <w:rPr>
          <w:b/>
          <w:noProof/>
        </w:rPr>
        <w:t>piiramatu kestusega</w:t>
      </w:r>
    </w:p>
    <w:p w14:paraId="220B29E6" w14:textId="2A2B4459" w:rsidR="008B1401" w:rsidRPr="00797162" w:rsidRDefault="00C46C95" w:rsidP="008B1401">
      <w:pPr>
        <w:pStyle w:val="ListDash1"/>
        <w:rPr>
          <w:noProof/>
        </w:rPr>
      </w:pPr>
      <w:r w:rsidRPr="00797162">
        <w:rPr>
          <w:noProof/>
        </w:rPr>
        <w:t>r</w:t>
      </w:r>
      <w:r w:rsidR="008B1401" w:rsidRPr="00797162">
        <w:rPr>
          <w:noProof/>
        </w:rPr>
        <w:t>akendamise käivitumisperiood hõlmab ajavahemikku AAAA–AAAA,</w:t>
      </w:r>
    </w:p>
    <w:p w14:paraId="21531C05" w14:textId="77777777" w:rsidR="008B1401" w:rsidRPr="00797162" w:rsidRDefault="008B1401" w:rsidP="008B1401">
      <w:pPr>
        <w:pStyle w:val="ListDash1"/>
        <w:rPr>
          <w:noProof/>
        </w:rPr>
      </w:pPr>
      <w:r w:rsidRPr="00797162">
        <w:rPr>
          <w:noProof/>
        </w:rPr>
        <w:t>millele järgneb täieulatuslik rakendamine.</w:t>
      </w:r>
    </w:p>
    <w:bookmarkEnd w:id="98"/>
    <w:bookmarkEnd w:id="99"/>
    <w:bookmarkEnd w:id="100"/>
    <w:bookmarkEnd w:id="101"/>
    <w:bookmarkEnd w:id="102"/>
    <w:p w14:paraId="0C66BFE4" w14:textId="77777777" w:rsidR="008B1401" w:rsidRPr="00797162" w:rsidRDefault="008B1401" w:rsidP="008B1401">
      <w:pPr>
        <w:keepNext/>
        <w:tabs>
          <w:tab w:val="left" w:pos="850"/>
        </w:tabs>
        <w:ind w:left="850" w:hanging="850"/>
        <w:outlineLvl w:val="1"/>
        <w:rPr>
          <w:b/>
          <w:noProof/>
        </w:rPr>
      </w:pPr>
      <w:r w:rsidRPr="00797162">
        <w:rPr>
          <w:b/>
          <w:noProof/>
        </w:rPr>
        <w:t>1.7.</w:t>
      </w:r>
      <w:r w:rsidRPr="00797162">
        <w:rPr>
          <w:noProof/>
        </w:rPr>
        <w:tab/>
      </w:r>
      <w:r w:rsidRPr="00797162">
        <w:rPr>
          <w:b/>
          <w:noProof/>
        </w:rPr>
        <w:t xml:space="preserve">Kavandatud eelarve täitmise viisid </w:t>
      </w:r>
    </w:p>
    <w:p w14:paraId="5CDC39A9" w14:textId="77777777" w:rsidR="008B1401" w:rsidRPr="00797162" w:rsidRDefault="008B1401" w:rsidP="008B1401">
      <w:pPr>
        <w:ind w:left="850"/>
        <w:rPr>
          <w:noProof/>
        </w:rPr>
      </w:pPr>
      <w:r w:rsidRPr="00797162">
        <w:rPr>
          <w:rFonts w:ascii="Wingdings" w:hAnsi="Wingdings"/>
          <w:noProof/>
        </w:rPr>
        <w:t></w:t>
      </w:r>
      <w:r w:rsidRPr="00797162">
        <w:rPr>
          <w:i/>
          <w:noProof/>
        </w:rPr>
        <w:t xml:space="preserve"> </w:t>
      </w:r>
      <w:r w:rsidRPr="00797162">
        <w:rPr>
          <w:b/>
          <w:bCs/>
          <w:noProof/>
        </w:rPr>
        <w:t>Eelarve otsene täitmine</w:t>
      </w:r>
      <w:r w:rsidRPr="00797162">
        <w:rPr>
          <w:noProof/>
        </w:rPr>
        <w:t xml:space="preserve"> komisjoni poolt</w:t>
      </w:r>
    </w:p>
    <w:p w14:paraId="079CEC34" w14:textId="77777777" w:rsidR="008B1401" w:rsidRPr="00797162" w:rsidRDefault="008B1401" w:rsidP="008B1401">
      <w:pPr>
        <w:pStyle w:val="ListDash2"/>
        <w:rPr>
          <w:noProof/>
        </w:rPr>
      </w:pPr>
      <w:r w:rsidRPr="00797162">
        <w:rPr>
          <w:rFonts w:ascii="Wingdings" w:hAnsi="Wingdings"/>
          <w:noProof/>
        </w:rPr>
        <w:t></w:t>
      </w:r>
      <w:r w:rsidRPr="00797162">
        <w:rPr>
          <w:noProof/>
        </w:rPr>
        <w:tab/>
        <w:t xml:space="preserve">tema talituste kaudu, sealhulgas kasutades liidu delegatsioonides töötavat komisjoni personali; </w:t>
      </w:r>
    </w:p>
    <w:p w14:paraId="2A1E3845" w14:textId="77777777" w:rsidR="008B1401" w:rsidRPr="00797162" w:rsidRDefault="008B1401" w:rsidP="008B1401">
      <w:pPr>
        <w:pStyle w:val="ListDash2"/>
        <w:rPr>
          <w:noProof/>
        </w:rPr>
      </w:pPr>
      <w:r w:rsidRPr="00797162">
        <w:rPr>
          <w:rFonts w:ascii="Wingdings" w:hAnsi="Wingdings"/>
          <w:noProof/>
        </w:rPr>
        <w:t></w:t>
      </w:r>
      <w:r w:rsidRPr="00797162">
        <w:rPr>
          <w:noProof/>
        </w:rPr>
        <w:tab/>
        <w:t xml:space="preserve">rakendusametite kaudu </w:t>
      </w:r>
    </w:p>
    <w:p w14:paraId="64617D71" w14:textId="77777777" w:rsidR="00BF22EA" w:rsidRPr="00797162" w:rsidRDefault="00BF22EA" w:rsidP="00BF22EA">
      <w:pPr>
        <w:ind w:left="850"/>
        <w:rPr>
          <w:noProof/>
        </w:rPr>
      </w:pPr>
      <w:r w:rsidRPr="00797162">
        <w:rPr>
          <w:rFonts w:ascii="Wingdings" w:hAnsi="Wingdings"/>
          <w:noProof/>
        </w:rPr>
        <w:t></w:t>
      </w:r>
      <w:r w:rsidRPr="00797162">
        <w:rPr>
          <w:b/>
          <w:i/>
          <w:noProof/>
        </w:rPr>
        <w:t xml:space="preserve"> </w:t>
      </w:r>
      <w:r w:rsidRPr="00797162">
        <w:rPr>
          <w:b/>
          <w:bCs/>
          <w:noProof/>
        </w:rPr>
        <w:t>Eelarve jagatud täitmine</w:t>
      </w:r>
      <w:r w:rsidRPr="00797162">
        <w:rPr>
          <w:noProof/>
        </w:rPr>
        <w:t xml:space="preserve"> koostöös liikmesriikidega </w:t>
      </w:r>
    </w:p>
    <w:p w14:paraId="0B1631BE" w14:textId="77777777" w:rsidR="00BF22EA" w:rsidRPr="00797162" w:rsidRDefault="00BF22EA" w:rsidP="00BF22EA">
      <w:pPr>
        <w:ind w:left="850"/>
        <w:rPr>
          <w:noProof/>
        </w:rPr>
      </w:pPr>
      <w:r w:rsidRPr="00797162">
        <w:rPr>
          <w:rFonts w:ascii="Wingdings" w:hAnsi="Wingdings"/>
          <w:noProof/>
        </w:rPr>
        <w:t></w:t>
      </w:r>
      <w:r w:rsidRPr="00797162">
        <w:rPr>
          <w:i/>
          <w:noProof/>
        </w:rPr>
        <w:t xml:space="preserve"> </w:t>
      </w:r>
      <w:r w:rsidRPr="00797162">
        <w:rPr>
          <w:b/>
          <w:bCs/>
          <w:noProof/>
        </w:rPr>
        <w:t>Eelarve kaudne täitmine</w:t>
      </w:r>
      <w:r w:rsidRPr="00797162">
        <w:rPr>
          <w:noProof/>
        </w:rPr>
        <w:t>, mille puhul eelarve täitmise ülesanded on delegeeritud:</w:t>
      </w:r>
    </w:p>
    <w:p w14:paraId="6D7F09C2" w14:textId="77777777" w:rsidR="00BF22EA" w:rsidRPr="00797162" w:rsidRDefault="00BF22EA" w:rsidP="00337493">
      <w:pPr>
        <w:pStyle w:val="ListDash2"/>
        <w:rPr>
          <w:noProof/>
        </w:rPr>
      </w:pPr>
      <w:r w:rsidRPr="00797162">
        <w:rPr>
          <w:rFonts w:ascii="Wingdings" w:hAnsi="Wingdings"/>
          <w:noProof/>
        </w:rPr>
        <w:t></w:t>
      </w:r>
      <w:r w:rsidRPr="00797162">
        <w:rPr>
          <w:noProof/>
        </w:rPr>
        <w:tab/>
        <w:t>kolmandatele riikidele või nende määratud asutustele;</w:t>
      </w:r>
    </w:p>
    <w:p w14:paraId="3DA6391C" w14:textId="77777777" w:rsidR="00BF22EA" w:rsidRPr="00797162" w:rsidRDefault="00BF22EA" w:rsidP="00337493">
      <w:pPr>
        <w:pStyle w:val="ListDash2"/>
        <w:rPr>
          <w:noProof/>
        </w:rPr>
      </w:pPr>
      <w:r w:rsidRPr="00797162">
        <w:rPr>
          <w:rFonts w:ascii="Wingdings" w:hAnsi="Wingdings"/>
          <w:noProof/>
        </w:rPr>
        <w:t></w:t>
      </w:r>
      <w:r w:rsidRPr="00797162">
        <w:rPr>
          <w:noProof/>
        </w:rPr>
        <w:tab/>
        <w:t>rahvusvahelistele organisatsioonidele ja nende allasutustele (nimetage);</w:t>
      </w:r>
    </w:p>
    <w:p w14:paraId="2CE9B4B9" w14:textId="77777777" w:rsidR="00BF22EA" w:rsidRPr="00797162" w:rsidRDefault="00BF22EA" w:rsidP="00337493">
      <w:pPr>
        <w:pStyle w:val="ListDash2"/>
        <w:rPr>
          <w:noProof/>
        </w:rPr>
      </w:pPr>
      <w:r w:rsidRPr="00797162">
        <w:rPr>
          <w:rFonts w:ascii="Wingdings" w:hAnsi="Wingdings"/>
          <w:noProof/>
        </w:rPr>
        <w:t></w:t>
      </w:r>
      <w:r w:rsidRPr="00797162">
        <w:rPr>
          <w:noProof/>
        </w:rPr>
        <w:t xml:space="preserve"> Euroopa Investeerimispangale ja Euroopa Investeerimisfondile;</w:t>
      </w:r>
    </w:p>
    <w:p w14:paraId="1CC6F6F9" w14:textId="77777777" w:rsidR="00BF22EA" w:rsidRPr="00797162" w:rsidRDefault="00BF22EA" w:rsidP="00337493">
      <w:pPr>
        <w:pStyle w:val="ListDash2"/>
        <w:rPr>
          <w:noProof/>
        </w:rPr>
      </w:pPr>
      <w:r w:rsidRPr="00797162">
        <w:rPr>
          <w:rFonts w:ascii="Wingdings" w:hAnsi="Wingdings"/>
          <w:noProof/>
        </w:rPr>
        <w:t></w:t>
      </w:r>
      <w:r w:rsidRPr="00797162">
        <w:rPr>
          <w:noProof/>
        </w:rPr>
        <w:t xml:space="preserve"> finantsmääruse artiklites 70 ja 71 osutatud asutustele;</w:t>
      </w:r>
    </w:p>
    <w:p w14:paraId="17FD792A" w14:textId="77777777" w:rsidR="00BF22EA" w:rsidRPr="00797162" w:rsidRDefault="00BF22EA" w:rsidP="00337493">
      <w:pPr>
        <w:pStyle w:val="ListDash2"/>
        <w:rPr>
          <w:noProof/>
        </w:rPr>
      </w:pPr>
      <w:r w:rsidRPr="00797162">
        <w:rPr>
          <w:rFonts w:ascii="Wingdings" w:hAnsi="Wingdings"/>
          <w:noProof/>
        </w:rPr>
        <w:t></w:t>
      </w:r>
      <w:r w:rsidRPr="00797162">
        <w:rPr>
          <w:noProof/>
        </w:rPr>
        <w:t xml:space="preserve"> avalik-õiguslikele asutustele;</w:t>
      </w:r>
    </w:p>
    <w:p w14:paraId="721DF767" w14:textId="77777777" w:rsidR="00BF22EA" w:rsidRPr="00797162" w:rsidRDefault="00BF22EA" w:rsidP="00337493">
      <w:pPr>
        <w:pStyle w:val="ListDash2"/>
        <w:rPr>
          <w:noProof/>
        </w:rPr>
      </w:pPr>
      <w:r w:rsidRPr="00797162">
        <w:rPr>
          <w:rFonts w:ascii="Wingdings" w:hAnsi="Wingdings"/>
          <w:noProof/>
        </w:rPr>
        <w:t></w:t>
      </w:r>
      <w:r w:rsidRPr="00797162">
        <w:rPr>
          <w:noProof/>
        </w:rPr>
        <w:t xml:space="preserve"> avalikke teenuseid osutavatele eraõiguslikele asutustele, sel määral, mil neile antakse piisavad finantstagatised;</w:t>
      </w:r>
    </w:p>
    <w:p w14:paraId="02A91EA3" w14:textId="77777777" w:rsidR="00BF22EA" w:rsidRPr="00797162" w:rsidRDefault="00BF22EA" w:rsidP="00337493">
      <w:pPr>
        <w:pStyle w:val="ListDash2"/>
        <w:rPr>
          <w:noProof/>
        </w:rPr>
      </w:pPr>
      <w:r w:rsidRPr="00797162">
        <w:rPr>
          <w:rFonts w:ascii="Wingdings" w:hAnsi="Wingdings"/>
          <w:noProof/>
        </w:rPr>
        <w:t></w:t>
      </w:r>
      <w:r w:rsidRPr="00797162">
        <w:rPr>
          <w:noProof/>
        </w:rPr>
        <w:t xml:space="preserve"> liikmesriigi eraõigusega reguleeritud asutustele, kellele on delegeeritud avaliku ja erasektori partnerluse rakendamine ja kellele antakse piisavad finantstagatised;</w:t>
      </w:r>
    </w:p>
    <w:p w14:paraId="2D08FC34" w14:textId="77777777" w:rsidR="00BF22EA" w:rsidRPr="00797162" w:rsidRDefault="00BF22EA" w:rsidP="00337493">
      <w:pPr>
        <w:pStyle w:val="ListDash2"/>
        <w:rPr>
          <w:noProof/>
        </w:rPr>
      </w:pPr>
      <w:r w:rsidRPr="00797162">
        <w:rPr>
          <w:rFonts w:ascii="Wingdings" w:hAnsi="Wingdings"/>
          <w:noProof/>
        </w:rPr>
        <w:t></w:t>
      </w:r>
      <w:r w:rsidRPr="00797162">
        <w:rPr>
          <w:noProof/>
        </w:rPr>
        <w:t xml:space="preserve"> asutustele või isikutele, kellele on delegeeritud Euroopa Liidu lepingu V jaotise kohaste ühise välis- ja julgeolekupoliitika erimeetmete rakendamine ja kes on kindlaks määratud asjaomases alusaktis;</w:t>
      </w:r>
    </w:p>
    <w:p w14:paraId="4CC01815" w14:textId="77777777" w:rsidR="00BF22EA" w:rsidRPr="00797162" w:rsidRDefault="00BF22EA" w:rsidP="00337493">
      <w:pPr>
        <w:pStyle w:val="ListDash2"/>
        <w:rPr>
          <w:noProof/>
        </w:rPr>
      </w:pPr>
      <w:r w:rsidRPr="00797162">
        <w:rPr>
          <w:rFonts w:ascii="Wingdings" w:hAnsi="Wingdings"/>
          <w:noProof/>
        </w:rPr>
        <w:t></w:t>
      </w:r>
      <w:r w:rsidRPr="00797162">
        <w:rPr>
          <w:rFonts w:ascii="Wingdings" w:hAnsi="Wingdings"/>
          <w:noProof/>
        </w:rPr>
        <w:t></w:t>
      </w:r>
      <w:r w:rsidRPr="00797162">
        <w:rPr>
          <w:noProof/>
        </w:rPr>
        <w:t xml:space="preserve"> liikmesriigis asutatud asutustele, kelle suhtes kohaldatakse liikmesriigi eraõigust või liidu õigust ja kellele võib kooskõlas valdkondlike normidega usaldada liidu rahaliste vahendite või eelarveliste tagatiste haldamise niivõrd, kuivõrd selliseid asutusi kontrollivad avalik-õiguslikud asutused või avalikke teenuseid osutavad eraõiguslikud asutused ja kontrollivad organid annavad neile solidaarvastutuse vormis piisavad finantstagatised või samaväärsed finantstagatised, mis võivad iga meetme puhul piirduda liidu toetuse maksimumsummaga.</w:t>
      </w:r>
    </w:p>
    <w:p w14:paraId="0068A929" w14:textId="77777777" w:rsidR="00BF22EA" w:rsidRPr="00797162" w:rsidRDefault="00BF22EA" w:rsidP="00BF22EA">
      <w:pPr>
        <w:rPr>
          <w:noProof/>
        </w:rPr>
      </w:pPr>
      <w:r w:rsidRPr="00797162">
        <w:rPr>
          <w:noProof/>
        </w:rPr>
        <w:t xml:space="preserve">Märkused </w:t>
      </w:r>
    </w:p>
    <w:p w14:paraId="4A2E40F7" w14:textId="77777777" w:rsidR="00BF22EA" w:rsidRPr="00797162" w:rsidRDefault="00BF22EA" w:rsidP="00BF22EA">
      <w:pPr>
        <w:pBdr>
          <w:top w:val="single" w:sz="4" w:space="1" w:color="000000"/>
          <w:left w:val="single" w:sz="4" w:space="4" w:color="000000"/>
          <w:bottom w:val="single" w:sz="4" w:space="1" w:color="000000"/>
          <w:right w:val="single" w:sz="4" w:space="4" w:color="000000"/>
        </w:pBdr>
        <w:rPr>
          <w:noProof/>
        </w:rPr>
      </w:pPr>
      <w:r w:rsidRPr="00797162">
        <w:rPr>
          <w:noProof/>
        </w:rPr>
        <w:t xml:space="preserve">Sisekomponendi osas on mitmeaastase finantsraamistiku kehtivuse ajal kavandatud läbirääkimised asukohaliikmesriikidega Teadusuuringute Ühiskeskuse tuumaenergiaalaste kohustuste võimaliku üleandmise üle. </w:t>
      </w:r>
    </w:p>
    <w:p w14:paraId="6B7F30FA" w14:textId="77777777" w:rsidR="00BF22EA" w:rsidRPr="00797162" w:rsidRDefault="00BF22EA" w:rsidP="00BF22EA">
      <w:pPr>
        <w:pBdr>
          <w:top w:val="single" w:sz="4" w:space="1" w:color="000000"/>
          <w:left w:val="single" w:sz="4" w:space="4" w:color="000000"/>
          <w:bottom w:val="single" w:sz="4" w:space="1" w:color="000000"/>
          <w:right w:val="single" w:sz="4" w:space="4" w:color="000000"/>
        </w:pBdr>
        <w:rPr>
          <w:noProof/>
          <w:color w:val="0000FF"/>
        </w:rPr>
      </w:pPr>
      <w:r w:rsidRPr="00797162">
        <w:rPr>
          <w:noProof/>
        </w:rPr>
        <w:t>Väliskomponendi puhul valitakse kõige sobivam rakendusmeetod, mis hõlmab otsest eelarve täitmist, rakendamist EBRD poolt, rakendamist IAEA poolt, rakendamist ELi liikmesriikide sambapõhiselt hinnatavate organisatsioonide poolt; programmitöö etapis eelistatakse võimalikke rakendusviise mitte välistada.</w:t>
      </w:r>
      <w:r w:rsidRPr="00797162">
        <w:rPr>
          <w:noProof/>
          <w:color w:val="0000FF"/>
        </w:rPr>
        <w:t xml:space="preserve"> </w:t>
      </w:r>
    </w:p>
    <w:p w14:paraId="0986C89B" w14:textId="77777777" w:rsidR="00BF22EA" w:rsidRPr="00797162" w:rsidRDefault="00BF22EA" w:rsidP="00BF22EA">
      <w:pPr>
        <w:rPr>
          <w:noProof/>
        </w:rPr>
        <w:sectPr w:rsidR="00BF22EA" w:rsidRPr="00797162" w:rsidSect="00B662D8">
          <w:pgSz w:w="11907" w:h="16840" w:code="9"/>
          <w:pgMar w:top="1134" w:right="1418" w:bottom="1134" w:left="1418" w:header="709" w:footer="709" w:gutter="0"/>
          <w:cols w:space="708"/>
          <w:docGrid w:linePitch="360"/>
        </w:sectPr>
      </w:pPr>
    </w:p>
    <w:p w14:paraId="12CA9770" w14:textId="77777777" w:rsidR="00BF22EA" w:rsidRPr="00797162" w:rsidRDefault="00BF22EA" w:rsidP="00BF22EA">
      <w:pPr>
        <w:keepNext/>
        <w:tabs>
          <w:tab w:val="left" w:pos="850"/>
        </w:tabs>
        <w:spacing w:before="360"/>
        <w:ind w:left="850" w:hanging="850"/>
        <w:outlineLvl w:val="0"/>
        <w:rPr>
          <w:b/>
          <w:smallCaps/>
          <w:noProof/>
        </w:rPr>
      </w:pPr>
      <w:bookmarkStart w:id="103" w:name="_Toc514938041"/>
      <w:bookmarkStart w:id="104" w:name="_Toc520485042"/>
      <w:bookmarkStart w:id="105" w:name="_Toc160804584"/>
      <w:bookmarkStart w:id="106" w:name="_Toc167220276"/>
      <w:bookmarkStart w:id="107" w:name="_Toc177549009"/>
      <w:r w:rsidRPr="00797162">
        <w:rPr>
          <w:b/>
          <w:smallCaps/>
          <w:noProof/>
        </w:rPr>
        <w:t>2.</w:t>
      </w:r>
      <w:r w:rsidRPr="00797162">
        <w:rPr>
          <w:noProof/>
        </w:rPr>
        <w:tab/>
      </w:r>
      <w:r w:rsidRPr="00797162">
        <w:rPr>
          <w:b/>
          <w:smallCaps/>
          <w:noProof/>
        </w:rPr>
        <w:t>HALDUSMEETMED</w:t>
      </w:r>
      <w:bookmarkEnd w:id="103"/>
      <w:bookmarkEnd w:id="104"/>
      <w:bookmarkEnd w:id="105"/>
      <w:bookmarkEnd w:id="106"/>
      <w:bookmarkEnd w:id="107"/>
      <w:r w:rsidRPr="00797162">
        <w:rPr>
          <w:b/>
          <w:smallCaps/>
          <w:noProof/>
        </w:rPr>
        <w:t xml:space="preserve"> </w:t>
      </w:r>
    </w:p>
    <w:p w14:paraId="01204EDA" w14:textId="77777777" w:rsidR="00BF22EA" w:rsidRPr="00797162" w:rsidRDefault="00BF22EA" w:rsidP="00BF22EA">
      <w:pPr>
        <w:keepNext/>
        <w:tabs>
          <w:tab w:val="left" w:pos="850"/>
        </w:tabs>
        <w:ind w:left="850" w:hanging="850"/>
        <w:outlineLvl w:val="1"/>
        <w:rPr>
          <w:b/>
          <w:noProof/>
        </w:rPr>
      </w:pPr>
      <w:bookmarkStart w:id="108" w:name="_Toc514938042"/>
      <w:bookmarkStart w:id="109" w:name="_Toc520485043"/>
      <w:bookmarkStart w:id="110" w:name="_Toc160804585"/>
      <w:bookmarkStart w:id="111" w:name="_Toc167220277"/>
      <w:bookmarkStart w:id="112" w:name="_Toc177549010"/>
      <w:r w:rsidRPr="00797162">
        <w:rPr>
          <w:b/>
          <w:noProof/>
        </w:rPr>
        <w:t>2.1.</w:t>
      </w:r>
      <w:r w:rsidRPr="00797162">
        <w:rPr>
          <w:noProof/>
        </w:rPr>
        <w:tab/>
      </w:r>
      <w:r w:rsidRPr="00797162">
        <w:rPr>
          <w:b/>
          <w:noProof/>
        </w:rPr>
        <w:t>Järelevalve ja aruandluse reeglid</w:t>
      </w:r>
      <w:bookmarkEnd w:id="108"/>
      <w:bookmarkEnd w:id="109"/>
      <w:bookmarkEnd w:id="110"/>
      <w:bookmarkEnd w:id="111"/>
      <w:bookmarkEnd w:id="112"/>
      <w:r w:rsidRPr="00797162">
        <w:rPr>
          <w:b/>
          <w:noProof/>
        </w:rPr>
        <w:t xml:space="preserve"> </w:t>
      </w:r>
    </w:p>
    <w:p w14:paraId="4F7DA649" w14:textId="77777777" w:rsidR="00BF22EA" w:rsidRPr="00797162" w:rsidRDefault="00BF22EA" w:rsidP="00BF22EA">
      <w:pPr>
        <w:pBdr>
          <w:top w:val="single" w:sz="4" w:space="1" w:color="auto"/>
          <w:left w:val="single" w:sz="4" w:space="4" w:color="auto"/>
          <w:bottom w:val="single" w:sz="4" w:space="1" w:color="auto"/>
          <w:right w:val="single" w:sz="4" w:space="4" w:color="auto"/>
        </w:pBdr>
        <w:ind w:left="850"/>
        <w:rPr>
          <w:noProof/>
        </w:rPr>
      </w:pPr>
      <w:r w:rsidRPr="00797162">
        <w:rPr>
          <w:noProof/>
        </w:rPr>
        <w:t>Käesoleva programmi seire-, aruandlus- ja hindamiseeskirjades järgitakse määruses xxx [tulemusraamistiku määrus] sätestatud nõudeid.</w:t>
      </w:r>
    </w:p>
    <w:p w14:paraId="226114FD" w14:textId="77777777" w:rsidR="00BF22EA" w:rsidRPr="00797162" w:rsidRDefault="00BF22EA" w:rsidP="00BF22EA">
      <w:pPr>
        <w:pBdr>
          <w:top w:val="single" w:sz="4" w:space="1" w:color="000000"/>
          <w:left w:val="single" w:sz="4" w:space="4" w:color="000000"/>
          <w:bottom w:val="single" w:sz="4" w:space="1" w:color="000000"/>
          <w:right w:val="single" w:sz="4" w:space="4" w:color="000000"/>
        </w:pBdr>
        <w:ind w:left="850"/>
        <w:rPr>
          <w:noProof/>
        </w:rPr>
      </w:pPr>
      <w:r w:rsidRPr="00797162">
        <w:rPr>
          <w:noProof/>
        </w:rPr>
        <w:t>Sisekomponent:</w:t>
      </w:r>
    </w:p>
    <w:p w14:paraId="016F0462" w14:textId="77777777" w:rsidR="00BF22EA" w:rsidRPr="00797162" w:rsidRDefault="00BF22EA" w:rsidP="00BF22EA">
      <w:pPr>
        <w:pBdr>
          <w:top w:val="single" w:sz="4" w:space="1" w:color="000000"/>
          <w:left w:val="single" w:sz="4" w:space="4" w:color="000000"/>
          <w:bottom w:val="single" w:sz="4" w:space="1" w:color="000000"/>
          <w:right w:val="single" w:sz="4" w:space="4" w:color="000000"/>
        </w:pBdr>
        <w:ind w:left="850"/>
        <w:rPr>
          <w:noProof/>
        </w:rPr>
      </w:pPr>
      <w:r w:rsidRPr="00797162">
        <w:rPr>
          <w:noProof/>
        </w:rPr>
        <w:t>Sisekomponenti rakendab komisjon. Teadusuuringute Ühiskeskus haldab ja juhib instrumenti kõrgetasemelise juhtkomitee kaudu, mis koosneb Teadusuuringute Ühiskeskuse kõrgemast juhtkonnast ja kohtub kolm korda aastas, et teha strateegilisi otsuseid, vaadata läbi eesmärgid ja jälgida instrumendi rakendamise edenemist. Kõrgetasemelist juhtkomiteed toetab operatiivtasandi juhtkomitee, mis koosneb tegevuskohtade tehnilistest esindajatest ning õigus- ja finantsdirektoraatide esindajatest. See komitee saab kokku kolm korda aastas, et tagada tehniliste, õiguslike, rahanduslike ja hangetega seotud ülesannete sujumine. Komitee jälgib nii tehnilist edasiminekut kui ka eelarve täitmist.</w:t>
      </w:r>
    </w:p>
    <w:p w14:paraId="1B07C83E" w14:textId="77777777" w:rsidR="00BF22EA" w:rsidRPr="00797162" w:rsidRDefault="00BF22EA" w:rsidP="00BF22EA">
      <w:pPr>
        <w:pBdr>
          <w:top w:val="single" w:sz="4" w:space="1" w:color="auto"/>
          <w:left w:val="single" w:sz="4" w:space="4" w:color="auto"/>
          <w:bottom w:val="single" w:sz="4" w:space="1" w:color="auto"/>
          <w:right w:val="single" w:sz="4" w:space="4" w:color="auto"/>
        </w:pBdr>
        <w:ind w:left="850"/>
        <w:rPr>
          <w:noProof/>
        </w:rPr>
      </w:pPr>
      <w:r w:rsidRPr="00797162">
        <w:rPr>
          <w:noProof/>
        </w:rPr>
        <w:t xml:space="preserve">Kooskõlas 1999. aasta Euroopa Parlamendi resolutsiooniga (COM(1999)–114–C5-0214/1999–1999/2169(COS)) nõustab Teadusuuringute Ühiskeskust dekomissioneerimis- ja jäätmekäitlusprogrammi algusest saadik korrapäraselt sõltumatu Euroopa dekomissioneerimisekspertide rühm – dekomissioneerimis- ja jäätmekäitlusprogrammi eksperdirühm. Nende nõuanded on seotud dekomissioneerimise ja tuumajäätmete käitlemise strateegia, kättesaadava tehnoloogia, töökorralduse tehniliste külgede ja muude instrumendiga seotud aspektidega. </w:t>
      </w:r>
    </w:p>
    <w:p w14:paraId="1499C58C" w14:textId="77777777" w:rsidR="00BF22EA" w:rsidRPr="00797162" w:rsidRDefault="00BF22EA" w:rsidP="00BF22EA">
      <w:pPr>
        <w:pBdr>
          <w:top w:val="single" w:sz="4" w:space="1" w:color="auto"/>
          <w:left w:val="single" w:sz="4" w:space="4" w:color="auto"/>
          <w:bottom w:val="single" w:sz="4" w:space="1" w:color="auto"/>
          <w:right w:val="single" w:sz="4" w:space="4" w:color="auto"/>
        </w:pBdr>
        <w:ind w:left="850"/>
        <w:rPr>
          <w:noProof/>
        </w:rPr>
      </w:pPr>
      <w:r w:rsidRPr="00797162">
        <w:rPr>
          <w:noProof/>
        </w:rPr>
        <w:t>Dekomissioneerimis- ja jäätmekäitlusprogrammi algusest saadik annab komisjon nõukogule ja Euroopa Parlamendile korrapäraselt aru programmi edenemisest ja seisust, esitades (iga nelja aasta tagant) ajakohastatud eelarveprognoosi.</w:t>
      </w:r>
    </w:p>
    <w:p w14:paraId="6A3C54BA" w14:textId="77777777" w:rsidR="00BF22EA" w:rsidRPr="00797162" w:rsidRDefault="00BF22EA" w:rsidP="00BF22EA">
      <w:pPr>
        <w:pBdr>
          <w:top w:val="single" w:sz="4" w:space="1" w:color="auto"/>
          <w:left w:val="single" w:sz="4" w:space="4" w:color="auto"/>
          <w:bottom w:val="single" w:sz="4" w:space="1" w:color="auto"/>
          <w:right w:val="single" w:sz="4" w:space="4" w:color="auto"/>
        </w:pBdr>
        <w:ind w:left="850"/>
        <w:rPr>
          <w:noProof/>
        </w:rPr>
      </w:pPr>
      <w:r w:rsidRPr="00797162">
        <w:rPr>
          <w:noProof/>
        </w:rPr>
        <w:t xml:space="preserve">Lisaks annab Teadusuuringute Ühiskeskus kord aastas aru vaheeesmärkide ja tehtud edusammude kohta (Teadusuuringute Ühiskeskuse juhtimiskava, Teadusuuringute Ühiskeskuse tegevusaruanne). </w:t>
      </w:r>
      <w:bookmarkStart w:id="113" w:name="_Toc514938045"/>
      <w:bookmarkStart w:id="114" w:name="_Toc520485044"/>
      <w:bookmarkStart w:id="115" w:name="_Toc160804586"/>
      <w:bookmarkStart w:id="116" w:name="_Toc167220278"/>
      <w:bookmarkStart w:id="117" w:name="_Toc177549011"/>
    </w:p>
    <w:p w14:paraId="278B42FE" w14:textId="77777777" w:rsidR="00BF22EA" w:rsidRPr="00797162" w:rsidRDefault="00BF22EA" w:rsidP="00BF22EA">
      <w:pPr>
        <w:pBdr>
          <w:top w:val="single" w:sz="4" w:space="1" w:color="auto"/>
          <w:left w:val="single" w:sz="4" w:space="4" w:color="auto"/>
          <w:bottom w:val="single" w:sz="4" w:space="1" w:color="auto"/>
          <w:right w:val="single" w:sz="4" w:space="4" w:color="auto"/>
        </w:pBdr>
        <w:ind w:left="850"/>
        <w:rPr>
          <w:noProof/>
        </w:rPr>
      </w:pPr>
      <w:r w:rsidRPr="00797162">
        <w:rPr>
          <w:noProof/>
        </w:rPr>
        <w:t>2.2.</w:t>
      </w:r>
      <w:r w:rsidRPr="00797162">
        <w:rPr>
          <w:noProof/>
        </w:rPr>
        <w:tab/>
        <w:t>Haldus- ja kontrollisüsteem(id)</w:t>
      </w:r>
      <w:bookmarkEnd w:id="113"/>
      <w:bookmarkEnd w:id="114"/>
      <w:bookmarkEnd w:id="115"/>
      <w:bookmarkEnd w:id="116"/>
      <w:bookmarkEnd w:id="117"/>
      <w:r w:rsidRPr="00797162">
        <w:rPr>
          <w:noProof/>
        </w:rPr>
        <w:t xml:space="preserve"> </w:t>
      </w:r>
    </w:p>
    <w:p w14:paraId="2495DD25" w14:textId="77777777" w:rsidR="00BF22EA" w:rsidRPr="00797162" w:rsidRDefault="00BF22EA" w:rsidP="00BF22EA">
      <w:pPr>
        <w:pBdr>
          <w:top w:val="single" w:sz="4" w:space="1" w:color="auto"/>
          <w:left w:val="single" w:sz="4" w:space="4" w:color="auto"/>
          <w:bottom w:val="single" w:sz="4" w:space="1" w:color="auto"/>
          <w:right w:val="single" w:sz="4" w:space="4" w:color="auto"/>
        </w:pBdr>
        <w:ind w:left="850"/>
        <w:rPr>
          <w:noProof/>
        </w:rPr>
      </w:pPr>
    </w:p>
    <w:p w14:paraId="2451AA3C" w14:textId="77777777" w:rsidR="00BF22EA" w:rsidRPr="00797162" w:rsidRDefault="00BF22EA" w:rsidP="00BF22EA">
      <w:pPr>
        <w:keepNext/>
        <w:tabs>
          <w:tab w:val="left" w:pos="850"/>
        </w:tabs>
        <w:ind w:left="850" w:hanging="850"/>
        <w:outlineLvl w:val="2"/>
        <w:rPr>
          <w:i/>
          <w:noProof/>
        </w:rPr>
      </w:pPr>
      <w:bookmarkStart w:id="118" w:name="_Toc514938046"/>
      <w:bookmarkStart w:id="119" w:name="_Toc520485045"/>
      <w:bookmarkStart w:id="120" w:name="_Toc160804587"/>
      <w:bookmarkStart w:id="121" w:name="_Toc167220279"/>
      <w:bookmarkStart w:id="122" w:name="_Toc177549012"/>
      <w:r w:rsidRPr="00797162">
        <w:rPr>
          <w:i/>
          <w:noProof/>
        </w:rPr>
        <w:t>2.2.1.</w:t>
      </w:r>
      <w:r w:rsidRPr="00797162">
        <w:rPr>
          <w:noProof/>
        </w:rPr>
        <w:tab/>
      </w:r>
      <w:r w:rsidRPr="00797162">
        <w:rPr>
          <w:i/>
          <w:noProof/>
        </w:rPr>
        <w:t>Eelarve täitmise viisi(de), rahastuse rakendamise mehhanismi(de), maksete tegemise korra ja kavandatava kontrollistrateegia selgitus</w:t>
      </w:r>
      <w:bookmarkEnd w:id="118"/>
      <w:bookmarkEnd w:id="119"/>
      <w:bookmarkEnd w:id="120"/>
      <w:bookmarkEnd w:id="121"/>
      <w:bookmarkEnd w:id="122"/>
    </w:p>
    <w:p w14:paraId="6BFC98CF" w14:textId="77777777" w:rsidR="00BF22EA" w:rsidRPr="00797162" w:rsidRDefault="00BF22EA" w:rsidP="00BF22EA">
      <w:pPr>
        <w:pBdr>
          <w:top w:val="single" w:sz="4" w:space="1" w:color="auto"/>
          <w:left w:val="single" w:sz="4" w:space="4" w:color="auto"/>
          <w:bottom w:val="single" w:sz="4" w:space="1" w:color="auto"/>
          <w:right w:val="single" w:sz="4" w:space="4" w:color="auto"/>
        </w:pBdr>
        <w:ind w:left="850"/>
        <w:rPr>
          <w:noProof/>
          <w:color w:val="0000FF"/>
        </w:rPr>
      </w:pPr>
    </w:p>
    <w:p w14:paraId="547F354F" w14:textId="77777777" w:rsidR="00BF22EA" w:rsidRPr="00797162" w:rsidRDefault="00BF22EA" w:rsidP="00BF22EA">
      <w:pPr>
        <w:pBdr>
          <w:top w:val="single" w:sz="4" w:space="1" w:color="auto"/>
          <w:left w:val="single" w:sz="4" w:space="4" w:color="auto"/>
          <w:bottom w:val="single" w:sz="4" w:space="1" w:color="auto"/>
          <w:right w:val="single" w:sz="4" w:space="4" w:color="auto"/>
        </w:pBdr>
        <w:ind w:left="850"/>
        <w:rPr>
          <w:noProof/>
        </w:rPr>
      </w:pPr>
      <w:r w:rsidRPr="00797162">
        <w:rPr>
          <w:noProof/>
        </w:rPr>
        <w:t>Väliskomponendi puhul:</w:t>
      </w:r>
    </w:p>
    <w:p w14:paraId="2F2CF822" w14:textId="77777777" w:rsidR="00BF22EA" w:rsidRPr="00797162" w:rsidRDefault="00BF22EA" w:rsidP="00BF22EA">
      <w:pPr>
        <w:pBdr>
          <w:top w:val="single" w:sz="4" w:space="1" w:color="auto"/>
          <w:left w:val="single" w:sz="4" w:space="4" w:color="auto"/>
          <w:bottom w:val="single" w:sz="4" w:space="1" w:color="auto"/>
          <w:right w:val="single" w:sz="4" w:space="4" w:color="auto"/>
        </w:pBdr>
        <w:ind w:left="850"/>
        <w:rPr>
          <w:noProof/>
        </w:rPr>
      </w:pPr>
      <w:r w:rsidRPr="00797162">
        <w:rPr>
          <w:noProof/>
        </w:rPr>
        <w:t>Eelarve täitmise viiside osas ei ole kavandatud põhjalikke muudatusi ning komisjoni talituste ja rakendajate varasemate programmide raames saadud kogemused aitavad tulevikus paremaid tulemusi saavutada. Partnerriigid on kehtiva õigusraamistikuga alles kohanemas ja tuumaohutusalase rahvusvahelise koostöö instrumendi programmide rakendamine on veel varajases staadiumis; seepärast tuleks tagada maksimaalne järjepidevus.</w:t>
      </w:r>
    </w:p>
    <w:p w14:paraId="6B38016C" w14:textId="77777777" w:rsidR="00BF22EA" w:rsidRPr="00797162" w:rsidRDefault="00BF22EA" w:rsidP="00BF22EA">
      <w:pPr>
        <w:pBdr>
          <w:top w:val="single" w:sz="4" w:space="1" w:color="auto"/>
          <w:left w:val="single" w:sz="4" w:space="4" w:color="auto"/>
          <w:bottom w:val="single" w:sz="4" w:space="1" w:color="auto"/>
          <w:right w:val="single" w:sz="4" w:space="4" w:color="auto"/>
        </w:pBdr>
        <w:ind w:left="850"/>
        <w:rPr>
          <w:noProof/>
        </w:rPr>
      </w:pPr>
      <w:r w:rsidRPr="00797162">
        <w:rPr>
          <w:noProof/>
        </w:rPr>
        <w:t>Käesoleva määruse alusel rahastatavaid meetmeid rakendab komisjon eelarve otsese täitmise raames peakorterist ja/või liidu delegatsioonide kaudu ning eelarve kaudse täitmise raames mõne finantsmääruse artikli 62 lõike 1 punktis c loetletud üksuse poolt, et paremini saavutada määruse eesmärke.</w:t>
      </w:r>
    </w:p>
    <w:p w14:paraId="5E9B7A9A" w14:textId="77777777" w:rsidR="00BF22EA" w:rsidRPr="00797162" w:rsidRDefault="00BF22EA" w:rsidP="00BF22EA">
      <w:pPr>
        <w:pBdr>
          <w:top w:val="single" w:sz="4" w:space="1" w:color="auto"/>
          <w:left w:val="single" w:sz="4" w:space="4" w:color="auto"/>
          <w:bottom w:val="single" w:sz="4" w:space="1" w:color="auto"/>
          <w:right w:val="single" w:sz="4" w:space="4" w:color="auto"/>
        </w:pBdr>
        <w:ind w:left="850"/>
        <w:rPr>
          <w:noProof/>
        </w:rPr>
      </w:pPr>
      <w:r w:rsidRPr="00797162">
        <w:rPr>
          <w:noProof/>
        </w:rPr>
        <w:t>Eelarve kaudse täitmise puhul peavad sellised üksused, nagu on sätestatud finantsmääruse artiklis 157, tagama ELi finantshuvide kaitse tasemel, mis on samaväärne eelarve otsese täitmisega. Üksuste süsteemide ja menetluste sambapõhine eelhindamine viiakse läbi kooskõlas proportsionaalsuse põhimõttega ning võttes nõuetekohaselt arvesse meetme laadi ja kaasnevaid finantsriske. Kui rakendamine seda nõuab või kui iga-aastastes tegevusaruannetes on esitatud reservatsioone, koostatakse ja rakendatakse konkreetseid leevendusmeetmeid sisaldavad tegevuskavad. Lisaks võivad rakendamisega kaasneda komisjoni kehtestatud asjakohased järelevalvemeetmed.</w:t>
      </w:r>
    </w:p>
    <w:p w14:paraId="0DBB5538" w14:textId="77777777" w:rsidR="00BF22EA" w:rsidRPr="00797162" w:rsidRDefault="00BF22EA" w:rsidP="00BF22EA">
      <w:pPr>
        <w:pBdr>
          <w:top w:val="single" w:sz="4" w:space="1" w:color="auto"/>
          <w:left w:val="single" w:sz="4" w:space="4" w:color="auto"/>
          <w:bottom w:val="single" w:sz="4" w:space="1" w:color="auto"/>
          <w:right w:val="single" w:sz="4" w:space="4" w:color="auto"/>
        </w:pBdr>
        <w:ind w:left="850"/>
        <w:rPr>
          <w:noProof/>
        </w:rPr>
      </w:pPr>
      <w:r w:rsidRPr="00797162">
        <w:rPr>
          <w:noProof/>
        </w:rPr>
        <w:t>Lisaks kõigile komisjoniülese strateegilise poliitikakujundamise ja planeerimise eeskirjadele, siseauditi keskkonnale ja komisjoni sisekontrolliraamistiku muudele nõuetele kasutavad rakendustalitused oma tegevuse tulemuslikkuse ja tõhususe tagamiseks (ning välisabi andmise keskkonna kõrge riskitaseme leevendamiseks) ka edaspidi sihtotstarbelist abi haldamise raamistikku, mida kohaldatakse kõigi instrumentide suhtes.</w:t>
      </w:r>
    </w:p>
    <w:p w14:paraId="66C0EEB4" w14:textId="77777777" w:rsidR="00BF22EA" w:rsidRPr="00797162" w:rsidRDefault="00BF22EA" w:rsidP="00BF22EA">
      <w:pPr>
        <w:pBdr>
          <w:top w:val="single" w:sz="4" w:space="1" w:color="auto"/>
          <w:left w:val="single" w:sz="4" w:space="4" w:color="auto"/>
          <w:bottom w:val="single" w:sz="4" w:space="1" w:color="auto"/>
          <w:right w:val="single" w:sz="4" w:space="4" w:color="auto"/>
        </w:pBdr>
        <w:ind w:left="850"/>
        <w:rPr>
          <w:noProof/>
        </w:rPr>
      </w:pPr>
      <w:r w:rsidRPr="00797162">
        <w:rPr>
          <w:noProof/>
        </w:rPr>
        <w:t>Rakendustalitused järgivad jätkuvalt kõrgeimaid raamatupidamis- ja finantsaruandluse standardeid, kasutades komisjoni finantssüsteemi (SUMMA) ning välisabi erivahendeid, nagu OPSYS.</w:t>
      </w:r>
    </w:p>
    <w:p w14:paraId="1292536C" w14:textId="77777777" w:rsidR="00BF22EA" w:rsidRPr="00797162" w:rsidRDefault="00BF22EA" w:rsidP="00BF22EA">
      <w:pPr>
        <w:pBdr>
          <w:top w:val="single" w:sz="4" w:space="1" w:color="auto"/>
          <w:left w:val="single" w:sz="4" w:space="4" w:color="auto"/>
          <w:bottom w:val="single" w:sz="4" w:space="1" w:color="auto"/>
          <w:right w:val="single" w:sz="4" w:space="4" w:color="auto"/>
        </w:pBdr>
        <w:ind w:left="850"/>
        <w:rPr>
          <w:noProof/>
        </w:rPr>
      </w:pPr>
      <w:r w:rsidRPr="00797162">
        <w:rPr>
          <w:noProof/>
        </w:rPr>
        <w:t>Asjakohase seadusandliku ja menetlusliku raamistiku järgimiseks on punktis 2.3 sätestatud vastavuskontrolli meetodid (pettuse ja rikkumiste ärahoidmise meetmed).</w:t>
      </w:r>
    </w:p>
    <w:p w14:paraId="12971C85" w14:textId="77777777" w:rsidR="00BF22EA" w:rsidRPr="00797162" w:rsidRDefault="00BF22EA" w:rsidP="00BF22EA">
      <w:pPr>
        <w:pBdr>
          <w:top w:val="single" w:sz="4" w:space="1" w:color="auto"/>
          <w:left w:val="single" w:sz="4" w:space="4" w:color="auto"/>
          <w:bottom w:val="single" w:sz="4" w:space="1" w:color="auto"/>
          <w:right w:val="single" w:sz="4" w:space="4" w:color="auto"/>
        </w:pBdr>
        <w:ind w:left="850"/>
        <w:rPr>
          <w:b/>
          <w:noProof/>
        </w:rPr>
      </w:pPr>
    </w:p>
    <w:p w14:paraId="4A2DDC54" w14:textId="77777777" w:rsidR="00BF22EA" w:rsidRPr="00797162" w:rsidRDefault="00BF22EA" w:rsidP="00BF22EA">
      <w:pPr>
        <w:pBdr>
          <w:top w:val="single" w:sz="4" w:space="1" w:color="auto"/>
          <w:left w:val="single" w:sz="4" w:space="4" w:color="auto"/>
          <w:bottom w:val="single" w:sz="4" w:space="1" w:color="auto"/>
          <w:right w:val="single" w:sz="4" w:space="4" w:color="auto"/>
        </w:pBdr>
        <w:ind w:left="850"/>
        <w:rPr>
          <w:b/>
          <w:noProof/>
        </w:rPr>
      </w:pPr>
      <w:r w:rsidRPr="00797162">
        <w:rPr>
          <w:b/>
          <w:noProof/>
        </w:rPr>
        <w:t>Sisekomponendi puhul:</w:t>
      </w:r>
    </w:p>
    <w:p w14:paraId="5C6A5D54" w14:textId="77777777" w:rsidR="00BF22EA" w:rsidRPr="00797162" w:rsidRDefault="00BF22EA" w:rsidP="00BF22EA">
      <w:pPr>
        <w:pBdr>
          <w:top w:val="single" w:sz="4" w:space="1" w:color="auto"/>
          <w:left w:val="single" w:sz="4" w:space="4" w:color="auto"/>
          <w:bottom w:val="single" w:sz="4" w:space="1" w:color="auto"/>
          <w:right w:val="single" w:sz="4" w:space="4" w:color="auto"/>
        </w:pBdr>
        <w:ind w:left="850"/>
        <w:rPr>
          <w:noProof/>
        </w:rPr>
      </w:pPr>
      <w:r w:rsidRPr="00797162">
        <w:rPr>
          <w:noProof/>
        </w:rPr>
        <w:t xml:space="preserve">Eelarve täitmise viiside osas ei ole kavandatud põhjalikke muudatusi ning kogemused, mis Teadusuuringute Ühiskeskus on saanud varasemate programmide raames, aitavad edaspidi paremaid tulemusi saavutada. </w:t>
      </w:r>
    </w:p>
    <w:p w14:paraId="778B3F0C" w14:textId="77777777" w:rsidR="00BF22EA" w:rsidRPr="00797162" w:rsidRDefault="00BF22EA" w:rsidP="00BF22EA">
      <w:pPr>
        <w:pBdr>
          <w:top w:val="single" w:sz="4" w:space="1" w:color="auto"/>
          <w:left w:val="single" w:sz="4" w:space="4" w:color="auto"/>
          <w:bottom w:val="single" w:sz="4" w:space="1" w:color="auto"/>
          <w:right w:val="single" w:sz="4" w:space="4" w:color="auto"/>
        </w:pBdr>
        <w:ind w:left="850"/>
        <w:rPr>
          <w:noProof/>
        </w:rPr>
      </w:pPr>
      <w:r w:rsidRPr="00797162">
        <w:rPr>
          <w:noProof/>
        </w:rPr>
        <w:t>Välishindamiste ja auditite käigus on tunnistatud, et instrumendi rakendamisel on alates selle käivitamisest tehtud olulisi edusamme ja saavutatud tulemusi, võttes arvesse väliseid ja sisemisi piiranguid.</w:t>
      </w:r>
    </w:p>
    <w:p w14:paraId="33FE9FE7" w14:textId="77777777" w:rsidR="00BF22EA" w:rsidRPr="00797162" w:rsidRDefault="00BF22EA" w:rsidP="00BF22EA">
      <w:pPr>
        <w:keepNext/>
        <w:tabs>
          <w:tab w:val="left" w:pos="850"/>
        </w:tabs>
        <w:ind w:left="850" w:hanging="850"/>
        <w:outlineLvl w:val="2"/>
        <w:rPr>
          <w:i/>
          <w:noProof/>
        </w:rPr>
      </w:pPr>
      <w:bookmarkStart w:id="123" w:name="_Toc514938047"/>
      <w:bookmarkStart w:id="124" w:name="_Toc520485046"/>
      <w:bookmarkStart w:id="125" w:name="_Toc160804588"/>
      <w:bookmarkStart w:id="126" w:name="_Toc167220280"/>
      <w:bookmarkStart w:id="127" w:name="_Toc177549013"/>
      <w:r w:rsidRPr="00797162">
        <w:rPr>
          <w:i/>
          <w:noProof/>
        </w:rPr>
        <w:t>2.2.2.</w:t>
      </w:r>
      <w:r w:rsidRPr="00797162">
        <w:rPr>
          <w:noProof/>
        </w:rPr>
        <w:tab/>
      </w:r>
      <w:r w:rsidRPr="00797162">
        <w:rPr>
          <w:i/>
          <w:noProof/>
        </w:rPr>
        <w:t>Teave kindlakstehtud riskide ja nende vähendamiseks kasutusele võetud sisekontrollisüsteemi(de) kohta</w:t>
      </w:r>
      <w:bookmarkEnd w:id="123"/>
      <w:bookmarkEnd w:id="124"/>
      <w:bookmarkEnd w:id="125"/>
      <w:bookmarkEnd w:id="126"/>
      <w:bookmarkEnd w:id="127"/>
    </w:p>
    <w:p w14:paraId="4A49342A" w14:textId="77777777" w:rsidR="00BF22EA" w:rsidRPr="00797162" w:rsidRDefault="00BF22EA" w:rsidP="00BF22EA">
      <w:pPr>
        <w:pBdr>
          <w:top w:val="single" w:sz="8" w:space="1" w:color="000000"/>
          <w:left w:val="single" w:sz="8" w:space="4" w:color="000000"/>
          <w:bottom w:val="single" w:sz="8" w:space="1" w:color="000000"/>
          <w:right w:val="single" w:sz="8" w:space="4" w:color="000000"/>
        </w:pBdr>
        <w:ind w:left="850"/>
        <w:rPr>
          <w:b/>
          <w:noProof/>
        </w:rPr>
      </w:pPr>
      <w:r w:rsidRPr="00797162">
        <w:rPr>
          <w:b/>
          <w:noProof/>
        </w:rPr>
        <w:t>Väliskomponendi puhul:</w:t>
      </w:r>
    </w:p>
    <w:p w14:paraId="75630187" w14:textId="77777777" w:rsidR="00BF22EA" w:rsidRPr="00797162" w:rsidRDefault="00BF22EA" w:rsidP="00BF22EA">
      <w:pPr>
        <w:pBdr>
          <w:top w:val="single" w:sz="8" w:space="1" w:color="000000"/>
          <w:left w:val="single" w:sz="8" w:space="4" w:color="000000"/>
          <w:bottom w:val="single" w:sz="8" w:space="1" w:color="000000"/>
          <w:right w:val="single" w:sz="8" w:space="4" w:color="000000"/>
        </w:pBdr>
        <w:ind w:left="850"/>
        <w:rPr>
          <w:noProof/>
        </w:rPr>
      </w:pPr>
      <w:r w:rsidRPr="00797162">
        <w:rPr>
          <w:noProof/>
        </w:rPr>
        <w:t>Selle instrumendi raames tehtava koostöö tegevuskeskkonda iseloomustavad riskid, mis on seotud instrumendi eesmärkide täitmata jätmise, ebatõhusa finantsjuhtimise ja/või asjaomaste eeskirjade eiramisega (seaduslikkuse ja korrektsusega seotud vead):</w:t>
      </w:r>
    </w:p>
    <w:p w14:paraId="723E82D0" w14:textId="27E4D9C2" w:rsidR="00BF22EA" w:rsidRPr="00797162" w:rsidRDefault="00BF22EA" w:rsidP="00BF22EA">
      <w:pPr>
        <w:pBdr>
          <w:top w:val="single" w:sz="8" w:space="1" w:color="000000"/>
          <w:left w:val="single" w:sz="8" w:space="4" w:color="000000"/>
          <w:bottom w:val="single" w:sz="8" w:space="1" w:color="000000"/>
          <w:right w:val="single" w:sz="8" w:space="4" w:color="000000"/>
        </w:pBdr>
        <w:ind w:left="850"/>
        <w:rPr>
          <w:noProof/>
        </w:rPr>
      </w:pPr>
      <w:r w:rsidRPr="00797162">
        <w:rPr>
          <w:noProof/>
        </w:rPr>
        <w:t>- majanduslik ja poliitiline ebastabiilsus ning lood</w:t>
      </w:r>
      <w:r w:rsidR="00B30CF1">
        <w:rPr>
          <w:noProof/>
        </w:rPr>
        <w:t>u</w:t>
      </w:r>
      <w:r w:rsidRPr="00797162">
        <w:rPr>
          <w:noProof/>
        </w:rPr>
        <w:t>skatastroofid ja äärmuslikud ilmastikutingimused partnerriikides, mis võivad põhjustada raskusi ja viivitusi sekkumiste kavandamisel ja rakendamisel;</w:t>
      </w:r>
    </w:p>
    <w:p w14:paraId="632D5F9E" w14:textId="77777777" w:rsidR="00BF22EA" w:rsidRPr="00797162" w:rsidRDefault="00BF22EA" w:rsidP="00BF22EA">
      <w:pPr>
        <w:pBdr>
          <w:top w:val="single" w:sz="8" w:space="1" w:color="000000"/>
          <w:left w:val="single" w:sz="8" w:space="4" w:color="000000"/>
          <w:bottom w:val="single" w:sz="8" w:space="1" w:color="000000"/>
          <w:right w:val="single" w:sz="8" w:space="4" w:color="000000"/>
        </w:pBdr>
        <w:ind w:left="850"/>
        <w:rPr>
          <w:noProof/>
        </w:rPr>
      </w:pPr>
      <w:r w:rsidRPr="00797162">
        <w:rPr>
          <w:noProof/>
        </w:rPr>
        <w:t>- partnerriikide piiratud institutsiooniline ja haldussuutlikkus võib põhjustada raskusi ja viivitusi sekkumiste kavandamisel ja elluviimisel;</w:t>
      </w:r>
    </w:p>
    <w:p w14:paraId="5EBA2C8E" w14:textId="77777777" w:rsidR="00BF22EA" w:rsidRPr="00797162" w:rsidRDefault="00BF22EA" w:rsidP="00BF22EA">
      <w:pPr>
        <w:pBdr>
          <w:top w:val="single" w:sz="8" w:space="1" w:color="000000"/>
          <w:left w:val="single" w:sz="8" w:space="4" w:color="000000"/>
          <w:bottom w:val="single" w:sz="8" w:space="1" w:color="000000"/>
          <w:right w:val="single" w:sz="8" w:space="4" w:color="000000"/>
        </w:pBdr>
        <w:ind w:left="850"/>
        <w:rPr>
          <w:noProof/>
        </w:rPr>
      </w:pPr>
      <w:r w:rsidRPr="00797162">
        <w:rPr>
          <w:noProof/>
        </w:rPr>
        <w:t>- geograafiliselt hajutatud projektid ja programmid (mis hõlmavad mitut riiki, territooriumi ja piirkonda) võivad põhjustada logistilisi või ressursiprobleeme seoses seirega, seda eelkõige meetmete mis tahes kohapealse järelevalve puhul;</w:t>
      </w:r>
    </w:p>
    <w:p w14:paraId="274C1C9A" w14:textId="77777777" w:rsidR="00BF22EA" w:rsidRPr="00797162" w:rsidRDefault="00BF22EA" w:rsidP="00BF22EA">
      <w:pPr>
        <w:pBdr>
          <w:top w:val="single" w:sz="8" w:space="1" w:color="000000"/>
          <w:left w:val="single" w:sz="8" w:space="4" w:color="000000"/>
          <w:bottom w:val="single" w:sz="8" w:space="1" w:color="000000"/>
          <w:right w:val="single" w:sz="8" w:space="4" w:color="000000"/>
        </w:pBdr>
        <w:ind w:left="850"/>
        <w:rPr>
          <w:noProof/>
        </w:rPr>
      </w:pPr>
      <w:r w:rsidRPr="00797162">
        <w:rPr>
          <w:noProof/>
        </w:rPr>
        <w:t>- võimalike partnerite või abisaajate ja nende sisekontrollistruktuuride ja -suutlikkuse erinevused võivad killustada ning seega vähendada rakendamise toetamiseks ja seireks ette nähtud komisjonipoolsete ressursside tõhusust ja tulemuslikkust;</w:t>
      </w:r>
    </w:p>
    <w:p w14:paraId="2DF211B2" w14:textId="77777777" w:rsidR="00BF22EA" w:rsidRPr="00797162" w:rsidRDefault="00BF22EA" w:rsidP="00BF22EA">
      <w:pPr>
        <w:pBdr>
          <w:top w:val="single" w:sz="8" w:space="1" w:color="000000"/>
          <w:left w:val="single" w:sz="8" w:space="4" w:color="000000"/>
          <w:bottom w:val="single" w:sz="8" w:space="1" w:color="000000"/>
          <w:right w:val="single" w:sz="8" w:space="4" w:color="000000"/>
        </w:pBdr>
        <w:ind w:left="850"/>
        <w:rPr>
          <w:noProof/>
        </w:rPr>
      </w:pPr>
      <w:r w:rsidRPr="00797162">
        <w:rPr>
          <w:noProof/>
        </w:rPr>
        <w:t>- partnerriikides rakendatud välisabi tulemuste ja mõju kohta saada olevate kvantitatiivsete ka kvalitatiivsete andmete piiratud kättesaadavus võib takistada komisjonil tulemuste kohta aruandmist ja nende eest vastutamist.</w:t>
      </w:r>
    </w:p>
    <w:p w14:paraId="3A9D93A9" w14:textId="77777777" w:rsidR="00BF22EA" w:rsidRPr="00797162" w:rsidRDefault="00BF22EA" w:rsidP="00BF22EA">
      <w:pPr>
        <w:pBdr>
          <w:top w:val="single" w:sz="8" w:space="1" w:color="000000"/>
          <w:left w:val="single" w:sz="8" w:space="4" w:color="000000"/>
          <w:bottom w:val="single" w:sz="8" w:space="1" w:color="000000"/>
          <w:right w:val="single" w:sz="8" w:space="4" w:color="000000"/>
        </w:pBdr>
        <w:ind w:left="850"/>
        <w:rPr>
          <w:noProof/>
        </w:rPr>
      </w:pPr>
      <w:r w:rsidRPr="00797162">
        <w:rPr>
          <w:noProof/>
        </w:rPr>
        <w:t>Finantsvigade riski vähendamiseks teeb komisjon asjakohaseid eel- ja järelkontrolle. Vajaduse korral toimivad süsteemiauditid vahendina, mille abil teha kindlaks vigade juurpõhjused üksuste kontrollisüsteemides ja võtta kasutusele vajalikud leevendusmeetmed. Selleks, et suurendada oma tõhusust vigade, juhtimisvigade ja õigusnormide rikkumiste ärahoidmisel, loob komisjon süsteemi pidevaks sihipäraseks riskihindamiseks nii lepingu kui ka üksuse tasandil. Peamised tegurid, mis suurendavad kõrge veamäära tõenäosust ja negatiivset mõju usaldusväärsele finantsjuhtimisele ja mis on eelkõige seotud ka varasemate kontrollide ja seire andmetega, on kindlaks tehtud ja koondatud riskiprofiilide paneeli. Paneel on oluline vahend tulevaste kontrollide, seiretegevuse ja muude leevendusmeetmete tõhusamaks suunamiseks, et vähendada mõistlikult vigade, juhtimisvigade ja rikkumiste riski.</w:t>
      </w:r>
    </w:p>
    <w:p w14:paraId="4A368480" w14:textId="77777777" w:rsidR="00BF22EA" w:rsidRPr="00797162" w:rsidRDefault="00BF22EA" w:rsidP="00BF22EA">
      <w:pPr>
        <w:pBdr>
          <w:top w:val="single" w:sz="8" w:space="1" w:color="000000"/>
          <w:left w:val="single" w:sz="8" w:space="4" w:color="000000"/>
          <w:bottom w:val="single" w:sz="8" w:space="1" w:color="000000"/>
          <w:right w:val="single" w:sz="8" w:space="4" w:color="000000"/>
        </w:pBdr>
        <w:ind w:left="850"/>
        <w:rPr>
          <w:b/>
          <w:noProof/>
          <w:u w:val="single"/>
        </w:rPr>
      </w:pPr>
      <w:r w:rsidRPr="00797162">
        <w:rPr>
          <w:b/>
          <w:noProof/>
          <w:u w:val="single"/>
        </w:rPr>
        <w:t xml:space="preserve">Sisekomponendi puhul: </w:t>
      </w:r>
    </w:p>
    <w:p w14:paraId="2885EEA1" w14:textId="77777777" w:rsidR="00BF22EA" w:rsidRPr="00797162" w:rsidRDefault="00BF22EA" w:rsidP="00BF22EA">
      <w:pPr>
        <w:pBdr>
          <w:top w:val="single" w:sz="8" w:space="1" w:color="000000"/>
          <w:left w:val="single" w:sz="8" w:space="4" w:color="000000"/>
          <w:bottom w:val="single" w:sz="8" w:space="1" w:color="000000"/>
          <w:right w:val="single" w:sz="8" w:space="4" w:color="000000"/>
        </w:pBdr>
        <w:ind w:left="850"/>
        <w:rPr>
          <w:noProof/>
        </w:rPr>
      </w:pPr>
      <w:r w:rsidRPr="00797162">
        <w:rPr>
          <w:noProof/>
        </w:rPr>
        <w:t>Peamine Teadusuuringute Ühiskeskuse riskiregistris tuvastatud ja dokumenteeritud risk on seotud ettenägematute sündmuste, ebakindluse ja viivitustega, mis võivad põhjustada kulude suurenemist ja nõuete rikkumist.</w:t>
      </w:r>
    </w:p>
    <w:p w14:paraId="35205EF2" w14:textId="77777777" w:rsidR="00BF22EA" w:rsidRPr="00797162" w:rsidRDefault="00BF22EA" w:rsidP="00BF22EA">
      <w:pPr>
        <w:pBdr>
          <w:top w:val="single" w:sz="8" w:space="1" w:color="000000"/>
          <w:left w:val="single" w:sz="8" w:space="4" w:color="000000"/>
          <w:bottom w:val="single" w:sz="8" w:space="1" w:color="000000"/>
          <w:right w:val="single" w:sz="8" w:space="4" w:color="000000"/>
        </w:pBdr>
        <w:ind w:left="850"/>
        <w:rPr>
          <w:noProof/>
        </w:rPr>
      </w:pPr>
      <w:r w:rsidRPr="00797162">
        <w:rPr>
          <w:noProof/>
        </w:rPr>
        <w:t xml:space="preserve">Peamised riskimaandamismeetmed selle riski vähendamiseks on järgmised: </w:t>
      </w:r>
    </w:p>
    <w:p w14:paraId="35E73631" w14:textId="77777777" w:rsidR="00BF22EA" w:rsidRPr="00797162" w:rsidRDefault="00BF22EA" w:rsidP="00BF22EA">
      <w:pPr>
        <w:pBdr>
          <w:top w:val="single" w:sz="8" w:space="1" w:color="000000"/>
          <w:left w:val="single" w:sz="8" w:space="4" w:color="000000"/>
          <w:bottom w:val="single" w:sz="8" w:space="1" w:color="000000"/>
          <w:right w:val="single" w:sz="8" w:space="4" w:color="000000"/>
        </w:pBdr>
        <w:ind w:left="850"/>
        <w:rPr>
          <w:noProof/>
        </w:rPr>
      </w:pPr>
      <w:r w:rsidRPr="00797162">
        <w:rPr>
          <w:noProof/>
        </w:rPr>
        <w:t xml:space="preserve">- korrapärased kontaktid asjaomaste ametiasutustega; </w:t>
      </w:r>
    </w:p>
    <w:p w14:paraId="0216CC32" w14:textId="77777777" w:rsidR="00BF22EA" w:rsidRPr="00797162" w:rsidRDefault="00BF22EA" w:rsidP="00BF22EA">
      <w:pPr>
        <w:pBdr>
          <w:top w:val="single" w:sz="8" w:space="1" w:color="000000"/>
          <w:left w:val="single" w:sz="8" w:space="4" w:color="000000"/>
          <w:bottom w:val="single" w:sz="8" w:space="1" w:color="000000"/>
          <w:right w:val="single" w:sz="8" w:space="4" w:color="000000"/>
        </w:pBdr>
        <w:ind w:left="850"/>
        <w:rPr>
          <w:noProof/>
        </w:rPr>
      </w:pPr>
      <w:r w:rsidRPr="00797162">
        <w:rPr>
          <w:noProof/>
        </w:rPr>
        <w:t xml:space="preserve">- tugevdatud juhtimine alates 2025. aasta algusest; </w:t>
      </w:r>
    </w:p>
    <w:p w14:paraId="3FA45E33" w14:textId="77777777" w:rsidR="00BF22EA" w:rsidRPr="00797162" w:rsidRDefault="00BF22EA" w:rsidP="00BF22EA">
      <w:pPr>
        <w:pBdr>
          <w:top w:val="single" w:sz="8" w:space="1" w:color="000000"/>
          <w:left w:val="single" w:sz="8" w:space="4" w:color="000000"/>
          <w:bottom w:val="single" w:sz="8" w:space="1" w:color="000000"/>
          <w:right w:val="single" w:sz="8" w:space="4" w:color="000000"/>
        </w:pBdr>
        <w:ind w:left="850"/>
        <w:rPr>
          <w:i/>
          <w:noProof/>
        </w:rPr>
      </w:pPr>
      <w:r w:rsidRPr="00797162">
        <w:rPr>
          <w:noProof/>
        </w:rPr>
        <w:t xml:space="preserve">- Teadusuuringute Ühiskeskuse riskiregistri jätkuv kasutamine koos korrapärase riskihindamisega, mis hõlmab kõige olulisemate riskide hoolikat jälgimist ja võimalust teha vajaduse korral temaatilisi kontrolle. </w:t>
      </w:r>
    </w:p>
    <w:p w14:paraId="1FBEA1AC" w14:textId="760DD477" w:rsidR="00BF22EA" w:rsidRPr="00797162" w:rsidRDefault="00BF22EA" w:rsidP="00BF22EA">
      <w:pPr>
        <w:keepNext/>
        <w:tabs>
          <w:tab w:val="left" w:pos="850"/>
        </w:tabs>
        <w:ind w:left="850" w:hanging="850"/>
        <w:outlineLvl w:val="2"/>
        <w:rPr>
          <w:i/>
          <w:noProof/>
        </w:rPr>
      </w:pPr>
      <w:bookmarkStart w:id="128" w:name="_Toc514938048"/>
      <w:bookmarkStart w:id="129" w:name="_Toc520485047"/>
      <w:bookmarkStart w:id="130" w:name="_Toc160804589"/>
      <w:bookmarkStart w:id="131" w:name="_Toc167220281"/>
      <w:bookmarkStart w:id="132" w:name="_Toc177549014"/>
      <w:r w:rsidRPr="00797162">
        <w:rPr>
          <w:i/>
          <w:noProof/>
        </w:rPr>
        <w:t>2.2.3.</w:t>
      </w:r>
      <w:r w:rsidRPr="00797162">
        <w:rPr>
          <w:noProof/>
        </w:rPr>
        <w:tab/>
      </w:r>
      <w:r w:rsidRPr="00797162">
        <w:rPr>
          <w:i/>
          <w:noProof/>
        </w:rPr>
        <w:t>Kontrollide kulutõhususe hinnang ja põhjendus</w:t>
      </w:r>
      <w:bookmarkEnd w:id="128"/>
      <w:bookmarkEnd w:id="129"/>
      <w:bookmarkEnd w:id="130"/>
      <w:bookmarkEnd w:id="131"/>
      <w:bookmarkEnd w:id="132"/>
    </w:p>
    <w:p w14:paraId="6F4D177A" w14:textId="2B378EC5" w:rsidR="00BF22EA" w:rsidRPr="00797162" w:rsidRDefault="00BF22EA" w:rsidP="00BF22EA">
      <w:pPr>
        <w:pBdr>
          <w:top w:val="single" w:sz="4" w:space="1" w:color="auto"/>
          <w:left w:val="single" w:sz="4" w:space="4" w:color="auto"/>
          <w:bottom w:val="single" w:sz="4" w:space="1" w:color="auto"/>
          <w:right w:val="single" w:sz="4" w:space="4" w:color="auto"/>
        </w:pBdr>
        <w:ind w:left="850"/>
        <w:rPr>
          <w:noProof/>
        </w:rPr>
      </w:pPr>
      <w:r w:rsidRPr="00797162">
        <w:rPr>
          <w:noProof/>
        </w:rPr>
        <w:t>Tuumaohutusalase koostöö ja dekomissioneerimise instrumendi kontrollikulud moodustavad hinnanguliselt kuni 4 % selle programmi raames hallatavatest vahenditest. Hinnanguline vearisk maksete tegemisel ja programmi lõpetamisel on aasta arvestuses eeldatavasti kuni 2 % asjaomastest kuludest.</w:t>
      </w:r>
    </w:p>
    <w:p w14:paraId="7B8A94E9" w14:textId="77777777" w:rsidR="00BF22EA" w:rsidRPr="00797162" w:rsidRDefault="00BF22EA" w:rsidP="00BF22EA">
      <w:pPr>
        <w:keepNext/>
        <w:tabs>
          <w:tab w:val="left" w:pos="850"/>
        </w:tabs>
        <w:ind w:left="850" w:hanging="850"/>
        <w:outlineLvl w:val="1"/>
        <w:rPr>
          <w:b/>
          <w:noProof/>
        </w:rPr>
      </w:pPr>
      <w:bookmarkStart w:id="133" w:name="_Toc514938049"/>
      <w:bookmarkStart w:id="134" w:name="_Toc520485048"/>
      <w:bookmarkStart w:id="135" w:name="_Toc160804590"/>
      <w:bookmarkStart w:id="136" w:name="_Toc167220282"/>
      <w:bookmarkStart w:id="137" w:name="_Toc177549015"/>
      <w:r w:rsidRPr="00797162">
        <w:rPr>
          <w:b/>
          <w:noProof/>
        </w:rPr>
        <w:t>2.3.</w:t>
      </w:r>
      <w:r w:rsidRPr="00797162">
        <w:rPr>
          <w:noProof/>
        </w:rPr>
        <w:tab/>
      </w:r>
      <w:r w:rsidRPr="00797162">
        <w:rPr>
          <w:b/>
          <w:noProof/>
        </w:rPr>
        <w:t>Pettuste ja õigusnormide rikkumise ärahoidmise meetmed</w:t>
      </w:r>
      <w:bookmarkEnd w:id="133"/>
      <w:bookmarkEnd w:id="134"/>
      <w:bookmarkEnd w:id="135"/>
      <w:bookmarkEnd w:id="136"/>
      <w:bookmarkEnd w:id="137"/>
      <w:r w:rsidRPr="00797162">
        <w:rPr>
          <w:b/>
          <w:noProof/>
        </w:rPr>
        <w:t xml:space="preserve"> </w:t>
      </w:r>
    </w:p>
    <w:p w14:paraId="0E7F9693" w14:textId="77777777" w:rsidR="00BF22EA" w:rsidRPr="00797162" w:rsidRDefault="00BF22EA" w:rsidP="00BF22EA">
      <w:pPr>
        <w:pBdr>
          <w:top w:val="single" w:sz="4" w:space="1" w:color="auto"/>
          <w:left w:val="single" w:sz="4" w:space="4" w:color="auto"/>
          <w:bottom w:val="single" w:sz="4" w:space="1" w:color="auto"/>
          <w:right w:val="single" w:sz="4" w:space="4" w:color="auto"/>
        </w:pBdr>
        <w:ind w:left="850"/>
        <w:rPr>
          <w:noProof/>
        </w:rPr>
      </w:pPr>
      <w:r w:rsidRPr="00797162">
        <w:rPr>
          <w:noProof/>
        </w:rPr>
        <w:t>Väliskomponendi puhul:</w:t>
      </w:r>
    </w:p>
    <w:p w14:paraId="4FC0367B" w14:textId="77777777" w:rsidR="00BF22EA" w:rsidRPr="00797162" w:rsidRDefault="00BF22EA" w:rsidP="00BF22EA">
      <w:pPr>
        <w:pBdr>
          <w:top w:val="single" w:sz="4" w:space="1" w:color="auto"/>
          <w:left w:val="single" w:sz="4" w:space="4" w:color="auto"/>
          <w:bottom w:val="single" w:sz="4" w:space="1" w:color="auto"/>
          <w:right w:val="single" w:sz="4" w:space="4" w:color="auto"/>
        </w:pBdr>
        <w:ind w:left="850"/>
        <w:rPr>
          <w:noProof/>
        </w:rPr>
      </w:pPr>
      <w:r w:rsidRPr="00797162">
        <w:rPr>
          <w:noProof/>
        </w:rPr>
        <w:t>Ettepanek sisaldab asjakohaseid pettusevastaseid meetmeid vastavalt finantsmäärusele. Pettuse ja rikkumiste ärahoidmise meetmete osas ei ole kavandatud põhjalikke muudatusi ning komisjoni talituste ja rakendajate varasemate programmide raames saadud kogemused aitavad tulevikus paremaid tulemusi saavutada.</w:t>
      </w:r>
    </w:p>
    <w:p w14:paraId="1BF6E58D" w14:textId="77777777" w:rsidR="00BF22EA" w:rsidRPr="00797162" w:rsidRDefault="00BF22EA" w:rsidP="00BF22EA">
      <w:pPr>
        <w:pBdr>
          <w:top w:val="single" w:sz="4" w:space="1" w:color="auto"/>
          <w:left w:val="single" w:sz="4" w:space="4" w:color="auto"/>
          <w:bottom w:val="single" w:sz="4" w:space="1" w:color="auto"/>
          <w:right w:val="single" w:sz="4" w:space="4" w:color="auto"/>
        </w:pBdr>
        <w:ind w:left="850"/>
        <w:rPr>
          <w:noProof/>
        </w:rPr>
      </w:pPr>
      <w:r w:rsidRPr="00797162">
        <w:rPr>
          <w:noProof/>
        </w:rPr>
        <w:t>Vastavusraamistik sisaldab muu hulgas järgmist olulist komponenti:</w:t>
      </w:r>
    </w:p>
    <w:p w14:paraId="69D11608" w14:textId="77777777" w:rsidR="00BF22EA" w:rsidRPr="00797162" w:rsidRDefault="00BF22EA" w:rsidP="00BF22EA">
      <w:pPr>
        <w:pBdr>
          <w:top w:val="single" w:sz="8" w:space="1" w:color="000000"/>
          <w:left w:val="single" w:sz="8" w:space="4" w:color="000000"/>
          <w:bottom w:val="single" w:sz="8" w:space="1" w:color="000000"/>
          <w:right w:val="single" w:sz="8" w:space="4" w:color="000000"/>
        </w:pBdr>
        <w:ind w:left="850"/>
        <w:rPr>
          <w:noProof/>
        </w:rPr>
      </w:pPr>
      <w:r w:rsidRPr="00797162">
        <w:rPr>
          <w:noProof/>
          <w:u w:val="single"/>
        </w:rPr>
        <w:t>Ennetusmeetmed</w:t>
      </w:r>
    </w:p>
    <w:p w14:paraId="15471982" w14:textId="77777777" w:rsidR="00BF22EA" w:rsidRPr="00797162" w:rsidRDefault="00BF22EA" w:rsidP="00BF22EA">
      <w:pPr>
        <w:pBdr>
          <w:top w:val="single" w:sz="8" w:space="1" w:color="000000"/>
          <w:left w:val="single" w:sz="8" w:space="4" w:color="000000"/>
          <w:bottom w:val="single" w:sz="8" w:space="1" w:color="000000"/>
          <w:right w:val="single" w:sz="8" w:space="4" w:color="000000"/>
        </w:pBdr>
        <w:ind w:left="850"/>
        <w:rPr>
          <w:noProof/>
        </w:rPr>
      </w:pPr>
      <w:r w:rsidRPr="00797162">
        <w:rPr>
          <w:noProof/>
        </w:rPr>
        <w:t>- pettusega seotud küsimusi hõlmav kohustuslik põhikoolitus abi haldamisega seotud töötajatele ja audiitoritele;</w:t>
      </w:r>
    </w:p>
    <w:p w14:paraId="63AA5994" w14:textId="77777777" w:rsidR="00BF22EA" w:rsidRPr="00797162" w:rsidRDefault="00BF22EA" w:rsidP="00BF22EA">
      <w:pPr>
        <w:pBdr>
          <w:top w:val="single" w:sz="8" w:space="1" w:color="000000"/>
          <w:left w:val="single" w:sz="8" w:space="4" w:color="000000"/>
          <w:bottom w:val="single" w:sz="8" w:space="1" w:color="000000"/>
          <w:right w:val="single" w:sz="8" w:space="4" w:color="000000"/>
        </w:pBdr>
        <w:ind w:left="850"/>
        <w:rPr>
          <w:noProof/>
        </w:rPr>
      </w:pPr>
      <w:r w:rsidRPr="00797162">
        <w:rPr>
          <w:noProof/>
        </w:rPr>
        <w:t>- eelhindamine, et tagada liidu vahendite haldamisel pettuse ärahoidmiseks ja avastamiseks vajalike asjakohaste pettusevastaste meetmete kasutamine ühise ja detsentraliseeritud juhtimise alusel asjaomaseid vahendeid haldavates riigiasutustes;</w:t>
      </w:r>
    </w:p>
    <w:p w14:paraId="193B7C4D" w14:textId="77777777" w:rsidR="00BF22EA" w:rsidRPr="00797162" w:rsidRDefault="00BF22EA" w:rsidP="00BF22EA">
      <w:pPr>
        <w:pBdr>
          <w:top w:val="single" w:sz="8" w:space="1" w:color="000000"/>
          <w:left w:val="single" w:sz="8" w:space="4" w:color="000000"/>
          <w:bottom w:val="single" w:sz="8" w:space="1" w:color="000000"/>
          <w:right w:val="single" w:sz="8" w:space="4" w:color="000000"/>
        </w:pBdr>
        <w:ind w:left="850"/>
        <w:rPr>
          <w:noProof/>
        </w:rPr>
      </w:pPr>
      <w:r w:rsidRPr="00797162">
        <w:rPr>
          <w:noProof/>
        </w:rPr>
        <w:t>- partnerriigis kasutusel olevate pettusevastaste mehhanismide eelsõelumine osana hinnangust sellele, kas riigi rahanduse juhtimine vastab eelarvetoetuse saamise kriteeriumile (s.t aktiivne tegutsemine pettuse ja korruptsiooni vastu võitlemiseks, nõuetekohased kontrolliasutused, piisav õigussuutlikkus ning tõhusad reageerimise ja karistuste mehhanismid);</w:t>
      </w:r>
    </w:p>
    <w:p w14:paraId="1A1C6147" w14:textId="77777777" w:rsidR="00BF22EA" w:rsidRPr="00797162" w:rsidRDefault="00BF22EA" w:rsidP="00BF22EA">
      <w:pPr>
        <w:pBdr>
          <w:top w:val="single" w:sz="8" w:space="1" w:color="000000"/>
          <w:left w:val="single" w:sz="8" w:space="4" w:color="000000"/>
          <w:bottom w:val="single" w:sz="8" w:space="1" w:color="000000"/>
          <w:right w:val="single" w:sz="8" w:space="4" w:color="000000"/>
        </w:pBdr>
        <w:ind w:left="850"/>
        <w:rPr>
          <w:noProof/>
        </w:rPr>
      </w:pPr>
      <w:r w:rsidRPr="00797162">
        <w:rPr>
          <w:noProof/>
        </w:rPr>
        <w:t>- tõhusad pettusevastased mehhanismid pettuse, korruptsiooni ja muu liidu finantshuve kahjustava ebaseadusliku tegevuse, sealhulgas küberrünnete ennetamiseks ja avastamiseks</w:t>
      </w:r>
    </w:p>
    <w:p w14:paraId="4DCCA953" w14:textId="77777777" w:rsidR="00BF22EA" w:rsidRPr="00797162" w:rsidRDefault="00BF22EA" w:rsidP="00BF22EA">
      <w:pPr>
        <w:pBdr>
          <w:top w:val="single" w:sz="8" w:space="1" w:color="000000"/>
          <w:left w:val="single" w:sz="8" w:space="4" w:color="000000"/>
          <w:bottom w:val="single" w:sz="8" w:space="1" w:color="000000"/>
          <w:right w:val="single" w:sz="8" w:space="4" w:color="000000"/>
        </w:pBdr>
        <w:ind w:left="850"/>
        <w:rPr>
          <w:noProof/>
        </w:rPr>
      </w:pPr>
      <w:r w:rsidRPr="00797162">
        <w:rPr>
          <w:noProof/>
          <w:u w:val="single"/>
        </w:rPr>
        <w:t>Vigade avastamise ja nende parandamise meetmed</w:t>
      </w:r>
    </w:p>
    <w:p w14:paraId="3F88A866" w14:textId="77777777" w:rsidR="00BF22EA" w:rsidRPr="00797162" w:rsidRDefault="00BF22EA" w:rsidP="00BF22EA">
      <w:pPr>
        <w:pBdr>
          <w:top w:val="single" w:sz="8" w:space="1" w:color="000000"/>
          <w:left w:val="single" w:sz="8" w:space="4" w:color="000000"/>
          <w:bottom w:val="single" w:sz="8" w:space="1" w:color="000000"/>
          <w:right w:val="single" w:sz="8" w:space="4" w:color="000000"/>
        </w:pBdr>
        <w:ind w:left="850"/>
        <w:rPr>
          <w:noProof/>
        </w:rPr>
      </w:pPr>
      <w:r w:rsidRPr="00797162">
        <w:rPr>
          <w:noProof/>
        </w:rPr>
        <w:t>- ELi rahastamise peatamine raske pettusjuhtumi, sealhulgas laiaulatusliku korruptsiooni korral, kuni ametiasutused on võtnud asjakohaseid meetmeid sellise pettuse tagajärgede korrigeerimiseks ning selle vältimiseks tulevikus;</w:t>
      </w:r>
    </w:p>
    <w:p w14:paraId="78B12353" w14:textId="77777777" w:rsidR="00BF22EA" w:rsidRPr="00797162" w:rsidRDefault="00BF22EA" w:rsidP="00BF22EA">
      <w:pPr>
        <w:pBdr>
          <w:top w:val="single" w:sz="8" w:space="1" w:color="000000"/>
          <w:left w:val="single" w:sz="8" w:space="4" w:color="000000"/>
          <w:bottom w:val="single" w:sz="8" w:space="1" w:color="000000"/>
          <w:right w:val="single" w:sz="8" w:space="4" w:color="000000"/>
        </w:pBdr>
        <w:ind w:left="850"/>
        <w:rPr>
          <w:noProof/>
        </w:rPr>
      </w:pPr>
      <w:r w:rsidRPr="00797162">
        <w:rPr>
          <w:noProof/>
        </w:rPr>
        <w:t>- varajase avastamise ja kõrvalejätmise süsteem (EDES);</w:t>
      </w:r>
    </w:p>
    <w:p w14:paraId="3EA511ED" w14:textId="77777777" w:rsidR="00BF22EA" w:rsidRPr="00797162" w:rsidRDefault="00BF22EA" w:rsidP="00BF22EA">
      <w:pPr>
        <w:pBdr>
          <w:top w:val="single" w:sz="8" w:space="1" w:color="000000"/>
          <w:left w:val="single" w:sz="8" w:space="4" w:color="000000"/>
          <w:bottom w:val="single" w:sz="8" w:space="1" w:color="000000"/>
          <w:right w:val="single" w:sz="8" w:space="4" w:color="000000"/>
        </w:pBdr>
        <w:ind w:left="850"/>
        <w:rPr>
          <w:noProof/>
        </w:rPr>
      </w:pPr>
      <w:r w:rsidRPr="00797162">
        <w:rPr>
          <w:noProof/>
        </w:rPr>
        <w:t>- lepingu peatamine/lõpetamine;</w:t>
      </w:r>
    </w:p>
    <w:p w14:paraId="5DAD84CB" w14:textId="77777777" w:rsidR="00BF22EA" w:rsidRPr="00797162" w:rsidRDefault="00BF22EA" w:rsidP="00BF22EA">
      <w:pPr>
        <w:pBdr>
          <w:top w:val="single" w:sz="8" w:space="1" w:color="000000"/>
          <w:left w:val="single" w:sz="8" w:space="4" w:color="000000"/>
          <w:bottom w:val="single" w:sz="8" w:space="1" w:color="000000"/>
          <w:right w:val="single" w:sz="8" w:space="4" w:color="000000"/>
        </w:pBdr>
        <w:ind w:left="850"/>
        <w:rPr>
          <w:noProof/>
        </w:rPr>
      </w:pPr>
      <w:r w:rsidRPr="00797162">
        <w:rPr>
          <w:noProof/>
        </w:rPr>
        <w:t>- menetlusest kõrvalejätmise menetlus.</w:t>
      </w:r>
    </w:p>
    <w:p w14:paraId="64CC3576" w14:textId="77777777" w:rsidR="00BF22EA" w:rsidRPr="00797162" w:rsidRDefault="00BF22EA" w:rsidP="00BF22EA">
      <w:pPr>
        <w:pBdr>
          <w:top w:val="single" w:sz="8" w:space="1" w:color="000000"/>
          <w:left w:val="single" w:sz="8" w:space="4" w:color="000000"/>
          <w:bottom w:val="single" w:sz="8" w:space="1" w:color="000000"/>
          <w:right w:val="single" w:sz="8" w:space="4" w:color="000000"/>
        </w:pBdr>
        <w:ind w:left="850"/>
        <w:rPr>
          <w:noProof/>
        </w:rPr>
      </w:pPr>
    </w:p>
    <w:p w14:paraId="092BE848" w14:textId="77777777" w:rsidR="00BF22EA" w:rsidRPr="00797162" w:rsidRDefault="00BF22EA" w:rsidP="00BF22EA">
      <w:pPr>
        <w:pBdr>
          <w:top w:val="single" w:sz="8" w:space="1" w:color="000000"/>
          <w:left w:val="single" w:sz="8" w:space="4" w:color="000000"/>
          <w:bottom w:val="single" w:sz="8" w:space="1" w:color="000000"/>
          <w:right w:val="single" w:sz="8" w:space="4" w:color="000000"/>
        </w:pBdr>
        <w:ind w:left="850"/>
        <w:rPr>
          <w:noProof/>
        </w:rPr>
      </w:pPr>
      <w:r w:rsidRPr="00797162">
        <w:rPr>
          <w:noProof/>
        </w:rPr>
        <w:t>Asjaomaste talituste pettusevastased strateegiad, mis on kooskõlas komisjoni pettusevastase võitluse strateegia ja sellele vastava tegevuskava eesmärkide ja prioriteetidega, tagavad, et süsteemid, mida kasutatakse ELi vahendite kasutamiseks kolmandates riikides, võimaldavad saada asjakohaseid andmeid, et võtta neid arvesse pettuseriski hindamisel ja juhtimisel (nt topeltrahastamine, kulude tegelikust suuremana näitamine, ebaausad hankemenetlused, huvide konflikt, kokkumäng); vajaduse korral võiks luua võrgustikke ja asjakohaseid IT-/digivahendeid, mille eesmärk on välisabisektoriga seotud pettuseriskide ja pettusejuhtumite varajane avastamine ja ärahoidmine.</w:t>
      </w:r>
    </w:p>
    <w:p w14:paraId="747AC1A8" w14:textId="77777777" w:rsidR="00BF22EA" w:rsidRPr="00797162" w:rsidRDefault="00BF22EA" w:rsidP="00BF22EA">
      <w:pPr>
        <w:pBdr>
          <w:top w:val="single" w:sz="8" w:space="1" w:color="000000"/>
          <w:left w:val="single" w:sz="8" w:space="4" w:color="000000"/>
          <w:bottom w:val="single" w:sz="8" w:space="1" w:color="000000"/>
          <w:right w:val="single" w:sz="8" w:space="4" w:color="000000"/>
        </w:pBdr>
        <w:ind w:left="850"/>
        <w:rPr>
          <w:noProof/>
        </w:rPr>
      </w:pPr>
    </w:p>
    <w:p w14:paraId="24645061" w14:textId="77777777" w:rsidR="00BF22EA" w:rsidRPr="00797162" w:rsidRDefault="00BF22EA" w:rsidP="00BF22EA">
      <w:pPr>
        <w:pBdr>
          <w:top w:val="single" w:sz="8" w:space="1" w:color="000000"/>
          <w:left w:val="single" w:sz="8" w:space="4" w:color="000000"/>
          <w:bottom w:val="single" w:sz="8" w:space="1" w:color="000000"/>
          <w:right w:val="single" w:sz="8" w:space="4" w:color="000000"/>
        </w:pBdr>
        <w:ind w:left="850"/>
        <w:rPr>
          <w:b/>
          <w:noProof/>
        </w:rPr>
      </w:pPr>
      <w:r w:rsidRPr="00797162">
        <w:rPr>
          <w:b/>
          <w:noProof/>
        </w:rPr>
        <w:t>Sisekomponendi puhul:</w:t>
      </w:r>
    </w:p>
    <w:p w14:paraId="376C66F1" w14:textId="77777777" w:rsidR="00BF22EA" w:rsidRPr="00797162" w:rsidRDefault="00BF22EA" w:rsidP="00BF22EA">
      <w:pPr>
        <w:pBdr>
          <w:top w:val="single" w:sz="8" w:space="1" w:color="000000"/>
          <w:left w:val="single" w:sz="8" w:space="4" w:color="000000"/>
          <w:bottom w:val="single" w:sz="8" w:space="1" w:color="000000"/>
          <w:right w:val="single" w:sz="8" w:space="4" w:color="000000"/>
        </w:pBdr>
        <w:ind w:left="850"/>
        <w:rPr>
          <w:noProof/>
        </w:rPr>
      </w:pPr>
      <w:r w:rsidRPr="00797162">
        <w:rPr>
          <w:noProof/>
        </w:rPr>
        <w:t>Kooskõlas finantsmääruse ja selle kohaldamise eeskirjadega, mis näevad ette eel- ja järelkontrollide tegemist, on Teadusuuringute Ühiskeskus loonud asepeadirektori alluvuses tegutseva riigihangete nõuanderühma. See rühm teeb hankemenetluste õiguslike ja regulatiivsete aspektide eelkontrolli ja annab enne hankelepingu sõlmimise otsuse tegemist nõu edasivolitatud eelarvevahendite käsutajale. Rühma tehtud kontrollide eesmärk on vähendada komisjoni jaoks õigus- ja maineriski. Need kontrollid täiendavad muid eelkontrolle, mida teevad finants- ja hanketalitus ning tegevuskoha tugiteenistused.</w:t>
      </w:r>
    </w:p>
    <w:p w14:paraId="54B5ECE3" w14:textId="2535494E" w:rsidR="00BF22EA" w:rsidRPr="00797162" w:rsidRDefault="00BF22EA" w:rsidP="00BF22EA">
      <w:pPr>
        <w:pBdr>
          <w:top w:val="single" w:sz="8" w:space="1" w:color="000000"/>
          <w:left w:val="single" w:sz="8" w:space="4" w:color="000000"/>
          <w:bottom w:val="single" w:sz="8" w:space="1" w:color="000000"/>
          <w:right w:val="single" w:sz="8" w:space="4" w:color="000000"/>
        </w:pBdr>
        <w:ind w:left="850"/>
        <w:rPr>
          <w:noProof/>
        </w:rPr>
      </w:pPr>
      <w:r w:rsidRPr="00797162">
        <w:rPr>
          <w:noProof/>
        </w:rPr>
        <w:t>Teadusuuringute Ühiskeskuse järelkontrollistrateegia rakendamisel kasutatakse representatiivse kihtvaliku metoodikat. 2024. aasta maksete valimi moodustamiseks kasutati mitut valikukriteeriumi (sealhulgas juhuvalikut). 2024. aastal valiti Teadusuuringute Ühiskeskuse eri tegevuskohtadest 134 makset. Lisaks tehti järelkontroll 51 hanketoimiku suhtes, mis olid seotud tehtud maksetega kaasnevate juriidiliste kohustustega. Auditite soovitusi jälgitakse ja need rakendatakse õigeaegselt.</w:t>
      </w:r>
    </w:p>
    <w:p w14:paraId="624DA94A" w14:textId="77777777" w:rsidR="00BF22EA" w:rsidRPr="00797162" w:rsidRDefault="00BF22EA" w:rsidP="00BF22EA">
      <w:pPr>
        <w:pBdr>
          <w:top w:val="single" w:sz="8" w:space="1" w:color="000000"/>
          <w:left w:val="single" w:sz="8" w:space="4" w:color="000000"/>
          <w:bottom w:val="single" w:sz="8" w:space="1" w:color="000000"/>
          <w:right w:val="single" w:sz="8" w:space="4" w:color="000000"/>
        </w:pBdr>
        <w:ind w:left="850"/>
        <w:rPr>
          <w:noProof/>
        </w:rPr>
        <w:sectPr w:rsidR="00BF22EA" w:rsidRPr="00797162" w:rsidSect="00B662D8">
          <w:pgSz w:w="11907" w:h="16840" w:code="9"/>
          <w:pgMar w:top="1134" w:right="1418" w:bottom="1134" w:left="1418" w:header="709" w:footer="709" w:gutter="0"/>
          <w:cols w:space="708"/>
          <w:docGrid w:linePitch="360"/>
        </w:sectPr>
      </w:pPr>
      <w:r w:rsidRPr="00797162">
        <w:rPr>
          <w:noProof/>
        </w:rPr>
        <w:t>Teadusuuringute Ühiskeskuse pettusevastase võitluse strateegiat ajakohastati 2024. aasta detsembris kooskõlas komisjoni pettustevastase võitluse strateegia ja OLAFi uusima metoodikaga.</w:t>
      </w:r>
    </w:p>
    <w:p w14:paraId="58645A24" w14:textId="77777777" w:rsidR="00BF22EA" w:rsidRPr="00797162" w:rsidRDefault="00BF22EA" w:rsidP="00BF22EA">
      <w:pPr>
        <w:keepNext/>
        <w:tabs>
          <w:tab w:val="left" w:pos="850"/>
        </w:tabs>
        <w:spacing w:before="360"/>
        <w:ind w:left="850" w:hanging="850"/>
        <w:outlineLvl w:val="0"/>
        <w:rPr>
          <w:b/>
          <w:smallCaps/>
          <w:noProof/>
        </w:rPr>
      </w:pPr>
      <w:bookmarkStart w:id="138" w:name="_Toc514938050"/>
      <w:bookmarkStart w:id="139" w:name="_Toc520485049"/>
      <w:bookmarkStart w:id="140" w:name="_Toc160804591"/>
      <w:bookmarkStart w:id="141" w:name="_Toc167220283"/>
      <w:bookmarkStart w:id="142" w:name="_Toc177549016"/>
      <w:r w:rsidRPr="00797162">
        <w:rPr>
          <w:b/>
          <w:smallCaps/>
          <w:noProof/>
        </w:rPr>
        <w:t>3.</w:t>
      </w:r>
      <w:r w:rsidRPr="00797162">
        <w:rPr>
          <w:noProof/>
        </w:rPr>
        <w:tab/>
      </w:r>
      <w:r w:rsidRPr="00797162">
        <w:rPr>
          <w:b/>
          <w:smallCaps/>
          <w:noProof/>
        </w:rPr>
        <w:t>ETTEPANEKU/ALGATUSE HINNANGULINE FINANTSMÕJU</w:t>
      </w:r>
      <w:bookmarkEnd w:id="138"/>
      <w:bookmarkEnd w:id="139"/>
      <w:bookmarkEnd w:id="140"/>
      <w:bookmarkEnd w:id="141"/>
      <w:bookmarkEnd w:id="142"/>
      <w:r w:rsidRPr="00797162">
        <w:rPr>
          <w:b/>
          <w:smallCaps/>
          <w:noProof/>
        </w:rPr>
        <w:t xml:space="preserve"> </w:t>
      </w:r>
    </w:p>
    <w:p w14:paraId="1CE30440" w14:textId="77777777" w:rsidR="00BF22EA" w:rsidRPr="00797162" w:rsidRDefault="00BF22EA" w:rsidP="00BF22EA">
      <w:pPr>
        <w:keepNext/>
        <w:tabs>
          <w:tab w:val="left" w:pos="850"/>
        </w:tabs>
        <w:ind w:left="850" w:hanging="850"/>
        <w:outlineLvl w:val="1"/>
        <w:rPr>
          <w:b/>
          <w:noProof/>
        </w:rPr>
      </w:pPr>
      <w:bookmarkStart w:id="143" w:name="_Toc514938051"/>
      <w:bookmarkStart w:id="144" w:name="_Toc520485050"/>
      <w:bookmarkStart w:id="145" w:name="_Toc160804592"/>
      <w:bookmarkStart w:id="146" w:name="_Toc167220284"/>
      <w:bookmarkStart w:id="147" w:name="_Toc177549017"/>
      <w:r w:rsidRPr="00797162">
        <w:rPr>
          <w:b/>
          <w:noProof/>
        </w:rPr>
        <w:t>3.1.</w:t>
      </w:r>
      <w:r w:rsidRPr="00797162">
        <w:rPr>
          <w:noProof/>
        </w:rPr>
        <w:tab/>
      </w:r>
      <w:r w:rsidRPr="00797162">
        <w:rPr>
          <w:b/>
          <w:noProof/>
        </w:rPr>
        <w:t>Mitmeaastase finantsraamistiku rubriigid ja kulude eelarveread, millele mõju avaldub</w:t>
      </w:r>
      <w:bookmarkEnd w:id="143"/>
      <w:bookmarkEnd w:id="144"/>
      <w:bookmarkEnd w:id="145"/>
      <w:bookmarkEnd w:id="146"/>
      <w:bookmarkEnd w:id="147"/>
      <w:r w:rsidRPr="00797162">
        <w:rPr>
          <w:b/>
          <w:noProof/>
        </w:rPr>
        <w:t xml:space="preserve"> </w:t>
      </w:r>
    </w:p>
    <w:p w14:paraId="4C26D7AD" w14:textId="34C58BCC" w:rsidR="009B2A09" w:rsidRPr="00797162" w:rsidRDefault="00822AC9" w:rsidP="00822AC9">
      <w:pPr>
        <w:pStyle w:val="Point1"/>
        <w:rPr>
          <w:noProof/>
        </w:rPr>
      </w:pPr>
      <w:r w:rsidRPr="00822AC9">
        <w:rPr>
          <w:noProof/>
        </w:rPr>
        <w:t>(1)</w:t>
      </w:r>
      <w:r w:rsidRPr="00822AC9">
        <w:rPr>
          <w:noProof/>
        </w:rPr>
        <w:tab/>
      </w:r>
      <w:r w:rsidR="009B2A09" w:rsidRPr="00797162">
        <w:rPr>
          <w:noProof/>
        </w:rPr>
        <w:t xml:space="preserve">Uued eelarveread, mille loomist taotletakse </w:t>
      </w:r>
    </w:p>
    <w:tbl>
      <w:tblPr>
        <w:tblW w:w="0" w:type="auto"/>
        <w:tblInd w:w="841" w:type="dxa"/>
        <w:tblLayout w:type="fixed"/>
        <w:tblLook w:val="01E0" w:firstRow="1" w:lastRow="1" w:firstColumn="1" w:lastColumn="1" w:noHBand="0" w:noVBand="0"/>
      </w:tblPr>
      <w:tblGrid>
        <w:gridCol w:w="2086"/>
        <w:gridCol w:w="3825"/>
        <w:gridCol w:w="2037"/>
      </w:tblGrid>
      <w:tr w:rsidR="00BF22EA" w:rsidRPr="00797162" w14:paraId="262B006D" w14:textId="77777777" w:rsidTr="00BE7565">
        <w:trPr>
          <w:trHeight w:val="300"/>
        </w:trPr>
        <w:tc>
          <w:tcPr>
            <w:tcW w:w="208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2CEC2E" w14:textId="77777777" w:rsidR="00BF22EA" w:rsidRPr="00797162" w:rsidRDefault="00BF22EA" w:rsidP="00BE7565">
            <w:pPr>
              <w:jc w:val="center"/>
              <w:rPr>
                <w:rFonts w:eastAsia="Times New Roman"/>
                <w:noProof/>
                <w:sz w:val="18"/>
                <w:szCs w:val="18"/>
              </w:rPr>
            </w:pPr>
            <w:r w:rsidRPr="00797162">
              <w:rPr>
                <w:noProof/>
                <w:sz w:val="18"/>
              </w:rPr>
              <w:t xml:space="preserve">Mitmeaastase finantsraamistiku rubriik </w:t>
            </w:r>
          </w:p>
        </w:tc>
        <w:tc>
          <w:tcPr>
            <w:tcW w:w="3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6D5C82" w14:textId="77777777" w:rsidR="00BF22EA" w:rsidRPr="00797162" w:rsidRDefault="00BF22EA" w:rsidP="00BE7565">
            <w:pPr>
              <w:spacing w:after="60"/>
              <w:rPr>
                <w:rFonts w:eastAsia="Times New Roman"/>
                <w:noProof/>
                <w:sz w:val="20"/>
                <w:szCs w:val="20"/>
              </w:rPr>
            </w:pPr>
            <w:r w:rsidRPr="00797162">
              <w:rPr>
                <w:noProof/>
                <w:sz w:val="20"/>
              </w:rPr>
              <w:t xml:space="preserve">Eelarverida </w:t>
            </w:r>
          </w:p>
        </w:tc>
        <w:tc>
          <w:tcPr>
            <w:tcW w:w="20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8298C1" w14:textId="77777777" w:rsidR="00BF22EA" w:rsidRPr="00797162" w:rsidRDefault="00BF22EA" w:rsidP="00BE7565">
            <w:pPr>
              <w:jc w:val="center"/>
              <w:rPr>
                <w:rFonts w:eastAsia="Times New Roman"/>
                <w:noProof/>
                <w:sz w:val="18"/>
                <w:szCs w:val="18"/>
              </w:rPr>
            </w:pPr>
            <w:r w:rsidRPr="00797162">
              <w:rPr>
                <w:noProof/>
                <w:sz w:val="18"/>
              </w:rPr>
              <w:t xml:space="preserve">Kulu liik </w:t>
            </w:r>
          </w:p>
        </w:tc>
      </w:tr>
      <w:tr w:rsidR="00BF22EA" w:rsidRPr="00797162" w14:paraId="08D69228" w14:textId="77777777" w:rsidTr="00BE7565">
        <w:trPr>
          <w:trHeight w:val="300"/>
        </w:trPr>
        <w:tc>
          <w:tcPr>
            <w:tcW w:w="208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BC270B" w14:textId="77777777" w:rsidR="00BF22EA" w:rsidRPr="00797162" w:rsidRDefault="00BF22EA" w:rsidP="00BE7565">
            <w:pPr>
              <w:jc w:val="center"/>
              <w:rPr>
                <w:rFonts w:eastAsia="Times New Roman"/>
                <w:noProof/>
                <w:sz w:val="18"/>
                <w:szCs w:val="18"/>
              </w:rPr>
            </w:pPr>
            <w:r w:rsidRPr="00797162">
              <w:rPr>
                <w:noProof/>
                <w:sz w:val="18"/>
              </w:rPr>
              <w:t xml:space="preserve"> </w:t>
            </w:r>
          </w:p>
        </w:tc>
        <w:tc>
          <w:tcPr>
            <w:tcW w:w="3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32BBD7" w14:textId="77777777" w:rsidR="00BF22EA" w:rsidRPr="00797162" w:rsidRDefault="00BF22EA" w:rsidP="00BE7565">
            <w:pPr>
              <w:spacing w:after="60"/>
              <w:rPr>
                <w:rFonts w:eastAsia="Times New Roman"/>
                <w:noProof/>
                <w:sz w:val="20"/>
                <w:szCs w:val="20"/>
              </w:rPr>
            </w:pPr>
            <w:r w:rsidRPr="00797162">
              <w:rPr>
                <w:noProof/>
                <w:sz w:val="20"/>
              </w:rPr>
              <w:t>Nr</w:t>
            </w:r>
          </w:p>
        </w:tc>
        <w:tc>
          <w:tcPr>
            <w:tcW w:w="20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5D280E" w14:textId="77777777" w:rsidR="00BF22EA" w:rsidRPr="00797162" w:rsidRDefault="00BF22EA" w:rsidP="00BE7565">
            <w:pPr>
              <w:jc w:val="center"/>
              <w:rPr>
                <w:rFonts w:eastAsia="Times New Roman"/>
                <w:noProof/>
                <w:sz w:val="18"/>
                <w:szCs w:val="18"/>
              </w:rPr>
            </w:pPr>
            <w:r w:rsidRPr="00797162">
              <w:rPr>
                <w:noProof/>
                <w:sz w:val="18"/>
              </w:rPr>
              <w:t xml:space="preserve">Liigendatud/liigendamata </w:t>
            </w:r>
          </w:p>
        </w:tc>
      </w:tr>
      <w:tr w:rsidR="00BF22EA" w:rsidRPr="00797162" w14:paraId="741CE11F" w14:textId="77777777" w:rsidTr="00BE7565">
        <w:trPr>
          <w:trHeight w:val="300"/>
        </w:trPr>
        <w:tc>
          <w:tcPr>
            <w:tcW w:w="208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B1BFAE" w14:textId="77777777" w:rsidR="00BF22EA" w:rsidRPr="00797162" w:rsidRDefault="00BF22EA" w:rsidP="00BE7565">
            <w:pPr>
              <w:jc w:val="center"/>
              <w:rPr>
                <w:rFonts w:eastAsia="Times New Roman"/>
                <w:noProof/>
                <w:sz w:val="18"/>
                <w:szCs w:val="18"/>
              </w:rPr>
            </w:pPr>
            <w:r w:rsidRPr="00797162">
              <w:rPr>
                <w:noProof/>
                <w:sz w:val="18"/>
              </w:rPr>
              <w:t>2</w:t>
            </w:r>
          </w:p>
        </w:tc>
        <w:tc>
          <w:tcPr>
            <w:tcW w:w="3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134411" w14:textId="77777777" w:rsidR="00BF22EA" w:rsidRPr="00797162" w:rsidRDefault="00BF22EA" w:rsidP="00BE7565">
            <w:pPr>
              <w:spacing w:after="60"/>
              <w:rPr>
                <w:rFonts w:eastAsia="Times New Roman"/>
                <w:noProof/>
                <w:sz w:val="20"/>
                <w:szCs w:val="20"/>
              </w:rPr>
            </w:pPr>
            <w:r w:rsidRPr="00797162">
              <w:rPr>
                <w:noProof/>
                <w:sz w:val="20"/>
              </w:rPr>
              <w:t>04 01 04 – Tuumaohutusalase rahvusvahelise koostöö toetuskulud – Dekomissioneerimine</w:t>
            </w:r>
          </w:p>
        </w:tc>
        <w:tc>
          <w:tcPr>
            <w:tcW w:w="20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26E915" w14:textId="77777777" w:rsidR="00BF22EA" w:rsidRPr="00797162" w:rsidRDefault="00BF22EA" w:rsidP="00BE7565">
            <w:pPr>
              <w:jc w:val="center"/>
              <w:rPr>
                <w:rFonts w:eastAsia="Times New Roman"/>
                <w:noProof/>
                <w:sz w:val="18"/>
                <w:szCs w:val="18"/>
              </w:rPr>
            </w:pPr>
            <w:r w:rsidRPr="00797162">
              <w:rPr>
                <w:noProof/>
                <w:sz w:val="18"/>
              </w:rPr>
              <w:t>Liigendamata</w:t>
            </w:r>
          </w:p>
          <w:p w14:paraId="35C8D194" w14:textId="77777777" w:rsidR="00BF22EA" w:rsidRPr="00797162" w:rsidRDefault="00BF22EA" w:rsidP="00BE7565">
            <w:pPr>
              <w:jc w:val="center"/>
              <w:rPr>
                <w:rFonts w:eastAsia="Times New Roman"/>
                <w:noProof/>
                <w:sz w:val="18"/>
                <w:szCs w:val="18"/>
              </w:rPr>
            </w:pPr>
            <w:r w:rsidRPr="00797162">
              <w:rPr>
                <w:noProof/>
                <w:sz w:val="18"/>
              </w:rPr>
              <w:t xml:space="preserve"> </w:t>
            </w:r>
          </w:p>
        </w:tc>
      </w:tr>
      <w:tr w:rsidR="00BF22EA" w:rsidRPr="00797162" w14:paraId="3AE2E93B" w14:textId="77777777" w:rsidTr="00BE7565">
        <w:trPr>
          <w:trHeight w:val="300"/>
        </w:trPr>
        <w:tc>
          <w:tcPr>
            <w:tcW w:w="208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F5519C" w14:textId="77777777" w:rsidR="00BF22EA" w:rsidRPr="00797162" w:rsidRDefault="00BF22EA" w:rsidP="00BE7565">
            <w:pPr>
              <w:jc w:val="center"/>
              <w:rPr>
                <w:rFonts w:eastAsia="Times New Roman"/>
                <w:noProof/>
                <w:sz w:val="18"/>
                <w:szCs w:val="18"/>
              </w:rPr>
            </w:pPr>
            <w:r w:rsidRPr="00797162">
              <w:rPr>
                <w:noProof/>
                <w:sz w:val="18"/>
              </w:rPr>
              <w:t>2</w:t>
            </w:r>
          </w:p>
        </w:tc>
        <w:tc>
          <w:tcPr>
            <w:tcW w:w="3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487E26" w14:textId="77777777" w:rsidR="00BF22EA" w:rsidRPr="00797162" w:rsidRDefault="00BF22EA" w:rsidP="00BE7565">
            <w:pPr>
              <w:spacing w:after="60"/>
              <w:rPr>
                <w:rFonts w:eastAsia="Times New Roman"/>
                <w:noProof/>
                <w:sz w:val="20"/>
                <w:szCs w:val="20"/>
              </w:rPr>
            </w:pPr>
            <w:r w:rsidRPr="00797162">
              <w:rPr>
                <w:noProof/>
                <w:sz w:val="20"/>
              </w:rPr>
              <w:t xml:space="preserve">04 05 01 – Tuumaohutusalane rahvusvaheline koostöö </w:t>
            </w:r>
          </w:p>
        </w:tc>
        <w:tc>
          <w:tcPr>
            <w:tcW w:w="20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1C65A6" w14:textId="77777777" w:rsidR="00BF22EA" w:rsidRPr="00797162" w:rsidRDefault="00BF22EA" w:rsidP="00BE7565">
            <w:pPr>
              <w:jc w:val="center"/>
              <w:rPr>
                <w:rFonts w:eastAsia="Times New Roman"/>
                <w:noProof/>
                <w:sz w:val="18"/>
                <w:szCs w:val="18"/>
              </w:rPr>
            </w:pPr>
            <w:r w:rsidRPr="00797162">
              <w:rPr>
                <w:noProof/>
                <w:sz w:val="18"/>
              </w:rPr>
              <w:t>Liigendatud</w:t>
            </w:r>
          </w:p>
          <w:p w14:paraId="1C747616" w14:textId="77777777" w:rsidR="00BF22EA" w:rsidRPr="00797162" w:rsidRDefault="00BF22EA" w:rsidP="00BE7565">
            <w:pPr>
              <w:jc w:val="center"/>
              <w:rPr>
                <w:rFonts w:eastAsia="Times New Roman"/>
                <w:noProof/>
                <w:sz w:val="18"/>
                <w:szCs w:val="18"/>
              </w:rPr>
            </w:pPr>
            <w:r w:rsidRPr="00797162">
              <w:rPr>
                <w:noProof/>
                <w:sz w:val="18"/>
              </w:rPr>
              <w:t xml:space="preserve"> </w:t>
            </w:r>
          </w:p>
        </w:tc>
      </w:tr>
      <w:tr w:rsidR="00BF22EA" w:rsidRPr="00797162" w14:paraId="624E2568" w14:textId="77777777" w:rsidTr="00BE7565">
        <w:trPr>
          <w:trHeight w:val="300"/>
        </w:trPr>
        <w:tc>
          <w:tcPr>
            <w:tcW w:w="208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1A61F6" w14:textId="77777777" w:rsidR="00BF22EA" w:rsidRPr="00797162" w:rsidRDefault="00BF22EA" w:rsidP="00BE7565">
            <w:pPr>
              <w:jc w:val="center"/>
              <w:rPr>
                <w:rFonts w:eastAsia="Times New Roman"/>
                <w:noProof/>
                <w:sz w:val="18"/>
                <w:szCs w:val="18"/>
              </w:rPr>
            </w:pPr>
            <w:r w:rsidRPr="00797162">
              <w:rPr>
                <w:noProof/>
                <w:sz w:val="18"/>
              </w:rPr>
              <w:t>2</w:t>
            </w:r>
          </w:p>
        </w:tc>
        <w:tc>
          <w:tcPr>
            <w:tcW w:w="3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2CF8ED" w14:textId="77777777" w:rsidR="00BF22EA" w:rsidRPr="00797162" w:rsidRDefault="00BF22EA" w:rsidP="00BE7565">
            <w:pPr>
              <w:spacing w:after="60"/>
              <w:rPr>
                <w:rFonts w:eastAsia="Times New Roman"/>
                <w:noProof/>
                <w:sz w:val="20"/>
                <w:szCs w:val="20"/>
              </w:rPr>
            </w:pPr>
            <w:r w:rsidRPr="00797162">
              <w:rPr>
                <w:noProof/>
                <w:sz w:val="20"/>
              </w:rPr>
              <w:t>04 05 02 – Tuumaohutusalane rahvusvaheline koostöö – Ühise eraldisfondi eraldised</w:t>
            </w:r>
          </w:p>
        </w:tc>
        <w:tc>
          <w:tcPr>
            <w:tcW w:w="20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567EC7" w14:textId="77777777" w:rsidR="00BF22EA" w:rsidRPr="00797162" w:rsidRDefault="00BF22EA" w:rsidP="00BE7565">
            <w:pPr>
              <w:jc w:val="center"/>
              <w:rPr>
                <w:rFonts w:eastAsia="Times New Roman"/>
                <w:noProof/>
                <w:sz w:val="18"/>
                <w:szCs w:val="18"/>
              </w:rPr>
            </w:pPr>
            <w:r w:rsidRPr="00797162">
              <w:rPr>
                <w:noProof/>
                <w:sz w:val="18"/>
              </w:rPr>
              <w:t>Liigendatud</w:t>
            </w:r>
          </w:p>
          <w:p w14:paraId="364A7A9A" w14:textId="77777777" w:rsidR="00BF22EA" w:rsidRPr="00797162" w:rsidRDefault="00BF22EA" w:rsidP="00BE7565">
            <w:pPr>
              <w:jc w:val="center"/>
              <w:rPr>
                <w:rFonts w:eastAsia="Times New Roman"/>
                <w:noProof/>
                <w:sz w:val="18"/>
                <w:szCs w:val="18"/>
              </w:rPr>
            </w:pPr>
            <w:r w:rsidRPr="00797162">
              <w:rPr>
                <w:noProof/>
                <w:sz w:val="18"/>
              </w:rPr>
              <w:t xml:space="preserve"> </w:t>
            </w:r>
          </w:p>
        </w:tc>
      </w:tr>
      <w:tr w:rsidR="00BF22EA" w:rsidRPr="00797162" w14:paraId="1BED08EA" w14:textId="77777777" w:rsidTr="00BE7565">
        <w:trPr>
          <w:trHeight w:val="300"/>
        </w:trPr>
        <w:tc>
          <w:tcPr>
            <w:tcW w:w="208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FE0136" w14:textId="77777777" w:rsidR="00BF22EA" w:rsidRPr="00797162" w:rsidRDefault="00BF22EA" w:rsidP="00BE7565">
            <w:pPr>
              <w:jc w:val="center"/>
              <w:rPr>
                <w:rFonts w:eastAsia="Times New Roman"/>
                <w:noProof/>
                <w:sz w:val="18"/>
                <w:szCs w:val="18"/>
              </w:rPr>
            </w:pPr>
            <w:r w:rsidRPr="00797162">
              <w:rPr>
                <w:noProof/>
                <w:sz w:val="18"/>
              </w:rPr>
              <w:t>2</w:t>
            </w:r>
          </w:p>
        </w:tc>
        <w:tc>
          <w:tcPr>
            <w:tcW w:w="3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816D2E" w14:textId="77777777" w:rsidR="00BF22EA" w:rsidRPr="00797162" w:rsidRDefault="00BF22EA" w:rsidP="00BE7565">
            <w:pPr>
              <w:spacing w:after="60"/>
              <w:rPr>
                <w:rFonts w:eastAsia="Times New Roman"/>
                <w:noProof/>
                <w:sz w:val="20"/>
                <w:szCs w:val="20"/>
              </w:rPr>
            </w:pPr>
            <w:r w:rsidRPr="00797162">
              <w:rPr>
                <w:noProof/>
                <w:sz w:val="20"/>
              </w:rPr>
              <w:t>04 05 03 – Teadusuuringute Ühiskeskuse dekomissioneerimise ja tuumajäätmete käitlemise programm</w:t>
            </w:r>
          </w:p>
        </w:tc>
        <w:tc>
          <w:tcPr>
            <w:tcW w:w="20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463B3A" w14:textId="77777777" w:rsidR="00BF22EA" w:rsidRPr="00797162" w:rsidRDefault="00BF22EA" w:rsidP="00BE7565">
            <w:pPr>
              <w:jc w:val="center"/>
              <w:rPr>
                <w:rFonts w:eastAsia="Times New Roman"/>
                <w:noProof/>
                <w:sz w:val="18"/>
                <w:szCs w:val="18"/>
              </w:rPr>
            </w:pPr>
            <w:r w:rsidRPr="00797162">
              <w:rPr>
                <w:noProof/>
                <w:sz w:val="18"/>
              </w:rPr>
              <w:t>Liigendatud</w:t>
            </w:r>
          </w:p>
          <w:p w14:paraId="765AFEC7" w14:textId="77777777" w:rsidR="00BF22EA" w:rsidRPr="00797162" w:rsidRDefault="00BF22EA" w:rsidP="00BE7565">
            <w:pPr>
              <w:jc w:val="center"/>
              <w:rPr>
                <w:rFonts w:eastAsia="Times New Roman"/>
                <w:noProof/>
                <w:sz w:val="18"/>
                <w:szCs w:val="18"/>
              </w:rPr>
            </w:pPr>
            <w:r w:rsidRPr="00797162">
              <w:rPr>
                <w:noProof/>
                <w:sz w:val="18"/>
              </w:rPr>
              <w:t xml:space="preserve"> </w:t>
            </w:r>
          </w:p>
        </w:tc>
      </w:tr>
      <w:tr w:rsidR="00BF22EA" w:rsidRPr="00797162" w14:paraId="4B451510" w14:textId="77777777" w:rsidTr="00BE7565">
        <w:trPr>
          <w:trHeight w:val="300"/>
        </w:trPr>
        <w:tc>
          <w:tcPr>
            <w:tcW w:w="208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7BACC8" w14:textId="77777777" w:rsidR="00BF22EA" w:rsidRPr="00797162" w:rsidRDefault="00BF22EA" w:rsidP="00BE7565">
            <w:pPr>
              <w:jc w:val="center"/>
              <w:rPr>
                <w:rFonts w:eastAsia="Times New Roman"/>
                <w:noProof/>
                <w:sz w:val="18"/>
                <w:szCs w:val="18"/>
              </w:rPr>
            </w:pPr>
            <w:r w:rsidRPr="00797162">
              <w:rPr>
                <w:noProof/>
                <w:sz w:val="18"/>
              </w:rPr>
              <w:t>2</w:t>
            </w:r>
          </w:p>
        </w:tc>
        <w:tc>
          <w:tcPr>
            <w:tcW w:w="3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A06233" w14:textId="77777777" w:rsidR="00BF22EA" w:rsidRPr="00797162" w:rsidRDefault="00BF22EA" w:rsidP="00BE7565">
            <w:pPr>
              <w:spacing w:after="60"/>
              <w:rPr>
                <w:rFonts w:eastAsia="Times New Roman"/>
                <w:noProof/>
                <w:sz w:val="20"/>
                <w:szCs w:val="20"/>
              </w:rPr>
            </w:pPr>
            <w:r w:rsidRPr="00797162">
              <w:rPr>
                <w:noProof/>
                <w:sz w:val="20"/>
              </w:rPr>
              <w:t>04 05 99 01 – Varasema tuumaohutusalase rahvusvahelise koostöö programmi lõpuleviimine (enne 2028. aastat)</w:t>
            </w:r>
          </w:p>
        </w:tc>
        <w:tc>
          <w:tcPr>
            <w:tcW w:w="20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E42DF3" w14:textId="77777777" w:rsidR="00BF22EA" w:rsidRPr="00797162" w:rsidRDefault="00BF22EA" w:rsidP="00BE7565">
            <w:pPr>
              <w:jc w:val="center"/>
              <w:rPr>
                <w:rFonts w:eastAsia="Times New Roman"/>
                <w:noProof/>
                <w:sz w:val="18"/>
                <w:szCs w:val="18"/>
              </w:rPr>
            </w:pPr>
            <w:r w:rsidRPr="00797162">
              <w:rPr>
                <w:noProof/>
                <w:sz w:val="18"/>
              </w:rPr>
              <w:t>Liigendatud</w:t>
            </w:r>
          </w:p>
          <w:p w14:paraId="29C37AA7" w14:textId="77777777" w:rsidR="00BF22EA" w:rsidRPr="00797162" w:rsidRDefault="00BF22EA" w:rsidP="00BE7565">
            <w:pPr>
              <w:jc w:val="center"/>
              <w:rPr>
                <w:rFonts w:eastAsia="Times New Roman"/>
                <w:noProof/>
                <w:sz w:val="18"/>
                <w:szCs w:val="18"/>
              </w:rPr>
            </w:pPr>
            <w:r w:rsidRPr="00797162">
              <w:rPr>
                <w:noProof/>
                <w:sz w:val="18"/>
              </w:rPr>
              <w:t xml:space="preserve"> </w:t>
            </w:r>
          </w:p>
        </w:tc>
      </w:tr>
      <w:tr w:rsidR="00BF22EA" w:rsidRPr="00797162" w14:paraId="73FE6736" w14:textId="77777777" w:rsidTr="00BE7565">
        <w:trPr>
          <w:trHeight w:val="300"/>
        </w:trPr>
        <w:tc>
          <w:tcPr>
            <w:tcW w:w="208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45E0BA" w14:textId="77777777" w:rsidR="00BF22EA" w:rsidRPr="00797162" w:rsidRDefault="00BF22EA" w:rsidP="00BE7565">
            <w:pPr>
              <w:jc w:val="center"/>
              <w:rPr>
                <w:rFonts w:eastAsia="Times New Roman"/>
                <w:noProof/>
                <w:sz w:val="18"/>
                <w:szCs w:val="18"/>
              </w:rPr>
            </w:pPr>
            <w:r w:rsidRPr="00797162">
              <w:rPr>
                <w:noProof/>
                <w:sz w:val="18"/>
              </w:rPr>
              <w:t>2</w:t>
            </w:r>
          </w:p>
        </w:tc>
        <w:tc>
          <w:tcPr>
            <w:tcW w:w="3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CB1835" w14:textId="77777777" w:rsidR="00BF22EA" w:rsidRPr="00797162" w:rsidRDefault="00BF22EA" w:rsidP="00BE7565">
            <w:pPr>
              <w:spacing w:after="60"/>
              <w:rPr>
                <w:rFonts w:eastAsia="Times New Roman"/>
                <w:noProof/>
                <w:sz w:val="20"/>
                <w:szCs w:val="20"/>
              </w:rPr>
            </w:pPr>
            <w:r w:rsidRPr="00797162">
              <w:rPr>
                <w:noProof/>
                <w:sz w:val="20"/>
              </w:rPr>
              <w:t>04 05 99 02 – Varasema dekomissioneerimisprogrammi lõpuleviimine (enne 2028. aastat)</w:t>
            </w:r>
          </w:p>
        </w:tc>
        <w:tc>
          <w:tcPr>
            <w:tcW w:w="20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6CA4E3" w14:textId="77777777" w:rsidR="00BF22EA" w:rsidRPr="00797162" w:rsidRDefault="00BF22EA" w:rsidP="00BE7565">
            <w:pPr>
              <w:jc w:val="center"/>
              <w:rPr>
                <w:rFonts w:eastAsia="Times New Roman"/>
                <w:noProof/>
                <w:sz w:val="18"/>
                <w:szCs w:val="18"/>
              </w:rPr>
            </w:pPr>
            <w:r w:rsidRPr="00797162">
              <w:rPr>
                <w:noProof/>
                <w:sz w:val="18"/>
              </w:rPr>
              <w:t>Liigendatud</w:t>
            </w:r>
          </w:p>
        </w:tc>
      </w:tr>
    </w:tbl>
    <w:p w14:paraId="01CA7F27" w14:textId="77777777" w:rsidR="00BF22EA" w:rsidRPr="00797162" w:rsidRDefault="00BF22EA" w:rsidP="00BF22EA">
      <w:pPr>
        <w:ind w:left="850"/>
        <w:rPr>
          <w:i/>
          <w:iCs/>
          <w:noProof/>
          <w:sz w:val="20"/>
          <w:szCs w:val="20"/>
        </w:rPr>
      </w:pPr>
    </w:p>
    <w:p w14:paraId="507CAA72" w14:textId="77777777" w:rsidR="00BF22EA" w:rsidRPr="00797162" w:rsidRDefault="00BF22EA" w:rsidP="00BF22EA">
      <w:pPr>
        <w:ind w:left="850"/>
        <w:rPr>
          <w:i/>
          <w:noProof/>
          <w:sz w:val="20"/>
        </w:rPr>
      </w:pPr>
    </w:p>
    <w:p w14:paraId="59A3C8DB" w14:textId="77777777" w:rsidR="00BF22EA" w:rsidRPr="00797162" w:rsidRDefault="00BF22EA" w:rsidP="00BF22EA">
      <w:pPr>
        <w:rPr>
          <w:noProof/>
        </w:rPr>
      </w:pPr>
    </w:p>
    <w:p w14:paraId="7B5D6A8C" w14:textId="77777777" w:rsidR="00BF22EA" w:rsidRPr="00797162" w:rsidRDefault="00BF22EA" w:rsidP="00BF22EA">
      <w:pPr>
        <w:rPr>
          <w:noProof/>
        </w:rPr>
      </w:pPr>
    </w:p>
    <w:p w14:paraId="49CD79C4" w14:textId="77777777" w:rsidR="00BF22EA" w:rsidRPr="00797162" w:rsidRDefault="00BF22EA" w:rsidP="00BF22EA">
      <w:pPr>
        <w:rPr>
          <w:noProof/>
        </w:rPr>
      </w:pPr>
    </w:p>
    <w:p w14:paraId="6AC5263F" w14:textId="77777777" w:rsidR="00BF22EA" w:rsidRPr="00797162" w:rsidRDefault="00BF22EA" w:rsidP="00BF22EA">
      <w:pPr>
        <w:rPr>
          <w:noProof/>
        </w:rPr>
      </w:pPr>
    </w:p>
    <w:p w14:paraId="28593B1F" w14:textId="77777777" w:rsidR="00BF22EA" w:rsidRPr="00797162" w:rsidRDefault="00BF22EA" w:rsidP="00BF22EA">
      <w:pPr>
        <w:rPr>
          <w:noProof/>
        </w:rPr>
      </w:pPr>
    </w:p>
    <w:p w14:paraId="023DCE09" w14:textId="77777777" w:rsidR="00BF22EA" w:rsidRPr="00797162" w:rsidRDefault="00BF22EA" w:rsidP="00BF22EA">
      <w:pPr>
        <w:rPr>
          <w:noProof/>
        </w:rPr>
        <w:sectPr w:rsidR="00BF22EA" w:rsidRPr="00797162" w:rsidSect="00B662D8">
          <w:pgSz w:w="11907" w:h="16840" w:code="1"/>
          <w:pgMar w:top="1134" w:right="1418" w:bottom="1134" w:left="1418" w:header="709" w:footer="709" w:gutter="0"/>
          <w:cols w:space="708"/>
          <w:docGrid w:linePitch="360"/>
        </w:sectPr>
      </w:pPr>
    </w:p>
    <w:p w14:paraId="1815E479" w14:textId="77777777" w:rsidR="00BF22EA" w:rsidRPr="00797162" w:rsidRDefault="00BF22EA" w:rsidP="00BF22EA">
      <w:pPr>
        <w:keepNext/>
        <w:tabs>
          <w:tab w:val="left" w:pos="850"/>
        </w:tabs>
        <w:ind w:left="850" w:hanging="850"/>
        <w:outlineLvl w:val="1"/>
        <w:rPr>
          <w:b/>
          <w:noProof/>
        </w:rPr>
      </w:pPr>
      <w:bookmarkStart w:id="148" w:name="_Toc514938052"/>
      <w:bookmarkStart w:id="149" w:name="_Toc520485051"/>
      <w:bookmarkStart w:id="150" w:name="_Toc160804593"/>
      <w:bookmarkStart w:id="151" w:name="_Toc167220285"/>
      <w:bookmarkStart w:id="152" w:name="_Toc177549018"/>
      <w:r w:rsidRPr="00797162">
        <w:rPr>
          <w:b/>
          <w:noProof/>
        </w:rPr>
        <w:t>3.2.</w:t>
      </w:r>
      <w:r w:rsidRPr="00797162">
        <w:rPr>
          <w:noProof/>
        </w:rPr>
        <w:tab/>
      </w:r>
      <w:r w:rsidRPr="00797162">
        <w:rPr>
          <w:b/>
          <w:noProof/>
        </w:rPr>
        <w:t>Ettepaneku hinnanguline finantsmõju assigneeringutele</w:t>
      </w:r>
      <w:bookmarkEnd w:id="148"/>
      <w:bookmarkEnd w:id="149"/>
      <w:bookmarkEnd w:id="150"/>
      <w:bookmarkEnd w:id="151"/>
      <w:bookmarkEnd w:id="152"/>
      <w:r w:rsidRPr="00797162">
        <w:rPr>
          <w:b/>
          <w:noProof/>
        </w:rPr>
        <w:t xml:space="preserve"> </w:t>
      </w:r>
    </w:p>
    <w:p w14:paraId="1AEAA817" w14:textId="77777777" w:rsidR="00BF22EA" w:rsidRPr="00797162" w:rsidRDefault="00BF22EA" w:rsidP="00BF22EA">
      <w:pPr>
        <w:keepNext/>
        <w:tabs>
          <w:tab w:val="left" w:pos="850"/>
        </w:tabs>
        <w:ind w:left="850" w:hanging="850"/>
        <w:outlineLvl w:val="2"/>
        <w:rPr>
          <w:i/>
          <w:noProof/>
        </w:rPr>
      </w:pPr>
      <w:bookmarkStart w:id="153" w:name="_Toc514938053"/>
      <w:bookmarkStart w:id="154" w:name="_Toc520485052"/>
      <w:bookmarkStart w:id="155" w:name="_Toc160804594"/>
      <w:bookmarkStart w:id="156" w:name="_Toc167220286"/>
      <w:bookmarkStart w:id="157" w:name="_Toc177549019"/>
      <w:r w:rsidRPr="00797162">
        <w:rPr>
          <w:i/>
          <w:noProof/>
        </w:rPr>
        <w:t>3.2.1.</w:t>
      </w:r>
      <w:r w:rsidRPr="00797162">
        <w:rPr>
          <w:noProof/>
        </w:rPr>
        <w:tab/>
      </w:r>
      <w:r w:rsidRPr="00797162">
        <w:rPr>
          <w:i/>
          <w:noProof/>
        </w:rPr>
        <w:t>Hinnanguline mõju tegevusassigneeringutele – ülevaade</w:t>
      </w:r>
      <w:bookmarkEnd w:id="153"/>
      <w:bookmarkEnd w:id="154"/>
      <w:bookmarkEnd w:id="155"/>
      <w:bookmarkEnd w:id="156"/>
      <w:bookmarkEnd w:id="157"/>
      <w:r w:rsidRPr="00797162">
        <w:rPr>
          <w:i/>
          <w:noProof/>
        </w:rPr>
        <w:t xml:space="preserve"> </w:t>
      </w:r>
    </w:p>
    <w:p w14:paraId="373F3254" w14:textId="77777777" w:rsidR="00BF22EA" w:rsidRPr="00797162" w:rsidRDefault="00BF22EA" w:rsidP="00337493">
      <w:pPr>
        <w:pStyle w:val="ListDash1"/>
        <w:rPr>
          <w:noProof/>
        </w:rPr>
      </w:pPr>
      <w:r w:rsidRPr="00797162">
        <w:rPr>
          <w:rFonts w:ascii="Wingdings" w:hAnsi="Wingdings"/>
          <w:noProof/>
        </w:rPr>
        <w:t></w:t>
      </w:r>
      <w:r w:rsidRPr="00797162">
        <w:rPr>
          <w:noProof/>
        </w:rPr>
        <w:tab/>
        <w:t xml:space="preserve">Ettepanek/algatus ei nõua tegevusassigneeringute kasutamist </w:t>
      </w:r>
    </w:p>
    <w:p w14:paraId="0E7A8E4B" w14:textId="77777777" w:rsidR="00BF22EA" w:rsidRPr="00797162" w:rsidRDefault="00BF22EA" w:rsidP="00337493">
      <w:pPr>
        <w:pStyle w:val="ListDash1"/>
        <w:rPr>
          <w:noProof/>
        </w:rPr>
      </w:pPr>
      <w:r w:rsidRPr="00797162">
        <w:rPr>
          <w:rFonts w:ascii="Wingdings" w:hAnsi="Wingdings"/>
          <w:noProof/>
        </w:rPr>
        <w:t></w:t>
      </w:r>
      <w:r w:rsidRPr="00797162">
        <w:rPr>
          <w:noProof/>
        </w:rPr>
        <w:tab/>
        <w:t>Ettepanek/algatus nõuab tegevusassigneeringute kasutamist, mis toimub järgmiselt:</w:t>
      </w:r>
    </w:p>
    <w:p w14:paraId="0EB19B8E" w14:textId="77777777" w:rsidR="00BF22EA" w:rsidRPr="00797162" w:rsidRDefault="00BF22EA" w:rsidP="00BF22EA">
      <w:pPr>
        <w:keepNext/>
        <w:tabs>
          <w:tab w:val="left" w:pos="850"/>
        </w:tabs>
        <w:ind w:left="850" w:hanging="850"/>
        <w:outlineLvl w:val="2"/>
        <w:rPr>
          <w:i/>
          <w:noProof/>
        </w:rPr>
      </w:pPr>
      <w:bookmarkStart w:id="158" w:name="_Toc160804595"/>
      <w:bookmarkStart w:id="159" w:name="_Toc167220287"/>
      <w:bookmarkStart w:id="160" w:name="_Toc177549020"/>
      <w:r w:rsidRPr="00797162">
        <w:rPr>
          <w:i/>
          <w:noProof/>
        </w:rPr>
        <w:t>3.2.1,1.</w:t>
      </w:r>
      <w:r w:rsidRPr="00797162">
        <w:rPr>
          <w:noProof/>
        </w:rPr>
        <w:tab/>
      </w:r>
      <w:r w:rsidRPr="00797162">
        <w:rPr>
          <w:i/>
          <w:noProof/>
        </w:rPr>
        <w:t>Heakskiidetud eelarvest saadavad assigneeringud</w:t>
      </w:r>
      <w:bookmarkEnd w:id="158"/>
      <w:bookmarkEnd w:id="159"/>
      <w:bookmarkEnd w:id="160"/>
    </w:p>
    <w:p w14:paraId="4EA954ED" w14:textId="77777777" w:rsidR="00BF22EA" w:rsidRPr="00797162" w:rsidRDefault="00BF22EA" w:rsidP="00BF22EA">
      <w:pPr>
        <w:ind w:left="850"/>
        <w:rPr>
          <w:noProof/>
        </w:rPr>
      </w:pPr>
    </w:p>
    <w:p w14:paraId="512BE6BB" w14:textId="77777777" w:rsidR="00BF22EA" w:rsidRPr="00797162" w:rsidRDefault="00BF22EA" w:rsidP="00BF22EA">
      <w:pPr>
        <w:jc w:val="right"/>
        <w:rPr>
          <w:noProof/>
          <w:sz w:val="18"/>
        </w:rPr>
      </w:pPr>
      <w:r w:rsidRPr="00797162">
        <w:rPr>
          <w:noProof/>
          <w:sz w:val="18"/>
        </w:rPr>
        <w:t>miljonites eurodes (kolm kohta pärast koma)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BF22EA" w:rsidRPr="00797162" w14:paraId="6B452B40" w14:textId="77777777" w:rsidTr="00BE7565">
        <w:tc>
          <w:tcPr>
            <w:tcW w:w="1739" w:type="pct"/>
            <w:vAlign w:val="center"/>
          </w:tcPr>
          <w:p w14:paraId="1C3F7D96" w14:textId="77777777" w:rsidR="00BF22EA" w:rsidRPr="00797162" w:rsidRDefault="00BF22EA" w:rsidP="00BE7565">
            <w:pPr>
              <w:spacing w:before="60" w:after="60"/>
              <w:jc w:val="center"/>
              <w:rPr>
                <w:b/>
                <w:noProof/>
              </w:rPr>
            </w:pPr>
            <w:r w:rsidRPr="00797162">
              <w:rPr>
                <w:b/>
                <w:noProof/>
                <w:sz w:val="22"/>
              </w:rPr>
              <w:t xml:space="preserve">Mitmeaastase finantsraamistiku rubriik </w:t>
            </w:r>
          </w:p>
        </w:tc>
        <w:tc>
          <w:tcPr>
            <w:tcW w:w="396" w:type="pct"/>
            <w:vAlign w:val="center"/>
          </w:tcPr>
          <w:p w14:paraId="4AC19B50" w14:textId="77777777" w:rsidR="00BF22EA" w:rsidRPr="00797162" w:rsidRDefault="00BF22EA" w:rsidP="00BE7565">
            <w:pPr>
              <w:spacing w:before="60" w:after="60"/>
              <w:jc w:val="center"/>
              <w:rPr>
                <w:noProof/>
              </w:rPr>
            </w:pPr>
            <w:r w:rsidRPr="00797162">
              <w:rPr>
                <w:noProof/>
                <w:sz w:val="22"/>
              </w:rPr>
              <w:t>Nr</w:t>
            </w:r>
          </w:p>
        </w:tc>
        <w:tc>
          <w:tcPr>
            <w:tcW w:w="2865" w:type="pct"/>
            <w:vAlign w:val="center"/>
          </w:tcPr>
          <w:p w14:paraId="00703245" w14:textId="77777777" w:rsidR="00BF22EA" w:rsidRPr="00797162" w:rsidRDefault="00BF22EA" w:rsidP="00BE7565">
            <w:pPr>
              <w:spacing w:before="60" w:after="60"/>
              <w:rPr>
                <w:noProof/>
              </w:rPr>
            </w:pPr>
            <w:r w:rsidRPr="00797162">
              <w:rPr>
                <w:noProof/>
              </w:rPr>
              <w:t>2</w:t>
            </w:r>
          </w:p>
        </w:tc>
      </w:tr>
    </w:tbl>
    <w:p w14:paraId="57991A34" w14:textId="77777777" w:rsidR="00BF22EA" w:rsidRPr="00797162" w:rsidRDefault="00BF22EA" w:rsidP="00BF22EA">
      <w:pPr>
        <w:rPr>
          <w:noProof/>
          <w:sz w:val="16"/>
        </w:rPr>
      </w:pPr>
    </w:p>
    <w:tbl>
      <w:tblPr>
        <w:tblW w:w="13598" w:type="dxa"/>
        <w:tblLayout w:type="fixed"/>
        <w:tblLook w:val="04A0" w:firstRow="1" w:lastRow="0" w:firstColumn="1" w:lastColumn="0" w:noHBand="0" w:noVBand="1"/>
      </w:tblPr>
      <w:tblGrid>
        <w:gridCol w:w="3510"/>
        <w:gridCol w:w="1365"/>
        <w:gridCol w:w="945"/>
        <w:gridCol w:w="974"/>
        <w:gridCol w:w="6"/>
        <w:gridCol w:w="845"/>
        <w:gridCol w:w="850"/>
        <w:gridCol w:w="851"/>
        <w:gridCol w:w="992"/>
        <w:gridCol w:w="851"/>
        <w:gridCol w:w="850"/>
        <w:gridCol w:w="1559"/>
      </w:tblGrid>
      <w:tr w:rsidR="00BF22EA" w:rsidRPr="00797162" w14:paraId="584681AE" w14:textId="77777777" w:rsidTr="00BE7565">
        <w:trPr>
          <w:trHeight w:val="300"/>
        </w:trPr>
        <w:tc>
          <w:tcPr>
            <w:tcW w:w="5820"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8F2E1C" w14:textId="77777777" w:rsidR="00BF22EA" w:rsidRPr="00797162" w:rsidRDefault="00BF22EA" w:rsidP="00BE7565">
            <w:pPr>
              <w:rPr>
                <w:noProof/>
              </w:rPr>
            </w:pPr>
          </w:p>
        </w:tc>
        <w:tc>
          <w:tcPr>
            <w:tcW w:w="974" w:type="dxa"/>
            <w:tcBorders>
              <w:top w:val="single" w:sz="8" w:space="0" w:color="auto"/>
              <w:left w:val="nil"/>
              <w:bottom w:val="single" w:sz="8" w:space="0" w:color="auto"/>
              <w:right w:val="single" w:sz="8" w:space="0" w:color="auto"/>
            </w:tcBorders>
            <w:tcMar>
              <w:left w:w="108" w:type="dxa"/>
              <w:right w:w="108" w:type="dxa"/>
            </w:tcMar>
            <w:vAlign w:val="center"/>
          </w:tcPr>
          <w:p w14:paraId="3AE8AD42" w14:textId="77777777" w:rsidR="00BF22EA" w:rsidRPr="00797162" w:rsidRDefault="00BF22EA" w:rsidP="00BE7565">
            <w:pPr>
              <w:spacing w:before="0" w:after="0"/>
              <w:jc w:val="center"/>
              <w:rPr>
                <w:rFonts w:eastAsia="Times New Roman"/>
                <w:b/>
                <w:bCs/>
                <w:noProof/>
                <w:sz w:val="16"/>
                <w:szCs w:val="16"/>
              </w:rPr>
            </w:pPr>
            <w:r w:rsidRPr="00797162">
              <w:rPr>
                <w:b/>
                <w:noProof/>
                <w:sz w:val="16"/>
              </w:rPr>
              <w:t>2028</w:t>
            </w:r>
          </w:p>
        </w:tc>
        <w:tc>
          <w:tcPr>
            <w:tcW w:w="851"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4B8297" w14:textId="77777777" w:rsidR="00BF22EA" w:rsidRPr="00797162" w:rsidRDefault="00BF22EA" w:rsidP="00BE7565">
            <w:pPr>
              <w:spacing w:before="0" w:after="0"/>
              <w:jc w:val="center"/>
              <w:rPr>
                <w:rFonts w:eastAsia="Times New Roman"/>
                <w:b/>
                <w:bCs/>
                <w:noProof/>
                <w:sz w:val="16"/>
                <w:szCs w:val="16"/>
              </w:rPr>
            </w:pPr>
            <w:r w:rsidRPr="00797162">
              <w:rPr>
                <w:b/>
                <w:noProof/>
                <w:sz w:val="16"/>
              </w:rPr>
              <w:t>2029</w:t>
            </w:r>
          </w:p>
        </w:tc>
        <w:tc>
          <w:tcPr>
            <w:tcW w:w="850" w:type="dxa"/>
            <w:tcBorders>
              <w:top w:val="single" w:sz="8" w:space="0" w:color="auto"/>
              <w:left w:val="nil"/>
              <w:bottom w:val="single" w:sz="8" w:space="0" w:color="auto"/>
              <w:right w:val="single" w:sz="8" w:space="0" w:color="auto"/>
            </w:tcBorders>
            <w:tcMar>
              <w:left w:w="108" w:type="dxa"/>
              <w:right w:w="108" w:type="dxa"/>
            </w:tcMar>
            <w:vAlign w:val="center"/>
          </w:tcPr>
          <w:p w14:paraId="6ADD8483" w14:textId="77777777" w:rsidR="00BF22EA" w:rsidRPr="00797162" w:rsidRDefault="00BF22EA" w:rsidP="00BE7565">
            <w:pPr>
              <w:spacing w:before="0" w:after="0"/>
              <w:ind w:left="-29"/>
              <w:jc w:val="center"/>
              <w:rPr>
                <w:rFonts w:eastAsia="Times New Roman"/>
                <w:b/>
                <w:bCs/>
                <w:noProof/>
                <w:sz w:val="16"/>
                <w:szCs w:val="16"/>
              </w:rPr>
            </w:pPr>
            <w:r w:rsidRPr="00797162">
              <w:rPr>
                <w:b/>
                <w:noProof/>
                <w:sz w:val="16"/>
              </w:rPr>
              <w:t>2030</w:t>
            </w:r>
          </w:p>
        </w:tc>
        <w:tc>
          <w:tcPr>
            <w:tcW w:w="851" w:type="dxa"/>
            <w:tcBorders>
              <w:top w:val="single" w:sz="8" w:space="0" w:color="auto"/>
              <w:left w:val="nil"/>
              <w:bottom w:val="single" w:sz="8" w:space="0" w:color="auto"/>
              <w:right w:val="single" w:sz="8" w:space="0" w:color="auto"/>
            </w:tcBorders>
            <w:tcMar>
              <w:left w:w="108" w:type="dxa"/>
              <w:right w:w="108" w:type="dxa"/>
            </w:tcMar>
            <w:vAlign w:val="center"/>
          </w:tcPr>
          <w:p w14:paraId="4F31957E" w14:textId="77777777" w:rsidR="00BF22EA" w:rsidRPr="00797162" w:rsidRDefault="00BF22EA" w:rsidP="00BE7565">
            <w:pPr>
              <w:spacing w:before="0" w:after="0"/>
              <w:jc w:val="center"/>
              <w:rPr>
                <w:rFonts w:eastAsia="Times New Roman"/>
                <w:b/>
                <w:bCs/>
                <w:noProof/>
                <w:sz w:val="16"/>
                <w:szCs w:val="16"/>
              </w:rPr>
            </w:pPr>
            <w:r w:rsidRPr="00797162">
              <w:rPr>
                <w:b/>
                <w:noProof/>
                <w:sz w:val="16"/>
              </w:rPr>
              <w:t>2031</w:t>
            </w:r>
          </w:p>
        </w:tc>
        <w:tc>
          <w:tcPr>
            <w:tcW w:w="992" w:type="dxa"/>
            <w:tcBorders>
              <w:top w:val="single" w:sz="8" w:space="0" w:color="auto"/>
              <w:left w:val="nil"/>
              <w:bottom w:val="single" w:sz="8" w:space="0" w:color="auto"/>
              <w:right w:val="single" w:sz="8" w:space="0" w:color="auto"/>
            </w:tcBorders>
            <w:tcMar>
              <w:left w:w="108" w:type="dxa"/>
              <w:right w:w="108" w:type="dxa"/>
            </w:tcMar>
            <w:vAlign w:val="center"/>
          </w:tcPr>
          <w:p w14:paraId="3C40DF03" w14:textId="77777777" w:rsidR="00BF22EA" w:rsidRPr="00797162" w:rsidRDefault="00BF22EA" w:rsidP="00BE7565">
            <w:pPr>
              <w:spacing w:before="0" w:after="0"/>
              <w:jc w:val="center"/>
              <w:rPr>
                <w:rFonts w:eastAsia="Times New Roman"/>
                <w:b/>
                <w:bCs/>
                <w:noProof/>
                <w:sz w:val="16"/>
                <w:szCs w:val="16"/>
              </w:rPr>
            </w:pPr>
            <w:r w:rsidRPr="00797162">
              <w:rPr>
                <w:b/>
                <w:noProof/>
                <w:sz w:val="16"/>
              </w:rPr>
              <w:t>2032</w:t>
            </w:r>
          </w:p>
        </w:tc>
        <w:tc>
          <w:tcPr>
            <w:tcW w:w="851" w:type="dxa"/>
            <w:tcBorders>
              <w:top w:val="single" w:sz="8" w:space="0" w:color="auto"/>
              <w:left w:val="nil"/>
              <w:bottom w:val="single" w:sz="8" w:space="0" w:color="auto"/>
              <w:right w:val="single" w:sz="8" w:space="0" w:color="auto"/>
            </w:tcBorders>
            <w:tcMar>
              <w:left w:w="108" w:type="dxa"/>
              <w:right w:w="108" w:type="dxa"/>
            </w:tcMar>
            <w:vAlign w:val="center"/>
          </w:tcPr>
          <w:p w14:paraId="1FB84092" w14:textId="77777777" w:rsidR="00BF22EA" w:rsidRPr="00797162" w:rsidRDefault="00BF22EA" w:rsidP="00BE7565">
            <w:pPr>
              <w:spacing w:before="0" w:after="0"/>
              <w:jc w:val="center"/>
              <w:rPr>
                <w:rFonts w:eastAsia="Times New Roman"/>
                <w:b/>
                <w:bCs/>
                <w:noProof/>
                <w:sz w:val="16"/>
                <w:szCs w:val="16"/>
              </w:rPr>
            </w:pPr>
            <w:r w:rsidRPr="00797162">
              <w:rPr>
                <w:b/>
                <w:noProof/>
                <w:sz w:val="16"/>
              </w:rPr>
              <w:t>2033</w:t>
            </w:r>
          </w:p>
        </w:tc>
        <w:tc>
          <w:tcPr>
            <w:tcW w:w="850" w:type="dxa"/>
            <w:tcBorders>
              <w:top w:val="single" w:sz="8" w:space="0" w:color="auto"/>
              <w:left w:val="nil"/>
              <w:bottom w:val="single" w:sz="8" w:space="0" w:color="auto"/>
              <w:right w:val="single" w:sz="8" w:space="0" w:color="auto"/>
            </w:tcBorders>
            <w:tcMar>
              <w:left w:w="108" w:type="dxa"/>
              <w:right w:w="108" w:type="dxa"/>
            </w:tcMar>
            <w:vAlign w:val="center"/>
          </w:tcPr>
          <w:p w14:paraId="7A91E9A4" w14:textId="77777777" w:rsidR="00BF22EA" w:rsidRPr="00797162" w:rsidRDefault="00BF22EA" w:rsidP="00BE7565">
            <w:pPr>
              <w:spacing w:before="0" w:after="0"/>
              <w:jc w:val="center"/>
              <w:rPr>
                <w:rFonts w:eastAsia="Times New Roman"/>
                <w:b/>
                <w:bCs/>
                <w:noProof/>
                <w:sz w:val="16"/>
                <w:szCs w:val="16"/>
              </w:rPr>
            </w:pPr>
            <w:r w:rsidRPr="00797162">
              <w:rPr>
                <w:b/>
                <w:noProof/>
                <w:sz w:val="16"/>
              </w:rPr>
              <w:t>2034</w:t>
            </w:r>
          </w:p>
        </w:tc>
        <w:tc>
          <w:tcPr>
            <w:tcW w:w="1559" w:type="dxa"/>
            <w:tcBorders>
              <w:top w:val="single" w:sz="8" w:space="0" w:color="auto"/>
              <w:left w:val="nil"/>
              <w:bottom w:val="single" w:sz="8" w:space="0" w:color="auto"/>
              <w:right w:val="single" w:sz="8" w:space="0" w:color="auto"/>
            </w:tcBorders>
            <w:tcMar>
              <w:left w:w="108" w:type="dxa"/>
              <w:right w:w="108" w:type="dxa"/>
            </w:tcMar>
            <w:vAlign w:val="center"/>
          </w:tcPr>
          <w:p w14:paraId="4ABD3928" w14:textId="77777777" w:rsidR="00BF22EA" w:rsidRPr="00797162" w:rsidRDefault="00BF22EA" w:rsidP="00BE7565">
            <w:pPr>
              <w:spacing w:before="0" w:after="0"/>
              <w:jc w:val="center"/>
              <w:rPr>
                <w:rFonts w:eastAsia="Times New Roman"/>
                <w:b/>
                <w:bCs/>
                <w:noProof/>
                <w:sz w:val="18"/>
                <w:szCs w:val="18"/>
              </w:rPr>
            </w:pPr>
            <w:r w:rsidRPr="00797162">
              <w:rPr>
                <w:b/>
                <w:noProof/>
                <w:sz w:val="18"/>
              </w:rPr>
              <w:t>Mitmeaastane finantsraamistik 2028–2034 KOKKU</w:t>
            </w:r>
          </w:p>
        </w:tc>
      </w:tr>
      <w:tr w:rsidR="00BF22EA" w:rsidRPr="00797162" w14:paraId="5D912885" w14:textId="77777777" w:rsidTr="00BE7565">
        <w:trPr>
          <w:trHeight w:val="300"/>
        </w:trPr>
        <w:tc>
          <w:tcPr>
            <w:tcW w:w="13598" w:type="dxa"/>
            <w:gridSpan w:val="1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E9DB5C" w14:textId="77777777" w:rsidR="00BF22EA" w:rsidRPr="00797162" w:rsidRDefault="00BF22EA" w:rsidP="00BE7565">
            <w:pPr>
              <w:spacing w:before="0" w:after="0"/>
              <w:jc w:val="left"/>
              <w:rPr>
                <w:rFonts w:eastAsia="Times New Roman"/>
                <w:noProof/>
                <w:sz w:val="21"/>
                <w:szCs w:val="21"/>
              </w:rPr>
            </w:pPr>
            <w:r w:rsidRPr="00797162">
              <w:rPr>
                <w:noProof/>
                <w:sz w:val="21"/>
              </w:rPr>
              <w:t xml:space="preserve">Tegevusassigneeringud </w:t>
            </w:r>
          </w:p>
        </w:tc>
      </w:tr>
      <w:tr w:rsidR="00BF22EA" w:rsidRPr="00797162" w14:paraId="2D661F22" w14:textId="77777777" w:rsidTr="00BE7565">
        <w:trPr>
          <w:trHeight w:val="300"/>
        </w:trPr>
        <w:tc>
          <w:tcPr>
            <w:tcW w:w="3510"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CC56D3" w14:textId="77777777" w:rsidR="00BF22EA" w:rsidRPr="00797162" w:rsidRDefault="00BF22EA" w:rsidP="00BE7565">
            <w:pPr>
              <w:spacing w:before="0" w:after="0"/>
              <w:rPr>
                <w:rFonts w:ascii="Calibri" w:eastAsia="Calibri" w:hAnsi="Calibri" w:cs="Calibri"/>
                <w:noProof/>
                <w:sz w:val="20"/>
                <w:szCs w:val="20"/>
              </w:rPr>
            </w:pPr>
            <w:r w:rsidRPr="00797162">
              <w:rPr>
                <w:noProof/>
                <w:sz w:val="20"/>
              </w:rPr>
              <w:t>04 05 01 – Tuumaohutusalane rahvusvaheline koostöö</w:t>
            </w:r>
            <w:r w:rsidRPr="00797162">
              <w:rPr>
                <w:rFonts w:ascii="Calibri" w:hAnsi="Calibri"/>
                <w:noProof/>
                <w:sz w:val="20"/>
              </w:rPr>
              <w:t xml:space="preserve"> </w:t>
            </w:r>
          </w:p>
        </w:tc>
        <w:tc>
          <w:tcPr>
            <w:tcW w:w="1365" w:type="dxa"/>
            <w:tcBorders>
              <w:top w:val="nil"/>
              <w:left w:val="single" w:sz="8" w:space="0" w:color="auto"/>
              <w:bottom w:val="single" w:sz="8" w:space="0" w:color="auto"/>
              <w:right w:val="single" w:sz="8" w:space="0" w:color="auto"/>
            </w:tcBorders>
            <w:tcMar>
              <w:left w:w="108" w:type="dxa"/>
              <w:right w:w="108" w:type="dxa"/>
            </w:tcMar>
            <w:vAlign w:val="center"/>
          </w:tcPr>
          <w:p w14:paraId="4E2BB4B1" w14:textId="77777777" w:rsidR="00BF22EA" w:rsidRPr="00797162" w:rsidRDefault="00BF22EA" w:rsidP="00BE7565">
            <w:pPr>
              <w:spacing w:before="0" w:after="0"/>
              <w:rPr>
                <w:rFonts w:eastAsia="Times New Roman"/>
                <w:noProof/>
                <w:sz w:val="18"/>
                <w:szCs w:val="18"/>
              </w:rPr>
            </w:pPr>
            <w:r w:rsidRPr="00797162">
              <w:rPr>
                <w:noProof/>
                <w:sz w:val="18"/>
              </w:rPr>
              <w:t>Kulukohustused</w:t>
            </w:r>
          </w:p>
        </w:tc>
        <w:tc>
          <w:tcPr>
            <w:tcW w:w="945" w:type="dxa"/>
            <w:tcBorders>
              <w:top w:val="nil"/>
              <w:left w:val="single" w:sz="8" w:space="0" w:color="auto"/>
              <w:bottom w:val="single" w:sz="8" w:space="0" w:color="auto"/>
              <w:right w:val="single" w:sz="8" w:space="0" w:color="auto"/>
            </w:tcBorders>
            <w:tcMar>
              <w:left w:w="108" w:type="dxa"/>
              <w:right w:w="108" w:type="dxa"/>
            </w:tcMar>
            <w:vAlign w:val="center"/>
          </w:tcPr>
          <w:p w14:paraId="7DBFD48C" w14:textId="77777777" w:rsidR="00BF22EA" w:rsidRPr="00797162" w:rsidRDefault="00BF22EA" w:rsidP="00BE7565">
            <w:pPr>
              <w:spacing w:before="0" w:after="0"/>
              <w:jc w:val="center"/>
              <w:rPr>
                <w:rFonts w:eastAsia="Times New Roman"/>
                <w:noProof/>
                <w:sz w:val="14"/>
                <w:szCs w:val="14"/>
              </w:rPr>
            </w:pPr>
            <w:r w:rsidRPr="00797162">
              <w:rPr>
                <w:noProof/>
                <w:sz w:val="14"/>
              </w:rPr>
              <w:t>(1a)</w:t>
            </w:r>
          </w:p>
        </w:tc>
        <w:tc>
          <w:tcPr>
            <w:tcW w:w="980" w:type="dxa"/>
            <w:gridSpan w:val="2"/>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349EE6D" w14:textId="77777777" w:rsidR="00BF22EA" w:rsidRPr="00797162" w:rsidRDefault="00BF22EA" w:rsidP="00BE7565">
            <w:pPr>
              <w:spacing w:before="0" w:after="0"/>
              <w:jc w:val="right"/>
              <w:rPr>
                <w:rFonts w:eastAsia="Times New Roman"/>
                <w:noProof/>
                <w:color w:val="000000" w:themeColor="text1"/>
                <w:sz w:val="20"/>
                <w:szCs w:val="20"/>
              </w:rPr>
            </w:pPr>
            <w:r w:rsidRPr="00797162">
              <w:rPr>
                <w:noProof/>
                <w:color w:val="000000" w:themeColor="text1"/>
                <w:sz w:val="20"/>
              </w:rPr>
              <w:t>49</w:t>
            </w:r>
          </w:p>
        </w:tc>
        <w:tc>
          <w:tcPr>
            <w:tcW w:w="845" w:type="dxa"/>
            <w:tcBorders>
              <w:top w:val="nil"/>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064CB746" w14:textId="77777777" w:rsidR="00BF22EA" w:rsidRPr="00797162" w:rsidRDefault="00BF22EA" w:rsidP="00BE7565">
            <w:pPr>
              <w:spacing w:before="0" w:after="0"/>
              <w:jc w:val="right"/>
              <w:rPr>
                <w:rFonts w:eastAsia="Times New Roman"/>
                <w:noProof/>
                <w:color w:val="000000" w:themeColor="text1"/>
                <w:sz w:val="20"/>
                <w:szCs w:val="20"/>
              </w:rPr>
            </w:pPr>
            <w:r w:rsidRPr="00797162">
              <w:rPr>
                <w:noProof/>
                <w:color w:val="000000" w:themeColor="text1"/>
                <w:sz w:val="20"/>
              </w:rPr>
              <w:t>37</w:t>
            </w:r>
          </w:p>
        </w:tc>
        <w:tc>
          <w:tcPr>
            <w:tcW w:w="850" w:type="dxa"/>
            <w:tcBorders>
              <w:top w:val="nil"/>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481FAC94" w14:textId="77777777" w:rsidR="00BF22EA" w:rsidRPr="00797162" w:rsidRDefault="00BF22EA" w:rsidP="00BE7565">
            <w:pPr>
              <w:spacing w:before="0" w:after="0"/>
              <w:jc w:val="right"/>
              <w:rPr>
                <w:rFonts w:eastAsia="Times New Roman"/>
                <w:noProof/>
                <w:color w:val="000000" w:themeColor="text1"/>
                <w:sz w:val="20"/>
                <w:szCs w:val="20"/>
              </w:rPr>
            </w:pPr>
            <w:r w:rsidRPr="00797162">
              <w:rPr>
                <w:noProof/>
                <w:color w:val="000000" w:themeColor="text1"/>
                <w:sz w:val="20"/>
              </w:rPr>
              <w:t>44</w:t>
            </w:r>
          </w:p>
        </w:tc>
        <w:tc>
          <w:tcPr>
            <w:tcW w:w="851" w:type="dxa"/>
            <w:tcBorders>
              <w:top w:val="nil"/>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022C93CB" w14:textId="77777777" w:rsidR="00BF22EA" w:rsidRPr="00797162" w:rsidRDefault="00BF22EA" w:rsidP="00BE7565">
            <w:pPr>
              <w:spacing w:before="0" w:after="0"/>
              <w:jc w:val="right"/>
              <w:rPr>
                <w:rFonts w:eastAsia="Times New Roman"/>
                <w:noProof/>
                <w:color w:val="000000" w:themeColor="text1"/>
                <w:sz w:val="20"/>
                <w:szCs w:val="20"/>
              </w:rPr>
            </w:pPr>
            <w:r w:rsidRPr="00797162">
              <w:rPr>
                <w:noProof/>
                <w:color w:val="000000" w:themeColor="text1"/>
                <w:sz w:val="20"/>
              </w:rPr>
              <w:t>46</w:t>
            </w:r>
          </w:p>
        </w:tc>
        <w:tc>
          <w:tcPr>
            <w:tcW w:w="992" w:type="dxa"/>
            <w:tcBorders>
              <w:top w:val="nil"/>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032E870D" w14:textId="77777777" w:rsidR="00BF22EA" w:rsidRPr="00797162" w:rsidRDefault="00BF22EA" w:rsidP="00BE7565">
            <w:pPr>
              <w:spacing w:before="0" w:after="0"/>
              <w:jc w:val="right"/>
              <w:rPr>
                <w:rFonts w:eastAsia="Times New Roman"/>
                <w:noProof/>
                <w:color w:val="000000" w:themeColor="text1"/>
                <w:sz w:val="20"/>
                <w:szCs w:val="20"/>
              </w:rPr>
            </w:pPr>
            <w:r w:rsidRPr="00797162">
              <w:rPr>
                <w:noProof/>
                <w:color w:val="000000" w:themeColor="text1"/>
                <w:sz w:val="20"/>
              </w:rPr>
              <w:t>52</w:t>
            </w:r>
          </w:p>
        </w:tc>
        <w:tc>
          <w:tcPr>
            <w:tcW w:w="851" w:type="dxa"/>
            <w:tcBorders>
              <w:top w:val="nil"/>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2AFFA8F6" w14:textId="77777777" w:rsidR="00BF22EA" w:rsidRPr="00797162" w:rsidRDefault="00BF22EA" w:rsidP="00BE7565">
            <w:pPr>
              <w:spacing w:before="0" w:after="0"/>
              <w:jc w:val="right"/>
              <w:rPr>
                <w:rFonts w:eastAsia="Times New Roman"/>
                <w:noProof/>
                <w:color w:val="000000" w:themeColor="text1"/>
                <w:sz w:val="20"/>
                <w:szCs w:val="20"/>
              </w:rPr>
            </w:pPr>
            <w:r w:rsidRPr="00797162">
              <w:rPr>
                <w:noProof/>
                <w:color w:val="000000" w:themeColor="text1"/>
                <w:sz w:val="20"/>
              </w:rPr>
              <w:t>57</w:t>
            </w:r>
          </w:p>
        </w:tc>
        <w:tc>
          <w:tcPr>
            <w:tcW w:w="850" w:type="dxa"/>
            <w:tcBorders>
              <w:top w:val="nil"/>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2D01A86D" w14:textId="77777777" w:rsidR="00BF22EA" w:rsidRPr="00797162" w:rsidRDefault="00BF22EA" w:rsidP="00BE7565">
            <w:pPr>
              <w:spacing w:before="0" w:after="0"/>
              <w:jc w:val="right"/>
              <w:rPr>
                <w:rFonts w:eastAsia="Times New Roman"/>
                <w:noProof/>
                <w:color w:val="000000" w:themeColor="text1"/>
                <w:sz w:val="20"/>
                <w:szCs w:val="20"/>
              </w:rPr>
            </w:pPr>
            <w:r w:rsidRPr="00797162">
              <w:rPr>
                <w:noProof/>
                <w:color w:val="000000" w:themeColor="text1"/>
                <w:sz w:val="20"/>
              </w:rPr>
              <w:t>65</w:t>
            </w:r>
          </w:p>
        </w:tc>
        <w:tc>
          <w:tcPr>
            <w:tcW w:w="1559"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3A71F3C" w14:textId="77777777" w:rsidR="00BF22EA" w:rsidRPr="00797162" w:rsidRDefault="00BF22EA" w:rsidP="00BE7565">
            <w:pPr>
              <w:spacing w:before="0" w:after="0"/>
              <w:jc w:val="right"/>
              <w:rPr>
                <w:rFonts w:eastAsia="Times New Roman"/>
                <w:b/>
                <w:bCs/>
                <w:noProof/>
                <w:color w:val="000000" w:themeColor="text1"/>
                <w:sz w:val="20"/>
                <w:szCs w:val="20"/>
              </w:rPr>
            </w:pPr>
            <w:r w:rsidRPr="00797162">
              <w:rPr>
                <w:b/>
                <w:noProof/>
                <w:color w:val="000000" w:themeColor="text1"/>
                <w:sz w:val="20"/>
              </w:rPr>
              <w:t>350</w:t>
            </w:r>
          </w:p>
        </w:tc>
      </w:tr>
      <w:tr w:rsidR="00BF22EA" w:rsidRPr="00797162" w14:paraId="6B54B25A" w14:textId="77777777" w:rsidTr="00BE7565">
        <w:trPr>
          <w:trHeight w:val="300"/>
        </w:trPr>
        <w:tc>
          <w:tcPr>
            <w:tcW w:w="3510" w:type="dxa"/>
            <w:vMerge/>
            <w:tcBorders>
              <w:left w:val="single" w:sz="0" w:space="0" w:color="auto"/>
              <w:bottom w:val="single" w:sz="0" w:space="0" w:color="auto"/>
              <w:right w:val="single" w:sz="0" w:space="0" w:color="auto"/>
            </w:tcBorders>
            <w:vAlign w:val="center"/>
          </w:tcPr>
          <w:p w14:paraId="41C52921" w14:textId="77777777" w:rsidR="00BF22EA" w:rsidRPr="00797162" w:rsidRDefault="00BF22EA" w:rsidP="00BE7565">
            <w:pPr>
              <w:rPr>
                <w:noProof/>
              </w:rPr>
            </w:pPr>
          </w:p>
        </w:tc>
        <w:tc>
          <w:tcPr>
            <w:tcW w:w="1365" w:type="dxa"/>
            <w:tcBorders>
              <w:top w:val="single" w:sz="8" w:space="0" w:color="auto"/>
              <w:left w:val="nil"/>
              <w:bottom w:val="single" w:sz="8" w:space="0" w:color="auto"/>
              <w:right w:val="single" w:sz="8" w:space="0" w:color="auto"/>
            </w:tcBorders>
            <w:tcMar>
              <w:left w:w="108" w:type="dxa"/>
              <w:right w:w="108" w:type="dxa"/>
            </w:tcMar>
            <w:vAlign w:val="center"/>
          </w:tcPr>
          <w:p w14:paraId="43C79F4B" w14:textId="77777777" w:rsidR="00BF22EA" w:rsidRPr="00797162" w:rsidRDefault="00BF22EA" w:rsidP="00BE7565">
            <w:pPr>
              <w:spacing w:before="0" w:after="0"/>
              <w:rPr>
                <w:rFonts w:eastAsia="Times New Roman"/>
                <w:noProof/>
                <w:sz w:val="18"/>
                <w:szCs w:val="18"/>
              </w:rPr>
            </w:pPr>
            <w:r w:rsidRPr="00797162">
              <w:rPr>
                <w:noProof/>
                <w:sz w:val="18"/>
              </w:rPr>
              <w:t>Maksed</w:t>
            </w:r>
          </w:p>
        </w:tc>
        <w:tc>
          <w:tcPr>
            <w:tcW w:w="9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36E4F3" w14:textId="77777777" w:rsidR="00BF22EA" w:rsidRPr="00797162" w:rsidRDefault="00BF22EA" w:rsidP="00BE7565">
            <w:pPr>
              <w:spacing w:before="0" w:after="0"/>
              <w:jc w:val="center"/>
              <w:rPr>
                <w:rFonts w:eastAsia="Times New Roman"/>
                <w:noProof/>
                <w:sz w:val="14"/>
                <w:szCs w:val="14"/>
              </w:rPr>
            </w:pPr>
            <w:r w:rsidRPr="00797162">
              <w:rPr>
                <w:noProof/>
                <w:sz w:val="14"/>
              </w:rPr>
              <w:t>(2a)</w:t>
            </w:r>
          </w:p>
        </w:tc>
        <w:tc>
          <w:tcPr>
            <w:tcW w:w="980"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0FA1CE9" w14:textId="77777777" w:rsidR="00BF22EA" w:rsidRPr="00797162" w:rsidRDefault="00BF22EA" w:rsidP="00BE7565">
            <w:pPr>
              <w:spacing w:before="0" w:after="0"/>
              <w:jc w:val="right"/>
              <w:rPr>
                <w:rFonts w:eastAsia="Times New Roman"/>
                <w:noProof/>
                <w:color w:val="000000" w:themeColor="text1"/>
                <w:sz w:val="20"/>
                <w:szCs w:val="20"/>
              </w:rPr>
            </w:pPr>
            <w:r w:rsidRPr="00797162">
              <w:rPr>
                <w:noProof/>
                <w:color w:val="000000" w:themeColor="text1"/>
                <w:sz w:val="20"/>
              </w:rPr>
              <w:t>p.m.</w:t>
            </w:r>
          </w:p>
        </w:tc>
        <w:tc>
          <w:tcPr>
            <w:tcW w:w="845"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5634004B" w14:textId="77777777" w:rsidR="00BF22EA" w:rsidRPr="00797162" w:rsidRDefault="00BF22EA" w:rsidP="00BE7565">
            <w:pPr>
              <w:spacing w:before="0" w:after="0"/>
              <w:jc w:val="right"/>
              <w:rPr>
                <w:rFonts w:eastAsia="Times New Roman"/>
                <w:noProof/>
                <w:color w:val="000000" w:themeColor="text1"/>
                <w:sz w:val="20"/>
                <w:szCs w:val="20"/>
              </w:rPr>
            </w:pPr>
            <w:r w:rsidRPr="00797162">
              <w:rPr>
                <w:noProof/>
                <w:color w:val="000000" w:themeColor="text1"/>
                <w:sz w:val="20"/>
              </w:rPr>
              <w:t>p.m.</w:t>
            </w:r>
          </w:p>
        </w:tc>
        <w:tc>
          <w:tcPr>
            <w:tcW w:w="850"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23FC1B6F" w14:textId="77777777" w:rsidR="00BF22EA" w:rsidRPr="00797162" w:rsidRDefault="00BF22EA" w:rsidP="00BE7565">
            <w:pPr>
              <w:spacing w:before="0" w:after="0"/>
              <w:jc w:val="right"/>
              <w:rPr>
                <w:rFonts w:eastAsia="Times New Roman"/>
                <w:noProof/>
                <w:color w:val="000000" w:themeColor="text1"/>
                <w:sz w:val="20"/>
                <w:szCs w:val="20"/>
              </w:rPr>
            </w:pPr>
            <w:r w:rsidRPr="00797162">
              <w:rPr>
                <w:noProof/>
                <w:color w:val="000000" w:themeColor="text1"/>
                <w:sz w:val="20"/>
              </w:rPr>
              <w:t>p.m.</w:t>
            </w:r>
          </w:p>
        </w:tc>
        <w:tc>
          <w:tcPr>
            <w:tcW w:w="851"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19B5312A" w14:textId="77777777" w:rsidR="00BF22EA" w:rsidRPr="00797162" w:rsidRDefault="00BF22EA" w:rsidP="00BE7565">
            <w:pPr>
              <w:spacing w:before="0" w:after="0"/>
              <w:jc w:val="right"/>
              <w:rPr>
                <w:rFonts w:eastAsia="Times New Roman"/>
                <w:noProof/>
                <w:color w:val="000000" w:themeColor="text1"/>
                <w:sz w:val="20"/>
                <w:szCs w:val="20"/>
              </w:rPr>
            </w:pPr>
            <w:r w:rsidRPr="00797162">
              <w:rPr>
                <w:noProof/>
                <w:color w:val="000000" w:themeColor="text1"/>
                <w:sz w:val="20"/>
              </w:rPr>
              <w:t>p.m.</w:t>
            </w:r>
          </w:p>
        </w:tc>
        <w:tc>
          <w:tcPr>
            <w:tcW w:w="992"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572BE8CE" w14:textId="77777777" w:rsidR="00BF22EA" w:rsidRPr="00797162" w:rsidRDefault="00BF22EA" w:rsidP="00BE7565">
            <w:pPr>
              <w:spacing w:before="0" w:after="0"/>
              <w:jc w:val="right"/>
              <w:rPr>
                <w:rFonts w:eastAsia="Times New Roman"/>
                <w:noProof/>
                <w:color w:val="000000" w:themeColor="text1"/>
                <w:sz w:val="20"/>
                <w:szCs w:val="20"/>
              </w:rPr>
            </w:pPr>
            <w:r w:rsidRPr="00797162">
              <w:rPr>
                <w:noProof/>
                <w:color w:val="000000" w:themeColor="text1"/>
                <w:sz w:val="20"/>
              </w:rPr>
              <w:t>p.m.</w:t>
            </w:r>
          </w:p>
        </w:tc>
        <w:tc>
          <w:tcPr>
            <w:tcW w:w="851"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4A8F0ACA" w14:textId="77777777" w:rsidR="00BF22EA" w:rsidRPr="00797162" w:rsidRDefault="00BF22EA" w:rsidP="00BE7565">
            <w:pPr>
              <w:spacing w:before="0" w:after="0"/>
              <w:jc w:val="right"/>
              <w:rPr>
                <w:rFonts w:eastAsia="Times New Roman"/>
                <w:noProof/>
                <w:color w:val="000000" w:themeColor="text1"/>
                <w:sz w:val="20"/>
                <w:szCs w:val="20"/>
              </w:rPr>
            </w:pPr>
            <w:r w:rsidRPr="00797162">
              <w:rPr>
                <w:noProof/>
                <w:color w:val="000000" w:themeColor="text1"/>
                <w:sz w:val="20"/>
              </w:rPr>
              <w:t>p.m.</w:t>
            </w:r>
          </w:p>
        </w:tc>
        <w:tc>
          <w:tcPr>
            <w:tcW w:w="850"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6C9DCD0F" w14:textId="77777777" w:rsidR="00BF22EA" w:rsidRPr="00797162" w:rsidRDefault="00BF22EA" w:rsidP="00BE7565">
            <w:pPr>
              <w:spacing w:before="0" w:after="0"/>
              <w:jc w:val="right"/>
              <w:rPr>
                <w:rFonts w:eastAsia="Times New Roman"/>
                <w:noProof/>
                <w:color w:val="000000" w:themeColor="text1"/>
                <w:sz w:val="20"/>
                <w:szCs w:val="20"/>
              </w:rPr>
            </w:pPr>
            <w:r w:rsidRPr="00797162">
              <w:rPr>
                <w:noProof/>
                <w:color w:val="000000" w:themeColor="text1"/>
                <w:sz w:val="20"/>
              </w:rPr>
              <w:t>p.m.</w:t>
            </w:r>
          </w:p>
        </w:tc>
        <w:tc>
          <w:tcPr>
            <w:tcW w:w="155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CD0A4F1" w14:textId="77777777" w:rsidR="00BF22EA" w:rsidRPr="00797162" w:rsidRDefault="00BF22EA" w:rsidP="00BE7565">
            <w:pPr>
              <w:spacing w:before="0" w:after="0"/>
              <w:jc w:val="right"/>
              <w:rPr>
                <w:rFonts w:eastAsia="Times New Roman"/>
                <w:b/>
                <w:bCs/>
                <w:noProof/>
                <w:color w:val="000000" w:themeColor="text1"/>
                <w:sz w:val="20"/>
                <w:szCs w:val="20"/>
              </w:rPr>
            </w:pPr>
            <w:r w:rsidRPr="00797162">
              <w:rPr>
                <w:b/>
                <w:noProof/>
                <w:color w:val="000000" w:themeColor="text1"/>
                <w:sz w:val="20"/>
              </w:rPr>
              <w:t>p.m.</w:t>
            </w:r>
          </w:p>
        </w:tc>
      </w:tr>
      <w:tr w:rsidR="00BF22EA" w:rsidRPr="00797162" w14:paraId="6AD50A18" w14:textId="77777777" w:rsidTr="00BE7565">
        <w:trPr>
          <w:trHeight w:val="300"/>
        </w:trPr>
        <w:tc>
          <w:tcPr>
            <w:tcW w:w="3510" w:type="dxa"/>
            <w:vMerge w:val="restart"/>
            <w:tcBorders>
              <w:top w:val="nil"/>
              <w:left w:val="single" w:sz="8" w:space="0" w:color="auto"/>
              <w:bottom w:val="single" w:sz="8" w:space="0" w:color="auto"/>
              <w:right w:val="single" w:sz="8" w:space="0" w:color="auto"/>
            </w:tcBorders>
            <w:tcMar>
              <w:left w:w="108" w:type="dxa"/>
              <w:right w:w="108" w:type="dxa"/>
            </w:tcMar>
            <w:vAlign w:val="center"/>
          </w:tcPr>
          <w:p w14:paraId="2B4B09D4" w14:textId="77777777" w:rsidR="00BF22EA" w:rsidRPr="00797162" w:rsidRDefault="00BF22EA" w:rsidP="00BE7565">
            <w:pPr>
              <w:spacing w:before="0" w:after="0"/>
              <w:rPr>
                <w:rFonts w:ascii="Calibri" w:eastAsia="Calibri" w:hAnsi="Calibri" w:cs="Calibri"/>
                <w:noProof/>
                <w:sz w:val="20"/>
                <w:szCs w:val="20"/>
              </w:rPr>
            </w:pPr>
            <w:r w:rsidRPr="00797162">
              <w:rPr>
                <w:noProof/>
                <w:sz w:val="20"/>
              </w:rPr>
              <w:t>04 05 02 – Tuumaohutusalane rahvusvaheline koostöö – Ühise eraldisfondi eraldised</w:t>
            </w:r>
            <w:r w:rsidRPr="00797162">
              <w:rPr>
                <w:rFonts w:ascii="Calibri" w:hAnsi="Calibri"/>
                <w:noProof/>
                <w:sz w:val="20"/>
              </w:rPr>
              <w:t xml:space="preserve"> </w:t>
            </w:r>
          </w:p>
        </w:tc>
        <w:tc>
          <w:tcPr>
            <w:tcW w:w="13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C4C97A" w14:textId="77777777" w:rsidR="00BF22EA" w:rsidRPr="00797162" w:rsidRDefault="00BF22EA" w:rsidP="00BE7565">
            <w:pPr>
              <w:spacing w:before="0" w:after="0"/>
              <w:rPr>
                <w:rFonts w:eastAsia="Times New Roman"/>
                <w:noProof/>
                <w:sz w:val="18"/>
                <w:szCs w:val="18"/>
              </w:rPr>
            </w:pPr>
            <w:r w:rsidRPr="00797162">
              <w:rPr>
                <w:noProof/>
                <w:sz w:val="18"/>
              </w:rPr>
              <w:t>Kulukohustused</w:t>
            </w:r>
          </w:p>
        </w:tc>
        <w:tc>
          <w:tcPr>
            <w:tcW w:w="9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7247C1" w14:textId="77777777" w:rsidR="00BF22EA" w:rsidRPr="00797162" w:rsidRDefault="00BF22EA" w:rsidP="00BE7565">
            <w:pPr>
              <w:spacing w:before="0" w:after="0"/>
              <w:jc w:val="center"/>
              <w:rPr>
                <w:rFonts w:eastAsia="Times New Roman"/>
                <w:noProof/>
                <w:sz w:val="14"/>
                <w:szCs w:val="14"/>
              </w:rPr>
            </w:pPr>
            <w:r w:rsidRPr="00797162">
              <w:rPr>
                <w:noProof/>
                <w:sz w:val="14"/>
              </w:rPr>
              <w:t>(1b)</w:t>
            </w:r>
          </w:p>
        </w:tc>
        <w:tc>
          <w:tcPr>
            <w:tcW w:w="980"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B378976" w14:textId="77777777" w:rsidR="00BF22EA" w:rsidRPr="00797162" w:rsidRDefault="00BF22EA" w:rsidP="00BE7565">
            <w:pPr>
              <w:spacing w:before="0" w:after="0"/>
              <w:jc w:val="right"/>
              <w:rPr>
                <w:rFonts w:eastAsia="Times New Roman"/>
                <w:noProof/>
                <w:color w:val="000000" w:themeColor="text1"/>
                <w:sz w:val="20"/>
                <w:szCs w:val="20"/>
              </w:rPr>
            </w:pPr>
            <w:r w:rsidRPr="00797162">
              <w:rPr>
                <w:noProof/>
                <w:color w:val="000000" w:themeColor="text1"/>
                <w:sz w:val="20"/>
              </w:rPr>
              <w:t>p.m.</w:t>
            </w:r>
          </w:p>
        </w:tc>
        <w:tc>
          <w:tcPr>
            <w:tcW w:w="845"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0CA13F40" w14:textId="77777777" w:rsidR="00BF22EA" w:rsidRPr="00797162" w:rsidRDefault="00BF22EA" w:rsidP="00BE7565">
            <w:pPr>
              <w:spacing w:before="0" w:after="0"/>
              <w:jc w:val="right"/>
              <w:rPr>
                <w:rFonts w:eastAsia="Times New Roman"/>
                <w:noProof/>
                <w:color w:val="000000" w:themeColor="text1"/>
                <w:sz w:val="20"/>
                <w:szCs w:val="20"/>
              </w:rPr>
            </w:pPr>
            <w:r w:rsidRPr="00797162">
              <w:rPr>
                <w:noProof/>
                <w:color w:val="000000" w:themeColor="text1"/>
                <w:sz w:val="20"/>
              </w:rPr>
              <w:t>p.m.</w:t>
            </w:r>
          </w:p>
        </w:tc>
        <w:tc>
          <w:tcPr>
            <w:tcW w:w="850"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21042363" w14:textId="77777777" w:rsidR="00BF22EA" w:rsidRPr="00797162" w:rsidRDefault="00BF22EA" w:rsidP="00BE7565">
            <w:pPr>
              <w:spacing w:before="0" w:after="0"/>
              <w:jc w:val="right"/>
              <w:rPr>
                <w:rFonts w:eastAsia="Times New Roman"/>
                <w:noProof/>
                <w:color w:val="000000" w:themeColor="text1"/>
                <w:sz w:val="20"/>
                <w:szCs w:val="20"/>
              </w:rPr>
            </w:pPr>
            <w:r w:rsidRPr="00797162">
              <w:rPr>
                <w:noProof/>
                <w:color w:val="000000" w:themeColor="text1"/>
                <w:sz w:val="20"/>
              </w:rPr>
              <w:t>p.m.</w:t>
            </w:r>
          </w:p>
        </w:tc>
        <w:tc>
          <w:tcPr>
            <w:tcW w:w="851"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36CE5C17" w14:textId="77777777" w:rsidR="00BF22EA" w:rsidRPr="00797162" w:rsidRDefault="00BF22EA" w:rsidP="00BE7565">
            <w:pPr>
              <w:spacing w:before="0" w:after="0"/>
              <w:jc w:val="right"/>
              <w:rPr>
                <w:rFonts w:eastAsia="Times New Roman"/>
                <w:noProof/>
                <w:color w:val="000000" w:themeColor="text1"/>
                <w:sz w:val="20"/>
                <w:szCs w:val="20"/>
              </w:rPr>
            </w:pPr>
            <w:r w:rsidRPr="00797162">
              <w:rPr>
                <w:noProof/>
                <w:color w:val="000000" w:themeColor="text1"/>
                <w:sz w:val="20"/>
              </w:rPr>
              <w:t>p.m.</w:t>
            </w:r>
          </w:p>
        </w:tc>
        <w:tc>
          <w:tcPr>
            <w:tcW w:w="992"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25AFB101" w14:textId="77777777" w:rsidR="00BF22EA" w:rsidRPr="00797162" w:rsidRDefault="00BF22EA" w:rsidP="00BE7565">
            <w:pPr>
              <w:spacing w:before="0" w:after="0"/>
              <w:jc w:val="right"/>
              <w:rPr>
                <w:rFonts w:eastAsia="Times New Roman"/>
                <w:noProof/>
                <w:color w:val="000000" w:themeColor="text1"/>
                <w:sz w:val="20"/>
                <w:szCs w:val="20"/>
              </w:rPr>
            </w:pPr>
            <w:r w:rsidRPr="00797162">
              <w:rPr>
                <w:noProof/>
                <w:color w:val="000000" w:themeColor="text1"/>
                <w:sz w:val="20"/>
              </w:rPr>
              <w:t>p.m.</w:t>
            </w:r>
          </w:p>
        </w:tc>
        <w:tc>
          <w:tcPr>
            <w:tcW w:w="851"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60263440" w14:textId="77777777" w:rsidR="00BF22EA" w:rsidRPr="00797162" w:rsidRDefault="00BF22EA" w:rsidP="00BE7565">
            <w:pPr>
              <w:spacing w:before="0" w:after="0"/>
              <w:jc w:val="right"/>
              <w:rPr>
                <w:rFonts w:eastAsia="Times New Roman"/>
                <w:noProof/>
                <w:color w:val="000000" w:themeColor="text1"/>
                <w:sz w:val="20"/>
                <w:szCs w:val="20"/>
              </w:rPr>
            </w:pPr>
            <w:r w:rsidRPr="00797162">
              <w:rPr>
                <w:noProof/>
                <w:color w:val="000000" w:themeColor="text1"/>
                <w:sz w:val="20"/>
              </w:rPr>
              <w:t>p.m.</w:t>
            </w:r>
          </w:p>
        </w:tc>
        <w:tc>
          <w:tcPr>
            <w:tcW w:w="850"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34AF60A1" w14:textId="77777777" w:rsidR="00BF22EA" w:rsidRPr="00797162" w:rsidRDefault="00BF22EA" w:rsidP="00BE7565">
            <w:pPr>
              <w:spacing w:before="0" w:after="0"/>
              <w:jc w:val="right"/>
              <w:rPr>
                <w:rFonts w:eastAsia="Times New Roman"/>
                <w:noProof/>
                <w:color w:val="000000" w:themeColor="text1"/>
                <w:sz w:val="20"/>
                <w:szCs w:val="20"/>
              </w:rPr>
            </w:pPr>
            <w:r w:rsidRPr="00797162">
              <w:rPr>
                <w:noProof/>
                <w:color w:val="000000" w:themeColor="text1"/>
                <w:sz w:val="20"/>
              </w:rPr>
              <w:t>p.m.</w:t>
            </w:r>
          </w:p>
        </w:tc>
        <w:tc>
          <w:tcPr>
            <w:tcW w:w="155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71AD11C" w14:textId="77777777" w:rsidR="00BF22EA" w:rsidRPr="00797162" w:rsidRDefault="00BF22EA" w:rsidP="00BE7565">
            <w:pPr>
              <w:spacing w:before="0" w:after="0"/>
              <w:jc w:val="right"/>
              <w:rPr>
                <w:rFonts w:eastAsia="Times New Roman"/>
                <w:b/>
                <w:bCs/>
                <w:noProof/>
                <w:color w:val="000000" w:themeColor="text1"/>
                <w:sz w:val="20"/>
                <w:szCs w:val="20"/>
              </w:rPr>
            </w:pPr>
            <w:r w:rsidRPr="00797162">
              <w:rPr>
                <w:b/>
                <w:noProof/>
                <w:color w:val="000000" w:themeColor="text1"/>
                <w:sz w:val="20"/>
              </w:rPr>
              <w:t>p.m.</w:t>
            </w:r>
          </w:p>
        </w:tc>
      </w:tr>
      <w:tr w:rsidR="00BF22EA" w:rsidRPr="00797162" w14:paraId="3757021A" w14:textId="77777777" w:rsidTr="00BE7565">
        <w:trPr>
          <w:trHeight w:val="300"/>
        </w:trPr>
        <w:tc>
          <w:tcPr>
            <w:tcW w:w="3510" w:type="dxa"/>
            <w:vMerge/>
            <w:tcBorders>
              <w:left w:val="single" w:sz="0" w:space="0" w:color="auto"/>
              <w:bottom w:val="single" w:sz="0" w:space="0" w:color="auto"/>
              <w:right w:val="single" w:sz="0" w:space="0" w:color="auto"/>
            </w:tcBorders>
            <w:vAlign w:val="center"/>
          </w:tcPr>
          <w:p w14:paraId="09F11C47" w14:textId="77777777" w:rsidR="00BF22EA" w:rsidRPr="00797162" w:rsidRDefault="00BF22EA" w:rsidP="00BE7565">
            <w:pPr>
              <w:rPr>
                <w:noProof/>
              </w:rPr>
            </w:pPr>
          </w:p>
        </w:tc>
        <w:tc>
          <w:tcPr>
            <w:tcW w:w="1365" w:type="dxa"/>
            <w:tcBorders>
              <w:top w:val="single" w:sz="8" w:space="0" w:color="auto"/>
              <w:left w:val="nil"/>
              <w:bottom w:val="single" w:sz="8" w:space="0" w:color="auto"/>
              <w:right w:val="single" w:sz="8" w:space="0" w:color="auto"/>
            </w:tcBorders>
            <w:tcMar>
              <w:left w:w="108" w:type="dxa"/>
              <w:right w:w="108" w:type="dxa"/>
            </w:tcMar>
            <w:vAlign w:val="center"/>
          </w:tcPr>
          <w:p w14:paraId="01D69674" w14:textId="77777777" w:rsidR="00BF22EA" w:rsidRPr="00797162" w:rsidRDefault="00BF22EA" w:rsidP="00BE7565">
            <w:pPr>
              <w:spacing w:before="0" w:after="0"/>
              <w:rPr>
                <w:rFonts w:eastAsia="Times New Roman"/>
                <w:noProof/>
                <w:sz w:val="18"/>
                <w:szCs w:val="18"/>
              </w:rPr>
            </w:pPr>
            <w:r w:rsidRPr="00797162">
              <w:rPr>
                <w:noProof/>
                <w:sz w:val="18"/>
              </w:rPr>
              <w:t>Maksed</w:t>
            </w:r>
          </w:p>
        </w:tc>
        <w:tc>
          <w:tcPr>
            <w:tcW w:w="9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569EA2" w14:textId="77777777" w:rsidR="00BF22EA" w:rsidRPr="00797162" w:rsidRDefault="00BF22EA" w:rsidP="00BE7565">
            <w:pPr>
              <w:spacing w:before="0" w:after="0"/>
              <w:jc w:val="center"/>
              <w:rPr>
                <w:rFonts w:eastAsia="Times New Roman"/>
                <w:noProof/>
                <w:sz w:val="14"/>
                <w:szCs w:val="14"/>
              </w:rPr>
            </w:pPr>
            <w:r w:rsidRPr="00797162">
              <w:rPr>
                <w:noProof/>
                <w:sz w:val="14"/>
              </w:rPr>
              <w:t>(2b)</w:t>
            </w:r>
          </w:p>
        </w:tc>
        <w:tc>
          <w:tcPr>
            <w:tcW w:w="980"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6107310" w14:textId="77777777" w:rsidR="00BF22EA" w:rsidRPr="00797162" w:rsidRDefault="00BF22EA" w:rsidP="00BE7565">
            <w:pPr>
              <w:spacing w:before="0" w:after="0"/>
              <w:jc w:val="right"/>
              <w:rPr>
                <w:rFonts w:eastAsia="Times New Roman"/>
                <w:noProof/>
                <w:color w:val="000000" w:themeColor="text1"/>
                <w:sz w:val="20"/>
                <w:szCs w:val="20"/>
              </w:rPr>
            </w:pPr>
            <w:r w:rsidRPr="00797162">
              <w:rPr>
                <w:noProof/>
                <w:color w:val="000000" w:themeColor="text1"/>
                <w:sz w:val="20"/>
              </w:rPr>
              <w:t>p.m.</w:t>
            </w:r>
          </w:p>
        </w:tc>
        <w:tc>
          <w:tcPr>
            <w:tcW w:w="845"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301AFEDC" w14:textId="77777777" w:rsidR="00BF22EA" w:rsidRPr="00797162" w:rsidRDefault="00BF22EA" w:rsidP="00BE7565">
            <w:pPr>
              <w:spacing w:before="0" w:after="0"/>
              <w:jc w:val="right"/>
              <w:rPr>
                <w:rFonts w:eastAsia="Times New Roman"/>
                <w:noProof/>
                <w:color w:val="000000" w:themeColor="text1"/>
                <w:sz w:val="20"/>
                <w:szCs w:val="20"/>
              </w:rPr>
            </w:pPr>
            <w:r w:rsidRPr="00797162">
              <w:rPr>
                <w:noProof/>
                <w:color w:val="000000" w:themeColor="text1"/>
                <w:sz w:val="20"/>
              </w:rPr>
              <w:t>p.m.</w:t>
            </w:r>
          </w:p>
        </w:tc>
        <w:tc>
          <w:tcPr>
            <w:tcW w:w="850"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16B013CB" w14:textId="77777777" w:rsidR="00BF22EA" w:rsidRPr="00797162" w:rsidRDefault="00BF22EA" w:rsidP="00BE7565">
            <w:pPr>
              <w:spacing w:before="0" w:after="0"/>
              <w:jc w:val="right"/>
              <w:rPr>
                <w:rFonts w:eastAsia="Times New Roman"/>
                <w:noProof/>
                <w:color w:val="000000" w:themeColor="text1"/>
                <w:sz w:val="20"/>
                <w:szCs w:val="20"/>
              </w:rPr>
            </w:pPr>
            <w:r w:rsidRPr="00797162">
              <w:rPr>
                <w:noProof/>
                <w:color w:val="000000" w:themeColor="text1"/>
                <w:sz w:val="20"/>
              </w:rPr>
              <w:t>p.m.</w:t>
            </w:r>
          </w:p>
        </w:tc>
        <w:tc>
          <w:tcPr>
            <w:tcW w:w="851"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7BF40C5D" w14:textId="77777777" w:rsidR="00BF22EA" w:rsidRPr="00797162" w:rsidRDefault="00BF22EA" w:rsidP="00BE7565">
            <w:pPr>
              <w:spacing w:before="0" w:after="0"/>
              <w:jc w:val="right"/>
              <w:rPr>
                <w:rFonts w:eastAsia="Times New Roman"/>
                <w:noProof/>
                <w:color w:val="000000" w:themeColor="text1"/>
                <w:sz w:val="20"/>
                <w:szCs w:val="20"/>
              </w:rPr>
            </w:pPr>
            <w:r w:rsidRPr="00797162">
              <w:rPr>
                <w:noProof/>
                <w:color w:val="000000" w:themeColor="text1"/>
                <w:sz w:val="20"/>
              </w:rPr>
              <w:t>p.m.</w:t>
            </w:r>
          </w:p>
        </w:tc>
        <w:tc>
          <w:tcPr>
            <w:tcW w:w="992"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5C8B3FC6" w14:textId="77777777" w:rsidR="00BF22EA" w:rsidRPr="00797162" w:rsidRDefault="00BF22EA" w:rsidP="00BE7565">
            <w:pPr>
              <w:spacing w:before="0" w:after="0"/>
              <w:jc w:val="right"/>
              <w:rPr>
                <w:rFonts w:eastAsia="Times New Roman"/>
                <w:noProof/>
                <w:color w:val="000000" w:themeColor="text1"/>
                <w:sz w:val="20"/>
                <w:szCs w:val="20"/>
              </w:rPr>
            </w:pPr>
            <w:r w:rsidRPr="00797162">
              <w:rPr>
                <w:noProof/>
                <w:color w:val="000000" w:themeColor="text1"/>
                <w:sz w:val="20"/>
              </w:rPr>
              <w:t>p.m.</w:t>
            </w:r>
          </w:p>
        </w:tc>
        <w:tc>
          <w:tcPr>
            <w:tcW w:w="851"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651A6FA9" w14:textId="77777777" w:rsidR="00BF22EA" w:rsidRPr="00797162" w:rsidRDefault="00BF22EA" w:rsidP="00BE7565">
            <w:pPr>
              <w:spacing w:before="0" w:after="0"/>
              <w:jc w:val="right"/>
              <w:rPr>
                <w:rFonts w:eastAsia="Times New Roman"/>
                <w:noProof/>
                <w:color w:val="000000" w:themeColor="text1"/>
                <w:sz w:val="20"/>
                <w:szCs w:val="20"/>
              </w:rPr>
            </w:pPr>
            <w:r w:rsidRPr="00797162">
              <w:rPr>
                <w:noProof/>
                <w:color w:val="000000" w:themeColor="text1"/>
                <w:sz w:val="20"/>
              </w:rPr>
              <w:t>p.m.</w:t>
            </w:r>
          </w:p>
        </w:tc>
        <w:tc>
          <w:tcPr>
            <w:tcW w:w="850"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423A9357" w14:textId="77777777" w:rsidR="00BF22EA" w:rsidRPr="00797162" w:rsidRDefault="00BF22EA" w:rsidP="00BE7565">
            <w:pPr>
              <w:spacing w:before="0" w:after="0"/>
              <w:jc w:val="right"/>
              <w:rPr>
                <w:rFonts w:eastAsia="Times New Roman"/>
                <w:noProof/>
                <w:color w:val="000000" w:themeColor="text1"/>
                <w:sz w:val="20"/>
                <w:szCs w:val="20"/>
              </w:rPr>
            </w:pPr>
            <w:r w:rsidRPr="00797162">
              <w:rPr>
                <w:noProof/>
                <w:color w:val="000000" w:themeColor="text1"/>
                <w:sz w:val="20"/>
              </w:rPr>
              <w:t>p.m.</w:t>
            </w:r>
          </w:p>
        </w:tc>
        <w:tc>
          <w:tcPr>
            <w:tcW w:w="155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C334E7D" w14:textId="77777777" w:rsidR="00BF22EA" w:rsidRPr="00797162" w:rsidRDefault="00BF22EA" w:rsidP="00BE7565">
            <w:pPr>
              <w:spacing w:before="0" w:after="0"/>
              <w:jc w:val="right"/>
              <w:rPr>
                <w:rFonts w:eastAsia="Times New Roman"/>
                <w:b/>
                <w:bCs/>
                <w:noProof/>
                <w:color w:val="000000" w:themeColor="text1"/>
                <w:sz w:val="20"/>
                <w:szCs w:val="20"/>
              </w:rPr>
            </w:pPr>
            <w:r w:rsidRPr="00797162">
              <w:rPr>
                <w:b/>
                <w:noProof/>
                <w:color w:val="000000" w:themeColor="text1"/>
                <w:sz w:val="20"/>
              </w:rPr>
              <w:t>p.m.</w:t>
            </w:r>
          </w:p>
        </w:tc>
      </w:tr>
      <w:tr w:rsidR="00BF22EA" w:rsidRPr="00797162" w14:paraId="45A8B45C" w14:textId="77777777" w:rsidTr="00BE7565">
        <w:trPr>
          <w:trHeight w:val="300"/>
        </w:trPr>
        <w:tc>
          <w:tcPr>
            <w:tcW w:w="3510" w:type="dxa"/>
            <w:vMerge w:val="restart"/>
            <w:tcBorders>
              <w:top w:val="nil"/>
              <w:left w:val="single" w:sz="8" w:space="0" w:color="auto"/>
              <w:bottom w:val="single" w:sz="8" w:space="0" w:color="auto"/>
              <w:right w:val="single" w:sz="8" w:space="0" w:color="auto"/>
            </w:tcBorders>
            <w:tcMar>
              <w:left w:w="108" w:type="dxa"/>
              <w:right w:w="108" w:type="dxa"/>
            </w:tcMar>
            <w:vAlign w:val="center"/>
          </w:tcPr>
          <w:p w14:paraId="1FF8807B" w14:textId="77777777" w:rsidR="00BF22EA" w:rsidRPr="00797162" w:rsidRDefault="00BF22EA" w:rsidP="00BE7565">
            <w:pPr>
              <w:spacing w:before="0" w:after="0"/>
              <w:rPr>
                <w:rFonts w:eastAsia="Times New Roman"/>
                <w:noProof/>
                <w:sz w:val="20"/>
                <w:szCs w:val="20"/>
              </w:rPr>
            </w:pPr>
            <w:r w:rsidRPr="00797162">
              <w:rPr>
                <w:noProof/>
                <w:sz w:val="20"/>
              </w:rPr>
              <w:t>04 05 03 – Teadusuuringute Ühiskeskuse dekomissioneerimise ja tuumajäätmete käitlemise programm</w:t>
            </w:r>
          </w:p>
        </w:tc>
        <w:tc>
          <w:tcPr>
            <w:tcW w:w="13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65AAC7" w14:textId="77777777" w:rsidR="00BF22EA" w:rsidRPr="00797162" w:rsidRDefault="00BF22EA" w:rsidP="00BE7565">
            <w:pPr>
              <w:rPr>
                <w:rFonts w:eastAsia="Times New Roman"/>
                <w:noProof/>
                <w:sz w:val="18"/>
                <w:szCs w:val="18"/>
              </w:rPr>
            </w:pPr>
            <w:r w:rsidRPr="00797162">
              <w:rPr>
                <w:noProof/>
                <w:sz w:val="18"/>
              </w:rPr>
              <w:t>Kulukohustused</w:t>
            </w:r>
          </w:p>
        </w:tc>
        <w:tc>
          <w:tcPr>
            <w:tcW w:w="9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5561B2" w14:textId="77777777" w:rsidR="00BF22EA" w:rsidRPr="00797162" w:rsidRDefault="00BF22EA" w:rsidP="00BE7565">
            <w:pPr>
              <w:jc w:val="center"/>
              <w:rPr>
                <w:rFonts w:eastAsia="Times New Roman"/>
                <w:noProof/>
                <w:sz w:val="14"/>
                <w:szCs w:val="14"/>
              </w:rPr>
            </w:pPr>
            <w:r w:rsidRPr="00797162">
              <w:rPr>
                <w:noProof/>
                <w:sz w:val="14"/>
              </w:rPr>
              <w:t>(1c)</w:t>
            </w:r>
          </w:p>
        </w:tc>
        <w:tc>
          <w:tcPr>
            <w:tcW w:w="980"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491B57E" w14:textId="77777777" w:rsidR="00BF22EA" w:rsidRPr="00797162" w:rsidRDefault="00BF22EA" w:rsidP="00BE7565">
            <w:pPr>
              <w:jc w:val="right"/>
              <w:rPr>
                <w:rFonts w:eastAsia="Times New Roman"/>
                <w:noProof/>
                <w:color w:val="000000" w:themeColor="text1"/>
                <w:sz w:val="20"/>
                <w:szCs w:val="20"/>
              </w:rPr>
            </w:pPr>
            <w:r w:rsidRPr="00797162">
              <w:rPr>
                <w:noProof/>
                <w:color w:val="000000" w:themeColor="text1"/>
                <w:sz w:val="20"/>
              </w:rPr>
              <w:t>86</w:t>
            </w:r>
          </w:p>
        </w:tc>
        <w:tc>
          <w:tcPr>
            <w:tcW w:w="845"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54EC75B8" w14:textId="77777777" w:rsidR="00BF22EA" w:rsidRPr="00797162" w:rsidRDefault="00BF22EA" w:rsidP="00BE7565">
            <w:pPr>
              <w:jc w:val="right"/>
              <w:rPr>
                <w:rFonts w:eastAsia="Times New Roman"/>
                <w:noProof/>
                <w:color w:val="000000" w:themeColor="text1"/>
                <w:sz w:val="20"/>
                <w:szCs w:val="20"/>
              </w:rPr>
            </w:pPr>
            <w:r w:rsidRPr="00797162">
              <w:rPr>
                <w:noProof/>
                <w:color w:val="000000" w:themeColor="text1"/>
                <w:sz w:val="20"/>
              </w:rPr>
              <w:t>66</w:t>
            </w:r>
          </w:p>
        </w:tc>
        <w:tc>
          <w:tcPr>
            <w:tcW w:w="850"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0E6CF09C" w14:textId="77777777" w:rsidR="00BF22EA" w:rsidRPr="00797162" w:rsidRDefault="00BF22EA" w:rsidP="00BE7565">
            <w:pPr>
              <w:jc w:val="right"/>
              <w:rPr>
                <w:rFonts w:eastAsia="Times New Roman"/>
                <w:noProof/>
                <w:color w:val="000000" w:themeColor="text1"/>
                <w:sz w:val="20"/>
                <w:szCs w:val="20"/>
              </w:rPr>
            </w:pPr>
            <w:r w:rsidRPr="00797162">
              <w:rPr>
                <w:noProof/>
                <w:color w:val="000000" w:themeColor="text1"/>
                <w:sz w:val="20"/>
              </w:rPr>
              <w:t>77</w:t>
            </w:r>
          </w:p>
        </w:tc>
        <w:tc>
          <w:tcPr>
            <w:tcW w:w="851"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04573F35" w14:textId="77777777" w:rsidR="00BF22EA" w:rsidRPr="00797162" w:rsidRDefault="00BF22EA" w:rsidP="00BE7565">
            <w:pPr>
              <w:jc w:val="right"/>
              <w:rPr>
                <w:rFonts w:eastAsia="Times New Roman"/>
                <w:noProof/>
                <w:color w:val="000000" w:themeColor="text1"/>
                <w:sz w:val="20"/>
                <w:szCs w:val="20"/>
              </w:rPr>
            </w:pPr>
            <w:r w:rsidRPr="00797162">
              <w:rPr>
                <w:noProof/>
                <w:color w:val="000000" w:themeColor="text1"/>
                <w:sz w:val="20"/>
              </w:rPr>
              <w:t>82</w:t>
            </w:r>
          </w:p>
        </w:tc>
        <w:tc>
          <w:tcPr>
            <w:tcW w:w="992"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22208004" w14:textId="77777777" w:rsidR="00BF22EA" w:rsidRPr="00797162" w:rsidRDefault="00BF22EA" w:rsidP="00BE7565">
            <w:pPr>
              <w:jc w:val="right"/>
              <w:rPr>
                <w:rFonts w:eastAsia="Times New Roman"/>
                <w:noProof/>
                <w:color w:val="000000" w:themeColor="text1"/>
                <w:sz w:val="20"/>
                <w:szCs w:val="20"/>
              </w:rPr>
            </w:pPr>
            <w:r w:rsidRPr="00797162">
              <w:rPr>
                <w:noProof/>
                <w:color w:val="000000" w:themeColor="text1"/>
                <w:sz w:val="20"/>
              </w:rPr>
              <w:t>92</w:t>
            </w:r>
          </w:p>
        </w:tc>
        <w:tc>
          <w:tcPr>
            <w:tcW w:w="851"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53DBCFED" w14:textId="77777777" w:rsidR="00BF22EA" w:rsidRPr="00797162" w:rsidRDefault="00BF22EA" w:rsidP="00BE7565">
            <w:pPr>
              <w:jc w:val="right"/>
              <w:rPr>
                <w:rFonts w:eastAsia="Times New Roman"/>
                <w:noProof/>
                <w:color w:val="000000" w:themeColor="text1"/>
                <w:sz w:val="20"/>
                <w:szCs w:val="20"/>
              </w:rPr>
            </w:pPr>
            <w:r w:rsidRPr="00797162">
              <w:rPr>
                <w:noProof/>
                <w:color w:val="000000" w:themeColor="text1"/>
                <w:sz w:val="20"/>
              </w:rPr>
              <w:t>101</w:t>
            </w:r>
          </w:p>
        </w:tc>
        <w:tc>
          <w:tcPr>
            <w:tcW w:w="850"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32C492F6" w14:textId="77777777" w:rsidR="00BF22EA" w:rsidRPr="00797162" w:rsidRDefault="00BF22EA" w:rsidP="00BE7565">
            <w:pPr>
              <w:jc w:val="right"/>
              <w:rPr>
                <w:rFonts w:eastAsia="Times New Roman"/>
                <w:noProof/>
                <w:color w:val="000000" w:themeColor="text1"/>
                <w:sz w:val="20"/>
                <w:szCs w:val="20"/>
              </w:rPr>
            </w:pPr>
            <w:r w:rsidRPr="00797162">
              <w:rPr>
                <w:noProof/>
                <w:color w:val="000000" w:themeColor="text1"/>
                <w:sz w:val="20"/>
              </w:rPr>
              <w:t>112</w:t>
            </w:r>
          </w:p>
        </w:tc>
        <w:tc>
          <w:tcPr>
            <w:tcW w:w="155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A46B55E" w14:textId="77777777" w:rsidR="00BF22EA" w:rsidRPr="00797162" w:rsidRDefault="00BF22EA" w:rsidP="00BE7565">
            <w:pPr>
              <w:jc w:val="right"/>
              <w:rPr>
                <w:rFonts w:eastAsia="Times New Roman"/>
                <w:b/>
                <w:bCs/>
                <w:noProof/>
                <w:color w:val="000000" w:themeColor="text1"/>
                <w:sz w:val="20"/>
                <w:szCs w:val="20"/>
              </w:rPr>
            </w:pPr>
            <w:r w:rsidRPr="00797162">
              <w:rPr>
                <w:b/>
                <w:noProof/>
                <w:color w:val="000000" w:themeColor="text1"/>
                <w:sz w:val="20"/>
              </w:rPr>
              <w:t>616</w:t>
            </w:r>
          </w:p>
        </w:tc>
      </w:tr>
      <w:tr w:rsidR="00BF22EA" w:rsidRPr="00797162" w14:paraId="78F8CD6F" w14:textId="77777777" w:rsidTr="00BE7565">
        <w:trPr>
          <w:trHeight w:val="300"/>
        </w:trPr>
        <w:tc>
          <w:tcPr>
            <w:tcW w:w="3510" w:type="dxa"/>
            <w:vMerge/>
            <w:tcBorders>
              <w:left w:val="single" w:sz="0" w:space="0" w:color="auto"/>
              <w:bottom w:val="single" w:sz="0" w:space="0" w:color="auto"/>
              <w:right w:val="single" w:sz="0" w:space="0" w:color="auto"/>
            </w:tcBorders>
            <w:vAlign w:val="center"/>
          </w:tcPr>
          <w:p w14:paraId="741C05C2" w14:textId="77777777" w:rsidR="00BF22EA" w:rsidRPr="00797162" w:rsidRDefault="00BF22EA" w:rsidP="00BE7565">
            <w:pPr>
              <w:rPr>
                <w:noProof/>
              </w:rPr>
            </w:pPr>
          </w:p>
        </w:tc>
        <w:tc>
          <w:tcPr>
            <w:tcW w:w="1365" w:type="dxa"/>
            <w:tcBorders>
              <w:top w:val="single" w:sz="8" w:space="0" w:color="auto"/>
              <w:left w:val="nil"/>
              <w:bottom w:val="single" w:sz="8" w:space="0" w:color="auto"/>
              <w:right w:val="single" w:sz="8" w:space="0" w:color="auto"/>
            </w:tcBorders>
            <w:tcMar>
              <w:left w:w="108" w:type="dxa"/>
              <w:right w:w="108" w:type="dxa"/>
            </w:tcMar>
            <w:vAlign w:val="center"/>
          </w:tcPr>
          <w:p w14:paraId="7215E998" w14:textId="77777777" w:rsidR="00BF22EA" w:rsidRPr="00797162" w:rsidRDefault="00BF22EA" w:rsidP="00BE7565">
            <w:pPr>
              <w:rPr>
                <w:rFonts w:eastAsia="Times New Roman"/>
                <w:noProof/>
                <w:sz w:val="18"/>
                <w:szCs w:val="18"/>
              </w:rPr>
            </w:pPr>
            <w:r w:rsidRPr="00797162">
              <w:rPr>
                <w:noProof/>
                <w:sz w:val="18"/>
              </w:rPr>
              <w:t>Maksed</w:t>
            </w:r>
          </w:p>
        </w:tc>
        <w:tc>
          <w:tcPr>
            <w:tcW w:w="9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AF71D1" w14:textId="77777777" w:rsidR="00BF22EA" w:rsidRPr="00797162" w:rsidRDefault="00BF22EA" w:rsidP="00BE7565">
            <w:pPr>
              <w:jc w:val="center"/>
              <w:rPr>
                <w:rFonts w:eastAsia="Times New Roman"/>
                <w:noProof/>
                <w:sz w:val="14"/>
                <w:szCs w:val="14"/>
              </w:rPr>
            </w:pPr>
            <w:r w:rsidRPr="00797162">
              <w:rPr>
                <w:noProof/>
                <w:sz w:val="14"/>
              </w:rPr>
              <w:t>(2c)</w:t>
            </w:r>
          </w:p>
        </w:tc>
        <w:tc>
          <w:tcPr>
            <w:tcW w:w="980"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EAE33AB" w14:textId="77777777" w:rsidR="00BF22EA" w:rsidRPr="00797162" w:rsidRDefault="00BF22EA" w:rsidP="00BE7565">
            <w:pPr>
              <w:jc w:val="right"/>
              <w:rPr>
                <w:rFonts w:eastAsia="Times New Roman"/>
                <w:noProof/>
                <w:color w:val="000000" w:themeColor="text1"/>
                <w:sz w:val="20"/>
                <w:szCs w:val="20"/>
              </w:rPr>
            </w:pPr>
            <w:r w:rsidRPr="00797162">
              <w:rPr>
                <w:noProof/>
                <w:color w:val="000000" w:themeColor="text1"/>
                <w:sz w:val="20"/>
              </w:rPr>
              <w:t>p.m.</w:t>
            </w:r>
          </w:p>
        </w:tc>
        <w:tc>
          <w:tcPr>
            <w:tcW w:w="845"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5C0111AB" w14:textId="77777777" w:rsidR="00BF22EA" w:rsidRPr="00797162" w:rsidRDefault="00BF22EA" w:rsidP="00BE7565">
            <w:pPr>
              <w:jc w:val="right"/>
              <w:rPr>
                <w:rFonts w:eastAsia="Times New Roman"/>
                <w:noProof/>
                <w:color w:val="000000" w:themeColor="text1"/>
                <w:sz w:val="20"/>
                <w:szCs w:val="20"/>
              </w:rPr>
            </w:pPr>
            <w:r w:rsidRPr="00797162">
              <w:rPr>
                <w:noProof/>
                <w:color w:val="000000" w:themeColor="text1"/>
                <w:sz w:val="20"/>
              </w:rPr>
              <w:t>p.m.</w:t>
            </w:r>
          </w:p>
        </w:tc>
        <w:tc>
          <w:tcPr>
            <w:tcW w:w="850"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300FB233" w14:textId="77777777" w:rsidR="00BF22EA" w:rsidRPr="00797162" w:rsidRDefault="00BF22EA" w:rsidP="00BE7565">
            <w:pPr>
              <w:jc w:val="right"/>
              <w:rPr>
                <w:rFonts w:eastAsia="Times New Roman"/>
                <w:noProof/>
                <w:color w:val="000000" w:themeColor="text1"/>
                <w:sz w:val="20"/>
                <w:szCs w:val="20"/>
              </w:rPr>
            </w:pPr>
            <w:r w:rsidRPr="00797162">
              <w:rPr>
                <w:noProof/>
                <w:color w:val="000000" w:themeColor="text1"/>
                <w:sz w:val="20"/>
              </w:rPr>
              <w:t>p.m.</w:t>
            </w:r>
          </w:p>
        </w:tc>
        <w:tc>
          <w:tcPr>
            <w:tcW w:w="851"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653429A3" w14:textId="77777777" w:rsidR="00BF22EA" w:rsidRPr="00797162" w:rsidRDefault="00BF22EA" w:rsidP="00BE7565">
            <w:pPr>
              <w:jc w:val="right"/>
              <w:rPr>
                <w:rFonts w:eastAsia="Times New Roman"/>
                <w:noProof/>
                <w:color w:val="000000" w:themeColor="text1"/>
                <w:sz w:val="20"/>
                <w:szCs w:val="20"/>
              </w:rPr>
            </w:pPr>
            <w:r w:rsidRPr="00797162">
              <w:rPr>
                <w:noProof/>
                <w:color w:val="000000" w:themeColor="text1"/>
                <w:sz w:val="20"/>
              </w:rPr>
              <w:t>p.m.</w:t>
            </w:r>
          </w:p>
        </w:tc>
        <w:tc>
          <w:tcPr>
            <w:tcW w:w="992"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1D2E4DA0" w14:textId="77777777" w:rsidR="00BF22EA" w:rsidRPr="00797162" w:rsidRDefault="00BF22EA" w:rsidP="00BE7565">
            <w:pPr>
              <w:jc w:val="right"/>
              <w:rPr>
                <w:rFonts w:eastAsia="Times New Roman"/>
                <w:noProof/>
                <w:color w:val="000000" w:themeColor="text1"/>
                <w:sz w:val="20"/>
                <w:szCs w:val="20"/>
              </w:rPr>
            </w:pPr>
            <w:r w:rsidRPr="00797162">
              <w:rPr>
                <w:noProof/>
                <w:color w:val="000000" w:themeColor="text1"/>
                <w:sz w:val="20"/>
              </w:rPr>
              <w:t>p.m.</w:t>
            </w:r>
          </w:p>
        </w:tc>
        <w:tc>
          <w:tcPr>
            <w:tcW w:w="851"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1464ACD3" w14:textId="77777777" w:rsidR="00BF22EA" w:rsidRPr="00797162" w:rsidRDefault="00BF22EA" w:rsidP="00BE7565">
            <w:pPr>
              <w:jc w:val="right"/>
              <w:rPr>
                <w:rFonts w:eastAsia="Times New Roman"/>
                <w:noProof/>
                <w:color w:val="000000" w:themeColor="text1"/>
                <w:sz w:val="20"/>
                <w:szCs w:val="20"/>
              </w:rPr>
            </w:pPr>
            <w:r w:rsidRPr="00797162">
              <w:rPr>
                <w:noProof/>
                <w:color w:val="000000" w:themeColor="text1"/>
                <w:sz w:val="20"/>
              </w:rPr>
              <w:t>p.m.</w:t>
            </w:r>
          </w:p>
        </w:tc>
        <w:tc>
          <w:tcPr>
            <w:tcW w:w="850"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7546C8E1" w14:textId="77777777" w:rsidR="00BF22EA" w:rsidRPr="00797162" w:rsidRDefault="00BF22EA" w:rsidP="00BE7565">
            <w:pPr>
              <w:jc w:val="right"/>
              <w:rPr>
                <w:rFonts w:eastAsia="Times New Roman"/>
                <w:noProof/>
                <w:color w:val="000000" w:themeColor="text1"/>
                <w:sz w:val="20"/>
                <w:szCs w:val="20"/>
              </w:rPr>
            </w:pPr>
            <w:r w:rsidRPr="00797162">
              <w:rPr>
                <w:noProof/>
                <w:color w:val="000000" w:themeColor="text1"/>
                <w:sz w:val="20"/>
              </w:rPr>
              <w:t>p.m.</w:t>
            </w:r>
          </w:p>
        </w:tc>
        <w:tc>
          <w:tcPr>
            <w:tcW w:w="155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79562B7" w14:textId="77777777" w:rsidR="00BF22EA" w:rsidRPr="00797162" w:rsidRDefault="00BF22EA" w:rsidP="00BE7565">
            <w:pPr>
              <w:jc w:val="right"/>
              <w:rPr>
                <w:rFonts w:eastAsia="Times New Roman"/>
                <w:b/>
                <w:bCs/>
                <w:noProof/>
                <w:color w:val="000000" w:themeColor="text1"/>
                <w:sz w:val="20"/>
                <w:szCs w:val="20"/>
              </w:rPr>
            </w:pPr>
            <w:r w:rsidRPr="00797162">
              <w:rPr>
                <w:b/>
                <w:noProof/>
                <w:color w:val="000000" w:themeColor="text1"/>
                <w:sz w:val="20"/>
              </w:rPr>
              <w:t>p.m.</w:t>
            </w:r>
          </w:p>
        </w:tc>
      </w:tr>
      <w:tr w:rsidR="00BF22EA" w:rsidRPr="00797162" w14:paraId="78B6FAF5" w14:textId="77777777" w:rsidTr="00BE7565">
        <w:trPr>
          <w:trHeight w:val="300"/>
        </w:trPr>
        <w:tc>
          <w:tcPr>
            <w:tcW w:w="13598" w:type="dxa"/>
            <w:gridSpan w:val="12"/>
            <w:tcBorders>
              <w:top w:val="nil"/>
              <w:left w:val="single" w:sz="8" w:space="0" w:color="auto"/>
              <w:bottom w:val="single" w:sz="8" w:space="0" w:color="auto"/>
              <w:right w:val="single" w:sz="8" w:space="0" w:color="auto"/>
            </w:tcBorders>
            <w:tcMar>
              <w:left w:w="108" w:type="dxa"/>
              <w:right w:w="108" w:type="dxa"/>
            </w:tcMar>
            <w:vAlign w:val="center"/>
          </w:tcPr>
          <w:p w14:paraId="7BEE1C0C" w14:textId="77777777" w:rsidR="00BF22EA" w:rsidRPr="00797162" w:rsidRDefault="00BF22EA" w:rsidP="00BE7565">
            <w:pPr>
              <w:spacing w:before="0" w:after="0"/>
              <w:jc w:val="left"/>
              <w:rPr>
                <w:rFonts w:eastAsia="Times New Roman"/>
                <w:noProof/>
                <w:color w:val="0000FF"/>
                <w:sz w:val="22"/>
                <w:u w:val="single"/>
                <w:vertAlign w:val="superscript"/>
              </w:rPr>
            </w:pPr>
            <w:r w:rsidRPr="00797162">
              <w:rPr>
                <w:noProof/>
                <w:sz w:val="22"/>
              </w:rPr>
              <w:t>Eriprogrammide vahenditest rahastatavad haldusassigneeringud</w:t>
            </w:r>
            <w:hyperlink r:id="rId16" w:anchor="_ftn1" w:history="1">
              <w:r w:rsidRPr="00797162">
                <w:rPr>
                  <w:noProof/>
                  <w:color w:val="0000FF"/>
                  <w:sz w:val="22"/>
                  <w:u w:val="single"/>
                  <w:vertAlign w:val="superscript"/>
                </w:rPr>
                <w:t>[1]</w:t>
              </w:r>
            </w:hyperlink>
          </w:p>
        </w:tc>
      </w:tr>
      <w:tr w:rsidR="00BF22EA" w:rsidRPr="00797162" w14:paraId="7145D34B" w14:textId="77777777" w:rsidTr="00BE7565">
        <w:trPr>
          <w:trHeight w:val="300"/>
        </w:trPr>
        <w:tc>
          <w:tcPr>
            <w:tcW w:w="35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C679EC" w14:textId="1807B322" w:rsidR="00BF22EA" w:rsidRPr="00797162" w:rsidRDefault="00BF22EA" w:rsidP="00BE7565">
            <w:pPr>
              <w:spacing w:before="0" w:after="0"/>
              <w:rPr>
                <w:rFonts w:eastAsia="Times New Roman"/>
                <w:noProof/>
                <w:sz w:val="20"/>
                <w:szCs w:val="20"/>
              </w:rPr>
            </w:pPr>
            <w:r w:rsidRPr="00797162">
              <w:rPr>
                <w:noProof/>
                <w:sz w:val="20"/>
              </w:rPr>
              <w:t xml:space="preserve">04 01 04 – Tuumaohutusalase koostöö ja dekomissioneerimise instrumendi (tuumaohutusalane rahvusvaheline koostöö ja dekommissioneerimine) toetuskulud </w:t>
            </w:r>
          </w:p>
        </w:tc>
        <w:tc>
          <w:tcPr>
            <w:tcW w:w="1365" w:type="dxa"/>
            <w:tcBorders>
              <w:top w:val="nil"/>
              <w:left w:val="single" w:sz="8" w:space="0" w:color="auto"/>
              <w:bottom w:val="single" w:sz="8" w:space="0" w:color="auto"/>
              <w:right w:val="single" w:sz="8" w:space="0" w:color="auto"/>
            </w:tcBorders>
            <w:tcMar>
              <w:left w:w="108" w:type="dxa"/>
              <w:right w:w="108" w:type="dxa"/>
            </w:tcMar>
            <w:vAlign w:val="center"/>
          </w:tcPr>
          <w:p w14:paraId="3F402262" w14:textId="77777777" w:rsidR="00BF22EA" w:rsidRPr="00797162" w:rsidRDefault="00BF22EA" w:rsidP="00BE7565">
            <w:pPr>
              <w:spacing w:before="0" w:after="0"/>
              <w:jc w:val="right"/>
              <w:rPr>
                <w:rFonts w:eastAsia="Times New Roman"/>
                <w:noProof/>
                <w:sz w:val="18"/>
                <w:szCs w:val="18"/>
              </w:rPr>
            </w:pPr>
            <w:r w:rsidRPr="00797162">
              <w:rPr>
                <w:noProof/>
                <w:sz w:val="18"/>
              </w:rPr>
              <w:t xml:space="preserve"> </w:t>
            </w:r>
          </w:p>
        </w:tc>
        <w:tc>
          <w:tcPr>
            <w:tcW w:w="945" w:type="dxa"/>
            <w:tcBorders>
              <w:top w:val="nil"/>
              <w:left w:val="single" w:sz="8" w:space="0" w:color="auto"/>
              <w:bottom w:val="single" w:sz="8" w:space="0" w:color="auto"/>
              <w:right w:val="single" w:sz="8" w:space="0" w:color="auto"/>
            </w:tcBorders>
            <w:tcMar>
              <w:left w:w="108" w:type="dxa"/>
              <w:right w:w="108" w:type="dxa"/>
            </w:tcMar>
            <w:vAlign w:val="center"/>
          </w:tcPr>
          <w:p w14:paraId="1A73E6AA" w14:textId="77777777" w:rsidR="00BF22EA" w:rsidRPr="00797162" w:rsidRDefault="00BF22EA" w:rsidP="00BE7565">
            <w:pPr>
              <w:spacing w:before="0" w:after="0"/>
              <w:jc w:val="center"/>
              <w:rPr>
                <w:rFonts w:eastAsia="Times New Roman"/>
                <w:noProof/>
                <w:sz w:val="14"/>
                <w:szCs w:val="14"/>
              </w:rPr>
            </w:pPr>
            <w:r w:rsidRPr="00797162">
              <w:rPr>
                <w:noProof/>
                <w:sz w:val="14"/>
              </w:rPr>
              <w:t>(3)</w:t>
            </w:r>
          </w:p>
        </w:tc>
        <w:tc>
          <w:tcPr>
            <w:tcW w:w="980" w:type="dxa"/>
            <w:gridSpan w:val="2"/>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B64D229" w14:textId="77777777" w:rsidR="00BF22EA" w:rsidRPr="00797162" w:rsidRDefault="00BF22EA" w:rsidP="00BE7565">
            <w:pPr>
              <w:spacing w:before="0" w:after="0"/>
              <w:jc w:val="right"/>
              <w:rPr>
                <w:rFonts w:eastAsia="Times New Roman"/>
                <w:noProof/>
                <w:color w:val="000000" w:themeColor="text1"/>
                <w:sz w:val="20"/>
                <w:szCs w:val="20"/>
              </w:rPr>
            </w:pPr>
            <w:r w:rsidRPr="00797162">
              <w:rPr>
                <w:noProof/>
                <w:color w:val="000000" w:themeColor="text1"/>
                <w:sz w:val="20"/>
              </w:rPr>
              <w:t>p.m.</w:t>
            </w:r>
          </w:p>
        </w:tc>
        <w:tc>
          <w:tcPr>
            <w:tcW w:w="845" w:type="dxa"/>
            <w:tcBorders>
              <w:top w:val="nil"/>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15DF56E6" w14:textId="77777777" w:rsidR="00BF22EA" w:rsidRPr="00797162" w:rsidRDefault="00BF22EA" w:rsidP="00BE7565">
            <w:pPr>
              <w:spacing w:before="0" w:after="0"/>
              <w:jc w:val="right"/>
              <w:rPr>
                <w:rFonts w:eastAsia="Times New Roman"/>
                <w:noProof/>
                <w:color w:val="000000" w:themeColor="text1"/>
                <w:sz w:val="20"/>
                <w:szCs w:val="20"/>
              </w:rPr>
            </w:pPr>
            <w:r w:rsidRPr="00797162">
              <w:rPr>
                <w:noProof/>
                <w:color w:val="000000" w:themeColor="text1"/>
                <w:sz w:val="20"/>
              </w:rPr>
              <w:t>p.m.</w:t>
            </w:r>
          </w:p>
        </w:tc>
        <w:tc>
          <w:tcPr>
            <w:tcW w:w="850" w:type="dxa"/>
            <w:tcBorders>
              <w:top w:val="nil"/>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34156D87" w14:textId="77777777" w:rsidR="00BF22EA" w:rsidRPr="00797162" w:rsidRDefault="00BF22EA" w:rsidP="00BE7565">
            <w:pPr>
              <w:spacing w:before="0" w:after="0"/>
              <w:jc w:val="right"/>
              <w:rPr>
                <w:rFonts w:eastAsia="Times New Roman"/>
                <w:noProof/>
                <w:color w:val="000000" w:themeColor="text1"/>
                <w:sz w:val="20"/>
                <w:szCs w:val="20"/>
              </w:rPr>
            </w:pPr>
            <w:r w:rsidRPr="00797162">
              <w:rPr>
                <w:noProof/>
                <w:color w:val="000000" w:themeColor="text1"/>
                <w:sz w:val="20"/>
              </w:rPr>
              <w:t>p.m.</w:t>
            </w:r>
          </w:p>
        </w:tc>
        <w:tc>
          <w:tcPr>
            <w:tcW w:w="851" w:type="dxa"/>
            <w:tcBorders>
              <w:top w:val="nil"/>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3517A1D2" w14:textId="77777777" w:rsidR="00BF22EA" w:rsidRPr="00797162" w:rsidRDefault="00BF22EA" w:rsidP="00BE7565">
            <w:pPr>
              <w:spacing w:before="0" w:after="0"/>
              <w:jc w:val="right"/>
              <w:rPr>
                <w:rFonts w:eastAsia="Times New Roman"/>
                <w:noProof/>
                <w:color w:val="000000" w:themeColor="text1"/>
                <w:sz w:val="20"/>
                <w:szCs w:val="20"/>
              </w:rPr>
            </w:pPr>
            <w:r w:rsidRPr="00797162">
              <w:rPr>
                <w:noProof/>
                <w:color w:val="000000" w:themeColor="text1"/>
                <w:sz w:val="20"/>
              </w:rPr>
              <w:t>p.m.</w:t>
            </w:r>
          </w:p>
        </w:tc>
        <w:tc>
          <w:tcPr>
            <w:tcW w:w="992" w:type="dxa"/>
            <w:tcBorders>
              <w:top w:val="nil"/>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66A7BD98" w14:textId="77777777" w:rsidR="00BF22EA" w:rsidRPr="00797162" w:rsidRDefault="00BF22EA" w:rsidP="00BE7565">
            <w:pPr>
              <w:spacing w:before="0" w:after="0"/>
              <w:jc w:val="right"/>
              <w:rPr>
                <w:rFonts w:eastAsia="Times New Roman"/>
                <w:noProof/>
                <w:color w:val="000000" w:themeColor="text1"/>
                <w:sz w:val="20"/>
                <w:szCs w:val="20"/>
              </w:rPr>
            </w:pPr>
            <w:r w:rsidRPr="00797162">
              <w:rPr>
                <w:noProof/>
                <w:color w:val="000000" w:themeColor="text1"/>
                <w:sz w:val="20"/>
              </w:rPr>
              <w:t>p.m.</w:t>
            </w:r>
          </w:p>
        </w:tc>
        <w:tc>
          <w:tcPr>
            <w:tcW w:w="851" w:type="dxa"/>
            <w:tcBorders>
              <w:top w:val="nil"/>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4C2154EC" w14:textId="77777777" w:rsidR="00BF22EA" w:rsidRPr="00797162" w:rsidRDefault="00BF22EA" w:rsidP="00BE7565">
            <w:pPr>
              <w:spacing w:before="0" w:after="0"/>
              <w:jc w:val="right"/>
              <w:rPr>
                <w:rFonts w:eastAsia="Times New Roman"/>
                <w:noProof/>
                <w:color w:val="000000" w:themeColor="text1"/>
                <w:sz w:val="20"/>
                <w:szCs w:val="20"/>
              </w:rPr>
            </w:pPr>
            <w:r w:rsidRPr="00797162">
              <w:rPr>
                <w:noProof/>
                <w:color w:val="000000" w:themeColor="text1"/>
                <w:sz w:val="20"/>
              </w:rPr>
              <w:t>p.m.</w:t>
            </w:r>
          </w:p>
        </w:tc>
        <w:tc>
          <w:tcPr>
            <w:tcW w:w="850" w:type="dxa"/>
            <w:tcBorders>
              <w:top w:val="nil"/>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35C3C05F" w14:textId="77777777" w:rsidR="00BF22EA" w:rsidRPr="00797162" w:rsidRDefault="00BF22EA" w:rsidP="00BE7565">
            <w:pPr>
              <w:spacing w:before="0" w:after="0"/>
              <w:jc w:val="right"/>
              <w:rPr>
                <w:rFonts w:eastAsia="Times New Roman"/>
                <w:noProof/>
                <w:color w:val="000000" w:themeColor="text1"/>
                <w:sz w:val="20"/>
                <w:szCs w:val="20"/>
              </w:rPr>
            </w:pPr>
            <w:r w:rsidRPr="00797162">
              <w:rPr>
                <w:noProof/>
                <w:color w:val="000000" w:themeColor="text1"/>
                <w:sz w:val="20"/>
              </w:rPr>
              <w:t>p.m.</w:t>
            </w:r>
          </w:p>
        </w:tc>
        <w:tc>
          <w:tcPr>
            <w:tcW w:w="1559"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1B7BFCC" w14:textId="77777777" w:rsidR="00BF22EA" w:rsidRPr="00797162" w:rsidRDefault="00BF22EA" w:rsidP="00BE7565">
            <w:pPr>
              <w:spacing w:before="0" w:after="0"/>
              <w:jc w:val="right"/>
              <w:rPr>
                <w:rFonts w:eastAsia="Times New Roman"/>
                <w:b/>
                <w:bCs/>
                <w:noProof/>
                <w:color w:val="000000" w:themeColor="text1"/>
                <w:sz w:val="20"/>
                <w:szCs w:val="20"/>
              </w:rPr>
            </w:pPr>
            <w:r w:rsidRPr="00797162">
              <w:rPr>
                <w:b/>
                <w:noProof/>
                <w:color w:val="000000" w:themeColor="text1"/>
                <w:sz w:val="20"/>
              </w:rPr>
              <w:t>p.m.</w:t>
            </w:r>
          </w:p>
        </w:tc>
      </w:tr>
      <w:tr w:rsidR="00BF22EA" w:rsidRPr="00797162" w14:paraId="4468037A" w14:textId="77777777" w:rsidTr="00BE7565">
        <w:trPr>
          <w:trHeight w:val="300"/>
        </w:trPr>
        <w:tc>
          <w:tcPr>
            <w:tcW w:w="3510"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C7CA73" w14:textId="77777777" w:rsidR="00BF22EA" w:rsidRPr="00797162" w:rsidRDefault="00BF22EA" w:rsidP="00BE7565">
            <w:pPr>
              <w:spacing w:before="0" w:after="0"/>
              <w:jc w:val="center"/>
              <w:rPr>
                <w:rFonts w:eastAsia="Times New Roman"/>
                <w:b/>
                <w:bCs/>
                <w:noProof/>
                <w:sz w:val="22"/>
              </w:rPr>
            </w:pPr>
            <w:r w:rsidRPr="00797162">
              <w:rPr>
                <w:b/>
                <w:noProof/>
                <w:sz w:val="22"/>
              </w:rPr>
              <w:t>assigneeringud KOKKU</w:t>
            </w:r>
          </w:p>
        </w:tc>
        <w:tc>
          <w:tcPr>
            <w:tcW w:w="13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AE6E53" w14:textId="77777777" w:rsidR="00BF22EA" w:rsidRPr="00797162" w:rsidRDefault="00BF22EA" w:rsidP="00BE7565">
            <w:pPr>
              <w:spacing w:before="0" w:after="0"/>
              <w:rPr>
                <w:rFonts w:eastAsia="Times New Roman"/>
                <w:noProof/>
                <w:sz w:val="18"/>
                <w:szCs w:val="18"/>
              </w:rPr>
            </w:pPr>
            <w:r w:rsidRPr="00797162">
              <w:rPr>
                <w:noProof/>
                <w:sz w:val="18"/>
              </w:rPr>
              <w:t>Kulukohustused</w:t>
            </w:r>
          </w:p>
        </w:tc>
        <w:tc>
          <w:tcPr>
            <w:tcW w:w="9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CB4A1B" w14:textId="77777777" w:rsidR="00BF22EA" w:rsidRPr="00797162" w:rsidRDefault="00BF22EA" w:rsidP="00BE7565">
            <w:pPr>
              <w:spacing w:before="0" w:after="0"/>
              <w:jc w:val="center"/>
              <w:rPr>
                <w:rFonts w:eastAsia="Times New Roman"/>
                <w:noProof/>
                <w:sz w:val="14"/>
                <w:szCs w:val="14"/>
              </w:rPr>
            </w:pPr>
            <w:r w:rsidRPr="00797162">
              <w:rPr>
                <w:noProof/>
                <w:sz w:val="14"/>
              </w:rPr>
              <w:t>=1a+1b+1c+3</w:t>
            </w:r>
          </w:p>
        </w:tc>
        <w:tc>
          <w:tcPr>
            <w:tcW w:w="980"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0E6D3A3" w14:textId="77777777" w:rsidR="00BF22EA" w:rsidRPr="00797162" w:rsidRDefault="00BF22EA" w:rsidP="00BE7565">
            <w:pPr>
              <w:spacing w:before="0" w:after="0"/>
              <w:jc w:val="right"/>
              <w:rPr>
                <w:rFonts w:eastAsia="Times New Roman"/>
                <w:noProof/>
                <w:color w:val="000000" w:themeColor="text1"/>
                <w:sz w:val="20"/>
                <w:szCs w:val="20"/>
              </w:rPr>
            </w:pPr>
            <w:r w:rsidRPr="00797162">
              <w:rPr>
                <w:noProof/>
                <w:color w:val="000000" w:themeColor="text1"/>
                <w:sz w:val="20"/>
              </w:rPr>
              <w:t>135</w:t>
            </w:r>
          </w:p>
        </w:tc>
        <w:tc>
          <w:tcPr>
            <w:tcW w:w="845"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4251E849" w14:textId="77777777" w:rsidR="00BF22EA" w:rsidRPr="00797162" w:rsidRDefault="00BF22EA" w:rsidP="00BE7565">
            <w:pPr>
              <w:spacing w:before="0" w:after="0"/>
              <w:jc w:val="right"/>
              <w:rPr>
                <w:rFonts w:eastAsia="Times New Roman"/>
                <w:noProof/>
                <w:color w:val="000000" w:themeColor="text1"/>
                <w:sz w:val="20"/>
                <w:szCs w:val="20"/>
              </w:rPr>
            </w:pPr>
            <w:r w:rsidRPr="00797162">
              <w:rPr>
                <w:noProof/>
                <w:color w:val="000000" w:themeColor="text1"/>
                <w:sz w:val="20"/>
              </w:rPr>
              <w:t>103</w:t>
            </w:r>
          </w:p>
        </w:tc>
        <w:tc>
          <w:tcPr>
            <w:tcW w:w="850"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5B490AB7" w14:textId="77777777" w:rsidR="00BF22EA" w:rsidRPr="00797162" w:rsidRDefault="00BF22EA" w:rsidP="00BE7565">
            <w:pPr>
              <w:spacing w:before="0" w:after="0"/>
              <w:jc w:val="right"/>
              <w:rPr>
                <w:rFonts w:eastAsia="Times New Roman"/>
                <w:noProof/>
                <w:color w:val="000000" w:themeColor="text1"/>
                <w:sz w:val="20"/>
                <w:szCs w:val="20"/>
              </w:rPr>
            </w:pPr>
            <w:r w:rsidRPr="00797162">
              <w:rPr>
                <w:noProof/>
                <w:color w:val="000000" w:themeColor="text1"/>
                <w:sz w:val="20"/>
              </w:rPr>
              <w:t>121</w:t>
            </w:r>
          </w:p>
        </w:tc>
        <w:tc>
          <w:tcPr>
            <w:tcW w:w="851"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1C2CF24A" w14:textId="77777777" w:rsidR="00BF22EA" w:rsidRPr="00797162" w:rsidRDefault="00BF22EA" w:rsidP="00BE7565">
            <w:pPr>
              <w:spacing w:before="0" w:after="0"/>
              <w:jc w:val="right"/>
              <w:rPr>
                <w:rFonts w:eastAsia="Times New Roman"/>
                <w:noProof/>
                <w:color w:val="000000" w:themeColor="text1"/>
                <w:sz w:val="20"/>
                <w:szCs w:val="20"/>
              </w:rPr>
            </w:pPr>
            <w:r w:rsidRPr="00797162">
              <w:rPr>
                <w:noProof/>
                <w:color w:val="000000" w:themeColor="text1"/>
                <w:sz w:val="20"/>
              </w:rPr>
              <w:t>128</w:t>
            </w:r>
          </w:p>
        </w:tc>
        <w:tc>
          <w:tcPr>
            <w:tcW w:w="992"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0357B244" w14:textId="77777777" w:rsidR="00BF22EA" w:rsidRPr="00797162" w:rsidRDefault="00BF22EA" w:rsidP="00BE7565">
            <w:pPr>
              <w:spacing w:before="0" w:after="0"/>
              <w:jc w:val="right"/>
              <w:rPr>
                <w:rFonts w:eastAsia="Times New Roman"/>
                <w:noProof/>
                <w:color w:val="000000" w:themeColor="text1"/>
                <w:sz w:val="20"/>
                <w:szCs w:val="20"/>
              </w:rPr>
            </w:pPr>
            <w:r w:rsidRPr="00797162">
              <w:rPr>
                <w:noProof/>
                <w:color w:val="000000" w:themeColor="text1"/>
                <w:sz w:val="20"/>
              </w:rPr>
              <w:t>144</w:t>
            </w:r>
          </w:p>
        </w:tc>
        <w:tc>
          <w:tcPr>
            <w:tcW w:w="851"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565E82B7" w14:textId="77777777" w:rsidR="00BF22EA" w:rsidRPr="00797162" w:rsidRDefault="00BF22EA" w:rsidP="00BE7565">
            <w:pPr>
              <w:spacing w:before="0" w:after="0"/>
              <w:jc w:val="right"/>
              <w:rPr>
                <w:rFonts w:eastAsia="Times New Roman"/>
                <w:noProof/>
                <w:color w:val="000000" w:themeColor="text1"/>
                <w:sz w:val="20"/>
                <w:szCs w:val="20"/>
              </w:rPr>
            </w:pPr>
            <w:r w:rsidRPr="00797162">
              <w:rPr>
                <w:noProof/>
                <w:color w:val="000000" w:themeColor="text1"/>
                <w:sz w:val="20"/>
              </w:rPr>
              <w:t>158</w:t>
            </w:r>
          </w:p>
        </w:tc>
        <w:tc>
          <w:tcPr>
            <w:tcW w:w="850"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02C9802C" w14:textId="77777777" w:rsidR="00BF22EA" w:rsidRPr="00797162" w:rsidRDefault="00BF22EA" w:rsidP="00BE7565">
            <w:pPr>
              <w:spacing w:before="0" w:after="0"/>
              <w:jc w:val="right"/>
              <w:rPr>
                <w:rFonts w:eastAsia="Times New Roman"/>
                <w:noProof/>
                <w:color w:val="000000" w:themeColor="text1"/>
                <w:sz w:val="20"/>
                <w:szCs w:val="20"/>
              </w:rPr>
            </w:pPr>
            <w:r w:rsidRPr="00797162">
              <w:rPr>
                <w:noProof/>
                <w:color w:val="000000" w:themeColor="text1"/>
                <w:sz w:val="20"/>
              </w:rPr>
              <w:t>177</w:t>
            </w:r>
          </w:p>
        </w:tc>
        <w:tc>
          <w:tcPr>
            <w:tcW w:w="155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746DBB9" w14:textId="77777777" w:rsidR="00BF22EA" w:rsidRPr="00797162" w:rsidRDefault="00BF22EA" w:rsidP="00BE7565">
            <w:pPr>
              <w:spacing w:before="0" w:after="0"/>
              <w:jc w:val="right"/>
              <w:rPr>
                <w:rFonts w:eastAsia="Times New Roman"/>
                <w:b/>
                <w:bCs/>
                <w:noProof/>
                <w:color w:val="000000" w:themeColor="text1"/>
                <w:sz w:val="20"/>
                <w:szCs w:val="20"/>
              </w:rPr>
            </w:pPr>
            <w:r w:rsidRPr="00797162">
              <w:rPr>
                <w:b/>
                <w:noProof/>
                <w:color w:val="000000" w:themeColor="text1"/>
                <w:sz w:val="20"/>
              </w:rPr>
              <w:t>966</w:t>
            </w:r>
          </w:p>
        </w:tc>
      </w:tr>
      <w:tr w:rsidR="00BF22EA" w:rsidRPr="00797162" w14:paraId="414A38C9" w14:textId="77777777" w:rsidTr="00BE7565">
        <w:trPr>
          <w:trHeight w:val="300"/>
        </w:trPr>
        <w:tc>
          <w:tcPr>
            <w:tcW w:w="3510" w:type="dxa"/>
            <w:vMerge/>
            <w:tcBorders>
              <w:top w:val="single" w:sz="0" w:space="0" w:color="auto"/>
              <w:left w:val="single" w:sz="0" w:space="0" w:color="auto"/>
              <w:bottom w:val="single" w:sz="0" w:space="0" w:color="auto"/>
              <w:right w:val="single" w:sz="0" w:space="0" w:color="auto"/>
            </w:tcBorders>
            <w:vAlign w:val="center"/>
          </w:tcPr>
          <w:p w14:paraId="655A43CA" w14:textId="77777777" w:rsidR="00BF22EA" w:rsidRPr="00797162" w:rsidRDefault="00BF22EA" w:rsidP="00BE7565">
            <w:pPr>
              <w:rPr>
                <w:noProof/>
              </w:rPr>
            </w:pPr>
          </w:p>
        </w:tc>
        <w:tc>
          <w:tcPr>
            <w:tcW w:w="1365" w:type="dxa"/>
            <w:tcBorders>
              <w:top w:val="single" w:sz="8" w:space="0" w:color="auto"/>
              <w:left w:val="nil"/>
              <w:bottom w:val="single" w:sz="8" w:space="0" w:color="auto"/>
              <w:right w:val="single" w:sz="8" w:space="0" w:color="auto"/>
            </w:tcBorders>
            <w:tcMar>
              <w:left w:w="108" w:type="dxa"/>
              <w:right w:w="108" w:type="dxa"/>
            </w:tcMar>
            <w:vAlign w:val="center"/>
          </w:tcPr>
          <w:p w14:paraId="52E77D30" w14:textId="77777777" w:rsidR="00BF22EA" w:rsidRPr="00797162" w:rsidRDefault="00BF22EA" w:rsidP="00BE7565">
            <w:pPr>
              <w:spacing w:before="0" w:after="0"/>
              <w:rPr>
                <w:rFonts w:eastAsia="Times New Roman"/>
                <w:noProof/>
                <w:sz w:val="18"/>
                <w:szCs w:val="18"/>
              </w:rPr>
            </w:pPr>
            <w:r w:rsidRPr="00797162">
              <w:rPr>
                <w:noProof/>
                <w:sz w:val="18"/>
              </w:rPr>
              <w:t>Maksed</w:t>
            </w:r>
          </w:p>
        </w:tc>
        <w:tc>
          <w:tcPr>
            <w:tcW w:w="9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BA8E5B" w14:textId="77777777" w:rsidR="00BF22EA" w:rsidRPr="00797162" w:rsidRDefault="00BF22EA" w:rsidP="00BE7565">
            <w:pPr>
              <w:spacing w:before="0" w:after="0"/>
              <w:jc w:val="center"/>
              <w:rPr>
                <w:rFonts w:eastAsia="Times New Roman"/>
                <w:noProof/>
                <w:sz w:val="14"/>
                <w:szCs w:val="14"/>
              </w:rPr>
            </w:pPr>
            <w:r w:rsidRPr="00797162">
              <w:rPr>
                <w:noProof/>
                <w:sz w:val="14"/>
              </w:rPr>
              <w:t>=2a+2b+2c+3</w:t>
            </w:r>
          </w:p>
        </w:tc>
        <w:tc>
          <w:tcPr>
            <w:tcW w:w="980"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0F3EC76" w14:textId="77777777" w:rsidR="00BF22EA" w:rsidRPr="00797162" w:rsidRDefault="00BF22EA" w:rsidP="00BE7565">
            <w:pPr>
              <w:spacing w:before="0" w:after="0"/>
              <w:jc w:val="right"/>
              <w:rPr>
                <w:rFonts w:eastAsia="Times New Roman"/>
                <w:noProof/>
                <w:color w:val="000000" w:themeColor="text1"/>
                <w:sz w:val="20"/>
                <w:szCs w:val="20"/>
              </w:rPr>
            </w:pPr>
            <w:r w:rsidRPr="00797162">
              <w:rPr>
                <w:noProof/>
                <w:color w:val="000000" w:themeColor="text1"/>
                <w:sz w:val="20"/>
              </w:rPr>
              <w:t>p.m.</w:t>
            </w:r>
          </w:p>
        </w:tc>
        <w:tc>
          <w:tcPr>
            <w:tcW w:w="845"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18C33593" w14:textId="77777777" w:rsidR="00BF22EA" w:rsidRPr="00797162" w:rsidRDefault="00BF22EA" w:rsidP="00BE7565">
            <w:pPr>
              <w:spacing w:before="0" w:after="0"/>
              <w:jc w:val="right"/>
              <w:rPr>
                <w:rFonts w:eastAsia="Times New Roman"/>
                <w:noProof/>
                <w:color w:val="000000" w:themeColor="text1"/>
                <w:sz w:val="20"/>
                <w:szCs w:val="20"/>
              </w:rPr>
            </w:pPr>
            <w:r w:rsidRPr="00797162">
              <w:rPr>
                <w:noProof/>
                <w:color w:val="000000" w:themeColor="text1"/>
                <w:sz w:val="20"/>
              </w:rPr>
              <w:t>p.m.</w:t>
            </w:r>
          </w:p>
        </w:tc>
        <w:tc>
          <w:tcPr>
            <w:tcW w:w="850"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13EAFF8D" w14:textId="77777777" w:rsidR="00BF22EA" w:rsidRPr="00797162" w:rsidRDefault="00BF22EA" w:rsidP="00BE7565">
            <w:pPr>
              <w:spacing w:before="0" w:after="0"/>
              <w:jc w:val="right"/>
              <w:rPr>
                <w:rFonts w:eastAsia="Times New Roman"/>
                <w:noProof/>
                <w:color w:val="000000" w:themeColor="text1"/>
                <w:sz w:val="20"/>
                <w:szCs w:val="20"/>
              </w:rPr>
            </w:pPr>
            <w:r w:rsidRPr="00797162">
              <w:rPr>
                <w:noProof/>
                <w:color w:val="000000" w:themeColor="text1"/>
                <w:sz w:val="20"/>
              </w:rPr>
              <w:t>p.m.</w:t>
            </w:r>
          </w:p>
        </w:tc>
        <w:tc>
          <w:tcPr>
            <w:tcW w:w="851"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395A9213" w14:textId="77777777" w:rsidR="00BF22EA" w:rsidRPr="00797162" w:rsidRDefault="00BF22EA" w:rsidP="00BE7565">
            <w:pPr>
              <w:spacing w:before="0" w:after="0"/>
              <w:jc w:val="right"/>
              <w:rPr>
                <w:rFonts w:eastAsia="Times New Roman"/>
                <w:noProof/>
                <w:color w:val="000000" w:themeColor="text1"/>
                <w:sz w:val="20"/>
                <w:szCs w:val="20"/>
              </w:rPr>
            </w:pPr>
            <w:r w:rsidRPr="00797162">
              <w:rPr>
                <w:noProof/>
                <w:color w:val="000000" w:themeColor="text1"/>
                <w:sz w:val="20"/>
              </w:rPr>
              <w:t>p.m.</w:t>
            </w:r>
          </w:p>
        </w:tc>
        <w:tc>
          <w:tcPr>
            <w:tcW w:w="992"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62A2B22D" w14:textId="77777777" w:rsidR="00BF22EA" w:rsidRPr="00797162" w:rsidRDefault="00BF22EA" w:rsidP="00BE7565">
            <w:pPr>
              <w:spacing w:before="0" w:after="0"/>
              <w:jc w:val="right"/>
              <w:rPr>
                <w:rFonts w:eastAsia="Times New Roman"/>
                <w:noProof/>
                <w:color w:val="000000" w:themeColor="text1"/>
                <w:sz w:val="20"/>
                <w:szCs w:val="20"/>
              </w:rPr>
            </w:pPr>
            <w:r w:rsidRPr="00797162">
              <w:rPr>
                <w:noProof/>
                <w:color w:val="000000" w:themeColor="text1"/>
                <w:sz w:val="20"/>
              </w:rPr>
              <w:t>p.m.</w:t>
            </w:r>
          </w:p>
        </w:tc>
        <w:tc>
          <w:tcPr>
            <w:tcW w:w="851"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169A48EF" w14:textId="77777777" w:rsidR="00BF22EA" w:rsidRPr="00797162" w:rsidRDefault="00BF22EA" w:rsidP="00BE7565">
            <w:pPr>
              <w:spacing w:before="0" w:after="0"/>
              <w:jc w:val="right"/>
              <w:rPr>
                <w:rFonts w:eastAsia="Times New Roman"/>
                <w:noProof/>
                <w:color w:val="000000" w:themeColor="text1"/>
                <w:sz w:val="20"/>
                <w:szCs w:val="20"/>
              </w:rPr>
            </w:pPr>
            <w:r w:rsidRPr="00797162">
              <w:rPr>
                <w:noProof/>
                <w:color w:val="000000" w:themeColor="text1"/>
                <w:sz w:val="20"/>
              </w:rPr>
              <w:t>p.m.</w:t>
            </w:r>
          </w:p>
        </w:tc>
        <w:tc>
          <w:tcPr>
            <w:tcW w:w="850"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37ECB179" w14:textId="77777777" w:rsidR="00BF22EA" w:rsidRPr="00797162" w:rsidRDefault="00BF22EA" w:rsidP="00BE7565">
            <w:pPr>
              <w:spacing w:before="0" w:after="0"/>
              <w:jc w:val="right"/>
              <w:rPr>
                <w:rFonts w:eastAsia="Times New Roman"/>
                <w:noProof/>
                <w:color w:val="000000" w:themeColor="text1"/>
                <w:sz w:val="20"/>
                <w:szCs w:val="20"/>
              </w:rPr>
            </w:pPr>
            <w:r w:rsidRPr="00797162">
              <w:rPr>
                <w:noProof/>
                <w:color w:val="000000" w:themeColor="text1"/>
                <w:sz w:val="20"/>
              </w:rPr>
              <w:t>p.m.</w:t>
            </w:r>
          </w:p>
        </w:tc>
        <w:tc>
          <w:tcPr>
            <w:tcW w:w="155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E612EB9" w14:textId="77777777" w:rsidR="00BF22EA" w:rsidRPr="00797162" w:rsidRDefault="00BF22EA" w:rsidP="00BE7565">
            <w:pPr>
              <w:spacing w:before="0" w:after="0"/>
              <w:jc w:val="right"/>
              <w:rPr>
                <w:rFonts w:eastAsia="Times New Roman"/>
                <w:b/>
                <w:bCs/>
                <w:noProof/>
                <w:color w:val="000000" w:themeColor="text1"/>
                <w:sz w:val="20"/>
                <w:szCs w:val="20"/>
              </w:rPr>
            </w:pPr>
            <w:r w:rsidRPr="00797162">
              <w:rPr>
                <w:b/>
                <w:noProof/>
                <w:color w:val="000000" w:themeColor="text1"/>
                <w:sz w:val="20"/>
              </w:rPr>
              <w:t>p.m.</w:t>
            </w:r>
          </w:p>
        </w:tc>
      </w:tr>
    </w:tbl>
    <w:p w14:paraId="57715F18" w14:textId="77777777" w:rsidR="00BF22EA" w:rsidRPr="00797162" w:rsidRDefault="00BF22EA" w:rsidP="00BF22EA">
      <w:pPr>
        <w:spacing w:before="0" w:after="0"/>
        <w:rPr>
          <w:noProof/>
        </w:rPr>
      </w:pPr>
    </w:p>
    <w:p w14:paraId="335A0106" w14:textId="77777777" w:rsidR="00BF22EA" w:rsidRPr="00797162" w:rsidRDefault="00BF22EA" w:rsidP="00BF22EA">
      <w:pPr>
        <w:spacing w:before="0" w:after="0"/>
        <w:rPr>
          <w:noProof/>
        </w:rPr>
      </w:pPr>
    </w:p>
    <w:p w14:paraId="1EE60CD6" w14:textId="77777777" w:rsidR="00BF22EA" w:rsidRPr="00797162" w:rsidRDefault="00D53C47" w:rsidP="00BF22EA">
      <w:pPr>
        <w:spacing w:before="0" w:after="0"/>
        <w:ind w:left="720" w:hanging="720"/>
        <w:rPr>
          <w:rFonts w:eastAsia="Times New Roman"/>
          <w:noProof/>
          <w:sz w:val="18"/>
          <w:szCs w:val="18"/>
        </w:rPr>
      </w:pPr>
      <w:hyperlink r:id="rId17" w:anchor="_ftnref1" w:history="1">
        <w:r w:rsidR="00BF22EA" w:rsidRPr="00797162">
          <w:rPr>
            <w:noProof/>
            <w:color w:val="0000FF"/>
            <w:sz w:val="20"/>
            <w:u w:val="single"/>
            <w:vertAlign w:val="superscript"/>
          </w:rPr>
          <w:t>[1]</w:t>
        </w:r>
      </w:hyperlink>
      <w:r w:rsidR="00BF22EA" w:rsidRPr="00797162">
        <w:rPr>
          <w:noProof/>
        </w:rPr>
        <w:tab/>
      </w:r>
      <w:r w:rsidR="00BF22EA" w:rsidRPr="00797162">
        <w:rPr>
          <w:noProof/>
          <w:sz w:val="18"/>
        </w:rPr>
        <w:t>Tehniline ja/või haldusabi ning ELi programmide ja/või meetmete rakendamist toetavad kulud (endised BA read), kaudne teadustegevus, otsene teadustegevus.</w:t>
      </w:r>
    </w:p>
    <w:p w14:paraId="7A87366B" w14:textId="77777777" w:rsidR="00BF22EA" w:rsidRPr="00797162" w:rsidRDefault="00BF22EA" w:rsidP="00BF22EA">
      <w:pPr>
        <w:rPr>
          <w:noProof/>
        </w:rPr>
      </w:pPr>
    </w:p>
    <w:p w14:paraId="303FAE6B" w14:textId="77777777" w:rsidR="00BF22EA" w:rsidRPr="00797162" w:rsidRDefault="00BF22EA" w:rsidP="00BF22EA">
      <w:pPr>
        <w:rPr>
          <w:rFonts w:eastAsia="Times New Roman"/>
          <w:noProof/>
          <w:szCs w:val="24"/>
        </w:rPr>
      </w:pPr>
    </w:p>
    <w:tbl>
      <w:tblPr>
        <w:tblW w:w="0" w:type="auto"/>
        <w:tblLayout w:type="fixed"/>
        <w:tblLook w:val="01E0" w:firstRow="1" w:lastRow="1" w:firstColumn="1" w:lastColumn="1" w:noHBand="0" w:noVBand="0"/>
      </w:tblPr>
      <w:tblGrid>
        <w:gridCol w:w="4875"/>
        <w:gridCol w:w="968"/>
        <w:gridCol w:w="8151"/>
      </w:tblGrid>
      <w:tr w:rsidR="00BF22EA" w:rsidRPr="00797162" w14:paraId="66AEE9AA" w14:textId="77777777" w:rsidTr="00BE7565">
        <w:trPr>
          <w:trHeight w:val="300"/>
        </w:trPr>
        <w:tc>
          <w:tcPr>
            <w:tcW w:w="48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1308FA" w14:textId="77777777" w:rsidR="00BF22EA" w:rsidRPr="00797162" w:rsidRDefault="00BF22EA" w:rsidP="00BE7565">
            <w:pPr>
              <w:spacing w:before="0" w:after="0"/>
              <w:rPr>
                <w:noProof/>
              </w:rPr>
            </w:pPr>
          </w:p>
          <w:p w14:paraId="734C2AF2" w14:textId="77777777" w:rsidR="00BF22EA" w:rsidRPr="00797162" w:rsidRDefault="00BF22EA" w:rsidP="00BE7565">
            <w:pPr>
              <w:spacing w:before="60" w:after="60"/>
              <w:jc w:val="center"/>
              <w:rPr>
                <w:rFonts w:eastAsia="Times New Roman"/>
                <w:b/>
                <w:bCs/>
                <w:noProof/>
                <w:sz w:val="22"/>
              </w:rPr>
            </w:pPr>
            <w:r w:rsidRPr="00797162">
              <w:rPr>
                <w:b/>
                <w:noProof/>
                <w:sz w:val="22"/>
              </w:rPr>
              <w:t xml:space="preserve">Mitmeaastase finantsraamistiku rubriik </w:t>
            </w:r>
          </w:p>
        </w:tc>
        <w:tc>
          <w:tcPr>
            <w:tcW w:w="96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1874BC" w14:textId="77777777" w:rsidR="00BF22EA" w:rsidRPr="00797162" w:rsidRDefault="00BF22EA" w:rsidP="00BE7565">
            <w:pPr>
              <w:spacing w:before="60" w:after="60"/>
              <w:jc w:val="center"/>
              <w:rPr>
                <w:rFonts w:eastAsia="Times New Roman"/>
                <w:noProof/>
                <w:szCs w:val="24"/>
              </w:rPr>
            </w:pPr>
            <w:r w:rsidRPr="00797162">
              <w:rPr>
                <w:noProof/>
              </w:rPr>
              <w:t>4</w:t>
            </w:r>
          </w:p>
        </w:tc>
        <w:tc>
          <w:tcPr>
            <w:tcW w:w="81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431CA6" w14:textId="77777777" w:rsidR="00BF22EA" w:rsidRPr="00797162" w:rsidRDefault="00BF22EA" w:rsidP="00BE7565">
            <w:pPr>
              <w:spacing w:before="60" w:after="60"/>
              <w:rPr>
                <w:rFonts w:eastAsia="Times New Roman"/>
                <w:noProof/>
                <w:color w:val="0000FF"/>
                <w:sz w:val="22"/>
                <w:u w:val="single"/>
                <w:vertAlign w:val="superscript"/>
              </w:rPr>
            </w:pPr>
            <w:r w:rsidRPr="00797162">
              <w:rPr>
                <w:noProof/>
                <w:sz w:val="22"/>
              </w:rPr>
              <w:t>Halduskulud</w:t>
            </w:r>
            <w:hyperlink r:id="rId18" w:anchor="_ftn1" w:history="1">
              <w:r w:rsidRPr="00797162">
                <w:rPr>
                  <w:noProof/>
                  <w:color w:val="0000FF"/>
                  <w:sz w:val="22"/>
                  <w:u w:val="single"/>
                  <w:vertAlign w:val="superscript"/>
                </w:rPr>
                <w:t>[1]</w:t>
              </w:r>
            </w:hyperlink>
          </w:p>
        </w:tc>
      </w:tr>
    </w:tbl>
    <w:p w14:paraId="5F470509" w14:textId="77777777" w:rsidR="00BF22EA" w:rsidRPr="00797162" w:rsidRDefault="00BF22EA" w:rsidP="00BF22EA">
      <w:pPr>
        <w:rPr>
          <w:rFonts w:eastAsia="Times New Roman"/>
          <w:noProof/>
          <w:szCs w:val="24"/>
        </w:rPr>
      </w:pPr>
      <w:r w:rsidRPr="00797162">
        <w:rPr>
          <w:noProof/>
        </w:rPr>
        <w:t xml:space="preserve"> </w:t>
      </w:r>
    </w:p>
    <w:tbl>
      <w:tblPr>
        <w:tblW w:w="14034" w:type="dxa"/>
        <w:tblInd w:w="-10" w:type="dxa"/>
        <w:tblLayout w:type="fixed"/>
        <w:tblLook w:val="04A0" w:firstRow="1" w:lastRow="0" w:firstColumn="1" w:lastColumn="0" w:noHBand="0" w:noVBand="1"/>
      </w:tblPr>
      <w:tblGrid>
        <w:gridCol w:w="2395"/>
        <w:gridCol w:w="1716"/>
        <w:gridCol w:w="1134"/>
        <w:gridCol w:w="1134"/>
        <w:gridCol w:w="1276"/>
        <w:gridCol w:w="1134"/>
        <w:gridCol w:w="1276"/>
        <w:gridCol w:w="1275"/>
        <w:gridCol w:w="1134"/>
        <w:gridCol w:w="1560"/>
      </w:tblGrid>
      <w:tr w:rsidR="00BF22EA" w:rsidRPr="00797162" w14:paraId="106B9776" w14:textId="77777777" w:rsidTr="00BE7565">
        <w:trPr>
          <w:trHeight w:val="405"/>
        </w:trPr>
        <w:tc>
          <w:tcPr>
            <w:tcW w:w="4111" w:type="dxa"/>
            <w:gridSpan w:val="2"/>
            <w:vMerge w:val="restart"/>
            <w:tcBorders>
              <w:top w:val="single" w:sz="8" w:space="0" w:color="auto"/>
              <w:left w:val="single" w:sz="8" w:space="0" w:color="auto"/>
              <w:bottom w:val="nil"/>
              <w:right w:val="single" w:sz="8" w:space="0" w:color="000000" w:themeColor="text1"/>
            </w:tcBorders>
            <w:tcMar>
              <w:left w:w="108" w:type="dxa"/>
              <w:right w:w="108" w:type="dxa"/>
            </w:tcMar>
            <w:vAlign w:val="center"/>
          </w:tcPr>
          <w:p w14:paraId="429901C9" w14:textId="77777777" w:rsidR="00BF22EA" w:rsidRPr="00797162" w:rsidRDefault="00BF22EA" w:rsidP="00BE7565">
            <w:pPr>
              <w:spacing w:before="0" w:after="0"/>
              <w:jc w:val="center"/>
              <w:rPr>
                <w:rFonts w:eastAsia="Times New Roman"/>
                <w:noProof/>
                <w:szCs w:val="24"/>
              </w:rPr>
            </w:pPr>
            <w:r w:rsidRPr="00797162">
              <w:rPr>
                <w:noProof/>
              </w:rPr>
              <w:t>PEADIREKTORAAT: &lt;…….&gt;</w:t>
            </w:r>
          </w:p>
        </w:tc>
        <w:tc>
          <w:tcPr>
            <w:tcW w:w="1134" w:type="dxa"/>
            <w:tcBorders>
              <w:top w:val="single" w:sz="8" w:space="0" w:color="auto"/>
              <w:left w:val="nil"/>
              <w:bottom w:val="nil"/>
              <w:right w:val="single" w:sz="8" w:space="0" w:color="auto"/>
            </w:tcBorders>
            <w:tcMar>
              <w:left w:w="108" w:type="dxa"/>
              <w:right w:w="108" w:type="dxa"/>
            </w:tcMar>
            <w:vAlign w:val="center"/>
          </w:tcPr>
          <w:p w14:paraId="02E65BDB" w14:textId="77777777" w:rsidR="00BF22EA" w:rsidRPr="00797162" w:rsidRDefault="00BF22EA" w:rsidP="00BE7565">
            <w:pPr>
              <w:spacing w:before="0" w:after="0"/>
              <w:jc w:val="center"/>
              <w:rPr>
                <w:rFonts w:eastAsia="Times New Roman"/>
                <w:noProof/>
                <w:sz w:val="20"/>
                <w:szCs w:val="20"/>
              </w:rPr>
            </w:pPr>
            <w:r w:rsidRPr="00797162">
              <w:rPr>
                <w:noProof/>
                <w:sz w:val="20"/>
              </w:rPr>
              <w:t>Aasta</w:t>
            </w:r>
          </w:p>
        </w:tc>
        <w:tc>
          <w:tcPr>
            <w:tcW w:w="1134" w:type="dxa"/>
            <w:tcBorders>
              <w:top w:val="single" w:sz="8" w:space="0" w:color="auto"/>
              <w:left w:val="single" w:sz="8" w:space="0" w:color="auto"/>
              <w:bottom w:val="nil"/>
              <w:right w:val="single" w:sz="8" w:space="0" w:color="auto"/>
            </w:tcBorders>
            <w:tcMar>
              <w:left w:w="108" w:type="dxa"/>
              <w:right w:w="108" w:type="dxa"/>
            </w:tcMar>
            <w:vAlign w:val="center"/>
          </w:tcPr>
          <w:p w14:paraId="5A5EA03F" w14:textId="77777777" w:rsidR="00BF22EA" w:rsidRPr="00797162" w:rsidRDefault="00BF22EA" w:rsidP="00BE7565">
            <w:pPr>
              <w:spacing w:before="0" w:after="0"/>
              <w:jc w:val="center"/>
              <w:rPr>
                <w:rFonts w:eastAsia="Times New Roman"/>
                <w:noProof/>
                <w:sz w:val="20"/>
                <w:szCs w:val="20"/>
              </w:rPr>
            </w:pPr>
            <w:r w:rsidRPr="00797162">
              <w:rPr>
                <w:noProof/>
                <w:sz w:val="20"/>
              </w:rPr>
              <w:t>Aasta</w:t>
            </w:r>
          </w:p>
        </w:tc>
        <w:tc>
          <w:tcPr>
            <w:tcW w:w="1276" w:type="dxa"/>
            <w:tcBorders>
              <w:top w:val="single" w:sz="8" w:space="0" w:color="auto"/>
              <w:left w:val="single" w:sz="8" w:space="0" w:color="auto"/>
              <w:bottom w:val="nil"/>
              <w:right w:val="single" w:sz="8" w:space="0" w:color="auto"/>
            </w:tcBorders>
            <w:tcMar>
              <w:left w:w="108" w:type="dxa"/>
              <w:right w:w="108" w:type="dxa"/>
            </w:tcMar>
            <w:vAlign w:val="center"/>
          </w:tcPr>
          <w:p w14:paraId="7B3679DC" w14:textId="77777777" w:rsidR="00BF22EA" w:rsidRPr="00797162" w:rsidRDefault="00BF22EA" w:rsidP="00BE7565">
            <w:pPr>
              <w:spacing w:before="0" w:after="0"/>
              <w:jc w:val="center"/>
              <w:rPr>
                <w:rFonts w:eastAsia="Times New Roman"/>
                <w:noProof/>
                <w:sz w:val="20"/>
                <w:szCs w:val="20"/>
              </w:rPr>
            </w:pPr>
            <w:r w:rsidRPr="00797162">
              <w:rPr>
                <w:noProof/>
                <w:sz w:val="20"/>
              </w:rPr>
              <w:t>Aasta</w:t>
            </w:r>
          </w:p>
        </w:tc>
        <w:tc>
          <w:tcPr>
            <w:tcW w:w="1134" w:type="dxa"/>
            <w:tcBorders>
              <w:top w:val="single" w:sz="8" w:space="0" w:color="auto"/>
              <w:left w:val="single" w:sz="8" w:space="0" w:color="auto"/>
              <w:bottom w:val="nil"/>
              <w:right w:val="single" w:sz="8" w:space="0" w:color="auto"/>
            </w:tcBorders>
            <w:tcMar>
              <w:left w:w="108" w:type="dxa"/>
              <w:right w:w="108" w:type="dxa"/>
            </w:tcMar>
            <w:vAlign w:val="center"/>
          </w:tcPr>
          <w:p w14:paraId="73EDF01E" w14:textId="77777777" w:rsidR="00BF22EA" w:rsidRPr="00797162" w:rsidRDefault="00BF22EA" w:rsidP="00BE7565">
            <w:pPr>
              <w:spacing w:before="0" w:after="0"/>
              <w:jc w:val="center"/>
              <w:rPr>
                <w:rFonts w:eastAsia="Times New Roman"/>
                <w:noProof/>
                <w:sz w:val="20"/>
                <w:szCs w:val="20"/>
              </w:rPr>
            </w:pPr>
            <w:r w:rsidRPr="00797162">
              <w:rPr>
                <w:noProof/>
                <w:sz w:val="20"/>
              </w:rPr>
              <w:t>Aasta</w:t>
            </w:r>
          </w:p>
        </w:tc>
        <w:tc>
          <w:tcPr>
            <w:tcW w:w="1276" w:type="dxa"/>
            <w:tcBorders>
              <w:top w:val="single" w:sz="8" w:space="0" w:color="auto"/>
              <w:left w:val="single" w:sz="8" w:space="0" w:color="auto"/>
              <w:bottom w:val="nil"/>
              <w:right w:val="single" w:sz="8" w:space="0" w:color="auto"/>
            </w:tcBorders>
            <w:tcMar>
              <w:left w:w="108" w:type="dxa"/>
              <w:right w:w="108" w:type="dxa"/>
            </w:tcMar>
            <w:vAlign w:val="center"/>
          </w:tcPr>
          <w:p w14:paraId="0A21B134" w14:textId="77777777" w:rsidR="00BF22EA" w:rsidRPr="00797162" w:rsidRDefault="00BF22EA" w:rsidP="00BE7565">
            <w:pPr>
              <w:spacing w:before="0" w:after="0"/>
              <w:jc w:val="center"/>
              <w:rPr>
                <w:rFonts w:eastAsia="Times New Roman"/>
                <w:noProof/>
                <w:sz w:val="20"/>
                <w:szCs w:val="20"/>
              </w:rPr>
            </w:pPr>
            <w:r w:rsidRPr="00797162">
              <w:rPr>
                <w:noProof/>
                <w:sz w:val="20"/>
              </w:rPr>
              <w:t>Aasta</w:t>
            </w:r>
          </w:p>
        </w:tc>
        <w:tc>
          <w:tcPr>
            <w:tcW w:w="1275" w:type="dxa"/>
            <w:tcBorders>
              <w:top w:val="single" w:sz="8" w:space="0" w:color="auto"/>
              <w:left w:val="single" w:sz="8" w:space="0" w:color="auto"/>
              <w:bottom w:val="nil"/>
              <w:right w:val="single" w:sz="8" w:space="0" w:color="auto"/>
            </w:tcBorders>
            <w:tcMar>
              <w:left w:w="108" w:type="dxa"/>
              <w:right w:w="108" w:type="dxa"/>
            </w:tcMar>
            <w:vAlign w:val="center"/>
          </w:tcPr>
          <w:p w14:paraId="4997C692" w14:textId="77777777" w:rsidR="00BF22EA" w:rsidRPr="00797162" w:rsidRDefault="00BF22EA" w:rsidP="00BE7565">
            <w:pPr>
              <w:spacing w:before="0" w:after="0"/>
              <w:jc w:val="center"/>
              <w:rPr>
                <w:rFonts w:eastAsia="Times New Roman"/>
                <w:noProof/>
                <w:sz w:val="20"/>
                <w:szCs w:val="20"/>
              </w:rPr>
            </w:pPr>
            <w:r w:rsidRPr="00797162">
              <w:rPr>
                <w:noProof/>
                <w:sz w:val="20"/>
              </w:rPr>
              <w:t>Aasta</w:t>
            </w:r>
          </w:p>
        </w:tc>
        <w:tc>
          <w:tcPr>
            <w:tcW w:w="1134" w:type="dxa"/>
            <w:tcBorders>
              <w:top w:val="single" w:sz="8" w:space="0" w:color="auto"/>
              <w:left w:val="single" w:sz="8" w:space="0" w:color="auto"/>
              <w:bottom w:val="nil"/>
              <w:right w:val="single" w:sz="8" w:space="0" w:color="auto"/>
            </w:tcBorders>
            <w:tcMar>
              <w:left w:w="108" w:type="dxa"/>
              <w:right w:w="108" w:type="dxa"/>
            </w:tcMar>
            <w:vAlign w:val="center"/>
          </w:tcPr>
          <w:p w14:paraId="5EA9AF18" w14:textId="77777777" w:rsidR="00BF22EA" w:rsidRPr="00797162" w:rsidRDefault="00BF22EA" w:rsidP="00BE7565">
            <w:pPr>
              <w:spacing w:before="0" w:after="0"/>
              <w:jc w:val="center"/>
              <w:rPr>
                <w:rFonts w:eastAsia="Times New Roman"/>
                <w:noProof/>
                <w:sz w:val="20"/>
                <w:szCs w:val="20"/>
              </w:rPr>
            </w:pPr>
            <w:r w:rsidRPr="00797162">
              <w:rPr>
                <w:noProof/>
                <w:sz w:val="20"/>
              </w:rPr>
              <w:t>Aasta</w:t>
            </w:r>
          </w:p>
        </w:tc>
        <w:tc>
          <w:tcPr>
            <w:tcW w:w="1560" w:type="dxa"/>
            <w:vMerge w:val="restart"/>
            <w:tcBorders>
              <w:top w:val="single" w:sz="8" w:space="0" w:color="auto"/>
              <w:left w:val="single" w:sz="8" w:space="0" w:color="auto"/>
              <w:bottom w:val="nil"/>
              <w:right w:val="single" w:sz="8" w:space="0" w:color="auto"/>
            </w:tcBorders>
            <w:tcMar>
              <w:left w:w="108" w:type="dxa"/>
              <w:right w:w="108" w:type="dxa"/>
            </w:tcMar>
            <w:vAlign w:val="center"/>
          </w:tcPr>
          <w:p w14:paraId="2EAF26AD" w14:textId="77777777" w:rsidR="00BF22EA" w:rsidRPr="00797162" w:rsidRDefault="00BF22EA" w:rsidP="00BE7565">
            <w:pPr>
              <w:spacing w:before="0" w:after="0"/>
              <w:jc w:val="center"/>
              <w:rPr>
                <w:rFonts w:eastAsia="Times New Roman"/>
                <w:b/>
                <w:bCs/>
                <w:noProof/>
                <w:sz w:val="20"/>
                <w:szCs w:val="20"/>
              </w:rPr>
            </w:pPr>
            <w:r w:rsidRPr="00797162">
              <w:rPr>
                <w:b/>
                <w:noProof/>
                <w:sz w:val="20"/>
              </w:rPr>
              <w:t>Mitmeaastane finantsraamistik 2028–2034 KOKKU</w:t>
            </w:r>
          </w:p>
        </w:tc>
      </w:tr>
      <w:tr w:rsidR="00BF22EA" w:rsidRPr="00797162" w14:paraId="3D4D3750" w14:textId="77777777" w:rsidTr="00BE7565">
        <w:trPr>
          <w:trHeight w:val="300"/>
        </w:trPr>
        <w:tc>
          <w:tcPr>
            <w:tcW w:w="4111" w:type="dxa"/>
            <w:gridSpan w:val="2"/>
            <w:vMerge/>
            <w:tcBorders>
              <w:left w:val="single" w:sz="0" w:space="0" w:color="auto"/>
              <w:right w:val="single" w:sz="0" w:space="0" w:color="000000" w:themeColor="text1"/>
            </w:tcBorders>
            <w:vAlign w:val="center"/>
          </w:tcPr>
          <w:p w14:paraId="0A9E50D4" w14:textId="77777777" w:rsidR="00BF22EA" w:rsidRPr="00797162" w:rsidRDefault="00BF22EA" w:rsidP="00BE7565">
            <w:pPr>
              <w:rPr>
                <w:noProof/>
              </w:rPr>
            </w:pPr>
          </w:p>
        </w:tc>
        <w:tc>
          <w:tcPr>
            <w:tcW w:w="1134" w:type="dxa"/>
            <w:tcBorders>
              <w:top w:val="nil"/>
              <w:left w:val="nil"/>
              <w:bottom w:val="single" w:sz="8" w:space="0" w:color="auto"/>
              <w:right w:val="single" w:sz="8" w:space="0" w:color="auto"/>
            </w:tcBorders>
            <w:tcMar>
              <w:left w:w="108" w:type="dxa"/>
              <w:right w:w="108" w:type="dxa"/>
            </w:tcMar>
            <w:vAlign w:val="center"/>
          </w:tcPr>
          <w:p w14:paraId="768F8903" w14:textId="77777777" w:rsidR="00BF22EA" w:rsidRPr="00797162" w:rsidRDefault="00BF22EA" w:rsidP="00BE7565">
            <w:pPr>
              <w:spacing w:before="0" w:after="0"/>
              <w:jc w:val="center"/>
              <w:rPr>
                <w:rFonts w:eastAsia="Times New Roman"/>
                <w:b/>
                <w:bCs/>
                <w:noProof/>
                <w:sz w:val="20"/>
                <w:szCs w:val="20"/>
              </w:rPr>
            </w:pPr>
            <w:r w:rsidRPr="00797162">
              <w:rPr>
                <w:b/>
                <w:noProof/>
                <w:sz w:val="20"/>
              </w:rPr>
              <w:t>2028</w:t>
            </w:r>
          </w:p>
        </w:tc>
        <w:tc>
          <w:tcPr>
            <w:tcW w:w="1134" w:type="dxa"/>
            <w:tcBorders>
              <w:top w:val="nil"/>
              <w:left w:val="single" w:sz="8" w:space="0" w:color="auto"/>
              <w:bottom w:val="single" w:sz="8" w:space="0" w:color="auto"/>
              <w:right w:val="single" w:sz="8" w:space="0" w:color="auto"/>
            </w:tcBorders>
            <w:tcMar>
              <w:left w:w="108" w:type="dxa"/>
              <w:right w:w="108" w:type="dxa"/>
            </w:tcMar>
            <w:vAlign w:val="center"/>
          </w:tcPr>
          <w:p w14:paraId="7B883A89" w14:textId="77777777" w:rsidR="00BF22EA" w:rsidRPr="00797162" w:rsidRDefault="00BF22EA" w:rsidP="00BE7565">
            <w:pPr>
              <w:spacing w:before="0" w:after="0"/>
              <w:jc w:val="center"/>
              <w:rPr>
                <w:rFonts w:eastAsia="Times New Roman"/>
                <w:b/>
                <w:bCs/>
                <w:noProof/>
                <w:sz w:val="20"/>
                <w:szCs w:val="20"/>
              </w:rPr>
            </w:pPr>
            <w:r w:rsidRPr="00797162">
              <w:rPr>
                <w:b/>
                <w:noProof/>
                <w:sz w:val="20"/>
              </w:rPr>
              <w:t>2029</w:t>
            </w:r>
          </w:p>
        </w:tc>
        <w:tc>
          <w:tcPr>
            <w:tcW w:w="1276" w:type="dxa"/>
            <w:tcBorders>
              <w:top w:val="nil"/>
              <w:left w:val="single" w:sz="8" w:space="0" w:color="auto"/>
              <w:bottom w:val="single" w:sz="8" w:space="0" w:color="auto"/>
              <w:right w:val="single" w:sz="8" w:space="0" w:color="auto"/>
            </w:tcBorders>
            <w:tcMar>
              <w:left w:w="108" w:type="dxa"/>
              <w:right w:w="108" w:type="dxa"/>
            </w:tcMar>
            <w:vAlign w:val="center"/>
          </w:tcPr>
          <w:p w14:paraId="343AA31D" w14:textId="77777777" w:rsidR="00BF22EA" w:rsidRPr="00797162" w:rsidRDefault="00BF22EA" w:rsidP="00BE7565">
            <w:pPr>
              <w:spacing w:before="0" w:after="0"/>
              <w:jc w:val="center"/>
              <w:rPr>
                <w:rFonts w:eastAsia="Times New Roman"/>
                <w:b/>
                <w:bCs/>
                <w:noProof/>
                <w:sz w:val="20"/>
                <w:szCs w:val="20"/>
              </w:rPr>
            </w:pPr>
            <w:r w:rsidRPr="00797162">
              <w:rPr>
                <w:b/>
                <w:noProof/>
                <w:sz w:val="20"/>
              </w:rPr>
              <w:t>2030</w:t>
            </w:r>
          </w:p>
        </w:tc>
        <w:tc>
          <w:tcPr>
            <w:tcW w:w="1134" w:type="dxa"/>
            <w:tcBorders>
              <w:top w:val="nil"/>
              <w:left w:val="single" w:sz="8" w:space="0" w:color="auto"/>
              <w:bottom w:val="single" w:sz="8" w:space="0" w:color="auto"/>
              <w:right w:val="single" w:sz="8" w:space="0" w:color="auto"/>
            </w:tcBorders>
            <w:tcMar>
              <w:left w:w="108" w:type="dxa"/>
              <w:right w:w="108" w:type="dxa"/>
            </w:tcMar>
            <w:vAlign w:val="center"/>
          </w:tcPr>
          <w:p w14:paraId="4890676D" w14:textId="77777777" w:rsidR="00BF22EA" w:rsidRPr="00797162" w:rsidRDefault="00BF22EA" w:rsidP="00BE7565">
            <w:pPr>
              <w:spacing w:before="0" w:after="0"/>
              <w:jc w:val="center"/>
              <w:rPr>
                <w:rFonts w:eastAsia="Times New Roman"/>
                <w:b/>
                <w:bCs/>
                <w:noProof/>
                <w:sz w:val="20"/>
                <w:szCs w:val="20"/>
              </w:rPr>
            </w:pPr>
            <w:r w:rsidRPr="00797162">
              <w:rPr>
                <w:b/>
                <w:noProof/>
                <w:sz w:val="20"/>
              </w:rPr>
              <w:t>2031</w:t>
            </w:r>
          </w:p>
        </w:tc>
        <w:tc>
          <w:tcPr>
            <w:tcW w:w="1276" w:type="dxa"/>
            <w:tcBorders>
              <w:top w:val="nil"/>
              <w:left w:val="single" w:sz="8" w:space="0" w:color="auto"/>
              <w:bottom w:val="single" w:sz="8" w:space="0" w:color="auto"/>
              <w:right w:val="single" w:sz="8" w:space="0" w:color="auto"/>
            </w:tcBorders>
            <w:tcMar>
              <w:left w:w="108" w:type="dxa"/>
              <w:right w:w="108" w:type="dxa"/>
            </w:tcMar>
            <w:vAlign w:val="center"/>
          </w:tcPr>
          <w:p w14:paraId="66DC9CE8" w14:textId="77777777" w:rsidR="00BF22EA" w:rsidRPr="00797162" w:rsidRDefault="00BF22EA" w:rsidP="00BE7565">
            <w:pPr>
              <w:spacing w:before="0" w:after="0"/>
              <w:jc w:val="center"/>
              <w:rPr>
                <w:rFonts w:eastAsia="Times New Roman"/>
                <w:b/>
                <w:bCs/>
                <w:noProof/>
                <w:sz w:val="20"/>
                <w:szCs w:val="20"/>
              </w:rPr>
            </w:pPr>
            <w:r w:rsidRPr="00797162">
              <w:rPr>
                <w:b/>
                <w:noProof/>
                <w:sz w:val="20"/>
              </w:rPr>
              <w:t>2032</w:t>
            </w:r>
          </w:p>
        </w:tc>
        <w:tc>
          <w:tcPr>
            <w:tcW w:w="1275" w:type="dxa"/>
            <w:tcBorders>
              <w:top w:val="nil"/>
              <w:left w:val="single" w:sz="8" w:space="0" w:color="auto"/>
              <w:bottom w:val="single" w:sz="8" w:space="0" w:color="auto"/>
              <w:right w:val="single" w:sz="8" w:space="0" w:color="auto"/>
            </w:tcBorders>
            <w:tcMar>
              <w:left w:w="108" w:type="dxa"/>
              <w:right w:w="108" w:type="dxa"/>
            </w:tcMar>
            <w:vAlign w:val="center"/>
          </w:tcPr>
          <w:p w14:paraId="387C6818" w14:textId="77777777" w:rsidR="00BF22EA" w:rsidRPr="00797162" w:rsidRDefault="00BF22EA" w:rsidP="00BE7565">
            <w:pPr>
              <w:spacing w:before="0" w:after="0"/>
              <w:jc w:val="center"/>
              <w:rPr>
                <w:rFonts w:eastAsia="Times New Roman"/>
                <w:b/>
                <w:bCs/>
                <w:noProof/>
                <w:sz w:val="20"/>
                <w:szCs w:val="20"/>
              </w:rPr>
            </w:pPr>
            <w:r w:rsidRPr="00797162">
              <w:rPr>
                <w:b/>
                <w:noProof/>
                <w:sz w:val="20"/>
              </w:rPr>
              <w:t>2033</w:t>
            </w:r>
          </w:p>
        </w:tc>
        <w:tc>
          <w:tcPr>
            <w:tcW w:w="1134" w:type="dxa"/>
            <w:tcBorders>
              <w:top w:val="nil"/>
              <w:left w:val="single" w:sz="8" w:space="0" w:color="auto"/>
              <w:bottom w:val="single" w:sz="8" w:space="0" w:color="auto"/>
              <w:right w:val="single" w:sz="8" w:space="0" w:color="auto"/>
            </w:tcBorders>
            <w:tcMar>
              <w:left w:w="108" w:type="dxa"/>
              <w:right w:w="108" w:type="dxa"/>
            </w:tcMar>
            <w:vAlign w:val="center"/>
          </w:tcPr>
          <w:p w14:paraId="17B22535" w14:textId="77777777" w:rsidR="00BF22EA" w:rsidRPr="00797162" w:rsidRDefault="00BF22EA" w:rsidP="00BE7565">
            <w:pPr>
              <w:spacing w:before="0" w:after="0"/>
              <w:jc w:val="center"/>
              <w:rPr>
                <w:rFonts w:eastAsia="Times New Roman"/>
                <w:b/>
                <w:bCs/>
                <w:noProof/>
                <w:sz w:val="20"/>
                <w:szCs w:val="20"/>
              </w:rPr>
            </w:pPr>
            <w:r w:rsidRPr="00797162">
              <w:rPr>
                <w:b/>
                <w:noProof/>
                <w:sz w:val="20"/>
              </w:rPr>
              <w:t>2034</w:t>
            </w:r>
          </w:p>
        </w:tc>
        <w:tc>
          <w:tcPr>
            <w:tcW w:w="1560" w:type="dxa"/>
            <w:vMerge/>
            <w:tcBorders>
              <w:left w:val="single" w:sz="0" w:space="0" w:color="auto"/>
              <w:right w:val="single" w:sz="0" w:space="0" w:color="auto"/>
            </w:tcBorders>
            <w:vAlign w:val="center"/>
          </w:tcPr>
          <w:p w14:paraId="284A167B" w14:textId="77777777" w:rsidR="00BF22EA" w:rsidRPr="00797162" w:rsidRDefault="00BF22EA" w:rsidP="00BE7565">
            <w:pPr>
              <w:rPr>
                <w:noProof/>
              </w:rPr>
            </w:pPr>
          </w:p>
        </w:tc>
      </w:tr>
      <w:tr w:rsidR="00BF22EA" w:rsidRPr="00797162" w14:paraId="6F1ED58C" w14:textId="77777777" w:rsidTr="00BE7565">
        <w:trPr>
          <w:trHeight w:val="300"/>
        </w:trPr>
        <w:tc>
          <w:tcPr>
            <w:tcW w:w="4111" w:type="dxa"/>
            <w:gridSpan w:val="2"/>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564FCE9B" w14:textId="77777777" w:rsidR="00BF22EA" w:rsidRPr="00797162" w:rsidRDefault="00BF22EA" w:rsidP="00BE7565">
            <w:pPr>
              <w:spacing w:before="0" w:after="0"/>
              <w:jc w:val="left"/>
              <w:rPr>
                <w:rFonts w:eastAsia="Times New Roman"/>
                <w:noProof/>
                <w:sz w:val="22"/>
              </w:rPr>
            </w:pPr>
            <w:r w:rsidRPr="00797162">
              <w:rPr>
                <w:noProof/>
                <w:sz w:val="22"/>
              </w:rPr>
              <w:t xml:space="preserve">Personalikulud </w:t>
            </w:r>
          </w:p>
        </w:tc>
        <w:tc>
          <w:tcPr>
            <w:tcW w:w="1134"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4EB5E248" w14:textId="77777777" w:rsidR="00BF22EA" w:rsidRPr="00797162" w:rsidRDefault="00BF22EA" w:rsidP="00BE7565">
            <w:pPr>
              <w:spacing w:before="0" w:after="0"/>
              <w:jc w:val="right"/>
              <w:rPr>
                <w:rFonts w:eastAsia="Times New Roman"/>
                <w:noProof/>
                <w:color w:val="000000" w:themeColor="text1"/>
                <w:sz w:val="20"/>
                <w:szCs w:val="20"/>
              </w:rPr>
            </w:pPr>
            <w:r w:rsidRPr="00797162">
              <w:rPr>
                <w:noProof/>
                <w:color w:val="000000" w:themeColor="text1"/>
                <w:sz w:val="20"/>
              </w:rPr>
              <w:t>4,136</w:t>
            </w:r>
          </w:p>
        </w:tc>
        <w:tc>
          <w:tcPr>
            <w:tcW w:w="11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2B6B30F" w14:textId="77777777" w:rsidR="00BF22EA" w:rsidRPr="00797162" w:rsidRDefault="00BF22EA" w:rsidP="00BE7565">
            <w:pPr>
              <w:spacing w:before="0" w:after="0"/>
              <w:jc w:val="right"/>
              <w:rPr>
                <w:rFonts w:eastAsia="Times New Roman"/>
                <w:noProof/>
                <w:color w:val="000000" w:themeColor="text1"/>
                <w:sz w:val="20"/>
                <w:szCs w:val="20"/>
              </w:rPr>
            </w:pPr>
            <w:r w:rsidRPr="00797162">
              <w:rPr>
                <w:noProof/>
                <w:color w:val="000000" w:themeColor="text1"/>
                <w:sz w:val="20"/>
              </w:rPr>
              <w:t>4,136</w:t>
            </w: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6000431" w14:textId="77777777" w:rsidR="00BF22EA" w:rsidRPr="00797162" w:rsidRDefault="00BF22EA" w:rsidP="00BE7565">
            <w:pPr>
              <w:spacing w:before="0" w:after="0"/>
              <w:jc w:val="right"/>
              <w:rPr>
                <w:rFonts w:eastAsia="Times New Roman"/>
                <w:noProof/>
                <w:color w:val="000000" w:themeColor="text1"/>
                <w:sz w:val="20"/>
                <w:szCs w:val="20"/>
              </w:rPr>
            </w:pPr>
            <w:r w:rsidRPr="00797162">
              <w:rPr>
                <w:noProof/>
                <w:color w:val="000000" w:themeColor="text1"/>
                <w:sz w:val="20"/>
              </w:rPr>
              <w:t>4,136</w:t>
            </w:r>
          </w:p>
        </w:tc>
        <w:tc>
          <w:tcPr>
            <w:tcW w:w="11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9AD990D" w14:textId="77777777" w:rsidR="00BF22EA" w:rsidRPr="00797162" w:rsidRDefault="00BF22EA" w:rsidP="00BE7565">
            <w:pPr>
              <w:spacing w:before="0" w:after="0"/>
              <w:jc w:val="right"/>
              <w:rPr>
                <w:rFonts w:eastAsia="Times New Roman"/>
                <w:noProof/>
                <w:color w:val="000000" w:themeColor="text1"/>
                <w:sz w:val="20"/>
                <w:szCs w:val="20"/>
              </w:rPr>
            </w:pPr>
            <w:r w:rsidRPr="00797162">
              <w:rPr>
                <w:noProof/>
                <w:color w:val="000000" w:themeColor="text1"/>
                <w:sz w:val="20"/>
              </w:rPr>
              <w:t>4,136</w:t>
            </w: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3D56BFA" w14:textId="77777777" w:rsidR="00BF22EA" w:rsidRPr="00797162" w:rsidRDefault="00BF22EA" w:rsidP="00BE7565">
            <w:pPr>
              <w:spacing w:before="0" w:after="0"/>
              <w:jc w:val="right"/>
              <w:rPr>
                <w:rFonts w:eastAsia="Times New Roman"/>
                <w:noProof/>
                <w:color w:val="000000" w:themeColor="text1"/>
                <w:sz w:val="20"/>
                <w:szCs w:val="20"/>
              </w:rPr>
            </w:pPr>
            <w:r w:rsidRPr="00797162">
              <w:rPr>
                <w:noProof/>
                <w:color w:val="000000" w:themeColor="text1"/>
                <w:sz w:val="20"/>
              </w:rPr>
              <w:t>4,136</w:t>
            </w:r>
          </w:p>
        </w:tc>
        <w:tc>
          <w:tcPr>
            <w:tcW w:w="127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D9C3101" w14:textId="77777777" w:rsidR="00BF22EA" w:rsidRPr="00797162" w:rsidRDefault="00BF22EA" w:rsidP="00BE7565">
            <w:pPr>
              <w:spacing w:before="0" w:after="0"/>
              <w:jc w:val="right"/>
              <w:rPr>
                <w:rFonts w:eastAsia="Times New Roman"/>
                <w:noProof/>
                <w:color w:val="000000" w:themeColor="text1"/>
                <w:sz w:val="20"/>
                <w:szCs w:val="20"/>
              </w:rPr>
            </w:pPr>
            <w:r w:rsidRPr="00797162">
              <w:rPr>
                <w:noProof/>
                <w:color w:val="000000" w:themeColor="text1"/>
                <w:sz w:val="20"/>
              </w:rPr>
              <w:t>4,136</w:t>
            </w:r>
          </w:p>
        </w:tc>
        <w:tc>
          <w:tcPr>
            <w:tcW w:w="11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C10F5BE" w14:textId="77777777" w:rsidR="00BF22EA" w:rsidRPr="00797162" w:rsidRDefault="00BF22EA" w:rsidP="00BE7565">
            <w:pPr>
              <w:spacing w:before="0" w:after="0"/>
              <w:jc w:val="right"/>
              <w:rPr>
                <w:rFonts w:eastAsia="Times New Roman"/>
                <w:noProof/>
                <w:color w:val="000000" w:themeColor="text1"/>
                <w:sz w:val="20"/>
                <w:szCs w:val="20"/>
              </w:rPr>
            </w:pPr>
            <w:r w:rsidRPr="00797162">
              <w:rPr>
                <w:noProof/>
                <w:color w:val="000000" w:themeColor="text1"/>
                <w:sz w:val="20"/>
              </w:rPr>
              <w:t>4,136</w:t>
            </w:r>
          </w:p>
        </w:tc>
        <w:tc>
          <w:tcPr>
            <w:tcW w:w="1560"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1B02F99" w14:textId="77777777" w:rsidR="00BF22EA" w:rsidRPr="00797162" w:rsidRDefault="00BF22EA" w:rsidP="00BE7565">
            <w:pPr>
              <w:spacing w:before="0" w:after="0"/>
              <w:jc w:val="right"/>
              <w:rPr>
                <w:rFonts w:eastAsia="Times New Roman"/>
                <w:b/>
                <w:bCs/>
                <w:noProof/>
                <w:color w:val="000000" w:themeColor="text1"/>
                <w:sz w:val="20"/>
                <w:szCs w:val="20"/>
              </w:rPr>
            </w:pPr>
            <w:r w:rsidRPr="00797162">
              <w:rPr>
                <w:b/>
                <w:noProof/>
                <w:color w:val="000000" w:themeColor="text1"/>
                <w:sz w:val="20"/>
              </w:rPr>
              <w:t>28,952</w:t>
            </w:r>
          </w:p>
        </w:tc>
      </w:tr>
      <w:tr w:rsidR="00BF22EA" w:rsidRPr="00797162" w14:paraId="4212B188" w14:textId="77777777" w:rsidTr="00BE7565">
        <w:trPr>
          <w:trHeight w:val="300"/>
        </w:trPr>
        <w:tc>
          <w:tcPr>
            <w:tcW w:w="4111" w:type="dxa"/>
            <w:gridSpan w:val="2"/>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0CF35B51" w14:textId="77777777" w:rsidR="00BF22EA" w:rsidRPr="00797162" w:rsidRDefault="00BF22EA" w:rsidP="00BE7565">
            <w:pPr>
              <w:spacing w:before="0" w:after="0"/>
              <w:jc w:val="left"/>
              <w:rPr>
                <w:rFonts w:eastAsia="Times New Roman"/>
                <w:noProof/>
                <w:sz w:val="22"/>
              </w:rPr>
            </w:pPr>
            <w:r w:rsidRPr="00797162">
              <w:rPr>
                <w:noProof/>
                <w:sz w:val="22"/>
              </w:rPr>
              <w:t xml:space="preserve">Muud halduskulud </w:t>
            </w:r>
          </w:p>
        </w:tc>
        <w:tc>
          <w:tcPr>
            <w:tcW w:w="1134"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6F02E4DA" w14:textId="77777777" w:rsidR="00BF22EA" w:rsidRPr="00797162" w:rsidRDefault="00BF22EA" w:rsidP="00BE7565">
            <w:pPr>
              <w:spacing w:before="0" w:after="0"/>
              <w:jc w:val="right"/>
              <w:rPr>
                <w:rFonts w:eastAsia="Times New Roman"/>
                <w:noProof/>
                <w:color w:val="000000" w:themeColor="text1"/>
                <w:sz w:val="20"/>
                <w:szCs w:val="20"/>
              </w:rPr>
            </w:pPr>
            <w:r w:rsidRPr="00797162">
              <w:rPr>
                <w:noProof/>
                <w:color w:val="000000" w:themeColor="text1"/>
                <w:sz w:val="20"/>
              </w:rPr>
              <w:t>p.m.</w:t>
            </w:r>
          </w:p>
        </w:tc>
        <w:tc>
          <w:tcPr>
            <w:tcW w:w="11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D126266" w14:textId="77777777" w:rsidR="00BF22EA" w:rsidRPr="00797162" w:rsidRDefault="00BF22EA" w:rsidP="00BE7565">
            <w:pPr>
              <w:spacing w:before="0" w:after="0"/>
              <w:jc w:val="right"/>
              <w:rPr>
                <w:rFonts w:eastAsia="Times New Roman"/>
                <w:noProof/>
                <w:color w:val="000000" w:themeColor="text1"/>
                <w:sz w:val="20"/>
                <w:szCs w:val="20"/>
              </w:rPr>
            </w:pPr>
            <w:r w:rsidRPr="00797162">
              <w:rPr>
                <w:noProof/>
                <w:color w:val="000000" w:themeColor="text1"/>
                <w:sz w:val="20"/>
              </w:rPr>
              <w:t>p.m.</w:t>
            </w: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555CFC7" w14:textId="77777777" w:rsidR="00BF22EA" w:rsidRPr="00797162" w:rsidRDefault="00BF22EA" w:rsidP="00BE7565">
            <w:pPr>
              <w:spacing w:before="0" w:after="0"/>
              <w:jc w:val="right"/>
              <w:rPr>
                <w:rFonts w:eastAsia="Times New Roman"/>
                <w:noProof/>
                <w:color w:val="000000" w:themeColor="text1"/>
                <w:sz w:val="20"/>
                <w:szCs w:val="20"/>
              </w:rPr>
            </w:pPr>
            <w:r w:rsidRPr="00797162">
              <w:rPr>
                <w:noProof/>
                <w:color w:val="000000" w:themeColor="text1"/>
                <w:sz w:val="20"/>
              </w:rPr>
              <w:t>p.m.</w:t>
            </w:r>
          </w:p>
        </w:tc>
        <w:tc>
          <w:tcPr>
            <w:tcW w:w="11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810CE45" w14:textId="77777777" w:rsidR="00BF22EA" w:rsidRPr="00797162" w:rsidRDefault="00BF22EA" w:rsidP="00BE7565">
            <w:pPr>
              <w:spacing w:before="0" w:after="0"/>
              <w:jc w:val="right"/>
              <w:rPr>
                <w:rFonts w:eastAsia="Times New Roman"/>
                <w:noProof/>
                <w:color w:val="000000" w:themeColor="text1"/>
                <w:sz w:val="20"/>
                <w:szCs w:val="20"/>
              </w:rPr>
            </w:pPr>
            <w:r w:rsidRPr="00797162">
              <w:rPr>
                <w:noProof/>
                <w:color w:val="000000" w:themeColor="text1"/>
                <w:sz w:val="20"/>
              </w:rPr>
              <w:t>p.m.</w:t>
            </w: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7C62A1F" w14:textId="77777777" w:rsidR="00BF22EA" w:rsidRPr="00797162" w:rsidRDefault="00BF22EA" w:rsidP="00BE7565">
            <w:pPr>
              <w:spacing w:before="0" w:after="0"/>
              <w:jc w:val="right"/>
              <w:rPr>
                <w:rFonts w:eastAsia="Times New Roman"/>
                <w:noProof/>
                <w:color w:val="000000" w:themeColor="text1"/>
                <w:sz w:val="20"/>
                <w:szCs w:val="20"/>
              </w:rPr>
            </w:pPr>
            <w:r w:rsidRPr="00797162">
              <w:rPr>
                <w:noProof/>
                <w:color w:val="000000" w:themeColor="text1"/>
                <w:sz w:val="20"/>
              </w:rPr>
              <w:t>p.m.</w:t>
            </w:r>
          </w:p>
        </w:tc>
        <w:tc>
          <w:tcPr>
            <w:tcW w:w="127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84AC72C" w14:textId="77777777" w:rsidR="00BF22EA" w:rsidRPr="00797162" w:rsidRDefault="00BF22EA" w:rsidP="00BE7565">
            <w:pPr>
              <w:spacing w:before="0" w:after="0"/>
              <w:jc w:val="right"/>
              <w:rPr>
                <w:rFonts w:eastAsia="Times New Roman"/>
                <w:noProof/>
                <w:color w:val="000000" w:themeColor="text1"/>
                <w:sz w:val="20"/>
                <w:szCs w:val="20"/>
              </w:rPr>
            </w:pPr>
            <w:r w:rsidRPr="00797162">
              <w:rPr>
                <w:noProof/>
                <w:color w:val="000000" w:themeColor="text1"/>
                <w:sz w:val="20"/>
              </w:rPr>
              <w:t>p.m.</w:t>
            </w:r>
          </w:p>
        </w:tc>
        <w:tc>
          <w:tcPr>
            <w:tcW w:w="11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7C7A9A5" w14:textId="77777777" w:rsidR="00BF22EA" w:rsidRPr="00797162" w:rsidRDefault="00BF22EA" w:rsidP="00BE7565">
            <w:pPr>
              <w:spacing w:before="0" w:after="0"/>
              <w:jc w:val="right"/>
              <w:rPr>
                <w:rFonts w:eastAsia="Times New Roman"/>
                <w:noProof/>
                <w:color w:val="000000" w:themeColor="text1"/>
                <w:sz w:val="20"/>
                <w:szCs w:val="20"/>
              </w:rPr>
            </w:pPr>
            <w:r w:rsidRPr="00797162">
              <w:rPr>
                <w:noProof/>
                <w:color w:val="000000" w:themeColor="text1"/>
                <w:sz w:val="20"/>
              </w:rPr>
              <w:t>p.m.</w:t>
            </w:r>
          </w:p>
        </w:tc>
        <w:tc>
          <w:tcPr>
            <w:tcW w:w="15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1C3DD6F" w14:textId="77777777" w:rsidR="00BF22EA" w:rsidRPr="00797162" w:rsidRDefault="00BF22EA" w:rsidP="00BE7565">
            <w:pPr>
              <w:spacing w:before="0" w:after="0"/>
              <w:jc w:val="right"/>
              <w:rPr>
                <w:rFonts w:eastAsia="Times New Roman"/>
                <w:b/>
                <w:bCs/>
                <w:noProof/>
                <w:color w:val="000000" w:themeColor="text1"/>
                <w:sz w:val="20"/>
                <w:szCs w:val="20"/>
              </w:rPr>
            </w:pPr>
            <w:r w:rsidRPr="00797162">
              <w:rPr>
                <w:b/>
                <w:noProof/>
                <w:color w:val="000000" w:themeColor="text1"/>
                <w:sz w:val="20"/>
              </w:rPr>
              <w:t>p.m.</w:t>
            </w:r>
          </w:p>
        </w:tc>
      </w:tr>
      <w:tr w:rsidR="00BF22EA" w:rsidRPr="00797162" w14:paraId="0312CEC2" w14:textId="77777777" w:rsidTr="00BE7565">
        <w:trPr>
          <w:trHeight w:val="855"/>
        </w:trPr>
        <w:tc>
          <w:tcPr>
            <w:tcW w:w="2395" w:type="dxa"/>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62318FD0" w14:textId="77777777" w:rsidR="00BF22EA" w:rsidRPr="00797162" w:rsidRDefault="00BF22EA" w:rsidP="00BE7565">
            <w:pPr>
              <w:spacing w:before="0" w:after="0"/>
              <w:jc w:val="center"/>
              <w:rPr>
                <w:rFonts w:eastAsia="Times New Roman"/>
                <w:noProof/>
                <w:sz w:val="22"/>
              </w:rPr>
            </w:pPr>
            <w:r w:rsidRPr="00797162">
              <w:rPr>
                <w:b/>
                <w:bCs/>
                <w:noProof/>
                <w:sz w:val="22"/>
              </w:rPr>
              <w:t>DG &lt;….&gt; KOKKU</w:t>
            </w:r>
          </w:p>
        </w:tc>
        <w:tc>
          <w:tcPr>
            <w:tcW w:w="1716" w:type="dxa"/>
            <w:tcBorders>
              <w:top w:val="nil"/>
              <w:left w:val="single" w:sz="8" w:space="0" w:color="auto"/>
              <w:bottom w:val="single" w:sz="8" w:space="0" w:color="auto"/>
              <w:right w:val="single" w:sz="8" w:space="0" w:color="000000" w:themeColor="text1"/>
            </w:tcBorders>
            <w:tcMar>
              <w:left w:w="108" w:type="dxa"/>
              <w:right w:w="108" w:type="dxa"/>
            </w:tcMar>
            <w:vAlign w:val="center"/>
          </w:tcPr>
          <w:p w14:paraId="2266FD80" w14:textId="77777777" w:rsidR="00BF22EA" w:rsidRPr="00797162" w:rsidRDefault="00BF22EA" w:rsidP="00BE7565">
            <w:pPr>
              <w:spacing w:before="0" w:after="0"/>
              <w:jc w:val="left"/>
              <w:rPr>
                <w:rFonts w:eastAsia="Times New Roman"/>
                <w:noProof/>
                <w:sz w:val="18"/>
                <w:szCs w:val="18"/>
              </w:rPr>
            </w:pPr>
            <w:r w:rsidRPr="00797162">
              <w:rPr>
                <w:noProof/>
                <w:sz w:val="18"/>
              </w:rPr>
              <w:t xml:space="preserve">Assigneeringud </w:t>
            </w:r>
          </w:p>
        </w:tc>
        <w:tc>
          <w:tcPr>
            <w:tcW w:w="1134"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6417D04B" w14:textId="77777777" w:rsidR="00BF22EA" w:rsidRPr="00797162" w:rsidRDefault="00BF22EA" w:rsidP="00BE7565">
            <w:pPr>
              <w:spacing w:before="0" w:after="0"/>
              <w:jc w:val="right"/>
              <w:rPr>
                <w:rFonts w:eastAsia="Times New Roman"/>
                <w:b/>
                <w:bCs/>
                <w:noProof/>
                <w:color w:val="000000" w:themeColor="text1"/>
                <w:sz w:val="20"/>
                <w:szCs w:val="20"/>
              </w:rPr>
            </w:pPr>
            <w:r w:rsidRPr="00797162">
              <w:rPr>
                <w:b/>
                <w:noProof/>
                <w:color w:val="000000" w:themeColor="text1"/>
                <w:sz w:val="20"/>
              </w:rPr>
              <w:t>4,136</w:t>
            </w:r>
          </w:p>
        </w:tc>
        <w:tc>
          <w:tcPr>
            <w:tcW w:w="11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09EC150" w14:textId="77777777" w:rsidR="00BF22EA" w:rsidRPr="00797162" w:rsidRDefault="00BF22EA" w:rsidP="00BE7565">
            <w:pPr>
              <w:spacing w:before="0" w:after="0"/>
              <w:jc w:val="right"/>
              <w:rPr>
                <w:rFonts w:eastAsia="Times New Roman"/>
                <w:b/>
                <w:bCs/>
                <w:noProof/>
                <w:color w:val="000000" w:themeColor="text1"/>
                <w:sz w:val="20"/>
                <w:szCs w:val="20"/>
              </w:rPr>
            </w:pPr>
            <w:r w:rsidRPr="00797162">
              <w:rPr>
                <w:b/>
                <w:noProof/>
                <w:color w:val="000000" w:themeColor="text1"/>
                <w:sz w:val="20"/>
              </w:rPr>
              <w:t>4,136</w:t>
            </w: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56ADB66" w14:textId="77777777" w:rsidR="00BF22EA" w:rsidRPr="00797162" w:rsidRDefault="00BF22EA" w:rsidP="00BE7565">
            <w:pPr>
              <w:spacing w:before="0" w:after="0"/>
              <w:jc w:val="right"/>
              <w:rPr>
                <w:rFonts w:eastAsia="Times New Roman"/>
                <w:b/>
                <w:bCs/>
                <w:noProof/>
                <w:color w:val="000000" w:themeColor="text1"/>
                <w:sz w:val="20"/>
                <w:szCs w:val="20"/>
              </w:rPr>
            </w:pPr>
            <w:r w:rsidRPr="00797162">
              <w:rPr>
                <w:b/>
                <w:noProof/>
                <w:color w:val="000000" w:themeColor="text1"/>
                <w:sz w:val="20"/>
              </w:rPr>
              <w:t>4,136</w:t>
            </w:r>
          </w:p>
        </w:tc>
        <w:tc>
          <w:tcPr>
            <w:tcW w:w="11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F6FC0E1" w14:textId="77777777" w:rsidR="00BF22EA" w:rsidRPr="00797162" w:rsidRDefault="00BF22EA" w:rsidP="00BE7565">
            <w:pPr>
              <w:spacing w:before="0" w:after="0"/>
              <w:jc w:val="right"/>
              <w:rPr>
                <w:rFonts w:eastAsia="Times New Roman"/>
                <w:b/>
                <w:bCs/>
                <w:noProof/>
                <w:color w:val="000000" w:themeColor="text1"/>
                <w:sz w:val="20"/>
                <w:szCs w:val="20"/>
              </w:rPr>
            </w:pPr>
            <w:r w:rsidRPr="00797162">
              <w:rPr>
                <w:b/>
                <w:noProof/>
                <w:color w:val="000000" w:themeColor="text1"/>
                <w:sz w:val="20"/>
              </w:rPr>
              <w:t>4,136</w:t>
            </w: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D476177" w14:textId="77777777" w:rsidR="00BF22EA" w:rsidRPr="00797162" w:rsidRDefault="00BF22EA" w:rsidP="00BE7565">
            <w:pPr>
              <w:spacing w:before="0" w:after="0"/>
              <w:jc w:val="right"/>
              <w:rPr>
                <w:rFonts w:eastAsia="Times New Roman"/>
                <w:b/>
                <w:bCs/>
                <w:noProof/>
                <w:color w:val="000000" w:themeColor="text1"/>
                <w:sz w:val="20"/>
                <w:szCs w:val="20"/>
              </w:rPr>
            </w:pPr>
            <w:r w:rsidRPr="00797162">
              <w:rPr>
                <w:b/>
                <w:noProof/>
                <w:color w:val="000000" w:themeColor="text1"/>
                <w:sz w:val="20"/>
              </w:rPr>
              <w:t>4,136</w:t>
            </w:r>
          </w:p>
        </w:tc>
        <w:tc>
          <w:tcPr>
            <w:tcW w:w="127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672D106" w14:textId="77777777" w:rsidR="00BF22EA" w:rsidRPr="00797162" w:rsidRDefault="00BF22EA" w:rsidP="00BE7565">
            <w:pPr>
              <w:spacing w:before="0" w:after="0"/>
              <w:jc w:val="right"/>
              <w:rPr>
                <w:rFonts w:eastAsia="Times New Roman"/>
                <w:b/>
                <w:bCs/>
                <w:noProof/>
                <w:color w:val="000000" w:themeColor="text1"/>
                <w:sz w:val="20"/>
                <w:szCs w:val="20"/>
              </w:rPr>
            </w:pPr>
            <w:r w:rsidRPr="00797162">
              <w:rPr>
                <w:b/>
                <w:noProof/>
                <w:color w:val="000000" w:themeColor="text1"/>
                <w:sz w:val="20"/>
              </w:rPr>
              <w:t>4,136</w:t>
            </w:r>
          </w:p>
        </w:tc>
        <w:tc>
          <w:tcPr>
            <w:tcW w:w="11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DC98EE5" w14:textId="77777777" w:rsidR="00BF22EA" w:rsidRPr="00797162" w:rsidRDefault="00BF22EA" w:rsidP="00BE7565">
            <w:pPr>
              <w:spacing w:before="0" w:after="0"/>
              <w:jc w:val="right"/>
              <w:rPr>
                <w:rFonts w:eastAsia="Times New Roman"/>
                <w:b/>
                <w:bCs/>
                <w:noProof/>
                <w:color w:val="000000" w:themeColor="text1"/>
                <w:sz w:val="20"/>
                <w:szCs w:val="20"/>
              </w:rPr>
            </w:pPr>
            <w:r w:rsidRPr="00797162">
              <w:rPr>
                <w:b/>
                <w:noProof/>
                <w:color w:val="000000" w:themeColor="text1"/>
                <w:sz w:val="20"/>
              </w:rPr>
              <w:t>4,136</w:t>
            </w:r>
          </w:p>
        </w:tc>
        <w:tc>
          <w:tcPr>
            <w:tcW w:w="15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87BDE7A" w14:textId="77777777" w:rsidR="00BF22EA" w:rsidRPr="00797162" w:rsidRDefault="00BF22EA" w:rsidP="00BE7565">
            <w:pPr>
              <w:spacing w:before="0" w:after="0"/>
              <w:jc w:val="right"/>
              <w:rPr>
                <w:rFonts w:eastAsia="Times New Roman"/>
                <w:b/>
                <w:bCs/>
                <w:noProof/>
                <w:color w:val="000000" w:themeColor="text1"/>
                <w:sz w:val="20"/>
                <w:szCs w:val="20"/>
              </w:rPr>
            </w:pPr>
            <w:r w:rsidRPr="00797162">
              <w:rPr>
                <w:b/>
                <w:noProof/>
                <w:color w:val="000000" w:themeColor="text1"/>
                <w:sz w:val="20"/>
              </w:rPr>
              <w:t>28,952</w:t>
            </w:r>
          </w:p>
        </w:tc>
      </w:tr>
    </w:tbl>
    <w:p w14:paraId="03929331" w14:textId="77777777" w:rsidR="00BF22EA" w:rsidRPr="00797162" w:rsidRDefault="00BF22EA" w:rsidP="00BF22EA">
      <w:pPr>
        <w:spacing w:before="0" w:after="0"/>
        <w:rPr>
          <w:noProof/>
        </w:rPr>
      </w:pPr>
    </w:p>
    <w:tbl>
      <w:tblPr>
        <w:tblW w:w="13892" w:type="dxa"/>
        <w:tblInd w:w="132" w:type="dxa"/>
        <w:tblLayout w:type="fixed"/>
        <w:tblLook w:val="04A0" w:firstRow="1" w:lastRow="0" w:firstColumn="1" w:lastColumn="0" w:noHBand="0" w:noVBand="1"/>
      </w:tblPr>
      <w:tblGrid>
        <w:gridCol w:w="2268"/>
        <w:gridCol w:w="1701"/>
        <w:gridCol w:w="1134"/>
        <w:gridCol w:w="1134"/>
        <w:gridCol w:w="1276"/>
        <w:gridCol w:w="1134"/>
        <w:gridCol w:w="1276"/>
        <w:gridCol w:w="1275"/>
        <w:gridCol w:w="1134"/>
        <w:gridCol w:w="1560"/>
      </w:tblGrid>
      <w:tr w:rsidR="00BF22EA" w:rsidRPr="00797162" w14:paraId="5E9488B0" w14:textId="77777777" w:rsidTr="00BE7565">
        <w:trPr>
          <w:trHeight w:val="1425"/>
        </w:trPr>
        <w:tc>
          <w:tcPr>
            <w:tcW w:w="2268" w:type="dxa"/>
            <w:tcBorders>
              <w:top w:val="single" w:sz="8" w:space="0" w:color="auto"/>
              <w:left w:val="single" w:sz="8" w:space="0" w:color="auto"/>
              <w:bottom w:val="single" w:sz="8" w:space="0" w:color="auto"/>
              <w:right w:val="single" w:sz="8" w:space="0" w:color="000000" w:themeColor="text1"/>
            </w:tcBorders>
            <w:shd w:val="clear" w:color="auto" w:fill="E6E6E6"/>
            <w:tcMar>
              <w:left w:w="108" w:type="dxa"/>
              <w:right w:w="108" w:type="dxa"/>
            </w:tcMar>
            <w:vAlign w:val="center"/>
          </w:tcPr>
          <w:p w14:paraId="29256073" w14:textId="77777777" w:rsidR="00BF22EA" w:rsidRPr="00797162" w:rsidRDefault="00BF22EA" w:rsidP="00BE7565">
            <w:pPr>
              <w:spacing w:before="0" w:after="0"/>
              <w:jc w:val="center"/>
              <w:rPr>
                <w:rFonts w:eastAsia="Times New Roman"/>
                <w:b/>
                <w:bCs/>
                <w:noProof/>
                <w:color w:val="000000" w:themeColor="text1"/>
                <w:sz w:val="22"/>
              </w:rPr>
            </w:pPr>
            <w:r w:rsidRPr="00797162">
              <w:rPr>
                <w:b/>
                <w:noProof/>
                <w:color w:val="000000" w:themeColor="text1"/>
                <w:sz w:val="22"/>
              </w:rPr>
              <w:t xml:space="preserve">Mitmeaastase finantsraamistiku RUBRIIGI 4 assigneeringud KOKKU </w:t>
            </w:r>
          </w:p>
        </w:tc>
        <w:tc>
          <w:tcPr>
            <w:tcW w:w="1701" w:type="dxa"/>
            <w:tcBorders>
              <w:top w:val="single" w:sz="8" w:space="0" w:color="auto"/>
              <w:left w:val="single" w:sz="8" w:space="0" w:color="000000" w:themeColor="text1"/>
              <w:bottom w:val="single" w:sz="8" w:space="0" w:color="auto"/>
              <w:right w:val="single" w:sz="8" w:space="0" w:color="000000" w:themeColor="text1"/>
            </w:tcBorders>
            <w:tcMar>
              <w:left w:w="108" w:type="dxa"/>
              <w:right w:w="108" w:type="dxa"/>
            </w:tcMar>
            <w:vAlign w:val="center"/>
          </w:tcPr>
          <w:p w14:paraId="19F1D53E" w14:textId="77777777" w:rsidR="00BF22EA" w:rsidRPr="00797162" w:rsidRDefault="00BF22EA" w:rsidP="00BE7565">
            <w:pPr>
              <w:spacing w:before="0" w:after="0"/>
              <w:jc w:val="center"/>
              <w:rPr>
                <w:rFonts w:eastAsia="Times New Roman"/>
                <w:noProof/>
                <w:sz w:val="18"/>
                <w:szCs w:val="18"/>
              </w:rPr>
            </w:pPr>
            <w:r w:rsidRPr="00797162">
              <w:rPr>
                <w:noProof/>
                <w:sz w:val="18"/>
              </w:rPr>
              <w:t>(Kulukohustuste kogusumma = maksete kogusumma)</w:t>
            </w:r>
          </w:p>
        </w:tc>
        <w:tc>
          <w:tcPr>
            <w:tcW w:w="1134" w:type="dxa"/>
            <w:tcBorders>
              <w:top w:val="single" w:sz="8" w:space="0" w:color="auto"/>
              <w:left w:val="single" w:sz="8" w:space="0" w:color="000000" w:themeColor="text1"/>
              <w:bottom w:val="single" w:sz="8" w:space="0" w:color="auto"/>
              <w:right w:val="single" w:sz="8" w:space="0" w:color="auto"/>
            </w:tcBorders>
            <w:shd w:val="clear" w:color="auto" w:fill="D9D9D9" w:themeFill="background1" w:themeFillShade="D9"/>
            <w:tcMar>
              <w:left w:w="108" w:type="dxa"/>
              <w:right w:w="108" w:type="dxa"/>
            </w:tcMar>
            <w:vAlign w:val="center"/>
          </w:tcPr>
          <w:p w14:paraId="6D8E5BF6" w14:textId="77777777" w:rsidR="00BF22EA" w:rsidRPr="00797162" w:rsidRDefault="00BF22EA" w:rsidP="00BE7565">
            <w:pPr>
              <w:spacing w:before="0" w:after="0"/>
              <w:jc w:val="right"/>
              <w:rPr>
                <w:rFonts w:eastAsia="Times New Roman"/>
                <w:b/>
                <w:bCs/>
                <w:noProof/>
                <w:color w:val="000000" w:themeColor="text1"/>
                <w:sz w:val="20"/>
                <w:szCs w:val="20"/>
              </w:rPr>
            </w:pPr>
            <w:r w:rsidRPr="00797162">
              <w:rPr>
                <w:b/>
                <w:noProof/>
                <w:color w:val="000000" w:themeColor="text1"/>
                <w:sz w:val="20"/>
              </w:rPr>
              <w:t>4,136</w:t>
            </w:r>
          </w:p>
        </w:tc>
        <w:tc>
          <w:tcPr>
            <w:tcW w:w="11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96AE9EA" w14:textId="77777777" w:rsidR="00BF22EA" w:rsidRPr="00797162" w:rsidRDefault="00BF22EA" w:rsidP="00BE7565">
            <w:pPr>
              <w:spacing w:before="0" w:after="0"/>
              <w:jc w:val="right"/>
              <w:rPr>
                <w:rFonts w:eastAsia="Times New Roman"/>
                <w:b/>
                <w:bCs/>
                <w:noProof/>
                <w:color w:val="000000" w:themeColor="text1"/>
                <w:sz w:val="20"/>
                <w:szCs w:val="20"/>
              </w:rPr>
            </w:pPr>
            <w:r w:rsidRPr="00797162">
              <w:rPr>
                <w:b/>
                <w:noProof/>
                <w:color w:val="000000" w:themeColor="text1"/>
                <w:sz w:val="20"/>
              </w:rPr>
              <w:t>4,136</w:t>
            </w: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59C6356" w14:textId="77777777" w:rsidR="00BF22EA" w:rsidRPr="00797162" w:rsidRDefault="00BF22EA" w:rsidP="00BE7565">
            <w:pPr>
              <w:spacing w:before="0" w:after="0"/>
              <w:jc w:val="right"/>
              <w:rPr>
                <w:rFonts w:eastAsia="Times New Roman"/>
                <w:b/>
                <w:bCs/>
                <w:noProof/>
                <w:color w:val="000000" w:themeColor="text1"/>
                <w:sz w:val="20"/>
                <w:szCs w:val="20"/>
              </w:rPr>
            </w:pPr>
            <w:r w:rsidRPr="00797162">
              <w:rPr>
                <w:b/>
                <w:noProof/>
                <w:color w:val="000000" w:themeColor="text1"/>
                <w:sz w:val="20"/>
              </w:rPr>
              <w:t>4,136</w:t>
            </w:r>
          </w:p>
        </w:tc>
        <w:tc>
          <w:tcPr>
            <w:tcW w:w="11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B9BD653" w14:textId="77777777" w:rsidR="00BF22EA" w:rsidRPr="00797162" w:rsidRDefault="00BF22EA" w:rsidP="00BE7565">
            <w:pPr>
              <w:spacing w:before="0" w:after="0"/>
              <w:jc w:val="right"/>
              <w:rPr>
                <w:rFonts w:eastAsia="Times New Roman"/>
                <w:b/>
                <w:bCs/>
                <w:noProof/>
                <w:color w:val="000000" w:themeColor="text1"/>
                <w:sz w:val="20"/>
                <w:szCs w:val="20"/>
              </w:rPr>
            </w:pPr>
            <w:r w:rsidRPr="00797162">
              <w:rPr>
                <w:b/>
                <w:noProof/>
                <w:color w:val="000000" w:themeColor="text1"/>
                <w:sz w:val="20"/>
              </w:rPr>
              <w:t>4,136</w:t>
            </w: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47A0032" w14:textId="77777777" w:rsidR="00BF22EA" w:rsidRPr="00797162" w:rsidRDefault="00BF22EA" w:rsidP="00BE7565">
            <w:pPr>
              <w:spacing w:before="0" w:after="0"/>
              <w:jc w:val="right"/>
              <w:rPr>
                <w:rFonts w:eastAsia="Times New Roman"/>
                <w:b/>
                <w:bCs/>
                <w:noProof/>
                <w:color w:val="000000" w:themeColor="text1"/>
                <w:sz w:val="20"/>
                <w:szCs w:val="20"/>
              </w:rPr>
            </w:pPr>
            <w:r w:rsidRPr="00797162">
              <w:rPr>
                <w:b/>
                <w:noProof/>
                <w:color w:val="000000" w:themeColor="text1"/>
                <w:sz w:val="20"/>
              </w:rPr>
              <w:t>4,136</w:t>
            </w:r>
          </w:p>
        </w:tc>
        <w:tc>
          <w:tcPr>
            <w:tcW w:w="127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7667A65" w14:textId="77777777" w:rsidR="00BF22EA" w:rsidRPr="00797162" w:rsidRDefault="00BF22EA" w:rsidP="00BE7565">
            <w:pPr>
              <w:spacing w:before="0" w:after="0"/>
              <w:jc w:val="right"/>
              <w:rPr>
                <w:rFonts w:eastAsia="Times New Roman"/>
                <w:b/>
                <w:bCs/>
                <w:noProof/>
                <w:color w:val="000000" w:themeColor="text1"/>
                <w:sz w:val="20"/>
                <w:szCs w:val="20"/>
              </w:rPr>
            </w:pPr>
            <w:r w:rsidRPr="00797162">
              <w:rPr>
                <w:b/>
                <w:noProof/>
                <w:color w:val="000000" w:themeColor="text1"/>
                <w:sz w:val="20"/>
              </w:rPr>
              <w:t>4,136</w:t>
            </w:r>
          </w:p>
        </w:tc>
        <w:tc>
          <w:tcPr>
            <w:tcW w:w="11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17254AC" w14:textId="77777777" w:rsidR="00BF22EA" w:rsidRPr="00797162" w:rsidRDefault="00BF22EA" w:rsidP="00BE7565">
            <w:pPr>
              <w:spacing w:before="0" w:after="0"/>
              <w:jc w:val="right"/>
              <w:rPr>
                <w:rFonts w:eastAsia="Times New Roman"/>
                <w:b/>
                <w:bCs/>
                <w:noProof/>
                <w:color w:val="000000" w:themeColor="text1"/>
                <w:sz w:val="20"/>
                <w:szCs w:val="20"/>
              </w:rPr>
            </w:pPr>
            <w:r w:rsidRPr="00797162">
              <w:rPr>
                <w:b/>
                <w:noProof/>
                <w:color w:val="000000" w:themeColor="text1"/>
                <w:sz w:val="20"/>
              </w:rPr>
              <w:t>4,136</w:t>
            </w:r>
          </w:p>
        </w:tc>
        <w:tc>
          <w:tcPr>
            <w:tcW w:w="15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A273E79" w14:textId="77777777" w:rsidR="00BF22EA" w:rsidRPr="00797162" w:rsidRDefault="00BF22EA" w:rsidP="00BE7565">
            <w:pPr>
              <w:spacing w:before="0" w:after="0"/>
              <w:jc w:val="right"/>
              <w:rPr>
                <w:rFonts w:eastAsia="Times New Roman"/>
                <w:b/>
                <w:bCs/>
                <w:noProof/>
                <w:color w:val="000000" w:themeColor="text1"/>
                <w:sz w:val="20"/>
                <w:szCs w:val="20"/>
              </w:rPr>
            </w:pPr>
            <w:r w:rsidRPr="00797162">
              <w:rPr>
                <w:b/>
                <w:noProof/>
                <w:color w:val="000000" w:themeColor="text1"/>
                <w:sz w:val="20"/>
              </w:rPr>
              <w:t>28,952</w:t>
            </w:r>
          </w:p>
        </w:tc>
      </w:tr>
    </w:tbl>
    <w:p w14:paraId="034CB4E3" w14:textId="77777777" w:rsidR="00BF22EA" w:rsidRPr="00797162" w:rsidRDefault="00BF22EA" w:rsidP="00BF22EA">
      <w:pPr>
        <w:jc w:val="right"/>
        <w:rPr>
          <w:rFonts w:eastAsia="Times New Roman"/>
          <w:noProof/>
          <w:sz w:val="20"/>
          <w:szCs w:val="20"/>
        </w:rPr>
      </w:pPr>
      <w:r w:rsidRPr="00797162">
        <w:rPr>
          <w:noProof/>
          <w:sz w:val="20"/>
        </w:rPr>
        <w:t>miljonites eurodes (kolm kohta pärast koma)</w:t>
      </w:r>
    </w:p>
    <w:p w14:paraId="30C41FFD" w14:textId="77777777" w:rsidR="00BF22EA" w:rsidRPr="00797162" w:rsidRDefault="00BF22EA" w:rsidP="00BF22EA">
      <w:pPr>
        <w:jc w:val="right"/>
        <w:rPr>
          <w:rFonts w:eastAsia="Times New Roman"/>
          <w:noProof/>
          <w:sz w:val="20"/>
          <w:szCs w:val="20"/>
        </w:rPr>
      </w:pPr>
    </w:p>
    <w:tbl>
      <w:tblPr>
        <w:tblW w:w="14034" w:type="dxa"/>
        <w:tblInd w:w="-10" w:type="dxa"/>
        <w:tblLayout w:type="fixed"/>
        <w:tblLook w:val="04A0" w:firstRow="1" w:lastRow="0" w:firstColumn="1" w:lastColumn="0" w:noHBand="0" w:noVBand="1"/>
      </w:tblPr>
      <w:tblGrid>
        <w:gridCol w:w="1931"/>
        <w:gridCol w:w="2172"/>
        <w:gridCol w:w="1142"/>
        <w:gridCol w:w="1134"/>
        <w:gridCol w:w="1276"/>
        <w:gridCol w:w="1134"/>
        <w:gridCol w:w="1276"/>
        <w:gridCol w:w="1275"/>
        <w:gridCol w:w="1134"/>
        <w:gridCol w:w="1560"/>
      </w:tblGrid>
      <w:tr w:rsidR="00BF22EA" w:rsidRPr="00797162" w14:paraId="740C37CB" w14:textId="77777777" w:rsidTr="00BE7565">
        <w:trPr>
          <w:trHeight w:val="405"/>
        </w:trPr>
        <w:tc>
          <w:tcPr>
            <w:tcW w:w="4103" w:type="dxa"/>
            <w:gridSpan w:val="2"/>
            <w:vMerge w:val="restart"/>
            <w:tcBorders>
              <w:top w:val="single" w:sz="8" w:space="0" w:color="auto"/>
              <w:left w:val="single" w:sz="8" w:space="0" w:color="auto"/>
              <w:bottom w:val="single" w:sz="8" w:space="0" w:color="000000" w:themeColor="text1"/>
              <w:right w:val="single" w:sz="8" w:space="0" w:color="000000" w:themeColor="text1"/>
            </w:tcBorders>
            <w:tcMar>
              <w:left w:w="108" w:type="dxa"/>
              <w:right w:w="108" w:type="dxa"/>
            </w:tcMar>
            <w:vAlign w:val="center"/>
          </w:tcPr>
          <w:p w14:paraId="6F0BF73D" w14:textId="77777777" w:rsidR="00BF22EA" w:rsidRPr="00797162" w:rsidRDefault="00BF22EA" w:rsidP="00BE7565">
            <w:pPr>
              <w:spacing w:before="0" w:after="0"/>
              <w:jc w:val="center"/>
              <w:rPr>
                <w:rFonts w:eastAsia="Times New Roman"/>
                <w:noProof/>
                <w:szCs w:val="24"/>
              </w:rPr>
            </w:pPr>
          </w:p>
        </w:tc>
        <w:tc>
          <w:tcPr>
            <w:tcW w:w="1142" w:type="dxa"/>
            <w:tcBorders>
              <w:top w:val="single" w:sz="8" w:space="0" w:color="auto"/>
              <w:left w:val="nil"/>
              <w:bottom w:val="nil"/>
              <w:right w:val="single" w:sz="8" w:space="0" w:color="auto"/>
            </w:tcBorders>
            <w:tcMar>
              <w:left w:w="108" w:type="dxa"/>
              <w:right w:w="108" w:type="dxa"/>
            </w:tcMar>
            <w:vAlign w:val="center"/>
          </w:tcPr>
          <w:p w14:paraId="3918D732" w14:textId="77777777" w:rsidR="00BF22EA" w:rsidRPr="00797162" w:rsidRDefault="00BF22EA" w:rsidP="00BE7565">
            <w:pPr>
              <w:spacing w:before="0" w:after="0"/>
              <w:jc w:val="center"/>
              <w:rPr>
                <w:rFonts w:eastAsia="Times New Roman"/>
                <w:noProof/>
                <w:sz w:val="20"/>
                <w:szCs w:val="20"/>
              </w:rPr>
            </w:pPr>
            <w:r w:rsidRPr="00797162">
              <w:rPr>
                <w:noProof/>
                <w:sz w:val="20"/>
              </w:rPr>
              <w:t>Aasta</w:t>
            </w:r>
          </w:p>
        </w:tc>
        <w:tc>
          <w:tcPr>
            <w:tcW w:w="1134" w:type="dxa"/>
            <w:tcBorders>
              <w:top w:val="single" w:sz="8" w:space="0" w:color="auto"/>
              <w:left w:val="single" w:sz="8" w:space="0" w:color="auto"/>
              <w:bottom w:val="nil"/>
              <w:right w:val="single" w:sz="8" w:space="0" w:color="auto"/>
            </w:tcBorders>
            <w:tcMar>
              <w:left w:w="108" w:type="dxa"/>
              <w:right w:w="108" w:type="dxa"/>
            </w:tcMar>
            <w:vAlign w:val="center"/>
          </w:tcPr>
          <w:p w14:paraId="090472B5" w14:textId="77777777" w:rsidR="00BF22EA" w:rsidRPr="00797162" w:rsidRDefault="00BF22EA" w:rsidP="00BE7565">
            <w:pPr>
              <w:spacing w:before="0" w:after="0"/>
              <w:jc w:val="center"/>
              <w:rPr>
                <w:rFonts w:eastAsia="Times New Roman"/>
                <w:noProof/>
                <w:sz w:val="20"/>
                <w:szCs w:val="20"/>
              </w:rPr>
            </w:pPr>
            <w:r w:rsidRPr="00797162">
              <w:rPr>
                <w:noProof/>
                <w:sz w:val="20"/>
              </w:rPr>
              <w:t>Aasta</w:t>
            </w:r>
          </w:p>
        </w:tc>
        <w:tc>
          <w:tcPr>
            <w:tcW w:w="1276" w:type="dxa"/>
            <w:tcBorders>
              <w:top w:val="single" w:sz="8" w:space="0" w:color="auto"/>
              <w:left w:val="single" w:sz="8" w:space="0" w:color="auto"/>
              <w:bottom w:val="nil"/>
              <w:right w:val="single" w:sz="8" w:space="0" w:color="auto"/>
            </w:tcBorders>
            <w:tcMar>
              <w:left w:w="108" w:type="dxa"/>
              <w:right w:w="108" w:type="dxa"/>
            </w:tcMar>
            <w:vAlign w:val="center"/>
          </w:tcPr>
          <w:p w14:paraId="0AB13F8E" w14:textId="77777777" w:rsidR="00BF22EA" w:rsidRPr="00797162" w:rsidRDefault="00BF22EA" w:rsidP="00BE7565">
            <w:pPr>
              <w:spacing w:before="0" w:after="0"/>
              <w:jc w:val="center"/>
              <w:rPr>
                <w:rFonts w:eastAsia="Times New Roman"/>
                <w:noProof/>
                <w:sz w:val="20"/>
                <w:szCs w:val="20"/>
              </w:rPr>
            </w:pPr>
            <w:r w:rsidRPr="00797162">
              <w:rPr>
                <w:noProof/>
                <w:sz w:val="20"/>
              </w:rPr>
              <w:t>Aasta</w:t>
            </w:r>
          </w:p>
        </w:tc>
        <w:tc>
          <w:tcPr>
            <w:tcW w:w="1134" w:type="dxa"/>
            <w:tcBorders>
              <w:top w:val="single" w:sz="8" w:space="0" w:color="auto"/>
              <w:left w:val="single" w:sz="8" w:space="0" w:color="auto"/>
              <w:bottom w:val="nil"/>
              <w:right w:val="single" w:sz="8" w:space="0" w:color="auto"/>
            </w:tcBorders>
            <w:tcMar>
              <w:left w:w="108" w:type="dxa"/>
              <w:right w:w="108" w:type="dxa"/>
            </w:tcMar>
            <w:vAlign w:val="center"/>
          </w:tcPr>
          <w:p w14:paraId="4CDFEE19" w14:textId="77777777" w:rsidR="00BF22EA" w:rsidRPr="00797162" w:rsidRDefault="00BF22EA" w:rsidP="00BE7565">
            <w:pPr>
              <w:spacing w:before="0" w:after="0"/>
              <w:jc w:val="center"/>
              <w:rPr>
                <w:rFonts w:eastAsia="Times New Roman"/>
                <w:noProof/>
                <w:sz w:val="20"/>
                <w:szCs w:val="20"/>
              </w:rPr>
            </w:pPr>
            <w:r w:rsidRPr="00797162">
              <w:rPr>
                <w:noProof/>
                <w:sz w:val="20"/>
              </w:rPr>
              <w:t>Aasta</w:t>
            </w:r>
          </w:p>
        </w:tc>
        <w:tc>
          <w:tcPr>
            <w:tcW w:w="1276" w:type="dxa"/>
            <w:tcBorders>
              <w:top w:val="single" w:sz="8" w:space="0" w:color="auto"/>
              <w:left w:val="single" w:sz="8" w:space="0" w:color="auto"/>
              <w:bottom w:val="nil"/>
              <w:right w:val="single" w:sz="8" w:space="0" w:color="auto"/>
            </w:tcBorders>
            <w:tcMar>
              <w:left w:w="108" w:type="dxa"/>
              <w:right w:w="108" w:type="dxa"/>
            </w:tcMar>
            <w:vAlign w:val="center"/>
          </w:tcPr>
          <w:p w14:paraId="45BE01CF" w14:textId="77777777" w:rsidR="00BF22EA" w:rsidRPr="00797162" w:rsidRDefault="00BF22EA" w:rsidP="00BE7565">
            <w:pPr>
              <w:spacing w:before="0" w:after="0"/>
              <w:jc w:val="center"/>
              <w:rPr>
                <w:rFonts w:eastAsia="Times New Roman"/>
                <w:noProof/>
                <w:sz w:val="20"/>
                <w:szCs w:val="20"/>
              </w:rPr>
            </w:pPr>
            <w:r w:rsidRPr="00797162">
              <w:rPr>
                <w:noProof/>
                <w:sz w:val="20"/>
              </w:rPr>
              <w:t>Aasta</w:t>
            </w:r>
          </w:p>
        </w:tc>
        <w:tc>
          <w:tcPr>
            <w:tcW w:w="1275" w:type="dxa"/>
            <w:tcBorders>
              <w:top w:val="single" w:sz="8" w:space="0" w:color="auto"/>
              <w:left w:val="single" w:sz="8" w:space="0" w:color="auto"/>
              <w:bottom w:val="nil"/>
              <w:right w:val="single" w:sz="8" w:space="0" w:color="auto"/>
            </w:tcBorders>
            <w:tcMar>
              <w:left w:w="108" w:type="dxa"/>
              <w:right w:w="108" w:type="dxa"/>
            </w:tcMar>
            <w:vAlign w:val="center"/>
          </w:tcPr>
          <w:p w14:paraId="25583C0A" w14:textId="77777777" w:rsidR="00BF22EA" w:rsidRPr="00797162" w:rsidRDefault="00BF22EA" w:rsidP="00BE7565">
            <w:pPr>
              <w:spacing w:before="0" w:after="0"/>
              <w:jc w:val="center"/>
              <w:rPr>
                <w:rFonts w:eastAsia="Times New Roman"/>
                <w:noProof/>
                <w:sz w:val="20"/>
                <w:szCs w:val="20"/>
              </w:rPr>
            </w:pPr>
            <w:r w:rsidRPr="00797162">
              <w:rPr>
                <w:noProof/>
                <w:sz w:val="20"/>
              </w:rPr>
              <w:t>Aasta</w:t>
            </w:r>
          </w:p>
        </w:tc>
        <w:tc>
          <w:tcPr>
            <w:tcW w:w="1134" w:type="dxa"/>
            <w:tcBorders>
              <w:top w:val="single" w:sz="8" w:space="0" w:color="auto"/>
              <w:left w:val="single" w:sz="8" w:space="0" w:color="auto"/>
              <w:bottom w:val="nil"/>
              <w:right w:val="single" w:sz="8" w:space="0" w:color="auto"/>
            </w:tcBorders>
            <w:tcMar>
              <w:left w:w="108" w:type="dxa"/>
              <w:right w:w="108" w:type="dxa"/>
            </w:tcMar>
            <w:vAlign w:val="center"/>
          </w:tcPr>
          <w:p w14:paraId="45041D4E" w14:textId="77777777" w:rsidR="00BF22EA" w:rsidRPr="00797162" w:rsidRDefault="00BF22EA" w:rsidP="00BE7565">
            <w:pPr>
              <w:spacing w:before="0" w:after="0"/>
              <w:jc w:val="center"/>
              <w:rPr>
                <w:rFonts w:eastAsia="Times New Roman"/>
                <w:noProof/>
                <w:sz w:val="20"/>
                <w:szCs w:val="20"/>
              </w:rPr>
            </w:pPr>
            <w:r w:rsidRPr="00797162">
              <w:rPr>
                <w:noProof/>
                <w:sz w:val="20"/>
              </w:rPr>
              <w:t>Aasta</w:t>
            </w:r>
          </w:p>
        </w:tc>
        <w:tc>
          <w:tcPr>
            <w:tcW w:w="1560" w:type="dxa"/>
            <w:vMerge w:val="restart"/>
            <w:tcBorders>
              <w:top w:val="single" w:sz="8" w:space="0" w:color="auto"/>
              <w:left w:val="single" w:sz="8" w:space="0" w:color="auto"/>
              <w:bottom w:val="single" w:sz="8" w:space="0" w:color="000000" w:themeColor="text1"/>
              <w:right w:val="single" w:sz="8" w:space="0" w:color="auto"/>
            </w:tcBorders>
            <w:tcMar>
              <w:left w:w="108" w:type="dxa"/>
              <w:right w:w="108" w:type="dxa"/>
            </w:tcMar>
            <w:vAlign w:val="center"/>
          </w:tcPr>
          <w:p w14:paraId="49E512BA" w14:textId="77777777" w:rsidR="00BF22EA" w:rsidRPr="00797162" w:rsidRDefault="00BF22EA" w:rsidP="00BE7565">
            <w:pPr>
              <w:spacing w:before="0" w:after="0"/>
              <w:jc w:val="center"/>
              <w:rPr>
                <w:rFonts w:eastAsia="Times New Roman"/>
                <w:b/>
                <w:bCs/>
                <w:noProof/>
                <w:sz w:val="20"/>
                <w:szCs w:val="20"/>
              </w:rPr>
            </w:pPr>
            <w:r w:rsidRPr="00797162">
              <w:rPr>
                <w:b/>
                <w:noProof/>
                <w:sz w:val="20"/>
              </w:rPr>
              <w:t>Mitmeaastane finantsraamistik 2028–2034 KOKKU</w:t>
            </w:r>
          </w:p>
        </w:tc>
      </w:tr>
      <w:tr w:rsidR="00BF22EA" w:rsidRPr="00797162" w14:paraId="0E9204F5" w14:textId="77777777" w:rsidTr="00BE7565">
        <w:trPr>
          <w:trHeight w:val="300"/>
        </w:trPr>
        <w:tc>
          <w:tcPr>
            <w:tcW w:w="4103" w:type="dxa"/>
            <w:gridSpan w:val="2"/>
            <w:vMerge/>
            <w:tcBorders>
              <w:left w:val="single" w:sz="0" w:space="0" w:color="auto"/>
              <w:bottom w:val="single" w:sz="0" w:space="0" w:color="000000" w:themeColor="text1"/>
              <w:right w:val="single" w:sz="0" w:space="0" w:color="000000" w:themeColor="text1"/>
            </w:tcBorders>
            <w:vAlign w:val="center"/>
          </w:tcPr>
          <w:p w14:paraId="13C558DD" w14:textId="77777777" w:rsidR="00BF22EA" w:rsidRPr="00797162" w:rsidRDefault="00BF22EA" w:rsidP="00BE7565">
            <w:pPr>
              <w:rPr>
                <w:noProof/>
              </w:rPr>
            </w:pPr>
          </w:p>
        </w:tc>
        <w:tc>
          <w:tcPr>
            <w:tcW w:w="1142" w:type="dxa"/>
            <w:tcBorders>
              <w:top w:val="nil"/>
              <w:left w:val="nil"/>
              <w:bottom w:val="single" w:sz="8" w:space="0" w:color="auto"/>
              <w:right w:val="single" w:sz="8" w:space="0" w:color="auto"/>
            </w:tcBorders>
            <w:tcMar>
              <w:left w:w="108" w:type="dxa"/>
              <w:right w:w="108" w:type="dxa"/>
            </w:tcMar>
            <w:vAlign w:val="center"/>
          </w:tcPr>
          <w:p w14:paraId="14EEE257" w14:textId="77777777" w:rsidR="00BF22EA" w:rsidRPr="00797162" w:rsidRDefault="00BF22EA" w:rsidP="00BE7565">
            <w:pPr>
              <w:spacing w:before="0" w:after="0"/>
              <w:jc w:val="center"/>
              <w:rPr>
                <w:rFonts w:eastAsia="Times New Roman"/>
                <w:b/>
                <w:bCs/>
                <w:noProof/>
                <w:sz w:val="20"/>
                <w:szCs w:val="20"/>
              </w:rPr>
            </w:pPr>
            <w:r w:rsidRPr="00797162">
              <w:rPr>
                <w:b/>
                <w:noProof/>
                <w:sz w:val="20"/>
              </w:rPr>
              <w:t>2028</w:t>
            </w:r>
          </w:p>
        </w:tc>
        <w:tc>
          <w:tcPr>
            <w:tcW w:w="1134" w:type="dxa"/>
            <w:tcBorders>
              <w:top w:val="nil"/>
              <w:left w:val="single" w:sz="8" w:space="0" w:color="auto"/>
              <w:bottom w:val="single" w:sz="8" w:space="0" w:color="auto"/>
              <w:right w:val="single" w:sz="8" w:space="0" w:color="auto"/>
            </w:tcBorders>
            <w:tcMar>
              <w:left w:w="108" w:type="dxa"/>
              <w:right w:w="108" w:type="dxa"/>
            </w:tcMar>
            <w:vAlign w:val="center"/>
          </w:tcPr>
          <w:p w14:paraId="2B6DE518" w14:textId="77777777" w:rsidR="00BF22EA" w:rsidRPr="00797162" w:rsidRDefault="00BF22EA" w:rsidP="00BE7565">
            <w:pPr>
              <w:spacing w:before="0" w:after="0"/>
              <w:jc w:val="center"/>
              <w:rPr>
                <w:rFonts w:eastAsia="Times New Roman"/>
                <w:b/>
                <w:bCs/>
                <w:noProof/>
                <w:sz w:val="20"/>
                <w:szCs w:val="20"/>
              </w:rPr>
            </w:pPr>
            <w:r w:rsidRPr="00797162">
              <w:rPr>
                <w:b/>
                <w:noProof/>
                <w:sz w:val="20"/>
              </w:rPr>
              <w:t>2029</w:t>
            </w:r>
          </w:p>
        </w:tc>
        <w:tc>
          <w:tcPr>
            <w:tcW w:w="1276" w:type="dxa"/>
            <w:tcBorders>
              <w:top w:val="nil"/>
              <w:left w:val="single" w:sz="8" w:space="0" w:color="auto"/>
              <w:bottom w:val="single" w:sz="8" w:space="0" w:color="auto"/>
              <w:right w:val="single" w:sz="8" w:space="0" w:color="auto"/>
            </w:tcBorders>
            <w:tcMar>
              <w:left w:w="108" w:type="dxa"/>
              <w:right w:w="108" w:type="dxa"/>
            </w:tcMar>
            <w:vAlign w:val="center"/>
          </w:tcPr>
          <w:p w14:paraId="31FA9A1E" w14:textId="77777777" w:rsidR="00BF22EA" w:rsidRPr="00797162" w:rsidRDefault="00BF22EA" w:rsidP="00BE7565">
            <w:pPr>
              <w:spacing w:before="0" w:after="0"/>
              <w:jc w:val="center"/>
              <w:rPr>
                <w:rFonts w:eastAsia="Times New Roman"/>
                <w:b/>
                <w:bCs/>
                <w:noProof/>
                <w:sz w:val="20"/>
                <w:szCs w:val="20"/>
              </w:rPr>
            </w:pPr>
            <w:r w:rsidRPr="00797162">
              <w:rPr>
                <w:b/>
                <w:noProof/>
                <w:sz w:val="20"/>
              </w:rPr>
              <w:t>2030</w:t>
            </w:r>
          </w:p>
        </w:tc>
        <w:tc>
          <w:tcPr>
            <w:tcW w:w="1134" w:type="dxa"/>
            <w:tcBorders>
              <w:top w:val="nil"/>
              <w:left w:val="single" w:sz="8" w:space="0" w:color="auto"/>
              <w:bottom w:val="single" w:sz="8" w:space="0" w:color="auto"/>
              <w:right w:val="single" w:sz="8" w:space="0" w:color="auto"/>
            </w:tcBorders>
            <w:tcMar>
              <w:left w:w="108" w:type="dxa"/>
              <w:right w:w="108" w:type="dxa"/>
            </w:tcMar>
            <w:vAlign w:val="center"/>
          </w:tcPr>
          <w:p w14:paraId="75F746EA" w14:textId="77777777" w:rsidR="00BF22EA" w:rsidRPr="00797162" w:rsidRDefault="00BF22EA" w:rsidP="00BE7565">
            <w:pPr>
              <w:spacing w:before="0" w:after="0"/>
              <w:jc w:val="center"/>
              <w:rPr>
                <w:rFonts w:eastAsia="Times New Roman"/>
                <w:b/>
                <w:bCs/>
                <w:noProof/>
                <w:sz w:val="20"/>
                <w:szCs w:val="20"/>
              </w:rPr>
            </w:pPr>
            <w:r w:rsidRPr="00797162">
              <w:rPr>
                <w:b/>
                <w:noProof/>
                <w:sz w:val="20"/>
              </w:rPr>
              <w:t>2031</w:t>
            </w:r>
          </w:p>
        </w:tc>
        <w:tc>
          <w:tcPr>
            <w:tcW w:w="1276" w:type="dxa"/>
            <w:tcBorders>
              <w:top w:val="nil"/>
              <w:left w:val="single" w:sz="8" w:space="0" w:color="auto"/>
              <w:bottom w:val="single" w:sz="8" w:space="0" w:color="auto"/>
              <w:right w:val="single" w:sz="8" w:space="0" w:color="auto"/>
            </w:tcBorders>
            <w:tcMar>
              <w:left w:w="108" w:type="dxa"/>
              <w:right w:w="108" w:type="dxa"/>
            </w:tcMar>
            <w:vAlign w:val="center"/>
          </w:tcPr>
          <w:p w14:paraId="2A686CEE" w14:textId="77777777" w:rsidR="00BF22EA" w:rsidRPr="00797162" w:rsidRDefault="00BF22EA" w:rsidP="00BE7565">
            <w:pPr>
              <w:spacing w:before="0" w:after="0"/>
              <w:jc w:val="center"/>
              <w:rPr>
                <w:rFonts w:eastAsia="Times New Roman"/>
                <w:b/>
                <w:bCs/>
                <w:noProof/>
                <w:sz w:val="20"/>
                <w:szCs w:val="20"/>
              </w:rPr>
            </w:pPr>
            <w:r w:rsidRPr="00797162">
              <w:rPr>
                <w:b/>
                <w:noProof/>
                <w:sz w:val="20"/>
              </w:rPr>
              <w:t>2032</w:t>
            </w:r>
          </w:p>
        </w:tc>
        <w:tc>
          <w:tcPr>
            <w:tcW w:w="1275" w:type="dxa"/>
            <w:tcBorders>
              <w:top w:val="nil"/>
              <w:left w:val="single" w:sz="8" w:space="0" w:color="auto"/>
              <w:bottom w:val="single" w:sz="8" w:space="0" w:color="auto"/>
              <w:right w:val="single" w:sz="8" w:space="0" w:color="auto"/>
            </w:tcBorders>
            <w:tcMar>
              <w:left w:w="108" w:type="dxa"/>
              <w:right w:w="108" w:type="dxa"/>
            </w:tcMar>
            <w:vAlign w:val="center"/>
          </w:tcPr>
          <w:p w14:paraId="0327ABEC" w14:textId="77777777" w:rsidR="00BF22EA" w:rsidRPr="00797162" w:rsidRDefault="00BF22EA" w:rsidP="00BE7565">
            <w:pPr>
              <w:spacing w:before="0" w:after="0"/>
              <w:jc w:val="center"/>
              <w:rPr>
                <w:rFonts w:eastAsia="Times New Roman"/>
                <w:b/>
                <w:bCs/>
                <w:noProof/>
                <w:sz w:val="20"/>
                <w:szCs w:val="20"/>
              </w:rPr>
            </w:pPr>
            <w:r w:rsidRPr="00797162">
              <w:rPr>
                <w:b/>
                <w:noProof/>
                <w:sz w:val="20"/>
              </w:rPr>
              <w:t>2033</w:t>
            </w:r>
          </w:p>
        </w:tc>
        <w:tc>
          <w:tcPr>
            <w:tcW w:w="1134" w:type="dxa"/>
            <w:tcBorders>
              <w:top w:val="nil"/>
              <w:left w:val="single" w:sz="8" w:space="0" w:color="auto"/>
              <w:bottom w:val="single" w:sz="8" w:space="0" w:color="auto"/>
              <w:right w:val="single" w:sz="8" w:space="0" w:color="auto"/>
            </w:tcBorders>
            <w:tcMar>
              <w:left w:w="108" w:type="dxa"/>
              <w:right w:w="108" w:type="dxa"/>
            </w:tcMar>
            <w:vAlign w:val="center"/>
          </w:tcPr>
          <w:p w14:paraId="23FB3ED3" w14:textId="77777777" w:rsidR="00BF22EA" w:rsidRPr="00797162" w:rsidRDefault="00BF22EA" w:rsidP="00BE7565">
            <w:pPr>
              <w:spacing w:before="0" w:after="0"/>
              <w:jc w:val="center"/>
              <w:rPr>
                <w:rFonts w:eastAsia="Times New Roman"/>
                <w:b/>
                <w:bCs/>
                <w:noProof/>
                <w:sz w:val="20"/>
                <w:szCs w:val="20"/>
              </w:rPr>
            </w:pPr>
            <w:r w:rsidRPr="00797162">
              <w:rPr>
                <w:b/>
                <w:noProof/>
                <w:sz w:val="20"/>
              </w:rPr>
              <w:t>2034</w:t>
            </w:r>
          </w:p>
        </w:tc>
        <w:tc>
          <w:tcPr>
            <w:tcW w:w="1560" w:type="dxa"/>
            <w:vMerge/>
            <w:tcBorders>
              <w:left w:val="single" w:sz="0" w:space="0" w:color="auto"/>
              <w:bottom w:val="single" w:sz="0" w:space="0" w:color="000000" w:themeColor="text1"/>
              <w:right w:val="single" w:sz="0" w:space="0" w:color="auto"/>
            </w:tcBorders>
            <w:vAlign w:val="center"/>
          </w:tcPr>
          <w:p w14:paraId="78A5E012" w14:textId="77777777" w:rsidR="00BF22EA" w:rsidRPr="00797162" w:rsidRDefault="00BF22EA" w:rsidP="00BE7565">
            <w:pPr>
              <w:rPr>
                <w:noProof/>
              </w:rPr>
            </w:pPr>
          </w:p>
        </w:tc>
      </w:tr>
      <w:tr w:rsidR="00BF22EA" w:rsidRPr="00797162" w14:paraId="74DEA970" w14:textId="77777777" w:rsidTr="00BE7565">
        <w:trPr>
          <w:trHeight w:val="315"/>
        </w:trPr>
        <w:tc>
          <w:tcPr>
            <w:tcW w:w="1931" w:type="dxa"/>
            <w:tcBorders>
              <w:top w:val="nil"/>
              <w:left w:val="single" w:sz="8" w:space="0" w:color="auto"/>
              <w:bottom w:val="single" w:sz="8" w:space="0" w:color="auto"/>
              <w:right w:val="single" w:sz="8" w:space="0" w:color="000000" w:themeColor="text1"/>
            </w:tcBorders>
            <w:shd w:val="clear" w:color="auto" w:fill="C0C0C0"/>
            <w:tcMar>
              <w:left w:w="108" w:type="dxa"/>
              <w:right w:w="108" w:type="dxa"/>
            </w:tcMar>
            <w:vAlign w:val="center"/>
          </w:tcPr>
          <w:p w14:paraId="12D4EC92" w14:textId="77777777" w:rsidR="00BF22EA" w:rsidRPr="00797162" w:rsidRDefault="00BF22EA" w:rsidP="00BE7565">
            <w:pPr>
              <w:spacing w:before="0" w:after="0"/>
              <w:jc w:val="center"/>
              <w:rPr>
                <w:rFonts w:eastAsia="Times New Roman"/>
                <w:b/>
                <w:bCs/>
                <w:noProof/>
                <w:color w:val="000000" w:themeColor="text1"/>
                <w:sz w:val="22"/>
              </w:rPr>
            </w:pPr>
            <w:r w:rsidRPr="00797162">
              <w:rPr>
                <w:b/>
                <w:noProof/>
                <w:color w:val="000000" w:themeColor="text1"/>
                <w:sz w:val="22"/>
              </w:rPr>
              <w:t>RUBRIIKIDE 1–4 assigneeringud KOKKU</w:t>
            </w:r>
          </w:p>
        </w:tc>
        <w:tc>
          <w:tcPr>
            <w:tcW w:w="2172" w:type="dxa"/>
            <w:tcBorders>
              <w:top w:val="nil"/>
              <w:left w:val="single" w:sz="8" w:space="0" w:color="000000" w:themeColor="text1"/>
              <w:bottom w:val="single" w:sz="8" w:space="0" w:color="auto"/>
              <w:right w:val="single" w:sz="8" w:space="0" w:color="000000" w:themeColor="text1"/>
            </w:tcBorders>
            <w:tcMar>
              <w:left w:w="108" w:type="dxa"/>
              <w:right w:w="108" w:type="dxa"/>
            </w:tcMar>
            <w:vAlign w:val="center"/>
          </w:tcPr>
          <w:p w14:paraId="0D844E0C" w14:textId="77777777" w:rsidR="00BF22EA" w:rsidRPr="00797162" w:rsidRDefault="00BF22EA" w:rsidP="00BE7565">
            <w:pPr>
              <w:spacing w:before="0" w:after="0"/>
              <w:rPr>
                <w:rFonts w:eastAsia="Times New Roman"/>
                <w:noProof/>
                <w:sz w:val="18"/>
                <w:szCs w:val="18"/>
              </w:rPr>
            </w:pPr>
            <w:r w:rsidRPr="00797162">
              <w:rPr>
                <w:noProof/>
                <w:sz w:val="18"/>
              </w:rPr>
              <w:t>Kulukohustused</w:t>
            </w:r>
          </w:p>
        </w:tc>
        <w:tc>
          <w:tcPr>
            <w:tcW w:w="114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7B2CDE5" w14:textId="77777777" w:rsidR="00BF22EA" w:rsidRPr="00797162" w:rsidRDefault="00BF22EA" w:rsidP="00BE7565">
            <w:pPr>
              <w:spacing w:before="0" w:after="0"/>
              <w:jc w:val="right"/>
              <w:rPr>
                <w:rFonts w:eastAsia="Times New Roman"/>
                <w:b/>
                <w:bCs/>
                <w:noProof/>
                <w:color w:val="000000" w:themeColor="text1"/>
                <w:szCs w:val="24"/>
              </w:rPr>
            </w:pPr>
            <w:r w:rsidRPr="00797162">
              <w:rPr>
                <w:b/>
                <w:noProof/>
                <w:color w:val="000000" w:themeColor="text1"/>
              </w:rPr>
              <w:t>p.m.</w:t>
            </w:r>
          </w:p>
        </w:tc>
        <w:tc>
          <w:tcPr>
            <w:tcW w:w="11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1919220" w14:textId="77777777" w:rsidR="00BF22EA" w:rsidRPr="00797162" w:rsidRDefault="00BF22EA" w:rsidP="00BE7565">
            <w:pPr>
              <w:spacing w:before="0" w:after="0"/>
              <w:jc w:val="right"/>
              <w:rPr>
                <w:rFonts w:eastAsia="Times New Roman"/>
                <w:b/>
                <w:bCs/>
                <w:noProof/>
                <w:color w:val="000000" w:themeColor="text1"/>
                <w:szCs w:val="24"/>
              </w:rPr>
            </w:pPr>
            <w:r w:rsidRPr="00797162">
              <w:rPr>
                <w:b/>
                <w:noProof/>
                <w:color w:val="000000" w:themeColor="text1"/>
              </w:rPr>
              <w:t>p.m.</w:t>
            </w: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89F977D" w14:textId="77777777" w:rsidR="00BF22EA" w:rsidRPr="00797162" w:rsidRDefault="00BF22EA" w:rsidP="00BE7565">
            <w:pPr>
              <w:spacing w:before="0" w:after="0"/>
              <w:jc w:val="right"/>
              <w:rPr>
                <w:rFonts w:eastAsia="Times New Roman"/>
                <w:b/>
                <w:bCs/>
                <w:noProof/>
                <w:color w:val="000000" w:themeColor="text1"/>
                <w:szCs w:val="24"/>
              </w:rPr>
            </w:pPr>
            <w:r w:rsidRPr="00797162">
              <w:rPr>
                <w:b/>
                <w:noProof/>
                <w:color w:val="000000" w:themeColor="text1"/>
              </w:rPr>
              <w:t>p.m.</w:t>
            </w:r>
          </w:p>
        </w:tc>
        <w:tc>
          <w:tcPr>
            <w:tcW w:w="11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D836349" w14:textId="77777777" w:rsidR="00BF22EA" w:rsidRPr="00797162" w:rsidRDefault="00BF22EA" w:rsidP="00BE7565">
            <w:pPr>
              <w:spacing w:before="0" w:after="0"/>
              <w:jc w:val="right"/>
              <w:rPr>
                <w:rFonts w:eastAsia="Times New Roman"/>
                <w:b/>
                <w:bCs/>
                <w:noProof/>
                <w:color w:val="000000" w:themeColor="text1"/>
                <w:szCs w:val="24"/>
              </w:rPr>
            </w:pPr>
            <w:r w:rsidRPr="00797162">
              <w:rPr>
                <w:b/>
                <w:noProof/>
                <w:color w:val="000000" w:themeColor="text1"/>
              </w:rPr>
              <w:t>p.m.</w:t>
            </w: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484CF4B" w14:textId="77777777" w:rsidR="00BF22EA" w:rsidRPr="00797162" w:rsidRDefault="00BF22EA" w:rsidP="00BE7565">
            <w:pPr>
              <w:spacing w:before="0" w:after="0"/>
              <w:jc w:val="right"/>
              <w:rPr>
                <w:rFonts w:eastAsia="Times New Roman"/>
                <w:b/>
                <w:bCs/>
                <w:noProof/>
                <w:color w:val="000000" w:themeColor="text1"/>
                <w:szCs w:val="24"/>
              </w:rPr>
            </w:pPr>
            <w:r w:rsidRPr="00797162">
              <w:rPr>
                <w:b/>
                <w:noProof/>
                <w:color w:val="000000" w:themeColor="text1"/>
              </w:rPr>
              <w:t>p.m.</w:t>
            </w:r>
          </w:p>
        </w:tc>
        <w:tc>
          <w:tcPr>
            <w:tcW w:w="127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611600A" w14:textId="77777777" w:rsidR="00BF22EA" w:rsidRPr="00797162" w:rsidRDefault="00BF22EA" w:rsidP="00BE7565">
            <w:pPr>
              <w:spacing w:before="0" w:after="0"/>
              <w:jc w:val="right"/>
              <w:rPr>
                <w:rFonts w:eastAsia="Times New Roman"/>
                <w:b/>
                <w:bCs/>
                <w:noProof/>
                <w:color w:val="000000" w:themeColor="text1"/>
                <w:szCs w:val="24"/>
              </w:rPr>
            </w:pPr>
            <w:r w:rsidRPr="00797162">
              <w:rPr>
                <w:b/>
                <w:noProof/>
                <w:color w:val="000000" w:themeColor="text1"/>
              </w:rPr>
              <w:t>p.m.</w:t>
            </w:r>
          </w:p>
        </w:tc>
        <w:tc>
          <w:tcPr>
            <w:tcW w:w="11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39E39C7" w14:textId="77777777" w:rsidR="00BF22EA" w:rsidRPr="00797162" w:rsidRDefault="00BF22EA" w:rsidP="00BE7565">
            <w:pPr>
              <w:spacing w:before="0" w:after="0"/>
              <w:jc w:val="right"/>
              <w:rPr>
                <w:rFonts w:eastAsia="Times New Roman"/>
                <w:b/>
                <w:bCs/>
                <w:noProof/>
                <w:color w:val="000000" w:themeColor="text1"/>
                <w:szCs w:val="24"/>
              </w:rPr>
            </w:pPr>
            <w:r w:rsidRPr="00797162">
              <w:rPr>
                <w:b/>
                <w:noProof/>
                <w:color w:val="000000" w:themeColor="text1"/>
              </w:rPr>
              <w:t>p.m.</w:t>
            </w:r>
          </w:p>
        </w:tc>
        <w:tc>
          <w:tcPr>
            <w:tcW w:w="1560"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81B281C" w14:textId="77777777" w:rsidR="00BF22EA" w:rsidRPr="00797162" w:rsidRDefault="00BF22EA" w:rsidP="00BE7565">
            <w:pPr>
              <w:spacing w:before="0" w:after="0"/>
              <w:jc w:val="right"/>
              <w:rPr>
                <w:rFonts w:eastAsia="Times New Roman"/>
                <w:b/>
                <w:bCs/>
                <w:noProof/>
                <w:color w:val="000000" w:themeColor="text1"/>
                <w:szCs w:val="24"/>
              </w:rPr>
            </w:pPr>
            <w:r w:rsidRPr="00797162">
              <w:rPr>
                <w:b/>
                <w:noProof/>
                <w:color w:val="000000" w:themeColor="text1"/>
              </w:rPr>
              <w:t>p.m.</w:t>
            </w:r>
          </w:p>
        </w:tc>
      </w:tr>
      <w:tr w:rsidR="00BF22EA" w:rsidRPr="00797162" w14:paraId="4947036A" w14:textId="77777777" w:rsidTr="00BE7565">
        <w:trPr>
          <w:trHeight w:val="240"/>
        </w:trPr>
        <w:tc>
          <w:tcPr>
            <w:tcW w:w="1931" w:type="dxa"/>
            <w:tcBorders>
              <w:top w:val="single" w:sz="8" w:space="0" w:color="auto"/>
              <w:left w:val="single" w:sz="8" w:space="0" w:color="auto"/>
              <w:bottom w:val="single" w:sz="8" w:space="0" w:color="000000" w:themeColor="text1"/>
              <w:right w:val="single" w:sz="8" w:space="0" w:color="000000" w:themeColor="text1"/>
            </w:tcBorders>
            <w:shd w:val="clear" w:color="auto" w:fill="C0C0C0"/>
            <w:tcMar>
              <w:left w:w="108" w:type="dxa"/>
              <w:right w:w="108" w:type="dxa"/>
            </w:tcMar>
            <w:vAlign w:val="center"/>
          </w:tcPr>
          <w:p w14:paraId="1D1723C7" w14:textId="77777777" w:rsidR="00BF22EA" w:rsidRPr="00797162" w:rsidRDefault="00BF22EA" w:rsidP="00BE7565">
            <w:pPr>
              <w:spacing w:before="0" w:after="0"/>
              <w:jc w:val="center"/>
              <w:rPr>
                <w:rFonts w:eastAsia="Times New Roman"/>
                <w:b/>
                <w:bCs/>
                <w:noProof/>
                <w:color w:val="000000" w:themeColor="text1"/>
                <w:sz w:val="22"/>
              </w:rPr>
            </w:pPr>
            <w:r w:rsidRPr="00797162">
              <w:rPr>
                <w:noProof/>
                <w:color w:val="000000" w:themeColor="text1"/>
                <w:sz w:val="22"/>
              </w:rPr>
              <w:t>Mitmeaastase finantsraamistiku</w:t>
            </w:r>
            <w:r w:rsidRPr="00797162">
              <w:rPr>
                <w:b/>
                <w:noProof/>
                <w:color w:val="000000" w:themeColor="text1"/>
                <w:sz w:val="22"/>
              </w:rPr>
              <w:t xml:space="preserve"> </w:t>
            </w:r>
          </w:p>
        </w:tc>
        <w:tc>
          <w:tcPr>
            <w:tcW w:w="2172"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BC446F6" w14:textId="77777777" w:rsidR="00BF22EA" w:rsidRPr="00797162" w:rsidRDefault="00BF22EA" w:rsidP="00BE7565">
            <w:pPr>
              <w:spacing w:before="0" w:after="0"/>
              <w:rPr>
                <w:rFonts w:eastAsia="Times New Roman"/>
                <w:noProof/>
                <w:sz w:val="18"/>
                <w:szCs w:val="18"/>
              </w:rPr>
            </w:pPr>
            <w:r w:rsidRPr="00797162">
              <w:rPr>
                <w:noProof/>
                <w:sz w:val="18"/>
              </w:rPr>
              <w:t>Maksed</w:t>
            </w:r>
          </w:p>
        </w:tc>
        <w:tc>
          <w:tcPr>
            <w:tcW w:w="114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3E311A6" w14:textId="77777777" w:rsidR="00BF22EA" w:rsidRPr="00797162" w:rsidRDefault="00BF22EA" w:rsidP="00BE7565">
            <w:pPr>
              <w:spacing w:before="0" w:after="0"/>
              <w:jc w:val="right"/>
              <w:rPr>
                <w:rFonts w:eastAsia="Times New Roman"/>
                <w:b/>
                <w:bCs/>
                <w:noProof/>
                <w:color w:val="000000" w:themeColor="text1"/>
                <w:szCs w:val="24"/>
              </w:rPr>
            </w:pPr>
            <w:r w:rsidRPr="00797162">
              <w:rPr>
                <w:b/>
                <w:noProof/>
                <w:color w:val="000000" w:themeColor="text1"/>
              </w:rPr>
              <w:t>p.m.</w:t>
            </w:r>
          </w:p>
        </w:tc>
        <w:tc>
          <w:tcPr>
            <w:tcW w:w="11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928F5AE" w14:textId="77777777" w:rsidR="00BF22EA" w:rsidRPr="00797162" w:rsidRDefault="00BF22EA" w:rsidP="00BE7565">
            <w:pPr>
              <w:spacing w:before="0" w:after="0"/>
              <w:jc w:val="right"/>
              <w:rPr>
                <w:rFonts w:eastAsia="Times New Roman"/>
                <w:b/>
                <w:bCs/>
                <w:noProof/>
                <w:color w:val="000000" w:themeColor="text1"/>
                <w:szCs w:val="24"/>
              </w:rPr>
            </w:pPr>
            <w:r w:rsidRPr="00797162">
              <w:rPr>
                <w:b/>
                <w:noProof/>
                <w:color w:val="000000" w:themeColor="text1"/>
              </w:rPr>
              <w:t>p.m.</w:t>
            </w: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365EF06" w14:textId="77777777" w:rsidR="00BF22EA" w:rsidRPr="00797162" w:rsidRDefault="00BF22EA" w:rsidP="00BE7565">
            <w:pPr>
              <w:spacing w:before="0" w:after="0"/>
              <w:jc w:val="right"/>
              <w:rPr>
                <w:rFonts w:eastAsia="Times New Roman"/>
                <w:b/>
                <w:bCs/>
                <w:noProof/>
                <w:color w:val="000000" w:themeColor="text1"/>
                <w:szCs w:val="24"/>
              </w:rPr>
            </w:pPr>
            <w:r w:rsidRPr="00797162">
              <w:rPr>
                <w:b/>
                <w:noProof/>
                <w:color w:val="000000" w:themeColor="text1"/>
              </w:rPr>
              <w:t>p.m.</w:t>
            </w:r>
          </w:p>
        </w:tc>
        <w:tc>
          <w:tcPr>
            <w:tcW w:w="11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88F98B7" w14:textId="77777777" w:rsidR="00BF22EA" w:rsidRPr="00797162" w:rsidRDefault="00BF22EA" w:rsidP="00BE7565">
            <w:pPr>
              <w:spacing w:before="0" w:after="0"/>
              <w:jc w:val="right"/>
              <w:rPr>
                <w:rFonts w:eastAsia="Times New Roman"/>
                <w:b/>
                <w:bCs/>
                <w:noProof/>
                <w:color w:val="000000" w:themeColor="text1"/>
                <w:szCs w:val="24"/>
              </w:rPr>
            </w:pPr>
            <w:r w:rsidRPr="00797162">
              <w:rPr>
                <w:b/>
                <w:noProof/>
                <w:color w:val="000000" w:themeColor="text1"/>
              </w:rPr>
              <w:t>p.m.</w:t>
            </w: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7E26EA8" w14:textId="77777777" w:rsidR="00BF22EA" w:rsidRPr="00797162" w:rsidRDefault="00BF22EA" w:rsidP="00BE7565">
            <w:pPr>
              <w:spacing w:before="0" w:after="0"/>
              <w:jc w:val="right"/>
              <w:rPr>
                <w:rFonts w:eastAsia="Times New Roman"/>
                <w:b/>
                <w:bCs/>
                <w:noProof/>
                <w:color w:val="000000" w:themeColor="text1"/>
                <w:szCs w:val="24"/>
              </w:rPr>
            </w:pPr>
            <w:r w:rsidRPr="00797162">
              <w:rPr>
                <w:b/>
                <w:noProof/>
                <w:color w:val="000000" w:themeColor="text1"/>
              </w:rPr>
              <w:t>p.m.</w:t>
            </w:r>
          </w:p>
        </w:tc>
        <w:tc>
          <w:tcPr>
            <w:tcW w:w="127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4BC1C7D" w14:textId="77777777" w:rsidR="00BF22EA" w:rsidRPr="00797162" w:rsidRDefault="00BF22EA" w:rsidP="00BE7565">
            <w:pPr>
              <w:spacing w:before="0" w:after="0"/>
              <w:jc w:val="right"/>
              <w:rPr>
                <w:rFonts w:eastAsia="Times New Roman"/>
                <w:b/>
                <w:bCs/>
                <w:noProof/>
                <w:color w:val="000000" w:themeColor="text1"/>
                <w:szCs w:val="24"/>
              </w:rPr>
            </w:pPr>
            <w:r w:rsidRPr="00797162">
              <w:rPr>
                <w:b/>
                <w:noProof/>
                <w:color w:val="000000" w:themeColor="text1"/>
              </w:rPr>
              <w:t>p.m.</w:t>
            </w:r>
          </w:p>
        </w:tc>
        <w:tc>
          <w:tcPr>
            <w:tcW w:w="11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F9DD22E" w14:textId="77777777" w:rsidR="00BF22EA" w:rsidRPr="00797162" w:rsidRDefault="00BF22EA" w:rsidP="00BE7565">
            <w:pPr>
              <w:spacing w:before="0" w:after="0"/>
              <w:jc w:val="right"/>
              <w:rPr>
                <w:rFonts w:eastAsia="Times New Roman"/>
                <w:b/>
                <w:bCs/>
                <w:noProof/>
                <w:color w:val="000000" w:themeColor="text1"/>
                <w:szCs w:val="24"/>
              </w:rPr>
            </w:pPr>
            <w:r w:rsidRPr="00797162">
              <w:rPr>
                <w:b/>
                <w:noProof/>
                <w:color w:val="000000" w:themeColor="text1"/>
              </w:rPr>
              <w:t>p.m.</w:t>
            </w:r>
          </w:p>
        </w:tc>
        <w:tc>
          <w:tcPr>
            <w:tcW w:w="1560" w:type="dxa"/>
            <w:tcBorders>
              <w:top w:val="single" w:sz="8" w:space="0" w:color="auto"/>
              <w:left w:val="single" w:sz="8" w:space="0" w:color="auto"/>
              <w:bottom w:val="single" w:sz="8" w:space="0" w:color="000000" w:themeColor="text1"/>
              <w:right w:val="single" w:sz="8" w:space="0" w:color="auto"/>
            </w:tcBorders>
            <w:shd w:val="clear" w:color="auto" w:fill="D9D9D9" w:themeFill="background1" w:themeFillShade="D9"/>
            <w:tcMar>
              <w:left w:w="108" w:type="dxa"/>
              <w:right w:w="108" w:type="dxa"/>
            </w:tcMar>
            <w:vAlign w:val="center"/>
          </w:tcPr>
          <w:p w14:paraId="649528B1" w14:textId="77777777" w:rsidR="00BF22EA" w:rsidRPr="00797162" w:rsidRDefault="00BF22EA" w:rsidP="00BE7565">
            <w:pPr>
              <w:spacing w:before="0" w:after="0"/>
              <w:jc w:val="right"/>
              <w:rPr>
                <w:rFonts w:eastAsia="Times New Roman"/>
                <w:b/>
                <w:bCs/>
                <w:noProof/>
                <w:color w:val="000000" w:themeColor="text1"/>
                <w:szCs w:val="24"/>
              </w:rPr>
            </w:pPr>
            <w:r w:rsidRPr="00797162">
              <w:rPr>
                <w:b/>
                <w:noProof/>
                <w:color w:val="000000" w:themeColor="text1"/>
              </w:rPr>
              <w:t>p.m.</w:t>
            </w:r>
          </w:p>
        </w:tc>
      </w:tr>
    </w:tbl>
    <w:p w14:paraId="445ACFAD" w14:textId="77777777" w:rsidR="00BF22EA" w:rsidRPr="00797162" w:rsidRDefault="00BF22EA" w:rsidP="00BF22EA">
      <w:pPr>
        <w:jc w:val="left"/>
        <w:rPr>
          <w:rFonts w:eastAsia="Times New Roman"/>
          <w:noProof/>
          <w:sz w:val="20"/>
          <w:szCs w:val="20"/>
        </w:rPr>
      </w:pPr>
    </w:p>
    <w:p w14:paraId="6ADDF557" w14:textId="77777777" w:rsidR="00BF22EA" w:rsidRPr="00797162" w:rsidRDefault="00BF22EA" w:rsidP="00BF22EA">
      <w:pPr>
        <w:jc w:val="right"/>
        <w:rPr>
          <w:rFonts w:eastAsia="Times New Roman"/>
          <w:noProof/>
          <w:sz w:val="20"/>
          <w:szCs w:val="20"/>
        </w:rPr>
      </w:pPr>
    </w:p>
    <w:p w14:paraId="6019EE1C" w14:textId="77777777" w:rsidR="00BF22EA" w:rsidRPr="00797162" w:rsidRDefault="00BF22EA" w:rsidP="00BF22EA">
      <w:pPr>
        <w:spacing w:before="0" w:after="0"/>
        <w:rPr>
          <w:noProof/>
        </w:rPr>
      </w:pPr>
    </w:p>
    <w:p w14:paraId="5DD08A67" w14:textId="77777777" w:rsidR="00BF22EA" w:rsidRPr="00797162" w:rsidRDefault="00D53C47" w:rsidP="00BF22EA">
      <w:pPr>
        <w:spacing w:before="0" w:after="0"/>
        <w:ind w:left="720" w:hanging="720"/>
        <w:rPr>
          <w:rFonts w:ascii="Segoe UI" w:eastAsia="Segoe UI" w:hAnsi="Segoe UI" w:cs="Segoe UI"/>
          <w:noProof/>
          <w:sz w:val="20"/>
          <w:szCs w:val="20"/>
        </w:rPr>
      </w:pPr>
      <w:hyperlink r:id="rId19" w:anchor="_ftnref1" w:history="1">
        <w:r w:rsidR="00BF22EA" w:rsidRPr="00797162">
          <w:rPr>
            <w:noProof/>
            <w:color w:val="0000FF"/>
            <w:sz w:val="20"/>
            <w:u w:val="single"/>
            <w:vertAlign w:val="superscript"/>
          </w:rPr>
          <w:t>[1]</w:t>
        </w:r>
      </w:hyperlink>
      <w:r w:rsidR="00BF22EA" w:rsidRPr="00797162">
        <w:rPr>
          <w:noProof/>
        </w:rPr>
        <w:tab/>
      </w:r>
      <w:r w:rsidR="00BF22EA" w:rsidRPr="00797162">
        <w:rPr>
          <w:noProof/>
          <w:sz w:val="18"/>
        </w:rPr>
        <w:t>Vajalike assigneeringute kindlaksmääramiseks tuleks kasutada aastaseid keskmisi kulunäitajaid, mis on kättesaadavad BUDGpedia veebilehel</w:t>
      </w:r>
      <w:r w:rsidR="00BF22EA" w:rsidRPr="00797162">
        <w:rPr>
          <w:rFonts w:ascii="Segoe UI" w:hAnsi="Segoe UI"/>
          <w:noProof/>
          <w:sz w:val="20"/>
        </w:rPr>
        <w:t>.</w:t>
      </w:r>
    </w:p>
    <w:p w14:paraId="245A7047" w14:textId="77777777" w:rsidR="00BF22EA" w:rsidRPr="00797162" w:rsidRDefault="00BF22EA" w:rsidP="00BF22EA">
      <w:pPr>
        <w:rPr>
          <w:noProof/>
        </w:rPr>
      </w:pPr>
    </w:p>
    <w:p w14:paraId="3C922BFC" w14:textId="77777777" w:rsidR="00BF22EA" w:rsidRPr="00797162" w:rsidRDefault="00BF22EA" w:rsidP="00BF22EA">
      <w:pPr>
        <w:rPr>
          <w:noProof/>
        </w:rPr>
      </w:pPr>
    </w:p>
    <w:p w14:paraId="4EAE345E" w14:textId="77777777" w:rsidR="00BF22EA" w:rsidRPr="00797162" w:rsidRDefault="00BF22EA" w:rsidP="00BF22EA">
      <w:pPr>
        <w:rPr>
          <w:noProof/>
        </w:rPr>
        <w:sectPr w:rsidR="00BF22EA" w:rsidRPr="00797162" w:rsidSect="00B662D8">
          <w:headerReference w:type="default" r:id="rId20"/>
          <w:footerReference w:type="default" r:id="rId21"/>
          <w:pgSz w:w="16840" w:h="11907" w:orient="landscape" w:code="9"/>
          <w:pgMar w:top="1134" w:right="1418" w:bottom="567" w:left="1418" w:header="709" w:footer="709" w:gutter="0"/>
          <w:cols w:space="708"/>
          <w:docGrid w:linePitch="360"/>
        </w:sectPr>
      </w:pPr>
    </w:p>
    <w:p w14:paraId="0C1BE17A" w14:textId="77777777" w:rsidR="00BF22EA" w:rsidRPr="00797162" w:rsidRDefault="00BF22EA" w:rsidP="00BF22EA">
      <w:pPr>
        <w:keepNext/>
        <w:tabs>
          <w:tab w:val="left" w:pos="850"/>
        </w:tabs>
        <w:ind w:left="850" w:hanging="850"/>
        <w:outlineLvl w:val="2"/>
        <w:rPr>
          <w:i/>
          <w:noProof/>
        </w:rPr>
      </w:pPr>
      <w:bookmarkStart w:id="161" w:name="_Toc514938055"/>
      <w:bookmarkStart w:id="162" w:name="_Toc520485054"/>
      <w:bookmarkStart w:id="163" w:name="_Toc160804598"/>
      <w:bookmarkStart w:id="164" w:name="_Toc167220290"/>
      <w:bookmarkStart w:id="165" w:name="_Toc177549023"/>
      <w:r w:rsidRPr="00797162">
        <w:rPr>
          <w:i/>
          <w:noProof/>
        </w:rPr>
        <w:t>3.2.3.</w:t>
      </w:r>
      <w:r w:rsidRPr="00797162">
        <w:rPr>
          <w:noProof/>
        </w:rPr>
        <w:tab/>
      </w:r>
      <w:r w:rsidRPr="00797162">
        <w:rPr>
          <w:i/>
          <w:noProof/>
        </w:rPr>
        <w:t>Hinnanguline mõju haldusassigneeringutele – ülevaade</w:t>
      </w:r>
      <w:bookmarkEnd w:id="161"/>
      <w:bookmarkEnd w:id="162"/>
      <w:bookmarkEnd w:id="163"/>
      <w:bookmarkEnd w:id="164"/>
      <w:bookmarkEnd w:id="165"/>
      <w:r w:rsidRPr="00797162">
        <w:rPr>
          <w:i/>
          <w:noProof/>
        </w:rPr>
        <w:t xml:space="preserve"> </w:t>
      </w:r>
    </w:p>
    <w:p w14:paraId="24A5CB4E" w14:textId="77777777" w:rsidR="00BF22EA" w:rsidRPr="00797162" w:rsidRDefault="00BF22EA" w:rsidP="00CA1FBC">
      <w:pPr>
        <w:pStyle w:val="ListDash1"/>
        <w:rPr>
          <w:noProof/>
        </w:rPr>
      </w:pPr>
      <w:r w:rsidRPr="00797162">
        <w:rPr>
          <w:rFonts w:ascii="Wingdings" w:hAnsi="Wingdings"/>
          <w:noProof/>
        </w:rPr>
        <w:t></w:t>
      </w:r>
      <w:r w:rsidRPr="00797162">
        <w:rPr>
          <w:noProof/>
        </w:rPr>
        <w:tab/>
        <w:t xml:space="preserve">Ettepanek/algatus ei nõua haldusassigneeringute kasutamist </w:t>
      </w:r>
    </w:p>
    <w:p w14:paraId="07753BD7" w14:textId="77777777" w:rsidR="00BF22EA" w:rsidRPr="00797162" w:rsidRDefault="00BF22EA" w:rsidP="00CA1FBC">
      <w:pPr>
        <w:pStyle w:val="ListDash1"/>
        <w:rPr>
          <w:noProof/>
        </w:rPr>
      </w:pPr>
      <w:r w:rsidRPr="00797162">
        <w:rPr>
          <w:rFonts w:ascii="Wingdings" w:hAnsi="Wingdings"/>
          <w:noProof/>
        </w:rPr>
        <w:t></w:t>
      </w:r>
      <w:r w:rsidRPr="00797162">
        <w:rPr>
          <w:noProof/>
        </w:rPr>
        <w:tab/>
        <w:t>Ettepanek/algatus nõuab haldusassigneeringute kasutamist, mis toimub järgmiselt:</w:t>
      </w:r>
    </w:p>
    <w:p w14:paraId="37856C0A" w14:textId="77777777" w:rsidR="00BF22EA" w:rsidRPr="00797162" w:rsidRDefault="00BF22EA" w:rsidP="00BF22EA">
      <w:pPr>
        <w:keepNext/>
        <w:tabs>
          <w:tab w:val="left" w:pos="850"/>
        </w:tabs>
        <w:ind w:left="850" w:hanging="850"/>
        <w:outlineLvl w:val="2"/>
        <w:rPr>
          <w:i/>
          <w:noProof/>
        </w:rPr>
      </w:pPr>
      <w:bookmarkStart w:id="166" w:name="_Toc167220291"/>
      <w:bookmarkStart w:id="167" w:name="_Toc177549024"/>
      <w:r w:rsidRPr="00797162">
        <w:rPr>
          <w:i/>
          <w:noProof/>
        </w:rPr>
        <w:t>3.2.3,1. Heakskiidetud eelarvest saadavad assigneeringud</w:t>
      </w:r>
      <w:bookmarkEnd w:id="166"/>
      <w:bookmarkEnd w:id="167"/>
    </w:p>
    <w:p w14:paraId="148E99AC" w14:textId="77777777" w:rsidR="00BF22EA" w:rsidRPr="00797162" w:rsidRDefault="00BF22EA" w:rsidP="00BF22EA">
      <w:pPr>
        <w:ind w:left="850"/>
        <w:rPr>
          <w:noProof/>
        </w:rPr>
      </w:pPr>
    </w:p>
    <w:tbl>
      <w:tblPr>
        <w:tblW w:w="0" w:type="auto"/>
        <w:tblLayout w:type="fixed"/>
        <w:tblLook w:val="04A0" w:firstRow="1" w:lastRow="0" w:firstColumn="1" w:lastColumn="0" w:noHBand="0" w:noVBand="1"/>
      </w:tblPr>
      <w:tblGrid>
        <w:gridCol w:w="3088"/>
        <w:gridCol w:w="697"/>
        <w:gridCol w:w="695"/>
        <w:gridCol w:w="695"/>
        <w:gridCol w:w="695"/>
        <w:gridCol w:w="797"/>
        <w:gridCol w:w="793"/>
        <w:gridCol w:w="793"/>
        <w:gridCol w:w="885"/>
      </w:tblGrid>
      <w:tr w:rsidR="00BF22EA" w:rsidRPr="00797162" w14:paraId="02559B8D" w14:textId="77777777" w:rsidTr="00BE7565">
        <w:trPr>
          <w:trHeight w:val="300"/>
        </w:trPr>
        <w:tc>
          <w:tcPr>
            <w:tcW w:w="3088" w:type="dxa"/>
            <w:vMerge w:val="restart"/>
            <w:tcBorders>
              <w:top w:val="single" w:sz="8" w:space="0" w:color="auto"/>
              <w:left w:val="single" w:sz="8" w:space="0" w:color="auto"/>
              <w:bottom w:val="nil"/>
              <w:right w:val="single" w:sz="8" w:space="0" w:color="auto"/>
            </w:tcBorders>
            <w:tcMar>
              <w:left w:w="108" w:type="dxa"/>
              <w:right w:w="108" w:type="dxa"/>
            </w:tcMar>
            <w:vAlign w:val="center"/>
          </w:tcPr>
          <w:p w14:paraId="3DAA0D63" w14:textId="77777777" w:rsidR="00BF22EA" w:rsidRPr="00797162" w:rsidRDefault="00BF22EA" w:rsidP="00BE7565">
            <w:pPr>
              <w:spacing w:before="0" w:after="0"/>
              <w:jc w:val="center"/>
              <w:rPr>
                <w:rFonts w:eastAsia="Times New Roman"/>
                <w:b/>
                <w:bCs/>
                <w:noProof/>
                <w:color w:val="000000" w:themeColor="text1"/>
                <w:sz w:val="18"/>
                <w:szCs w:val="18"/>
              </w:rPr>
            </w:pPr>
            <w:r w:rsidRPr="00797162">
              <w:rPr>
                <w:b/>
                <w:noProof/>
                <w:color w:val="000000" w:themeColor="text1"/>
                <w:sz w:val="18"/>
              </w:rPr>
              <w:t>HEAKSKIIDETUD EELARVE</w:t>
            </w:r>
          </w:p>
        </w:tc>
        <w:tc>
          <w:tcPr>
            <w:tcW w:w="6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D067C1" w14:textId="77777777" w:rsidR="00BF22EA" w:rsidRPr="00797162" w:rsidRDefault="00BF22EA" w:rsidP="00BE7565">
            <w:pPr>
              <w:spacing w:before="0" w:after="0"/>
              <w:jc w:val="center"/>
              <w:rPr>
                <w:rFonts w:eastAsia="Times New Roman"/>
                <w:noProof/>
                <w:color w:val="000000" w:themeColor="text1"/>
                <w:sz w:val="18"/>
                <w:szCs w:val="18"/>
              </w:rPr>
            </w:pPr>
            <w:r w:rsidRPr="00797162">
              <w:rPr>
                <w:noProof/>
                <w:color w:val="000000" w:themeColor="text1"/>
                <w:sz w:val="18"/>
              </w:rPr>
              <w:t>Aasta</w:t>
            </w:r>
          </w:p>
        </w:tc>
        <w:tc>
          <w:tcPr>
            <w:tcW w:w="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293A52" w14:textId="77777777" w:rsidR="00BF22EA" w:rsidRPr="00797162" w:rsidRDefault="00BF22EA" w:rsidP="00BE7565">
            <w:pPr>
              <w:spacing w:before="0" w:after="0"/>
              <w:jc w:val="center"/>
              <w:rPr>
                <w:rFonts w:eastAsia="Times New Roman"/>
                <w:noProof/>
                <w:color w:val="000000" w:themeColor="text1"/>
                <w:sz w:val="18"/>
                <w:szCs w:val="18"/>
              </w:rPr>
            </w:pPr>
            <w:r w:rsidRPr="00797162">
              <w:rPr>
                <w:noProof/>
                <w:color w:val="000000" w:themeColor="text1"/>
                <w:sz w:val="18"/>
              </w:rPr>
              <w:t>Aasta</w:t>
            </w:r>
          </w:p>
        </w:tc>
        <w:tc>
          <w:tcPr>
            <w:tcW w:w="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AF2225" w14:textId="77777777" w:rsidR="00BF22EA" w:rsidRPr="00797162" w:rsidRDefault="00BF22EA" w:rsidP="00BE7565">
            <w:pPr>
              <w:spacing w:before="0" w:after="0"/>
              <w:jc w:val="center"/>
              <w:rPr>
                <w:rFonts w:eastAsia="Times New Roman"/>
                <w:noProof/>
                <w:color w:val="000000" w:themeColor="text1"/>
                <w:sz w:val="18"/>
                <w:szCs w:val="18"/>
              </w:rPr>
            </w:pPr>
            <w:r w:rsidRPr="00797162">
              <w:rPr>
                <w:noProof/>
                <w:color w:val="000000" w:themeColor="text1"/>
                <w:sz w:val="18"/>
              </w:rPr>
              <w:t>Aasta</w:t>
            </w:r>
          </w:p>
        </w:tc>
        <w:tc>
          <w:tcPr>
            <w:tcW w:w="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BDD4C9" w14:textId="77777777" w:rsidR="00BF22EA" w:rsidRPr="00797162" w:rsidRDefault="00BF22EA" w:rsidP="00BE7565">
            <w:pPr>
              <w:spacing w:before="0" w:after="0"/>
              <w:jc w:val="center"/>
              <w:rPr>
                <w:rFonts w:eastAsia="Times New Roman"/>
                <w:noProof/>
                <w:color w:val="000000" w:themeColor="text1"/>
                <w:sz w:val="18"/>
                <w:szCs w:val="18"/>
              </w:rPr>
            </w:pPr>
            <w:r w:rsidRPr="00797162">
              <w:rPr>
                <w:noProof/>
                <w:color w:val="000000" w:themeColor="text1"/>
                <w:sz w:val="18"/>
              </w:rPr>
              <w:t>Aasta</w:t>
            </w:r>
          </w:p>
        </w:tc>
        <w:tc>
          <w:tcPr>
            <w:tcW w:w="7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98F9DD" w14:textId="77777777" w:rsidR="00BF22EA" w:rsidRPr="00797162" w:rsidRDefault="00BF22EA" w:rsidP="00BE7565">
            <w:pPr>
              <w:spacing w:before="0" w:after="0"/>
              <w:jc w:val="center"/>
              <w:rPr>
                <w:rFonts w:eastAsia="Times New Roman"/>
                <w:noProof/>
                <w:color w:val="000000" w:themeColor="text1"/>
                <w:sz w:val="18"/>
                <w:szCs w:val="18"/>
              </w:rPr>
            </w:pPr>
            <w:r w:rsidRPr="00797162">
              <w:rPr>
                <w:noProof/>
                <w:color w:val="000000" w:themeColor="text1"/>
                <w:sz w:val="18"/>
              </w:rPr>
              <w:t>Aasta</w:t>
            </w:r>
          </w:p>
        </w:tc>
        <w:tc>
          <w:tcPr>
            <w:tcW w:w="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B65AC5" w14:textId="77777777" w:rsidR="00BF22EA" w:rsidRPr="00797162" w:rsidRDefault="00BF22EA" w:rsidP="00BE7565">
            <w:pPr>
              <w:spacing w:before="0" w:after="0"/>
              <w:jc w:val="center"/>
              <w:rPr>
                <w:rFonts w:eastAsia="Times New Roman"/>
                <w:noProof/>
                <w:color w:val="000000" w:themeColor="text1"/>
                <w:sz w:val="18"/>
                <w:szCs w:val="18"/>
              </w:rPr>
            </w:pPr>
            <w:r w:rsidRPr="00797162">
              <w:rPr>
                <w:noProof/>
                <w:color w:val="000000" w:themeColor="text1"/>
                <w:sz w:val="18"/>
              </w:rPr>
              <w:t>Aasta</w:t>
            </w:r>
          </w:p>
        </w:tc>
        <w:tc>
          <w:tcPr>
            <w:tcW w:w="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C4F5FB" w14:textId="77777777" w:rsidR="00BF22EA" w:rsidRPr="00797162" w:rsidRDefault="00BF22EA" w:rsidP="00BE7565">
            <w:pPr>
              <w:spacing w:before="0" w:after="0"/>
              <w:jc w:val="center"/>
              <w:rPr>
                <w:rFonts w:eastAsia="Times New Roman"/>
                <w:noProof/>
                <w:color w:val="000000" w:themeColor="text1"/>
                <w:sz w:val="18"/>
                <w:szCs w:val="18"/>
              </w:rPr>
            </w:pPr>
            <w:r w:rsidRPr="00797162">
              <w:rPr>
                <w:noProof/>
                <w:color w:val="000000" w:themeColor="text1"/>
                <w:sz w:val="18"/>
              </w:rPr>
              <w:t>Aasta</w:t>
            </w:r>
          </w:p>
        </w:tc>
        <w:tc>
          <w:tcPr>
            <w:tcW w:w="885" w:type="dxa"/>
            <w:vMerge w:val="restart"/>
            <w:tcBorders>
              <w:top w:val="single" w:sz="8" w:space="0" w:color="auto"/>
              <w:left w:val="single" w:sz="8" w:space="0" w:color="auto"/>
              <w:bottom w:val="nil"/>
              <w:right w:val="single" w:sz="8" w:space="0" w:color="auto"/>
            </w:tcBorders>
            <w:tcMar>
              <w:left w:w="108" w:type="dxa"/>
              <w:right w:w="108" w:type="dxa"/>
            </w:tcMar>
            <w:vAlign w:val="center"/>
          </w:tcPr>
          <w:p w14:paraId="371D83CA" w14:textId="77777777" w:rsidR="00BF22EA" w:rsidRPr="00797162" w:rsidRDefault="00BF22EA" w:rsidP="00BE7565">
            <w:pPr>
              <w:spacing w:before="0" w:after="0"/>
              <w:jc w:val="center"/>
              <w:rPr>
                <w:rFonts w:eastAsia="Times New Roman"/>
                <w:b/>
                <w:bCs/>
                <w:noProof/>
                <w:color w:val="000000" w:themeColor="text1"/>
                <w:sz w:val="18"/>
                <w:szCs w:val="18"/>
              </w:rPr>
            </w:pPr>
            <w:r w:rsidRPr="00797162">
              <w:rPr>
                <w:b/>
                <w:noProof/>
                <w:color w:val="000000" w:themeColor="text1"/>
                <w:sz w:val="18"/>
              </w:rPr>
              <w:t>2028–2034 KOKKU</w:t>
            </w:r>
          </w:p>
        </w:tc>
      </w:tr>
      <w:tr w:rsidR="00BF22EA" w:rsidRPr="00797162" w14:paraId="0D462651" w14:textId="77777777" w:rsidTr="00BE7565">
        <w:trPr>
          <w:trHeight w:val="300"/>
        </w:trPr>
        <w:tc>
          <w:tcPr>
            <w:tcW w:w="3088" w:type="dxa"/>
            <w:vMerge/>
            <w:tcBorders>
              <w:left w:val="single" w:sz="0" w:space="0" w:color="auto"/>
              <w:right w:val="single" w:sz="0" w:space="0" w:color="auto"/>
            </w:tcBorders>
            <w:vAlign w:val="center"/>
          </w:tcPr>
          <w:p w14:paraId="293D286C" w14:textId="77777777" w:rsidR="00BF22EA" w:rsidRPr="00797162" w:rsidRDefault="00BF22EA" w:rsidP="00BE7565">
            <w:pPr>
              <w:rPr>
                <w:noProof/>
              </w:rPr>
            </w:pPr>
          </w:p>
        </w:tc>
        <w:tc>
          <w:tcPr>
            <w:tcW w:w="697" w:type="dxa"/>
            <w:tcBorders>
              <w:top w:val="single" w:sz="8" w:space="0" w:color="auto"/>
              <w:left w:val="nil"/>
              <w:bottom w:val="single" w:sz="8" w:space="0" w:color="auto"/>
              <w:right w:val="single" w:sz="8" w:space="0" w:color="auto"/>
            </w:tcBorders>
            <w:tcMar>
              <w:left w:w="108" w:type="dxa"/>
              <w:right w:w="108" w:type="dxa"/>
            </w:tcMar>
            <w:vAlign w:val="center"/>
          </w:tcPr>
          <w:p w14:paraId="2A44738E" w14:textId="77777777" w:rsidR="00BF22EA" w:rsidRPr="00797162" w:rsidRDefault="00BF22EA" w:rsidP="00BE7565">
            <w:pPr>
              <w:spacing w:before="0" w:after="0"/>
              <w:jc w:val="center"/>
              <w:rPr>
                <w:rFonts w:eastAsia="Times New Roman"/>
                <w:b/>
                <w:bCs/>
                <w:noProof/>
                <w:color w:val="000000" w:themeColor="text1"/>
                <w:sz w:val="18"/>
                <w:szCs w:val="18"/>
              </w:rPr>
            </w:pPr>
            <w:r w:rsidRPr="00797162">
              <w:rPr>
                <w:b/>
                <w:noProof/>
                <w:color w:val="000000" w:themeColor="text1"/>
                <w:sz w:val="18"/>
              </w:rPr>
              <w:t>2028</w:t>
            </w:r>
          </w:p>
        </w:tc>
        <w:tc>
          <w:tcPr>
            <w:tcW w:w="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11E189" w14:textId="77777777" w:rsidR="00BF22EA" w:rsidRPr="00797162" w:rsidRDefault="00BF22EA" w:rsidP="00BE7565">
            <w:pPr>
              <w:spacing w:before="0" w:after="0"/>
              <w:jc w:val="center"/>
              <w:rPr>
                <w:rFonts w:eastAsia="Times New Roman"/>
                <w:b/>
                <w:bCs/>
                <w:noProof/>
                <w:color w:val="000000" w:themeColor="text1"/>
                <w:sz w:val="18"/>
                <w:szCs w:val="18"/>
              </w:rPr>
            </w:pPr>
            <w:r w:rsidRPr="00797162">
              <w:rPr>
                <w:b/>
                <w:noProof/>
                <w:color w:val="000000" w:themeColor="text1"/>
                <w:sz w:val="18"/>
              </w:rPr>
              <w:t>2029</w:t>
            </w:r>
          </w:p>
        </w:tc>
        <w:tc>
          <w:tcPr>
            <w:tcW w:w="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05FB2C" w14:textId="77777777" w:rsidR="00BF22EA" w:rsidRPr="00797162" w:rsidRDefault="00BF22EA" w:rsidP="00BE7565">
            <w:pPr>
              <w:spacing w:before="0" w:after="0"/>
              <w:jc w:val="center"/>
              <w:rPr>
                <w:rFonts w:eastAsia="Times New Roman"/>
                <w:b/>
                <w:bCs/>
                <w:noProof/>
                <w:color w:val="000000" w:themeColor="text1"/>
                <w:sz w:val="18"/>
                <w:szCs w:val="18"/>
              </w:rPr>
            </w:pPr>
            <w:r w:rsidRPr="00797162">
              <w:rPr>
                <w:b/>
                <w:noProof/>
                <w:color w:val="000000" w:themeColor="text1"/>
                <w:sz w:val="18"/>
              </w:rPr>
              <w:t>2030</w:t>
            </w:r>
          </w:p>
        </w:tc>
        <w:tc>
          <w:tcPr>
            <w:tcW w:w="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817583" w14:textId="77777777" w:rsidR="00BF22EA" w:rsidRPr="00797162" w:rsidRDefault="00BF22EA" w:rsidP="00BE7565">
            <w:pPr>
              <w:spacing w:before="0" w:after="0"/>
              <w:jc w:val="center"/>
              <w:rPr>
                <w:rFonts w:eastAsia="Times New Roman"/>
                <w:b/>
                <w:bCs/>
                <w:noProof/>
                <w:color w:val="000000" w:themeColor="text1"/>
                <w:sz w:val="18"/>
                <w:szCs w:val="18"/>
              </w:rPr>
            </w:pPr>
            <w:r w:rsidRPr="00797162">
              <w:rPr>
                <w:b/>
                <w:noProof/>
                <w:color w:val="000000" w:themeColor="text1"/>
                <w:sz w:val="18"/>
              </w:rPr>
              <w:t>2031</w:t>
            </w:r>
          </w:p>
        </w:tc>
        <w:tc>
          <w:tcPr>
            <w:tcW w:w="7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861B12" w14:textId="77777777" w:rsidR="00BF22EA" w:rsidRPr="00797162" w:rsidRDefault="00BF22EA" w:rsidP="00BE7565">
            <w:pPr>
              <w:spacing w:before="0" w:after="0"/>
              <w:jc w:val="center"/>
              <w:rPr>
                <w:rFonts w:eastAsia="Times New Roman"/>
                <w:b/>
                <w:bCs/>
                <w:noProof/>
                <w:color w:val="000000" w:themeColor="text1"/>
                <w:sz w:val="18"/>
                <w:szCs w:val="18"/>
              </w:rPr>
            </w:pPr>
            <w:r w:rsidRPr="00797162">
              <w:rPr>
                <w:b/>
                <w:noProof/>
                <w:color w:val="000000" w:themeColor="text1"/>
                <w:sz w:val="18"/>
              </w:rPr>
              <w:t>2032</w:t>
            </w:r>
          </w:p>
        </w:tc>
        <w:tc>
          <w:tcPr>
            <w:tcW w:w="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C984BD" w14:textId="77777777" w:rsidR="00BF22EA" w:rsidRPr="00797162" w:rsidRDefault="00BF22EA" w:rsidP="00BE7565">
            <w:pPr>
              <w:spacing w:before="0" w:after="0"/>
              <w:jc w:val="center"/>
              <w:rPr>
                <w:rFonts w:eastAsia="Times New Roman"/>
                <w:b/>
                <w:bCs/>
                <w:noProof/>
                <w:color w:val="000000" w:themeColor="text1"/>
                <w:sz w:val="18"/>
                <w:szCs w:val="18"/>
              </w:rPr>
            </w:pPr>
            <w:r w:rsidRPr="00797162">
              <w:rPr>
                <w:b/>
                <w:noProof/>
                <w:color w:val="000000" w:themeColor="text1"/>
                <w:sz w:val="18"/>
              </w:rPr>
              <w:t>2033</w:t>
            </w:r>
          </w:p>
        </w:tc>
        <w:tc>
          <w:tcPr>
            <w:tcW w:w="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F62298" w14:textId="77777777" w:rsidR="00BF22EA" w:rsidRPr="00797162" w:rsidRDefault="00BF22EA" w:rsidP="00BE7565">
            <w:pPr>
              <w:spacing w:before="0" w:after="0"/>
              <w:jc w:val="center"/>
              <w:rPr>
                <w:rFonts w:eastAsia="Times New Roman"/>
                <w:b/>
                <w:bCs/>
                <w:noProof/>
                <w:color w:val="000000" w:themeColor="text1"/>
                <w:sz w:val="18"/>
                <w:szCs w:val="18"/>
              </w:rPr>
            </w:pPr>
            <w:r w:rsidRPr="00797162">
              <w:rPr>
                <w:b/>
                <w:noProof/>
                <w:color w:val="000000" w:themeColor="text1"/>
                <w:sz w:val="18"/>
              </w:rPr>
              <w:t>2034</w:t>
            </w:r>
          </w:p>
        </w:tc>
        <w:tc>
          <w:tcPr>
            <w:tcW w:w="885" w:type="dxa"/>
            <w:vMerge/>
            <w:tcBorders>
              <w:left w:val="single" w:sz="0" w:space="0" w:color="auto"/>
              <w:right w:val="single" w:sz="0" w:space="0" w:color="auto"/>
            </w:tcBorders>
            <w:vAlign w:val="center"/>
          </w:tcPr>
          <w:p w14:paraId="229A1C8E" w14:textId="77777777" w:rsidR="00BF22EA" w:rsidRPr="00797162" w:rsidRDefault="00BF22EA" w:rsidP="00BE7565">
            <w:pPr>
              <w:rPr>
                <w:noProof/>
              </w:rPr>
            </w:pPr>
          </w:p>
        </w:tc>
      </w:tr>
      <w:tr w:rsidR="00BF22EA" w:rsidRPr="00797162" w14:paraId="32EFE588" w14:textId="77777777" w:rsidTr="00BE7565">
        <w:trPr>
          <w:trHeight w:val="300"/>
        </w:trPr>
        <w:tc>
          <w:tcPr>
            <w:tcW w:w="9138" w:type="dxa"/>
            <w:gridSpan w:val="9"/>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38A3C7" w14:textId="77777777" w:rsidR="00BF22EA" w:rsidRPr="00797162" w:rsidRDefault="00BF22EA" w:rsidP="00BE7565">
            <w:pPr>
              <w:spacing w:before="0" w:after="0"/>
              <w:jc w:val="center"/>
              <w:rPr>
                <w:rFonts w:eastAsia="Times New Roman"/>
                <w:b/>
                <w:bCs/>
                <w:noProof/>
                <w:sz w:val="16"/>
                <w:szCs w:val="16"/>
              </w:rPr>
            </w:pPr>
            <w:r w:rsidRPr="00797162">
              <w:rPr>
                <w:b/>
                <w:noProof/>
                <w:sz w:val="16"/>
              </w:rPr>
              <w:t>RUBRIIK 4</w:t>
            </w:r>
          </w:p>
        </w:tc>
      </w:tr>
      <w:tr w:rsidR="00BF22EA" w:rsidRPr="00797162" w14:paraId="4EA21CE3" w14:textId="77777777" w:rsidTr="00BE7565">
        <w:trPr>
          <w:trHeight w:val="300"/>
        </w:trPr>
        <w:tc>
          <w:tcPr>
            <w:tcW w:w="30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455CE3" w14:textId="77777777" w:rsidR="00BF22EA" w:rsidRPr="00797162" w:rsidRDefault="00BF22EA" w:rsidP="00BE7565">
            <w:pPr>
              <w:spacing w:before="0" w:after="0"/>
              <w:jc w:val="left"/>
              <w:rPr>
                <w:rFonts w:eastAsia="Times New Roman"/>
                <w:noProof/>
                <w:color w:val="000000" w:themeColor="text1"/>
                <w:sz w:val="16"/>
                <w:szCs w:val="16"/>
              </w:rPr>
            </w:pPr>
            <w:r w:rsidRPr="00797162">
              <w:rPr>
                <w:noProof/>
                <w:color w:val="000000" w:themeColor="text1"/>
                <w:sz w:val="16"/>
              </w:rPr>
              <w:t xml:space="preserve">Personalikulud </w:t>
            </w:r>
          </w:p>
        </w:tc>
        <w:tc>
          <w:tcPr>
            <w:tcW w:w="697"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8093912" w14:textId="77777777" w:rsidR="00BF22EA" w:rsidRPr="00797162" w:rsidRDefault="00BF22EA" w:rsidP="00BE7565">
            <w:pPr>
              <w:spacing w:before="0" w:after="0"/>
              <w:jc w:val="right"/>
              <w:rPr>
                <w:rFonts w:eastAsia="Times New Roman"/>
                <w:noProof/>
                <w:color w:val="000000" w:themeColor="text1"/>
                <w:sz w:val="16"/>
                <w:szCs w:val="16"/>
              </w:rPr>
            </w:pPr>
            <w:r w:rsidRPr="00797162">
              <w:rPr>
                <w:noProof/>
                <w:color w:val="000000" w:themeColor="text1"/>
                <w:sz w:val="16"/>
              </w:rPr>
              <w:t>4,136</w:t>
            </w:r>
          </w:p>
        </w:tc>
        <w:tc>
          <w:tcPr>
            <w:tcW w:w="69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4DF41C0" w14:textId="77777777" w:rsidR="00BF22EA" w:rsidRPr="00797162" w:rsidRDefault="00BF22EA" w:rsidP="00BE7565">
            <w:pPr>
              <w:spacing w:before="0" w:after="0"/>
              <w:jc w:val="right"/>
              <w:rPr>
                <w:rFonts w:eastAsia="Times New Roman"/>
                <w:noProof/>
                <w:color w:val="000000" w:themeColor="text1"/>
                <w:sz w:val="16"/>
                <w:szCs w:val="16"/>
              </w:rPr>
            </w:pPr>
            <w:r w:rsidRPr="00797162">
              <w:rPr>
                <w:noProof/>
                <w:color w:val="000000" w:themeColor="text1"/>
                <w:sz w:val="16"/>
              </w:rPr>
              <w:t>4,136</w:t>
            </w:r>
          </w:p>
        </w:tc>
        <w:tc>
          <w:tcPr>
            <w:tcW w:w="69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3EA5744" w14:textId="77777777" w:rsidR="00BF22EA" w:rsidRPr="00797162" w:rsidRDefault="00BF22EA" w:rsidP="00BE7565">
            <w:pPr>
              <w:spacing w:before="0" w:after="0"/>
              <w:jc w:val="right"/>
              <w:rPr>
                <w:rFonts w:eastAsia="Times New Roman"/>
                <w:noProof/>
                <w:color w:val="000000" w:themeColor="text1"/>
                <w:sz w:val="16"/>
                <w:szCs w:val="16"/>
              </w:rPr>
            </w:pPr>
            <w:r w:rsidRPr="00797162">
              <w:rPr>
                <w:noProof/>
                <w:color w:val="000000" w:themeColor="text1"/>
                <w:sz w:val="16"/>
              </w:rPr>
              <w:t>4,136</w:t>
            </w:r>
          </w:p>
        </w:tc>
        <w:tc>
          <w:tcPr>
            <w:tcW w:w="69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0229090" w14:textId="77777777" w:rsidR="00BF22EA" w:rsidRPr="00797162" w:rsidRDefault="00BF22EA" w:rsidP="00BE7565">
            <w:pPr>
              <w:spacing w:before="0" w:after="0"/>
              <w:jc w:val="right"/>
              <w:rPr>
                <w:rFonts w:eastAsia="Times New Roman"/>
                <w:noProof/>
                <w:color w:val="000000" w:themeColor="text1"/>
                <w:sz w:val="16"/>
                <w:szCs w:val="16"/>
              </w:rPr>
            </w:pPr>
            <w:r w:rsidRPr="00797162">
              <w:rPr>
                <w:noProof/>
                <w:color w:val="000000" w:themeColor="text1"/>
                <w:sz w:val="16"/>
              </w:rPr>
              <w:t>4,136</w:t>
            </w:r>
          </w:p>
        </w:tc>
        <w:tc>
          <w:tcPr>
            <w:tcW w:w="797"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910BB62" w14:textId="77777777" w:rsidR="00BF22EA" w:rsidRPr="00797162" w:rsidRDefault="00BF22EA" w:rsidP="00BE7565">
            <w:pPr>
              <w:spacing w:before="0" w:after="0"/>
              <w:jc w:val="center"/>
              <w:rPr>
                <w:rFonts w:eastAsia="Times New Roman"/>
                <w:noProof/>
                <w:color w:val="000000" w:themeColor="text1"/>
                <w:sz w:val="16"/>
                <w:szCs w:val="16"/>
              </w:rPr>
            </w:pPr>
            <w:r w:rsidRPr="00797162">
              <w:rPr>
                <w:noProof/>
                <w:color w:val="000000" w:themeColor="text1"/>
                <w:sz w:val="16"/>
              </w:rPr>
              <w:t>4,136</w:t>
            </w:r>
          </w:p>
        </w:tc>
        <w:tc>
          <w:tcPr>
            <w:tcW w:w="793"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1F154A0" w14:textId="77777777" w:rsidR="00BF22EA" w:rsidRPr="00797162" w:rsidRDefault="00BF22EA" w:rsidP="00BE7565">
            <w:pPr>
              <w:spacing w:before="0" w:after="0"/>
              <w:jc w:val="center"/>
              <w:rPr>
                <w:rFonts w:eastAsia="Times New Roman"/>
                <w:noProof/>
                <w:color w:val="000000" w:themeColor="text1"/>
                <w:sz w:val="16"/>
                <w:szCs w:val="16"/>
              </w:rPr>
            </w:pPr>
            <w:r w:rsidRPr="00797162">
              <w:rPr>
                <w:noProof/>
                <w:color w:val="000000" w:themeColor="text1"/>
                <w:sz w:val="16"/>
              </w:rPr>
              <w:t>4,136</w:t>
            </w:r>
          </w:p>
        </w:tc>
        <w:tc>
          <w:tcPr>
            <w:tcW w:w="793"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248568B" w14:textId="77777777" w:rsidR="00BF22EA" w:rsidRPr="00797162" w:rsidRDefault="00BF22EA" w:rsidP="00BE7565">
            <w:pPr>
              <w:spacing w:before="0" w:after="0"/>
              <w:jc w:val="center"/>
              <w:rPr>
                <w:rFonts w:eastAsia="Times New Roman"/>
                <w:noProof/>
                <w:color w:val="000000" w:themeColor="text1"/>
                <w:sz w:val="16"/>
                <w:szCs w:val="16"/>
              </w:rPr>
            </w:pPr>
            <w:r w:rsidRPr="00797162">
              <w:rPr>
                <w:noProof/>
                <w:color w:val="000000" w:themeColor="text1"/>
                <w:sz w:val="16"/>
              </w:rPr>
              <w:t>4,136</w:t>
            </w:r>
          </w:p>
        </w:tc>
        <w:tc>
          <w:tcPr>
            <w:tcW w:w="88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C2CD2DC" w14:textId="77777777" w:rsidR="00BF22EA" w:rsidRPr="00797162" w:rsidRDefault="00BF22EA" w:rsidP="00BE7565">
            <w:pPr>
              <w:spacing w:before="0" w:after="0"/>
              <w:jc w:val="right"/>
              <w:rPr>
                <w:rFonts w:eastAsia="Times New Roman"/>
                <w:b/>
                <w:bCs/>
                <w:noProof/>
                <w:color w:val="000000" w:themeColor="text1"/>
                <w:sz w:val="16"/>
                <w:szCs w:val="16"/>
              </w:rPr>
            </w:pPr>
            <w:r w:rsidRPr="00797162">
              <w:rPr>
                <w:b/>
                <w:noProof/>
                <w:color w:val="000000" w:themeColor="text1"/>
                <w:sz w:val="16"/>
              </w:rPr>
              <w:t>28,952</w:t>
            </w:r>
          </w:p>
        </w:tc>
      </w:tr>
      <w:tr w:rsidR="00BF22EA" w:rsidRPr="00797162" w14:paraId="734176C4" w14:textId="77777777" w:rsidTr="00BE7565">
        <w:trPr>
          <w:trHeight w:val="300"/>
        </w:trPr>
        <w:tc>
          <w:tcPr>
            <w:tcW w:w="30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3B0E93" w14:textId="77777777" w:rsidR="00BF22EA" w:rsidRPr="00797162" w:rsidRDefault="00BF22EA" w:rsidP="00BE7565">
            <w:pPr>
              <w:spacing w:before="0" w:after="0"/>
              <w:jc w:val="left"/>
              <w:rPr>
                <w:rFonts w:eastAsia="Times New Roman"/>
                <w:noProof/>
                <w:color w:val="000000" w:themeColor="text1"/>
                <w:sz w:val="16"/>
                <w:szCs w:val="16"/>
                <w:u w:val="single"/>
                <w:vertAlign w:val="superscript"/>
              </w:rPr>
            </w:pPr>
            <w:r w:rsidRPr="00797162">
              <w:rPr>
                <w:noProof/>
                <w:color w:val="000000" w:themeColor="text1"/>
                <w:sz w:val="16"/>
              </w:rPr>
              <w:t>Muud halduskulud</w:t>
            </w:r>
            <w:hyperlink r:id="rId22" w:anchor="_ftn1" w:history="1">
              <w:r w:rsidRPr="00797162">
                <w:rPr>
                  <w:noProof/>
                  <w:color w:val="000000" w:themeColor="text1"/>
                  <w:sz w:val="16"/>
                  <w:u w:val="single"/>
                  <w:vertAlign w:val="superscript"/>
                </w:rPr>
                <w:t>[1]</w:t>
              </w:r>
            </w:hyperlink>
          </w:p>
        </w:tc>
        <w:tc>
          <w:tcPr>
            <w:tcW w:w="69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0AAFCA3" w14:textId="77777777" w:rsidR="00BF22EA" w:rsidRPr="00797162" w:rsidRDefault="00BF22EA" w:rsidP="00BE7565">
            <w:pPr>
              <w:spacing w:before="0" w:after="0"/>
              <w:jc w:val="right"/>
              <w:rPr>
                <w:rFonts w:eastAsia="Times New Roman"/>
                <w:noProof/>
                <w:color w:val="000000" w:themeColor="text1"/>
                <w:sz w:val="16"/>
                <w:szCs w:val="16"/>
              </w:rPr>
            </w:pPr>
            <w:r w:rsidRPr="00797162">
              <w:rPr>
                <w:noProof/>
                <w:color w:val="000000" w:themeColor="text1"/>
                <w:sz w:val="16"/>
              </w:rPr>
              <w:t>p.m.</w:t>
            </w:r>
          </w:p>
        </w:tc>
        <w:tc>
          <w:tcPr>
            <w:tcW w:w="69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AAACDE1" w14:textId="77777777" w:rsidR="00BF22EA" w:rsidRPr="00797162" w:rsidRDefault="00BF22EA" w:rsidP="00BE7565">
            <w:pPr>
              <w:spacing w:before="0" w:after="0"/>
              <w:jc w:val="right"/>
              <w:rPr>
                <w:rFonts w:eastAsia="Times New Roman"/>
                <w:noProof/>
                <w:color w:val="000000" w:themeColor="text1"/>
                <w:sz w:val="16"/>
                <w:szCs w:val="16"/>
              </w:rPr>
            </w:pPr>
            <w:r w:rsidRPr="00797162">
              <w:rPr>
                <w:noProof/>
                <w:color w:val="000000" w:themeColor="text1"/>
                <w:sz w:val="16"/>
              </w:rPr>
              <w:t>p.m.</w:t>
            </w:r>
          </w:p>
        </w:tc>
        <w:tc>
          <w:tcPr>
            <w:tcW w:w="69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5A93AAF" w14:textId="77777777" w:rsidR="00BF22EA" w:rsidRPr="00797162" w:rsidRDefault="00BF22EA" w:rsidP="00BE7565">
            <w:pPr>
              <w:spacing w:before="0" w:after="0"/>
              <w:jc w:val="right"/>
              <w:rPr>
                <w:rFonts w:eastAsia="Times New Roman"/>
                <w:noProof/>
                <w:color w:val="000000" w:themeColor="text1"/>
                <w:sz w:val="16"/>
                <w:szCs w:val="16"/>
              </w:rPr>
            </w:pPr>
            <w:r w:rsidRPr="00797162">
              <w:rPr>
                <w:noProof/>
                <w:color w:val="000000" w:themeColor="text1"/>
                <w:sz w:val="16"/>
              </w:rPr>
              <w:t>p.m.</w:t>
            </w:r>
          </w:p>
        </w:tc>
        <w:tc>
          <w:tcPr>
            <w:tcW w:w="69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83D0E7C" w14:textId="77777777" w:rsidR="00BF22EA" w:rsidRPr="00797162" w:rsidRDefault="00BF22EA" w:rsidP="00BE7565">
            <w:pPr>
              <w:spacing w:before="0" w:after="0"/>
              <w:jc w:val="right"/>
              <w:rPr>
                <w:rFonts w:eastAsia="Times New Roman"/>
                <w:noProof/>
                <w:color w:val="000000" w:themeColor="text1"/>
                <w:sz w:val="16"/>
                <w:szCs w:val="16"/>
              </w:rPr>
            </w:pPr>
            <w:r w:rsidRPr="00797162">
              <w:rPr>
                <w:noProof/>
                <w:color w:val="000000" w:themeColor="text1"/>
                <w:sz w:val="16"/>
              </w:rPr>
              <w:t>p.m.</w:t>
            </w:r>
          </w:p>
        </w:tc>
        <w:tc>
          <w:tcPr>
            <w:tcW w:w="79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9618CC0" w14:textId="77777777" w:rsidR="00BF22EA" w:rsidRPr="00797162" w:rsidRDefault="00BF22EA" w:rsidP="00BE7565">
            <w:pPr>
              <w:spacing w:before="0" w:after="0"/>
              <w:jc w:val="center"/>
              <w:rPr>
                <w:rFonts w:eastAsia="Times New Roman"/>
                <w:noProof/>
                <w:color w:val="000000" w:themeColor="text1"/>
                <w:sz w:val="16"/>
                <w:szCs w:val="16"/>
              </w:rPr>
            </w:pPr>
            <w:r w:rsidRPr="00797162">
              <w:rPr>
                <w:noProof/>
                <w:color w:val="000000" w:themeColor="text1"/>
                <w:sz w:val="16"/>
              </w:rPr>
              <w:t>p.m.</w:t>
            </w:r>
          </w:p>
        </w:tc>
        <w:tc>
          <w:tcPr>
            <w:tcW w:w="79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E619C8E" w14:textId="77777777" w:rsidR="00BF22EA" w:rsidRPr="00797162" w:rsidRDefault="00BF22EA" w:rsidP="00BE7565">
            <w:pPr>
              <w:spacing w:before="0" w:after="0"/>
              <w:jc w:val="center"/>
              <w:rPr>
                <w:rFonts w:eastAsia="Times New Roman"/>
                <w:noProof/>
                <w:color w:val="000000" w:themeColor="text1"/>
                <w:sz w:val="16"/>
                <w:szCs w:val="16"/>
              </w:rPr>
            </w:pPr>
            <w:r w:rsidRPr="00797162">
              <w:rPr>
                <w:noProof/>
                <w:color w:val="000000" w:themeColor="text1"/>
                <w:sz w:val="16"/>
              </w:rPr>
              <w:t>p.m.</w:t>
            </w:r>
          </w:p>
        </w:tc>
        <w:tc>
          <w:tcPr>
            <w:tcW w:w="79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1BFE89F" w14:textId="77777777" w:rsidR="00BF22EA" w:rsidRPr="00797162" w:rsidRDefault="00BF22EA" w:rsidP="00BE7565">
            <w:pPr>
              <w:spacing w:before="0" w:after="0"/>
              <w:jc w:val="center"/>
              <w:rPr>
                <w:rFonts w:eastAsia="Times New Roman"/>
                <w:noProof/>
                <w:color w:val="000000" w:themeColor="text1"/>
                <w:sz w:val="16"/>
                <w:szCs w:val="16"/>
              </w:rPr>
            </w:pPr>
            <w:r w:rsidRPr="00797162">
              <w:rPr>
                <w:noProof/>
                <w:color w:val="000000" w:themeColor="text1"/>
                <w:sz w:val="16"/>
              </w:rPr>
              <w:t>p.m.</w:t>
            </w:r>
          </w:p>
        </w:tc>
        <w:tc>
          <w:tcPr>
            <w:tcW w:w="8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A4C1154" w14:textId="77777777" w:rsidR="00BF22EA" w:rsidRPr="00797162" w:rsidRDefault="00BF22EA" w:rsidP="00BE7565">
            <w:pPr>
              <w:spacing w:before="0" w:after="0"/>
              <w:jc w:val="right"/>
              <w:rPr>
                <w:rFonts w:eastAsia="Times New Roman"/>
                <w:b/>
                <w:bCs/>
                <w:noProof/>
                <w:color w:val="000000" w:themeColor="text1"/>
                <w:sz w:val="16"/>
                <w:szCs w:val="16"/>
              </w:rPr>
            </w:pPr>
            <w:r w:rsidRPr="00797162">
              <w:rPr>
                <w:b/>
                <w:noProof/>
                <w:color w:val="000000" w:themeColor="text1"/>
                <w:sz w:val="16"/>
              </w:rPr>
              <w:t>p.m.</w:t>
            </w:r>
          </w:p>
        </w:tc>
      </w:tr>
      <w:tr w:rsidR="00BF22EA" w:rsidRPr="00797162" w14:paraId="7E8FE1B9" w14:textId="77777777" w:rsidTr="00BE7565">
        <w:trPr>
          <w:trHeight w:val="300"/>
        </w:trPr>
        <w:tc>
          <w:tcPr>
            <w:tcW w:w="3088"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14:paraId="31762056" w14:textId="77777777" w:rsidR="00BF22EA" w:rsidRPr="00797162" w:rsidRDefault="00BF22EA" w:rsidP="00BE7565">
            <w:pPr>
              <w:spacing w:before="0" w:after="0"/>
              <w:jc w:val="center"/>
              <w:rPr>
                <w:rFonts w:eastAsia="Times New Roman"/>
                <w:b/>
                <w:bCs/>
                <w:noProof/>
                <w:color w:val="000000" w:themeColor="text1"/>
                <w:sz w:val="16"/>
                <w:szCs w:val="16"/>
              </w:rPr>
            </w:pPr>
            <w:r w:rsidRPr="00797162">
              <w:rPr>
                <w:b/>
                <w:noProof/>
                <w:color w:val="000000" w:themeColor="text1"/>
                <w:sz w:val="16"/>
              </w:rPr>
              <w:t>RUBRIIK 4 kokku</w:t>
            </w:r>
          </w:p>
        </w:tc>
        <w:tc>
          <w:tcPr>
            <w:tcW w:w="69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BC342B6" w14:textId="77777777" w:rsidR="00BF22EA" w:rsidRPr="00797162" w:rsidRDefault="00BF22EA" w:rsidP="00BE7565">
            <w:pPr>
              <w:spacing w:before="0" w:after="0"/>
              <w:jc w:val="right"/>
              <w:rPr>
                <w:rFonts w:eastAsia="Times New Roman"/>
                <w:b/>
                <w:bCs/>
                <w:noProof/>
                <w:color w:val="000000" w:themeColor="text1"/>
                <w:sz w:val="16"/>
                <w:szCs w:val="16"/>
              </w:rPr>
            </w:pPr>
            <w:r w:rsidRPr="00797162">
              <w:rPr>
                <w:b/>
                <w:noProof/>
                <w:color w:val="000000" w:themeColor="text1"/>
                <w:sz w:val="16"/>
              </w:rPr>
              <w:t>4,136</w:t>
            </w:r>
          </w:p>
        </w:tc>
        <w:tc>
          <w:tcPr>
            <w:tcW w:w="69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CE2EDD3" w14:textId="77777777" w:rsidR="00BF22EA" w:rsidRPr="00797162" w:rsidRDefault="00BF22EA" w:rsidP="00BE7565">
            <w:pPr>
              <w:spacing w:before="0" w:after="0"/>
              <w:jc w:val="right"/>
              <w:rPr>
                <w:rFonts w:eastAsia="Times New Roman"/>
                <w:b/>
                <w:bCs/>
                <w:noProof/>
                <w:color w:val="000000" w:themeColor="text1"/>
                <w:sz w:val="16"/>
                <w:szCs w:val="16"/>
              </w:rPr>
            </w:pPr>
            <w:r w:rsidRPr="00797162">
              <w:rPr>
                <w:b/>
                <w:noProof/>
                <w:color w:val="000000" w:themeColor="text1"/>
                <w:sz w:val="16"/>
              </w:rPr>
              <w:t>4,136</w:t>
            </w:r>
          </w:p>
        </w:tc>
        <w:tc>
          <w:tcPr>
            <w:tcW w:w="69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8CA89DA" w14:textId="77777777" w:rsidR="00BF22EA" w:rsidRPr="00797162" w:rsidRDefault="00BF22EA" w:rsidP="00BE7565">
            <w:pPr>
              <w:spacing w:before="0" w:after="0"/>
              <w:jc w:val="right"/>
              <w:rPr>
                <w:rFonts w:eastAsia="Times New Roman"/>
                <w:b/>
                <w:bCs/>
                <w:noProof/>
                <w:color w:val="000000" w:themeColor="text1"/>
                <w:sz w:val="16"/>
                <w:szCs w:val="16"/>
              </w:rPr>
            </w:pPr>
            <w:r w:rsidRPr="00797162">
              <w:rPr>
                <w:b/>
                <w:noProof/>
                <w:color w:val="000000" w:themeColor="text1"/>
                <w:sz w:val="16"/>
              </w:rPr>
              <w:t>4,136</w:t>
            </w:r>
          </w:p>
        </w:tc>
        <w:tc>
          <w:tcPr>
            <w:tcW w:w="69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D172DA3" w14:textId="77777777" w:rsidR="00BF22EA" w:rsidRPr="00797162" w:rsidRDefault="00BF22EA" w:rsidP="00BE7565">
            <w:pPr>
              <w:spacing w:before="0" w:after="0"/>
              <w:jc w:val="right"/>
              <w:rPr>
                <w:rFonts w:eastAsia="Times New Roman"/>
                <w:b/>
                <w:bCs/>
                <w:noProof/>
                <w:color w:val="000000" w:themeColor="text1"/>
                <w:sz w:val="16"/>
                <w:szCs w:val="16"/>
              </w:rPr>
            </w:pPr>
            <w:r w:rsidRPr="00797162">
              <w:rPr>
                <w:b/>
                <w:noProof/>
                <w:color w:val="000000" w:themeColor="text1"/>
                <w:sz w:val="16"/>
              </w:rPr>
              <w:t>4,136</w:t>
            </w:r>
          </w:p>
        </w:tc>
        <w:tc>
          <w:tcPr>
            <w:tcW w:w="79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D3E9DF4" w14:textId="77777777" w:rsidR="00BF22EA" w:rsidRPr="00797162" w:rsidRDefault="00BF22EA" w:rsidP="00BE7565">
            <w:pPr>
              <w:spacing w:before="0" w:after="0"/>
              <w:jc w:val="center"/>
              <w:rPr>
                <w:rFonts w:eastAsia="Times New Roman"/>
                <w:b/>
                <w:bCs/>
                <w:noProof/>
                <w:color w:val="000000" w:themeColor="text1"/>
                <w:sz w:val="16"/>
                <w:szCs w:val="16"/>
              </w:rPr>
            </w:pPr>
            <w:r w:rsidRPr="00797162">
              <w:rPr>
                <w:b/>
                <w:noProof/>
                <w:color w:val="000000" w:themeColor="text1"/>
                <w:sz w:val="16"/>
              </w:rPr>
              <w:t>4,136</w:t>
            </w:r>
          </w:p>
        </w:tc>
        <w:tc>
          <w:tcPr>
            <w:tcW w:w="79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63E8E62" w14:textId="77777777" w:rsidR="00BF22EA" w:rsidRPr="00797162" w:rsidRDefault="00BF22EA" w:rsidP="00BE7565">
            <w:pPr>
              <w:spacing w:before="0" w:after="0"/>
              <w:jc w:val="center"/>
              <w:rPr>
                <w:rFonts w:eastAsia="Times New Roman"/>
                <w:b/>
                <w:bCs/>
                <w:noProof/>
                <w:color w:val="000000" w:themeColor="text1"/>
                <w:sz w:val="16"/>
                <w:szCs w:val="16"/>
              </w:rPr>
            </w:pPr>
            <w:r w:rsidRPr="00797162">
              <w:rPr>
                <w:b/>
                <w:noProof/>
                <w:color w:val="000000" w:themeColor="text1"/>
                <w:sz w:val="16"/>
              </w:rPr>
              <w:t>4,136</w:t>
            </w:r>
          </w:p>
        </w:tc>
        <w:tc>
          <w:tcPr>
            <w:tcW w:w="79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8E8F913" w14:textId="77777777" w:rsidR="00BF22EA" w:rsidRPr="00797162" w:rsidRDefault="00BF22EA" w:rsidP="00BE7565">
            <w:pPr>
              <w:spacing w:before="0" w:after="0"/>
              <w:jc w:val="center"/>
              <w:rPr>
                <w:rFonts w:eastAsia="Times New Roman"/>
                <w:b/>
                <w:bCs/>
                <w:noProof/>
                <w:color w:val="000000" w:themeColor="text1"/>
                <w:sz w:val="16"/>
                <w:szCs w:val="16"/>
              </w:rPr>
            </w:pPr>
            <w:r w:rsidRPr="00797162">
              <w:rPr>
                <w:b/>
                <w:noProof/>
                <w:color w:val="000000" w:themeColor="text1"/>
                <w:sz w:val="16"/>
              </w:rPr>
              <w:t>4,136</w:t>
            </w:r>
          </w:p>
        </w:tc>
        <w:tc>
          <w:tcPr>
            <w:tcW w:w="8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CA845F1" w14:textId="77777777" w:rsidR="00BF22EA" w:rsidRPr="00797162" w:rsidRDefault="00BF22EA" w:rsidP="00BE7565">
            <w:pPr>
              <w:spacing w:before="0" w:after="0"/>
              <w:jc w:val="right"/>
              <w:rPr>
                <w:rFonts w:eastAsia="Times New Roman"/>
                <w:b/>
                <w:bCs/>
                <w:noProof/>
                <w:color w:val="000000" w:themeColor="text1"/>
                <w:sz w:val="16"/>
                <w:szCs w:val="16"/>
              </w:rPr>
            </w:pPr>
            <w:r w:rsidRPr="00797162">
              <w:rPr>
                <w:b/>
                <w:noProof/>
                <w:color w:val="000000" w:themeColor="text1"/>
                <w:sz w:val="16"/>
              </w:rPr>
              <w:t>28,952</w:t>
            </w:r>
          </w:p>
        </w:tc>
      </w:tr>
      <w:tr w:rsidR="00BF22EA" w:rsidRPr="00797162" w14:paraId="7BCB87F4" w14:textId="77777777" w:rsidTr="00BE7565">
        <w:trPr>
          <w:trHeight w:val="300"/>
        </w:trPr>
        <w:tc>
          <w:tcPr>
            <w:tcW w:w="9138" w:type="dxa"/>
            <w:gridSpan w:val="9"/>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D378BB" w14:textId="77777777" w:rsidR="00BF22EA" w:rsidRPr="00797162" w:rsidRDefault="00BF22EA" w:rsidP="00BE7565">
            <w:pPr>
              <w:spacing w:before="0" w:after="0"/>
              <w:jc w:val="center"/>
              <w:rPr>
                <w:rFonts w:eastAsia="Times New Roman"/>
                <w:b/>
                <w:bCs/>
                <w:noProof/>
                <w:sz w:val="16"/>
                <w:szCs w:val="16"/>
              </w:rPr>
            </w:pPr>
            <w:r w:rsidRPr="00797162">
              <w:rPr>
                <w:b/>
                <w:noProof/>
                <w:sz w:val="16"/>
              </w:rPr>
              <w:t>RUBRIIGIST 4 välja jäävad kulud</w:t>
            </w:r>
          </w:p>
        </w:tc>
      </w:tr>
      <w:tr w:rsidR="00BF22EA" w:rsidRPr="00797162" w14:paraId="05502B60" w14:textId="77777777" w:rsidTr="00BE7565">
        <w:trPr>
          <w:trHeight w:val="300"/>
        </w:trPr>
        <w:tc>
          <w:tcPr>
            <w:tcW w:w="30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2B9CBE" w14:textId="77777777" w:rsidR="00BF22EA" w:rsidRPr="00797162" w:rsidRDefault="00BF22EA" w:rsidP="00BE7565">
            <w:pPr>
              <w:spacing w:before="0" w:after="0"/>
              <w:jc w:val="left"/>
              <w:rPr>
                <w:rFonts w:eastAsia="Times New Roman"/>
                <w:noProof/>
                <w:color w:val="000000" w:themeColor="text1"/>
                <w:sz w:val="16"/>
                <w:szCs w:val="16"/>
              </w:rPr>
            </w:pPr>
            <w:r w:rsidRPr="00797162">
              <w:rPr>
                <w:noProof/>
                <w:color w:val="000000" w:themeColor="text1"/>
                <w:sz w:val="16"/>
              </w:rPr>
              <w:t xml:space="preserve">Personalikulud </w:t>
            </w:r>
          </w:p>
        </w:tc>
        <w:tc>
          <w:tcPr>
            <w:tcW w:w="697"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628FDAB" w14:textId="77777777" w:rsidR="00BF22EA" w:rsidRPr="00797162" w:rsidRDefault="00BF22EA" w:rsidP="00BE7565">
            <w:pPr>
              <w:spacing w:before="0" w:after="0"/>
              <w:jc w:val="right"/>
              <w:rPr>
                <w:rFonts w:eastAsia="Times New Roman"/>
                <w:noProof/>
                <w:color w:val="000000" w:themeColor="text1"/>
                <w:sz w:val="16"/>
                <w:szCs w:val="16"/>
              </w:rPr>
            </w:pPr>
            <w:r w:rsidRPr="00797162">
              <w:rPr>
                <w:noProof/>
                <w:color w:val="000000" w:themeColor="text1"/>
                <w:sz w:val="16"/>
              </w:rPr>
              <w:t>2,424</w:t>
            </w:r>
          </w:p>
        </w:tc>
        <w:tc>
          <w:tcPr>
            <w:tcW w:w="69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D983806" w14:textId="77777777" w:rsidR="00BF22EA" w:rsidRPr="00797162" w:rsidRDefault="00BF22EA" w:rsidP="00BE7565">
            <w:pPr>
              <w:spacing w:before="0" w:after="0"/>
              <w:jc w:val="right"/>
              <w:rPr>
                <w:rFonts w:eastAsia="Times New Roman"/>
                <w:noProof/>
                <w:color w:val="000000" w:themeColor="text1"/>
                <w:sz w:val="16"/>
                <w:szCs w:val="16"/>
              </w:rPr>
            </w:pPr>
            <w:r w:rsidRPr="00797162">
              <w:rPr>
                <w:noProof/>
                <w:color w:val="000000" w:themeColor="text1"/>
                <w:sz w:val="16"/>
              </w:rPr>
              <w:t>2,424</w:t>
            </w:r>
          </w:p>
        </w:tc>
        <w:tc>
          <w:tcPr>
            <w:tcW w:w="69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3AA3326" w14:textId="77777777" w:rsidR="00BF22EA" w:rsidRPr="00797162" w:rsidRDefault="00BF22EA" w:rsidP="00BE7565">
            <w:pPr>
              <w:spacing w:before="0" w:after="0"/>
              <w:jc w:val="right"/>
              <w:rPr>
                <w:rFonts w:eastAsia="Times New Roman"/>
                <w:noProof/>
                <w:color w:val="000000" w:themeColor="text1"/>
                <w:sz w:val="16"/>
                <w:szCs w:val="16"/>
              </w:rPr>
            </w:pPr>
            <w:r w:rsidRPr="00797162">
              <w:rPr>
                <w:noProof/>
                <w:color w:val="000000" w:themeColor="text1"/>
                <w:sz w:val="16"/>
              </w:rPr>
              <w:t>2,424</w:t>
            </w:r>
          </w:p>
        </w:tc>
        <w:tc>
          <w:tcPr>
            <w:tcW w:w="69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378DAC0" w14:textId="77777777" w:rsidR="00BF22EA" w:rsidRPr="00797162" w:rsidRDefault="00BF22EA" w:rsidP="00BE7565">
            <w:pPr>
              <w:spacing w:before="0" w:after="0"/>
              <w:jc w:val="right"/>
              <w:rPr>
                <w:rFonts w:eastAsia="Times New Roman"/>
                <w:noProof/>
                <w:color w:val="000000" w:themeColor="text1"/>
                <w:sz w:val="16"/>
                <w:szCs w:val="16"/>
              </w:rPr>
            </w:pPr>
            <w:r w:rsidRPr="00797162">
              <w:rPr>
                <w:noProof/>
                <w:color w:val="000000" w:themeColor="text1"/>
                <w:sz w:val="16"/>
              </w:rPr>
              <w:t>2,424</w:t>
            </w:r>
          </w:p>
        </w:tc>
        <w:tc>
          <w:tcPr>
            <w:tcW w:w="797"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E6CB617" w14:textId="77777777" w:rsidR="00BF22EA" w:rsidRPr="00797162" w:rsidRDefault="00BF22EA" w:rsidP="00BE7565">
            <w:pPr>
              <w:spacing w:before="0" w:after="0"/>
              <w:jc w:val="center"/>
              <w:rPr>
                <w:rFonts w:eastAsia="Times New Roman"/>
                <w:noProof/>
                <w:color w:val="000000" w:themeColor="text1"/>
                <w:sz w:val="16"/>
                <w:szCs w:val="16"/>
              </w:rPr>
            </w:pPr>
            <w:r w:rsidRPr="00797162">
              <w:rPr>
                <w:noProof/>
                <w:color w:val="000000" w:themeColor="text1"/>
                <w:sz w:val="16"/>
              </w:rPr>
              <w:t>2,424</w:t>
            </w:r>
          </w:p>
        </w:tc>
        <w:tc>
          <w:tcPr>
            <w:tcW w:w="793"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B926EFD" w14:textId="77777777" w:rsidR="00BF22EA" w:rsidRPr="00797162" w:rsidRDefault="00BF22EA" w:rsidP="00BE7565">
            <w:pPr>
              <w:spacing w:before="0" w:after="0"/>
              <w:jc w:val="center"/>
              <w:rPr>
                <w:rFonts w:eastAsia="Times New Roman"/>
                <w:noProof/>
                <w:color w:val="000000" w:themeColor="text1"/>
                <w:sz w:val="16"/>
                <w:szCs w:val="16"/>
              </w:rPr>
            </w:pPr>
            <w:r w:rsidRPr="00797162">
              <w:rPr>
                <w:noProof/>
                <w:color w:val="000000" w:themeColor="text1"/>
                <w:sz w:val="16"/>
              </w:rPr>
              <w:t>2,424</w:t>
            </w:r>
          </w:p>
        </w:tc>
        <w:tc>
          <w:tcPr>
            <w:tcW w:w="793"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BB8C98F" w14:textId="77777777" w:rsidR="00BF22EA" w:rsidRPr="00797162" w:rsidRDefault="00BF22EA" w:rsidP="00BE7565">
            <w:pPr>
              <w:spacing w:before="0" w:after="0"/>
              <w:jc w:val="center"/>
              <w:rPr>
                <w:rFonts w:eastAsia="Times New Roman"/>
                <w:noProof/>
                <w:color w:val="000000" w:themeColor="text1"/>
                <w:sz w:val="16"/>
                <w:szCs w:val="16"/>
              </w:rPr>
            </w:pPr>
            <w:r w:rsidRPr="00797162">
              <w:rPr>
                <w:noProof/>
                <w:color w:val="000000" w:themeColor="text1"/>
                <w:sz w:val="16"/>
              </w:rPr>
              <w:t>2,424</w:t>
            </w:r>
          </w:p>
        </w:tc>
        <w:tc>
          <w:tcPr>
            <w:tcW w:w="88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B195149" w14:textId="77777777" w:rsidR="00BF22EA" w:rsidRPr="00797162" w:rsidRDefault="00BF22EA" w:rsidP="00BE7565">
            <w:pPr>
              <w:spacing w:before="0" w:after="0"/>
              <w:jc w:val="right"/>
              <w:rPr>
                <w:rFonts w:eastAsia="Times New Roman"/>
                <w:b/>
                <w:bCs/>
                <w:noProof/>
                <w:color w:val="000000" w:themeColor="text1"/>
                <w:sz w:val="16"/>
                <w:szCs w:val="16"/>
              </w:rPr>
            </w:pPr>
            <w:r w:rsidRPr="00797162">
              <w:rPr>
                <w:b/>
                <w:noProof/>
                <w:color w:val="000000" w:themeColor="text1"/>
                <w:sz w:val="16"/>
              </w:rPr>
              <w:t>16,968</w:t>
            </w:r>
          </w:p>
        </w:tc>
      </w:tr>
      <w:tr w:rsidR="00BF22EA" w:rsidRPr="00797162" w14:paraId="1CAE5F84" w14:textId="77777777" w:rsidTr="00BE7565">
        <w:trPr>
          <w:trHeight w:val="300"/>
        </w:trPr>
        <w:tc>
          <w:tcPr>
            <w:tcW w:w="30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9CAAC9" w14:textId="77777777" w:rsidR="00BF22EA" w:rsidRPr="00797162" w:rsidRDefault="00BF22EA" w:rsidP="00BE7565">
            <w:pPr>
              <w:spacing w:before="0" w:after="0"/>
              <w:jc w:val="left"/>
              <w:rPr>
                <w:rFonts w:eastAsia="Times New Roman"/>
                <w:noProof/>
                <w:color w:val="000000" w:themeColor="text1"/>
                <w:sz w:val="16"/>
                <w:szCs w:val="16"/>
                <w:u w:val="single"/>
                <w:vertAlign w:val="superscript"/>
              </w:rPr>
            </w:pPr>
            <w:r w:rsidRPr="00797162">
              <w:rPr>
                <w:noProof/>
                <w:color w:val="000000" w:themeColor="text1"/>
                <w:sz w:val="16"/>
              </w:rPr>
              <w:t>Muud halduskulud</w:t>
            </w:r>
            <w:hyperlink r:id="rId23" w:anchor="_ftn2" w:history="1">
              <w:r w:rsidRPr="00797162">
                <w:rPr>
                  <w:noProof/>
                  <w:color w:val="000000" w:themeColor="text1"/>
                  <w:sz w:val="16"/>
                  <w:u w:val="single"/>
                  <w:vertAlign w:val="superscript"/>
                </w:rPr>
                <w:t>[2]</w:t>
              </w:r>
            </w:hyperlink>
          </w:p>
        </w:tc>
        <w:tc>
          <w:tcPr>
            <w:tcW w:w="69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850C19A" w14:textId="77777777" w:rsidR="00BF22EA" w:rsidRPr="00797162" w:rsidRDefault="00BF22EA" w:rsidP="00BE7565">
            <w:pPr>
              <w:spacing w:before="0" w:after="0"/>
              <w:jc w:val="right"/>
              <w:rPr>
                <w:rFonts w:eastAsia="Times New Roman"/>
                <w:noProof/>
                <w:color w:val="000000" w:themeColor="text1"/>
                <w:sz w:val="16"/>
                <w:szCs w:val="16"/>
              </w:rPr>
            </w:pPr>
            <w:r w:rsidRPr="00797162">
              <w:rPr>
                <w:noProof/>
                <w:color w:val="000000" w:themeColor="text1"/>
                <w:sz w:val="16"/>
              </w:rPr>
              <w:t>p.m.</w:t>
            </w:r>
          </w:p>
        </w:tc>
        <w:tc>
          <w:tcPr>
            <w:tcW w:w="69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D201007" w14:textId="77777777" w:rsidR="00BF22EA" w:rsidRPr="00797162" w:rsidRDefault="00BF22EA" w:rsidP="00BE7565">
            <w:pPr>
              <w:spacing w:before="0" w:after="0"/>
              <w:jc w:val="right"/>
              <w:rPr>
                <w:rFonts w:eastAsia="Times New Roman"/>
                <w:noProof/>
                <w:color w:val="000000" w:themeColor="text1"/>
                <w:sz w:val="16"/>
                <w:szCs w:val="16"/>
              </w:rPr>
            </w:pPr>
            <w:r w:rsidRPr="00797162">
              <w:rPr>
                <w:noProof/>
                <w:color w:val="000000" w:themeColor="text1"/>
                <w:sz w:val="16"/>
              </w:rPr>
              <w:t>p.m.</w:t>
            </w:r>
          </w:p>
        </w:tc>
        <w:tc>
          <w:tcPr>
            <w:tcW w:w="69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213C9A3" w14:textId="77777777" w:rsidR="00BF22EA" w:rsidRPr="00797162" w:rsidRDefault="00BF22EA" w:rsidP="00BE7565">
            <w:pPr>
              <w:spacing w:before="0" w:after="0"/>
              <w:jc w:val="right"/>
              <w:rPr>
                <w:rFonts w:eastAsia="Times New Roman"/>
                <w:noProof/>
                <w:color w:val="000000" w:themeColor="text1"/>
                <w:sz w:val="16"/>
                <w:szCs w:val="16"/>
              </w:rPr>
            </w:pPr>
            <w:r w:rsidRPr="00797162">
              <w:rPr>
                <w:noProof/>
                <w:color w:val="000000" w:themeColor="text1"/>
                <w:sz w:val="16"/>
              </w:rPr>
              <w:t>p.m.</w:t>
            </w:r>
          </w:p>
        </w:tc>
        <w:tc>
          <w:tcPr>
            <w:tcW w:w="69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C2B5E09" w14:textId="77777777" w:rsidR="00BF22EA" w:rsidRPr="00797162" w:rsidRDefault="00BF22EA" w:rsidP="00BE7565">
            <w:pPr>
              <w:spacing w:before="0" w:after="0"/>
              <w:jc w:val="right"/>
              <w:rPr>
                <w:rFonts w:eastAsia="Times New Roman"/>
                <w:noProof/>
                <w:color w:val="000000" w:themeColor="text1"/>
                <w:sz w:val="16"/>
                <w:szCs w:val="16"/>
              </w:rPr>
            </w:pPr>
            <w:r w:rsidRPr="00797162">
              <w:rPr>
                <w:noProof/>
                <w:color w:val="000000" w:themeColor="text1"/>
                <w:sz w:val="16"/>
              </w:rPr>
              <w:t>p.m.</w:t>
            </w:r>
          </w:p>
        </w:tc>
        <w:tc>
          <w:tcPr>
            <w:tcW w:w="79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6C367B9" w14:textId="77777777" w:rsidR="00BF22EA" w:rsidRPr="00797162" w:rsidRDefault="00BF22EA" w:rsidP="00BE7565">
            <w:pPr>
              <w:spacing w:before="0" w:after="0"/>
              <w:jc w:val="center"/>
              <w:rPr>
                <w:rFonts w:eastAsia="Times New Roman"/>
                <w:noProof/>
                <w:color w:val="000000" w:themeColor="text1"/>
                <w:sz w:val="16"/>
                <w:szCs w:val="16"/>
              </w:rPr>
            </w:pPr>
            <w:r w:rsidRPr="00797162">
              <w:rPr>
                <w:noProof/>
                <w:color w:val="000000" w:themeColor="text1"/>
                <w:sz w:val="16"/>
              </w:rPr>
              <w:t>p.m.</w:t>
            </w:r>
          </w:p>
        </w:tc>
        <w:tc>
          <w:tcPr>
            <w:tcW w:w="79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16EDFA1" w14:textId="77777777" w:rsidR="00BF22EA" w:rsidRPr="00797162" w:rsidRDefault="00BF22EA" w:rsidP="00BE7565">
            <w:pPr>
              <w:spacing w:before="0" w:after="0"/>
              <w:jc w:val="center"/>
              <w:rPr>
                <w:rFonts w:eastAsia="Times New Roman"/>
                <w:noProof/>
                <w:color w:val="000000" w:themeColor="text1"/>
                <w:sz w:val="16"/>
                <w:szCs w:val="16"/>
              </w:rPr>
            </w:pPr>
            <w:r w:rsidRPr="00797162">
              <w:rPr>
                <w:noProof/>
                <w:color w:val="000000" w:themeColor="text1"/>
                <w:sz w:val="16"/>
              </w:rPr>
              <w:t>p.m.</w:t>
            </w:r>
          </w:p>
        </w:tc>
        <w:tc>
          <w:tcPr>
            <w:tcW w:w="79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585D889" w14:textId="77777777" w:rsidR="00BF22EA" w:rsidRPr="00797162" w:rsidRDefault="00BF22EA" w:rsidP="00BE7565">
            <w:pPr>
              <w:spacing w:before="0" w:after="0"/>
              <w:jc w:val="center"/>
              <w:rPr>
                <w:rFonts w:eastAsia="Times New Roman"/>
                <w:noProof/>
                <w:color w:val="000000" w:themeColor="text1"/>
                <w:sz w:val="16"/>
                <w:szCs w:val="16"/>
              </w:rPr>
            </w:pPr>
            <w:r w:rsidRPr="00797162">
              <w:rPr>
                <w:noProof/>
                <w:color w:val="000000" w:themeColor="text1"/>
                <w:sz w:val="16"/>
              </w:rPr>
              <w:t>p.m.</w:t>
            </w:r>
          </w:p>
        </w:tc>
        <w:tc>
          <w:tcPr>
            <w:tcW w:w="8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AD0F0AF" w14:textId="77777777" w:rsidR="00BF22EA" w:rsidRPr="00797162" w:rsidRDefault="00BF22EA" w:rsidP="00BE7565">
            <w:pPr>
              <w:spacing w:before="0" w:after="0"/>
              <w:jc w:val="right"/>
              <w:rPr>
                <w:rFonts w:eastAsia="Times New Roman"/>
                <w:b/>
                <w:bCs/>
                <w:noProof/>
                <w:color w:val="000000" w:themeColor="text1"/>
                <w:sz w:val="16"/>
                <w:szCs w:val="16"/>
              </w:rPr>
            </w:pPr>
            <w:r w:rsidRPr="00797162">
              <w:rPr>
                <w:b/>
                <w:noProof/>
                <w:color w:val="000000" w:themeColor="text1"/>
                <w:sz w:val="16"/>
              </w:rPr>
              <w:t>p.m.</w:t>
            </w:r>
          </w:p>
        </w:tc>
      </w:tr>
      <w:tr w:rsidR="00BF22EA" w:rsidRPr="00797162" w14:paraId="49E2C7FC" w14:textId="77777777" w:rsidTr="00BE7565">
        <w:trPr>
          <w:trHeight w:val="300"/>
        </w:trPr>
        <w:tc>
          <w:tcPr>
            <w:tcW w:w="3088"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14:paraId="6892FAAE" w14:textId="77777777" w:rsidR="00BF22EA" w:rsidRPr="00797162" w:rsidRDefault="00BF22EA" w:rsidP="00BE7565">
            <w:pPr>
              <w:spacing w:before="0" w:after="0"/>
              <w:jc w:val="center"/>
              <w:rPr>
                <w:rFonts w:eastAsia="Times New Roman"/>
                <w:b/>
                <w:bCs/>
                <w:noProof/>
                <w:color w:val="000000" w:themeColor="text1"/>
                <w:sz w:val="16"/>
                <w:szCs w:val="16"/>
              </w:rPr>
            </w:pPr>
            <w:r w:rsidRPr="00797162">
              <w:rPr>
                <w:b/>
                <w:noProof/>
                <w:color w:val="000000" w:themeColor="text1"/>
                <w:sz w:val="16"/>
              </w:rPr>
              <w:t>RUBRIIGIST 4 välja jäävad kulud kokku</w:t>
            </w:r>
          </w:p>
        </w:tc>
        <w:tc>
          <w:tcPr>
            <w:tcW w:w="69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9A7DA19" w14:textId="77777777" w:rsidR="00BF22EA" w:rsidRPr="00797162" w:rsidRDefault="00BF22EA" w:rsidP="00BE7565">
            <w:pPr>
              <w:spacing w:before="0" w:after="0"/>
              <w:jc w:val="right"/>
              <w:rPr>
                <w:rFonts w:eastAsia="Times New Roman"/>
                <w:b/>
                <w:bCs/>
                <w:noProof/>
                <w:color w:val="000000" w:themeColor="text1"/>
                <w:sz w:val="16"/>
                <w:szCs w:val="16"/>
              </w:rPr>
            </w:pPr>
            <w:r w:rsidRPr="00797162">
              <w:rPr>
                <w:b/>
                <w:noProof/>
                <w:color w:val="000000" w:themeColor="text1"/>
                <w:sz w:val="16"/>
              </w:rPr>
              <w:t>2,424</w:t>
            </w:r>
          </w:p>
        </w:tc>
        <w:tc>
          <w:tcPr>
            <w:tcW w:w="69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766D8B5" w14:textId="77777777" w:rsidR="00BF22EA" w:rsidRPr="00797162" w:rsidRDefault="00BF22EA" w:rsidP="00BE7565">
            <w:pPr>
              <w:spacing w:before="0" w:after="0"/>
              <w:jc w:val="right"/>
              <w:rPr>
                <w:rFonts w:eastAsia="Times New Roman"/>
                <w:b/>
                <w:bCs/>
                <w:noProof/>
                <w:color w:val="000000" w:themeColor="text1"/>
                <w:sz w:val="16"/>
                <w:szCs w:val="16"/>
              </w:rPr>
            </w:pPr>
            <w:r w:rsidRPr="00797162">
              <w:rPr>
                <w:b/>
                <w:noProof/>
                <w:color w:val="000000" w:themeColor="text1"/>
                <w:sz w:val="16"/>
              </w:rPr>
              <w:t>2,424</w:t>
            </w:r>
          </w:p>
        </w:tc>
        <w:tc>
          <w:tcPr>
            <w:tcW w:w="69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F94799C" w14:textId="77777777" w:rsidR="00BF22EA" w:rsidRPr="00797162" w:rsidRDefault="00BF22EA" w:rsidP="00BE7565">
            <w:pPr>
              <w:spacing w:before="0" w:after="0"/>
              <w:jc w:val="right"/>
              <w:rPr>
                <w:rFonts w:eastAsia="Times New Roman"/>
                <w:b/>
                <w:bCs/>
                <w:noProof/>
                <w:color w:val="000000" w:themeColor="text1"/>
                <w:sz w:val="16"/>
                <w:szCs w:val="16"/>
              </w:rPr>
            </w:pPr>
            <w:r w:rsidRPr="00797162">
              <w:rPr>
                <w:b/>
                <w:noProof/>
                <w:color w:val="000000" w:themeColor="text1"/>
                <w:sz w:val="16"/>
              </w:rPr>
              <w:t>2,424</w:t>
            </w:r>
          </w:p>
        </w:tc>
        <w:tc>
          <w:tcPr>
            <w:tcW w:w="69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E0A380E" w14:textId="77777777" w:rsidR="00BF22EA" w:rsidRPr="00797162" w:rsidRDefault="00BF22EA" w:rsidP="00BE7565">
            <w:pPr>
              <w:spacing w:before="0" w:after="0"/>
              <w:jc w:val="right"/>
              <w:rPr>
                <w:rFonts w:eastAsia="Times New Roman"/>
                <w:b/>
                <w:bCs/>
                <w:noProof/>
                <w:color w:val="000000" w:themeColor="text1"/>
                <w:sz w:val="16"/>
                <w:szCs w:val="16"/>
              </w:rPr>
            </w:pPr>
            <w:r w:rsidRPr="00797162">
              <w:rPr>
                <w:b/>
                <w:noProof/>
                <w:color w:val="000000" w:themeColor="text1"/>
                <w:sz w:val="16"/>
              </w:rPr>
              <w:t>2,424</w:t>
            </w:r>
          </w:p>
        </w:tc>
        <w:tc>
          <w:tcPr>
            <w:tcW w:w="79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9153798" w14:textId="77777777" w:rsidR="00BF22EA" w:rsidRPr="00797162" w:rsidRDefault="00BF22EA" w:rsidP="00BE7565">
            <w:pPr>
              <w:spacing w:before="0" w:after="0"/>
              <w:jc w:val="center"/>
              <w:rPr>
                <w:rFonts w:eastAsia="Times New Roman"/>
                <w:b/>
                <w:bCs/>
                <w:noProof/>
                <w:color w:val="000000" w:themeColor="text1"/>
                <w:sz w:val="16"/>
                <w:szCs w:val="16"/>
              </w:rPr>
            </w:pPr>
            <w:r w:rsidRPr="00797162">
              <w:rPr>
                <w:b/>
                <w:noProof/>
                <w:color w:val="000000" w:themeColor="text1"/>
                <w:sz w:val="16"/>
              </w:rPr>
              <w:t>2,424</w:t>
            </w:r>
          </w:p>
        </w:tc>
        <w:tc>
          <w:tcPr>
            <w:tcW w:w="79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E029923" w14:textId="77777777" w:rsidR="00BF22EA" w:rsidRPr="00797162" w:rsidRDefault="00BF22EA" w:rsidP="00BE7565">
            <w:pPr>
              <w:spacing w:before="0" w:after="0"/>
              <w:jc w:val="center"/>
              <w:rPr>
                <w:rFonts w:eastAsia="Times New Roman"/>
                <w:b/>
                <w:bCs/>
                <w:noProof/>
                <w:color w:val="000000" w:themeColor="text1"/>
                <w:sz w:val="16"/>
                <w:szCs w:val="16"/>
              </w:rPr>
            </w:pPr>
            <w:r w:rsidRPr="00797162">
              <w:rPr>
                <w:b/>
                <w:noProof/>
                <w:color w:val="000000" w:themeColor="text1"/>
                <w:sz w:val="16"/>
              </w:rPr>
              <w:t>2,424</w:t>
            </w:r>
          </w:p>
        </w:tc>
        <w:tc>
          <w:tcPr>
            <w:tcW w:w="79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4B9A22A" w14:textId="77777777" w:rsidR="00BF22EA" w:rsidRPr="00797162" w:rsidRDefault="00BF22EA" w:rsidP="00BE7565">
            <w:pPr>
              <w:spacing w:before="0" w:after="0"/>
              <w:jc w:val="center"/>
              <w:rPr>
                <w:rFonts w:eastAsia="Times New Roman"/>
                <w:b/>
                <w:bCs/>
                <w:noProof/>
                <w:color w:val="000000" w:themeColor="text1"/>
                <w:sz w:val="16"/>
                <w:szCs w:val="16"/>
              </w:rPr>
            </w:pPr>
            <w:r w:rsidRPr="00797162">
              <w:rPr>
                <w:b/>
                <w:noProof/>
                <w:color w:val="000000" w:themeColor="text1"/>
                <w:sz w:val="16"/>
              </w:rPr>
              <w:t>2,424</w:t>
            </w:r>
          </w:p>
        </w:tc>
        <w:tc>
          <w:tcPr>
            <w:tcW w:w="8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08F05EA" w14:textId="77777777" w:rsidR="00BF22EA" w:rsidRPr="00797162" w:rsidRDefault="00BF22EA" w:rsidP="00BE7565">
            <w:pPr>
              <w:spacing w:before="0" w:after="0"/>
              <w:jc w:val="right"/>
              <w:rPr>
                <w:rFonts w:eastAsia="Times New Roman"/>
                <w:b/>
                <w:bCs/>
                <w:noProof/>
                <w:color w:val="000000" w:themeColor="text1"/>
                <w:sz w:val="16"/>
                <w:szCs w:val="16"/>
              </w:rPr>
            </w:pPr>
            <w:r w:rsidRPr="00797162">
              <w:rPr>
                <w:b/>
                <w:noProof/>
                <w:color w:val="000000" w:themeColor="text1"/>
                <w:sz w:val="16"/>
              </w:rPr>
              <w:t>16,968</w:t>
            </w:r>
          </w:p>
        </w:tc>
      </w:tr>
      <w:tr w:rsidR="00BF22EA" w:rsidRPr="00797162" w14:paraId="69FF418A" w14:textId="77777777" w:rsidTr="00BE7565">
        <w:trPr>
          <w:trHeight w:val="300"/>
        </w:trPr>
        <w:tc>
          <w:tcPr>
            <w:tcW w:w="9138" w:type="dxa"/>
            <w:gridSpan w:val="9"/>
            <w:tcBorders>
              <w:top w:val="single" w:sz="8" w:space="0" w:color="auto"/>
              <w:left w:val="single" w:sz="8" w:space="0" w:color="auto"/>
              <w:bottom w:val="single" w:sz="8" w:space="0" w:color="auto"/>
              <w:right w:val="single" w:sz="8" w:space="0" w:color="auto"/>
            </w:tcBorders>
            <w:tcMar>
              <w:left w:w="108" w:type="dxa"/>
              <w:right w:w="108" w:type="dxa"/>
            </w:tcMar>
          </w:tcPr>
          <w:p w14:paraId="1C1EF08E" w14:textId="77777777" w:rsidR="00BF22EA" w:rsidRPr="00797162" w:rsidRDefault="00BF22EA" w:rsidP="00BE7565">
            <w:pPr>
              <w:spacing w:before="0" w:after="0"/>
              <w:jc w:val="center"/>
              <w:rPr>
                <w:rFonts w:eastAsia="Times New Roman"/>
                <w:noProof/>
                <w:color w:val="000000" w:themeColor="text1"/>
                <w:sz w:val="16"/>
                <w:szCs w:val="16"/>
              </w:rPr>
            </w:pPr>
            <w:r w:rsidRPr="00797162">
              <w:rPr>
                <w:noProof/>
                <w:color w:val="000000" w:themeColor="text1"/>
                <w:sz w:val="16"/>
              </w:rPr>
              <w:t xml:space="preserve"> </w:t>
            </w:r>
          </w:p>
        </w:tc>
      </w:tr>
      <w:tr w:rsidR="00BF22EA" w:rsidRPr="00797162" w14:paraId="6380F9A7" w14:textId="77777777" w:rsidTr="00BE7565">
        <w:trPr>
          <w:trHeight w:val="300"/>
        </w:trPr>
        <w:tc>
          <w:tcPr>
            <w:tcW w:w="30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822FB1" w14:textId="77777777" w:rsidR="00BF22EA" w:rsidRPr="00797162" w:rsidRDefault="00BF22EA" w:rsidP="00BE7565">
            <w:pPr>
              <w:spacing w:before="0" w:after="0"/>
              <w:jc w:val="center"/>
              <w:rPr>
                <w:rFonts w:eastAsia="Times New Roman"/>
                <w:b/>
                <w:bCs/>
                <w:noProof/>
                <w:color w:val="000000" w:themeColor="text1"/>
                <w:sz w:val="16"/>
                <w:szCs w:val="16"/>
              </w:rPr>
            </w:pPr>
            <w:r w:rsidRPr="00797162">
              <w:rPr>
                <w:b/>
                <w:noProof/>
                <w:color w:val="000000" w:themeColor="text1"/>
                <w:sz w:val="16"/>
              </w:rPr>
              <w:t>KOKKU</w:t>
            </w:r>
          </w:p>
        </w:tc>
        <w:tc>
          <w:tcPr>
            <w:tcW w:w="697"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D6C43A3" w14:textId="77777777" w:rsidR="00BF22EA" w:rsidRPr="00797162" w:rsidRDefault="00BF22EA" w:rsidP="00BE7565">
            <w:pPr>
              <w:spacing w:before="0" w:after="0"/>
              <w:jc w:val="right"/>
              <w:rPr>
                <w:rFonts w:eastAsia="Times New Roman"/>
                <w:b/>
                <w:bCs/>
                <w:noProof/>
                <w:color w:val="000000" w:themeColor="text1"/>
                <w:sz w:val="16"/>
                <w:szCs w:val="16"/>
              </w:rPr>
            </w:pPr>
            <w:r w:rsidRPr="00797162">
              <w:rPr>
                <w:b/>
                <w:noProof/>
                <w:color w:val="000000" w:themeColor="text1"/>
                <w:sz w:val="16"/>
              </w:rPr>
              <w:t>6,560</w:t>
            </w:r>
          </w:p>
        </w:tc>
        <w:tc>
          <w:tcPr>
            <w:tcW w:w="69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D6B8FBE" w14:textId="77777777" w:rsidR="00BF22EA" w:rsidRPr="00797162" w:rsidRDefault="00BF22EA" w:rsidP="00BE7565">
            <w:pPr>
              <w:spacing w:before="0" w:after="0"/>
              <w:jc w:val="right"/>
              <w:rPr>
                <w:rFonts w:eastAsia="Times New Roman"/>
                <w:b/>
                <w:bCs/>
                <w:noProof/>
                <w:color w:val="000000" w:themeColor="text1"/>
                <w:sz w:val="16"/>
                <w:szCs w:val="16"/>
              </w:rPr>
            </w:pPr>
            <w:r w:rsidRPr="00797162">
              <w:rPr>
                <w:b/>
                <w:noProof/>
                <w:color w:val="000000" w:themeColor="text1"/>
                <w:sz w:val="16"/>
              </w:rPr>
              <w:t>6,560</w:t>
            </w:r>
          </w:p>
        </w:tc>
        <w:tc>
          <w:tcPr>
            <w:tcW w:w="69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27654F7" w14:textId="77777777" w:rsidR="00BF22EA" w:rsidRPr="00797162" w:rsidRDefault="00BF22EA" w:rsidP="00BE7565">
            <w:pPr>
              <w:spacing w:before="0" w:after="0"/>
              <w:jc w:val="right"/>
              <w:rPr>
                <w:rFonts w:eastAsia="Times New Roman"/>
                <w:b/>
                <w:bCs/>
                <w:noProof/>
                <w:color w:val="000000" w:themeColor="text1"/>
                <w:sz w:val="16"/>
                <w:szCs w:val="16"/>
              </w:rPr>
            </w:pPr>
            <w:r w:rsidRPr="00797162">
              <w:rPr>
                <w:b/>
                <w:noProof/>
                <w:color w:val="000000" w:themeColor="text1"/>
                <w:sz w:val="16"/>
              </w:rPr>
              <w:t>6,560</w:t>
            </w:r>
          </w:p>
        </w:tc>
        <w:tc>
          <w:tcPr>
            <w:tcW w:w="69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0A636F0" w14:textId="77777777" w:rsidR="00BF22EA" w:rsidRPr="00797162" w:rsidRDefault="00BF22EA" w:rsidP="00BE7565">
            <w:pPr>
              <w:spacing w:before="0" w:after="0"/>
              <w:jc w:val="right"/>
              <w:rPr>
                <w:rFonts w:eastAsia="Times New Roman"/>
                <w:b/>
                <w:bCs/>
                <w:noProof/>
                <w:color w:val="000000" w:themeColor="text1"/>
                <w:sz w:val="16"/>
                <w:szCs w:val="16"/>
              </w:rPr>
            </w:pPr>
            <w:r w:rsidRPr="00797162">
              <w:rPr>
                <w:b/>
                <w:noProof/>
                <w:color w:val="000000" w:themeColor="text1"/>
                <w:sz w:val="16"/>
              </w:rPr>
              <w:t>6,560</w:t>
            </w:r>
          </w:p>
        </w:tc>
        <w:tc>
          <w:tcPr>
            <w:tcW w:w="797"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396594C" w14:textId="77777777" w:rsidR="00BF22EA" w:rsidRPr="00797162" w:rsidRDefault="00BF22EA" w:rsidP="00BE7565">
            <w:pPr>
              <w:spacing w:before="0" w:after="0"/>
              <w:jc w:val="center"/>
              <w:rPr>
                <w:rFonts w:eastAsia="Times New Roman"/>
                <w:b/>
                <w:bCs/>
                <w:noProof/>
                <w:color w:val="000000" w:themeColor="text1"/>
                <w:sz w:val="16"/>
                <w:szCs w:val="16"/>
              </w:rPr>
            </w:pPr>
            <w:r w:rsidRPr="00797162">
              <w:rPr>
                <w:b/>
                <w:noProof/>
                <w:color w:val="000000" w:themeColor="text1"/>
                <w:sz w:val="16"/>
              </w:rPr>
              <w:t>6,560</w:t>
            </w:r>
          </w:p>
        </w:tc>
        <w:tc>
          <w:tcPr>
            <w:tcW w:w="793"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9ECADB9" w14:textId="77777777" w:rsidR="00BF22EA" w:rsidRPr="00797162" w:rsidRDefault="00BF22EA" w:rsidP="00BE7565">
            <w:pPr>
              <w:spacing w:before="0" w:after="0"/>
              <w:jc w:val="center"/>
              <w:rPr>
                <w:rFonts w:eastAsia="Times New Roman"/>
                <w:b/>
                <w:bCs/>
                <w:noProof/>
                <w:color w:val="000000" w:themeColor="text1"/>
                <w:sz w:val="16"/>
                <w:szCs w:val="16"/>
              </w:rPr>
            </w:pPr>
            <w:r w:rsidRPr="00797162">
              <w:rPr>
                <w:b/>
                <w:noProof/>
                <w:color w:val="000000" w:themeColor="text1"/>
                <w:sz w:val="16"/>
              </w:rPr>
              <w:t>6,560</w:t>
            </w:r>
          </w:p>
        </w:tc>
        <w:tc>
          <w:tcPr>
            <w:tcW w:w="793"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7D16861" w14:textId="77777777" w:rsidR="00BF22EA" w:rsidRPr="00797162" w:rsidRDefault="00BF22EA" w:rsidP="00BE7565">
            <w:pPr>
              <w:spacing w:before="0" w:after="0"/>
              <w:jc w:val="center"/>
              <w:rPr>
                <w:rFonts w:eastAsia="Times New Roman"/>
                <w:b/>
                <w:bCs/>
                <w:noProof/>
                <w:color w:val="000000" w:themeColor="text1"/>
                <w:sz w:val="16"/>
                <w:szCs w:val="16"/>
              </w:rPr>
            </w:pPr>
            <w:r w:rsidRPr="00797162">
              <w:rPr>
                <w:b/>
                <w:noProof/>
                <w:color w:val="000000" w:themeColor="text1"/>
                <w:sz w:val="16"/>
              </w:rPr>
              <w:t>6,560</w:t>
            </w:r>
          </w:p>
        </w:tc>
        <w:tc>
          <w:tcPr>
            <w:tcW w:w="88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79E005E" w14:textId="77777777" w:rsidR="00BF22EA" w:rsidRPr="00797162" w:rsidRDefault="00BF22EA" w:rsidP="00BE7565">
            <w:pPr>
              <w:spacing w:before="0" w:after="0"/>
              <w:jc w:val="right"/>
              <w:rPr>
                <w:rFonts w:eastAsia="Times New Roman"/>
                <w:b/>
                <w:bCs/>
                <w:noProof/>
                <w:color w:val="000000" w:themeColor="text1"/>
                <w:sz w:val="16"/>
                <w:szCs w:val="16"/>
              </w:rPr>
            </w:pPr>
            <w:r w:rsidRPr="00797162">
              <w:rPr>
                <w:b/>
                <w:noProof/>
                <w:color w:val="000000" w:themeColor="text1"/>
                <w:sz w:val="16"/>
              </w:rPr>
              <w:t>45,920</w:t>
            </w:r>
          </w:p>
        </w:tc>
      </w:tr>
    </w:tbl>
    <w:p w14:paraId="65F65DE6" w14:textId="77777777" w:rsidR="00BF22EA" w:rsidRPr="00797162" w:rsidRDefault="00BF22EA" w:rsidP="00BF22EA">
      <w:pPr>
        <w:spacing w:before="0" w:after="0"/>
        <w:rPr>
          <w:noProof/>
        </w:rPr>
      </w:pPr>
    </w:p>
    <w:p w14:paraId="377D1F6A" w14:textId="77777777" w:rsidR="00BF22EA" w:rsidRPr="00797162" w:rsidRDefault="00BF22EA" w:rsidP="00BF22EA">
      <w:pPr>
        <w:spacing w:before="0" w:after="0"/>
        <w:rPr>
          <w:noProof/>
        </w:rPr>
      </w:pPr>
    </w:p>
    <w:p w14:paraId="562AFDB3" w14:textId="77777777" w:rsidR="00BF22EA" w:rsidRPr="00797162" w:rsidRDefault="00D53C47" w:rsidP="00BF22EA">
      <w:pPr>
        <w:spacing w:before="0" w:after="0"/>
        <w:ind w:left="720" w:hanging="720"/>
        <w:rPr>
          <w:rFonts w:eastAsia="Times New Roman"/>
          <w:noProof/>
          <w:sz w:val="20"/>
          <w:szCs w:val="20"/>
        </w:rPr>
      </w:pPr>
      <w:hyperlink r:id="rId24" w:anchor="_ftnref1" w:history="1">
        <w:r w:rsidR="00BF22EA" w:rsidRPr="00797162">
          <w:rPr>
            <w:noProof/>
            <w:color w:val="0000FF"/>
            <w:sz w:val="20"/>
            <w:u w:val="single"/>
            <w:vertAlign w:val="superscript"/>
          </w:rPr>
          <w:t>[1]</w:t>
        </w:r>
      </w:hyperlink>
      <w:r w:rsidR="00BF22EA" w:rsidRPr="00797162">
        <w:rPr>
          <w:noProof/>
        </w:rPr>
        <w:tab/>
      </w:r>
      <w:r w:rsidR="00BF22EA" w:rsidRPr="00797162">
        <w:rPr>
          <w:noProof/>
          <w:sz w:val="20"/>
        </w:rPr>
        <w:t>Rubriigi „Muud halduskulud“ assigneeringud täidetakse hiljem.</w:t>
      </w:r>
    </w:p>
    <w:p w14:paraId="4A538DD9" w14:textId="77777777" w:rsidR="00BF22EA" w:rsidRPr="00797162" w:rsidRDefault="00D53C47" w:rsidP="00BF22EA">
      <w:pPr>
        <w:spacing w:before="0" w:after="0"/>
        <w:ind w:left="720" w:hanging="720"/>
        <w:rPr>
          <w:rFonts w:eastAsia="Times New Roman"/>
          <w:noProof/>
          <w:sz w:val="20"/>
          <w:szCs w:val="20"/>
        </w:rPr>
      </w:pPr>
      <w:hyperlink r:id="rId25" w:anchor="_ftnref2" w:history="1">
        <w:r w:rsidR="00BF22EA" w:rsidRPr="00797162">
          <w:rPr>
            <w:noProof/>
            <w:color w:val="0000FF"/>
            <w:sz w:val="20"/>
            <w:u w:val="single"/>
            <w:vertAlign w:val="superscript"/>
          </w:rPr>
          <w:t>[2]</w:t>
        </w:r>
      </w:hyperlink>
      <w:r w:rsidR="00BF22EA" w:rsidRPr="00797162">
        <w:rPr>
          <w:noProof/>
        </w:rPr>
        <w:tab/>
      </w:r>
      <w:r w:rsidR="00BF22EA" w:rsidRPr="00797162">
        <w:rPr>
          <w:noProof/>
          <w:sz w:val="20"/>
        </w:rPr>
        <w:t>Rubriigi „Muud halduskulud“ assigneeringud täidetakse hiljem.</w:t>
      </w:r>
    </w:p>
    <w:p w14:paraId="0275A52A" w14:textId="77777777" w:rsidR="00BF22EA" w:rsidRPr="00797162" w:rsidRDefault="00BF22EA" w:rsidP="00BF22EA">
      <w:pPr>
        <w:rPr>
          <w:noProof/>
        </w:rPr>
      </w:pPr>
    </w:p>
    <w:p w14:paraId="764DDBE0" w14:textId="77777777" w:rsidR="00BF22EA" w:rsidRPr="00797162" w:rsidRDefault="00BF22EA" w:rsidP="00BF22EA">
      <w:pPr>
        <w:spacing w:after="40"/>
        <w:rPr>
          <w:noProof/>
          <w:sz w:val="22"/>
        </w:rPr>
      </w:pPr>
    </w:p>
    <w:p w14:paraId="23F9133F" w14:textId="77777777" w:rsidR="00BF22EA" w:rsidRPr="00797162" w:rsidRDefault="00BF22EA" w:rsidP="00BF22EA">
      <w:pPr>
        <w:keepNext/>
        <w:tabs>
          <w:tab w:val="left" w:pos="850"/>
        </w:tabs>
        <w:ind w:left="850" w:hanging="850"/>
        <w:outlineLvl w:val="2"/>
        <w:rPr>
          <w:i/>
          <w:noProof/>
        </w:rPr>
      </w:pPr>
      <w:bookmarkStart w:id="168" w:name="_Toc167220294"/>
      <w:bookmarkStart w:id="169" w:name="_Toc177549027"/>
      <w:r w:rsidRPr="00797162">
        <w:rPr>
          <w:i/>
          <w:noProof/>
        </w:rPr>
        <w:t>3.2.4.</w:t>
      </w:r>
      <w:r w:rsidRPr="00797162">
        <w:rPr>
          <w:noProof/>
        </w:rPr>
        <w:tab/>
      </w:r>
      <w:r w:rsidRPr="00797162">
        <w:rPr>
          <w:i/>
          <w:noProof/>
        </w:rPr>
        <w:t>Hinnanguline personalivajadus</w:t>
      </w:r>
      <w:bookmarkEnd w:id="168"/>
      <w:bookmarkEnd w:id="169"/>
      <w:r w:rsidRPr="00797162">
        <w:rPr>
          <w:i/>
          <w:noProof/>
        </w:rPr>
        <w:t xml:space="preserve"> </w:t>
      </w:r>
    </w:p>
    <w:p w14:paraId="25640D76" w14:textId="77777777" w:rsidR="00BF22EA" w:rsidRPr="00797162" w:rsidRDefault="00BF22EA" w:rsidP="00CA1FBC">
      <w:pPr>
        <w:pStyle w:val="ListDash1"/>
        <w:rPr>
          <w:noProof/>
        </w:rPr>
      </w:pPr>
      <w:r w:rsidRPr="00797162">
        <w:rPr>
          <w:rFonts w:ascii="Wingdings" w:hAnsi="Wingdings"/>
          <w:noProof/>
        </w:rPr>
        <w:t></w:t>
      </w:r>
      <w:r w:rsidRPr="00797162">
        <w:rPr>
          <w:noProof/>
        </w:rPr>
        <w:tab/>
        <w:t xml:space="preserve">Ettepanek/algatus ei nõua personali kasutamist </w:t>
      </w:r>
    </w:p>
    <w:p w14:paraId="0A653CD7" w14:textId="77777777" w:rsidR="00BF22EA" w:rsidRPr="00797162" w:rsidRDefault="00BF22EA" w:rsidP="00CA1FBC">
      <w:pPr>
        <w:pStyle w:val="ListDash1"/>
        <w:rPr>
          <w:noProof/>
        </w:rPr>
      </w:pPr>
      <w:r w:rsidRPr="00797162">
        <w:rPr>
          <w:rFonts w:ascii="Wingdings" w:hAnsi="Wingdings"/>
          <w:noProof/>
        </w:rPr>
        <w:t></w:t>
      </w:r>
      <w:r w:rsidRPr="00797162">
        <w:rPr>
          <w:noProof/>
        </w:rPr>
        <w:tab/>
        <w:t>Ettepanek/algatus nõuab personali kasutamist, mis toimub järgmiselt:</w:t>
      </w:r>
    </w:p>
    <w:p w14:paraId="68DBB6D4" w14:textId="77777777" w:rsidR="00BF22EA" w:rsidRPr="00797162" w:rsidRDefault="00BF22EA" w:rsidP="00BF22EA">
      <w:pPr>
        <w:keepNext/>
        <w:tabs>
          <w:tab w:val="left" w:pos="850"/>
        </w:tabs>
        <w:ind w:left="850" w:hanging="850"/>
        <w:outlineLvl w:val="2"/>
        <w:rPr>
          <w:i/>
          <w:noProof/>
        </w:rPr>
      </w:pPr>
      <w:bookmarkStart w:id="170" w:name="_Toc167220295"/>
      <w:bookmarkStart w:id="171" w:name="_Toc177549028"/>
      <w:r w:rsidRPr="00797162">
        <w:rPr>
          <w:i/>
          <w:noProof/>
        </w:rPr>
        <w:t>3.2.4,1.</w:t>
      </w:r>
      <w:r w:rsidRPr="00797162">
        <w:rPr>
          <w:noProof/>
        </w:rPr>
        <w:tab/>
      </w:r>
      <w:r w:rsidRPr="00797162">
        <w:rPr>
          <w:i/>
          <w:noProof/>
        </w:rPr>
        <w:t>Rahastatakse heakskiidetud eelarvest</w:t>
      </w:r>
      <w:bookmarkEnd w:id="170"/>
      <w:bookmarkEnd w:id="171"/>
    </w:p>
    <w:p w14:paraId="5001E218" w14:textId="77777777" w:rsidR="00BF22EA" w:rsidRPr="00797162" w:rsidRDefault="00BF22EA" w:rsidP="00BF22EA">
      <w:pPr>
        <w:spacing w:after="60"/>
        <w:jc w:val="right"/>
        <w:rPr>
          <w:i/>
          <w:noProof/>
          <w:sz w:val="20"/>
        </w:rPr>
      </w:pPr>
      <w:r w:rsidRPr="00797162">
        <w:rPr>
          <w:i/>
          <w:noProof/>
          <w:sz w:val="20"/>
        </w:rPr>
        <w:t>Hinnanguline väärtus täistööaja ekvivalendina</w:t>
      </w:r>
    </w:p>
    <w:p w14:paraId="734B8EF4" w14:textId="77777777" w:rsidR="00BF22EA" w:rsidRPr="00797162" w:rsidRDefault="00BF22EA" w:rsidP="00BF22EA">
      <w:pPr>
        <w:spacing w:after="60"/>
        <w:ind w:left="-142"/>
        <w:rPr>
          <w:noProof/>
          <w:color w:val="008000"/>
        </w:rPr>
      </w:pPr>
    </w:p>
    <w:tbl>
      <w:tblPr>
        <w:tblW w:w="5000" w:type="pct"/>
        <w:tblLook w:val="04A0" w:firstRow="1" w:lastRow="0" w:firstColumn="1" w:lastColumn="0" w:noHBand="0" w:noVBand="1"/>
      </w:tblPr>
      <w:tblGrid>
        <w:gridCol w:w="1378"/>
        <w:gridCol w:w="1283"/>
        <w:gridCol w:w="947"/>
        <w:gridCol w:w="947"/>
        <w:gridCol w:w="947"/>
        <w:gridCol w:w="948"/>
        <w:gridCol w:w="948"/>
        <w:gridCol w:w="948"/>
        <w:gridCol w:w="943"/>
      </w:tblGrid>
      <w:tr w:rsidR="00BF22EA" w:rsidRPr="00797162" w14:paraId="352C93C6" w14:textId="77777777" w:rsidTr="00BE7565">
        <w:trPr>
          <w:trHeight w:val="290"/>
        </w:trPr>
        <w:tc>
          <w:tcPr>
            <w:tcW w:w="1370" w:type="pct"/>
            <w:gridSpan w:val="2"/>
            <w:vMerge w:val="restart"/>
            <w:tcBorders>
              <w:top w:val="single" w:sz="8" w:space="0" w:color="auto"/>
              <w:left w:val="single" w:sz="8" w:space="0" w:color="auto"/>
              <w:bottom w:val="single" w:sz="8" w:space="0" w:color="000000" w:themeColor="text1"/>
              <w:right w:val="single" w:sz="8" w:space="0" w:color="000000" w:themeColor="text1"/>
            </w:tcBorders>
            <w:vAlign w:val="center"/>
            <w:hideMark/>
          </w:tcPr>
          <w:p w14:paraId="34B8177C" w14:textId="77777777" w:rsidR="00BF22EA" w:rsidRPr="00797162" w:rsidRDefault="00BF22EA" w:rsidP="00BE7565">
            <w:pPr>
              <w:spacing w:before="0" w:after="0"/>
              <w:jc w:val="center"/>
              <w:rPr>
                <w:b/>
                <w:noProof/>
                <w:sz w:val="18"/>
              </w:rPr>
            </w:pPr>
            <w:bookmarkStart w:id="172" w:name="_Hlk156979231"/>
            <w:r w:rsidRPr="00797162">
              <w:rPr>
                <w:b/>
                <w:noProof/>
                <w:sz w:val="18"/>
              </w:rPr>
              <w:t>HEAKSKIIDETUD EELARVE</w:t>
            </w:r>
          </w:p>
        </w:tc>
        <w:tc>
          <w:tcPr>
            <w:tcW w:w="519" w:type="pct"/>
            <w:tcBorders>
              <w:top w:val="single" w:sz="8" w:space="0" w:color="auto"/>
              <w:left w:val="nil"/>
              <w:bottom w:val="nil"/>
              <w:right w:val="single" w:sz="8" w:space="0" w:color="auto"/>
            </w:tcBorders>
            <w:vAlign w:val="center"/>
            <w:hideMark/>
          </w:tcPr>
          <w:p w14:paraId="1569B8CE" w14:textId="77777777" w:rsidR="00BF22EA" w:rsidRPr="00797162" w:rsidRDefault="00BF22EA" w:rsidP="00BE7565">
            <w:pPr>
              <w:spacing w:before="0" w:after="0"/>
              <w:jc w:val="center"/>
              <w:rPr>
                <w:noProof/>
                <w:sz w:val="20"/>
              </w:rPr>
            </w:pPr>
            <w:r w:rsidRPr="00797162">
              <w:rPr>
                <w:noProof/>
                <w:sz w:val="20"/>
              </w:rPr>
              <w:t>Aasta</w:t>
            </w:r>
          </w:p>
        </w:tc>
        <w:tc>
          <w:tcPr>
            <w:tcW w:w="519" w:type="pct"/>
            <w:tcBorders>
              <w:top w:val="single" w:sz="8" w:space="0" w:color="auto"/>
              <w:left w:val="nil"/>
              <w:bottom w:val="nil"/>
              <w:right w:val="single" w:sz="8" w:space="0" w:color="auto"/>
            </w:tcBorders>
            <w:vAlign w:val="center"/>
            <w:hideMark/>
          </w:tcPr>
          <w:p w14:paraId="13E378A0" w14:textId="77777777" w:rsidR="00BF22EA" w:rsidRPr="00797162" w:rsidRDefault="00BF22EA" w:rsidP="00BE7565">
            <w:pPr>
              <w:spacing w:before="0" w:after="0"/>
              <w:jc w:val="center"/>
              <w:rPr>
                <w:noProof/>
                <w:sz w:val="20"/>
              </w:rPr>
            </w:pPr>
            <w:r w:rsidRPr="00797162">
              <w:rPr>
                <w:noProof/>
                <w:sz w:val="20"/>
              </w:rPr>
              <w:t>Aasta</w:t>
            </w:r>
          </w:p>
        </w:tc>
        <w:tc>
          <w:tcPr>
            <w:tcW w:w="519" w:type="pct"/>
            <w:tcBorders>
              <w:top w:val="single" w:sz="8" w:space="0" w:color="auto"/>
              <w:left w:val="nil"/>
              <w:bottom w:val="nil"/>
              <w:right w:val="single" w:sz="8" w:space="0" w:color="auto"/>
            </w:tcBorders>
            <w:vAlign w:val="center"/>
            <w:hideMark/>
          </w:tcPr>
          <w:p w14:paraId="18975809" w14:textId="77777777" w:rsidR="00BF22EA" w:rsidRPr="00797162" w:rsidRDefault="00BF22EA" w:rsidP="00BE7565">
            <w:pPr>
              <w:spacing w:before="0" w:after="0"/>
              <w:jc w:val="center"/>
              <w:rPr>
                <w:noProof/>
                <w:sz w:val="20"/>
              </w:rPr>
            </w:pPr>
            <w:r w:rsidRPr="00797162">
              <w:rPr>
                <w:noProof/>
                <w:sz w:val="20"/>
              </w:rPr>
              <w:t>Aasta</w:t>
            </w:r>
          </w:p>
        </w:tc>
        <w:tc>
          <w:tcPr>
            <w:tcW w:w="519" w:type="pct"/>
            <w:tcBorders>
              <w:top w:val="single" w:sz="8" w:space="0" w:color="auto"/>
              <w:left w:val="nil"/>
              <w:bottom w:val="nil"/>
              <w:right w:val="single" w:sz="8" w:space="0" w:color="auto"/>
            </w:tcBorders>
            <w:vAlign w:val="center"/>
            <w:hideMark/>
          </w:tcPr>
          <w:p w14:paraId="011916CF" w14:textId="77777777" w:rsidR="00BF22EA" w:rsidRPr="00797162" w:rsidRDefault="00BF22EA" w:rsidP="00BE7565">
            <w:pPr>
              <w:spacing w:before="0" w:after="0"/>
              <w:jc w:val="center"/>
              <w:rPr>
                <w:noProof/>
                <w:sz w:val="20"/>
              </w:rPr>
            </w:pPr>
            <w:r w:rsidRPr="00797162">
              <w:rPr>
                <w:noProof/>
                <w:sz w:val="20"/>
              </w:rPr>
              <w:t>Aasta</w:t>
            </w:r>
          </w:p>
        </w:tc>
        <w:tc>
          <w:tcPr>
            <w:tcW w:w="519" w:type="pct"/>
            <w:tcBorders>
              <w:top w:val="single" w:sz="8" w:space="0" w:color="auto"/>
              <w:left w:val="nil"/>
              <w:bottom w:val="nil"/>
              <w:right w:val="single" w:sz="8" w:space="0" w:color="auto"/>
            </w:tcBorders>
            <w:vAlign w:val="center"/>
            <w:hideMark/>
          </w:tcPr>
          <w:p w14:paraId="3A8CA5E4" w14:textId="77777777" w:rsidR="00BF22EA" w:rsidRPr="00797162" w:rsidRDefault="00BF22EA" w:rsidP="00BE7565">
            <w:pPr>
              <w:spacing w:before="0" w:after="0"/>
              <w:jc w:val="center"/>
              <w:rPr>
                <w:noProof/>
                <w:sz w:val="20"/>
              </w:rPr>
            </w:pPr>
            <w:r w:rsidRPr="00797162">
              <w:rPr>
                <w:noProof/>
                <w:sz w:val="20"/>
              </w:rPr>
              <w:t>Aasta</w:t>
            </w:r>
          </w:p>
        </w:tc>
        <w:tc>
          <w:tcPr>
            <w:tcW w:w="519" w:type="pct"/>
            <w:tcBorders>
              <w:top w:val="single" w:sz="8" w:space="0" w:color="auto"/>
              <w:left w:val="nil"/>
              <w:bottom w:val="nil"/>
              <w:right w:val="single" w:sz="8" w:space="0" w:color="auto"/>
            </w:tcBorders>
            <w:vAlign w:val="center"/>
            <w:hideMark/>
          </w:tcPr>
          <w:p w14:paraId="40C4F97D" w14:textId="77777777" w:rsidR="00BF22EA" w:rsidRPr="00797162" w:rsidRDefault="00BF22EA" w:rsidP="00BE7565">
            <w:pPr>
              <w:spacing w:before="0" w:after="0"/>
              <w:jc w:val="center"/>
              <w:rPr>
                <w:noProof/>
                <w:sz w:val="20"/>
              </w:rPr>
            </w:pPr>
            <w:r w:rsidRPr="00797162">
              <w:rPr>
                <w:noProof/>
                <w:sz w:val="20"/>
              </w:rPr>
              <w:t>Aasta</w:t>
            </w:r>
          </w:p>
        </w:tc>
        <w:tc>
          <w:tcPr>
            <w:tcW w:w="516" w:type="pct"/>
            <w:tcBorders>
              <w:top w:val="single" w:sz="8" w:space="0" w:color="auto"/>
              <w:left w:val="nil"/>
              <w:bottom w:val="nil"/>
              <w:right w:val="single" w:sz="8" w:space="0" w:color="auto"/>
            </w:tcBorders>
            <w:vAlign w:val="center"/>
            <w:hideMark/>
          </w:tcPr>
          <w:p w14:paraId="5FA417A9" w14:textId="77777777" w:rsidR="00BF22EA" w:rsidRPr="00797162" w:rsidRDefault="00BF22EA" w:rsidP="00BE7565">
            <w:pPr>
              <w:spacing w:before="0" w:after="0"/>
              <w:jc w:val="center"/>
              <w:rPr>
                <w:noProof/>
                <w:sz w:val="20"/>
              </w:rPr>
            </w:pPr>
            <w:r w:rsidRPr="00797162">
              <w:rPr>
                <w:noProof/>
                <w:sz w:val="20"/>
              </w:rPr>
              <w:t>Aasta</w:t>
            </w:r>
          </w:p>
        </w:tc>
      </w:tr>
      <w:tr w:rsidR="00BF22EA" w:rsidRPr="00797162" w14:paraId="0B8D7B30" w14:textId="77777777" w:rsidTr="00BE7565">
        <w:trPr>
          <w:trHeight w:val="300"/>
        </w:trPr>
        <w:tc>
          <w:tcPr>
            <w:tcW w:w="1370" w:type="pct"/>
            <w:gridSpan w:val="2"/>
            <w:vMerge/>
            <w:vAlign w:val="center"/>
            <w:hideMark/>
          </w:tcPr>
          <w:p w14:paraId="0A2DE38E" w14:textId="77777777" w:rsidR="00BF22EA" w:rsidRPr="00797162" w:rsidRDefault="00BF22EA" w:rsidP="00BE7565">
            <w:pPr>
              <w:spacing w:before="0" w:after="0"/>
              <w:jc w:val="left"/>
              <w:rPr>
                <w:b/>
                <w:noProof/>
                <w:sz w:val="18"/>
              </w:rPr>
            </w:pPr>
          </w:p>
        </w:tc>
        <w:tc>
          <w:tcPr>
            <w:tcW w:w="519" w:type="pct"/>
            <w:tcBorders>
              <w:top w:val="nil"/>
              <w:left w:val="nil"/>
              <w:bottom w:val="single" w:sz="4" w:space="0" w:color="auto"/>
              <w:right w:val="single" w:sz="8" w:space="0" w:color="auto"/>
            </w:tcBorders>
            <w:vAlign w:val="center"/>
            <w:hideMark/>
          </w:tcPr>
          <w:p w14:paraId="1D7F8326" w14:textId="77777777" w:rsidR="00BF22EA" w:rsidRPr="00797162" w:rsidRDefault="00BF22EA" w:rsidP="00BE7565">
            <w:pPr>
              <w:spacing w:before="0" w:after="0"/>
              <w:jc w:val="center"/>
              <w:rPr>
                <w:b/>
                <w:noProof/>
                <w:sz w:val="20"/>
              </w:rPr>
            </w:pPr>
            <w:r w:rsidRPr="00797162">
              <w:rPr>
                <w:b/>
                <w:noProof/>
                <w:sz w:val="20"/>
              </w:rPr>
              <w:t>2028</w:t>
            </w:r>
          </w:p>
        </w:tc>
        <w:tc>
          <w:tcPr>
            <w:tcW w:w="519" w:type="pct"/>
            <w:tcBorders>
              <w:top w:val="nil"/>
              <w:left w:val="nil"/>
              <w:bottom w:val="single" w:sz="4" w:space="0" w:color="auto"/>
              <w:right w:val="single" w:sz="8" w:space="0" w:color="auto"/>
            </w:tcBorders>
            <w:vAlign w:val="center"/>
            <w:hideMark/>
          </w:tcPr>
          <w:p w14:paraId="3FD70400" w14:textId="77777777" w:rsidR="00BF22EA" w:rsidRPr="00797162" w:rsidRDefault="00BF22EA" w:rsidP="00BE7565">
            <w:pPr>
              <w:spacing w:before="0" w:after="0"/>
              <w:jc w:val="center"/>
              <w:rPr>
                <w:b/>
                <w:noProof/>
                <w:sz w:val="20"/>
              </w:rPr>
            </w:pPr>
            <w:r w:rsidRPr="00797162">
              <w:rPr>
                <w:b/>
                <w:noProof/>
                <w:sz w:val="20"/>
              </w:rPr>
              <w:t>2029</w:t>
            </w:r>
          </w:p>
        </w:tc>
        <w:tc>
          <w:tcPr>
            <w:tcW w:w="519" w:type="pct"/>
            <w:tcBorders>
              <w:top w:val="nil"/>
              <w:left w:val="nil"/>
              <w:bottom w:val="single" w:sz="4" w:space="0" w:color="auto"/>
              <w:right w:val="single" w:sz="8" w:space="0" w:color="auto"/>
            </w:tcBorders>
            <w:vAlign w:val="center"/>
            <w:hideMark/>
          </w:tcPr>
          <w:p w14:paraId="36C13A82" w14:textId="77777777" w:rsidR="00BF22EA" w:rsidRPr="00797162" w:rsidRDefault="00BF22EA" w:rsidP="00BE7565">
            <w:pPr>
              <w:spacing w:before="0" w:after="0"/>
              <w:jc w:val="center"/>
              <w:rPr>
                <w:b/>
                <w:noProof/>
                <w:sz w:val="20"/>
              </w:rPr>
            </w:pPr>
            <w:r w:rsidRPr="00797162">
              <w:rPr>
                <w:b/>
                <w:noProof/>
                <w:sz w:val="20"/>
              </w:rPr>
              <w:t>2030</w:t>
            </w:r>
          </w:p>
        </w:tc>
        <w:tc>
          <w:tcPr>
            <w:tcW w:w="519" w:type="pct"/>
            <w:tcBorders>
              <w:top w:val="nil"/>
              <w:left w:val="nil"/>
              <w:bottom w:val="single" w:sz="4" w:space="0" w:color="auto"/>
              <w:right w:val="single" w:sz="8" w:space="0" w:color="auto"/>
            </w:tcBorders>
            <w:vAlign w:val="center"/>
            <w:hideMark/>
          </w:tcPr>
          <w:p w14:paraId="2DEE6425" w14:textId="77777777" w:rsidR="00BF22EA" w:rsidRPr="00797162" w:rsidRDefault="00BF22EA" w:rsidP="00BE7565">
            <w:pPr>
              <w:spacing w:before="0" w:after="0"/>
              <w:jc w:val="center"/>
              <w:rPr>
                <w:b/>
                <w:noProof/>
                <w:sz w:val="20"/>
              </w:rPr>
            </w:pPr>
            <w:r w:rsidRPr="00797162">
              <w:rPr>
                <w:b/>
                <w:noProof/>
                <w:sz w:val="20"/>
              </w:rPr>
              <w:t>2031</w:t>
            </w:r>
          </w:p>
        </w:tc>
        <w:tc>
          <w:tcPr>
            <w:tcW w:w="519" w:type="pct"/>
            <w:tcBorders>
              <w:top w:val="nil"/>
              <w:left w:val="nil"/>
              <w:bottom w:val="single" w:sz="4" w:space="0" w:color="auto"/>
              <w:right w:val="single" w:sz="8" w:space="0" w:color="auto"/>
            </w:tcBorders>
            <w:vAlign w:val="center"/>
            <w:hideMark/>
          </w:tcPr>
          <w:p w14:paraId="2D84ADE5" w14:textId="77777777" w:rsidR="00BF22EA" w:rsidRPr="00797162" w:rsidRDefault="00BF22EA" w:rsidP="00BE7565">
            <w:pPr>
              <w:spacing w:before="0" w:after="0"/>
              <w:jc w:val="center"/>
              <w:rPr>
                <w:b/>
                <w:noProof/>
                <w:sz w:val="20"/>
              </w:rPr>
            </w:pPr>
            <w:r w:rsidRPr="00797162">
              <w:rPr>
                <w:b/>
                <w:noProof/>
                <w:sz w:val="20"/>
              </w:rPr>
              <w:t>2032</w:t>
            </w:r>
          </w:p>
        </w:tc>
        <w:tc>
          <w:tcPr>
            <w:tcW w:w="519" w:type="pct"/>
            <w:tcBorders>
              <w:top w:val="nil"/>
              <w:left w:val="nil"/>
              <w:bottom w:val="single" w:sz="4" w:space="0" w:color="auto"/>
              <w:right w:val="single" w:sz="8" w:space="0" w:color="auto"/>
            </w:tcBorders>
            <w:vAlign w:val="center"/>
            <w:hideMark/>
          </w:tcPr>
          <w:p w14:paraId="560FE47C" w14:textId="77777777" w:rsidR="00BF22EA" w:rsidRPr="00797162" w:rsidRDefault="00BF22EA" w:rsidP="00BE7565">
            <w:pPr>
              <w:spacing w:before="0" w:after="0"/>
              <w:jc w:val="center"/>
              <w:rPr>
                <w:b/>
                <w:noProof/>
                <w:sz w:val="20"/>
              </w:rPr>
            </w:pPr>
            <w:r w:rsidRPr="00797162">
              <w:rPr>
                <w:b/>
                <w:noProof/>
                <w:sz w:val="20"/>
              </w:rPr>
              <w:t>2033</w:t>
            </w:r>
          </w:p>
        </w:tc>
        <w:tc>
          <w:tcPr>
            <w:tcW w:w="516" w:type="pct"/>
            <w:tcBorders>
              <w:top w:val="nil"/>
              <w:left w:val="nil"/>
              <w:bottom w:val="single" w:sz="4" w:space="0" w:color="auto"/>
              <w:right w:val="single" w:sz="8" w:space="0" w:color="auto"/>
            </w:tcBorders>
            <w:vAlign w:val="center"/>
            <w:hideMark/>
          </w:tcPr>
          <w:p w14:paraId="3ABD4F06" w14:textId="77777777" w:rsidR="00BF22EA" w:rsidRPr="00797162" w:rsidRDefault="00BF22EA" w:rsidP="00BE7565">
            <w:pPr>
              <w:spacing w:before="0" w:after="0"/>
              <w:jc w:val="center"/>
              <w:rPr>
                <w:b/>
                <w:noProof/>
                <w:sz w:val="20"/>
              </w:rPr>
            </w:pPr>
            <w:r w:rsidRPr="00797162">
              <w:rPr>
                <w:b/>
                <w:noProof/>
                <w:sz w:val="20"/>
              </w:rPr>
              <w:t>2034</w:t>
            </w:r>
          </w:p>
        </w:tc>
      </w:tr>
      <w:tr w:rsidR="00BF22EA" w:rsidRPr="00797162" w14:paraId="3384A2E2" w14:textId="77777777" w:rsidTr="00BE7565">
        <w:trPr>
          <w:trHeight w:val="300"/>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14:paraId="4DBBAA64" w14:textId="77777777" w:rsidR="00BF22EA" w:rsidRPr="00797162" w:rsidRDefault="00BF22EA" w:rsidP="00BE7565">
            <w:pPr>
              <w:spacing w:before="0" w:after="0"/>
              <w:jc w:val="center"/>
              <w:rPr>
                <w:rFonts w:ascii="Wingdings" w:hAnsi="Wingdings"/>
                <w:b/>
                <w:bCs/>
                <w:noProof/>
                <w:sz w:val="16"/>
                <w:szCs w:val="16"/>
              </w:rPr>
            </w:pPr>
            <w:r w:rsidRPr="00797162">
              <w:rPr>
                <w:b/>
                <w:noProof/>
                <w:sz w:val="16"/>
              </w:rPr>
              <w:t xml:space="preserve"> Ametikohtade loeteluga ette nähtud ametikohad (ametnikud ja ajutised töötajad)</w:t>
            </w:r>
          </w:p>
        </w:tc>
      </w:tr>
      <w:tr w:rsidR="00BF22EA" w:rsidRPr="00797162" w14:paraId="27B89DEF" w14:textId="77777777" w:rsidTr="00BE7565">
        <w:trPr>
          <w:trHeight w:val="550"/>
        </w:trPr>
        <w:tc>
          <w:tcPr>
            <w:tcW w:w="1370" w:type="pct"/>
            <w:gridSpan w:val="2"/>
            <w:tcBorders>
              <w:top w:val="single" w:sz="4" w:space="0" w:color="auto"/>
              <w:left w:val="single" w:sz="8" w:space="0" w:color="auto"/>
              <w:bottom w:val="single" w:sz="8" w:space="0" w:color="auto"/>
              <w:right w:val="single" w:sz="8" w:space="0" w:color="000000" w:themeColor="text1"/>
            </w:tcBorders>
            <w:vAlign w:val="center"/>
            <w:hideMark/>
          </w:tcPr>
          <w:p w14:paraId="026988CE" w14:textId="7A6FD0E0" w:rsidR="00BF22EA" w:rsidRPr="00797162" w:rsidRDefault="00BF22EA" w:rsidP="00BE7565">
            <w:pPr>
              <w:spacing w:before="0" w:after="0"/>
              <w:ind w:firstLineChars="100" w:firstLine="160"/>
              <w:jc w:val="left"/>
              <w:rPr>
                <w:noProof/>
                <w:sz w:val="16"/>
              </w:rPr>
            </w:pPr>
            <w:r w:rsidRPr="00797162">
              <w:rPr>
                <w:noProof/>
                <w:sz w:val="16"/>
              </w:rPr>
              <w:t>20 01 02 01</w:t>
            </w:r>
            <w:r w:rsidRPr="00797162">
              <w:rPr>
                <w:rFonts w:ascii="Arial Narrow" w:hAnsi="Arial Narrow"/>
                <w:noProof/>
                <w:sz w:val="20"/>
              </w:rPr>
              <w:t xml:space="preserve"> </w:t>
            </w:r>
            <w:r w:rsidRPr="00797162">
              <w:rPr>
                <w:noProof/>
                <w:sz w:val="16"/>
              </w:rPr>
              <w:t>(komisjoni peakorteris ja esindustes)</w:t>
            </w:r>
          </w:p>
        </w:tc>
        <w:tc>
          <w:tcPr>
            <w:tcW w:w="519"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5B1EC01" w14:textId="77777777" w:rsidR="00BF22EA" w:rsidRPr="00797162" w:rsidRDefault="00BF22EA" w:rsidP="00BE7565">
            <w:pPr>
              <w:spacing w:before="0" w:after="0"/>
              <w:jc w:val="center"/>
              <w:rPr>
                <w:noProof/>
                <w:sz w:val="16"/>
              </w:rPr>
            </w:pPr>
            <w:r w:rsidRPr="00797162">
              <w:rPr>
                <w:noProof/>
                <w:sz w:val="16"/>
              </w:rPr>
              <w:t>22</w:t>
            </w:r>
          </w:p>
        </w:tc>
        <w:tc>
          <w:tcPr>
            <w:tcW w:w="519"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5B79970" w14:textId="77777777" w:rsidR="00BF22EA" w:rsidRPr="00797162" w:rsidRDefault="00BF22EA" w:rsidP="00BE7565">
            <w:pPr>
              <w:spacing w:before="0" w:after="0"/>
              <w:jc w:val="center"/>
              <w:rPr>
                <w:noProof/>
                <w:sz w:val="16"/>
              </w:rPr>
            </w:pPr>
            <w:r w:rsidRPr="00797162">
              <w:rPr>
                <w:noProof/>
                <w:sz w:val="16"/>
              </w:rPr>
              <w:t>22</w:t>
            </w:r>
          </w:p>
        </w:tc>
        <w:tc>
          <w:tcPr>
            <w:tcW w:w="519"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F863B92" w14:textId="77777777" w:rsidR="00BF22EA" w:rsidRPr="00797162" w:rsidRDefault="00BF22EA" w:rsidP="00BE7565">
            <w:pPr>
              <w:spacing w:before="0" w:after="0"/>
              <w:jc w:val="center"/>
              <w:rPr>
                <w:noProof/>
                <w:sz w:val="16"/>
              </w:rPr>
            </w:pPr>
            <w:r w:rsidRPr="00797162">
              <w:rPr>
                <w:noProof/>
                <w:sz w:val="16"/>
              </w:rPr>
              <w:t>22</w:t>
            </w:r>
          </w:p>
        </w:tc>
        <w:tc>
          <w:tcPr>
            <w:tcW w:w="519"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BA840BB" w14:textId="77777777" w:rsidR="00BF22EA" w:rsidRPr="00797162" w:rsidRDefault="00BF22EA" w:rsidP="00BE7565">
            <w:pPr>
              <w:spacing w:before="0" w:after="0"/>
              <w:jc w:val="center"/>
              <w:rPr>
                <w:noProof/>
                <w:sz w:val="16"/>
              </w:rPr>
            </w:pPr>
            <w:r w:rsidRPr="00797162">
              <w:rPr>
                <w:noProof/>
                <w:sz w:val="16"/>
              </w:rPr>
              <w:t>22</w:t>
            </w:r>
          </w:p>
        </w:tc>
        <w:tc>
          <w:tcPr>
            <w:tcW w:w="519"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0C826F7" w14:textId="77777777" w:rsidR="00BF22EA" w:rsidRPr="00797162" w:rsidRDefault="00BF22EA" w:rsidP="00BE7565">
            <w:pPr>
              <w:spacing w:before="0" w:after="0"/>
              <w:jc w:val="center"/>
              <w:rPr>
                <w:noProof/>
                <w:sz w:val="16"/>
              </w:rPr>
            </w:pPr>
            <w:r w:rsidRPr="00797162">
              <w:rPr>
                <w:noProof/>
                <w:sz w:val="16"/>
              </w:rPr>
              <w:t>22</w:t>
            </w:r>
          </w:p>
        </w:tc>
        <w:tc>
          <w:tcPr>
            <w:tcW w:w="519"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98BB42F" w14:textId="77777777" w:rsidR="00BF22EA" w:rsidRPr="00797162" w:rsidRDefault="00BF22EA" w:rsidP="00BE7565">
            <w:pPr>
              <w:spacing w:before="0" w:after="0"/>
              <w:jc w:val="center"/>
              <w:rPr>
                <w:noProof/>
                <w:sz w:val="16"/>
              </w:rPr>
            </w:pPr>
            <w:r w:rsidRPr="00797162">
              <w:rPr>
                <w:noProof/>
                <w:sz w:val="16"/>
              </w:rPr>
              <w:t>22</w:t>
            </w:r>
          </w:p>
        </w:tc>
        <w:tc>
          <w:tcPr>
            <w:tcW w:w="516"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F8C62D6" w14:textId="77777777" w:rsidR="00BF22EA" w:rsidRPr="00797162" w:rsidRDefault="00BF22EA" w:rsidP="00BE7565">
            <w:pPr>
              <w:spacing w:before="0" w:after="0"/>
              <w:jc w:val="center"/>
              <w:rPr>
                <w:noProof/>
                <w:sz w:val="16"/>
              </w:rPr>
            </w:pPr>
            <w:r w:rsidRPr="00797162">
              <w:rPr>
                <w:noProof/>
                <w:sz w:val="16"/>
              </w:rPr>
              <w:t>22</w:t>
            </w:r>
          </w:p>
        </w:tc>
      </w:tr>
      <w:tr w:rsidR="00BF22EA" w:rsidRPr="00797162" w14:paraId="38E31D3F" w14:textId="77777777" w:rsidTr="00BE7565">
        <w:trPr>
          <w:trHeight w:val="380"/>
        </w:trPr>
        <w:tc>
          <w:tcPr>
            <w:tcW w:w="1370" w:type="pct"/>
            <w:gridSpan w:val="2"/>
            <w:tcBorders>
              <w:top w:val="single" w:sz="8" w:space="0" w:color="auto"/>
              <w:left w:val="single" w:sz="8" w:space="0" w:color="auto"/>
              <w:bottom w:val="single" w:sz="8" w:space="0" w:color="auto"/>
              <w:right w:val="single" w:sz="8" w:space="0" w:color="000000" w:themeColor="text1"/>
            </w:tcBorders>
            <w:vAlign w:val="center"/>
            <w:hideMark/>
          </w:tcPr>
          <w:p w14:paraId="708FACC4" w14:textId="77777777" w:rsidR="00BF22EA" w:rsidRPr="00797162" w:rsidRDefault="00BF22EA" w:rsidP="00BE7565">
            <w:pPr>
              <w:spacing w:before="0" w:after="0"/>
              <w:ind w:firstLineChars="100" w:firstLine="160"/>
              <w:jc w:val="left"/>
              <w:rPr>
                <w:noProof/>
                <w:sz w:val="16"/>
              </w:rPr>
            </w:pPr>
            <w:r w:rsidRPr="00797162">
              <w:rPr>
                <w:noProof/>
                <w:sz w:val="16"/>
              </w:rPr>
              <w:t>20 01 02 03 (ELi delegatsioonides)</w:t>
            </w:r>
          </w:p>
        </w:tc>
        <w:tc>
          <w:tcPr>
            <w:tcW w:w="519" w:type="pct"/>
            <w:tcBorders>
              <w:top w:val="nil"/>
              <w:left w:val="nil"/>
              <w:bottom w:val="single" w:sz="8" w:space="0" w:color="auto"/>
              <w:right w:val="single" w:sz="8" w:space="0" w:color="auto"/>
            </w:tcBorders>
            <w:shd w:val="clear" w:color="auto" w:fill="D9D9D9" w:themeFill="background1" w:themeFillShade="D9"/>
            <w:vAlign w:val="center"/>
            <w:hideMark/>
          </w:tcPr>
          <w:p w14:paraId="52E3DE54" w14:textId="77777777" w:rsidR="00BF22EA" w:rsidRPr="00797162" w:rsidRDefault="00BF22EA" w:rsidP="00BE7565">
            <w:pPr>
              <w:spacing w:before="0" w:after="0"/>
              <w:jc w:val="center"/>
              <w:rPr>
                <w:noProof/>
                <w:sz w:val="16"/>
              </w:rPr>
            </w:pPr>
            <w:r w:rsidRPr="00797162">
              <w:rPr>
                <w:noProof/>
                <w:sz w:val="16"/>
              </w:rPr>
              <w:t>0</w:t>
            </w:r>
          </w:p>
        </w:tc>
        <w:tc>
          <w:tcPr>
            <w:tcW w:w="519" w:type="pct"/>
            <w:tcBorders>
              <w:top w:val="nil"/>
              <w:left w:val="nil"/>
              <w:bottom w:val="single" w:sz="8" w:space="0" w:color="auto"/>
              <w:right w:val="single" w:sz="8" w:space="0" w:color="auto"/>
            </w:tcBorders>
            <w:shd w:val="clear" w:color="auto" w:fill="D9D9D9" w:themeFill="background1" w:themeFillShade="D9"/>
            <w:vAlign w:val="center"/>
            <w:hideMark/>
          </w:tcPr>
          <w:p w14:paraId="0AD51190" w14:textId="77777777" w:rsidR="00BF22EA" w:rsidRPr="00797162" w:rsidRDefault="00BF22EA" w:rsidP="00BE7565">
            <w:pPr>
              <w:spacing w:before="0" w:after="0"/>
              <w:jc w:val="center"/>
              <w:rPr>
                <w:noProof/>
                <w:sz w:val="16"/>
              </w:rPr>
            </w:pPr>
            <w:r w:rsidRPr="00797162">
              <w:rPr>
                <w:noProof/>
                <w:sz w:val="16"/>
              </w:rPr>
              <w:t>0</w:t>
            </w:r>
          </w:p>
        </w:tc>
        <w:tc>
          <w:tcPr>
            <w:tcW w:w="519" w:type="pct"/>
            <w:tcBorders>
              <w:top w:val="nil"/>
              <w:left w:val="nil"/>
              <w:bottom w:val="single" w:sz="8" w:space="0" w:color="auto"/>
              <w:right w:val="single" w:sz="8" w:space="0" w:color="auto"/>
            </w:tcBorders>
            <w:shd w:val="clear" w:color="auto" w:fill="D9D9D9" w:themeFill="background1" w:themeFillShade="D9"/>
            <w:vAlign w:val="center"/>
            <w:hideMark/>
          </w:tcPr>
          <w:p w14:paraId="2B0F7B02" w14:textId="77777777" w:rsidR="00BF22EA" w:rsidRPr="00797162" w:rsidRDefault="00BF22EA" w:rsidP="00BE7565">
            <w:pPr>
              <w:spacing w:before="0" w:after="0"/>
              <w:jc w:val="center"/>
              <w:rPr>
                <w:noProof/>
                <w:sz w:val="16"/>
              </w:rPr>
            </w:pPr>
            <w:r w:rsidRPr="00797162">
              <w:rPr>
                <w:noProof/>
                <w:sz w:val="16"/>
              </w:rPr>
              <w:t>0</w:t>
            </w:r>
          </w:p>
        </w:tc>
        <w:tc>
          <w:tcPr>
            <w:tcW w:w="519" w:type="pct"/>
            <w:tcBorders>
              <w:top w:val="nil"/>
              <w:left w:val="nil"/>
              <w:bottom w:val="single" w:sz="8" w:space="0" w:color="auto"/>
              <w:right w:val="single" w:sz="8" w:space="0" w:color="auto"/>
            </w:tcBorders>
            <w:shd w:val="clear" w:color="auto" w:fill="D9D9D9" w:themeFill="background1" w:themeFillShade="D9"/>
            <w:vAlign w:val="center"/>
            <w:hideMark/>
          </w:tcPr>
          <w:p w14:paraId="0BEED053" w14:textId="77777777" w:rsidR="00BF22EA" w:rsidRPr="00797162" w:rsidRDefault="00BF22EA" w:rsidP="00BE7565">
            <w:pPr>
              <w:spacing w:before="0" w:after="0"/>
              <w:jc w:val="center"/>
              <w:rPr>
                <w:noProof/>
                <w:sz w:val="16"/>
              </w:rPr>
            </w:pPr>
            <w:r w:rsidRPr="00797162">
              <w:rPr>
                <w:noProof/>
                <w:sz w:val="16"/>
              </w:rPr>
              <w:t>0</w:t>
            </w:r>
          </w:p>
        </w:tc>
        <w:tc>
          <w:tcPr>
            <w:tcW w:w="519" w:type="pct"/>
            <w:tcBorders>
              <w:top w:val="nil"/>
              <w:left w:val="nil"/>
              <w:bottom w:val="single" w:sz="8" w:space="0" w:color="auto"/>
              <w:right w:val="single" w:sz="8" w:space="0" w:color="auto"/>
            </w:tcBorders>
            <w:shd w:val="clear" w:color="auto" w:fill="D9D9D9" w:themeFill="background1" w:themeFillShade="D9"/>
            <w:vAlign w:val="center"/>
            <w:hideMark/>
          </w:tcPr>
          <w:p w14:paraId="63BAB666" w14:textId="77777777" w:rsidR="00BF22EA" w:rsidRPr="00797162" w:rsidRDefault="00BF22EA" w:rsidP="00BE7565">
            <w:pPr>
              <w:spacing w:before="0" w:after="0"/>
              <w:jc w:val="center"/>
              <w:rPr>
                <w:noProof/>
                <w:sz w:val="16"/>
              </w:rPr>
            </w:pPr>
            <w:r w:rsidRPr="00797162">
              <w:rPr>
                <w:noProof/>
                <w:sz w:val="16"/>
              </w:rPr>
              <w:t>0</w:t>
            </w:r>
          </w:p>
        </w:tc>
        <w:tc>
          <w:tcPr>
            <w:tcW w:w="519" w:type="pct"/>
            <w:tcBorders>
              <w:top w:val="nil"/>
              <w:left w:val="nil"/>
              <w:bottom w:val="single" w:sz="8" w:space="0" w:color="auto"/>
              <w:right w:val="single" w:sz="8" w:space="0" w:color="auto"/>
            </w:tcBorders>
            <w:shd w:val="clear" w:color="auto" w:fill="D9D9D9" w:themeFill="background1" w:themeFillShade="D9"/>
            <w:vAlign w:val="center"/>
            <w:hideMark/>
          </w:tcPr>
          <w:p w14:paraId="0CF45461" w14:textId="77777777" w:rsidR="00BF22EA" w:rsidRPr="00797162" w:rsidRDefault="00BF22EA" w:rsidP="00BE7565">
            <w:pPr>
              <w:spacing w:before="0" w:after="0"/>
              <w:jc w:val="center"/>
              <w:rPr>
                <w:noProof/>
                <w:sz w:val="16"/>
              </w:rPr>
            </w:pPr>
            <w:r w:rsidRPr="00797162">
              <w:rPr>
                <w:noProof/>
                <w:sz w:val="16"/>
              </w:rPr>
              <w:t>0</w:t>
            </w:r>
          </w:p>
        </w:tc>
        <w:tc>
          <w:tcPr>
            <w:tcW w:w="516" w:type="pct"/>
            <w:tcBorders>
              <w:top w:val="nil"/>
              <w:left w:val="nil"/>
              <w:bottom w:val="single" w:sz="8" w:space="0" w:color="auto"/>
              <w:right w:val="single" w:sz="8" w:space="0" w:color="auto"/>
            </w:tcBorders>
            <w:shd w:val="clear" w:color="auto" w:fill="D9D9D9" w:themeFill="background1" w:themeFillShade="D9"/>
            <w:vAlign w:val="center"/>
            <w:hideMark/>
          </w:tcPr>
          <w:p w14:paraId="1455C13E" w14:textId="77777777" w:rsidR="00BF22EA" w:rsidRPr="00797162" w:rsidRDefault="00BF22EA" w:rsidP="00BE7565">
            <w:pPr>
              <w:spacing w:before="0" w:after="0"/>
              <w:jc w:val="center"/>
              <w:rPr>
                <w:noProof/>
                <w:sz w:val="16"/>
              </w:rPr>
            </w:pPr>
            <w:r w:rsidRPr="00797162">
              <w:rPr>
                <w:noProof/>
                <w:sz w:val="16"/>
              </w:rPr>
              <w:t>0</w:t>
            </w:r>
          </w:p>
        </w:tc>
      </w:tr>
      <w:tr w:rsidR="00BF22EA" w:rsidRPr="00797162" w14:paraId="64E13A3E" w14:textId="77777777" w:rsidTr="00BE7565">
        <w:trPr>
          <w:trHeight w:val="410"/>
        </w:trPr>
        <w:tc>
          <w:tcPr>
            <w:tcW w:w="1370" w:type="pct"/>
            <w:gridSpan w:val="2"/>
            <w:tcBorders>
              <w:top w:val="single" w:sz="8" w:space="0" w:color="auto"/>
              <w:left w:val="single" w:sz="8" w:space="0" w:color="auto"/>
              <w:bottom w:val="single" w:sz="8" w:space="0" w:color="auto"/>
              <w:right w:val="single" w:sz="8" w:space="0" w:color="000000" w:themeColor="text1"/>
            </w:tcBorders>
            <w:vAlign w:val="center"/>
            <w:hideMark/>
          </w:tcPr>
          <w:p w14:paraId="7BE5DCCA" w14:textId="77777777" w:rsidR="00BF22EA" w:rsidRPr="00797162" w:rsidRDefault="00BF22EA" w:rsidP="00BE7565">
            <w:pPr>
              <w:spacing w:before="0" w:after="0"/>
              <w:ind w:firstLineChars="100" w:firstLine="160"/>
              <w:jc w:val="left"/>
              <w:rPr>
                <w:noProof/>
                <w:sz w:val="16"/>
              </w:rPr>
            </w:pPr>
            <w:r w:rsidRPr="00797162">
              <w:rPr>
                <w:noProof/>
                <w:sz w:val="16"/>
              </w:rPr>
              <w:t>(Kaudne teadustegevus)</w:t>
            </w:r>
          </w:p>
        </w:tc>
        <w:tc>
          <w:tcPr>
            <w:tcW w:w="519" w:type="pct"/>
            <w:tcBorders>
              <w:top w:val="nil"/>
              <w:left w:val="nil"/>
              <w:bottom w:val="single" w:sz="8" w:space="0" w:color="auto"/>
              <w:right w:val="single" w:sz="8" w:space="0" w:color="auto"/>
            </w:tcBorders>
            <w:shd w:val="clear" w:color="auto" w:fill="D9D9D9" w:themeFill="background1" w:themeFillShade="D9"/>
            <w:vAlign w:val="center"/>
            <w:hideMark/>
          </w:tcPr>
          <w:p w14:paraId="3C542898" w14:textId="77777777" w:rsidR="00BF22EA" w:rsidRPr="00797162" w:rsidRDefault="00BF22EA" w:rsidP="00BE7565">
            <w:pPr>
              <w:spacing w:before="0" w:after="0"/>
              <w:jc w:val="center"/>
              <w:rPr>
                <w:noProof/>
                <w:sz w:val="16"/>
              </w:rPr>
            </w:pPr>
            <w:r w:rsidRPr="00797162">
              <w:rPr>
                <w:noProof/>
                <w:sz w:val="16"/>
              </w:rPr>
              <w:t>0</w:t>
            </w:r>
          </w:p>
        </w:tc>
        <w:tc>
          <w:tcPr>
            <w:tcW w:w="519" w:type="pct"/>
            <w:tcBorders>
              <w:top w:val="nil"/>
              <w:left w:val="nil"/>
              <w:bottom w:val="single" w:sz="8" w:space="0" w:color="auto"/>
              <w:right w:val="single" w:sz="8" w:space="0" w:color="auto"/>
            </w:tcBorders>
            <w:shd w:val="clear" w:color="auto" w:fill="D9D9D9" w:themeFill="background1" w:themeFillShade="D9"/>
            <w:vAlign w:val="center"/>
            <w:hideMark/>
          </w:tcPr>
          <w:p w14:paraId="03A628C3" w14:textId="77777777" w:rsidR="00BF22EA" w:rsidRPr="00797162" w:rsidRDefault="00BF22EA" w:rsidP="00BE7565">
            <w:pPr>
              <w:spacing w:before="0" w:after="0"/>
              <w:jc w:val="center"/>
              <w:rPr>
                <w:noProof/>
                <w:sz w:val="16"/>
              </w:rPr>
            </w:pPr>
            <w:r w:rsidRPr="00797162">
              <w:rPr>
                <w:noProof/>
                <w:sz w:val="16"/>
              </w:rPr>
              <w:t>0</w:t>
            </w:r>
          </w:p>
        </w:tc>
        <w:tc>
          <w:tcPr>
            <w:tcW w:w="519" w:type="pct"/>
            <w:tcBorders>
              <w:top w:val="nil"/>
              <w:left w:val="nil"/>
              <w:bottom w:val="single" w:sz="8" w:space="0" w:color="auto"/>
              <w:right w:val="single" w:sz="8" w:space="0" w:color="auto"/>
            </w:tcBorders>
            <w:shd w:val="clear" w:color="auto" w:fill="D9D9D9" w:themeFill="background1" w:themeFillShade="D9"/>
            <w:vAlign w:val="center"/>
            <w:hideMark/>
          </w:tcPr>
          <w:p w14:paraId="187676A4" w14:textId="77777777" w:rsidR="00BF22EA" w:rsidRPr="00797162" w:rsidRDefault="00BF22EA" w:rsidP="00BE7565">
            <w:pPr>
              <w:spacing w:before="0" w:after="0"/>
              <w:jc w:val="center"/>
              <w:rPr>
                <w:noProof/>
                <w:sz w:val="16"/>
              </w:rPr>
            </w:pPr>
            <w:r w:rsidRPr="00797162">
              <w:rPr>
                <w:noProof/>
                <w:sz w:val="16"/>
              </w:rPr>
              <w:t>0</w:t>
            </w:r>
          </w:p>
        </w:tc>
        <w:tc>
          <w:tcPr>
            <w:tcW w:w="519" w:type="pct"/>
            <w:tcBorders>
              <w:top w:val="nil"/>
              <w:left w:val="nil"/>
              <w:bottom w:val="single" w:sz="8" w:space="0" w:color="auto"/>
              <w:right w:val="single" w:sz="8" w:space="0" w:color="auto"/>
            </w:tcBorders>
            <w:shd w:val="clear" w:color="auto" w:fill="D9D9D9" w:themeFill="background1" w:themeFillShade="D9"/>
            <w:vAlign w:val="center"/>
            <w:hideMark/>
          </w:tcPr>
          <w:p w14:paraId="13B23517" w14:textId="77777777" w:rsidR="00BF22EA" w:rsidRPr="00797162" w:rsidRDefault="00BF22EA" w:rsidP="00BE7565">
            <w:pPr>
              <w:spacing w:before="0" w:after="0"/>
              <w:jc w:val="center"/>
              <w:rPr>
                <w:noProof/>
                <w:sz w:val="16"/>
              </w:rPr>
            </w:pPr>
            <w:r w:rsidRPr="00797162">
              <w:rPr>
                <w:noProof/>
                <w:sz w:val="16"/>
              </w:rPr>
              <w:t>0</w:t>
            </w:r>
          </w:p>
        </w:tc>
        <w:tc>
          <w:tcPr>
            <w:tcW w:w="519" w:type="pct"/>
            <w:tcBorders>
              <w:top w:val="nil"/>
              <w:left w:val="nil"/>
              <w:bottom w:val="single" w:sz="8" w:space="0" w:color="auto"/>
              <w:right w:val="single" w:sz="8" w:space="0" w:color="auto"/>
            </w:tcBorders>
            <w:shd w:val="clear" w:color="auto" w:fill="D9D9D9" w:themeFill="background1" w:themeFillShade="D9"/>
            <w:vAlign w:val="center"/>
            <w:hideMark/>
          </w:tcPr>
          <w:p w14:paraId="36AB8015" w14:textId="77777777" w:rsidR="00BF22EA" w:rsidRPr="00797162" w:rsidRDefault="00BF22EA" w:rsidP="00BE7565">
            <w:pPr>
              <w:spacing w:before="0" w:after="0"/>
              <w:jc w:val="center"/>
              <w:rPr>
                <w:noProof/>
                <w:sz w:val="16"/>
              </w:rPr>
            </w:pPr>
            <w:r w:rsidRPr="00797162">
              <w:rPr>
                <w:noProof/>
                <w:sz w:val="16"/>
              </w:rPr>
              <w:t>0</w:t>
            </w:r>
          </w:p>
        </w:tc>
        <w:tc>
          <w:tcPr>
            <w:tcW w:w="519" w:type="pct"/>
            <w:tcBorders>
              <w:top w:val="nil"/>
              <w:left w:val="nil"/>
              <w:bottom w:val="single" w:sz="8" w:space="0" w:color="auto"/>
              <w:right w:val="single" w:sz="8" w:space="0" w:color="auto"/>
            </w:tcBorders>
            <w:shd w:val="clear" w:color="auto" w:fill="D9D9D9" w:themeFill="background1" w:themeFillShade="D9"/>
            <w:vAlign w:val="center"/>
            <w:hideMark/>
          </w:tcPr>
          <w:p w14:paraId="6C5D7F77" w14:textId="77777777" w:rsidR="00BF22EA" w:rsidRPr="00797162" w:rsidRDefault="00BF22EA" w:rsidP="00BE7565">
            <w:pPr>
              <w:spacing w:before="0" w:after="0"/>
              <w:jc w:val="center"/>
              <w:rPr>
                <w:noProof/>
                <w:sz w:val="16"/>
              </w:rPr>
            </w:pPr>
            <w:r w:rsidRPr="00797162">
              <w:rPr>
                <w:noProof/>
                <w:sz w:val="16"/>
              </w:rPr>
              <w:t>0</w:t>
            </w:r>
          </w:p>
        </w:tc>
        <w:tc>
          <w:tcPr>
            <w:tcW w:w="516" w:type="pct"/>
            <w:tcBorders>
              <w:top w:val="nil"/>
              <w:left w:val="nil"/>
              <w:bottom w:val="single" w:sz="8" w:space="0" w:color="auto"/>
              <w:right w:val="single" w:sz="8" w:space="0" w:color="auto"/>
            </w:tcBorders>
            <w:shd w:val="clear" w:color="auto" w:fill="D9D9D9" w:themeFill="background1" w:themeFillShade="D9"/>
            <w:vAlign w:val="center"/>
            <w:hideMark/>
          </w:tcPr>
          <w:p w14:paraId="59EFF044" w14:textId="77777777" w:rsidR="00BF22EA" w:rsidRPr="00797162" w:rsidRDefault="00BF22EA" w:rsidP="00BE7565">
            <w:pPr>
              <w:spacing w:before="0" w:after="0"/>
              <w:jc w:val="center"/>
              <w:rPr>
                <w:noProof/>
                <w:sz w:val="16"/>
              </w:rPr>
            </w:pPr>
            <w:r w:rsidRPr="00797162">
              <w:rPr>
                <w:noProof/>
                <w:sz w:val="16"/>
              </w:rPr>
              <w:t>0</w:t>
            </w:r>
          </w:p>
        </w:tc>
      </w:tr>
      <w:tr w:rsidR="00BF22EA" w:rsidRPr="00797162" w14:paraId="01451805" w14:textId="77777777" w:rsidTr="00BE7565">
        <w:trPr>
          <w:trHeight w:val="380"/>
        </w:trPr>
        <w:tc>
          <w:tcPr>
            <w:tcW w:w="1370" w:type="pct"/>
            <w:gridSpan w:val="2"/>
            <w:tcBorders>
              <w:top w:val="single" w:sz="8" w:space="0" w:color="auto"/>
              <w:left w:val="single" w:sz="8" w:space="0" w:color="auto"/>
              <w:bottom w:val="single" w:sz="8" w:space="0" w:color="auto"/>
              <w:right w:val="single" w:sz="8" w:space="0" w:color="000000" w:themeColor="text1"/>
            </w:tcBorders>
            <w:vAlign w:val="center"/>
            <w:hideMark/>
          </w:tcPr>
          <w:p w14:paraId="2F8438B0" w14:textId="77777777" w:rsidR="00BF22EA" w:rsidRPr="00797162" w:rsidRDefault="00BF22EA" w:rsidP="00BE7565">
            <w:pPr>
              <w:spacing w:before="0" w:after="0"/>
              <w:ind w:firstLineChars="100" w:firstLine="160"/>
              <w:jc w:val="left"/>
              <w:rPr>
                <w:noProof/>
                <w:sz w:val="16"/>
              </w:rPr>
            </w:pPr>
            <w:r w:rsidRPr="00797162">
              <w:rPr>
                <w:noProof/>
                <w:sz w:val="16"/>
              </w:rPr>
              <w:t>(Otsene teadustegevus)</w:t>
            </w:r>
            <w:r w:rsidRPr="00797162">
              <w:rPr>
                <w:rStyle w:val="FootnoteReference"/>
                <w:noProof/>
              </w:rPr>
              <w:footnoteReference w:id="54"/>
            </w:r>
          </w:p>
        </w:tc>
        <w:tc>
          <w:tcPr>
            <w:tcW w:w="519"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7E7F7B72" w14:textId="77777777" w:rsidR="00BF22EA" w:rsidRPr="00797162" w:rsidRDefault="00BF22EA" w:rsidP="00BE7565">
            <w:pPr>
              <w:spacing w:before="0" w:after="0"/>
              <w:jc w:val="center"/>
              <w:rPr>
                <w:noProof/>
                <w:sz w:val="16"/>
              </w:rPr>
            </w:pPr>
            <w:r w:rsidRPr="00797162">
              <w:rPr>
                <w:noProof/>
                <w:sz w:val="16"/>
              </w:rPr>
              <w:t>27</w:t>
            </w:r>
          </w:p>
        </w:tc>
        <w:tc>
          <w:tcPr>
            <w:tcW w:w="519"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BAFB780" w14:textId="77777777" w:rsidR="00BF22EA" w:rsidRPr="00797162" w:rsidRDefault="00BF22EA" w:rsidP="00BE7565">
            <w:pPr>
              <w:spacing w:before="0" w:after="0"/>
              <w:jc w:val="center"/>
              <w:rPr>
                <w:noProof/>
                <w:sz w:val="16"/>
              </w:rPr>
            </w:pPr>
            <w:r w:rsidRPr="00797162">
              <w:rPr>
                <w:noProof/>
                <w:sz w:val="16"/>
              </w:rPr>
              <w:t>27</w:t>
            </w:r>
          </w:p>
        </w:tc>
        <w:tc>
          <w:tcPr>
            <w:tcW w:w="519"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F1FA9B4" w14:textId="77777777" w:rsidR="00BF22EA" w:rsidRPr="00797162" w:rsidRDefault="00BF22EA" w:rsidP="00BE7565">
            <w:pPr>
              <w:spacing w:before="0" w:after="0"/>
              <w:jc w:val="center"/>
              <w:rPr>
                <w:noProof/>
                <w:sz w:val="16"/>
              </w:rPr>
            </w:pPr>
            <w:r w:rsidRPr="00797162">
              <w:rPr>
                <w:noProof/>
                <w:sz w:val="16"/>
              </w:rPr>
              <w:t>27</w:t>
            </w:r>
          </w:p>
        </w:tc>
        <w:tc>
          <w:tcPr>
            <w:tcW w:w="519"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CBE3024" w14:textId="77777777" w:rsidR="00BF22EA" w:rsidRPr="00797162" w:rsidRDefault="00BF22EA" w:rsidP="00BE7565">
            <w:pPr>
              <w:spacing w:before="0" w:after="0"/>
              <w:jc w:val="center"/>
              <w:rPr>
                <w:noProof/>
                <w:sz w:val="16"/>
              </w:rPr>
            </w:pPr>
            <w:r w:rsidRPr="00797162">
              <w:rPr>
                <w:noProof/>
                <w:sz w:val="16"/>
              </w:rPr>
              <w:t>27</w:t>
            </w:r>
          </w:p>
        </w:tc>
        <w:tc>
          <w:tcPr>
            <w:tcW w:w="519"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7498F13" w14:textId="77777777" w:rsidR="00BF22EA" w:rsidRPr="00797162" w:rsidRDefault="00BF22EA" w:rsidP="00BE7565">
            <w:pPr>
              <w:spacing w:before="0" w:after="0"/>
              <w:jc w:val="center"/>
              <w:rPr>
                <w:noProof/>
                <w:sz w:val="16"/>
              </w:rPr>
            </w:pPr>
            <w:r w:rsidRPr="00797162">
              <w:rPr>
                <w:noProof/>
                <w:sz w:val="16"/>
              </w:rPr>
              <w:t>27</w:t>
            </w:r>
          </w:p>
        </w:tc>
        <w:tc>
          <w:tcPr>
            <w:tcW w:w="519"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C029601" w14:textId="77777777" w:rsidR="00BF22EA" w:rsidRPr="00797162" w:rsidRDefault="00BF22EA" w:rsidP="00BE7565">
            <w:pPr>
              <w:spacing w:before="0" w:after="0"/>
              <w:jc w:val="center"/>
              <w:rPr>
                <w:noProof/>
                <w:sz w:val="16"/>
              </w:rPr>
            </w:pPr>
            <w:r w:rsidRPr="00797162">
              <w:rPr>
                <w:noProof/>
                <w:sz w:val="16"/>
              </w:rPr>
              <w:t>27</w:t>
            </w:r>
          </w:p>
        </w:tc>
        <w:tc>
          <w:tcPr>
            <w:tcW w:w="516"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A4196DB" w14:textId="77777777" w:rsidR="00BF22EA" w:rsidRPr="00797162" w:rsidRDefault="00BF22EA" w:rsidP="00BE7565">
            <w:pPr>
              <w:spacing w:before="0" w:after="0"/>
              <w:jc w:val="center"/>
              <w:rPr>
                <w:noProof/>
                <w:sz w:val="16"/>
              </w:rPr>
            </w:pPr>
            <w:r w:rsidRPr="00797162">
              <w:rPr>
                <w:noProof/>
                <w:sz w:val="16"/>
              </w:rPr>
              <w:t>27</w:t>
            </w:r>
          </w:p>
        </w:tc>
      </w:tr>
      <w:tr w:rsidR="00BF22EA" w:rsidRPr="00797162" w14:paraId="7ADBF504" w14:textId="77777777" w:rsidTr="00BE7565">
        <w:trPr>
          <w:trHeight w:val="380"/>
        </w:trPr>
        <w:tc>
          <w:tcPr>
            <w:tcW w:w="1370" w:type="pct"/>
            <w:gridSpan w:val="2"/>
            <w:tcBorders>
              <w:top w:val="single" w:sz="8" w:space="0" w:color="auto"/>
              <w:left w:val="single" w:sz="8" w:space="0" w:color="auto"/>
              <w:bottom w:val="single" w:sz="4" w:space="0" w:color="auto"/>
              <w:right w:val="single" w:sz="8" w:space="0" w:color="000000" w:themeColor="text1"/>
            </w:tcBorders>
            <w:vAlign w:val="center"/>
            <w:hideMark/>
          </w:tcPr>
          <w:p w14:paraId="52B71DBB" w14:textId="77777777" w:rsidR="00BF22EA" w:rsidRPr="00797162" w:rsidRDefault="00BF22EA" w:rsidP="00BE7565">
            <w:pPr>
              <w:spacing w:before="0" w:after="0"/>
              <w:ind w:firstLineChars="100" w:firstLine="160"/>
              <w:jc w:val="left"/>
              <w:rPr>
                <w:noProof/>
                <w:sz w:val="16"/>
              </w:rPr>
            </w:pPr>
            <w:r w:rsidRPr="00797162">
              <w:rPr>
                <w:noProof/>
                <w:sz w:val="16"/>
              </w:rPr>
              <w:t>Muud eelarveread (märkige)</w:t>
            </w:r>
          </w:p>
        </w:tc>
        <w:tc>
          <w:tcPr>
            <w:tcW w:w="519" w:type="pct"/>
            <w:tcBorders>
              <w:top w:val="nil"/>
              <w:left w:val="nil"/>
              <w:bottom w:val="single" w:sz="4" w:space="0" w:color="auto"/>
              <w:right w:val="single" w:sz="8" w:space="0" w:color="auto"/>
            </w:tcBorders>
            <w:shd w:val="clear" w:color="auto" w:fill="D9D9D9" w:themeFill="background1" w:themeFillShade="D9"/>
            <w:vAlign w:val="center"/>
            <w:hideMark/>
          </w:tcPr>
          <w:p w14:paraId="55FC6553" w14:textId="77777777" w:rsidR="00BF22EA" w:rsidRPr="00797162" w:rsidRDefault="00BF22EA" w:rsidP="00BE7565">
            <w:pPr>
              <w:spacing w:before="0" w:after="0"/>
              <w:jc w:val="center"/>
              <w:rPr>
                <w:noProof/>
                <w:sz w:val="16"/>
              </w:rPr>
            </w:pPr>
            <w:r w:rsidRPr="00797162">
              <w:rPr>
                <w:noProof/>
                <w:sz w:val="16"/>
              </w:rPr>
              <w:t>0</w:t>
            </w:r>
          </w:p>
        </w:tc>
        <w:tc>
          <w:tcPr>
            <w:tcW w:w="519" w:type="pct"/>
            <w:tcBorders>
              <w:top w:val="nil"/>
              <w:left w:val="nil"/>
              <w:bottom w:val="single" w:sz="4" w:space="0" w:color="auto"/>
              <w:right w:val="single" w:sz="8" w:space="0" w:color="auto"/>
            </w:tcBorders>
            <w:shd w:val="clear" w:color="auto" w:fill="D9D9D9" w:themeFill="background1" w:themeFillShade="D9"/>
            <w:vAlign w:val="center"/>
            <w:hideMark/>
          </w:tcPr>
          <w:p w14:paraId="4EC81704" w14:textId="77777777" w:rsidR="00BF22EA" w:rsidRPr="00797162" w:rsidRDefault="00BF22EA" w:rsidP="00BE7565">
            <w:pPr>
              <w:spacing w:before="0" w:after="0"/>
              <w:jc w:val="center"/>
              <w:rPr>
                <w:noProof/>
                <w:sz w:val="16"/>
              </w:rPr>
            </w:pPr>
            <w:r w:rsidRPr="00797162">
              <w:rPr>
                <w:noProof/>
                <w:sz w:val="16"/>
              </w:rPr>
              <w:t>0</w:t>
            </w:r>
          </w:p>
        </w:tc>
        <w:tc>
          <w:tcPr>
            <w:tcW w:w="519" w:type="pct"/>
            <w:tcBorders>
              <w:top w:val="nil"/>
              <w:left w:val="nil"/>
              <w:bottom w:val="single" w:sz="4" w:space="0" w:color="auto"/>
              <w:right w:val="single" w:sz="8" w:space="0" w:color="auto"/>
            </w:tcBorders>
            <w:shd w:val="clear" w:color="auto" w:fill="D9D9D9" w:themeFill="background1" w:themeFillShade="D9"/>
            <w:vAlign w:val="center"/>
            <w:hideMark/>
          </w:tcPr>
          <w:p w14:paraId="6D27C393" w14:textId="77777777" w:rsidR="00BF22EA" w:rsidRPr="00797162" w:rsidRDefault="00BF22EA" w:rsidP="00BE7565">
            <w:pPr>
              <w:spacing w:before="0" w:after="0"/>
              <w:jc w:val="center"/>
              <w:rPr>
                <w:noProof/>
                <w:sz w:val="16"/>
              </w:rPr>
            </w:pPr>
            <w:r w:rsidRPr="00797162">
              <w:rPr>
                <w:noProof/>
                <w:sz w:val="16"/>
              </w:rPr>
              <w:t>0</w:t>
            </w:r>
          </w:p>
        </w:tc>
        <w:tc>
          <w:tcPr>
            <w:tcW w:w="519" w:type="pct"/>
            <w:tcBorders>
              <w:top w:val="nil"/>
              <w:left w:val="nil"/>
              <w:bottom w:val="single" w:sz="4" w:space="0" w:color="auto"/>
              <w:right w:val="single" w:sz="8" w:space="0" w:color="auto"/>
            </w:tcBorders>
            <w:shd w:val="clear" w:color="auto" w:fill="D9D9D9" w:themeFill="background1" w:themeFillShade="D9"/>
            <w:vAlign w:val="center"/>
            <w:hideMark/>
          </w:tcPr>
          <w:p w14:paraId="2986D76A" w14:textId="77777777" w:rsidR="00BF22EA" w:rsidRPr="00797162" w:rsidRDefault="00BF22EA" w:rsidP="00BE7565">
            <w:pPr>
              <w:spacing w:before="0" w:after="0"/>
              <w:jc w:val="center"/>
              <w:rPr>
                <w:noProof/>
                <w:sz w:val="16"/>
              </w:rPr>
            </w:pPr>
            <w:r w:rsidRPr="00797162">
              <w:rPr>
                <w:noProof/>
                <w:sz w:val="16"/>
              </w:rPr>
              <w:t>0</w:t>
            </w:r>
          </w:p>
        </w:tc>
        <w:tc>
          <w:tcPr>
            <w:tcW w:w="519" w:type="pct"/>
            <w:tcBorders>
              <w:top w:val="nil"/>
              <w:left w:val="nil"/>
              <w:bottom w:val="single" w:sz="4" w:space="0" w:color="auto"/>
              <w:right w:val="single" w:sz="8" w:space="0" w:color="auto"/>
            </w:tcBorders>
            <w:shd w:val="clear" w:color="auto" w:fill="D9D9D9" w:themeFill="background1" w:themeFillShade="D9"/>
            <w:vAlign w:val="center"/>
            <w:hideMark/>
          </w:tcPr>
          <w:p w14:paraId="3502BE79" w14:textId="77777777" w:rsidR="00BF22EA" w:rsidRPr="00797162" w:rsidRDefault="00BF22EA" w:rsidP="00BE7565">
            <w:pPr>
              <w:spacing w:before="0" w:after="0"/>
              <w:jc w:val="center"/>
              <w:rPr>
                <w:noProof/>
                <w:sz w:val="16"/>
              </w:rPr>
            </w:pPr>
            <w:r w:rsidRPr="00797162">
              <w:rPr>
                <w:noProof/>
                <w:sz w:val="16"/>
              </w:rPr>
              <w:t>0</w:t>
            </w:r>
          </w:p>
        </w:tc>
        <w:tc>
          <w:tcPr>
            <w:tcW w:w="519" w:type="pct"/>
            <w:tcBorders>
              <w:top w:val="nil"/>
              <w:left w:val="nil"/>
              <w:bottom w:val="single" w:sz="4" w:space="0" w:color="auto"/>
              <w:right w:val="single" w:sz="8" w:space="0" w:color="auto"/>
            </w:tcBorders>
            <w:shd w:val="clear" w:color="auto" w:fill="D9D9D9" w:themeFill="background1" w:themeFillShade="D9"/>
            <w:vAlign w:val="center"/>
            <w:hideMark/>
          </w:tcPr>
          <w:p w14:paraId="4551EDF1" w14:textId="77777777" w:rsidR="00BF22EA" w:rsidRPr="00797162" w:rsidRDefault="00BF22EA" w:rsidP="00BE7565">
            <w:pPr>
              <w:spacing w:before="0" w:after="0"/>
              <w:jc w:val="center"/>
              <w:rPr>
                <w:noProof/>
                <w:sz w:val="16"/>
              </w:rPr>
            </w:pPr>
            <w:r w:rsidRPr="00797162">
              <w:rPr>
                <w:noProof/>
                <w:sz w:val="16"/>
              </w:rPr>
              <w:t>0</w:t>
            </w:r>
          </w:p>
        </w:tc>
        <w:tc>
          <w:tcPr>
            <w:tcW w:w="516" w:type="pct"/>
            <w:tcBorders>
              <w:top w:val="nil"/>
              <w:left w:val="nil"/>
              <w:bottom w:val="single" w:sz="4" w:space="0" w:color="auto"/>
              <w:right w:val="single" w:sz="8" w:space="0" w:color="auto"/>
            </w:tcBorders>
            <w:shd w:val="clear" w:color="auto" w:fill="D9D9D9" w:themeFill="background1" w:themeFillShade="D9"/>
            <w:vAlign w:val="center"/>
            <w:hideMark/>
          </w:tcPr>
          <w:p w14:paraId="7322030D" w14:textId="77777777" w:rsidR="00BF22EA" w:rsidRPr="00797162" w:rsidRDefault="00BF22EA" w:rsidP="00BE7565">
            <w:pPr>
              <w:spacing w:before="0" w:after="0"/>
              <w:jc w:val="center"/>
              <w:rPr>
                <w:noProof/>
                <w:sz w:val="16"/>
              </w:rPr>
            </w:pPr>
            <w:r w:rsidRPr="00797162">
              <w:rPr>
                <w:noProof/>
                <w:sz w:val="16"/>
              </w:rPr>
              <w:t>0</w:t>
            </w:r>
          </w:p>
        </w:tc>
      </w:tr>
      <w:tr w:rsidR="00BF22EA" w:rsidRPr="00797162" w14:paraId="1A01E98A" w14:textId="77777777" w:rsidTr="00BE7565">
        <w:trPr>
          <w:trHeight w:val="300"/>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14:paraId="63539ED9" w14:textId="77777777" w:rsidR="00BF22EA" w:rsidRPr="00797162" w:rsidRDefault="00BF22EA" w:rsidP="00BE7565">
            <w:pPr>
              <w:spacing w:before="0" w:after="0"/>
              <w:jc w:val="center"/>
              <w:rPr>
                <w:rFonts w:ascii="Calibri" w:hAnsi="Calibri"/>
                <w:b/>
                <w:noProof/>
                <w:sz w:val="16"/>
              </w:rPr>
            </w:pPr>
            <w:r w:rsidRPr="00797162">
              <w:rPr>
                <w:rFonts w:ascii="Calibri" w:hAnsi="Calibri"/>
                <w:b/>
                <w:noProof/>
                <w:sz w:val="16"/>
              </w:rPr>
              <w:t>•</w:t>
            </w:r>
            <w:r w:rsidRPr="00797162">
              <w:rPr>
                <w:b/>
                <w:noProof/>
                <w:sz w:val="16"/>
              </w:rPr>
              <w:t xml:space="preserve"> Koosseisuväline personal (täistööaja ekvivalendina)</w:t>
            </w:r>
          </w:p>
        </w:tc>
      </w:tr>
      <w:tr w:rsidR="00BF22EA" w:rsidRPr="00797162" w14:paraId="18927691" w14:textId="77777777" w:rsidTr="00BE7565">
        <w:trPr>
          <w:trHeight w:val="410"/>
        </w:trPr>
        <w:tc>
          <w:tcPr>
            <w:tcW w:w="1370" w:type="pct"/>
            <w:gridSpan w:val="2"/>
            <w:tcBorders>
              <w:top w:val="single" w:sz="4" w:space="0" w:color="auto"/>
              <w:left w:val="single" w:sz="4" w:space="0" w:color="auto"/>
              <w:bottom w:val="single" w:sz="4" w:space="0" w:color="auto"/>
              <w:right w:val="single" w:sz="8" w:space="0" w:color="000000" w:themeColor="text1"/>
            </w:tcBorders>
            <w:vAlign w:val="center"/>
            <w:hideMark/>
          </w:tcPr>
          <w:p w14:paraId="56690C87" w14:textId="2EAD240D" w:rsidR="00BF22EA" w:rsidRPr="00797162" w:rsidRDefault="00BF22EA" w:rsidP="00BE7565">
            <w:pPr>
              <w:spacing w:before="0" w:after="0"/>
              <w:ind w:firstLineChars="100" w:firstLine="160"/>
              <w:jc w:val="left"/>
              <w:rPr>
                <w:noProof/>
                <w:sz w:val="16"/>
              </w:rPr>
            </w:pPr>
            <w:r w:rsidRPr="00797162">
              <w:rPr>
                <w:noProof/>
                <w:sz w:val="16"/>
              </w:rPr>
              <w:t>20 02 01 (üldvahenditest rahastatavad lepingulised töötajad ja riikide lähetatud eksperdid)</w:t>
            </w:r>
          </w:p>
        </w:tc>
        <w:tc>
          <w:tcPr>
            <w:tcW w:w="519" w:type="pct"/>
            <w:tcBorders>
              <w:top w:val="single" w:sz="4" w:space="0" w:color="auto"/>
              <w:left w:val="nil"/>
              <w:bottom w:val="single" w:sz="4" w:space="0" w:color="auto"/>
              <w:right w:val="single" w:sz="8" w:space="0" w:color="auto"/>
            </w:tcBorders>
            <w:shd w:val="clear" w:color="auto" w:fill="D9D9D9" w:themeFill="background1" w:themeFillShade="D9"/>
            <w:vAlign w:val="center"/>
            <w:hideMark/>
          </w:tcPr>
          <w:p w14:paraId="17127621" w14:textId="77777777" w:rsidR="00BF22EA" w:rsidRPr="00797162" w:rsidRDefault="00BF22EA" w:rsidP="00BE7565">
            <w:pPr>
              <w:spacing w:before="0" w:after="0"/>
              <w:jc w:val="center"/>
              <w:rPr>
                <w:noProof/>
                <w:sz w:val="16"/>
              </w:rPr>
            </w:pPr>
            <w:r w:rsidRPr="00797162">
              <w:rPr>
                <w:noProof/>
                <w:sz w:val="16"/>
              </w:rPr>
              <w:t>0</w:t>
            </w:r>
          </w:p>
        </w:tc>
        <w:tc>
          <w:tcPr>
            <w:tcW w:w="519" w:type="pct"/>
            <w:tcBorders>
              <w:top w:val="single" w:sz="4" w:space="0" w:color="auto"/>
              <w:left w:val="nil"/>
              <w:bottom w:val="single" w:sz="4" w:space="0" w:color="auto"/>
              <w:right w:val="single" w:sz="8" w:space="0" w:color="auto"/>
            </w:tcBorders>
            <w:shd w:val="clear" w:color="auto" w:fill="D9D9D9" w:themeFill="background1" w:themeFillShade="D9"/>
            <w:vAlign w:val="center"/>
            <w:hideMark/>
          </w:tcPr>
          <w:p w14:paraId="3A4A96B9" w14:textId="77777777" w:rsidR="00BF22EA" w:rsidRPr="00797162" w:rsidRDefault="00BF22EA" w:rsidP="00BE7565">
            <w:pPr>
              <w:spacing w:before="0" w:after="0"/>
              <w:jc w:val="center"/>
              <w:rPr>
                <w:noProof/>
                <w:sz w:val="16"/>
              </w:rPr>
            </w:pPr>
            <w:r w:rsidRPr="00797162">
              <w:rPr>
                <w:noProof/>
                <w:sz w:val="16"/>
              </w:rPr>
              <w:t>0</w:t>
            </w:r>
          </w:p>
        </w:tc>
        <w:tc>
          <w:tcPr>
            <w:tcW w:w="519" w:type="pct"/>
            <w:tcBorders>
              <w:top w:val="single" w:sz="4" w:space="0" w:color="auto"/>
              <w:left w:val="nil"/>
              <w:bottom w:val="single" w:sz="4" w:space="0" w:color="auto"/>
              <w:right w:val="single" w:sz="8" w:space="0" w:color="auto"/>
            </w:tcBorders>
            <w:shd w:val="clear" w:color="auto" w:fill="D9D9D9" w:themeFill="background1" w:themeFillShade="D9"/>
            <w:vAlign w:val="center"/>
            <w:hideMark/>
          </w:tcPr>
          <w:p w14:paraId="5A84FCAA" w14:textId="77777777" w:rsidR="00BF22EA" w:rsidRPr="00797162" w:rsidRDefault="00BF22EA" w:rsidP="00BE7565">
            <w:pPr>
              <w:spacing w:before="0" w:after="0"/>
              <w:jc w:val="center"/>
              <w:rPr>
                <w:noProof/>
                <w:sz w:val="16"/>
              </w:rPr>
            </w:pPr>
            <w:r w:rsidRPr="00797162">
              <w:rPr>
                <w:noProof/>
                <w:sz w:val="16"/>
              </w:rPr>
              <w:t>0</w:t>
            </w:r>
          </w:p>
        </w:tc>
        <w:tc>
          <w:tcPr>
            <w:tcW w:w="519" w:type="pct"/>
            <w:tcBorders>
              <w:top w:val="single" w:sz="4" w:space="0" w:color="auto"/>
              <w:left w:val="nil"/>
              <w:bottom w:val="single" w:sz="4" w:space="0" w:color="auto"/>
              <w:right w:val="single" w:sz="8" w:space="0" w:color="auto"/>
            </w:tcBorders>
            <w:shd w:val="clear" w:color="auto" w:fill="D9D9D9" w:themeFill="background1" w:themeFillShade="D9"/>
            <w:vAlign w:val="center"/>
            <w:hideMark/>
          </w:tcPr>
          <w:p w14:paraId="3ADDEE35" w14:textId="77777777" w:rsidR="00BF22EA" w:rsidRPr="00797162" w:rsidRDefault="00BF22EA" w:rsidP="00BE7565">
            <w:pPr>
              <w:spacing w:before="0" w:after="0"/>
              <w:jc w:val="center"/>
              <w:rPr>
                <w:noProof/>
                <w:sz w:val="16"/>
              </w:rPr>
            </w:pPr>
            <w:r w:rsidRPr="00797162">
              <w:rPr>
                <w:noProof/>
                <w:sz w:val="16"/>
              </w:rPr>
              <w:t>0</w:t>
            </w:r>
          </w:p>
        </w:tc>
        <w:tc>
          <w:tcPr>
            <w:tcW w:w="519" w:type="pct"/>
            <w:tcBorders>
              <w:top w:val="single" w:sz="4" w:space="0" w:color="auto"/>
              <w:left w:val="nil"/>
              <w:bottom w:val="single" w:sz="4" w:space="0" w:color="auto"/>
              <w:right w:val="single" w:sz="8" w:space="0" w:color="auto"/>
            </w:tcBorders>
            <w:shd w:val="clear" w:color="auto" w:fill="D9D9D9" w:themeFill="background1" w:themeFillShade="D9"/>
            <w:vAlign w:val="center"/>
            <w:hideMark/>
          </w:tcPr>
          <w:p w14:paraId="6F084908" w14:textId="77777777" w:rsidR="00BF22EA" w:rsidRPr="00797162" w:rsidRDefault="00BF22EA" w:rsidP="00BE7565">
            <w:pPr>
              <w:spacing w:before="0" w:after="0"/>
              <w:jc w:val="center"/>
              <w:rPr>
                <w:noProof/>
                <w:sz w:val="16"/>
              </w:rPr>
            </w:pPr>
            <w:r w:rsidRPr="00797162">
              <w:rPr>
                <w:noProof/>
                <w:sz w:val="16"/>
              </w:rPr>
              <w:t>0</w:t>
            </w:r>
          </w:p>
        </w:tc>
        <w:tc>
          <w:tcPr>
            <w:tcW w:w="519" w:type="pct"/>
            <w:tcBorders>
              <w:top w:val="single" w:sz="4" w:space="0" w:color="auto"/>
              <w:left w:val="nil"/>
              <w:bottom w:val="single" w:sz="4" w:space="0" w:color="auto"/>
              <w:right w:val="single" w:sz="8" w:space="0" w:color="auto"/>
            </w:tcBorders>
            <w:shd w:val="clear" w:color="auto" w:fill="D9D9D9" w:themeFill="background1" w:themeFillShade="D9"/>
            <w:vAlign w:val="center"/>
            <w:hideMark/>
          </w:tcPr>
          <w:p w14:paraId="2BE6B9AF" w14:textId="77777777" w:rsidR="00BF22EA" w:rsidRPr="00797162" w:rsidRDefault="00BF22EA" w:rsidP="00BE7565">
            <w:pPr>
              <w:spacing w:before="0" w:after="0"/>
              <w:jc w:val="center"/>
              <w:rPr>
                <w:noProof/>
                <w:sz w:val="16"/>
              </w:rPr>
            </w:pPr>
            <w:r w:rsidRPr="00797162">
              <w:rPr>
                <w:noProof/>
                <w:sz w:val="16"/>
              </w:rPr>
              <w:t>0</w:t>
            </w:r>
          </w:p>
        </w:tc>
        <w:tc>
          <w:tcPr>
            <w:tcW w:w="51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D6E3921" w14:textId="77777777" w:rsidR="00BF22EA" w:rsidRPr="00797162" w:rsidRDefault="00BF22EA" w:rsidP="00BE7565">
            <w:pPr>
              <w:spacing w:before="0" w:after="0"/>
              <w:jc w:val="center"/>
              <w:rPr>
                <w:noProof/>
                <w:sz w:val="16"/>
              </w:rPr>
            </w:pPr>
            <w:r w:rsidRPr="00797162">
              <w:rPr>
                <w:noProof/>
                <w:sz w:val="16"/>
              </w:rPr>
              <w:t>0</w:t>
            </w:r>
          </w:p>
        </w:tc>
      </w:tr>
      <w:tr w:rsidR="00BF22EA" w:rsidRPr="00797162" w14:paraId="58ECFF43" w14:textId="77777777" w:rsidTr="00BE7565">
        <w:trPr>
          <w:trHeight w:val="520"/>
        </w:trPr>
        <w:tc>
          <w:tcPr>
            <w:tcW w:w="1370" w:type="pct"/>
            <w:gridSpan w:val="2"/>
            <w:tcBorders>
              <w:top w:val="single" w:sz="4" w:space="0" w:color="auto"/>
              <w:left w:val="single" w:sz="8" w:space="0" w:color="auto"/>
              <w:bottom w:val="single" w:sz="8" w:space="0" w:color="auto"/>
              <w:right w:val="single" w:sz="8" w:space="0" w:color="000000" w:themeColor="text1"/>
            </w:tcBorders>
            <w:vAlign w:val="center"/>
            <w:hideMark/>
          </w:tcPr>
          <w:p w14:paraId="45DB4868" w14:textId="77777777" w:rsidR="00BF22EA" w:rsidRPr="00797162" w:rsidRDefault="00BF22EA" w:rsidP="00BE7565">
            <w:pPr>
              <w:spacing w:before="0" w:after="0"/>
              <w:ind w:firstLineChars="100" w:firstLine="160"/>
              <w:jc w:val="left"/>
              <w:rPr>
                <w:noProof/>
                <w:sz w:val="16"/>
              </w:rPr>
            </w:pPr>
            <w:r w:rsidRPr="00797162">
              <w:rPr>
                <w:noProof/>
                <w:sz w:val="16"/>
              </w:rPr>
              <w:t>20 02 03 (lepingulised töötajad, kohalikud töötajad, riikide lähetatud eksperdid ja noored eksperdid ELi delegatsioonides)</w:t>
            </w:r>
          </w:p>
        </w:tc>
        <w:tc>
          <w:tcPr>
            <w:tcW w:w="519" w:type="pct"/>
            <w:tcBorders>
              <w:top w:val="single" w:sz="4" w:space="0" w:color="auto"/>
              <w:left w:val="nil"/>
              <w:bottom w:val="single" w:sz="8" w:space="0" w:color="auto"/>
              <w:right w:val="single" w:sz="8" w:space="0" w:color="auto"/>
            </w:tcBorders>
            <w:shd w:val="clear" w:color="auto" w:fill="D9D9D9" w:themeFill="background1" w:themeFillShade="D9"/>
            <w:vAlign w:val="center"/>
            <w:hideMark/>
          </w:tcPr>
          <w:p w14:paraId="08758C4F" w14:textId="77777777" w:rsidR="00BF22EA" w:rsidRPr="00797162" w:rsidRDefault="00BF22EA" w:rsidP="00BE7565">
            <w:pPr>
              <w:spacing w:before="0" w:after="0"/>
              <w:jc w:val="center"/>
              <w:rPr>
                <w:noProof/>
                <w:sz w:val="16"/>
              </w:rPr>
            </w:pPr>
            <w:r w:rsidRPr="00797162">
              <w:rPr>
                <w:noProof/>
                <w:sz w:val="16"/>
              </w:rPr>
              <w:t>0</w:t>
            </w:r>
          </w:p>
        </w:tc>
        <w:tc>
          <w:tcPr>
            <w:tcW w:w="519" w:type="pct"/>
            <w:tcBorders>
              <w:top w:val="single" w:sz="4" w:space="0" w:color="auto"/>
              <w:left w:val="nil"/>
              <w:bottom w:val="single" w:sz="8" w:space="0" w:color="auto"/>
              <w:right w:val="single" w:sz="8" w:space="0" w:color="auto"/>
            </w:tcBorders>
            <w:shd w:val="clear" w:color="auto" w:fill="D9D9D9" w:themeFill="background1" w:themeFillShade="D9"/>
            <w:vAlign w:val="center"/>
            <w:hideMark/>
          </w:tcPr>
          <w:p w14:paraId="209473F7" w14:textId="77777777" w:rsidR="00BF22EA" w:rsidRPr="00797162" w:rsidRDefault="00BF22EA" w:rsidP="00BE7565">
            <w:pPr>
              <w:spacing w:before="0" w:after="0"/>
              <w:jc w:val="center"/>
              <w:rPr>
                <w:noProof/>
                <w:sz w:val="16"/>
              </w:rPr>
            </w:pPr>
            <w:r w:rsidRPr="00797162">
              <w:rPr>
                <w:noProof/>
                <w:sz w:val="16"/>
              </w:rPr>
              <w:t>0</w:t>
            </w:r>
          </w:p>
        </w:tc>
        <w:tc>
          <w:tcPr>
            <w:tcW w:w="519" w:type="pct"/>
            <w:tcBorders>
              <w:top w:val="single" w:sz="4" w:space="0" w:color="auto"/>
              <w:left w:val="nil"/>
              <w:bottom w:val="single" w:sz="8" w:space="0" w:color="auto"/>
              <w:right w:val="single" w:sz="8" w:space="0" w:color="auto"/>
            </w:tcBorders>
            <w:shd w:val="clear" w:color="auto" w:fill="D9D9D9" w:themeFill="background1" w:themeFillShade="D9"/>
            <w:vAlign w:val="center"/>
            <w:hideMark/>
          </w:tcPr>
          <w:p w14:paraId="7A318638" w14:textId="77777777" w:rsidR="00BF22EA" w:rsidRPr="00797162" w:rsidRDefault="00BF22EA" w:rsidP="00BE7565">
            <w:pPr>
              <w:spacing w:before="0" w:after="0"/>
              <w:jc w:val="center"/>
              <w:rPr>
                <w:noProof/>
                <w:sz w:val="16"/>
              </w:rPr>
            </w:pPr>
            <w:r w:rsidRPr="00797162">
              <w:rPr>
                <w:noProof/>
                <w:sz w:val="16"/>
              </w:rPr>
              <w:t>0</w:t>
            </w:r>
          </w:p>
        </w:tc>
        <w:tc>
          <w:tcPr>
            <w:tcW w:w="519" w:type="pct"/>
            <w:tcBorders>
              <w:top w:val="single" w:sz="4" w:space="0" w:color="auto"/>
              <w:left w:val="nil"/>
              <w:bottom w:val="single" w:sz="8" w:space="0" w:color="auto"/>
              <w:right w:val="single" w:sz="8" w:space="0" w:color="auto"/>
            </w:tcBorders>
            <w:shd w:val="clear" w:color="auto" w:fill="D9D9D9" w:themeFill="background1" w:themeFillShade="D9"/>
            <w:vAlign w:val="center"/>
            <w:hideMark/>
          </w:tcPr>
          <w:p w14:paraId="58F71B16" w14:textId="77777777" w:rsidR="00BF22EA" w:rsidRPr="00797162" w:rsidRDefault="00BF22EA" w:rsidP="00BE7565">
            <w:pPr>
              <w:spacing w:before="0" w:after="0"/>
              <w:jc w:val="center"/>
              <w:rPr>
                <w:noProof/>
                <w:sz w:val="16"/>
              </w:rPr>
            </w:pPr>
            <w:r w:rsidRPr="00797162">
              <w:rPr>
                <w:noProof/>
                <w:sz w:val="16"/>
              </w:rPr>
              <w:t>0</w:t>
            </w:r>
          </w:p>
        </w:tc>
        <w:tc>
          <w:tcPr>
            <w:tcW w:w="519" w:type="pct"/>
            <w:tcBorders>
              <w:top w:val="single" w:sz="4" w:space="0" w:color="auto"/>
              <w:left w:val="nil"/>
              <w:bottom w:val="single" w:sz="8" w:space="0" w:color="auto"/>
              <w:right w:val="single" w:sz="8" w:space="0" w:color="auto"/>
            </w:tcBorders>
            <w:shd w:val="clear" w:color="auto" w:fill="D9D9D9" w:themeFill="background1" w:themeFillShade="D9"/>
            <w:vAlign w:val="center"/>
            <w:hideMark/>
          </w:tcPr>
          <w:p w14:paraId="1AD707DE" w14:textId="77777777" w:rsidR="00BF22EA" w:rsidRPr="00797162" w:rsidRDefault="00BF22EA" w:rsidP="00BE7565">
            <w:pPr>
              <w:spacing w:before="0" w:after="0"/>
              <w:jc w:val="center"/>
              <w:rPr>
                <w:noProof/>
                <w:sz w:val="16"/>
              </w:rPr>
            </w:pPr>
            <w:r w:rsidRPr="00797162">
              <w:rPr>
                <w:noProof/>
                <w:sz w:val="16"/>
              </w:rPr>
              <w:t>0</w:t>
            </w:r>
          </w:p>
        </w:tc>
        <w:tc>
          <w:tcPr>
            <w:tcW w:w="519" w:type="pct"/>
            <w:tcBorders>
              <w:top w:val="single" w:sz="4" w:space="0" w:color="auto"/>
              <w:left w:val="nil"/>
              <w:bottom w:val="single" w:sz="8" w:space="0" w:color="auto"/>
              <w:right w:val="single" w:sz="8" w:space="0" w:color="auto"/>
            </w:tcBorders>
            <w:shd w:val="clear" w:color="auto" w:fill="D9D9D9" w:themeFill="background1" w:themeFillShade="D9"/>
            <w:vAlign w:val="center"/>
            <w:hideMark/>
          </w:tcPr>
          <w:p w14:paraId="46558034" w14:textId="77777777" w:rsidR="00BF22EA" w:rsidRPr="00797162" w:rsidRDefault="00BF22EA" w:rsidP="00BE7565">
            <w:pPr>
              <w:spacing w:before="0" w:after="0"/>
              <w:jc w:val="center"/>
              <w:rPr>
                <w:noProof/>
                <w:sz w:val="16"/>
              </w:rPr>
            </w:pPr>
            <w:r w:rsidRPr="00797162">
              <w:rPr>
                <w:noProof/>
                <w:sz w:val="16"/>
              </w:rPr>
              <w:t>0</w:t>
            </w:r>
          </w:p>
        </w:tc>
        <w:tc>
          <w:tcPr>
            <w:tcW w:w="516" w:type="pct"/>
            <w:tcBorders>
              <w:top w:val="single" w:sz="4" w:space="0" w:color="auto"/>
              <w:left w:val="nil"/>
              <w:bottom w:val="single" w:sz="8" w:space="0" w:color="auto"/>
              <w:right w:val="single" w:sz="8" w:space="0" w:color="auto"/>
            </w:tcBorders>
            <w:shd w:val="clear" w:color="auto" w:fill="D9D9D9" w:themeFill="background1" w:themeFillShade="D9"/>
            <w:vAlign w:val="center"/>
            <w:hideMark/>
          </w:tcPr>
          <w:p w14:paraId="59241957" w14:textId="77777777" w:rsidR="00BF22EA" w:rsidRPr="00797162" w:rsidRDefault="00BF22EA" w:rsidP="00BE7565">
            <w:pPr>
              <w:spacing w:before="0" w:after="0"/>
              <w:jc w:val="center"/>
              <w:rPr>
                <w:noProof/>
                <w:sz w:val="16"/>
              </w:rPr>
            </w:pPr>
            <w:r w:rsidRPr="00797162">
              <w:rPr>
                <w:noProof/>
                <w:sz w:val="16"/>
              </w:rPr>
              <w:t>0</w:t>
            </w:r>
          </w:p>
        </w:tc>
      </w:tr>
      <w:tr w:rsidR="00BF22EA" w:rsidRPr="00797162" w14:paraId="476690F7" w14:textId="77777777" w:rsidTr="00BE7565">
        <w:trPr>
          <w:trHeight w:val="640"/>
        </w:trPr>
        <w:tc>
          <w:tcPr>
            <w:tcW w:w="751" w:type="pct"/>
            <w:tcBorders>
              <w:top w:val="nil"/>
              <w:left w:val="single" w:sz="8" w:space="0" w:color="auto"/>
              <w:bottom w:val="nil"/>
              <w:right w:val="single" w:sz="8" w:space="0" w:color="auto"/>
            </w:tcBorders>
            <w:vAlign w:val="center"/>
            <w:hideMark/>
          </w:tcPr>
          <w:p w14:paraId="17099352" w14:textId="77777777" w:rsidR="00BF22EA" w:rsidRPr="00797162" w:rsidRDefault="00BF22EA" w:rsidP="00BE7565">
            <w:pPr>
              <w:spacing w:before="0" w:after="0"/>
              <w:jc w:val="center"/>
              <w:rPr>
                <w:noProof/>
                <w:sz w:val="16"/>
              </w:rPr>
            </w:pPr>
            <w:r w:rsidRPr="00797162">
              <w:rPr>
                <w:noProof/>
                <w:sz w:val="16"/>
              </w:rPr>
              <w:t>Haldustoetuse eelarverida</w:t>
            </w:r>
          </w:p>
        </w:tc>
        <w:tc>
          <w:tcPr>
            <w:tcW w:w="619" w:type="pct"/>
            <w:tcBorders>
              <w:top w:val="nil"/>
              <w:left w:val="nil"/>
              <w:bottom w:val="single" w:sz="8" w:space="0" w:color="auto"/>
              <w:right w:val="single" w:sz="8" w:space="0" w:color="auto"/>
            </w:tcBorders>
            <w:vAlign w:val="center"/>
            <w:hideMark/>
          </w:tcPr>
          <w:p w14:paraId="65656C6E" w14:textId="77777777" w:rsidR="00BF22EA" w:rsidRPr="00797162" w:rsidRDefault="00BF22EA" w:rsidP="00BE7565">
            <w:pPr>
              <w:spacing w:before="0" w:after="0"/>
              <w:ind w:firstLineChars="100" w:firstLine="160"/>
              <w:jc w:val="left"/>
              <w:rPr>
                <w:noProof/>
                <w:sz w:val="16"/>
              </w:rPr>
            </w:pPr>
            <w:r w:rsidRPr="00797162">
              <w:rPr>
                <w:noProof/>
                <w:sz w:val="16"/>
              </w:rPr>
              <w:t>peakorteris</w:t>
            </w:r>
          </w:p>
        </w:tc>
        <w:tc>
          <w:tcPr>
            <w:tcW w:w="519"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7EFDA846" w14:textId="77777777" w:rsidR="00BF22EA" w:rsidRPr="00797162" w:rsidRDefault="00BF22EA" w:rsidP="00BE7565">
            <w:pPr>
              <w:spacing w:before="0" w:after="0"/>
              <w:jc w:val="center"/>
              <w:rPr>
                <w:noProof/>
                <w:sz w:val="16"/>
              </w:rPr>
            </w:pPr>
            <w:r w:rsidRPr="00797162">
              <w:rPr>
                <w:noProof/>
                <w:sz w:val="16"/>
              </w:rPr>
              <w:t>24</w:t>
            </w:r>
          </w:p>
        </w:tc>
        <w:tc>
          <w:tcPr>
            <w:tcW w:w="519"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42D9058" w14:textId="77777777" w:rsidR="00BF22EA" w:rsidRPr="00797162" w:rsidRDefault="00BF22EA" w:rsidP="00BE7565">
            <w:pPr>
              <w:spacing w:before="0" w:after="0"/>
              <w:jc w:val="center"/>
              <w:rPr>
                <w:noProof/>
                <w:sz w:val="16"/>
              </w:rPr>
            </w:pPr>
            <w:r w:rsidRPr="00797162">
              <w:rPr>
                <w:noProof/>
                <w:sz w:val="16"/>
              </w:rPr>
              <w:t>24</w:t>
            </w:r>
          </w:p>
        </w:tc>
        <w:tc>
          <w:tcPr>
            <w:tcW w:w="519"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307772E" w14:textId="77777777" w:rsidR="00BF22EA" w:rsidRPr="00797162" w:rsidRDefault="00BF22EA" w:rsidP="00BE7565">
            <w:pPr>
              <w:spacing w:before="0" w:after="0"/>
              <w:jc w:val="center"/>
              <w:rPr>
                <w:noProof/>
                <w:sz w:val="16"/>
              </w:rPr>
            </w:pPr>
            <w:r w:rsidRPr="00797162">
              <w:rPr>
                <w:noProof/>
                <w:sz w:val="16"/>
              </w:rPr>
              <w:t>24</w:t>
            </w:r>
          </w:p>
        </w:tc>
        <w:tc>
          <w:tcPr>
            <w:tcW w:w="519"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073F92E" w14:textId="77777777" w:rsidR="00BF22EA" w:rsidRPr="00797162" w:rsidRDefault="00BF22EA" w:rsidP="00BE7565">
            <w:pPr>
              <w:spacing w:before="0" w:after="0"/>
              <w:jc w:val="center"/>
              <w:rPr>
                <w:noProof/>
                <w:sz w:val="16"/>
              </w:rPr>
            </w:pPr>
            <w:r w:rsidRPr="00797162">
              <w:rPr>
                <w:noProof/>
                <w:sz w:val="16"/>
              </w:rPr>
              <w:t>24</w:t>
            </w:r>
          </w:p>
        </w:tc>
        <w:tc>
          <w:tcPr>
            <w:tcW w:w="519"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C2B088A" w14:textId="77777777" w:rsidR="00BF22EA" w:rsidRPr="00797162" w:rsidRDefault="00BF22EA" w:rsidP="00BE7565">
            <w:pPr>
              <w:spacing w:before="0" w:after="0"/>
              <w:jc w:val="center"/>
              <w:rPr>
                <w:noProof/>
                <w:sz w:val="16"/>
              </w:rPr>
            </w:pPr>
            <w:r w:rsidRPr="00797162">
              <w:rPr>
                <w:noProof/>
                <w:sz w:val="16"/>
              </w:rPr>
              <w:t>24</w:t>
            </w:r>
          </w:p>
        </w:tc>
        <w:tc>
          <w:tcPr>
            <w:tcW w:w="519"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9F38421" w14:textId="77777777" w:rsidR="00BF22EA" w:rsidRPr="00797162" w:rsidRDefault="00BF22EA" w:rsidP="00BE7565">
            <w:pPr>
              <w:spacing w:before="0" w:after="0"/>
              <w:jc w:val="center"/>
              <w:rPr>
                <w:noProof/>
                <w:sz w:val="16"/>
              </w:rPr>
            </w:pPr>
            <w:r w:rsidRPr="00797162">
              <w:rPr>
                <w:noProof/>
                <w:sz w:val="16"/>
              </w:rPr>
              <w:t>24</w:t>
            </w:r>
          </w:p>
        </w:tc>
        <w:tc>
          <w:tcPr>
            <w:tcW w:w="516"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E20B256" w14:textId="77777777" w:rsidR="00BF22EA" w:rsidRPr="00797162" w:rsidRDefault="00BF22EA" w:rsidP="00BE7565">
            <w:pPr>
              <w:spacing w:before="0" w:after="0"/>
              <w:jc w:val="center"/>
              <w:rPr>
                <w:noProof/>
                <w:sz w:val="16"/>
              </w:rPr>
            </w:pPr>
            <w:r w:rsidRPr="00797162">
              <w:rPr>
                <w:noProof/>
                <w:sz w:val="16"/>
              </w:rPr>
              <w:t>24</w:t>
            </w:r>
          </w:p>
        </w:tc>
      </w:tr>
      <w:tr w:rsidR="00BF22EA" w:rsidRPr="00797162" w14:paraId="6011DEB9" w14:textId="77777777" w:rsidTr="00BE7565">
        <w:trPr>
          <w:trHeight w:val="430"/>
        </w:trPr>
        <w:tc>
          <w:tcPr>
            <w:tcW w:w="751" w:type="pct"/>
            <w:tcBorders>
              <w:top w:val="nil"/>
              <w:left w:val="single" w:sz="8" w:space="0" w:color="auto"/>
              <w:bottom w:val="single" w:sz="8" w:space="0" w:color="auto"/>
              <w:right w:val="single" w:sz="8" w:space="0" w:color="auto"/>
            </w:tcBorders>
            <w:vAlign w:val="center"/>
            <w:hideMark/>
          </w:tcPr>
          <w:p w14:paraId="44D43A28" w14:textId="77777777" w:rsidR="00BF22EA" w:rsidRPr="00797162" w:rsidRDefault="00BF22EA" w:rsidP="00BE7565">
            <w:pPr>
              <w:spacing w:before="0" w:after="0"/>
              <w:jc w:val="center"/>
              <w:rPr>
                <w:noProof/>
                <w:sz w:val="16"/>
              </w:rPr>
            </w:pPr>
            <w:r w:rsidRPr="00797162">
              <w:rPr>
                <w:noProof/>
                <w:sz w:val="16"/>
              </w:rPr>
              <w:t>(XX.01.YY.YY)</w:t>
            </w:r>
          </w:p>
        </w:tc>
        <w:tc>
          <w:tcPr>
            <w:tcW w:w="619" w:type="pct"/>
            <w:tcBorders>
              <w:top w:val="nil"/>
              <w:left w:val="nil"/>
              <w:bottom w:val="single" w:sz="8" w:space="0" w:color="auto"/>
              <w:right w:val="single" w:sz="8" w:space="0" w:color="auto"/>
            </w:tcBorders>
            <w:vAlign w:val="center"/>
            <w:hideMark/>
          </w:tcPr>
          <w:p w14:paraId="1CC7F5FD" w14:textId="77777777" w:rsidR="00BF22EA" w:rsidRPr="00797162" w:rsidRDefault="00BF22EA" w:rsidP="00BE7565">
            <w:pPr>
              <w:spacing w:before="0" w:after="0"/>
              <w:ind w:firstLineChars="100" w:firstLine="160"/>
              <w:jc w:val="left"/>
              <w:rPr>
                <w:noProof/>
                <w:sz w:val="16"/>
              </w:rPr>
            </w:pPr>
            <w:r w:rsidRPr="00797162">
              <w:rPr>
                <w:noProof/>
                <w:sz w:val="16"/>
              </w:rPr>
              <w:t xml:space="preserve">ELi delegatsioonides </w:t>
            </w:r>
          </w:p>
        </w:tc>
        <w:tc>
          <w:tcPr>
            <w:tcW w:w="519" w:type="pct"/>
            <w:tcBorders>
              <w:top w:val="nil"/>
              <w:left w:val="nil"/>
              <w:bottom w:val="single" w:sz="8" w:space="0" w:color="auto"/>
              <w:right w:val="single" w:sz="8" w:space="0" w:color="auto"/>
            </w:tcBorders>
            <w:shd w:val="clear" w:color="auto" w:fill="D9D9D9" w:themeFill="background1" w:themeFillShade="D9"/>
            <w:vAlign w:val="center"/>
            <w:hideMark/>
          </w:tcPr>
          <w:p w14:paraId="3E349C23" w14:textId="77777777" w:rsidR="00BF22EA" w:rsidRPr="00797162" w:rsidRDefault="00BF22EA" w:rsidP="00BE7565">
            <w:pPr>
              <w:spacing w:before="0" w:after="0"/>
              <w:jc w:val="center"/>
              <w:rPr>
                <w:noProof/>
                <w:sz w:val="16"/>
              </w:rPr>
            </w:pPr>
            <w:r w:rsidRPr="00797162">
              <w:rPr>
                <w:noProof/>
                <w:sz w:val="16"/>
              </w:rPr>
              <w:t>0</w:t>
            </w:r>
          </w:p>
        </w:tc>
        <w:tc>
          <w:tcPr>
            <w:tcW w:w="519" w:type="pct"/>
            <w:tcBorders>
              <w:top w:val="nil"/>
              <w:left w:val="nil"/>
              <w:bottom w:val="single" w:sz="8" w:space="0" w:color="auto"/>
              <w:right w:val="single" w:sz="8" w:space="0" w:color="auto"/>
            </w:tcBorders>
            <w:shd w:val="clear" w:color="auto" w:fill="D9D9D9" w:themeFill="background1" w:themeFillShade="D9"/>
            <w:vAlign w:val="center"/>
            <w:hideMark/>
          </w:tcPr>
          <w:p w14:paraId="0356D185" w14:textId="77777777" w:rsidR="00BF22EA" w:rsidRPr="00797162" w:rsidRDefault="00BF22EA" w:rsidP="00BE7565">
            <w:pPr>
              <w:spacing w:before="0" w:after="0"/>
              <w:jc w:val="center"/>
              <w:rPr>
                <w:noProof/>
                <w:sz w:val="16"/>
              </w:rPr>
            </w:pPr>
            <w:r w:rsidRPr="00797162">
              <w:rPr>
                <w:noProof/>
                <w:sz w:val="16"/>
              </w:rPr>
              <w:t>0</w:t>
            </w:r>
          </w:p>
        </w:tc>
        <w:tc>
          <w:tcPr>
            <w:tcW w:w="519" w:type="pct"/>
            <w:tcBorders>
              <w:top w:val="nil"/>
              <w:left w:val="nil"/>
              <w:bottom w:val="single" w:sz="8" w:space="0" w:color="auto"/>
              <w:right w:val="single" w:sz="8" w:space="0" w:color="auto"/>
            </w:tcBorders>
            <w:shd w:val="clear" w:color="auto" w:fill="D9D9D9" w:themeFill="background1" w:themeFillShade="D9"/>
            <w:vAlign w:val="center"/>
            <w:hideMark/>
          </w:tcPr>
          <w:p w14:paraId="34B096E3" w14:textId="77777777" w:rsidR="00BF22EA" w:rsidRPr="00797162" w:rsidRDefault="00BF22EA" w:rsidP="00BE7565">
            <w:pPr>
              <w:spacing w:before="0" w:after="0"/>
              <w:jc w:val="center"/>
              <w:rPr>
                <w:noProof/>
                <w:sz w:val="16"/>
              </w:rPr>
            </w:pPr>
            <w:r w:rsidRPr="00797162">
              <w:rPr>
                <w:noProof/>
                <w:sz w:val="16"/>
              </w:rPr>
              <w:t>0</w:t>
            </w:r>
          </w:p>
        </w:tc>
        <w:tc>
          <w:tcPr>
            <w:tcW w:w="519" w:type="pct"/>
            <w:tcBorders>
              <w:top w:val="nil"/>
              <w:left w:val="nil"/>
              <w:bottom w:val="single" w:sz="8" w:space="0" w:color="auto"/>
              <w:right w:val="single" w:sz="8" w:space="0" w:color="auto"/>
            </w:tcBorders>
            <w:shd w:val="clear" w:color="auto" w:fill="D9D9D9" w:themeFill="background1" w:themeFillShade="D9"/>
            <w:vAlign w:val="center"/>
            <w:hideMark/>
          </w:tcPr>
          <w:p w14:paraId="75994573" w14:textId="77777777" w:rsidR="00BF22EA" w:rsidRPr="00797162" w:rsidRDefault="00BF22EA" w:rsidP="00BE7565">
            <w:pPr>
              <w:spacing w:before="0" w:after="0"/>
              <w:jc w:val="center"/>
              <w:rPr>
                <w:noProof/>
                <w:sz w:val="16"/>
              </w:rPr>
            </w:pPr>
            <w:r w:rsidRPr="00797162">
              <w:rPr>
                <w:noProof/>
                <w:sz w:val="16"/>
              </w:rPr>
              <w:t>0</w:t>
            </w:r>
          </w:p>
        </w:tc>
        <w:tc>
          <w:tcPr>
            <w:tcW w:w="519" w:type="pct"/>
            <w:tcBorders>
              <w:top w:val="nil"/>
              <w:left w:val="nil"/>
              <w:bottom w:val="single" w:sz="8" w:space="0" w:color="auto"/>
              <w:right w:val="single" w:sz="8" w:space="0" w:color="auto"/>
            </w:tcBorders>
            <w:shd w:val="clear" w:color="auto" w:fill="D9D9D9" w:themeFill="background1" w:themeFillShade="D9"/>
            <w:vAlign w:val="center"/>
            <w:hideMark/>
          </w:tcPr>
          <w:p w14:paraId="140A3575" w14:textId="77777777" w:rsidR="00BF22EA" w:rsidRPr="00797162" w:rsidRDefault="00BF22EA" w:rsidP="00BE7565">
            <w:pPr>
              <w:spacing w:before="0" w:after="0"/>
              <w:jc w:val="center"/>
              <w:rPr>
                <w:noProof/>
                <w:sz w:val="16"/>
              </w:rPr>
            </w:pPr>
            <w:r w:rsidRPr="00797162">
              <w:rPr>
                <w:noProof/>
                <w:sz w:val="16"/>
              </w:rPr>
              <w:t>0</w:t>
            </w:r>
          </w:p>
        </w:tc>
        <w:tc>
          <w:tcPr>
            <w:tcW w:w="519" w:type="pct"/>
            <w:tcBorders>
              <w:top w:val="nil"/>
              <w:left w:val="nil"/>
              <w:bottom w:val="single" w:sz="8" w:space="0" w:color="auto"/>
              <w:right w:val="single" w:sz="8" w:space="0" w:color="auto"/>
            </w:tcBorders>
            <w:shd w:val="clear" w:color="auto" w:fill="D9D9D9" w:themeFill="background1" w:themeFillShade="D9"/>
            <w:vAlign w:val="center"/>
            <w:hideMark/>
          </w:tcPr>
          <w:p w14:paraId="66B17389" w14:textId="77777777" w:rsidR="00BF22EA" w:rsidRPr="00797162" w:rsidRDefault="00BF22EA" w:rsidP="00BE7565">
            <w:pPr>
              <w:spacing w:before="0" w:after="0"/>
              <w:jc w:val="center"/>
              <w:rPr>
                <w:noProof/>
                <w:sz w:val="16"/>
              </w:rPr>
            </w:pPr>
            <w:r w:rsidRPr="00797162">
              <w:rPr>
                <w:noProof/>
                <w:sz w:val="16"/>
              </w:rPr>
              <w:t>0</w:t>
            </w:r>
          </w:p>
        </w:tc>
        <w:tc>
          <w:tcPr>
            <w:tcW w:w="516" w:type="pct"/>
            <w:tcBorders>
              <w:top w:val="nil"/>
              <w:left w:val="nil"/>
              <w:bottom w:val="single" w:sz="8" w:space="0" w:color="auto"/>
              <w:right w:val="single" w:sz="8" w:space="0" w:color="auto"/>
            </w:tcBorders>
            <w:shd w:val="clear" w:color="auto" w:fill="D9D9D9" w:themeFill="background1" w:themeFillShade="D9"/>
            <w:vAlign w:val="center"/>
            <w:hideMark/>
          </w:tcPr>
          <w:p w14:paraId="40AA4B27" w14:textId="77777777" w:rsidR="00BF22EA" w:rsidRPr="00797162" w:rsidRDefault="00BF22EA" w:rsidP="00BE7565">
            <w:pPr>
              <w:spacing w:before="0" w:after="0"/>
              <w:jc w:val="center"/>
              <w:rPr>
                <w:noProof/>
                <w:sz w:val="16"/>
              </w:rPr>
            </w:pPr>
            <w:r w:rsidRPr="00797162">
              <w:rPr>
                <w:noProof/>
                <w:sz w:val="16"/>
              </w:rPr>
              <w:t>0</w:t>
            </w:r>
          </w:p>
        </w:tc>
      </w:tr>
      <w:tr w:rsidR="00BF22EA" w:rsidRPr="00797162" w14:paraId="1F114EA8" w14:textId="77777777" w:rsidTr="00BE7565">
        <w:trPr>
          <w:trHeight w:val="410"/>
        </w:trPr>
        <w:tc>
          <w:tcPr>
            <w:tcW w:w="1370" w:type="pct"/>
            <w:gridSpan w:val="2"/>
            <w:tcBorders>
              <w:top w:val="single" w:sz="8" w:space="0" w:color="auto"/>
              <w:left w:val="single" w:sz="8" w:space="0" w:color="auto"/>
              <w:bottom w:val="single" w:sz="8" w:space="0" w:color="auto"/>
              <w:right w:val="single" w:sz="8" w:space="0" w:color="000000" w:themeColor="text1"/>
            </w:tcBorders>
            <w:vAlign w:val="center"/>
            <w:hideMark/>
          </w:tcPr>
          <w:p w14:paraId="289A4AF5" w14:textId="77777777" w:rsidR="00BF22EA" w:rsidRPr="00797162" w:rsidRDefault="00BF22EA" w:rsidP="00BE7565">
            <w:pPr>
              <w:spacing w:before="0" w:after="0"/>
              <w:ind w:firstLineChars="100" w:firstLine="160"/>
              <w:jc w:val="left"/>
              <w:rPr>
                <w:noProof/>
                <w:sz w:val="16"/>
              </w:rPr>
            </w:pPr>
            <w:r w:rsidRPr="00797162">
              <w:rPr>
                <w:noProof/>
                <w:sz w:val="16"/>
              </w:rPr>
              <w:t>(lepingulised töötajad ja riikide lähetatud eksperdid kaudse teadustegevuse valdkonnas)</w:t>
            </w:r>
          </w:p>
        </w:tc>
        <w:tc>
          <w:tcPr>
            <w:tcW w:w="519" w:type="pct"/>
            <w:tcBorders>
              <w:top w:val="nil"/>
              <w:left w:val="nil"/>
              <w:bottom w:val="single" w:sz="4" w:space="0" w:color="auto"/>
              <w:right w:val="single" w:sz="8" w:space="0" w:color="auto"/>
            </w:tcBorders>
            <w:shd w:val="clear" w:color="auto" w:fill="D9D9D9" w:themeFill="background1" w:themeFillShade="D9"/>
            <w:vAlign w:val="center"/>
            <w:hideMark/>
          </w:tcPr>
          <w:p w14:paraId="423A541F" w14:textId="77777777" w:rsidR="00BF22EA" w:rsidRPr="00797162" w:rsidRDefault="00BF22EA" w:rsidP="00BE7565">
            <w:pPr>
              <w:spacing w:before="0" w:after="0"/>
              <w:jc w:val="center"/>
              <w:rPr>
                <w:noProof/>
                <w:sz w:val="16"/>
              </w:rPr>
            </w:pPr>
            <w:r w:rsidRPr="00797162">
              <w:rPr>
                <w:noProof/>
                <w:sz w:val="16"/>
              </w:rPr>
              <w:t>0</w:t>
            </w:r>
          </w:p>
        </w:tc>
        <w:tc>
          <w:tcPr>
            <w:tcW w:w="519" w:type="pct"/>
            <w:tcBorders>
              <w:top w:val="nil"/>
              <w:left w:val="nil"/>
              <w:bottom w:val="single" w:sz="4" w:space="0" w:color="auto"/>
              <w:right w:val="single" w:sz="8" w:space="0" w:color="auto"/>
            </w:tcBorders>
            <w:shd w:val="clear" w:color="auto" w:fill="D9D9D9" w:themeFill="background1" w:themeFillShade="D9"/>
            <w:vAlign w:val="center"/>
            <w:hideMark/>
          </w:tcPr>
          <w:p w14:paraId="52BA0F2A" w14:textId="77777777" w:rsidR="00BF22EA" w:rsidRPr="00797162" w:rsidRDefault="00BF22EA" w:rsidP="00BE7565">
            <w:pPr>
              <w:spacing w:before="0" w:after="0"/>
              <w:jc w:val="center"/>
              <w:rPr>
                <w:noProof/>
                <w:sz w:val="16"/>
              </w:rPr>
            </w:pPr>
            <w:r w:rsidRPr="00797162">
              <w:rPr>
                <w:noProof/>
                <w:sz w:val="16"/>
              </w:rPr>
              <w:t>0</w:t>
            </w:r>
          </w:p>
        </w:tc>
        <w:tc>
          <w:tcPr>
            <w:tcW w:w="519" w:type="pct"/>
            <w:tcBorders>
              <w:top w:val="nil"/>
              <w:left w:val="nil"/>
              <w:bottom w:val="single" w:sz="4" w:space="0" w:color="auto"/>
              <w:right w:val="single" w:sz="8" w:space="0" w:color="auto"/>
            </w:tcBorders>
            <w:shd w:val="clear" w:color="auto" w:fill="D9D9D9" w:themeFill="background1" w:themeFillShade="D9"/>
            <w:vAlign w:val="center"/>
            <w:hideMark/>
          </w:tcPr>
          <w:p w14:paraId="46E4994C" w14:textId="77777777" w:rsidR="00BF22EA" w:rsidRPr="00797162" w:rsidRDefault="00BF22EA" w:rsidP="00BE7565">
            <w:pPr>
              <w:spacing w:before="0" w:after="0"/>
              <w:jc w:val="center"/>
              <w:rPr>
                <w:noProof/>
                <w:sz w:val="16"/>
              </w:rPr>
            </w:pPr>
            <w:r w:rsidRPr="00797162">
              <w:rPr>
                <w:noProof/>
                <w:sz w:val="16"/>
              </w:rPr>
              <w:t>0</w:t>
            </w:r>
          </w:p>
        </w:tc>
        <w:tc>
          <w:tcPr>
            <w:tcW w:w="519" w:type="pct"/>
            <w:tcBorders>
              <w:top w:val="nil"/>
              <w:left w:val="nil"/>
              <w:bottom w:val="single" w:sz="4" w:space="0" w:color="auto"/>
              <w:right w:val="single" w:sz="8" w:space="0" w:color="auto"/>
            </w:tcBorders>
            <w:shd w:val="clear" w:color="auto" w:fill="D9D9D9" w:themeFill="background1" w:themeFillShade="D9"/>
            <w:vAlign w:val="center"/>
            <w:hideMark/>
          </w:tcPr>
          <w:p w14:paraId="4AD9C6AF" w14:textId="77777777" w:rsidR="00BF22EA" w:rsidRPr="00797162" w:rsidRDefault="00BF22EA" w:rsidP="00BE7565">
            <w:pPr>
              <w:spacing w:before="0" w:after="0"/>
              <w:jc w:val="center"/>
              <w:rPr>
                <w:noProof/>
                <w:sz w:val="16"/>
              </w:rPr>
            </w:pPr>
            <w:r w:rsidRPr="00797162">
              <w:rPr>
                <w:noProof/>
                <w:sz w:val="16"/>
              </w:rPr>
              <w:t>0</w:t>
            </w:r>
          </w:p>
        </w:tc>
        <w:tc>
          <w:tcPr>
            <w:tcW w:w="519" w:type="pct"/>
            <w:tcBorders>
              <w:top w:val="nil"/>
              <w:left w:val="nil"/>
              <w:bottom w:val="single" w:sz="4" w:space="0" w:color="auto"/>
              <w:right w:val="single" w:sz="8" w:space="0" w:color="auto"/>
            </w:tcBorders>
            <w:shd w:val="clear" w:color="auto" w:fill="D9D9D9" w:themeFill="background1" w:themeFillShade="D9"/>
            <w:vAlign w:val="center"/>
            <w:hideMark/>
          </w:tcPr>
          <w:p w14:paraId="1FA80BC1" w14:textId="77777777" w:rsidR="00BF22EA" w:rsidRPr="00797162" w:rsidRDefault="00BF22EA" w:rsidP="00BE7565">
            <w:pPr>
              <w:spacing w:before="0" w:after="0"/>
              <w:jc w:val="center"/>
              <w:rPr>
                <w:noProof/>
                <w:sz w:val="16"/>
              </w:rPr>
            </w:pPr>
            <w:r w:rsidRPr="00797162">
              <w:rPr>
                <w:noProof/>
                <w:sz w:val="16"/>
              </w:rPr>
              <w:t>0</w:t>
            </w:r>
          </w:p>
        </w:tc>
        <w:tc>
          <w:tcPr>
            <w:tcW w:w="519" w:type="pct"/>
            <w:tcBorders>
              <w:top w:val="nil"/>
              <w:left w:val="nil"/>
              <w:bottom w:val="single" w:sz="4" w:space="0" w:color="auto"/>
              <w:right w:val="single" w:sz="8" w:space="0" w:color="auto"/>
            </w:tcBorders>
            <w:shd w:val="clear" w:color="auto" w:fill="D9D9D9" w:themeFill="background1" w:themeFillShade="D9"/>
            <w:vAlign w:val="center"/>
            <w:hideMark/>
          </w:tcPr>
          <w:p w14:paraId="0CD7BF56" w14:textId="77777777" w:rsidR="00BF22EA" w:rsidRPr="00797162" w:rsidRDefault="00BF22EA" w:rsidP="00BE7565">
            <w:pPr>
              <w:spacing w:before="0" w:after="0"/>
              <w:jc w:val="center"/>
              <w:rPr>
                <w:noProof/>
                <w:sz w:val="16"/>
              </w:rPr>
            </w:pPr>
            <w:r w:rsidRPr="00797162">
              <w:rPr>
                <w:noProof/>
                <w:sz w:val="16"/>
              </w:rPr>
              <w:t>0</w:t>
            </w:r>
          </w:p>
        </w:tc>
        <w:tc>
          <w:tcPr>
            <w:tcW w:w="516" w:type="pct"/>
            <w:tcBorders>
              <w:top w:val="nil"/>
              <w:left w:val="nil"/>
              <w:bottom w:val="single" w:sz="4" w:space="0" w:color="auto"/>
              <w:right w:val="single" w:sz="8" w:space="0" w:color="auto"/>
            </w:tcBorders>
            <w:shd w:val="clear" w:color="auto" w:fill="D9D9D9" w:themeFill="background1" w:themeFillShade="D9"/>
            <w:vAlign w:val="center"/>
            <w:hideMark/>
          </w:tcPr>
          <w:p w14:paraId="4BD40003" w14:textId="77777777" w:rsidR="00BF22EA" w:rsidRPr="00797162" w:rsidRDefault="00BF22EA" w:rsidP="00BE7565">
            <w:pPr>
              <w:spacing w:before="0" w:after="0"/>
              <w:jc w:val="center"/>
              <w:rPr>
                <w:noProof/>
                <w:sz w:val="16"/>
              </w:rPr>
            </w:pPr>
            <w:r w:rsidRPr="00797162">
              <w:rPr>
                <w:noProof/>
                <w:sz w:val="16"/>
              </w:rPr>
              <w:t>0</w:t>
            </w:r>
          </w:p>
        </w:tc>
      </w:tr>
      <w:tr w:rsidR="00BF22EA" w:rsidRPr="00797162" w14:paraId="25B67723" w14:textId="77777777" w:rsidTr="00BE7565">
        <w:trPr>
          <w:trHeight w:val="380"/>
        </w:trPr>
        <w:tc>
          <w:tcPr>
            <w:tcW w:w="1370" w:type="pct"/>
            <w:gridSpan w:val="2"/>
            <w:tcBorders>
              <w:top w:val="single" w:sz="8" w:space="0" w:color="auto"/>
              <w:left w:val="single" w:sz="8" w:space="0" w:color="auto"/>
              <w:bottom w:val="single" w:sz="8" w:space="0" w:color="auto"/>
              <w:right w:val="single" w:sz="4" w:space="0" w:color="auto"/>
            </w:tcBorders>
            <w:vAlign w:val="center"/>
            <w:hideMark/>
          </w:tcPr>
          <w:p w14:paraId="76033528" w14:textId="77777777" w:rsidR="00BF22EA" w:rsidRPr="00797162" w:rsidRDefault="00BF22EA" w:rsidP="00BE7565">
            <w:pPr>
              <w:spacing w:before="0" w:after="0"/>
              <w:ind w:firstLineChars="100" w:firstLine="160"/>
              <w:jc w:val="left"/>
              <w:rPr>
                <w:noProof/>
                <w:sz w:val="16"/>
              </w:rPr>
            </w:pPr>
            <w:r w:rsidRPr="00797162">
              <w:rPr>
                <w:noProof/>
                <w:sz w:val="16"/>
              </w:rPr>
              <w:t>(lepingulised töötajad ja riikide lähetatud eksperdid otsese teadustegevuse valdkonnas)</w:t>
            </w:r>
            <w:r w:rsidRPr="00797162">
              <w:rPr>
                <w:rStyle w:val="FootnoteReference"/>
                <w:noProof/>
              </w:rPr>
              <w:footnoteReference w:id="55"/>
            </w:r>
          </w:p>
        </w:tc>
        <w:tc>
          <w:tcPr>
            <w:tcW w:w="519"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741B2D39" w14:textId="77777777" w:rsidR="00BF22EA" w:rsidRPr="00797162" w:rsidRDefault="00BF22EA" w:rsidP="00BE7565">
            <w:pPr>
              <w:spacing w:before="0" w:after="0"/>
              <w:jc w:val="center"/>
              <w:rPr>
                <w:noProof/>
                <w:sz w:val="16"/>
              </w:rPr>
            </w:pPr>
            <w:r w:rsidRPr="00797162">
              <w:rPr>
                <w:noProof/>
                <w:sz w:val="16"/>
              </w:rPr>
              <w:t>20</w:t>
            </w:r>
          </w:p>
        </w:tc>
        <w:tc>
          <w:tcPr>
            <w:tcW w:w="519"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1A2E0E9" w14:textId="77777777" w:rsidR="00BF22EA" w:rsidRPr="00797162" w:rsidRDefault="00BF22EA" w:rsidP="00BE7565">
            <w:pPr>
              <w:spacing w:before="0" w:after="0"/>
              <w:jc w:val="center"/>
              <w:rPr>
                <w:noProof/>
                <w:sz w:val="16"/>
              </w:rPr>
            </w:pPr>
            <w:r w:rsidRPr="00797162">
              <w:rPr>
                <w:noProof/>
                <w:sz w:val="16"/>
              </w:rPr>
              <w:t>20</w:t>
            </w:r>
          </w:p>
        </w:tc>
        <w:tc>
          <w:tcPr>
            <w:tcW w:w="519"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09B3890" w14:textId="77777777" w:rsidR="00BF22EA" w:rsidRPr="00797162" w:rsidRDefault="00BF22EA" w:rsidP="00BE7565">
            <w:pPr>
              <w:spacing w:before="0" w:after="0"/>
              <w:jc w:val="center"/>
              <w:rPr>
                <w:noProof/>
                <w:sz w:val="16"/>
              </w:rPr>
            </w:pPr>
            <w:r w:rsidRPr="00797162">
              <w:rPr>
                <w:noProof/>
                <w:sz w:val="16"/>
              </w:rPr>
              <w:t>20</w:t>
            </w:r>
          </w:p>
        </w:tc>
        <w:tc>
          <w:tcPr>
            <w:tcW w:w="519"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DD5D810" w14:textId="77777777" w:rsidR="00BF22EA" w:rsidRPr="00797162" w:rsidRDefault="00BF22EA" w:rsidP="00BE7565">
            <w:pPr>
              <w:spacing w:before="0" w:after="0"/>
              <w:jc w:val="center"/>
              <w:rPr>
                <w:noProof/>
                <w:sz w:val="16"/>
              </w:rPr>
            </w:pPr>
            <w:r w:rsidRPr="00797162">
              <w:rPr>
                <w:noProof/>
                <w:sz w:val="16"/>
              </w:rPr>
              <w:t>20</w:t>
            </w:r>
          </w:p>
        </w:tc>
        <w:tc>
          <w:tcPr>
            <w:tcW w:w="519"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FCE9914" w14:textId="77777777" w:rsidR="00BF22EA" w:rsidRPr="00797162" w:rsidRDefault="00BF22EA" w:rsidP="00BE7565">
            <w:pPr>
              <w:spacing w:before="0" w:after="0"/>
              <w:jc w:val="center"/>
              <w:rPr>
                <w:noProof/>
                <w:sz w:val="16"/>
              </w:rPr>
            </w:pPr>
            <w:r w:rsidRPr="00797162">
              <w:rPr>
                <w:noProof/>
                <w:sz w:val="16"/>
              </w:rPr>
              <w:t>20</w:t>
            </w:r>
          </w:p>
        </w:tc>
        <w:tc>
          <w:tcPr>
            <w:tcW w:w="519"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3D3881C" w14:textId="77777777" w:rsidR="00BF22EA" w:rsidRPr="00797162" w:rsidRDefault="00BF22EA" w:rsidP="00BE7565">
            <w:pPr>
              <w:spacing w:before="0" w:after="0"/>
              <w:jc w:val="center"/>
              <w:rPr>
                <w:noProof/>
                <w:sz w:val="16"/>
              </w:rPr>
            </w:pPr>
            <w:r w:rsidRPr="00797162">
              <w:rPr>
                <w:noProof/>
                <w:sz w:val="16"/>
              </w:rPr>
              <w:t>20</w:t>
            </w:r>
          </w:p>
        </w:tc>
        <w:tc>
          <w:tcPr>
            <w:tcW w:w="516"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519469B" w14:textId="77777777" w:rsidR="00BF22EA" w:rsidRPr="00797162" w:rsidRDefault="00BF22EA" w:rsidP="00BE7565">
            <w:pPr>
              <w:spacing w:before="0" w:after="0"/>
              <w:jc w:val="center"/>
              <w:rPr>
                <w:noProof/>
                <w:sz w:val="16"/>
              </w:rPr>
            </w:pPr>
            <w:r w:rsidRPr="00797162">
              <w:rPr>
                <w:noProof/>
                <w:sz w:val="16"/>
              </w:rPr>
              <w:t>20</w:t>
            </w:r>
          </w:p>
        </w:tc>
      </w:tr>
      <w:tr w:rsidR="00BF22EA" w:rsidRPr="00797162" w14:paraId="0BBA578D" w14:textId="77777777" w:rsidTr="00BE7565">
        <w:trPr>
          <w:trHeight w:val="380"/>
        </w:trPr>
        <w:tc>
          <w:tcPr>
            <w:tcW w:w="1370" w:type="pct"/>
            <w:gridSpan w:val="2"/>
            <w:tcBorders>
              <w:top w:val="single" w:sz="8" w:space="0" w:color="auto"/>
              <w:left w:val="single" w:sz="8" w:space="0" w:color="auto"/>
              <w:bottom w:val="single" w:sz="8" w:space="0" w:color="auto"/>
              <w:right w:val="single" w:sz="8" w:space="0" w:color="000000" w:themeColor="text1"/>
            </w:tcBorders>
            <w:vAlign w:val="center"/>
            <w:hideMark/>
          </w:tcPr>
          <w:p w14:paraId="6405307C" w14:textId="77777777" w:rsidR="00BF22EA" w:rsidRPr="00797162" w:rsidRDefault="00BF22EA" w:rsidP="00BE7565">
            <w:pPr>
              <w:spacing w:before="0" w:after="0"/>
              <w:ind w:firstLineChars="100" w:firstLine="160"/>
              <w:jc w:val="left"/>
              <w:rPr>
                <w:noProof/>
                <w:sz w:val="16"/>
              </w:rPr>
            </w:pPr>
            <w:r w:rsidRPr="00797162">
              <w:rPr>
                <w:noProof/>
                <w:sz w:val="16"/>
              </w:rPr>
              <w:t>Muud eelarveread (märkige) - Rubriik 4</w:t>
            </w:r>
          </w:p>
        </w:tc>
        <w:tc>
          <w:tcPr>
            <w:tcW w:w="519" w:type="pct"/>
            <w:tcBorders>
              <w:top w:val="single" w:sz="4" w:space="0" w:color="auto"/>
              <w:left w:val="nil"/>
              <w:bottom w:val="single" w:sz="8" w:space="0" w:color="auto"/>
              <w:right w:val="single" w:sz="8" w:space="0" w:color="auto"/>
            </w:tcBorders>
            <w:shd w:val="clear" w:color="auto" w:fill="D9D9D9" w:themeFill="background1" w:themeFillShade="D9"/>
            <w:vAlign w:val="center"/>
            <w:hideMark/>
          </w:tcPr>
          <w:p w14:paraId="3621FCC9" w14:textId="77777777" w:rsidR="00BF22EA" w:rsidRPr="00797162" w:rsidRDefault="00BF22EA" w:rsidP="00BE7565">
            <w:pPr>
              <w:spacing w:before="0" w:after="0"/>
              <w:jc w:val="center"/>
              <w:rPr>
                <w:noProof/>
                <w:sz w:val="16"/>
              </w:rPr>
            </w:pPr>
            <w:r w:rsidRPr="00797162">
              <w:rPr>
                <w:noProof/>
                <w:sz w:val="16"/>
              </w:rPr>
              <w:t>0</w:t>
            </w:r>
          </w:p>
        </w:tc>
        <w:tc>
          <w:tcPr>
            <w:tcW w:w="519" w:type="pct"/>
            <w:tcBorders>
              <w:top w:val="single" w:sz="4" w:space="0" w:color="auto"/>
              <w:left w:val="nil"/>
              <w:bottom w:val="single" w:sz="8" w:space="0" w:color="auto"/>
              <w:right w:val="single" w:sz="8" w:space="0" w:color="auto"/>
            </w:tcBorders>
            <w:shd w:val="clear" w:color="auto" w:fill="D9D9D9" w:themeFill="background1" w:themeFillShade="D9"/>
            <w:vAlign w:val="center"/>
            <w:hideMark/>
          </w:tcPr>
          <w:p w14:paraId="50EB6889" w14:textId="77777777" w:rsidR="00BF22EA" w:rsidRPr="00797162" w:rsidRDefault="00BF22EA" w:rsidP="00BE7565">
            <w:pPr>
              <w:spacing w:before="0" w:after="0"/>
              <w:jc w:val="center"/>
              <w:rPr>
                <w:noProof/>
                <w:sz w:val="16"/>
              </w:rPr>
            </w:pPr>
            <w:r w:rsidRPr="00797162">
              <w:rPr>
                <w:noProof/>
                <w:sz w:val="16"/>
              </w:rPr>
              <w:t>0</w:t>
            </w:r>
          </w:p>
        </w:tc>
        <w:tc>
          <w:tcPr>
            <w:tcW w:w="519" w:type="pct"/>
            <w:tcBorders>
              <w:top w:val="single" w:sz="4" w:space="0" w:color="auto"/>
              <w:left w:val="nil"/>
              <w:bottom w:val="single" w:sz="8" w:space="0" w:color="auto"/>
              <w:right w:val="single" w:sz="8" w:space="0" w:color="auto"/>
            </w:tcBorders>
            <w:shd w:val="clear" w:color="auto" w:fill="D9D9D9" w:themeFill="background1" w:themeFillShade="D9"/>
            <w:vAlign w:val="center"/>
            <w:hideMark/>
          </w:tcPr>
          <w:p w14:paraId="72162E7A" w14:textId="77777777" w:rsidR="00BF22EA" w:rsidRPr="00797162" w:rsidRDefault="00BF22EA" w:rsidP="00BE7565">
            <w:pPr>
              <w:spacing w:before="0" w:after="0"/>
              <w:jc w:val="center"/>
              <w:rPr>
                <w:noProof/>
                <w:sz w:val="16"/>
              </w:rPr>
            </w:pPr>
            <w:r w:rsidRPr="00797162">
              <w:rPr>
                <w:noProof/>
                <w:sz w:val="16"/>
              </w:rPr>
              <w:t>0</w:t>
            </w:r>
          </w:p>
        </w:tc>
        <w:tc>
          <w:tcPr>
            <w:tcW w:w="519" w:type="pct"/>
            <w:tcBorders>
              <w:top w:val="single" w:sz="4" w:space="0" w:color="auto"/>
              <w:left w:val="nil"/>
              <w:bottom w:val="single" w:sz="8" w:space="0" w:color="auto"/>
              <w:right w:val="single" w:sz="8" w:space="0" w:color="auto"/>
            </w:tcBorders>
            <w:shd w:val="clear" w:color="auto" w:fill="D9D9D9" w:themeFill="background1" w:themeFillShade="D9"/>
            <w:vAlign w:val="center"/>
            <w:hideMark/>
          </w:tcPr>
          <w:p w14:paraId="5801EEF0" w14:textId="77777777" w:rsidR="00BF22EA" w:rsidRPr="00797162" w:rsidRDefault="00BF22EA" w:rsidP="00BE7565">
            <w:pPr>
              <w:spacing w:before="0" w:after="0"/>
              <w:jc w:val="center"/>
              <w:rPr>
                <w:noProof/>
                <w:sz w:val="16"/>
              </w:rPr>
            </w:pPr>
            <w:r w:rsidRPr="00797162">
              <w:rPr>
                <w:noProof/>
                <w:sz w:val="16"/>
              </w:rPr>
              <w:t>0</w:t>
            </w:r>
          </w:p>
        </w:tc>
        <w:tc>
          <w:tcPr>
            <w:tcW w:w="519" w:type="pct"/>
            <w:tcBorders>
              <w:top w:val="single" w:sz="4" w:space="0" w:color="auto"/>
              <w:left w:val="nil"/>
              <w:bottom w:val="single" w:sz="8" w:space="0" w:color="auto"/>
              <w:right w:val="single" w:sz="8" w:space="0" w:color="auto"/>
            </w:tcBorders>
            <w:shd w:val="clear" w:color="auto" w:fill="D9D9D9" w:themeFill="background1" w:themeFillShade="D9"/>
            <w:vAlign w:val="center"/>
            <w:hideMark/>
          </w:tcPr>
          <w:p w14:paraId="5D384753" w14:textId="77777777" w:rsidR="00BF22EA" w:rsidRPr="00797162" w:rsidRDefault="00BF22EA" w:rsidP="00BE7565">
            <w:pPr>
              <w:spacing w:before="0" w:after="0"/>
              <w:jc w:val="center"/>
              <w:rPr>
                <w:noProof/>
                <w:sz w:val="16"/>
              </w:rPr>
            </w:pPr>
            <w:r w:rsidRPr="00797162">
              <w:rPr>
                <w:noProof/>
                <w:sz w:val="16"/>
              </w:rPr>
              <w:t>0</w:t>
            </w:r>
          </w:p>
        </w:tc>
        <w:tc>
          <w:tcPr>
            <w:tcW w:w="519" w:type="pct"/>
            <w:tcBorders>
              <w:top w:val="single" w:sz="4" w:space="0" w:color="auto"/>
              <w:left w:val="nil"/>
              <w:bottom w:val="single" w:sz="8" w:space="0" w:color="auto"/>
              <w:right w:val="single" w:sz="8" w:space="0" w:color="auto"/>
            </w:tcBorders>
            <w:shd w:val="clear" w:color="auto" w:fill="D9D9D9" w:themeFill="background1" w:themeFillShade="D9"/>
            <w:vAlign w:val="center"/>
            <w:hideMark/>
          </w:tcPr>
          <w:p w14:paraId="531528B2" w14:textId="77777777" w:rsidR="00BF22EA" w:rsidRPr="00797162" w:rsidRDefault="00BF22EA" w:rsidP="00BE7565">
            <w:pPr>
              <w:spacing w:before="0" w:after="0"/>
              <w:jc w:val="center"/>
              <w:rPr>
                <w:noProof/>
                <w:sz w:val="16"/>
              </w:rPr>
            </w:pPr>
            <w:r w:rsidRPr="00797162">
              <w:rPr>
                <w:noProof/>
                <w:sz w:val="16"/>
              </w:rPr>
              <w:t>0</w:t>
            </w:r>
          </w:p>
        </w:tc>
        <w:tc>
          <w:tcPr>
            <w:tcW w:w="516" w:type="pct"/>
            <w:tcBorders>
              <w:top w:val="single" w:sz="4" w:space="0" w:color="auto"/>
              <w:left w:val="nil"/>
              <w:bottom w:val="single" w:sz="8" w:space="0" w:color="auto"/>
              <w:right w:val="single" w:sz="8" w:space="0" w:color="auto"/>
            </w:tcBorders>
            <w:shd w:val="clear" w:color="auto" w:fill="D9D9D9" w:themeFill="background1" w:themeFillShade="D9"/>
            <w:vAlign w:val="center"/>
            <w:hideMark/>
          </w:tcPr>
          <w:p w14:paraId="6DC723EE" w14:textId="77777777" w:rsidR="00BF22EA" w:rsidRPr="00797162" w:rsidRDefault="00BF22EA" w:rsidP="00BE7565">
            <w:pPr>
              <w:spacing w:before="0" w:after="0"/>
              <w:jc w:val="center"/>
              <w:rPr>
                <w:noProof/>
                <w:sz w:val="16"/>
              </w:rPr>
            </w:pPr>
            <w:r w:rsidRPr="00797162">
              <w:rPr>
                <w:noProof/>
                <w:sz w:val="16"/>
              </w:rPr>
              <w:t>0</w:t>
            </w:r>
          </w:p>
        </w:tc>
      </w:tr>
      <w:tr w:rsidR="00BF22EA" w:rsidRPr="00797162" w14:paraId="518EF449" w14:textId="77777777" w:rsidTr="00BE7565">
        <w:trPr>
          <w:trHeight w:val="520"/>
        </w:trPr>
        <w:tc>
          <w:tcPr>
            <w:tcW w:w="1370" w:type="pct"/>
            <w:gridSpan w:val="2"/>
            <w:tcBorders>
              <w:top w:val="single" w:sz="8" w:space="0" w:color="auto"/>
              <w:left w:val="single" w:sz="8" w:space="0" w:color="auto"/>
              <w:bottom w:val="single" w:sz="8" w:space="0" w:color="auto"/>
              <w:right w:val="single" w:sz="8" w:space="0" w:color="000000" w:themeColor="text1"/>
            </w:tcBorders>
            <w:vAlign w:val="center"/>
            <w:hideMark/>
          </w:tcPr>
          <w:p w14:paraId="06BD79E4" w14:textId="77777777" w:rsidR="00BF22EA" w:rsidRPr="00797162" w:rsidRDefault="00BF22EA" w:rsidP="00BE7565">
            <w:pPr>
              <w:spacing w:before="0" w:after="0"/>
              <w:ind w:firstLineChars="100" w:firstLine="160"/>
              <w:jc w:val="left"/>
              <w:rPr>
                <w:noProof/>
                <w:sz w:val="16"/>
              </w:rPr>
            </w:pPr>
            <w:r w:rsidRPr="00797162">
              <w:rPr>
                <w:noProof/>
                <w:sz w:val="16"/>
              </w:rPr>
              <w:t>Muud eelarveread (märkige) - Rubriigist 4 välja jäävad kulud</w:t>
            </w:r>
          </w:p>
        </w:tc>
        <w:tc>
          <w:tcPr>
            <w:tcW w:w="519" w:type="pct"/>
            <w:tcBorders>
              <w:top w:val="nil"/>
              <w:left w:val="nil"/>
              <w:bottom w:val="single" w:sz="8" w:space="0" w:color="auto"/>
              <w:right w:val="single" w:sz="8" w:space="0" w:color="auto"/>
            </w:tcBorders>
            <w:shd w:val="clear" w:color="auto" w:fill="D9D9D9" w:themeFill="background1" w:themeFillShade="D9"/>
            <w:vAlign w:val="center"/>
            <w:hideMark/>
          </w:tcPr>
          <w:p w14:paraId="2DF9E61D" w14:textId="77777777" w:rsidR="00BF22EA" w:rsidRPr="00797162" w:rsidRDefault="00BF22EA" w:rsidP="00BE7565">
            <w:pPr>
              <w:spacing w:before="0" w:after="0"/>
              <w:jc w:val="center"/>
              <w:rPr>
                <w:noProof/>
                <w:sz w:val="16"/>
              </w:rPr>
            </w:pPr>
            <w:r w:rsidRPr="00797162">
              <w:rPr>
                <w:noProof/>
                <w:sz w:val="16"/>
              </w:rPr>
              <w:t>0</w:t>
            </w:r>
          </w:p>
        </w:tc>
        <w:tc>
          <w:tcPr>
            <w:tcW w:w="519" w:type="pct"/>
            <w:tcBorders>
              <w:top w:val="nil"/>
              <w:left w:val="nil"/>
              <w:bottom w:val="single" w:sz="8" w:space="0" w:color="auto"/>
              <w:right w:val="single" w:sz="8" w:space="0" w:color="auto"/>
            </w:tcBorders>
            <w:shd w:val="clear" w:color="auto" w:fill="D9D9D9" w:themeFill="background1" w:themeFillShade="D9"/>
            <w:vAlign w:val="center"/>
            <w:hideMark/>
          </w:tcPr>
          <w:p w14:paraId="66FDA88C" w14:textId="77777777" w:rsidR="00BF22EA" w:rsidRPr="00797162" w:rsidRDefault="00BF22EA" w:rsidP="00BE7565">
            <w:pPr>
              <w:spacing w:before="0" w:after="0"/>
              <w:jc w:val="center"/>
              <w:rPr>
                <w:noProof/>
                <w:sz w:val="16"/>
              </w:rPr>
            </w:pPr>
            <w:r w:rsidRPr="00797162">
              <w:rPr>
                <w:noProof/>
                <w:sz w:val="16"/>
              </w:rPr>
              <w:t>0</w:t>
            </w:r>
          </w:p>
        </w:tc>
        <w:tc>
          <w:tcPr>
            <w:tcW w:w="519" w:type="pct"/>
            <w:tcBorders>
              <w:top w:val="nil"/>
              <w:left w:val="nil"/>
              <w:bottom w:val="single" w:sz="8" w:space="0" w:color="auto"/>
              <w:right w:val="single" w:sz="8" w:space="0" w:color="auto"/>
            </w:tcBorders>
            <w:shd w:val="clear" w:color="auto" w:fill="D9D9D9" w:themeFill="background1" w:themeFillShade="D9"/>
            <w:vAlign w:val="center"/>
            <w:hideMark/>
          </w:tcPr>
          <w:p w14:paraId="2C37DDAD" w14:textId="77777777" w:rsidR="00BF22EA" w:rsidRPr="00797162" w:rsidRDefault="00BF22EA" w:rsidP="00BE7565">
            <w:pPr>
              <w:spacing w:before="0" w:after="0"/>
              <w:jc w:val="center"/>
              <w:rPr>
                <w:noProof/>
                <w:sz w:val="16"/>
              </w:rPr>
            </w:pPr>
            <w:r w:rsidRPr="00797162">
              <w:rPr>
                <w:noProof/>
                <w:sz w:val="16"/>
              </w:rPr>
              <w:t>0</w:t>
            </w:r>
          </w:p>
        </w:tc>
        <w:tc>
          <w:tcPr>
            <w:tcW w:w="519" w:type="pct"/>
            <w:tcBorders>
              <w:top w:val="nil"/>
              <w:left w:val="nil"/>
              <w:bottom w:val="single" w:sz="8" w:space="0" w:color="auto"/>
              <w:right w:val="single" w:sz="8" w:space="0" w:color="auto"/>
            </w:tcBorders>
            <w:shd w:val="clear" w:color="auto" w:fill="D9D9D9" w:themeFill="background1" w:themeFillShade="D9"/>
            <w:vAlign w:val="center"/>
            <w:hideMark/>
          </w:tcPr>
          <w:p w14:paraId="763FEF04" w14:textId="77777777" w:rsidR="00BF22EA" w:rsidRPr="00797162" w:rsidRDefault="00BF22EA" w:rsidP="00BE7565">
            <w:pPr>
              <w:spacing w:before="0" w:after="0"/>
              <w:jc w:val="center"/>
              <w:rPr>
                <w:noProof/>
                <w:sz w:val="16"/>
              </w:rPr>
            </w:pPr>
            <w:r w:rsidRPr="00797162">
              <w:rPr>
                <w:noProof/>
                <w:sz w:val="16"/>
              </w:rPr>
              <w:t>0</w:t>
            </w:r>
          </w:p>
        </w:tc>
        <w:tc>
          <w:tcPr>
            <w:tcW w:w="519" w:type="pct"/>
            <w:tcBorders>
              <w:top w:val="nil"/>
              <w:left w:val="nil"/>
              <w:bottom w:val="single" w:sz="8" w:space="0" w:color="auto"/>
              <w:right w:val="single" w:sz="8" w:space="0" w:color="auto"/>
            </w:tcBorders>
            <w:shd w:val="clear" w:color="auto" w:fill="D9D9D9" w:themeFill="background1" w:themeFillShade="D9"/>
            <w:vAlign w:val="center"/>
            <w:hideMark/>
          </w:tcPr>
          <w:p w14:paraId="0DC15D00" w14:textId="77777777" w:rsidR="00BF22EA" w:rsidRPr="00797162" w:rsidRDefault="00BF22EA" w:rsidP="00BE7565">
            <w:pPr>
              <w:spacing w:before="0" w:after="0"/>
              <w:jc w:val="center"/>
              <w:rPr>
                <w:noProof/>
                <w:sz w:val="16"/>
              </w:rPr>
            </w:pPr>
            <w:r w:rsidRPr="00797162">
              <w:rPr>
                <w:noProof/>
                <w:sz w:val="16"/>
              </w:rPr>
              <w:t>0</w:t>
            </w:r>
          </w:p>
        </w:tc>
        <w:tc>
          <w:tcPr>
            <w:tcW w:w="519" w:type="pct"/>
            <w:tcBorders>
              <w:top w:val="nil"/>
              <w:left w:val="nil"/>
              <w:bottom w:val="single" w:sz="8" w:space="0" w:color="auto"/>
              <w:right w:val="single" w:sz="8" w:space="0" w:color="auto"/>
            </w:tcBorders>
            <w:shd w:val="clear" w:color="auto" w:fill="D9D9D9" w:themeFill="background1" w:themeFillShade="D9"/>
            <w:vAlign w:val="center"/>
            <w:hideMark/>
          </w:tcPr>
          <w:p w14:paraId="4E1975E2" w14:textId="77777777" w:rsidR="00BF22EA" w:rsidRPr="00797162" w:rsidRDefault="00BF22EA" w:rsidP="00BE7565">
            <w:pPr>
              <w:spacing w:before="0" w:after="0"/>
              <w:jc w:val="center"/>
              <w:rPr>
                <w:noProof/>
                <w:sz w:val="16"/>
              </w:rPr>
            </w:pPr>
            <w:r w:rsidRPr="00797162">
              <w:rPr>
                <w:noProof/>
                <w:sz w:val="16"/>
              </w:rPr>
              <w:t>0</w:t>
            </w:r>
          </w:p>
        </w:tc>
        <w:tc>
          <w:tcPr>
            <w:tcW w:w="516" w:type="pct"/>
            <w:tcBorders>
              <w:top w:val="nil"/>
              <w:left w:val="nil"/>
              <w:bottom w:val="single" w:sz="8" w:space="0" w:color="auto"/>
              <w:right w:val="single" w:sz="8" w:space="0" w:color="auto"/>
            </w:tcBorders>
            <w:shd w:val="clear" w:color="auto" w:fill="D9D9D9" w:themeFill="background1" w:themeFillShade="D9"/>
            <w:vAlign w:val="center"/>
            <w:hideMark/>
          </w:tcPr>
          <w:p w14:paraId="41CC315F" w14:textId="77777777" w:rsidR="00BF22EA" w:rsidRPr="00797162" w:rsidRDefault="00BF22EA" w:rsidP="00BE7565">
            <w:pPr>
              <w:spacing w:before="0" w:after="0"/>
              <w:jc w:val="center"/>
              <w:rPr>
                <w:noProof/>
                <w:sz w:val="16"/>
              </w:rPr>
            </w:pPr>
            <w:r w:rsidRPr="00797162">
              <w:rPr>
                <w:noProof/>
                <w:sz w:val="16"/>
              </w:rPr>
              <w:t>0</w:t>
            </w:r>
          </w:p>
        </w:tc>
      </w:tr>
      <w:tr w:rsidR="00BF22EA" w:rsidRPr="00797162" w14:paraId="4D5E0B38" w14:textId="77777777" w:rsidTr="00BE7565">
        <w:trPr>
          <w:trHeight w:val="300"/>
        </w:trPr>
        <w:tc>
          <w:tcPr>
            <w:tcW w:w="1370" w:type="pct"/>
            <w:gridSpan w:val="2"/>
            <w:tcBorders>
              <w:top w:val="single" w:sz="8" w:space="0" w:color="auto"/>
              <w:left w:val="single" w:sz="8" w:space="0" w:color="auto"/>
              <w:bottom w:val="single" w:sz="8" w:space="0" w:color="auto"/>
              <w:right w:val="single" w:sz="8" w:space="0" w:color="000000" w:themeColor="text1"/>
            </w:tcBorders>
            <w:vAlign w:val="center"/>
            <w:hideMark/>
          </w:tcPr>
          <w:p w14:paraId="743E6823" w14:textId="77777777" w:rsidR="00BF22EA" w:rsidRPr="00797162" w:rsidRDefault="00BF22EA" w:rsidP="00BE7565">
            <w:pPr>
              <w:spacing w:before="0" w:after="0"/>
              <w:ind w:firstLineChars="100" w:firstLine="160"/>
              <w:jc w:val="left"/>
              <w:rPr>
                <w:b/>
                <w:noProof/>
                <w:sz w:val="16"/>
              </w:rPr>
            </w:pPr>
            <w:r w:rsidRPr="00797162">
              <w:rPr>
                <w:b/>
                <w:noProof/>
                <w:sz w:val="16"/>
              </w:rPr>
              <w:t>KOKKU</w:t>
            </w:r>
          </w:p>
        </w:tc>
        <w:tc>
          <w:tcPr>
            <w:tcW w:w="519"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192DFBD5" w14:textId="77777777" w:rsidR="00BF22EA" w:rsidRPr="00797162" w:rsidRDefault="00BF22EA" w:rsidP="00BE7565">
            <w:pPr>
              <w:spacing w:before="0" w:after="0"/>
              <w:jc w:val="center"/>
              <w:rPr>
                <w:b/>
                <w:noProof/>
                <w:sz w:val="16"/>
              </w:rPr>
            </w:pPr>
            <w:r w:rsidRPr="00797162">
              <w:rPr>
                <w:b/>
                <w:noProof/>
                <w:sz w:val="16"/>
              </w:rPr>
              <w:t>93</w:t>
            </w:r>
          </w:p>
        </w:tc>
        <w:tc>
          <w:tcPr>
            <w:tcW w:w="519"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422CA43" w14:textId="77777777" w:rsidR="00BF22EA" w:rsidRPr="00797162" w:rsidRDefault="00BF22EA" w:rsidP="00BE7565">
            <w:pPr>
              <w:spacing w:before="0" w:after="0"/>
              <w:jc w:val="center"/>
              <w:rPr>
                <w:b/>
                <w:noProof/>
                <w:sz w:val="16"/>
              </w:rPr>
            </w:pPr>
            <w:r w:rsidRPr="00797162">
              <w:rPr>
                <w:b/>
                <w:noProof/>
                <w:sz w:val="16"/>
              </w:rPr>
              <w:t>93</w:t>
            </w:r>
          </w:p>
        </w:tc>
        <w:tc>
          <w:tcPr>
            <w:tcW w:w="519"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5B62271" w14:textId="77777777" w:rsidR="00BF22EA" w:rsidRPr="00797162" w:rsidRDefault="00BF22EA" w:rsidP="00BE7565">
            <w:pPr>
              <w:spacing w:before="0" w:after="0"/>
              <w:jc w:val="center"/>
              <w:rPr>
                <w:b/>
                <w:noProof/>
                <w:sz w:val="16"/>
              </w:rPr>
            </w:pPr>
            <w:r w:rsidRPr="00797162">
              <w:rPr>
                <w:b/>
                <w:noProof/>
                <w:sz w:val="16"/>
              </w:rPr>
              <w:t>93</w:t>
            </w:r>
          </w:p>
        </w:tc>
        <w:tc>
          <w:tcPr>
            <w:tcW w:w="519"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7540213" w14:textId="77777777" w:rsidR="00BF22EA" w:rsidRPr="00797162" w:rsidRDefault="00BF22EA" w:rsidP="00BE7565">
            <w:pPr>
              <w:spacing w:before="0" w:after="0"/>
              <w:jc w:val="center"/>
              <w:rPr>
                <w:b/>
                <w:noProof/>
                <w:sz w:val="16"/>
              </w:rPr>
            </w:pPr>
            <w:r w:rsidRPr="00797162">
              <w:rPr>
                <w:b/>
                <w:noProof/>
                <w:sz w:val="16"/>
              </w:rPr>
              <w:t>93</w:t>
            </w:r>
          </w:p>
        </w:tc>
        <w:tc>
          <w:tcPr>
            <w:tcW w:w="519"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CE04F25" w14:textId="77777777" w:rsidR="00BF22EA" w:rsidRPr="00797162" w:rsidRDefault="00BF22EA" w:rsidP="00BE7565">
            <w:pPr>
              <w:spacing w:before="0" w:after="0"/>
              <w:jc w:val="center"/>
              <w:rPr>
                <w:b/>
                <w:noProof/>
                <w:sz w:val="16"/>
              </w:rPr>
            </w:pPr>
            <w:r w:rsidRPr="00797162">
              <w:rPr>
                <w:b/>
                <w:noProof/>
                <w:sz w:val="16"/>
              </w:rPr>
              <w:t>93</w:t>
            </w:r>
          </w:p>
        </w:tc>
        <w:tc>
          <w:tcPr>
            <w:tcW w:w="519"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44919C8" w14:textId="77777777" w:rsidR="00BF22EA" w:rsidRPr="00797162" w:rsidRDefault="00BF22EA" w:rsidP="00BE7565">
            <w:pPr>
              <w:spacing w:before="0" w:after="0"/>
              <w:jc w:val="center"/>
              <w:rPr>
                <w:b/>
                <w:noProof/>
                <w:sz w:val="16"/>
              </w:rPr>
            </w:pPr>
            <w:r w:rsidRPr="00797162">
              <w:rPr>
                <w:b/>
                <w:noProof/>
                <w:sz w:val="16"/>
              </w:rPr>
              <w:t>93</w:t>
            </w:r>
          </w:p>
        </w:tc>
        <w:tc>
          <w:tcPr>
            <w:tcW w:w="516"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36ED13F" w14:textId="77777777" w:rsidR="00BF22EA" w:rsidRPr="00797162" w:rsidRDefault="00BF22EA" w:rsidP="00BE7565">
            <w:pPr>
              <w:spacing w:before="0" w:after="0"/>
              <w:jc w:val="center"/>
              <w:rPr>
                <w:b/>
                <w:noProof/>
                <w:sz w:val="16"/>
              </w:rPr>
            </w:pPr>
            <w:r w:rsidRPr="00797162">
              <w:rPr>
                <w:b/>
                <w:noProof/>
                <w:sz w:val="16"/>
              </w:rPr>
              <w:t>93</w:t>
            </w:r>
          </w:p>
        </w:tc>
      </w:tr>
    </w:tbl>
    <w:p w14:paraId="2BE13910" w14:textId="77777777" w:rsidR="00BF22EA" w:rsidRPr="00797162" w:rsidRDefault="00BF22EA" w:rsidP="00BF22EA">
      <w:pPr>
        <w:spacing w:before="60" w:after="60"/>
        <w:ind w:left="-426" w:right="-427"/>
        <w:rPr>
          <w:b/>
          <w:noProof/>
          <w:sz w:val="18"/>
        </w:rPr>
      </w:pPr>
    </w:p>
    <w:p w14:paraId="7A56ECDB" w14:textId="77777777" w:rsidR="00BF22EA" w:rsidRPr="00797162" w:rsidRDefault="00BF22EA" w:rsidP="00BF22EA">
      <w:pPr>
        <w:ind w:left="-426"/>
        <w:rPr>
          <w:noProof/>
        </w:rPr>
      </w:pPr>
      <w:bookmarkStart w:id="173" w:name="_Hlk167692843"/>
      <w:bookmarkEnd w:id="172"/>
      <w:r w:rsidRPr="00797162">
        <w:rPr>
          <w:noProof/>
        </w:rPr>
        <w:t xml:space="preserve">Ettepaneku rakendamiseks vajatav personal (täistööaja ekvivalendina) </w:t>
      </w:r>
    </w:p>
    <w:tbl>
      <w:tblPr>
        <w:tblStyle w:val="TableGrid"/>
        <w:tblW w:w="9487" w:type="dxa"/>
        <w:tblInd w:w="-426" w:type="dxa"/>
        <w:tblLook w:val="04A0" w:firstRow="1" w:lastRow="0" w:firstColumn="1" w:lastColumn="0" w:noHBand="0" w:noVBand="1"/>
      </w:tblPr>
      <w:tblGrid>
        <w:gridCol w:w="2144"/>
        <w:gridCol w:w="1631"/>
        <w:gridCol w:w="1980"/>
        <w:gridCol w:w="1980"/>
        <w:gridCol w:w="1980"/>
      </w:tblGrid>
      <w:tr w:rsidR="00BF22EA" w:rsidRPr="00797162" w14:paraId="39597151" w14:textId="77777777" w:rsidTr="00BE7565">
        <w:trPr>
          <w:trHeight w:val="300"/>
        </w:trPr>
        <w:tc>
          <w:tcPr>
            <w:tcW w:w="1845" w:type="dxa"/>
          </w:tcPr>
          <w:p w14:paraId="73C989C9" w14:textId="77777777" w:rsidR="00BF22EA" w:rsidRPr="00797162" w:rsidRDefault="00BF22EA" w:rsidP="00CA1FBC">
            <w:pPr>
              <w:numPr>
                <w:ilvl w:val="0"/>
                <w:numId w:val="7"/>
              </w:numPr>
              <w:tabs>
                <w:tab w:val="clear" w:pos="709"/>
              </w:tabs>
              <w:ind w:left="0" w:firstLine="0"/>
              <w:jc w:val="center"/>
              <w:rPr>
                <w:b/>
                <w:noProof/>
                <w:sz w:val="22"/>
              </w:rPr>
            </w:pPr>
          </w:p>
        </w:tc>
        <w:tc>
          <w:tcPr>
            <w:tcW w:w="2031" w:type="dxa"/>
          </w:tcPr>
          <w:p w14:paraId="15B7EA85" w14:textId="77777777" w:rsidR="00BF22EA" w:rsidRPr="00797162" w:rsidRDefault="00BF22EA" w:rsidP="00CA1FBC">
            <w:pPr>
              <w:numPr>
                <w:ilvl w:val="0"/>
                <w:numId w:val="7"/>
              </w:numPr>
              <w:tabs>
                <w:tab w:val="clear" w:pos="709"/>
              </w:tabs>
              <w:ind w:left="0" w:firstLine="0"/>
              <w:jc w:val="center"/>
              <w:rPr>
                <w:b/>
                <w:noProof/>
                <w:sz w:val="22"/>
              </w:rPr>
            </w:pPr>
            <w:r w:rsidRPr="00797162">
              <w:rPr>
                <w:b/>
                <w:noProof/>
                <w:sz w:val="22"/>
              </w:rPr>
              <w:t xml:space="preserve">Kaetakse komisjoni talituste olemasolevast personalist </w:t>
            </w:r>
          </w:p>
        </w:tc>
        <w:tc>
          <w:tcPr>
            <w:tcW w:w="5611" w:type="dxa"/>
            <w:gridSpan w:val="3"/>
          </w:tcPr>
          <w:p w14:paraId="4BACA597" w14:textId="77777777" w:rsidR="00BF22EA" w:rsidRPr="00797162" w:rsidRDefault="00BF22EA" w:rsidP="00CA1FBC">
            <w:pPr>
              <w:numPr>
                <w:ilvl w:val="0"/>
                <w:numId w:val="7"/>
              </w:numPr>
              <w:tabs>
                <w:tab w:val="clear" w:pos="709"/>
              </w:tabs>
              <w:ind w:left="0" w:firstLine="0"/>
              <w:jc w:val="center"/>
              <w:rPr>
                <w:b/>
                <w:noProof/>
                <w:sz w:val="22"/>
              </w:rPr>
            </w:pPr>
            <w:r w:rsidRPr="00797162">
              <w:rPr>
                <w:b/>
                <w:noProof/>
                <w:sz w:val="22"/>
              </w:rPr>
              <w:t>Erakorraline lisapersonal*</w:t>
            </w:r>
          </w:p>
        </w:tc>
      </w:tr>
      <w:tr w:rsidR="00BF22EA" w:rsidRPr="00797162" w14:paraId="479D7836" w14:textId="77777777" w:rsidTr="00BE7565">
        <w:trPr>
          <w:trHeight w:val="300"/>
        </w:trPr>
        <w:tc>
          <w:tcPr>
            <w:tcW w:w="1845" w:type="dxa"/>
          </w:tcPr>
          <w:p w14:paraId="375CF3A3" w14:textId="77777777" w:rsidR="00BF22EA" w:rsidRPr="00797162" w:rsidRDefault="00BF22EA" w:rsidP="00CA1FBC">
            <w:pPr>
              <w:numPr>
                <w:ilvl w:val="0"/>
                <w:numId w:val="7"/>
              </w:numPr>
              <w:tabs>
                <w:tab w:val="clear" w:pos="709"/>
              </w:tabs>
              <w:ind w:left="0" w:firstLine="0"/>
              <w:jc w:val="center"/>
              <w:rPr>
                <w:b/>
                <w:noProof/>
                <w:sz w:val="22"/>
              </w:rPr>
            </w:pPr>
          </w:p>
        </w:tc>
        <w:tc>
          <w:tcPr>
            <w:tcW w:w="2031" w:type="dxa"/>
          </w:tcPr>
          <w:p w14:paraId="03FB8B6F" w14:textId="77777777" w:rsidR="00BF22EA" w:rsidRPr="00797162" w:rsidRDefault="00BF22EA" w:rsidP="00CA1FBC">
            <w:pPr>
              <w:numPr>
                <w:ilvl w:val="0"/>
                <w:numId w:val="7"/>
              </w:numPr>
              <w:tabs>
                <w:tab w:val="clear" w:pos="709"/>
              </w:tabs>
              <w:ind w:left="0" w:firstLine="0"/>
              <w:jc w:val="center"/>
              <w:rPr>
                <w:b/>
                <w:noProof/>
                <w:sz w:val="22"/>
              </w:rPr>
            </w:pPr>
          </w:p>
        </w:tc>
        <w:tc>
          <w:tcPr>
            <w:tcW w:w="1925" w:type="dxa"/>
          </w:tcPr>
          <w:p w14:paraId="6420E548" w14:textId="77777777" w:rsidR="00BF22EA" w:rsidRPr="00797162" w:rsidRDefault="00BF22EA" w:rsidP="00CA1FBC">
            <w:pPr>
              <w:numPr>
                <w:ilvl w:val="0"/>
                <w:numId w:val="7"/>
              </w:numPr>
              <w:tabs>
                <w:tab w:val="clear" w:pos="709"/>
              </w:tabs>
              <w:ind w:left="0" w:firstLine="0"/>
              <w:jc w:val="center"/>
              <w:rPr>
                <w:b/>
                <w:bCs/>
                <w:noProof/>
                <w:sz w:val="22"/>
              </w:rPr>
            </w:pPr>
            <w:r w:rsidRPr="00797162">
              <w:rPr>
                <w:b/>
                <w:noProof/>
                <w:sz w:val="22"/>
              </w:rPr>
              <w:t>Rahastatakse rubriigist 4 või teadusuuringute eelarveridadelt</w:t>
            </w:r>
          </w:p>
        </w:tc>
        <w:tc>
          <w:tcPr>
            <w:tcW w:w="1938" w:type="dxa"/>
          </w:tcPr>
          <w:p w14:paraId="5D08F1B1" w14:textId="77777777" w:rsidR="00BF22EA" w:rsidRPr="00797162" w:rsidRDefault="00BF22EA" w:rsidP="00CA1FBC">
            <w:pPr>
              <w:numPr>
                <w:ilvl w:val="0"/>
                <w:numId w:val="7"/>
              </w:numPr>
              <w:tabs>
                <w:tab w:val="clear" w:pos="709"/>
              </w:tabs>
              <w:ind w:left="0" w:firstLine="0"/>
              <w:jc w:val="center"/>
              <w:rPr>
                <w:b/>
                <w:noProof/>
                <w:sz w:val="22"/>
              </w:rPr>
            </w:pPr>
            <w:r w:rsidRPr="00797162">
              <w:rPr>
                <w:b/>
                <w:noProof/>
                <w:sz w:val="22"/>
              </w:rPr>
              <w:t>Rahastatakse BA ridadelt</w:t>
            </w:r>
          </w:p>
        </w:tc>
        <w:tc>
          <w:tcPr>
            <w:tcW w:w="1748" w:type="dxa"/>
          </w:tcPr>
          <w:p w14:paraId="3B2CFAC7" w14:textId="77777777" w:rsidR="00BF22EA" w:rsidRPr="00797162" w:rsidRDefault="00BF22EA" w:rsidP="00CA1FBC">
            <w:pPr>
              <w:numPr>
                <w:ilvl w:val="0"/>
                <w:numId w:val="7"/>
              </w:numPr>
              <w:tabs>
                <w:tab w:val="clear" w:pos="709"/>
              </w:tabs>
              <w:ind w:left="0" w:firstLine="0"/>
              <w:jc w:val="center"/>
              <w:rPr>
                <w:b/>
                <w:noProof/>
                <w:sz w:val="22"/>
              </w:rPr>
            </w:pPr>
            <w:r w:rsidRPr="00797162">
              <w:rPr>
                <w:b/>
                <w:noProof/>
                <w:sz w:val="22"/>
              </w:rPr>
              <w:t>Rahastatakse tasudest</w:t>
            </w:r>
          </w:p>
        </w:tc>
      </w:tr>
      <w:tr w:rsidR="00BF22EA" w:rsidRPr="00797162" w14:paraId="4B8B4DD8" w14:textId="77777777" w:rsidTr="00BE7565">
        <w:trPr>
          <w:trHeight w:val="300"/>
        </w:trPr>
        <w:tc>
          <w:tcPr>
            <w:tcW w:w="1845" w:type="dxa"/>
          </w:tcPr>
          <w:p w14:paraId="7F199A3D" w14:textId="77777777" w:rsidR="00BF22EA" w:rsidRPr="00797162" w:rsidRDefault="00BF22EA" w:rsidP="00CA1FBC">
            <w:pPr>
              <w:numPr>
                <w:ilvl w:val="0"/>
                <w:numId w:val="7"/>
              </w:numPr>
              <w:tabs>
                <w:tab w:val="clear" w:pos="709"/>
              </w:tabs>
              <w:ind w:left="0" w:firstLine="0"/>
              <w:rPr>
                <w:noProof/>
                <w:sz w:val="22"/>
              </w:rPr>
            </w:pPr>
            <w:r w:rsidRPr="00797162">
              <w:rPr>
                <w:noProof/>
                <w:sz w:val="22"/>
              </w:rPr>
              <w:t>Ametikohtade loeteluga ette nähtud ametikohad</w:t>
            </w:r>
          </w:p>
        </w:tc>
        <w:tc>
          <w:tcPr>
            <w:tcW w:w="2031" w:type="dxa"/>
          </w:tcPr>
          <w:p w14:paraId="143F0236" w14:textId="77777777" w:rsidR="00BF22EA" w:rsidRPr="00797162" w:rsidRDefault="00BF22EA" w:rsidP="00CA1FBC">
            <w:pPr>
              <w:numPr>
                <w:ilvl w:val="0"/>
                <w:numId w:val="7"/>
              </w:numPr>
              <w:tabs>
                <w:tab w:val="clear" w:pos="709"/>
              </w:tabs>
              <w:ind w:left="0" w:firstLine="0"/>
              <w:rPr>
                <w:noProof/>
                <w:sz w:val="22"/>
              </w:rPr>
            </w:pPr>
            <w:r w:rsidRPr="00797162">
              <w:rPr>
                <w:noProof/>
                <w:sz w:val="22"/>
              </w:rPr>
              <w:t>47</w:t>
            </w:r>
          </w:p>
        </w:tc>
        <w:tc>
          <w:tcPr>
            <w:tcW w:w="1925" w:type="dxa"/>
          </w:tcPr>
          <w:p w14:paraId="50448265" w14:textId="77777777" w:rsidR="00BF22EA" w:rsidRPr="00797162" w:rsidRDefault="00BF22EA" w:rsidP="00CA1FBC">
            <w:pPr>
              <w:numPr>
                <w:ilvl w:val="0"/>
                <w:numId w:val="7"/>
              </w:numPr>
              <w:tabs>
                <w:tab w:val="clear" w:pos="709"/>
              </w:tabs>
              <w:ind w:left="0" w:firstLine="0"/>
              <w:rPr>
                <w:noProof/>
                <w:sz w:val="22"/>
              </w:rPr>
            </w:pPr>
            <w:r w:rsidRPr="00797162">
              <w:rPr>
                <w:noProof/>
                <w:sz w:val="22"/>
              </w:rPr>
              <w:t>2</w:t>
            </w:r>
          </w:p>
        </w:tc>
        <w:tc>
          <w:tcPr>
            <w:tcW w:w="1938" w:type="dxa"/>
          </w:tcPr>
          <w:p w14:paraId="6F4B400B" w14:textId="77777777" w:rsidR="00BF22EA" w:rsidRPr="00797162" w:rsidRDefault="00BF22EA" w:rsidP="00CA1FBC">
            <w:pPr>
              <w:numPr>
                <w:ilvl w:val="0"/>
                <w:numId w:val="7"/>
              </w:numPr>
              <w:tabs>
                <w:tab w:val="clear" w:pos="709"/>
              </w:tabs>
              <w:ind w:left="0" w:firstLine="0"/>
              <w:rPr>
                <w:noProof/>
                <w:sz w:val="22"/>
              </w:rPr>
            </w:pPr>
            <w:r w:rsidRPr="00797162">
              <w:rPr>
                <w:noProof/>
                <w:sz w:val="22"/>
              </w:rPr>
              <w:t>ei kohaldata</w:t>
            </w:r>
          </w:p>
        </w:tc>
        <w:tc>
          <w:tcPr>
            <w:tcW w:w="1748" w:type="dxa"/>
          </w:tcPr>
          <w:p w14:paraId="34E4E0A8" w14:textId="77777777" w:rsidR="00BF22EA" w:rsidRPr="00797162" w:rsidRDefault="00BF22EA" w:rsidP="00CA1FBC">
            <w:pPr>
              <w:numPr>
                <w:ilvl w:val="0"/>
                <w:numId w:val="7"/>
              </w:numPr>
              <w:tabs>
                <w:tab w:val="clear" w:pos="709"/>
              </w:tabs>
              <w:ind w:left="0" w:firstLine="0"/>
              <w:rPr>
                <w:noProof/>
                <w:sz w:val="22"/>
              </w:rPr>
            </w:pPr>
          </w:p>
        </w:tc>
      </w:tr>
      <w:tr w:rsidR="00BF22EA" w:rsidRPr="00797162" w14:paraId="60CD906F" w14:textId="77777777" w:rsidTr="00BE7565">
        <w:trPr>
          <w:trHeight w:val="300"/>
        </w:trPr>
        <w:tc>
          <w:tcPr>
            <w:tcW w:w="1845" w:type="dxa"/>
          </w:tcPr>
          <w:p w14:paraId="3A3635E1" w14:textId="77777777" w:rsidR="00BF22EA" w:rsidRPr="00797162" w:rsidRDefault="00BF22EA" w:rsidP="00CA1FBC">
            <w:pPr>
              <w:numPr>
                <w:ilvl w:val="0"/>
                <w:numId w:val="7"/>
              </w:numPr>
              <w:tabs>
                <w:tab w:val="clear" w:pos="709"/>
              </w:tabs>
              <w:ind w:left="0" w:firstLine="0"/>
              <w:rPr>
                <w:noProof/>
                <w:sz w:val="22"/>
              </w:rPr>
            </w:pPr>
            <w:r w:rsidRPr="00797162">
              <w:rPr>
                <w:noProof/>
                <w:sz w:val="22"/>
              </w:rPr>
              <w:t>Koosseisuväline personal (lepingulised töötajad, riikide lähetatud eksperdid ja renditööjõud)</w:t>
            </w:r>
          </w:p>
        </w:tc>
        <w:tc>
          <w:tcPr>
            <w:tcW w:w="2031" w:type="dxa"/>
          </w:tcPr>
          <w:p w14:paraId="4CBDCD7B" w14:textId="77777777" w:rsidR="00BF22EA" w:rsidRPr="00797162" w:rsidRDefault="00BF22EA" w:rsidP="00CA1FBC">
            <w:pPr>
              <w:numPr>
                <w:ilvl w:val="0"/>
                <w:numId w:val="7"/>
              </w:numPr>
              <w:tabs>
                <w:tab w:val="clear" w:pos="709"/>
              </w:tabs>
              <w:ind w:left="0" w:firstLine="0"/>
              <w:rPr>
                <w:noProof/>
                <w:sz w:val="22"/>
              </w:rPr>
            </w:pPr>
            <w:r w:rsidRPr="00797162">
              <w:rPr>
                <w:noProof/>
                <w:sz w:val="22"/>
              </w:rPr>
              <w:t>26</w:t>
            </w:r>
          </w:p>
        </w:tc>
        <w:tc>
          <w:tcPr>
            <w:tcW w:w="1925" w:type="dxa"/>
          </w:tcPr>
          <w:p w14:paraId="2880D23C" w14:textId="77777777" w:rsidR="00BF22EA" w:rsidRPr="00797162" w:rsidRDefault="00BF22EA" w:rsidP="00CA1FBC">
            <w:pPr>
              <w:numPr>
                <w:ilvl w:val="0"/>
                <w:numId w:val="7"/>
              </w:numPr>
              <w:tabs>
                <w:tab w:val="clear" w:pos="709"/>
              </w:tabs>
              <w:ind w:left="0" w:firstLine="0"/>
              <w:rPr>
                <w:noProof/>
                <w:sz w:val="22"/>
              </w:rPr>
            </w:pPr>
            <w:r w:rsidRPr="00797162">
              <w:rPr>
                <w:noProof/>
                <w:sz w:val="22"/>
              </w:rPr>
              <w:t>10</w:t>
            </w:r>
          </w:p>
        </w:tc>
        <w:tc>
          <w:tcPr>
            <w:tcW w:w="1938" w:type="dxa"/>
          </w:tcPr>
          <w:p w14:paraId="710E0682" w14:textId="77777777" w:rsidR="00BF22EA" w:rsidRPr="00797162" w:rsidRDefault="00BF22EA" w:rsidP="00CA1FBC">
            <w:pPr>
              <w:numPr>
                <w:ilvl w:val="0"/>
                <w:numId w:val="7"/>
              </w:numPr>
              <w:tabs>
                <w:tab w:val="clear" w:pos="709"/>
              </w:tabs>
              <w:ind w:left="0" w:firstLine="0"/>
              <w:rPr>
                <w:noProof/>
                <w:sz w:val="22"/>
              </w:rPr>
            </w:pPr>
            <w:r w:rsidRPr="00797162">
              <w:rPr>
                <w:noProof/>
                <w:sz w:val="22"/>
              </w:rPr>
              <w:t>8</w:t>
            </w:r>
          </w:p>
        </w:tc>
        <w:tc>
          <w:tcPr>
            <w:tcW w:w="1748" w:type="dxa"/>
          </w:tcPr>
          <w:p w14:paraId="421CAAB4" w14:textId="77777777" w:rsidR="00BF22EA" w:rsidRPr="00797162" w:rsidRDefault="00BF22EA" w:rsidP="00CA1FBC">
            <w:pPr>
              <w:numPr>
                <w:ilvl w:val="0"/>
                <w:numId w:val="7"/>
              </w:numPr>
              <w:tabs>
                <w:tab w:val="clear" w:pos="709"/>
              </w:tabs>
              <w:ind w:left="0" w:firstLine="0"/>
              <w:rPr>
                <w:noProof/>
                <w:sz w:val="22"/>
              </w:rPr>
            </w:pPr>
          </w:p>
        </w:tc>
      </w:tr>
    </w:tbl>
    <w:p w14:paraId="492AD262" w14:textId="77777777" w:rsidR="00BF22EA" w:rsidRPr="00797162" w:rsidRDefault="00BF22EA" w:rsidP="00BF22EA">
      <w:pPr>
        <w:ind w:left="-426" w:right="-427"/>
        <w:rPr>
          <w:noProof/>
        </w:rPr>
      </w:pPr>
      <w:r w:rsidRPr="00797162">
        <w:rPr>
          <w:noProof/>
        </w:rPr>
        <w:t>Ülesannete kirjeldus:</w:t>
      </w:r>
    </w:p>
    <w:tbl>
      <w:tblPr>
        <w:tblW w:w="9501"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6261"/>
      </w:tblGrid>
      <w:tr w:rsidR="00BF22EA" w:rsidRPr="00797162" w14:paraId="03E00941" w14:textId="77777777" w:rsidTr="00BE7565">
        <w:tc>
          <w:tcPr>
            <w:tcW w:w="3240" w:type="dxa"/>
          </w:tcPr>
          <w:p w14:paraId="0AD5CE33" w14:textId="77777777" w:rsidR="00BF22EA" w:rsidRPr="00797162" w:rsidRDefault="00BF22EA" w:rsidP="00BE7565">
            <w:pPr>
              <w:rPr>
                <w:noProof/>
                <w:sz w:val="20"/>
              </w:rPr>
            </w:pPr>
            <w:r w:rsidRPr="00797162">
              <w:rPr>
                <w:noProof/>
                <w:sz w:val="20"/>
              </w:rPr>
              <w:t>Ametnikud ja ajutised töötajad</w:t>
            </w:r>
          </w:p>
        </w:tc>
        <w:tc>
          <w:tcPr>
            <w:tcW w:w="6261" w:type="dxa"/>
          </w:tcPr>
          <w:p w14:paraId="475430C6" w14:textId="77777777" w:rsidR="00BF22EA" w:rsidRPr="00797162" w:rsidRDefault="00BF22EA" w:rsidP="00BE7565">
            <w:pPr>
              <w:rPr>
                <w:noProof/>
                <w:sz w:val="20"/>
              </w:rPr>
            </w:pPr>
          </w:p>
        </w:tc>
      </w:tr>
      <w:tr w:rsidR="00BF22EA" w:rsidRPr="00797162" w14:paraId="086F652C" w14:textId="77777777" w:rsidTr="00BE7565">
        <w:tc>
          <w:tcPr>
            <w:tcW w:w="3240" w:type="dxa"/>
          </w:tcPr>
          <w:p w14:paraId="44CFB69D" w14:textId="77777777" w:rsidR="00BF22EA" w:rsidRPr="00797162" w:rsidRDefault="00BF22EA" w:rsidP="00BE7565">
            <w:pPr>
              <w:spacing w:before="60" w:after="60"/>
              <w:rPr>
                <w:noProof/>
                <w:sz w:val="20"/>
              </w:rPr>
            </w:pPr>
            <w:r w:rsidRPr="00797162">
              <w:rPr>
                <w:noProof/>
                <w:sz w:val="20"/>
              </w:rPr>
              <w:t>Koosseisuvälised töötajad</w:t>
            </w:r>
          </w:p>
        </w:tc>
        <w:tc>
          <w:tcPr>
            <w:tcW w:w="6261" w:type="dxa"/>
          </w:tcPr>
          <w:p w14:paraId="6F9D811F" w14:textId="77777777" w:rsidR="00BF22EA" w:rsidRPr="00797162" w:rsidRDefault="00BF22EA" w:rsidP="00BE7565">
            <w:pPr>
              <w:rPr>
                <w:noProof/>
                <w:sz w:val="20"/>
              </w:rPr>
            </w:pPr>
          </w:p>
        </w:tc>
      </w:tr>
    </w:tbl>
    <w:p w14:paraId="3488F378" w14:textId="77777777" w:rsidR="00BF22EA" w:rsidRPr="00797162" w:rsidRDefault="00BF22EA" w:rsidP="00BF22EA">
      <w:pPr>
        <w:keepNext/>
        <w:tabs>
          <w:tab w:val="left" w:pos="850"/>
        </w:tabs>
        <w:ind w:left="850" w:hanging="850"/>
        <w:outlineLvl w:val="2"/>
        <w:rPr>
          <w:i/>
          <w:noProof/>
        </w:rPr>
      </w:pPr>
      <w:bookmarkStart w:id="174" w:name="_Toc177549031"/>
      <w:r w:rsidRPr="00797162">
        <w:rPr>
          <w:i/>
          <w:noProof/>
        </w:rPr>
        <w:t>3.2.5.</w:t>
      </w:r>
      <w:r w:rsidRPr="00797162">
        <w:rPr>
          <w:noProof/>
        </w:rPr>
        <w:tab/>
      </w:r>
      <w:r w:rsidRPr="00797162">
        <w:rPr>
          <w:i/>
          <w:noProof/>
        </w:rPr>
        <w:t>Hinnanguline mõju digitehnoloogiaga seotud investeeringutele – ülevaade</w:t>
      </w:r>
      <w:bookmarkEnd w:id="174"/>
    </w:p>
    <w:tbl>
      <w:tblPr>
        <w:tblW w:w="5000" w:type="pct"/>
        <w:tblLook w:val="04A0" w:firstRow="1" w:lastRow="0" w:firstColumn="1" w:lastColumn="0" w:noHBand="0" w:noVBand="1"/>
      </w:tblPr>
      <w:tblGrid>
        <w:gridCol w:w="1712"/>
        <w:gridCol w:w="870"/>
        <w:gridCol w:w="870"/>
        <w:gridCol w:w="869"/>
        <w:gridCol w:w="870"/>
        <w:gridCol w:w="870"/>
        <w:gridCol w:w="870"/>
        <w:gridCol w:w="871"/>
        <w:gridCol w:w="1487"/>
      </w:tblGrid>
      <w:tr w:rsidR="00BF22EA" w:rsidRPr="00797162" w14:paraId="18DB6368" w14:textId="77777777" w:rsidTr="00BE7565">
        <w:trPr>
          <w:trHeight w:val="650"/>
        </w:trPr>
        <w:tc>
          <w:tcPr>
            <w:tcW w:w="792" w:type="pct"/>
            <w:vMerge w:val="restart"/>
            <w:tcBorders>
              <w:top w:val="single" w:sz="4" w:space="0" w:color="auto"/>
              <w:left w:val="single" w:sz="4" w:space="0" w:color="auto"/>
              <w:bottom w:val="single" w:sz="4" w:space="0" w:color="auto"/>
              <w:right w:val="single" w:sz="4" w:space="0" w:color="auto"/>
            </w:tcBorders>
            <w:vAlign w:val="center"/>
            <w:hideMark/>
          </w:tcPr>
          <w:p w14:paraId="04F11C10" w14:textId="77777777" w:rsidR="00BF22EA" w:rsidRPr="00797162" w:rsidRDefault="00BF22EA" w:rsidP="00BE7565">
            <w:pPr>
              <w:spacing w:before="0" w:after="0"/>
              <w:jc w:val="center"/>
              <w:rPr>
                <w:b/>
                <w:noProof/>
                <w:sz w:val="18"/>
              </w:rPr>
            </w:pPr>
            <w:r w:rsidRPr="00797162">
              <w:rPr>
                <w:b/>
                <w:noProof/>
                <w:sz w:val="18"/>
              </w:rPr>
              <w:t>Digi- ja IT-assigneeringud KOKKU</w:t>
            </w:r>
          </w:p>
        </w:tc>
        <w:tc>
          <w:tcPr>
            <w:tcW w:w="524" w:type="pct"/>
            <w:tcBorders>
              <w:top w:val="single" w:sz="4" w:space="0" w:color="auto"/>
              <w:left w:val="single" w:sz="4" w:space="0" w:color="auto"/>
              <w:bottom w:val="nil"/>
              <w:right w:val="single" w:sz="8" w:space="0" w:color="auto"/>
            </w:tcBorders>
            <w:vAlign w:val="center"/>
            <w:hideMark/>
          </w:tcPr>
          <w:p w14:paraId="30CE40A5" w14:textId="77777777" w:rsidR="00BF22EA" w:rsidRPr="00797162" w:rsidRDefault="00BF22EA" w:rsidP="00BE7565">
            <w:pPr>
              <w:spacing w:before="0" w:after="0"/>
              <w:jc w:val="center"/>
              <w:rPr>
                <w:noProof/>
                <w:sz w:val="18"/>
              </w:rPr>
            </w:pPr>
            <w:r w:rsidRPr="00797162">
              <w:rPr>
                <w:noProof/>
                <w:sz w:val="18"/>
              </w:rPr>
              <w:t>Aasta</w:t>
            </w:r>
          </w:p>
        </w:tc>
        <w:tc>
          <w:tcPr>
            <w:tcW w:w="524" w:type="pct"/>
            <w:tcBorders>
              <w:top w:val="single" w:sz="4" w:space="0" w:color="auto"/>
              <w:left w:val="nil"/>
              <w:bottom w:val="nil"/>
              <w:right w:val="single" w:sz="8" w:space="0" w:color="auto"/>
            </w:tcBorders>
            <w:vAlign w:val="center"/>
            <w:hideMark/>
          </w:tcPr>
          <w:p w14:paraId="7392C192" w14:textId="77777777" w:rsidR="00BF22EA" w:rsidRPr="00797162" w:rsidRDefault="00BF22EA" w:rsidP="00BE7565">
            <w:pPr>
              <w:spacing w:before="0" w:after="0"/>
              <w:jc w:val="center"/>
              <w:rPr>
                <w:noProof/>
                <w:sz w:val="18"/>
              </w:rPr>
            </w:pPr>
            <w:r w:rsidRPr="00797162">
              <w:rPr>
                <w:noProof/>
                <w:sz w:val="18"/>
              </w:rPr>
              <w:t>Aasta</w:t>
            </w:r>
          </w:p>
        </w:tc>
        <w:tc>
          <w:tcPr>
            <w:tcW w:w="523" w:type="pct"/>
            <w:tcBorders>
              <w:top w:val="single" w:sz="4" w:space="0" w:color="auto"/>
              <w:left w:val="nil"/>
              <w:bottom w:val="nil"/>
              <w:right w:val="single" w:sz="8" w:space="0" w:color="auto"/>
            </w:tcBorders>
            <w:vAlign w:val="center"/>
            <w:hideMark/>
          </w:tcPr>
          <w:p w14:paraId="6018F0C1" w14:textId="77777777" w:rsidR="00BF22EA" w:rsidRPr="00797162" w:rsidRDefault="00BF22EA" w:rsidP="00BE7565">
            <w:pPr>
              <w:spacing w:before="0" w:after="0"/>
              <w:jc w:val="center"/>
              <w:rPr>
                <w:noProof/>
                <w:sz w:val="18"/>
              </w:rPr>
            </w:pPr>
            <w:r w:rsidRPr="00797162">
              <w:rPr>
                <w:noProof/>
                <w:sz w:val="18"/>
              </w:rPr>
              <w:t>Aasta</w:t>
            </w:r>
          </w:p>
        </w:tc>
        <w:tc>
          <w:tcPr>
            <w:tcW w:w="524" w:type="pct"/>
            <w:tcBorders>
              <w:top w:val="single" w:sz="4" w:space="0" w:color="auto"/>
              <w:left w:val="nil"/>
              <w:bottom w:val="nil"/>
              <w:right w:val="single" w:sz="8" w:space="0" w:color="auto"/>
            </w:tcBorders>
            <w:vAlign w:val="center"/>
            <w:hideMark/>
          </w:tcPr>
          <w:p w14:paraId="37D8F98D" w14:textId="77777777" w:rsidR="00BF22EA" w:rsidRPr="00797162" w:rsidRDefault="00BF22EA" w:rsidP="00BE7565">
            <w:pPr>
              <w:spacing w:before="0" w:after="0"/>
              <w:jc w:val="center"/>
              <w:rPr>
                <w:noProof/>
                <w:sz w:val="18"/>
              </w:rPr>
            </w:pPr>
            <w:r w:rsidRPr="00797162">
              <w:rPr>
                <w:noProof/>
                <w:sz w:val="18"/>
              </w:rPr>
              <w:t>Aasta</w:t>
            </w:r>
          </w:p>
        </w:tc>
        <w:tc>
          <w:tcPr>
            <w:tcW w:w="524" w:type="pct"/>
            <w:tcBorders>
              <w:top w:val="single" w:sz="4" w:space="0" w:color="auto"/>
              <w:left w:val="nil"/>
              <w:bottom w:val="nil"/>
              <w:right w:val="single" w:sz="8" w:space="0" w:color="auto"/>
            </w:tcBorders>
            <w:vAlign w:val="center"/>
            <w:hideMark/>
          </w:tcPr>
          <w:p w14:paraId="19EA5D1C" w14:textId="77777777" w:rsidR="00BF22EA" w:rsidRPr="00797162" w:rsidRDefault="00BF22EA" w:rsidP="00BE7565">
            <w:pPr>
              <w:spacing w:before="0" w:after="0"/>
              <w:jc w:val="center"/>
              <w:rPr>
                <w:noProof/>
                <w:sz w:val="18"/>
              </w:rPr>
            </w:pPr>
            <w:r w:rsidRPr="00797162">
              <w:rPr>
                <w:noProof/>
                <w:sz w:val="18"/>
              </w:rPr>
              <w:t>Aasta</w:t>
            </w:r>
          </w:p>
        </w:tc>
        <w:tc>
          <w:tcPr>
            <w:tcW w:w="524" w:type="pct"/>
            <w:tcBorders>
              <w:top w:val="single" w:sz="4" w:space="0" w:color="auto"/>
              <w:left w:val="nil"/>
              <w:bottom w:val="nil"/>
              <w:right w:val="single" w:sz="8" w:space="0" w:color="auto"/>
            </w:tcBorders>
            <w:vAlign w:val="center"/>
            <w:hideMark/>
          </w:tcPr>
          <w:p w14:paraId="4F02A834" w14:textId="77777777" w:rsidR="00BF22EA" w:rsidRPr="00797162" w:rsidRDefault="00BF22EA" w:rsidP="00BE7565">
            <w:pPr>
              <w:spacing w:before="0" w:after="0"/>
              <w:jc w:val="center"/>
              <w:rPr>
                <w:noProof/>
                <w:sz w:val="18"/>
              </w:rPr>
            </w:pPr>
            <w:r w:rsidRPr="00797162">
              <w:rPr>
                <w:noProof/>
                <w:sz w:val="18"/>
              </w:rPr>
              <w:t>Aasta</w:t>
            </w:r>
          </w:p>
        </w:tc>
        <w:tc>
          <w:tcPr>
            <w:tcW w:w="524" w:type="pct"/>
            <w:tcBorders>
              <w:top w:val="single" w:sz="4" w:space="0" w:color="auto"/>
              <w:left w:val="nil"/>
              <w:bottom w:val="nil"/>
              <w:right w:val="single" w:sz="4" w:space="0" w:color="auto"/>
            </w:tcBorders>
            <w:vAlign w:val="center"/>
            <w:hideMark/>
          </w:tcPr>
          <w:p w14:paraId="33FBB31A" w14:textId="77777777" w:rsidR="00BF22EA" w:rsidRPr="00797162" w:rsidRDefault="00BF22EA" w:rsidP="00BE7565">
            <w:pPr>
              <w:spacing w:before="0" w:after="0"/>
              <w:jc w:val="center"/>
              <w:rPr>
                <w:noProof/>
                <w:sz w:val="18"/>
              </w:rPr>
            </w:pPr>
            <w:r w:rsidRPr="00797162">
              <w:rPr>
                <w:noProof/>
                <w:sz w:val="18"/>
              </w:rPr>
              <w:t>Aasta</w:t>
            </w:r>
          </w:p>
        </w:tc>
        <w:tc>
          <w:tcPr>
            <w:tcW w:w="543" w:type="pct"/>
            <w:vMerge w:val="restart"/>
            <w:tcBorders>
              <w:top w:val="single" w:sz="4" w:space="0" w:color="auto"/>
              <w:left w:val="single" w:sz="4" w:space="0" w:color="auto"/>
              <w:bottom w:val="single" w:sz="8" w:space="0" w:color="000000" w:themeColor="text1"/>
              <w:right w:val="single" w:sz="4" w:space="0" w:color="auto"/>
            </w:tcBorders>
            <w:vAlign w:val="center"/>
            <w:hideMark/>
          </w:tcPr>
          <w:p w14:paraId="5A12A89D" w14:textId="77777777" w:rsidR="00BF22EA" w:rsidRPr="00797162" w:rsidRDefault="00BF22EA" w:rsidP="00BE7565">
            <w:pPr>
              <w:spacing w:before="0" w:after="0"/>
              <w:jc w:val="center"/>
              <w:rPr>
                <w:b/>
                <w:noProof/>
                <w:sz w:val="18"/>
              </w:rPr>
            </w:pPr>
            <w:r w:rsidRPr="00797162">
              <w:rPr>
                <w:b/>
                <w:noProof/>
                <w:sz w:val="18"/>
              </w:rPr>
              <w:t>Mitmeaastane finantsraamistik 2028–2034 KOKKU</w:t>
            </w:r>
          </w:p>
        </w:tc>
      </w:tr>
      <w:tr w:rsidR="00BF22EA" w:rsidRPr="00797162" w14:paraId="0A89A445" w14:textId="77777777" w:rsidTr="00BE7565">
        <w:trPr>
          <w:trHeight w:val="300"/>
        </w:trPr>
        <w:tc>
          <w:tcPr>
            <w:tcW w:w="792" w:type="pct"/>
            <w:vMerge/>
            <w:tcBorders>
              <w:left w:val="single" w:sz="4" w:space="0" w:color="auto"/>
              <w:right w:val="single" w:sz="4" w:space="0" w:color="auto"/>
            </w:tcBorders>
            <w:vAlign w:val="center"/>
            <w:hideMark/>
          </w:tcPr>
          <w:p w14:paraId="3381547D" w14:textId="77777777" w:rsidR="00BF22EA" w:rsidRPr="00797162" w:rsidRDefault="00BF22EA" w:rsidP="00BE7565">
            <w:pPr>
              <w:spacing w:before="0" w:after="0"/>
              <w:jc w:val="left"/>
              <w:rPr>
                <w:b/>
                <w:noProof/>
                <w:sz w:val="18"/>
              </w:rPr>
            </w:pPr>
          </w:p>
        </w:tc>
        <w:tc>
          <w:tcPr>
            <w:tcW w:w="524" w:type="pct"/>
            <w:tcBorders>
              <w:top w:val="nil"/>
              <w:left w:val="single" w:sz="4" w:space="0" w:color="auto"/>
              <w:bottom w:val="single" w:sz="4" w:space="0" w:color="auto"/>
              <w:right w:val="single" w:sz="8" w:space="0" w:color="auto"/>
            </w:tcBorders>
            <w:vAlign w:val="center"/>
            <w:hideMark/>
          </w:tcPr>
          <w:p w14:paraId="039312BC" w14:textId="77777777" w:rsidR="00BF22EA" w:rsidRPr="00797162" w:rsidRDefault="00BF22EA" w:rsidP="00BE7565">
            <w:pPr>
              <w:spacing w:before="0" w:after="0"/>
              <w:jc w:val="center"/>
              <w:rPr>
                <w:b/>
                <w:noProof/>
                <w:sz w:val="18"/>
              </w:rPr>
            </w:pPr>
            <w:r w:rsidRPr="00797162">
              <w:rPr>
                <w:b/>
                <w:noProof/>
                <w:sz w:val="18"/>
              </w:rPr>
              <w:t>2028</w:t>
            </w:r>
          </w:p>
        </w:tc>
        <w:tc>
          <w:tcPr>
            <w:tcW w:w="524" w:type="pct"/>
            <w:tcBorders>
              <w:top w:val="nil"/>
              <w:left w:val="nil"/>
              <w:bottom w:val="single" w:sz="4" w:space="0" w:color="auto"/>
              <w:right w:val="single" w:sz="8" w:space="0" w:color="auto"/>
            </w:tcBorders>
            <w:vAlign w:val="center"/>
            <w:hideMark/>
          </w:tcPr>
          <w:p w14:paraId="3C42692C" w14:textId="77777777" w:rsidR="00BF22EA" w:rsidRPr="00797162" w:rsidRDefault="00BF22EA" w:rsidP="00BE7565">
            <w:pPr>
              <w:spacing w:before="0" w:after="0"/>
              <w:jc w:val="center"/>
              <w:rPr>
                <w:b/>
                <w:noProof/>
                <w:sz w:val="18"/>
              </w:rPr>
            </w:pPr>
            <w:r w:rsidRPr="00797162">
              <w:rPr>
                <w:b/>
                <w:noProof/>
                <w:sz w:val="18"/>
              </w:rPr>
              <w:t>2029</w:t>
            </w:r>
          </w:p>
        </w:tc>
        <w:tc>
          <w:tcPr>
            <w:tcW w:w="523" w:type="pct"/>
            <w:tcBorders>
              <w:top w:val="nil"/>
              <w:left w:val="nil"/>
              <w:bottom w:val="single" w:sz="4" w:space="0" w:color="auto"/>
              <w:right w:val="single" w:sz="8" w:space="0" w:color="auto"/>
            </w:tcBorders>
            <w:vAlign w:val="center"/>
            <w:hideMark/>
          </w:tcPr>
          <w:p w14:paraId="5AC9A3A3" w14:textId="77777777" w:rsidR="00BF22EA" w:rsidRPr="00797162" w:rsidRDefault="00BF22EA" w:rsidP="00BE7565">
            <w:pPr>
              <w:spacing w:before="0" w:after="0"/>
              <w:jc w:val="center"/>
              <w:rPr>
                <w:b/>
                <w:noProof/>
                <w:sz w:val="18"/>
              </w:rPr>
            </w:pPr>
            <w:r w:rsidRPr="00797162">
              <w:rPr>
                <w:b/>
                <w:noProof/>
                <w:sz w:val="18"/>
              </w:rPr>
              <w:t>2030</w:t>
            </w:r>
          </w:p>
        </w:tc>
        <w:tc>
          <w:tcPr>
            <w:tcW w:w="524" w:type="pct"/>
            <w:tcBorders>
              <w:top w:val="nil"/>
              <w:left w:val="nil"/>
              <w:bottom w:val="single" w:sz="4" w:space="0" w:color="auto"/>
              <w:right w:val="single" w:sz="8" w:space="0" w:color="auto"/>
            </w:tcBorders>
            <w:vAlign w:val="center"/>
            <w:hideMark/>
          </w:tcPr>
          <w:p w14:paraId="04977837" w14:textId="77777777" w:rsidR="00BF22EA" w:rsidRPr="00797162" w:rsidRDefault="00BF22EA" w:rsidP="00BE7565">
            <w:pPr>
              <w:spacing w:before="0" w:after="0"/>
              <w:jc w:val="center"/>
              <w:rPr>
                <w:b/>
                <w:noProof/>
                <w:sz w:val="18"/>
              </w:rPr>
            </w:pPr>
            <w:r w:rsidRPr="00797162">
              <w:rPr>
                <w:b/>
                <w:noProof/>
                <w:sz w:val="18"/>
              </w:rPr>
              <w:t>2031</w:t>
            </w:r>
          </w:p>
        </w:tc>
        <w:tc>
          <w:tcPr>
            <w:tcW w:w="524" w:type="pct"/>
            <w:tcBorders>
              <w:top w:val="nil"/>
              <w:left w:val="nil"/>
              <w:bottom w:val="single" w:sz="4" w:space="0" w:color="auto"/>
              <w:right w:val="single" w:sz="8" w:space="0" w:color="auto"/>
            </w:tcBorders>
            <w:vAlign w:val="center"/>
            <w:hideMark/>
          </w:tcPr>
          <w:p w14:paraId="41EB7AD8" w14:textId="77777777" w:rsidR="00BF22EA" w:rsidRPr="00797162" w:rsidRDefault="00BF22EA" w:rsidP="00BE7565">
            <w:pPr>
              <w:spacing w:before="0" w:after="0"/>
              <w:jc w:val="center"/>
              <w:rPr>
                <w:b/>
                <w:noProof/>
                <w:sz w:val="18"/>
              </w:rPr>
            </w:pPr>
            <w:r w:rsidRPr="00797162">
              <w:rPr>
                <w:b/>
                <w:noProof/>
                <w:sz w:val="18"/>
              </w:rPr>
              <w:t>2032</w:t>
            </w:r>
          </w:p>
        </w:tc>
        <w:tc>
          <w:tcPr>
            <w:tcW w:w="524" w:type="pct"/>
            <w:tcBorders>
              <w:top w:val="nil"/>
              <w:left w:val="nil"/>
              <w:bottom w:val="single" w:sz="4" w:space="0" w:color="auto"/>
              <w:right w:val="single" w:sz="8" w:space="0" w:color="auto"/>
            </w:tcBorders>
            <w:vAlign w:val="center"/>
            <w:hideMark/>
          </w:tcPr>
          <w:p w14:paraId="01D49866" w14:textId="77777777" w:rsidR="00BF22EA" w:rsidRPr="00797162" w:rsidRDefault="00BF22EA" w:rsidP="00BE7565">
            <w:pPr>
              <w:spacing w:before="0" w:after="0"/>
              <w:jc w:val="center"/>
              <w:rPr>
                <w:b/>
                <w:noProof/>
                <w:sz w:val="18"/>
              </w:rPr>
            </w:pPr>
            <w:r w:rsidRPr="00797162">
              <w:rPr>
                <w:b/>
                <w:noProof/>
                <w:sz w:val="18"/>
              </w:rPr>
              <w:t>2033</w:t>
            </w:r>
          </w:p>
        </w:tc>
        <w:tc>
          <w:tcPr>
            <w:tcW w:w="524" w:type="pct"/>
            <w:tcBorders>
              <w:top w:val="nil"/>
              <w:left w:val="nil"/>
              <w:bottom w:val="single" w:sz="4" w:space="0" w:color="auto"/>
              <w:right w:val="single" w:sz="4" w:space="0" w:color="auto"/>
            </w:tcBorders>
            <w:vAlign w:val="center"/>
            <w:hideMark/>
          </w:tcPr>
          <w:p w14:paraId="53E7320F" w14:textId="77777777" w:rsidR="00BF22EA" w:rsidRPr="00797162" w:rsidRDefault="00BF22EA" w:rsidP="00BE7565">
            <w:pPr>
              <w:spacing w:before="0" w:after="0"/>
              <w:jc w:val="center"/>
              <w:rPr>
                <w:b/>
                <w:noProof/>
                <w:sz w:val="18"/>
              </w:rPr>
            </w:pPr>
            <w:r w:rsidRPr="00797162">
              <w:rPr>
                <w:b/>
                <w:noProof/>
                <w:sz w:val="18"/>
              </w:rPr>
              <w:t>2034</w:t>
            </w:r>
          </w:p>
        </w:tc>
        <w:tc>
          <w:tcPr>
            <w:tcW w:w="543" w:type="pct"/>
            <w:vMerge/>
            <w:tcBorders>
              <w:left w:val="single" w:sz="4" w:space="0" w:color="auto"/>
              <w:right w:val="single" w:sz="4" w:space="0" w:color="auto"/>
            </w:tcBorders>
            <w:vAlign w:val="center"/>
            <w:hideMark/>
          </w:tcPr>
          <w:p w14:paraId="67783B59" w14:textId="77777777" w:rsidR="00BF22EA" w:rsidRPr="00797162" w:rsidRDefault="00BF22EA" w:rsidP="00BE7565">
            <w:pPr>
              <w:spacing w:before="0" w:after="0"/>
              <w:jc w:val="left"/>
              <w:rPr>
                <w:b/>
                <w:noProof/>
                <w:sz w:val="18"/>
              </w:rPr>
            </w:pPr>
          </w:p>
        </w:tc>
      </w:tr>
      <w:tr w:rsidR="00BF22EA" w:rsidRPr="00797162" w14:paraId="1EEE22FD" w14:textId="77777777" w:rsidTr="00BE7565">
        <w:trPr>
          <w:trHeight w:val="300"/>
        </w:trPr>
        <w:tc>
          <w:tcPr>
            <w:tcW w:w="5000" w:type="pct"/>
            <w:gridSpan w:val="9"/>
            <w:tcBorders>
              <w:top w:val="nil"/>
              <w:left w:val="single" w:sz="4" w:space="0" w:color="auto"/>
              <w:bottom w:val="single" w:sz="4" w:space="0" w:color="auto"/>
              <w:right w:val="single" w:sz="4" w:space="0" w:color="auto"/>
            </w:tcBorders>
            <w:vAlign w:val="center"/>
            <w:hideMark/>
          </w:tcPr>
          <w:p w14:paraId="5D6FA3DC" w14:textId="77777777" w:rsidR="00BF22EA" w:rsidRPr="00797162" w:rsidRDefault="00BF22EA" w:rsidP="00BE7565">
            <w:pPr>
              <w:spacing w:before="0" w:after="0"/>
              <w:jc w:val="left"/>
              <w:rPr>
                <w:b/>
                <w:noProof/>
                <w:sz w:val="16"/>
              </w:rPr>
            </w:pPr>
            <w:r w:rsidRPr="00797162">
              <w:rPr>
                <w:b/>
                <w:noProof/>
                <w:sz w:val="16"/>
              </w:rPr>
              <w:t>RUBRIIK 4</w:t>
            </w:r>
          </w:p>
        </w:tc>
      </w:tr>
      <w:tr w:rsidR="00BF22EA" w:rsidRPr="00797162" w14:paraId="32FCDB04" w14:textId="77777777" w:rsidTr="00BE7565">
        <w:trPr>
          <w:trHeight w:val="790"/>
        </w:trPr>
        <w:tc>
          <w:tcPr>
            <w:tcW w:w="792" w:type="pct"/>
            <w:tcBorders>
              <w:top w:val="single" w:sz="4" w:space="0" w:color="auto"/>
              <w:left w:val="single" w:sz="8" w:space="0" w:color="auto"/>
              <w:bottom w:val="single" w:sz="8" w:space="0" w:color="auto"/>
              <w:right w:val="single" w:sz="4" w:space="0" w:color="auto"/>
            </w:tcBorders>
            <w:vAlign w:val="center"/>
            <w:hideMark/>
          </w:tcPr>
          <w:p w14:paraId="30C10540" w14:textId="77777777" w:rsidR="00BF22EA" w:rsidRPr="00797162" w:rsidRDefault="00BF22EA" w:rsidP="00BE7565">
            <w:pPr>
              <w:spacing w:before="0" w:after="0"/>
              <w:jc w:val="left"/>
              <w:rPr>
                <w:rFonts w:ascii="Arial Narrow" w:hAnsi="Arial Narrow"/>
                <w:noProof/>
                <w:sz w:val="20"/>
              </w:rPr>
            </w:pPr>
            <w:r w:rsidRPr="00797162">
              <w:rPr>
                <w:rFonts w:ascii="Arial Narrow" w:hAnsi="Arial Narrow"/>
                <w:noProof/>
                <w:sz w:val="20"/>
              </w:rPr>
              <w:t>Institutsiooni tasandi IT-kulud</w:t>
            </w:r>
            <w:r w:rsidRPr="00797162">
              <w:rPr>
                <w:noProof/>
                <w:sz w:val="16"/>
              </w:rPr>
              <w:t xml:space="preserve"> </w:t>
            </w:r>
          </w:p>
        </w:tc>
        <w:tc>
          <w:tcPr>
            <w:tcW w:w="524" w:type="pct"/>
            <w:tcBorders>
              <w:top w:val="single" w:sz="4" w:space="0" w:color="auto"/>
              <w:left w:val="single" w:sz="4" w:space="0" w:color="auto"/>
              <w:bottom w:val="single" w:sz="8" w:space="0" w:color="auto"/>
              <w:right w:val="single" w:sz="8" w:space="0" w:color="auto"/>
            </w:tcBorders>
            <w:shd w:val="clear" w:color="auto" w:fill="D9D9D9" w:themeFill="background1" w:themeFillShade="D9"/>
            <w:vAlign w:val="center"/>
            <w:hideMark/>
          </w:tcPr>
          <w:p w14:paraId="77F32AB5" w14:textId="77777777" w:rsidR="00BF22EA" w:rsidRPr="00797162" w:rsidRDefault="00BF22EA" w:rsidP="00BE7565">
            <w:pPr>
              <w:spacing w:before="0" w:after="0"/>
              <w:jc w:val="right"/>
              <w:rPr>
                <w:noProof/>
                <w:sz w:val="16"/>
                <w:szCs w:val="16"/>
              </w:rPr>
            </w:pPr>
            <w:r w:rsidRPr="00797162">
              <w:rPr>
                <w:noProof/>
                <w:sz w:val="16"/>
              </w:rPr>
              <w:t>0,763</w:t>
            </w:r>
          </w:p>
        </w:tc>
        <w:tc>
          <w:tcPr>
            <w:tcW w:w="524" w:type="pct"/>
            <w:tcBorders>
              <w:top w:val="single" w:sz="4" w:space="0" w:color="auto"/>
              <w:left w:val="nil"/>
              <w:bottom w:val="single" w:sz="8" w:space="0" w:color="auto"/>
              <w:right w:val="single" w:sz="8" w:space="0" w:color="auto"/>
            </w:tcBorders>
            <w:shd w:val="clear" w:color="auto" w:fill="D9D9D9" w:themeFill="background1" w:themeFillShade="D9"/>
            <w:vAlign w:val="center"/>
            <w:hideMark/>
          </w:tcPr>
          <w:p w14:paraId="46BA6660" w14:textId="77777777" w:rsidR="00BF22EA" w:rsidRPr="00797162" w:rsidRDefault="00BF22EA" w:rsidP="00BE7565">
            <w:pPr>
              <w:spacing w:before="0" w:after="0"/>
              <w:jc w:val="right"/>
              <w:rPr>
                <w:noProof/>
                <w:sz w:val="16"/>
                <w:szCs w:val="16"/>
              </w:rPr>
            </w:pPr>
            <w:r w:rsidRPr="00797162">
              <w:rPr>
                <w:noProof/>
                <w:sz w:val="16"/>
              </w:rPr>
              <w:t>0,763</w:t>
            </w:r>
          </w:p>
        </w:tc>
        <w:tc>
          <w:tcPr>
            <w:tcW w:w="523" w:type="pct"/>
            <w:tcBorders>
              <w:top w:val="single" w:sz="4" w:space="0" w:color="auto"/>
              <w:left w:val="nil"/>
              <w:bottom w:val="single" w:sz="8" w:space="0" w:color="auto"/>
              <w:right w:val="single" w:sz="8" w:space="0" w:color="auto"/>
            </w:tcBorders>
            <w:shd w:val="clear" w:color="auto" w:fill="D9D9D9" w:themeFill="background1" w:themeFillShade="D9"/>
            <w:vAlign w:val="center"/>
            <w:hideMark/>
          </w:tcPr>
          <w:p w14:paraId="77F65E31" w14:textId="77777777" w:rsidR="00BF22EA" w:rsidRPr="00797162" w:rsidRDefault="00BF22EA" w:rsidP="00BE7565">
            <w:pPr>
              <w:spacing w:before="0" w:after="0"/>
              <w:jc w:val="right"/>
              <w:rPr>
                <w:noProof/>
                <w:sz w:val="16"/>
                <w:szCs w:val="16"/>
              </w:rPr>
            </w:pPr>
            <w:r w:rsidRPr="00797162">
              <w:rPr>
                <w:noProof/>
                <w:sz w:val="16"/>
              </w:rPr>
              <w:t>0,763</w:t>
            </w:r>
          </w:p>
        </w:tc>
        <w:tc>
          <w:tcPr>
            <w:tcW w:w="524" w:type="pct"/>
            <w:tcBorders>
              <w:top w:val="single" w:sz="4" w:space="0" w:color="auto"/>
              <w:left w:val="nil"/>
              <w:bottom w:val="single" w:sz="8" w:space="0" w:color="auto"/>
              <w:right w:val="single" w:sz="8" w:space="0" w:color="auto"/>
            </w:tcBorders>
            <w:shd w:val="clear" w:color="auto" w:fill="D9D9D9" w:themeFill="background1" w:themeFillShade="D9"/>
            <w:vAlign w:val="center"/>
            <w:hideMark/>
          </w:tcPr>
          <w:p w14:paraId="41887E87" w14:textId="77777777" w:rsidR="00BF22EA" w:rsidRPr="00797162" w:rsidRDefault="00BF22EA" w:rsidP="00BE7565">
            <w:pPr>
              <w:spacing w:before="0" w:after="0"/>
              <w:jc w:val="right"/>
              <w:rPr>
                <w:noProof/>
                <w:sz w:val="16"/>
                <w:szCs w:val="16"/>
              </w:rPr>
            </w:pPr>
            <w:r w:rsidRPr="00797162">
              <w:rPr>
                <w:noProof/>
                <w:sz w:val="16"/>
              </w:rPr>
              <w:t>0,763</w:t>
            </w:r>
          </w:p>
        </w:tc>
        <w:tc>
          <w:tcPr>
            <w:tcW w:w="524" w:type="pct"/>
            <w:tcBorders>
              <w:top w:val="single" w:sz="4" w:space="0" w:color="auto"/>
              <w:left w:val="nil"/>
              <w:bottom w:val="single" w:sz="8" w:space="0" w:color="auto"/>
              <w:right w:val="single" w:sz="8" w:space="0" w:color="auto"/>
            </w:tcBorders>
            <w:shd w:val="clear" w:color="auto" w:fill="D9D9D9" w:themeFill="background1" w:themeFillShade="D9"/>
            <w:vAlign w:val="center"/>
            <w:hideMark/>
          </w:tcPr>
          <w:p w14:paraId="2C6ADD48" w14:textId="77777777" w:rsidR="00BF22EA" w:rsidRPr="00797162" w:rsidRDefault="00BF22EA" w:rsidP="00BE7565">
            <w:pPr>
              <w:spacing w:before="0" w:after="0"/>
              <w:jc w:val="right"/>
              <w:rPr>
                <w:noProof/>
                <w:sz w:val="16"/>
                <w:szCs w:val="16"/>
              </w:rPr>
            </w:pPr>
            <w:r w:rsidRPr="00797162">
              <w:rPr>
                <w:noProof/>
                <w:sz w:val="16"/>
              </w:rPr>
              <w:t>0,763</w:t>
            </w:r>
          </w:p>
        </w:tc>
        <w:tc>
          <w:tcPr>
            <w:tcW w:w="524" w:type="pct"/>
            <w:tcBorders>
              <w:top w:val="single" w:sz="4" w:space="0" w:color="auto"/>
              <w:left w:val="nil"/>
              <w:bottom w:val="single" w:sz="8" w:space="0" w:color="auto"/>
              <w:right w:val="single" w:sz="8" w:space="0" w:color="auto"/>
            </w:tcBorders>
            <w:shd w:val="clear" w:color="auto" w:fill="D9D9D9" w:themeFill="background1" w:themeFillShade="D9"/>
            <w:vAlign w:val="center"/>
            <w:hideMark/>
          </w:tcPr>
          <w:p w14:paraId="1AB7DDA3" w14:textId="77777777" w:rsidR="00BF22EA" w:rsidRPr="00797162" w:rsidRDefault="00BF22EA" w:rsidP="00BE7565">
            <w:pPr>
              <w:spacing w:before="0" w:after="0"/>
              <w:jc w:val="right"/>
              <w:rPr>
                <w:noProof/>
                <w:sz w:val="16"/>
                <w:szCs w:val="16"/>
              </w:rPr>
            </w:pPr>
            <w:r w:rsidRPr="00797162">
              <w:rPr>
                <w:noProof/>
                <w:sz w:val="16"/>
              </w:rPr>
              <w:t>0,763</w:t>
            </w:r>
          </w:p>
        </w:tc>
        <w:tc>
          <w:tcPr>
            <w:tcW w:w="524" w:type="pct"/>
            <w:tcBorders>
              <w:top w:val="single" w:sz="4" w:space="0" w:color="auto"/>
              <w:left w:val="nil"/>
              <w:bottom w:val="single" w:sz="8" w:space="0" w:color="auto"/>
              <w:right w:val="single" w:sz="8" w:space="0" w:color="auto"/>
            </w:tcBorders>
            <w:shd w:val="clear" w:color="auto" w:fill="D9D9D9" w:themeFill="background1" w:themeFillShade="D9"/>
            <w:vAlign w:val="center"/>
            <w:hideMark/>
          </w:tcPr>
          <w:p w14:paraId="1ABE7ED3" w14:textId="77777777" w:rsidR="00BF22EA" w:rsidRPr="00797162" w:rsidRDefault="00BF22EA" w:rsidP="00BE7565">
            <w:pPr>
              <w:spacing w:before="0" w:after="0"/>
              <w:jc w:val="right"/>
              <w:rPr>
                <w:noProof/>
                <w:sz w:val="16"/>
                <w:szCs w:val="16"/>
              </w:rPr>
            </w:pPr>
            <w:r w:rsidRPr="00797162">
              <w:rPr>
                <w:noProof/>
                <w:sz w:val="16"/>
              </w:rPr>
              <w:t>0,763</w:t>
            </w:r>
          </w:p>
        </w:tc>
        <w:tc>
          <w:tcPr>
            <w:tcW w:w="543" w:type="pct"/>
            <w:tcBorders>
              <w:top w:val="single" w:sz="4" w:space="0" w:color="auto"/>
              <w:left w:val="nil"/>
              <w:bottom w:val="single" w:sz="8" w:space="0" w:color="auto"/>
              <w:right w:val="single" w:sz="8" w:space="0" w:color="auto"/>
            </w:tcBorders>
            <w:shd w:val="clear" w:color="auto" w:fill="D9D9D9" w:themeFill="background1" w:themeFillShade="D9"/>
            <w:vAlign w:val="center"/>
            <w:hideMark/>
          </w:tcPr>
          <w:p w14:paraId="19141881" w14:textId="77777777" w:rsidR="00BF22EA" w:rsidRPr="00797162" w:rsidRDefault="00BF22EA" w:rsidP="00BE7565">
            <w:pPr>
              <w:spacing w:before="0" w:after="0"/>
              <w:jc w:val="right"/>
              <w:rPr>
                <w:b/>
                <w:bCs/>
                <w:noProof/>
                <w:sz w:val="16"/>
                <w:szCs w:val="16"/>
              </w:rPr>
            </w:pPr>
            <w:r w:rsidRPr="00797162">
              <w:rPr>
                <w:b/>
                <w:noProof/>
                <w:sz w:val="16"/>
              </w:rPr>
              <w:t>5,341</w:t>
            </w:r>
          </w:p>
        </w:tc>
      </w:tr>
      <w:tr w:rsidR="00BF22EA" w:rsidRPr="00797162" w14:paraId="4FA01660" w14:textId="77777777" w:rsidTr="00BE7565">
        <w:trPr>
          <w:trHeight w:val="430"/>
        </w:trPr>
        <w:tc>
          <w:tcPr>
            <w:tcW w:w="792" w:type="pct"/>
            <w:tcBorders>
              <w:top w:val="nil"/>
              <w:left w:val="single" w:sz="8" w:space="0" w:color="auto"/>
              <w:bottom w:val="single" w:sz="8" w:space="0" w:color="auto"/>
              <w:right w:val="single" w:sz="4" w:space="0" w:color="auto"/>
            </w:tcBorders>
            <w:shd w:val="clear" w:color="auto" w:fill="CCCCCC"/>
            <w:vAlign w:val="center"/>
            <w:hideMark/>
          </w:tcPr>
          <w:p w14:paraId="296AED3D" w14:textId="77777777" w:rsidR="00BF22EA" w:rsidRPr="00797162" w:rsidRDefault="00BF22EA" w:rsidP="00BE7565">
            <w:pPr>
              <w:spacing w:before="0" w:after="0"/>
              <w:jc w:val="center"/>
              <w:rPr>
                <w:b/>
                <w:noProof/>
                <w:sz w:val="16"/>
              </w:rPr>
            </w:pPr>
            <w:r w:rsidRPr="00797162">
              <w:rPr>
                <w:b/>
                <w:noProof/>
                <w:sz w:val="16"/>
              </w:rPr>
              <w:t>RUBRIIK 4 kokku</w:t>
            </w:r>
          </w:p>
        </w:tc>
        <w:tc>
          <w:tcPr>
            <w:tcW w:w="524" w:type="pct"/>
            <w:tcBorders>
              <w:top w:val="nil"/>
              <w:left w:val="single" w:sz="4" w:space="0" w:color="auto"/>
              <w:bottom w:val="single" w:sz="8" w:space="0" w:color="auto"/>
              <w:right w:val="single" w:sz="8" w:space="0" w:color="auto"/>
            </w:tcBorders>
            <w:shd w:val="clear" w:color="auto" w:fill="D9D9D9" w:themeFill="background1" w:themeFillShade="D9"/>
            <w:vAlign w:val="center"/>
            <w:hideMark/>
          </w:tcPr>
          <w:p w14:paraId="061C0D43" w14:textId="77777777" w:rsidR="00BF22EA" w:rsidRPr="00797162" w:rsidRDefault="00BF22EA" w:rsidP="00BE7565">
            <w:pPr>
              <w:spacing w:before="0" w:after="0"/>
              <w:jc w:val="right"/>
              <w:rPr>
                <w:b/>
                <w:bCs/>
                <w:noProof/>
                <w:sz w:val="16"/>
                <w:szCs w:val="16"/>
              </w:rPr>
            </w:pPr>
            <w:r w:rsidRPr="00797162">
              <w:rPr>
                <w:b/>
                <w:noProof/>
                <w:sz w:val="16"/>
              </w:rPr>
              <w:t>0,763</w:t>
            </w:r>
          </w:p>
        </w:tc>
        <w:tc>
          <w:tcPr>
            <w:tcW w:w="524" w:type="pct"/>
            <w:tcBorders>
              <w:top w:val="nil"/>
              <w:left w:val="nil"/>
              <w:bottom w:val="single" w:sz="8" w:space="0" w:color="auto"/>
              <w:right w:val="single" w:sz="8" w:space="0" w:color="auto"/>
            </w:tcBorders>
            <w:shd w:val="clear" w:color="auto" w:fill="D9D9D9" w:themeFill="background1" w:themeFillShade="D9"/>
            <w:vAlign w:val="center"/>
            <w:hideMark/>
          </w:tcPr>
          <w:p w14:paraId="7D357D7B" w14:textId="77777777" w:rsidR="00BF22EA" w:rsidRPr="00797162" w:rsidRDefault="00BF22EA" w:rsidP="00BE7565">
            <w:pPr>
              <w:spacing w:before="0" w:after="0"/>
              <w:jc w:val="right"/>
              <w:rPr>
                <w:b/>
                <w:bCs/>
                <w:noProof/>
                <w:sz w:val="16"/>
                <w:szCs w:val="16"/>
              </w:rPr>
            </w:pPr>
            <w:r w:rsidRPr="00797162">
              <w:rPr>
                <w:b/>
                <w:noProof/>
                <w:sz w:val="16"/>
              </w:rPr>
              <w:t>0,763</w:t>
            </w:r>
          </w:p>
        </w:tc>
        <w:tc>
          <w:tcPr>
            <w:tcW w:w="523" w:type="pct"/>
            <w:tcBorders>
              <w:top w:val="nil"/>
              <w:left w:val="nil"/>
              <w:bottom w:val="single" w:sz="8" w:space="0" w:color="auto"/>
              <w:right w:val="single" w:sz="8" w:space="0" w:color="auto"/>
            </w:tcBorders>
            <w:shd w:val="clear" w:color="auto" w:fill="D9D9D9" w:themeFill="background1" w:themeFillShade="D9"/>
            <w:vAlign w:val="center"/>
            <w:hideMark/>
          </w:tcPr>
          <w:p w14:paraId="081BD617" w14:textId="77777777" w:rsidR="00BF22EA" w:rsidRPr="00797162" w:rsidRDefault="00BF22EA" w:rsidP="00BE7565">
            <w:pPr>
              <w:spacing w:before="0" w:after="0"/>
              <w:jc w:val="right"/>
              <w:rPr>
                <w:b/>
                <w:bCs/>
                <w:noProof/>
                <w:sz w:val="16"/>
                <w:szCs w:val="16"/>
              </w:rPr>
            </w:pPr>
            <w:r w:rsidRPr="00797162">
              <w:rPr>
                <w:b/>
                <w:noProof/>
                <w:sz w:val="16"/>
              </w:rPr>
              <w:t>0,763</w:t>
            </w:r>
          </w:p>
        </w:tc>
        <w:tc>
          <w:tcPr>
            <w:tcW w:w="524" w:type="pct"/>
            <w:tcBorders>
              <w:top w:val="nil"/>
              <w:left w:val="nil"/>
              <w:bottom w:val="single" w:sz="8" w:space="0" w:color="auto"/>
              <w:right w:val="single" w:sz="8" w:space="0" w:color="auto"/>
            </w:tcBorders>
            <w:shd w:val="clear" w:color="auto" w:fill="D9D9D9" w:themeFill="background1" w:themeFillShade="D9"/>
            <w:vAlign w:val="center"/>
            <w:hideMark/>
          </w:tcPr>
          <w:p w14:paraId="2EF0F451" w14:textId="77777777" w:rsidR="00BF22EA" w:rsidRPr="00797162" w:rsidRDefault="00BF22EA" w:rsidP="00BE7565">
            <w:pPr>
              <w:spacing w:before="0" w:after="0"/>
              <w:jc w:val="right"/>
              <w:rPr>
                <w:b/>
                <w:bCs/>
                <w:noProof/>
                <w:sz w:val="16"/>
                <w:szCs w:val="16"/>
              </w:rPr>
            </w:pPr>
            <w:r w:rsidRPr="00797162">
              <w:rPr>
                <w:b/>
                <w:noProof/>
                <w:sz w:val="16"/>
              </w:rPr>
              <w:t>0,763</w:t>
            </w:r>
          </w:p>
        </w:tc>
        <w:tc>
          <w:tcPr>
            <w:tcW w:w="524" w:type="pct"/>
            <w:tcBorders>
              <w:top w:val="nil"/>
              <w:left w:val="nil"/>
              <w:bottom w:val="single" w:sz="8" w:space="0" w:color="auto"/>
              <w:right w:val="single" w:sz="8" w:space="0" w:color="auto"/>
            </w:tcBorders>
            <w:shd w:val="clear" w:color="auto" w:fill="D9D9D9" w:themeFill="background1" w:themeFillShade="D9"/>
            <w:vAlign w:val="center"/>
            <w:hideMark/>
          </w:tcPr>
          <w:p w14:paraId="6CD99799" w14:textId="77777777" w:rsidR="00BF22EA" w:rsidRPr="00797162" w:rsidRDefault="00BF22EA" w:rsidP="00BE7565">
            <w:pPr>
              <w:spacing w:before="0" w:after="0"/>
              <w:jc w:val="right"/>
              <w:rPr>
                <w:b/>
                <w:bCs/>
                <w:noProof/>
                <w:sz w:val="16"/>
                <w:szCs w:val="16"/>
              </w:rPr>
            </w:pPr>
            <w:r w:rsidRPr="00797162">
              <w:rPr>
                <w:b/>
                <w:noProof/>
                <w:sz w:val="16"/>
              </w:rPr>
              <w:t>0,763</w:t>
            </w:r>
          </w:p>
        </w:tc>
        <w:tc>
          <w:tcPr>
            <w:tcW w:w="524" w:type="pct"/>
            <w:tcBorders>
              <w:top w:val="nil"/>
              <w:left w:val="nil"/>
              <w:bottom w:val="single" w:sz="8" w:space="0" w:color="auto"/>
              <w:right w:val="single" w:sz="8" w:space="0" w:color="auto"/>
            </w:tcBorders>
            <w:shd w:val="clear" w:color="auto" w:fill="D9D9D9" w:themeFill="background1" w:themeFillShade="D9"/>
            <w:vAlign w:val="center"/>
            <w:hideMark/>
          </w:tcPr>
          <w:p w14:paraId="7299B00E" w14:textId="77777777" w:rsidR="00BF22EA" w:rsidRPr="00797162" w:rsidRDefault="00BF22EA" w:rsidP="00BE7565">
            <w:pPr>
              <w:spacing w:before="0" w:after="0"/>
              <w:jc w:val="right"/>
              <w:rPr>
                <w:b/>
                <w:bCs/>
                <w:noProof/>
                <w:sz w:val="16"/>
                <w:szCs w:val="16"/>
              </w:rPr>
            </w:pPr>
            <w:r w:rsidRPr="00797162">
              <w:rPr>
                <w:b/>
                <w:noProof/>
                <w:sz w:val="16"/>
              </w:rPr>
              <w:t>0,783</w:t>
            </w:r>
          </w:p>
        </w:tc>
        <w:tc>
          <w:tcPr>
            <w:tcW w:w="524" w:type="pct"/>
            <w:tcBorders>
              <w:top w:val="nil"/>
              <w:left w:val="nil"/>
              <w:bottom w:val="single" w:sz="8" w:space="0" w:color="auto"/>
              <w:right w:val="single" w:sz="8" w:space="0" w:color="auto"/>
            </w:tcBorders>
            <w:shd w:val="clear" w:color="auto" w:fill="D9D9D9" w:themeFill="background1" w:themeFillShade="D9"/>
            <w:vAlign w:val="center"/>
            <w:hideMark/>
          </w:tcPr>
          <w:p w14:paraId="0D040373" w14:textId="77777777" w:rsidR="00BF22EA" w:rsidRPr="00797162" w:rsidRDefault="00BF22EA" w:rsidP="00BE7565">
            <w:pPr>
              <w:spacing w:before="0" w:after="0"/>
              <w:jc w:val="right"/>
              <w:rPr>
                <w:b/>
                <w:bCs/>
                <w:noProof/>
                <w:sz w:val="16"/>
                <w:szCs w:val="16"/>
              </w:rPr>
            </w:pPr>
            <w:r w:rsidRPr="00797162">
              <w:rPr>
                <w:b/>
                <w:noProof/>
                <w:sz w:val="16"/>
              </w:rPr>
              <w:t>0,763</w:t>
            </w:r>
          </w:p>
        </w:tc>
        <w:tc>
          <w:tcPr>
            <w:tcW w:w="543" w:type="pct"/>
            <w:tcBorders>
              <w:top w:val="nil"/>
              <w:left w:val="nil"/>
              <w:bottom w:val="single" w:sz="8" w:space="0" w:color="auto"/>
              <w:right w:val="single" w:sz="8" w:space="0" w:color="auto"/>
            </w:tcBorders>
            <w:shd w:val="clear" w:color="auto" w:fill="D9D9D9" w:themeFill="background1" w:themeFillShade="D9"/>
            <w:vAlign w:val="center"/>
            <w:hideMark/>
          </w:tcPr>
          <w:p w14:paraId="6E04F7B7" w14:textId="77777777" w:rsidR="00BF22EA" w:rsidRPr="00797162" w:rsidRDefault="00BF22EA" w:rsidP="00BE7565">
            <w:pPr>
              <w:spacing w:before="0" w:after="0"/>
              <w:jc w:val="right"/>
              <w:rPr>
                <w:b/>
                <w:bCs/>
                <w:noProof/>
                <w:sz w:val="16"/>
                <w:szCs w:val="16"/>
              </w:rPr>
            </w:pPr>
            <w:r w:rsidRPr="00797162">
              <w:rPr>
                <w:b/>
                <w:noProof/>
                <w:sz w:val="16"/>
              </w:rPr>
              <w:t>5,341</w:t>
            </w:r>
          </w:p>
        </w:tc>
      </w:tr>
      <w:tr w:rsidR="00BF22EA" w:rsidRPr="00797162" w14:paraId="1CE75B89" w14:textId="77777777" w:rsidTr="00BE7565">
        <w:trPr>
          <w:trHeight w:val="300"/>
        </w:trPr>
        <w:tc>
          <w:tcPr>
            <w:tcW w:w="5000" w:type="pct"/>
            <w:gridSpan w:val="9"/>
            <w:tcBorders>
              <w:top w:val="single" w:sz="8" w:space="0" w:color="auto"/>
              <w:left w:val="single" w:sz="8" w:space="0" w:color="auto"/>
              <w:bottom w:val="single" w:sz="8" w:space="0" w:color="auto"/>
              <w:right w:val="single" w:sz="4" w:space="0" w:color="auto"/>
            </w:tcBorders>
            <w:vAlign w:val="center"/>
            <w:hideMark/>
          </w:tcPr>
          <w:p w14:paraId="4B87341F" w14:textId="77777777" w:rsidR="00BF22EA" w:rsidRPr="00797162" w:rsidRDefault="00BF22EA" w:rsidP="00BE7565">
            <w:pPr>
              <w:spacing w:before="0" w:after="0"/>
              <w:jc w:val="left"/>
              <w:rPr>
                <w:b/>
                <w:noProof/>
                <w:sz w:val="16"/>
              </w:rPr>
            </w:pPr>
            <w:r w:rsidRPr="00797162">
              <w:rPr>
                <w:b/>
                <w:noProof/>
                <w:sz w:val="16"/>
              </w:rPr>
              <w:t>RUBRIIGIST 4 välja jäävad kulud</w:t>
            </w:r>
          </w:p>
        </w:tc>
      </w:tr>
      <w:tr w:rsidR="00BF22EA" w:rsidRPr="00797162" w14:paraId="50CA80E1" w14:textId="77777777" w:rsidTr="00BE7565">
        <w:trPr>
          <w:trHeight w:val="1570"/>
        </w:trPr>
        <w:tc>
          <w:tcPr>
            <w:tcW w:w="792" w:type="pct"/>
            <w:tcBorders>
              <w:top w:val="nil"/>
              <w:left w:val="single" w:sz="4" w:space="0" w:color="auto"/>
              <w:bottom w:val="single" w:sz="8" w:space="0" w:color="auto"/>
              <w:right w:val="single" w:sz="4" w:space="0" w:color="auto"/>
            </w:tcBorders>
            <w:vAlign w:val="center"/>
            <w:hideMark/>
          </w:tcPr>
          <w:p w14:paraId="72AF5B2D" w14:textId="77777777" w:rsidR="00BF22EA" w:rsidRPr="00797162" w:rsidRDefault="00BF22EA" w:rsidP="00BE7565">
            <w:pPr>
              <w:spacing w:before="0" w:after="0"/>
              <w:jc w:val="left"/>
              <w:rPr>
                <w:rFonts w:ascii="Arial Narrow" w:hAnsi="Arial Narrow"/>
                <w:noProof/>
                <w:sz w:val="20"/>
              </w:rPr>
            </w:pPr>
            <w:r w:rsidRPr="00797162">
              <w:rPr>
                <w:rFonts w:ascii="Arial Narrow" w:hAnsi="Arial Narrow"/>
                <w:noProof/>
                <w:sz w:val="20"/>
              </w:rPr>
              <w:t>Poliitikavaldkondade IT-kulud rakenduskavadele</w:t>
            </w:r>
          </w:p>
        </w:tc>
        <w:tc>
          <w:tcPr>
            <w:tcW w:w="524" w:type="pct"/>
            <w:tcBorders>
              <w:top w:val="nil"/>
              <w:left w:val="single" w:sz="4" w:space="0" w:color="auto"/>
              <w:bottom w:val="single" w:sz="8" w:space="0" w:color="auto"/>
              <w:right w:val="single" w:sz="8" w:space="0" w:color="auto"/>
            </w:tcBorders>
            <w:shd w:val="clear" w:color="auto" w:fill="D9D9D9" w:themeFill="background1" w:themeFillShade="D9"/>
            <w:vAlign w:val="center"/>
            <w:hideMark/>
          </w:tcPr>
          <w:p w14:paraId="4C49C755" w14:textId="77777777" w:rsidR="00BF22EA" w:rsidRPr="00797162" w:rsidRDefault="00BF22EA" w:rsidP="00BE7565">
            <w:pPr>
              <w:spacing w:before="0" w:after="0"/>
              <w:jc w:val="right"/>
              <w:rPr>
                <w:noProof/>
                <w:sz w:val="16"/>
                <w:szCs w:val="16"/>
              </w:rPr>
            </w:pPr>
            <w:r w:rsidRPr="00797162">
              <w:rPr>
                <w:noProof/>
                <w:sz w:val="16"/>
              </w:rPr>
              <w:t>0,36</w:t>
            </w:r>
          </w:p>
        </w:tc>
        <w:tc>
          <w:tcPr>
            <w:tcW w:w="524" w:type="pct"/>
            <w:tcBorders>
              <w:top w:val="nil"/>
              <w:left w:val="nil"/>
              <w:bottom w:val="single" w:sz="8" w:space="0" w:color="auto"/>
              <w:right w:val="single" w:sz="8" w:space="0" w:color="auto"/>
            </w:tcBorders>
            <w:shd w:val="clear" w:color="auto" w:fill="D9D9D9" w:themeFill="background1" w:themeFillShade="D9"/>
            <w:vAlign w:val="center"/>
            <w:hideMark/>
          </w:tcPr>
          <w:p w14:paraId="4570D6A1" w14:textId="77777777" w:rsidR="00BF22EA" w:rsidRPr="00797162" w:rsidRDefault="00BF22EA" w:rsidP="00BE7565">
            <w:pPr>
              <w:spacing w:before="0" w:after="0"/>
              <w:jc w:val="right"/>
              <w:rPr>
                <w:noProof/>
                <w:sz w:val="16"/>
                <w:szCs w:val="16"/>
              </w:rPr>
            </w:pPr>
            <w:r w:rsidRPr="00797162">
              <w:rPr>
                <w:noProof/>
                <w:sz w:val="16"/>
              </w:rPr>
              <w:t>0,36</w:t>
            </w:r>
          </w:p>
        </w:tc>
        <w:tc>
          <w:tcPr>
            <w:tcW w:w="523" w:type="pct"/>
            <w:tcBorders>
              <w:top w:val="nil"/>
              <w:left w:val="nil"/>
              <w:bottom w:val="single" w:sz="8" w:space="0" w:color="auto"/>
              <w:right w:val="single" w:sz="8" w:space="0" w:color="auto"/>
            </w:tcBorders>
            <w:shd w:val="clear" w:color="auto" w:fill="D9D9D9" w:themeFill="background1" w:themeFillShade="D9"/>
            <w:vAlign w:val="center"/>
            <w:hideMark/>
          </w:tcPr>
          <w:p w14:paraId="14E6B4A9" w14:textId="77777777" w:rsidR="00BF22EA" w:rsidRPr="00797162" w:rsidRDefault="00BF22EA" w:rsidP="00BE7565">
            <w:pPr>
              <w:spacing w:before="0" w:after="0"/>
              <w:jc w:val="right"/>
              <w:rPr>
                <w:noProof/>
                <w:sz w:val="16"/>
                <w:szCs w:val="16"/>
              </w:rPr>
            </w:pPr>
            <w:r w:rsidRPr="00797162">
              <w:rPr>
                <w:noProof/>
                <w:sz w:val="16"/>
              </w:rPr>
              <w:t>0,36</w:t>
            </w:r>
          </w:p>
        </w:tc>
        <w:tc>
          <w:tcPr>
            <w:tcW w:w="524" w:type="pct"/>
            <w:tcBorders>
              <w:top w:val="nil"/>
              <w:left w:val="nil"/>
              <w:bottom w:val="single" w:sz="8" w:space="0" w:color="auto"/>
              <w:right w:val="single" w:sz="8" w:space="0" w:color="auto"/>
            </w:tcBorders>
            <w:shd w:val="clear" w:color="auto" w:fill="D9D9D9" w:themeFill="background1" w:themeFillShade="D9"/>
            <w:vAlign w:val="center"/>
            <w:hideMark/>
          </w:tcPr>
          <w:p w14:paraId="71AD6686" w14:textId="77777777" w:rsidR="00BF22EA" w:rsidRPr="00797162" w:rsidRDefault="00BF22EA" w:rsidP="00BE7565">
            <w:pPr>
              <w:spacing w:before="0" w:after="0"/>
              <w:jc w:val="right"/>
              <w:rPr>
                <w:noProof/>
                <w:sz w:val="16"/>
                <w:szCs w:val="16"/>
              </w:rPr>
            </w:pPr>
            <w:r w:rsidRPr="00797162">
              <w:rPr>
                <w:noProof/>
                <w:sz w:val="16"/>
              </w:rPr>
              <w:t>0,36</w:t>
            </w:r>
          </w:p>
        </w:tc>
        <w:tc>
          <w:tcPr>
            <w:tcW w:w="524" w:type="pct"/>
            <w:tcBorders>
              <w:top w:val="nil"/>
              <w:left w:val="nil"/>
              <w:bottom w:val="single" w:sz="8" w:space="0" w:color="auto"/>
              <w:right w:val="single" w:sz="8" w:space="0" w:color="auto"/>
            </w:tcBorders>
            <w:shd w:val="clear" w:color="auto" w:fill="D9D9D9" w:themeFill="background1" w:themeFillShade="D9"/>
            <w:vAlign w:val="center"/>
            <w:hideMark/>
          </w:tcPr>
          <w:p w14:paraId="24430630" w14:textId="77777777" w:rsidR="00BF22EA" w:rsidRPr="00797162" w:rsidRDefault="00BF22EA" w:rsidP="00BE7565">
            <w:pPr>
              <w:spacing w:before="0" w:after="0"/>
              <w:jc w:val="right"/>
              <w:rPr>
                <w:noProof/>
                <w:sz w:val="16"/>
                <w:szCs w:val="16"/>
              </w:rPr>
            </w:pPr>
            <w:r w:rsidRPr="00797162">
              <w:rPr>
                <w:noProof/>
                <w:sz w:val="16"/>
              </w:rPr>
              <w:t>0,36</w:t>
            </w:r>
          </w:p>
        </w:tc>
        <w:tc>
          <w:tcPr>
            <w:tcW w:w="524" w:type="pct"/>
            <w:tcBorders>
              <w:top w:val="nil"/>
              <w:left w:val="nil"/>
              <w:bottom w:val="single" w:sz="8" w:space="0" w:color="auto"/>
              <w:right w:val="single" w:sz="8" w:space="0" w:color="auto"/>
            </w:tcBorders>
            <w:shd w:val="clear" w:color="auto" w:fill="D9D9D9" w:themeFill="background1" w:themeFillShade="D9"/>
            <w:vAlign w:val="center"/>
            <w:hideMark/>
          </w:tcPr>
          <w:p w14:paraId="3A511B4E" w14:textId="77777777" w:rsidR="00BF22EA" w:rsidRPr="00797162" w:rsidRDefault="00BF22EA" w:rsidP="00BE7565">
            <w:pPr>
              <w:spacing w:before="0" w:after="0"/>
              <w:jc w:val="right"/>
              <w:rPr>
                <w:noProof/>
                <w:sz w:val="16"/>
                <w:szCs w:val="16"/>
              </w:rPr>
            </w:pPr>
            <w:r w:rsidRPr="00797162">
              <w:rPr>
                <w:noProof/>
                <w:sz w:val="16"/>
              </w:rPr>
              <w:t>0,36</w:t>
            </w:r>
          </w:p>
        </w:tc>
        <w:tc>
          <w:tcPr>
            <w:tcW w:w="524" w:type="pct"/>
            <w:tcBorders>
              <w:top w:val="nil"/>
              <w:left w:val="nil"/>
              <w:bottom w:val="single" w:sz="8" w:space="0" w:color="auto"/>
              <w:right w:val="single" w:sz="8" w:space="0" w:color="auto"/>
            </w:tcBorders>
            <w:shd w:val="clear" w:color="auto" w:fill="D9D9D9" w:themeFill="background1" w:themeFillShade="D9"/>
            <w:vAlign w:val="center"/>
            <w:hideMark/>
          </w:tcPr>
          <w:p w14:paraId="54915E32" w14:textId="77777777" w:rsidR="00BF22EA" w:rsidRPr="00797162" w:rsidRDefault="00BF22EA" w:rsidP="00BE7565">
            <w:pPr>
              <w:spacing w:before="0" w:after="0"/>
              <w:jc w:val="right"/>
              <w:rPr>
                <w:noProof/>
                <w:sz w:val="16"/>
                <w:szCs w:val="16"/>
              </w:rPr>
            </w:pPr>
            <w:r w:rsidRPr="00797162">
              <w:rPr>
                <w:noProof/>
                <w:sz w:val="16"/>
              </w:rPr>
              <w:t>0,36</w:t>
            </w:r>
          </w:p>
        </w:tc>
        <w:tc>
          <w:tcPr>
            <w:tcW w:w="543" w:type="pct"/>
            <w:tcBorders>
              <w:top w:val="nil"/>
              <w:left w:val="nil"/>
              <w:bottom w:val="single" w:sz="8" w:space="0" w:color="auto"/>
              <w:right w:val="single" w:sz="8" w:space="0" w:color="auto"/>
            </w:tcBorders>
            <w:shd w:val="clear" w:color="auto" w:fill="D9D9D9" w:themeFill="background1" w:themeFillShade="D9"/>
            <w:vAlign w:val="center"/>
            <w:hideMark/>
          </w:tcPr>
          <w:p w14:paraId="67D77C5A" w14:textId="77777777" w:rsidR="00BF22EA" w:rsidRPr="00797162" w:rsidRDefault="00BF22EA" w:rsidP="00BE7565">
            <w:pPr>
              <w:spacing w:before="0" w:after="0"/>
              <w:jc w:val="right"/>
              <w:rPr>
                <w:b/>
                <w:bCs/>
                <w:noProof/>
                <w:sz w:val="16"/>
                <w:szCs w:val="16"/>
              </w:rPr>
            </w:pPr>
            <w:r w:rsidRPr="00797162">
              <w:rPr>
                <w:b/>
                <w:noProof/>
                <w:sz w:val="16"/>
              </w:rPr>
              <w:t>2,52</w:t>
            </w:r>
          </w:p>
        </w:tc>
      </w:tr>
      <w:tr w:rsidR="00BF22EA" w:rsidRPr="00797162" w14:paraId="166266E3" w14:textId="77777777" w:rsidTr="00BE7565">
        <w:trPr>
          <w:trHeight w:val="640"/>
        </w:trPr>
        <w:tc>
          <w:tcPr>
            <w:tcW w:w="792" w:type="pct"/>
            <w:tcBorders>
              <w:top w:val="nil"/>
              <w:left w:val="single" w:sz="4" w:space="0" w:color="auto"/>
              <w:bottom w:val="single" w:sz="8" w:space="0" w:color="auto"/>
              <w:right w:val="single" w:sz="4" w:space="0" w:color="auto"/>
            </w:tcBorders>
            <w:shd w:val="clear" w:color="auto" w:fill="CCCCCC"/>
            <w:vAlign w:val="center"/>
            <w:hideMark/>
          </w:tcPr>
          <w:p w14:paraId="03BF1F12" w14:textId="77777777" w:rsidR="00BF22EA" w:rsidRPr="00797162" w:rsidRDefault="00BF22EA" w:rsidP="00BE7565">
            <w:pPr>
              <w:spacing w:before="0" w:after="0"/>
              <w:jc w:val="center"/>
              <w:rPr>
                <w:b/>
                <w:noProof/>
                <w:sz w:val="16"/>
              </w:rPr>
            </w:pPr>
            <w:r w:rsidRPr="00797162">
              <w:rPr>
                <w:b/>
                <w:noProof/>
                <w:sz w:val="16"/>
              </w:rPr>
              <w:t>RUBRIIGIST 4 välja jäävad kulud kokku</w:t>
            </w:r>
          </w:p>
        </w:tc>
        <w:tc>
          <w:tcPr>
            <w:tcW w:w="524" w:type="pct"/>
            <w:tcBorders>
              <w:top w:val="nil"/>
              <w:left w:val="single" w:sz="4" w:space="0" w:color="auto"/>
              <w:bottom w:val="single" w:sz="8" w:space="0" w:color="auto"/>
              <w:right w:val="single" w:sz="8" w:space="0" w:color="auto"/>
            </w:tcBorders>
            <w:shd w:val="clear" w:color="auto" w:fill="D9D9D9" w:themeFill="background1" w:themeFillShade="D9"/>
            <w:vAlign w:val="center"/>
            <w:hideMark/>
          </w:tcPr>
          <w:p w14:paraId="56179528" w14:textId="77777777" w:rsidR="00BF22EA" w:rsidRPr="00797162" w:rsidRDefault="00BF22EA" w:rsidP="00BE7565">
            <w:pPr>
              <w:spacing w:before="0" w:after="0"/>
              <w:jc w:val="right"/>
              <w:rPr>
                <w:b/>
                <w:bCs/>
                <w:noProof/>
                <w:sz w:val="16"/>
                <w:szCs w:val="16"/>
              </w:rPr>
            </w:pPr>
            <w:r w:rsidRPr="00797162">
              <w:rPr>
                <w:b/>
                <w:noProof/>
                <w:sz w:val="16"/>
              </w:rPr>
              <w:t>0,36</w:t>
            </w:r>
          </w:p>
        </w:tc>
        <w:tc>
          <w:tcPr>
            <w:tcW w:w="524" w:type="pct"/>
            <w:tcBorders>
              <w:top w:val="nil"/>
              <w:left w:val="nil"/>
              <w:bottom w:val="single" w:sz="8" w:space="0" w:color="auto"/>
              <w:right w:val="single" w:sz="8" w:space="0" w:color="auto"/>
            </w:tcBorders>
            <w:shd w:val="clear" w:color="auto" w:fill="D9D9D9" w:themeFill="background1" w:themeFillShade="D9"/>
            <w:vAlign w:val="center"/>
            <w:hideMark/>
          </w:tcPr>
          <w:p w14:paraId="61C21265" w14:textId="77777777" w:rsidR="00BF22EA" w:rsidRPr="00797162" w:rsidRDefault="00BF22EA" w:rsidP="00BE7565">
            <w:pPr>
              <w:spacing w:before="0" w:after="0"/>
              <w:jc w:val="right"/>
              <w:rPr>
                <w:b/>
                <w:bCs/>
                <w:noProof/>
                <w:sz w:val="16"/>
                <w:szCs w:val="16"/>
              </w:rPr>
            </w:pPr>
            <w:r w:rsidRPr="00797162">
              <w:rPr>
                <w:b/>
                <w:noProof/>
                <w:sz w:val="16"/>
              </w:rPr>
              <w:t>0,36</w:t>
            </w:r>
          </w:p>
        </w:tc>
        <w:tc>
          <w:tcPr>
            <w:tcW w:w="523" w:type="pct"/>
            <w:tcBorders>
              <w:top w:val="nil"/>
              <w:left w:val="nil"/>
              <w:bottom w:val="single" w:sz="8" w:space="0" w:color="auto"/>
              <w:right w:val="single" w:sz="8" w:space="0" w:color="auto"/>
            </w:tcBorders>
            <w:shd w:val="clear" w:color="auto" w:fill="D9D9D9" w:themeFill="background1" w:themeFillShade="D9"/>
            <w:vAlign w:val="center"/>
            <w:hideMark/>
          </w:tcPr>
          <w:p w14:paraId="6D4897FC" w14:textId="77777777" w:rsidR="00BF22EA" w:rsidRPr="00797162" w:rsidRDefault="00BF22EA" w:rsidP="00BE7565">
            <w:pPr>
              <w:spacing w:before="0" w:after="0"/>
              <w:jc w:val="right"/>
              <w:rPr>
                <w:b/>
                <w:bCs/>
                <w:noProof/>
                <w:sz w:val="16"/>
                <w:szCs w:val="16"/>
              </w:rPr>
            </w:pPr>
            <w:r w:rsidRPr="00797162">
              <w:rPr>
                <w:b/>
                <w:noProof/>
                <w:sz w:val="16"/>
              </w:rPr>
              <w:t>0,36</w:t>
            </w:r>
          </w:p>
        </w:tc>
        <w:tc>
          <w:tcPr>
            <w:tcW w:w="524" w:type="pct"/>
            <w:tcBorders>
              <w:top w:val="nil"/>
              <w:left w:val="nil"/>
              <w:bottom w:val="single" w:sz="8" w:space="0" w:color="auto"/>
              <w:right w:val="single" w:sz="8" w:space="0" w:color="auto"/>
            </w:tcBorders>
            <w:shd w:val="clear" w:color="auto" w:fill="D9D9D9" w:themeFill="background1" w:themeFillShade="D9"/>
            <w:vAlign w:val="center"/>
            <w:hideMark/>
          </w:tcPr>
          <w:p w14:paraId="14FBA2F3" w14:textId="77777777" w:rsidR="00BF22EA" w:rsidRPr="00797162" w:rsidRDefault="00BF22EA" w:rsidP="00BE7565">
            <w:pPr>
              <w:spacing w:before="0" w:after="0"/>
              <w:jc w:val="right"/>
              <w:rPr>
                <w:b/>
                <w:bCs/>
                <w:noProof/>
                <w:sz w:val="16"/>
                <w:szCs w:val="16"/>
              </w:rPr>
            </w:pPr>
            <w:r w:rsidRPr="00797162">
              <w:rPr>
                <w:b/>
                <w:noProof/>
                <w:sz w:val="16"/>
              </w:rPr>
              <w:t>.360</w:t>
            </w:r>
          </w:p>
        </w:tc>
        <w:tc>
          <w:tcPr>
            <w:tcW w:w="524" w:type="pct"/>
            <w:tcBorders>
              <w:top w:val="nil"/>
              <w:left w:val="nil"/>
              <w:bottom w:val="single" w:sz="8" w:space="0" w:color="auto"/>
              <w:right w:val="single" w:sz="8" w:space="0" w:color="auto"/>
            </w:tcBorders>
            <w:shd w:val="clear" w:color="auto" w:fill="D9D9D9" w:themeFill="background1" w:themeFillShade="D9"/>
            <w:vAlign w:val="center"/>
            <w:hideMark/>
          </w:tcPr>
          <w:p w14:paraId="14A6F642" w14:textId="77777777" w:rsidR="00BF22EA" w:rsidRPr="00797162" w:rsidRDefault="00BF22EA" w:rsidP="00BE7565">
            <w:pPr>
              <w:spacing w:before="0" w:after="0"/>
              <w:jc w:val="right"/>
              <w:rPr>
                <w:b/>
                <w:bCs/>
                <w:noProof/>
                <w:sz w:val="16"/>
                <w:szCs w:val="16"/>
              </w:rPr>
            </w:pPr>
            <w:r w:rsidRPr="00797162">
              <w:rPr>
                <w:b/>
                <w:noProof/>
                <w:sz w:val="16"/>
              </w:rPr>
              <w:t>0,36</w:t>
            </w:r>
          </w:p>
        </w:tc>
        <w:tc>
          <w:tcPr>
            <w:tcW w:w="524" w:type="pct"/>
            <w:tcBorders>
              <w:top w:val="nil"/>
              <w:left w:val="nil"/>
              <w:bottom w:val="single" w:sz="8" w:space="0" w:color="auto"/>
              <w:right w:val="single" w:sz="8" w:space="0" w:color="auto"/>
            </w:tcBorders>
            <w:shd w:val="clear" w:color="auto" w:fill="D9D9D9" w:themeFill="background1" w:themeFillShade="D9"/>
            <w:vAlign w:val="center"/>
            <w:hideMark/>
          </w:tcPr>
          <w:p w14:paraId="6441FB5F" w14:textId="77777777" w:rsidR="00BF22EA" w:rsidRPr="00797162" w:rsidRDefault="00BF22EA" w:rsidP="00BE7565">
            <w:pPr>
              <w:spacing w:before="0" w:after="0"/>
              <w:jc w:val="right"/>
              <w:rPr>
                <w:b/>
                <w:bCs/>
                <w:noProof/>
                <w:sz w:val="16"/>
                <w:szCs w:val="16"/>
              </w:rPr>
            </w:pPr>
            <w:r w:rsidRPr="00797162">
              <w:rPr>
                <w:b/>
                <w:noProof/>
                <w:sz w:val="16"/>
              </w:rPr>
              <w:t>0,36</w:t>
            </w:r>
          </w:p>
        </w:tc>
        <w:tc>
          <w:tcPr>
            <w:tcW w:w="524" w:type="pct"/>
            <w:tcBorders>
              <w:top w:val="nil"/>
              <w:left w:val="nil"/>
              <w:bottom w:val="single" w:sz="8" w:space="0" w:color="auto"/>
              <w:right w:val="single" w:sz="8" w:space="0" w:color="auto"/>
            </w:tcBorders>
            <w:shd w:val="clear" w:color="auto" w:fill="D9D9D9" w:themeFill="background1" w:themeFillShade="D9"/>
            <w:vAlign w:val="center"/>
            <w:hideMark/>
          </w:tcPr>
          <w:p w14:paraId="52554A98" w14:textId="77777777" w:rsidR="00BF22EA" w:rsidRPr="00797162" w:rsidRDefault="00BF22EA" w:rsidP="00BE7565">
            <w:pPr>
              <w:spacing w:before="0" w:after="0"/>
              <w:jc w:val="right"/>
              <w:rPr>
                <w:b/>
                <w:bCs/>
                <w:noProof/>
                <w:sz w:val="16"/>
                <w:szCs w:val="16"/>
              </w:rPr>
            </w:pPr>
            <w:r w:rsidRPr="00797162">
              <w:rPr>
                <w:b/>
                <w:noProof/>
                <w:sz w:val="16"/>
              </w:rPr>
              <w:t>0,36</w:t>
            </w:r>
          </w:p>
        </w:tc>
        <w:tc>
          <w:tcPr>
            <w:tcW w:w="543" w:type="pct"/>
            <w:tcBorders>
              <w:top w:val="nil"/>
              <w:left w:val="nil"/>
              <w:bottom w:val="single" w:sz="8" w:space="0" w:color="auto"/>
              <w:right w:val="single" w:sz="8" w:space="0" w:color="auto"/>
            </w:tcBorders>
            <w:shd w:val="clear" w:color="auto" w:fill="D9D9D9" w:themeFill="background1" w:themeFillShade="D9"/>
            <w:vAlign w:val="center"/>
            <w:hideMark/>
          </w:tcPr>
          <w:p w14:paraId="2D1B9651" w14:textId="77777777" w:rsidR="00BF22EA" w:rsidRPr="00797162" w:rsidRDefault="00BF22EA" w:rsidP="00BE7565">
            <w:pPr>
              <w:spacing w:before="0" w:after="0"/>
              <w:jc w:val="right"/>
              <w:rPr>
                <w:b/>
                <w:bCs/>
                <w:noProof/>
                <w:sz w:val="16"/>
                <w:szCs w:val="16"/>
              </w:rPr>
            </w:pPr>
            <w:r w:rsidRPr="00797162">
              <w:rPr>
                <w:b/>
                <w:noProof/>
                <w:sz w:val="16"/>
              </w:rPr>
              <w:t>2,52</w:t>
            </w:r>
          </w:p>
        </w:tc>
      </w:tr>
      <w:tr w:rsidR="00BF22EA" w:rsidRPr="00797162" w14:paraId="3F140701" w14:textId="77777777" w:rsidTr="00BE7565">
        <w:trPr>
          <w:trHeight w:val="300"/>
        </w:trPr>
        <w:tc>
          <w:tcPr>
            <w:tcW w:w="5000" w:type="pct"/>
            <w:gridSpan w:val="9"/>
            <w:tcBorders>
              <w:top w:val="single" w:sz="8" w:space="0" w:color="auto"/>
              <w:left w:val="single" w:sz="4" w:space="0" w:color="auto"/>
              <w:bottom w:val="single" w:sz="4" w:space="0" w:color="auto"/>
              <w:right w:val="single" w:sz="4" w:space="0" w:color="auto"/>
            </w:tcBorders>
            <w:vAlign w:val="center"/>
            <w:hideMark/>
          </w:tcPr>
          <w:p w14:paraId="5811D48D" w14:textId="77777777" w:rsidR="00BF22EA" w:rsidRPr="00797162" w:rsidRDefault="00BF22EA" w:rsidP="00BE7565">
            <w:pPr>
              <w:spacing w:before="0" w:after="0"/>
              <w:jc w:val="center"/>
              <w:rPr>
                <w:noProof/>
                <w:sz w:val="16"/>
              </w:rPr>
            </w:pPr>
          </w:p>
        </w:tc>
      </w:tr>
      <w:tr w:rsidR="00BF22EA" w:rsidRPr="00797162" w14:paraId="1EC5A00D" w14:textId="77777777" w:rsidTr="00BE7565">
        <w:trPr>
          <w:trHeight w:val="300"/>
        </w:trPr>
        <w:tc>
          <w:tcPr>
            <w:tcW w:w="792" w:type="pct"/>
            <w:tcBorders>
              <w:top w:val="single" w:sz="4" w:space="0" w:color="auto"/>
              <w:left w:val="single" w:sz="4" w:space="0" w:color="auto"/>
              <w:bottom w:val="single" w:sz="4" w:space="0" w:color="auto"/>
              <w:right w:val="single" w:sz="4" w:space="0" w:color="auto"/>
            </w:tcBorders>
            <w:vAlign w:val="center"/>
            <w:hideMark/>
          </w:tcPr>
          <w:p w14:paraId="7E5D8CC6" w14:textId="77777777" w:rsidR="00BF22EA" w:rsidRPr="00797162" w:rsidRDefault="00BF22EA" w:rsidP="00BE7565">
            <w:pPr>
              <w:spacing w:before="0" w:after="0"/>
              <w:jc w:val="center"/>
              <w:rPr>
                <w:b/>
                <w:noProof/>
                <w:sz w:val="16"/>
              </w:rPr>
            </w:pPr>
            <w:r w:rsidRPr="00797162">
              <w:rPr>
                <w:b/>
                <w:noProof/>
                <w:sz w:val="16"/>
              </w:rPr>
              <w:t>KOKKU</w:t>
            </w:r>
          </w:p>
        </w:tc>
        <w:tc>
          <w:tcPr>
            <w:tcW w:w="524" w:type="pct"/>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5EE78D8" w14:textId="77777777" w:rsidR="00BF22EA" w:rsidRPr="00797162" w:rsidRDefault="00BF22EA" w:rsidP="00BE7565">
            <w:pPr>
              <w:spacing w:before="0" w:after="0"/>
              <w:jc w:val="right"/>
              <w:rPr>
                <w:b/>
                <w:bCs/>
                <w:noProof/>
                <w:sz w:val="16"/>
                <w:szCs w:val="16"/>
              </w:rPr>
            </w:pPr>
            <w:r w:rsidRPr="00797162">
              <w:rPr>
                <w:b/>
                <w:noProof/>
                <w:sz w:val="16"/>
              </w:rPr>
              <w:t>1,123</w:t>
            </w:r>
          </w:p>
        </w:tc>
        <w:tc>
          <w:tcPr>
            <w:tcW w:w="524" w:type="pct"/>
            <w:tcBorders>
              <w:top w:val="single" w:sz="4" w:space="0" w:color="auto"/>
              <w:left w:val="nil"/>
              <w:bottom w:val="single" w:sz="4" w:space="0" w:color="auto"/>
              <w:right w:val="single" w:sz="8" w:space="0" w:color="auto"/>
            </w:tcBorders>
            <w:shd w:val="clear" w:color="auto" w:fill="D9D9D9" w:themeFill="background1" w:themeFillShade="D9"/>
            <w:vAlign w:val="center"/>
            <w:hideMark/>
          </w:tcPr>
          <w:p w14:paraId="089EEC7C" w14:textId="77777777" w:rsidR="00BF22EA" w:rsidRPr="00797162" w:rsidRDefault="00BF22EA" w:rsidP="00BE7565">
            <w:pPr>
              <w:spacing w:before="0" w:after="0"/>
              <w:jc w:val="right"/>
              <w:rPr>
                <w:b/>
                <w:bCs/>
                <w:noProof/>
                <w:sz w:val="16"/>
                <w:szCs w:val="16"/>
              </w:rPr>
            </w:pPr>
            <w:r w:rsidRPr="00797162">
              <w:rPr>
                <w:b/>
                <w:noProof/>
                <w:sz w:val="16"/>
              </w:rPr>
              <w:t>1,123</w:t>
            </w:r>
          </w:p>
        </w:tc>
        <w:tc>
          <w:tcPr>
            <w:tcW w:w="523" w:type="pct"/>
            <w:tcBorders>
              <w:top w:val="single" w:sz="4" w:space="0" w:color="auto"/>
              <w:left w:val="nil"/>
              <w:bottom w:val="single" w:sz="4" w:space="0" w:color="auto"/>
              <w:right w:val="single" w:sz="8" w:space="0" w:color="auto"/>
            </w:tcBorders>
            <w:shd w:val="clear" w:color="auto" w:fill="D9D9D9" w:themeFill="background1" w:themeFillShade="D9"/>
            <w:vAlign w:val="center"/>
            <w:hideMark/>
          </w:tcPr>
          <w:p w14:paraId="53E307BE" w14:textId="77777777" w:rsidR="00BF22EA" w:rsidRPr="00797162" w:rsidRDefault="00BF22EA" w:rsidP="00BE7565">
            <w:pPr>
              <w:spacing w:before="0" w:after="0"/>
              <w:jc w:val="right"/>
              <w:rPr>
                <w:b/>
                <w:bCs/>
                <w:noProof/>
                <w:sz w:val="16"/>
                <w:szCs w:val="16"/>
              </w:rPr>
            </w:pPr>
            <w:r w:rsidRPr="00797162">
              <w:rPr>
                <w:b/>
                <w:noProof/>
                <w:sz w:val="16"/>
              </w:rPr>
              <w:t>1,123</w:t>
            </w:r>
          </w:p>
        </w:tc>
        <w:tc>
          <w:tcPr>
            <w:tcW w:w="524" w:type="pct"/>
            <w:tcBorders>
              <w:top w:val="single" w:sz="4" w:space="0" w:color="auto"/>
              <w:left w:val="nil"/>
              <w:bottom w:val="single" w:sz="4" w:space="0" w:color="auto"/>
              <w:right w:val="single" w:sz="8" w:space="0" w:color="auto"/>
            </w:tcBorders>
            <w:shd w:val="clear" w:color="auto" w:fill="D9D9D9" w:themeFill="background1" w:themeFillShade="D9"/>
            <w:vAlign w:val="center"/>
            <w:hideMark/>
          </w:tcPr>
          <w:p w14:paraId="47ACF4CA" w14:textId="77777777" w:rsidR="00BF22EA" w:rsidRPr="00797162" w:rsidRDefault="00BF22EA" w:rsidP="00BE7565">
            <w:pPr>
              <w:spacing w:before="0" w:after="0"/>
              <w:jc w:val="right"/>
              <w:rPr>
                <w:b/>
                <w:bCs/>
                <w:noProof/>
                <w:sz w:val="16"/>
                <w:szCs w:val="16"/>
              </w:rPr>
            </w:pPr>
            <w:r w:rsidRPr="00797162">
              <w:rPr>
                <w:b/>
                <w:noProof/>
                <w:sz w:val="16"/>
              </w:rPr>
              <w:t>1,123</w:t>
            </w:r>
          </w:p>
        </w:tc>
        <w:tc>
          <w:tcPr>
            <w:tcW w:w="524" w:type="pct"/>
            <w:tcBorders>
              <w:top w:val="single" w:sz="4" w:space="0" w:color="auto"/>
              <w:left w:val="nil"/>
              <w:bottom w:val="single" w:sz="4" w:space="0" w:color="auto"/>
              <w:right w:val="single" w:sz="8" w:space="0" w:color="auto"/>
            </w:tcBorders>
            <w:shd w:val="clear" w:color="auto" w:fill="D9D9D9" w:themeFill="background1" w:themeFillShade="D9"/>
            <w:vAlign w:val="center"/>
            <w:hideMark/>
          </w:tcPr>
          <w:p w14:paraId="5137D162" w14:textId="77777777" w:rsidR="00BF22EA" w:rsidRPr="00797162" w:rsidRDefault="00BF22EA" w:rsidP="00BE7565">
            <w:pPr>
              <w:spacing w:before="0" w:after="0"/>
              <w:jc w:val="right"/>
              <w:rPr>
                <w:b/>
                <w:bCs/>
                <w:noProof/>
                <w:sz w:val="16"/>
                <w:szCs w:val="16"/>
              </w:rPr>
            </w:pPr>
            <w:r w:rsidRPr="00797162">
              <w:rPr>
                <w:b/>
                <w:noProof/>
                <w:sz w:val="16"/>
              </w:rPr>
              <w:t>1,123</w:t>
            </w:r>
          </w:p>
        </w:tc>
        <w:tc>
          <w:tcPr>
            <w:tcW w:w="524" w:type="pct"/>
            <w:tcBorders>
              <w:top w:val="single" w:sz="4" w:space="0" w:color="auto"/>
              <w:left w:val="nil"/>
              <w:bottom w:val="single" w:sz="4" w:space="0" w:color="auto"/>
              <w:right w:val="single" w:sz="8" w:space="0" w:color="auto"/>
            </w:tcBorders>
            <w:shd w:val="clear" w:color="auto" w:fill="D9D9D9" w:themeFill="background1" w:themeFillShade="D9"/>
            <w:vAlign w:val="center"/>
            <w:hideMark/>
          </w:tcPr>
          <w:p w14:paraId="65687AEF" w14:textId="77777777" w:rsidR="00BF22EA" w:rsidRPr="00797162" w:rsidRDefault="00BF22EA" w:rsidP="00BE7565">
            <w:pPr>
              <w:spacing w:before="0" w:after="0"/>
              <w:jc w:val="right"/>
              <w:rPr>
                <w:b/>
                <w:bCs/>
                <w:noProof/>
                <w:sz w:val="16"/>
                <w:szCs w:val="16"/>
              </w:rPr>
            </w:pPr>
            <w:r w:rsidRPr="00797162">
              <w:rPr>
                <w:b/>
                <w:noProof/>
                <w:sz w:val="16"/>
              </w:rPr>
              <w:t>1,123</w:t>
            </w:r>
          </w:p>
        </w:tc>
        <w:tc>
          <w:tcPr>
            <w:tcW w:w="524" w:type="pct"/>
            <w:tcBorders>
              <w:top w:val="single" w:sz="4" w:space="0" w:color="auto"/>
              <w:left w:val="nil"/>
              <w:bottom w:val="single" w:sz="4" w:space="0" w:color="auto"/>
              <w:right w:val="single" w:sz="8" w:space="0" w:color="auto"/>
            </w:tcBorders>
            <w:shd w:val="clear" w:color="auto" w:fill="D9D9D9" w:themeFill="background1" w:themeFillShade="D9"/>
            <w:vAlign w:val="center"/>
            <w:hideMark/>
          </w:tcPr>
          <w:p w14:paraId="744116F6" w14:textId="77777777" w:rsidR="00BF22EA" w:rsidRPr="00797162" w:rsidRDefault="00BF22EA" w:rsidP="00BE7565">
            <w:pPr>
              <w:spacing w:before="0" w:after="0"/>
              <w:jc w:val="right"/>
              <w:rPr>
                <w:b/>
                <w:bCs/>
                <w:noProof/>
                <w:sz w:val="16"/>
                <w:szCs w:val="16"/>
              </w:rPr>
            </w:pPr>
            <w:r w:rsidRPr="00797162">
              <w:rPr>
                <w:b/>
                <w:noProof/>
                <w:sz w:val="16"/>
              </w:rPr>
              <w:t>1,123</w:t>
            </w:r>
          </w:p>
        </w:tc>
        <w:tc>
          <w:tcPr>
            <w:tcW w:w="543" w:type="pct"/>
            <w:tcBorders>
              <w:top w:val="single" w:sz="4" w:space="0" w:color="auto"/>
              <w:left w:val="nil"/>
              <w:bottom w:val="single" w:sz="4" w:space="0" w:color="auto"/>
              <w:right w:val="single" w:sz="8" w:space="0" w:color="auto"/>
            </w:tcBorders>
            <w:shd w:val="clear" w:color="auto" w:fill="D9D9D9" w:themeFill="background1" w:themeFillShade="D9"/>
            <w:vAlign w:val="center"/>
            <w:hideMark/>
          </w:tcPr>
          <w:p w14:paraId="001ACA0A" w14:textId="77777777" w:rsidR="00BF22EA" w:rsidRPr="00797162" w:rsidRDefault="00BF22EA" w:rsidP="00BE7565">
            <w:pPr>
              <w:spacing w:before="0" w:after="0"/>
              <w:jc w:val="right"/>
              <w:rPr>
                <w:b/>
                <w:bCs/>
                <w:noProof/>
                <w:sz w:val="16"/>
                <w:szCs w:val="16"/>
              </w:rPr>
            </w:pPr>
            <w:r w:rsidRPr="00797162">
              <w:rPr>
                <w:b/>
                <w:noProof/>
                <w:sz w:val="16"/>
              </w:rPr>
              <w:t>7,861</w:t>
            </w:r>
          </w:p>
        </w:tc>
      </w:tr>
    </w:tbl>
    <w:p w14:paraId="1E99D1F7" w14:textId="77777777" w:rsidR="00BF22EA" w:rsidRPr="00797162" w:rsidRDefault="00BF22EA" w:rsidP="00BF22EA">
      <w:pPr>
        <w:spacing w:line="259" w:lineRule="auto"/>
        <w:rPr>
          <w:noProof/>
        </w:rPr>
      </w:pPr>
    </w:p>
    <w:p w14:paraId="0E18BE49" w14:textId="77777777" w:rsidR="00BF22EA" w:rsidRPr="00797162" w:rsidRDefault="00BF22EA" w:rsidP="00BF22EA">
      <w:pPr>
        <w:keepNext/>
        <w:tabs>
          <w:tab w:val="left" w:pos="850"/>
        </w:tabs>
        <w:ind w:left="850" w:hanging="850"/>
        <w:outlineLvl w:val="2"/>
        <w:rPr>
          <w:i/>
          <w:noProof/>
        </w:rPr>
      </w:pPr>
      <w:bookmarkStart w:id="175" w:name="_Toc514938056"/>
      <w:bookmarkStart w:id="176" w:name="_Toc520485055"/>
      <w:bookmarkStart w:id="177" w:name="_Toc160804599"/>
      <w:bookmarkStart w:id="178" w:name="_Toc167220298"/>
      <w:bookmarkStart w:id="179" w:name="_Toc177549032"/>
      <w:bookmarkEnd w:id="173"/>
      <w:r w:rsidRPr="00797162">
        <w:rPr>
          <w:i/>
          <w:noProof/>
        </w:rPr>
        <w:t>3.2.6.</w:t>
      </w:r>
      <w:r w:rsidRPr="00797162">
        <w:rPr>
          <w:noProof/>
        </w:rPr>
        <w:tab/>
      </w:r>
      <w:r w:rsidRPr="00797162">
        <w:rPr>
          <w:i/>
          <w:noProof/>
        </w:rPr>
        <w:t>Kooskõla kehtiva mitmeaastase finantsraamistikuga</w:t>
      </w:r>
      <w:bookmarkEnd w:id="175"/>
      <w:bookmarkEnd w:id="176"/>
      <w:bookmarkEnd w:id="177"/>
      <w:bookmarkEnd w:id="178"/>
      <w:bookmarkEnd w:id="179"/>
      <w:r w:rsidRPr="00797162">
        <w:rPr>
          <w:i/>
          <w:noProof/>
        </w:rPr>
        <w:t xml:space="preserve"> </w:t>
      </w:r>
    </w:p>
    <w:p w14:paraId="6648A9EB" w14:textId="77777777" w:rsidR="00BF22EA" w:rsidRPr="00797162" w:rsidRDefault="00BF22EA" w:rsidP="00BF22EA">
      <w:pPr>
        <w:ind w:left="850"/>
        <w:rPr>
          <w:noProof/>
        </w:rPr>
      </w:pPr>
      <w:r w:rsidRPr="00797162">
        <w:rPr>
          <w:noProof/>
        </w:rPr>
        <w:t>Ettepanek/algatus:</w:t>
      </w:r>
    </w:p>
    <w:p w14:paraId="0CAB8D71" w14:textId="77777777" w:rsidR="00BF22EA" w:rsidRPr="00797162" w:rsidRDefault="00BF22EA" w:rsidP="00CA1FBC">
      <w:pPr>
        <w:pStyle w:val="ListDash1"/>
        <w:rPr>
          <w:noProof/>
        </w:rPr>
      </w:pPr>
      <w:r w:rsidRPr="00797162">
        <w:rPr>
          <w:rFonts w:ascii="Wingdings" w:hAnsi="Wingdings"/>
          <w:noProof/>
        </w:rPr>
        <w:t></w:t>
      </w:r>
      <w:r w:rsidRPr="00797162">
        <w:rPr>
          <w:noProof/>
        </w:rPr>
        <w:tab/>
        <w:t>on täielikult rahastatav mitmeaastase finantsraamistiku asjaomase rubriigi sisese vahendite ümberpaigutamise kaudu</w:t>
      </w:r>
    </w:p>
    <w:p w14:paraId="2C5DDF33" w14:textId="77777777" w:rsidR="00BF22EA" w:rsidRPr="00797162" w:rsidRDefault="00BF22EA" w:rsidP="00CA1FBC">
      <w:pPr>
        <w:pStyle w:val="ListDash1"/>
        <w:rPr>
          <w:noProof/>
        </w:rPr>
      </w:pPr>
      <w:r w:rsidRPr="00797162">
        <w:rPr>
          <w:rFonts w:ascii="Wingdings" w:hAnsi="Wingdings"/>
          <w:noProof/>
        </w:rPr>
        <w:t></w:t>
      </w:r>
      <w:r w:rsidRPr="00797162">
        <w:rPr>
          <w:noProof/>
        </w:rPr>
        <w:tab/>
        <w:t>tingib mitmeaastase finantsraamistiku asjaomase rubriigi mittesihtotstarbelise varu ja/või mitmeaastase finantsraamistiku määruses sätestatud erivahendite kasutuselevõtu</w:t>
      </w:r>
    </w:p>
    <w:p w14:paraId="28487561" w14:textId="77777777" w:rsidR="00BF22EA" w:rsidRPr="00797162" w:rsidRDefault="00BF22EA" w:rsidP="00CA1FBC">
      <w:pPr>
        <w:pStyle w:val="ListDash1"/>
        <w:rPr>
          <w:noProof/>
        </w:rPr>
      </w:pPr>
      <w:r w:rsidRPr="00797162">
        <w:rPr>
          <w:rFonts w:ascii="Wingdings" w:hAnsi="Wingdings"/>
          <w:noProof/>
        </w:rPr>
        <w:t></w:t>
      </w:r>
      <w:r w:rsidRPr="00797162">
        <w:rPr>
          <w:noProof/>
        </w:rPr>
        <w:tab/>
        <w:t>nõuab mitmeaastase finantsraamistiku muutmist</w:t>
      </w:r>
    </w:p>
    <w:p w14:paraId="7ECBD982" w14:textId="77777777" w:rsidR="00BF22EA" w:rsidRPr="00797162" w:rsidRDefault="00BF22EA" w:rsidP="00BF22EA">
      <w:pPr>
        <w:keepNext/>
        <w:tabs>
          <w:tab w:val="left" w:pos="850"/>
        </w:tabs>
        <w:ind w:left="850" w:hanging="850"/>
        <w:outlineLvl w:val="2"/>
        <w:rPr>
          <w:i/>
          <w:noProof/>
        </w:rPr>
      </w:pPr>
      <w:bookmarkStart w:id="180" w:name="_Toc514938058"/>
      <w:bookmarkStart w:id="181" w:name="_Toc520485056"/>
      <w:bookmarkStart w:id="182" w:name="_Toc160804600"/>
      <w:bookmarkStart w:id="183" w:name="_Toc167220299"/>
      <w:bookmarkStart w:id="184" w:name="_Toc177549033"/>
      <w:r w:rsidRPr="00797162">
        <w:rPr>
          <w:i/>
          <w:noProof/>
        </w:rPr>
        <w:t>3.2.7.</w:t>
      </w:r>
      <w:r w:rsidRPr="00797162">
        <w:rPr>
          <w:noProof/>
        </w:rPr>
        <w:tab/>
      </w:r>
      <w:r w:rsidRPr="00797162">
        <w:rPr>
          <w:i/>
          <w:noProof/>
        </w:rPr>
        <w:t>Kolmandate isikute rahaline osalus</w:t>
      </w:r>
      <w:bookmarkEnd w:id="180"/>
      <w:bookmarkEnd w:id="181"/>
      <w:bookmarkEnd w:id="182"/>
      <w:bookmarkEnd w:id="183"/>
      <w:bookmarkEnd w:id="184"/>
      <w:r w:rsidRPr="00797162">
        <w:rPr>
          <w:i/>
          <w:noProof/>
        </w:rPr>
        <w:t xml:space="preserve"> </w:t>
      </w:r>
    </w:p>
    <w:p w14:paraId="6D64572C" w14:textId="77777777" w:rsidR="00BF22EA" w:rsidRPr="00797162" w:rsidRDefault="00BF22EA" w:rsidP="00BF22EA">
      <w:pPr>
        <w:ind w:left="850"/>
        <w:rPr>
          <w:noProof/>
        </w:rPr>
      </w:pPr>
      <w:r w:rsidRPr="00797162">
        <w:rPr>
          <w:noProof/>
        </w:rPr>
        <w:t>Ettepanek/algatus:</w:t>
      </w:r>
    </w:p>
    <w:p w14:paraId="3D711212" w14:textId="77777777" w:rsidR="00BF22EA" w:rsidRPr="00797162" w:rsidRDefault="00BF22EA" w:rsidP="00CA1FBC">
      <w:pPr>
        <w:pStyle w:val="ListDash1"/>
        <w:rPr>
          <w:noProof/>
        </w:rPr>
      </w:pPr>
      <w:r w:rsidRPr="00797162">
        <w:rPr>
          <w:rFonts w:ascii="Wingdings" w:hAnsi="Wingdings"/>
          <w:noProof/>
        </w:rPr>
        <w:t></w:t>
      </w:r>
      <w:r w:rsidRPr="00797162">
        <w:rPr>
          <w:rFonts w:ascii="Wingdings" w:hAnsi="Wingdings"/>
          <w:noProof/>
        </w:rPr>
        <w:t></w:t>
      </w:r>
      <w:r w:rsidRPr="00797162">
        <w:rPr>
          <w:noProof/>
        </w:rPr>
        <w:t>ei näe ette kolmandate isikute poolset kaasrahastamist</w:t>
      </w:r>
    </w:p>
    <w:p w14:paraId="35CF0359" w14:textId="77777777" w:rsidR="00BF22EA" w:rsidRPr="00797162" w:rsidRDefault="00BF22EA" w:rsidP="00CA1FBC">
      <w:pPr>
        <w:pStyle w:val="ListDash1"/>
        <w:rPr>
          <w:noProof/>
        </w:rPr>
      </w:pPr>
      <w:r w:rsidRPr="00797162">
        <w:rPr>
          <w:rFonts w:ascii="Wingdings" w:hAnsi="Wingdings"/>
          <w:noProof/>
        </w:rPr>
        <w:t></w:t>
      </w:r>
      <w:r w:rsidRPr="00797162">
        <w:rPr>
          <w:noProof/>
        </w:rPr>
        <w:tab/>
        <w:t>näeb ette kolmandate isikute poolse kaasrahastuse, mille hinnanguline summa on järgmine:</w:t>
      </w:r>
    </w:p>
    <w:p w14:paraId="61C039C2" w14:textId="77777777" w:rsidR="00BF22EA" w:rsidRPr="00797162" w:rsidRDefault="00BF22EA" w:rsidP="00BF22EA">
      <w:pPr>
        <w:jc w:val="right"/>
        <w:rPr>
          <w:noProof/>
          <w:sz w:val="20"/>
        </w:rPr>
      </w:pPr>
      <w:r w:rsidRPr="00797162">
        <w:rPr>
          <w:noProof/>
          <w:sz w:val="20"/>
        </w:rPr>
        <w:t>assigneeringud miljonites eurodes (kolm kohta pärast koma)</w:t>
      </w:r>
    </w:p>
    <w:tbl>
      <w:tblPr>
        <w:tblW w:w="5000" w:type="pct"/>
        <w:tblLook w:val="04A0" w:firstRow="1" w:lastRow="0" w:firstColumn="1" w:lastColumn="0" w:noHBand="0" w:noVBand="1"/>
      </w:tblPr>
      <w:tblGrid>
        <w:gridCol w:w="1616"/>
        <w:gridCol w:w="957"/>
        <w:gridCol w:w="957"/>
        <w:gridCol w:w="957"/>
        <w:gridCol w:w="960"/>
        <w:gridCol w:w="960"/>
        <w:gridCol w:w="960"/>
        <w:gridCol w:w="960"/>
        <w:gridCol w:w="962"/>
      </w:tblGrid>
      <w:tr w:rsidR="00BF22EA" w:rsidRPr="00797162" w14:paraId="3A270E15" w14:textId="77777777" w:rsidTr="00BE7565">
        <w:trPr>
          <w:cantSplit/>
          <w:trHeight w:val="290"/>
        </w:trPr>
        <w:tc>
          <w:tcPr>
            <w:tcW w:w="794" w:type="pct"/>
            <w:vMerge w:val="restart"/>
            <w:tcBorders>
              <w:top w:val="single" w:sz="8" w:space="0" w:color="auto"/>
              <w:left w:val="single" w:sz="8" w:space="0" w:color="auto"/>
              <w:bottom w:val="single" w:sz="8" w:space="0" w:color="000000"/>
              <w:right w:val="single" w:sz="8" w:space="0" w:color="auto"/>
            </w:tcBorders>
            <w:vAlign w:val="center"/>
            <w:hideMark/>
          </w:tcPr>
          <w:p w14:paraId="2674ABCF" w14:textId="77777777" w:rsidR="00BF22EA" w:rsidRPr="00797162" w:rsidRDefault="00BF22EA" w:rsidP="00BE7565">
            <w:pPr>
              <w:spacing w:before="0" w:after="0"/>
              <w:rPr>
                <w:noProof/>
                <w:sz w:val="20"/>
              </w:rPr>
            </w:pPr>
          </w:p>
        </w:tc>
        <w:tc>
          <w:tcPr>
            <w:tcW w:w="525" w:type="pct"/>
            <w:tcBorders>
              <w:top w:val="single" w:sz="8" w:space="0" w:color="auto"/>
              <w:left w:val="nil"/>
              <w:bottom w:val="nil"/>
              <w:right w:val="single" w:sz="8" w:space="0" w:color="auto"/>
            </w:tcBorders>
            <w:vAlign w:val="center"/>
            <w:hideMark/>
          </w:tcPr>
          <w:p w14:paraId="64EFDFFD" w14:textId="77777777" w:rsidR="00BF22EA" w:rsidRPr="00797162" w:rsidRDefault="00BF22EA" w:rsidP="00BE7565">
            <w:pPr>
              <w:spacing w:before="0" w:after="0"/>
              <w:jc w:val="center"/>
              <w:rPr>
                <w:noProof/>
                <w:sz w:val="20"/>
              </w:rPr>
            </w:pPr>
            <w:r w:rsidRPr="00797162">
              <w:rPr>
                <w:noProof/>
                <w:sz w:val="20"/>
              </w:rPr>
              <w:t xml:space="preserve">Aasta </w:t>
            </w:r>
          </w:p>
        </w:tc>
        <w:tc>
          <w:tcPr>
            <w:tcW w:w="525" w:type="pct"/>
            <w:tcBorders>
              <w:top w:val="single" w:sz="8" w:space="0" w:color="auto"/>
              <w:left w:val="nil"/>
              <w:bottom w:val="nil"/>
              <w:right w:val="single" w:sz="8" w:space="0" w:color="auto"/>
            </w:tcBorders>
            <w:vAlign w:val="center"/>
            <w:hideMark/>
          </w:tcPr>
          <w:p w14:paraId="6170EB2A" w14:textId="77777777" w:rsidR="00BF22EA" w:rsidRPr="00797162" w:rsidRDefault="00BF22EA" w:rsidP="00BE7565">
            <w:pPr>
              <w:spacing w:before="0" w:after="0"/>
              <w:jc w:val="center"/>
              <w:rPr>
                <w:noProof/>
                <w:sz w:val="20"/>
              </w:rPr>
            </w:pPr>
            <w:r w:rsidRPr="00797162">
              <w:rPr>
                <w:noProof/>
                <w:sz w:val="20"/>
              </w:rPr>
              <w:t xml:space="preserve">Aasta </w:t>
            </w:r>
          </w:p>
        </w:tc>
        <w:tc>
          <w:tcPr>
            <w:tcW w:w="525" w:type="pct"/>
            <w:tcBorders>
              <w:top w:val="single" w:sz="8" w:space="0" w:color="auto"/>
              <w:left w:val="nil"/>
              <w:bottom w:val="nil"/>
              <w:right w:val="single" w:sz="8" w:space="0" w:color="auto"/>
            </w:tcBorders>
            <w:vAlign w:val="center"/>
            <w:hideMark/>
          </w:tcPr>
          <w:p w14:paraId="43FA8692" w14:textId="77777777" w:rsidR="00BF22EA" w:rsidRPr="00797162" w:rsidRDefault="00BF22EA" w:rsidP="00BE7565">
            <w:pPr>
              <w:spacing w:before="0" w:after="0"/>
              <w:jc w:val="center"/>
              <w:rPr>
                <w:noProof/>
                <w:sz w:val="20"/>
              </w:rPr>
            </w:pPr>
            <w:r w:rsidRPr="00797162">
              <w:rPr>
                <w:noProof/>
                <w:sz w:val="20"/>
              </w:rPr>
              <w:t xml:space="preserve">Aasta </w:t>
            </w:r>
          </w:p>
        </w:tc>
        <w:tc>
          <w:tcPr>
            <w:tcW w:w="526" w:type="pct"/>
            <w:tcBorders>
              <w:top w:val="single" w:sz="8" w:space="0" w:color="auto"/>
              <w:left w:val="nil"/>
              <w:bottom w:val="nil"/>
              <w:right w:val="single" w:sz="8" w:space="0" w:color="auto"/>
            </w:tcBorders>
            <w:vAlign w:val="center"/>
            <w:hideMark/>
          </w:tcPr>
          <w:p w14:paraId="7D09607C" w14:textId="77777777" w:rsidR="00BF22EA" w:rsidRPr="00797162" w:rsidRDefault="00BF22EA" w:rsidP="00BE7565">
            <w:pPr>
              <w:spacing w:before="0" w:after="0"/>
              <w:jc w:val="center"/>
              <w:rPr>
                <w:noProof/>
                <w:sz w:val="20"/>
              </w:rPr>
            </w:pPr>
            <w:r w:rsidRPr="00797162">
              <w:rPr>
                <w:noProof/>
                <w:sz w:val="20"/>
              </w:rPr>
              <w:t xml:space="preserve">Aasta </w:t>
            </w:r>
          </w:p>
        </w:tc>
        <w:tc>
          <w:tcPr>
            <w:tcW w:w="526" w:type="pct"/>
            <w:tcBorders>
              <w:top w:val="single" w:sz="8" w:space="0" w:color="auto"/>
              <w:left w:val="nil"/>
              <w:bottom w:val="nil"/>
              <w:right w:val="single" w:sz="8" w:space="0" w:color="auto"/>
            </w:tcBorders>
            <w:vAlign w:val="center"/>
            <w:hideMark/>
          </w:tcPr>
          <w:p w14:paraId="6BC75FE4" w14:textId="77777777" w:rsidR="00BF22EA" w:rsidRPr="00797162" w:rsidRDefault="00BF22EA" w:rsidP="00BE7565">
            <w:pPr>
              <w:spacing w:before="0" w:after="0"/>
              <w:jc w:val="center"/>
              <w:rPr>
                <w:noProof/>
                <w:sz w:val="20"/>
              </w:rPr>
            </w:pPr>
            <w:r w:rsidRPr="00797162">
              <w:rPr>
                <w:noProof/>
                <w:sz w:val="20"/>
              </w:rPr>
              <w:t xml:space="preserve">Aasta </w:t>
            </w:r>
          </w:p>
        </w:tc>
        <w:tc>
          <w:tcPr>
            <w:tcW w:w="526" w:type="pct"/>
            <w:tcBorders>
              <w:top w:val="single" w:sz="8" w:space="0" w:color="auto"/>
              <w:left w:val="nil"/>
              <w:bottom w:val="nil"/>
              <w:right w:val="single" w:sz="8" w:space="0" w:color="auto"/>
            </w:tcBorders>
            <w:vAlign w:val="center"/>
            <w:hideMark/>
          </w:tcPr>
          <w:p w14:paraId="5AB6AEEE" w14:textId="77777777" w:rsidR="00BF22EA" w:rsidRPr="00797162" w:rsidRDefault="00BF22EA" w:rsidP="00BE7565">
            <w:pPr>
              <w:spacing w:before="0" w:after="0"/>
              <w:jc w:val="center"/>
              <w:rPr>
                <w:noProof/>
                <w:sz w:val="20"/>
              </w:rPr>
            </w:pPr>
            <w:r w:rsidRPr="00797162">
              <w:rPr>
                <w:noProof/>
                <w:sz w:val="20"/>
              </w:rPr>
              <w:t xml:space="preserve">Aasta </w:t>
            </w:r>
          </w:p>
        </w:tc>
        <w:tc>
          <w:tcPr>
            <w:tcW w:w="526" w:type="pct"/>
            <w:tcBorders>
              <w:top w:val="single" w:sz="8" w:space="0" w:color="auto"/>
              <w:left w:val="nil"/>
              <w:bottom w:val="nil"/>
              <w:right w:val="single" w:sz="8" w:space="0" w:color="auto"/>
            </w:tcBorders>
            <w:vAlign w:val="center"/>
            <w:hideMark/>
          </w:tcPr>
          <w:p w14:paraId="2D61B91A" w14:textId="77777777" w:rsidR="00BF22EA" w:rsidRPr="00797162" w:rsidRDefault="00BF22EA" w:rsidP="00BE7565">
            <w:pPr>
              <w:spacing w:before="0" w:after="0"/>
              <w:jc w:val="center"/>
              <w:rPr>
                <w:noProof/>
                <w:sz w:val="20"/>
              </w:rPr>
            </w:pPr>
            <w:r w:rsidRPr="00797162">
              <w:rPr>
                <w:noProof/>
                <w:sz w:val="20"/>
              </w:rPr>
              <w:t xml:space="preserve">Aasta </w:t>
            </w:r>
          </w:p>
        </w:tc>
        <w:tc>
          <w:tcPr>
            <w:tcW w:w="527" w:type="pct"/>
            <w:vMerge w:val="restart"/>
            <w:tcBorders>
              <w:top w:val="single" w:sz="8" w:space="0" w:color="auto"/>
              <w:left w:val="single" w:sz="8" w:space="0" w:color="auto"/>
              <w:bottom w:val="single" w:sz="8" w:space="0" w:color="000000"/>
              <w:right w:val="single" w:sz="8" w:space="0" w:color="auto"/>
            </w:tcBorders>
            <w:vAlign w:val="center"/>
            <w:hideMark/>
          </w:tcPr>
          <w:p w14:paraId="1906EFB7" w14:textId="77777777" w:rsidR="00BF22EA" w:rsidRPr="00797162" w:rsidRDefault="00BF22EA" w:rsidP="00BE7565">
            <w:pPr>
              <w:spacing w:before="0" w:after="0"/>
              <w:jc w:val="center"/>
              <w:rPr>
                <w:noProof/>
                <w:sz w:val="20"/>
              </w:rPr>
            </w:pPr>
            <w:r w:rsidRPr="00797162">
              <w:rPr>
                <w:noProof/>
                <w:sz w:val="20"/>
              </w:rPr>
              <w:t>Kokku</w:t>
            </w:r>
          </w:p>
        </w:tc>
      </w:tr>
      <w:tr w:rsidR="00BF22EA" w:rsidRPr="00797162" w14:paraId="5EDF1046" w14:textId="77777777" w:rsidTr="00BE7565">
        <w:trPr>
          <w:trHeight w:val="300"/>
        </w:trPr>
        <w:tc>
          <w:tcPr>
            <w:tcW w:w="794" w:type="pct"/>
            <w:vMerge/>
            <w:tcBorders>
              <w:top w:val="single" w:sz="8" w:space="0" w:color="auto"/>
              <w:left w:val="single" w:sz="8" w:space="0" w:color="auto"/>
              <w:bottom w:val="single" w:sz="8" w:space="0" w:color="000000"/>
              <w:right w:val="single" w:sz="8" w:space="0" w:color="auto"/>
            </w:tcBorders>
            <w:vAlign w:val="center"/>
            <w:hideMark/>
          </w:tcPr>
          <w:p w14:paraId="075403DD" w14:textId="77777777" w:rsidR="00BF22EA" w:rsidRPr="00797162" w:rsidRDefault="00BF22EA" w:rsidP="00BE7565">
            <w:pPr>
              <w:spacing w:before="0" w:after="0"/>
              <w:jc w:val="left"/>
              <w:rPr>
                <w:noProof/>
                <w:sz w:val="20"/>
              </w:rPr>
            </w:pPr>
          </w:p>
        </w:tc>
        <w:tc>
          <w:tcPr>
            <w:tcW w:w="525" w:type="pct"/>
            <w:tcBorders>
              <w:top w:val="nil"/>
              <w:left w:val="nil"/>
              <w:bottom w:val="single" w:sz="8" w:space="0" w:color="auto"/>
              <w:right w:val="single" w:sz="8" w:space="0" w:color="auto"/>
            </w:tcBorders>
            <w:vAlign w:val="center"/>
            <w:hideMark/>
          </w:tcPr>
          <w:p w14:paraId="3D24ECA8" w14:textId="77777777" w:rsidR="00BF22EA" w:rsidRPr="00797162" w:rsidRDefault="00BF22EA" w:rsidP="00BE7565">
            <w:pPr>
              <w:spacing w:before="0" w:after="0"/>
              <w:jc w:val="center"/>
              <w:rPr>
                <w:b/>
                <w:noProof/>
                <w:sz w:val="20"/>
              </w:rPr>
            </w:pPr>
            <w:r w:rsidRPr="00797162">
              <w:rPr>
                <w:b/>
                <w:noProof/>
                <w:sz w:val="20"/>
              </w:rPr>
              <w:t>2028</w:t>
            </w:r>
          </w:p>
        </w:tc>
        <w:tc>
          <w:tcPr>
            <w:tcW w:w="525" w:type="pct"/>
            <w:tcBorders>
              <w:top w:val="nil"/>
              <w:left w:val="nil"/>
              <w:bottom w:val="single" w:sz="8" w:space="0" w:color="auto"/>
              <w:right w:val="single" w:sz="8" w:space="0" w:color="auto"/>
            </w:tcBorders>
            <w:vAlign w:val="center"/>
            <w:hideMark/>
          </w:tcPr>
          <w:p w14:paraId="4C97CBC9" w14:textId="77777777" w:rsidR="00BF22EA" w:rsidRPr="00797162" w:rsidRDefault="00BF22EA" w:rsidP="00BE7565">
            <w:pPr>
              <w:spacing w:before="0" w:after="0"/>
              <w:jc w:val="center"/>
              <w:rPr>
                <w:b/>
                <w:noProof/>
                <w:sz w:val="20"/>
              </w:rPr>
            </w:pPr>
            <w:r w:rsidRPr="00797162">
              <w:rPr>
                <w:b/>
                <w:noProof/>
                <w:sz w:val="20"/>
              </w:rPr>
              <w:t>2029</w:t>
            </w:r>
          </w:p>
        </w:tc>
        <w:tc>
          <w:tcPr>
            <w:tcW w:w="525" w:type="pct"/>
            <w:tcBorders>
              <w:top w:val="nil"/>
              <w:left w:val="nil"/>
              <w:bottom w:val="single" w:sz="8" w:space="0" w:color="auto"/>
              <w:right w:val="single" w:sz="8" w:space="0" w:color="auto"/>
            </w:tcBorders>
            <w:vAlign w:val="center"/>
            <w:hideMark/>
          </w:tcPr>
          <w:p w14:paraId="7671C74A" w14:textId="77777777" w:rsidR="00BF22EA" w:rsidRPr="00797162" w:rsidRDefault="00BF22EA" w:rsidP="00BE7565">
            <w:pPr>
              <w:spacing w:before="0" w:after="0"/>
              <w:jc w:val="center"/>
              <w:rPr>
                <w:b/>
                <w:noProof/>
                <w:sz w:val="20"/>
              </w:rPr>
            </w:pPr>
            <w:r w:rsidRPr="00797162">
              <w:rPr>
                <w:b/>
                <w:noProof/>
                <w:sz w:val="20"/>
              </w:rPr>
              <w:t>2030</w:t>
            </w:r>
          </w:p>
        </w:tc>
        <w:tc>
          <w:tcPr>
            <w:tcW w:w="526" w:type="pct"/>
            <w:tcBorders>
              <w:top w:val="nil"/>
              <w:left w:val="nil"/>
              <w:bottom w:val="single" w:sz="8" w:space="0" w:color="auto"/>
              <w:right w:val="single" w:sz="8" w:space="0" w:color="auto"/>
            </w:tcBorders>
            <w:vAlign w:val="center"/>
            <w:hideMark/>
          </w:tcPr>
          <w:p w14:paraId="05F769F5" w14:textId="77777777" w:rsidR="00BF22EA" w:rsidRPr="00797162" w:rsidRDefault="00BF22EA" w:rsidP="00BE7565">
            <w:pPr>
              <w:spacing w:before="0" w:after="0"/>
              <w:jc w:val="center"/>
              <w:rPr>
                <w:b/>
                <w:noProof/>
                <w:sz w:val="20"/>
              </w:rPr>
            </w:pPr>
            <w:r w:rsidRPr="00797162">
              <w:rPr>
                <w:b/>
                <w:noProof/>
                <w:sz w:val="20"/>
              </w:rPr>
              <w:t>2031</w:t>
            </w:r>
          </w:p>
        </w:tc>
        <w:tc>
          <w:tcPr>
            <w:tcW w:w="526" w:type="pct"/>
            <w:tcBorders>
              <w:top w:val="nil"/>
              <w:left w:val="nil"/>
              <w:bottom w:val="single" w:sz="8" w:space="0" w:color="auto"/>
              <w:right w:val="single" w:sz="8" w:space="0" w:color="auto"/>
            </w:tcBorders>
            <w:vAlign w:val="center"/>
            <w:hideMark/>
          </w:tcPr>
          <w:p w14:paraId="7FA88A15" w14:textId="77777777" w:rsidR="00BF22EA" w:rsidRPr="00797162" w:rsidRDefault="00BF22EA" w:rsidP="00BE7565">
            <w:pPr>
              <w:spacing w:before="0" w:after="0"/>
              <w:jc w:val="center"/>
              <w:rPr>
                <w:b/>
                <w:noProof/>
                <w:sz w:val="20"/>
              </w:rPr>
            </w:pPr>
            <w:r w:rsidRPr="00797162">
              <w:rPr>
                <w:b/>
                <w:noProof/>
                <w:sz w:val="20"/>
              </w:rPr>
              <w:t>2032</w:t>
            </w:r>
          </w:p>
        </w:tc>
        <w:tc>
          <w:tcPr>
            <w:tcW w:w="526" w:type="pct"/>
            <w:tcBorders>
              <w:top w:val="nil"/>
              <w:left w:val="nil"/>
              <w:bottom w:val="single" w:sz="8" w:space="0" w:color="auto"/>
              <w:right w:val="single" w:sz="8" w:space="0" w:color="auto"/>
            </w:tcBorders>
            <w:vAlign w:val="center"/>
            <w:hideMark/>
          </w:tcPr>
          <w:p w14:paraId="7FC63CAA" w14:textId="77777777" w:rsidR="00BF22EA" w:rsidRPr="00797162" w:rsidRDefault="00BF22EA" w:rsidP="00BE7565">
            <w:pPr>
              <w:spacing w:before="0" w:after="0"/>
              <w:jc w:val="center"/>
              <w:rPr>
                <w:b/>
                <w:noProof/>
                <w:sz w:val="20"/>
              </w:rPr>
            </w:pPr>
            <w:r w:rsidRPr="00797162">
              <w:rPr>
                <w:b/>
                <w:noProof/>
                <w:sz w:val="20"/>
              </w:rPr>
              <w:t>2033</w:t>
            </w:r>
          </w:p>
        </w:tc>
        <w:tc>
          <w:tcPr>
            <w:tcW w:w="526" w:type="pct"/>
            <w:tcBorders>
              <w:top w:val="nil"/>
              <w:left w:val="nil"/>
              <w:bottom w:val="single" w:sz="8" w:space="0" w:color="auto"/>
              <w:right w:val="single" w:sz="8" w:space="0" w:color="auto"/>
            </w:tcBorders>
            <w:vAlign w:val="center"/>
            <w:hideMark/>
          </w:tcPr>
          <w:p w14:paraId="73123B78" w14:textId="77777777" w:rsidR="00BF22EA" w:rsidRPr="00797162" w:rsidRDefault="00BF22EA" w:rsidP="00BE7565">
            <w:pPr>
              <w:spacing w:before="0" w:after="0"/>
              <w:jc w:val="center"/>
              <w:rPr>
                <w:b/>
                <w:noProof/>
                <w:sz w:val="20"/>
              </w:rPr>
            </w:pPr>
            <w:r w:rsidRPr="00797162">
              <w:rPr>
                <w:b/>
                <w:noProof/>
                <w:sz w:val="20"/>
              </w:rPr>
              <w:t>2034</w:t>
            </w:r>
          </w:p>
        </w:tc>
        <w:tc>
          <w:tcPr>
            <w:tcW w:w="527" w:type="pct"/>
            <w:vMerge/>
            <w:tcBorders>
              <w:top w:val="single" w:sz="8" w:space="0" w:color="auto"/>
              <w:left w:val="single" w:sz="8" w:space="0" w:color="auto"/>
              <w:bottom w:val="single" w:sz="8" w:space="0" w:color="000000"/>
              <w:right w:val="single" w:sz="8" w:space="0" w:color="auto"/>
            </w:tcBorders>
            <w:vAlign w:val="center"/>
            <w:hideMark/>
          </w:tcPr>
          <w:p w14:paraId="1D805239" w14:textId="77777777" w:rsidR="00BF22EA" w:rsidRPr="00797162" w:rsidRDefault="00BF22EA" w:rsidP="00BE7565">
            <w:pPr>
              <w:spacing w:before="0" w:after="0"/>
              <w:jc w:val="left"/>
              <w:rPr>
                <w:noProof/>
                <w:sz w:val="20"/>
              </w:rPr>
            </w:pPr>
          </w:p>
        </w:tc>
      </w:tr>
      <w:tr w:rsidR="00BF22EA" w:rsidRPr="00797162" w14:paraId="7973CFC6" w14:textId="77777777" w:rsidTr="00BE7565">
        <w:trPr>
          <w:cantSplit/>
          <w:trHeight w:val="1050"/>
        </w:trPr>
        <w:tc>
          <w:tcPr>
            <w:tcW w:w="794" w:type="pct"/>
            <w:tcBorders>
              <w:top w:val="nil"/>
              <w:left w:val="single" w:sz="8" w:space="0" w:color="auto"/>
              <w:bottom w:val="single" w:sz="8" w:space="0" w:color="auto"/>
              <w:right w:val="single" w:sz="8" w:space="0" w:color="auto"/>
            </w:tcBorders>
            <w:vAlign w:val="center"/>
            <w:hideMark/>
          </w:tcPr>
          <w:p w14:paraId="2E8036C8" w14:textId="77777777" w:rsidR="00BF22EA" w:rsidRPr="00797162" w:rsidRDefault="00BF22EA" w:rsidP="00BE7565">
            <w:pPr>
              <w:spacing w:before="0" w:after="0"/>
              <w:rPr>
                <w:noProof/>
                <w:sz w:val="20"/>
              </w:rPr>
            </w:pPr>
            <w:r w:rsidRPr="00797162">
              <w:rPr>
                <w:noProof/>
                <w:sz w:val="20"/>
              </w:rPr>
              <w:t>Nimetage kaasrahastav asutus</w:t>
            </w:r>
            <w:r w:rsidRPr="00797162">
              <w:rPr>
                <w:i/>
                <w:noProof/>
                <w:sz w:val="20"/>
              </w:rPr>
              <w:t xml:space="preserve"> </w:t>
            </w:r>
          </w:p>
        </w:tc>
        <w:tc>
          <w:tcPr>
            <w:tcW w:w="525" w:type="pct"/>
            <w:tcBorders>
              <w:top w:val="nil"/>
              <w:left w:val="nil"/>
              <w:bottom w:val="single" w:sz="8" w:space="0" w:color="auto"/>
              <w:right w:val="single" w:sz="8" w:space="0" w:color="auto"/>
            </w:tcBorders>
            <w:vAlign w:val="center"/>
            <w:hideMark/>
          </w:tcPr>
          <w:p w14:paraId="07C258F9" w14:textId="77777777" w:rsidR="00BF22EA" w:rsidRPr="00797162" w:rsidRDefault="00BF22EA" w:rsidP="00BE7565">
            <w:pPr>
              <w:spacing w:before="0" w:after="0"/>
              <w:jc w:val="center"/>
              <w:rPr>
                <w:noProof/>
                <w:sz w:val="20"/>
              </w:rPr>
            </w:pPr>
          </w:p>
        </w:tc>
        <w:tc>
          <w:tcPr>
            <w:tcW w:w="525" w:type="pct"/>
            <w:tcBorders>
              <w:top w:val="nil"/>
              <w:left w:val="nil"/>
              <w:bottom w:val="single" w:sz="8" w:space="0" w:color="auto"/>
              <w:right w:val="single" w:sz="8" w:space="0" w:color="auto"/>
            </w:tcBorders>
            <w:vAlign w:val="center"/>
            <w:hideMark/>
          </w:tcPr>
          <w:p w14:paraId="45DBF26B" w14:textId="77777777" w:rsidR="00BF22EA" w:rsidRPr="00797162" w:rsidRDefault="00BF22EA" w:rsidP="00BE7565">
            <w:pPr>
              <w:spacing w:before="0" w:after="0"/>
              <w:jc w:val="center"/>
              <w:rPr>
                <w:noProof/>
                <w:sz w:val="20"/>
              </w:rPr>
            </w:pPr>
          </w:p>
        </w:tc>
        <w:tc>
          <w:tcPr>
            <w:tcW w:w="525" w:type="pct"/>
            <w:tcBorders>
              <w:top w:val="nil"/>
              <w:left w:val="nil"/>
              <w:bottom w:val="single" w:sz="8" w:space="0" w:color="auto"/>
              <w:right w:val="single" w:sz="8" w:space="0" w:color="auto"/>
            </w:tcBorders>
            <w:vAlign w:val="center"/>
            <w:hideMark/>
          </w:tcPr>
          <w:p w14:paraId="21EFC1EC" w14:textId="77777777" w:rsidR="00BF22EA" w:rsidRPr="00797162" w:rsidRDefault="00BF22EA" w:rsidP="00BE7565">
            <w:pPr>
              <w:spacing w:before="0" w:after="0"/>
              <w:jc w:val="center"/>
              <w:rPr>
                <w:noProof/>
                <w:sz w:val="20"/>
              </w:rPr>
            </w:pPr>
          </w:p>
        </w:tc>
        <w:tc>
          <w:tcPr>
            <w:tcW w:w="526" w:type="pct"/>
            <w:tcBorders>
              <w:top w:val="nil"/>
              <w:left w:val="nil"/>
              <w:bottom w:val="single" w:sz="8" w:space="0" w:color="auto"/>
              <w:right w:val="single" w:sz="8" w:space="0" w:color="auto"/>
            </w:tcBorders>
            <w:vAlign w:val="center"/>
            <w:hideMark/>
          </w:tcPr>
          <w:p w14:paraId="05EF466A" w14:textId="77777777" w:rsidR="00BF22EA" w:rsidRPr="00797162" w:rsidRDefault="00BF22EA" w:rsidP="00BE7565">
            <w:pPr>
              <w:spacing w:before="0" w:after="0"/>
              <w:jc w:val="center"/>
              <w:rPr>
                <w:noProof/>
                <w:sz w:val="20"/>
              </w:rPr>
            </w:pPr>
          </w:p>
        </w:tc>
        <w:tc>
          <w:tcPr>
            <w:tcW w:w="526" w:type="pct"/>
            <w:tcBorders>
              <w:top w:val="nil"/>
              <w:left w:val="nil"/>
              <w:bottom w:val="single" w:sz="8" w:space="0" w:color="auto"/>
              <w:right w:val="single" w:sz="8" w:space="0" w:color="auto"/>
            </w:tcBorders>
            <w:vAlign w:val="center"/>
            <w:hideMark/>
          </w:tcPr>
          <w:p w14:paraId="476D1584" w14:textId="77777777" w:rsidR="00BF22EA" w:rsidRPr="00797162" w:rsidRDefault="00BF22EA" w:rsidP="00BE7565">
            <w:pPr>
              <w:spacing w:before="0" w:after="0"/>
              <w:jc w:val="center"/>
              <w:rPr>
                <w:noProof/>
                <w:sz w:val="20"/>
              </w:rPr>
            </w:pPr>
          </w:p>
        </w:tc>
        <w:tc>
          <w:tcPr>
            <w:tcW w:w="526" w:type="pct"/>
            <w:tcBorders>
              <w:top w:val="nil"/>
              <w:left w:val="nil"/>
              <w:bottom w:val="single" w:sz="8" w:space="0" w:color="auto"/>
              <w:right w:val="single" w:sz="8" w:space="0" w:color="auto"/>
            </w:tcBorders>
            <w:vAlign w:val="center"/>
            <w:hideMark/>
          </w:tcPr>
          <w:p w14:paraId="3EDF4DF5" w14:textId="77777777" w:rsidR="00BF22EA" w:rsidRPr="00797162" w:rsidRDefault="00BF22EA" w:rsidP="00BE7565">
            <w:pPr>
              <w:spacing w:before="0" w:after="0"/>
              <w:jc w:val="center"/>
              <w:rPr>
                <w:noProof/>
                <w:sz w:val="20"/>
              </w:rPr>
            </w:pPr>
          </w:p>
        </w:tc>
        <w:tc>
          <w:tcPr>
            <w:tcW w:w="526" w:type="pct"/>
            <w:tcBorders>
              <w:top w:val="nil"/>
              <w:left w:val="nil"/>
              <w:bottom w:val="single" w:sz="8" w:space="0" w:color="auto"/>
              <w:right w:val="single" w:sz="8" w:space="0" w:color="auto"/>
            </w:tcBorders>
            <w:vAlign w:val="center"/>
            <w:hideMark/>
          </w:tcPr>
          <w:p w14:paraId="17BE8427" w14:textId="77777777" w:rsidR="00BF22EA" w:rsidRPr="00797162" w:rsidRDefault="00BF22EA" w:rsidP="00BE7565">
            <w:pPr>
              <w:spacing w:before="0" w:after="0"/>
              <w:jc w:val="center"/>
              <w:rPr>
                <w:noProof/>
                <w:sz w:val="20"/>
              </w:rPr>
            </w:pPr>
          </w:p>
        </w:tc>
        <w:tc>
          <w:tcPr>
            <w:tcW w:w="527" w:type="pct"/>
            <w:tcBorders>
              <w:top w:val="nil"/>
              <w:left w:val="nil"/>
              <w:bottom w:val="single" w:sz="8" w:space="0" w:color="auto"/>
              <w:right w:val="single" w:sz="8" w:space="0" w:color="auto"/>
            </w:tcBorders>
            <w:vAlign w:val="center"/>
            <w:hideMark/>
          </w:tcPr>
          <w:p w14:paraId="02E07EF9" w14:textId="77777777" w:rsidR="00BF22EA" w:rsidRPr="00797162" w:rsidRDefault="00BF22EA" w:rsidP="00BE7565">
            <w:pPr>
              <w:spacing w:before="0" w:after="0"/>
              <w:jc w:val="center"/>
              <w:rPr>
                <w:noProof/>
                <w:sz w:val="20"/>
              </w:rPr>
            </w:pPr>
          </w:p>
        </w:tc>
      </w:tr>
      <w:tr w:rsidR="00BF22EA" w:rsidRPr="00797162" w14:paraId="4F76AA0A" w14:textId="77777777" w:rsidTr="00BE7565">
        <w:trPr>
          <w:cantSplit/>
          <w:trHeight w:val="1050"/>
        </w:trPr>
        <w:tc>
          <w:tcPr>
            <w:tcW w:w="794" w:type="pct"/>
            <w:tcBorders>
              <w:top w:val="nil"/>
              <w:left w:val="single" w:sz="8" w:space="0" w:color="auto"/>
              <w:bottom w:val="single" w:sz="8" w:space="0" w:color="auto"/>
              <w:right w:val="single" w:sz="8" w:space="0" w:color="auto"/>
            </w:tcBorders>
            <w:vAlign w:val="center"/>
            <w:hideMark/>
          </w:tcPr>
          <w:p w14:paraId="6AF6DD69" w14:textId="77777777" w:rsidR="00BF22EA" w:rsidRPr="00797162" w:rsidRDefault="00BF22EA" w:rsidP="00BE7565">
            <w:pPr>
              <w:spacing w:before="0" w:after="0"/>
              <w:jc w:val="left"/>
              <w:rPr>
                <w:noProof/>
                <w:sz w:val="20"/>
              </w:rPr>
            </w:pPr>
            <w:r w:rsidRPr="00797162">
              <w:rPr>
                <w:noProof/>
                <w:sz w:val="20"/>
              </w:rPr>
              <w:t xml:space="preserve">Kaasrahastatavad assigneeringud KOKKU </w:t>
            </w:r>
          </w:p>
        </w:tc>
        <w:tc>
          <w:tcPr>
            <w:tcW w:w="525" w:type="pct"/>
            <w:tcBorders>
              <w:top w:val="nil"/>
              <w:left w:val="nil"/>
              <w:bottom w:val="single" w:sz="8" w:space="0" w:color="auto"/>
              <w:right w:val="single" w:sz="8" w:space="0" w:color="auto"/>
            </w:tcBorders>
            <w:vAlign w:val="center"/>
            <w:hideMark/>
          </w:tcPr>
          <w:p w14:paraId="1B98E714" w14:textId="77777777" w:rsidR="00BF22EA" w:rsidRPr="00797162" w:rsidRDefault="00BF22EA" w:rsidP="00BE7565">
            <w:pPr>
              <w:spacing w:before="0" w:after="0"/>
              <w:jc w:val="center"/>
              <w:rPr>
                <w:noProof/>
                <w:sz w:val="20"/>
              </w:rPr>
            </w:pPr>
          </w:p>
        </w:tc>
        <w:tc>
          <w:tcPr>
            <w:tcW w:w="525" w:type="pct"/>
            <w:tcBorders>
              <w:top w:val="nil"/>
              <w:left w:val="nil"/>
              <w:bottom w:val="single" w:sz="8" w:space="0" w:color="auto"/>
              <w:right w:val="single" w:sz="8" w:space="0" w:color="auto"/>
            </w:tcBorders>
            <w:vAlign w:val="center"/>
            <w:hideMark/>
          </w:tcPr>
          <w:p w14:paraId="53E5AD53" w14:textId="77777777" w:rsidR="00BF22EA" w:rsidRPr="00797162" w:rsidRDefault="00BF22EA" w:rsidP="00BE7565">
            <w:pPr>
              <w:spacing w:before="0" w:after="0"/>
              <w:jc w:val="center"/>
              <w:rPr>
                <w:noProof/>
                <w:sz w:val="20"/>
              </w:rPr>
            </w:pPr>
          </w:p>
        </w:tc>
        <w:tc>
          <w:tcPr>
            <w:tcW w:w="525" w:type="pct"/>
            <w:tcBorders>
              <w:top w:val="nil"/>
              <w:left w:val="nil"/>
              <w:bottom w:val="single" w:sz="8" w:space="0" w:color="auto"/>
              <w:right w:val="single" w:sz="8" w:space="0" w:color="auto"/>
            </w:tcBorders>
            <w:vAlign w:val="center"/>
            <w:hideMark/>
          </w:tcPr>
          <w:p w14:paraId="2D3738CC" w14:textId="77777777" w:rsidR="00BF22EA" w:rsidRPr="00797162" w:rsidRDefault="00BF22EA" w:rsidP="00BE7565">
            <w:pPr>
              <w:spacing w:before="0" w:after="0"/>
              <w:jc w:val="center"/>
              <w:rPr>
                <w:noProof/>
                <w:sz w:val="20"/>
              </w:rPr>
            </w:pPr>
          </w:p>
        </w:tc>
        <w:tc>
          <w:tcPr>
            <w:tcW w:w="526" w:type="pct"/>
            <w:tcBorders>
              <w:top w:val="nil"/>
              <w:left w:val="nil"/>
              <w:bottom w:val="single" w:sz="8" w:space="0" w:color="auto"/>
              <w:right w:val="single" w:sz="8" w:space="0" w:color="auto"/>
            </w:tcBorders>
            <w:vAlign w:val="center"/>
            <w:hideMark/>
          </w:tcPr>
          <w:p w14:paraId="3A8AB650" w14:textId="77777777" w:rsidR="00BF22EA" w:rsidRPr="00797162" w:rsidRDefault="00BF22EA" w:rsidP="00BE7565">
            <w:pPr>
              <w:spacing w:before="0" w:after="0"/>
              <w:jc w:val="center"/>
              <w:rPr>
                <w:noProof/>
                <w:sz w:val="20"/>
              </w:rPr>
            </w:pPr>
          </w:p>
        </w:tc>
        <w:tc>
          <w:tcPr>
            <w:tcW w:w="526" w:type="pct"/>
            <w:tcBorders>
              <w:top w:val="nil"/>
              <w:left w:val="nil"/>
              <w:bottom w:val="single" w:sz="8" w:space="0" w:color="auto"/>
              <w:right w:val="single" w:sz="8" w:space="0" w:color="auto"/>
            </w:tcBorders>
            <w:vAlign w:val="center"/>
            <w:hideMark/>
          </w:tcPr>
          <w:p w14:paraId="7680EA7C" w14:textId="77777777" w:rsidR="00BF22EA" w:rsidRPr="00797162" w:rsidRDefault="00BF22EA" w:rsidP="00BE7565">
            <w:pPr>
              <w:spacing w:before="0" w:after="0"/>
              <w:jc w:val="center"/>
              <w:rPr>
                <w:noProof/>
                <w:sz w:val="20"/>
              </w:rPr>
            </w:pPr>
          </w:p>
        </w:tc>
        <w:tc>
          <w:tcPr>
            <w:tcW w:w="526" w:type="pct"/>
            <w:tcBorders>
              <w:top w:val="nil"/>
              <w:left w:val="nil"/>
              <w:bottom w:val="single" w:sz="8" w:space="0" w:color="auto"/>
              <w:right w:val="single" w:sz="8" w:space="0" w:color="auto"/>
            </w:tcBorders>
            <w:vAlign w:val="center"/>
            <w:hideMark/>
          </w:tcPr>
          <w:p w14:paraId="4AB08591" w14:textId="77777777" w:rsidR="00BF22EA" w:rsidRPr="00797162" w:rsidRDefault="00BF22EA" w:rsidP="00BE7565">
            <w:pPr>
              <w:spacing w:before="0" w:after="0"/>
              <w:jc w:val="center"/>
              <w:rPr>
                <w:noProof/>
                <w:sz w:val="20"/>
              </w:rPr>
            </w:pPr>
          </w:p>
        </w:tc>
        <w:tc>
          <w:tcPr>
            <w:tcW w:w="526" w:type="pct"/>
            <w:tcBorders>
              <w:top w:val="nil"/>
              <w:left w:val="nil"/>
              <w:bottom w:val="single" w:sz="8" w:space="0" w:color="auto"/>
              <w:right w:val="single" w:sz="8" w:space="0" w:color="auto"/>
            </w:tcBorders>
            <w:vAlign w:val="center"/>
            <w:hideMark/>
          </w:tcPr>
          <w:p w14:paraId="7100E284" w14:textId="77777777" w:rsidR="00BF22EA" w:rsidRPr="00797162" w:rsidRDefault="00BF22EA" w:rsidP="00BE7565">
            <w:pPr>
              <w:spacing w:before="0" w:after="0"/>
              <w:jc w:val="center"/>
              <w:rPr>
                <w:noProof/>
                <w:sz w:val="20"/>
              </w:rPr>
            </w:pPr>
          </w:p>
        </w:tc>
        <w:tc>
          <w:tcPr>
            <w:tcW w:w="527" w:type="pct"/>
            <w:tcBorders>
              <w:top w:val="nil"/>
              <w:left w:val="nil"/>
              <w:bottom w:val="single" w:sz="8" w:space="0" w:color="auto"/>
              <w:right w:val="single" w:sz="8" w:space="0" w:color="auto"/>
            </w:tcBorders>
            <w:vAlign w:val="center"/>
            <w:hideMark/>
          </w:tcPr>
          <w:p w14:paraId="49FECFCC" w14:textId="77777777" w:rsidR="00BF22EA" w:rsidRPr="00797162" w:rsidRDefault="00BF22EA" w:rsidP="00BE7565">
            <w:pPr>
              <w:spacing w:before="0" w:after="0"/>
              <w:jc w:val="center"/>
              <w:rPr>
                <w:noProof/>
                <w:sz w:val="20"/>
              </w:rPr>
            </w:pPr>
          </w:p>
        </w:tc>
      </w:tr>
    </w:tbl>
    <w:p w14:paraId="16660ED0" w14:textId="77777777" w:rsidR="00BF22EA" w:rsidRPr="00797162" w:rsidRDefault="00BF22EA" w:rsidP="00BF22EA">
      <w:pPr>
        <w:outlineLvl w:val="1"/>
        <w:rPr>
          <w:noProof/>
        </w:rPr>
      </w:pPr>
      <w:r w:rsidRPr="00797162">
        <w:rPr>
          <w:noProof/>
        </w:rPr>
        <w:t xml:space="preserve"> </w:t>
      </w:r>
      <w:r w:rsidRPr="00797162">
        <w:rPr>
          <w:noProof/>
        </w:rPr>
        <w:br/>
      </w:r>
      <w:bookmarkStart w:id="185" w:name="_Toc514938059"/>
      <w:bookmarkStart w:id="186" w:name="_Toc520485057"/>
      <w:bookmarkStart w:id="187" w:name="_Toc160804602"/>
      <w:bookmarkStart w:id="188" w:name="_Toc167220300"/>
      <w:bookmarkStart w:id="189" w:name="_Toc177549034"/>
      <w:bookmarkStart w:id="190" w:name="_Hlk166860179"/>
      <w:r w:rsidRPr="00797162">
        <w:rPr>
          <w:noProof/>
        </w:rPr>
        <w:t>3.3.</w:t>
      </w:r>
      <w:r w:rsidRPr="00797162">
        <w:rPr>
          <w:noProof/>
        </w:rPr>
        <w:tab/>
        <w:t>Hinnanguline mõju tuludele</w:t>
      </w:r>
      <w:bookmarkEnd w:id="185"/>
      <w:bookmarkEnd w:id="186"/>
      <w:bookmarkEnd w:id="187"/>
      <w:bookmarkEnd w:id="188"/>
      <w:bookmarkEnd w:id="189"/>
      <w:r w:rsidRPr="00797162">
        <w:rPr>
          <w:noProof/>
        </w:rPr>
        <w:t xml:space="preserve"> </w:t>
      </w:r>
    </w:p>
    <w:bookmarkEnd w:id="190"/>
    <w:p w14:paraId="6452F87C" w14:textId="77777777" w:rsidR="00BF22EA" w:rsidRPr="00797162" w:rsidRDefault="00BF22EA" w:rsidP="00CA1FBC">
      <w:pPr>
        <w:pStyle w:val="ListDash1"/>
        <w:rPr>
          <w:noProof/>
        </w:rPr>
      </w:pPr>
      <w:r w:rsidRPr="00797162">
        <w:rPr>
          <w:rFonts w:ascii="Wingdings" w:hAnsi="Wingdings"/>
          <w:noProof/>
        </w:rPr>
        <w:t></w:t>
      </w:r>
      <w:r w:rsidRPr="00797162">
        <w:rPr>
          <w:noProof/>
        </w:rPr>
        <w:t xml:space="preserve"> Ettepanekul/algatusel puudub finantsmõju tuludele.</w:t>
      </w:r>
    </w:p>
    <w:p w14:paraId="5E138C5B" w14:textId="77777777" w:rsidR="00BF22EA" w:rsidRPr="00797162" w:rsidRDefault="00BF22EA" w:rsidP="00CA1FBC">
      <w:pPr>
        <w:pStyle w:val="ListDash1"/>
        <w:rPr>
          <w:noProof/>
        </w:rPr>
      </w:pPr>
      <w:r w:rsidRPr="00797162">
        <w:rPr>
          <w:rFonts w:ascii="Wingdings" w:hAnsi="Wingdings"/>
          <w:noProof/>
        </w:rPr>
        <w:t></w:t>
      </w:r>
      <w:r w:rsidRPr="00797162">
        <w:rPr>
          <w:noProof/>
        </w:rPr>
        <w:tab/>
        <w:t>Ettepanekul/algatusel on järgmine finantsmõju:</w:t>
      </w:r>
    </w:p>
    <w:p w14:paraId="2EFC5AB2" w14:textId="77777777" w:rsidR="00BF22EA" w:rsidRPr="00797162" w:rsidRDefault="00BF22EA" w:rsidP="00CA1FBC">
      <w:pPr>
        <w:pStyle w:val="ListNumberLevel3"/>
        <w:rPr>
          <w:noProof/>
        </w:rPr>
      </w:pPr>
      <w:r w:rsidRPr="00797162">
        <w:rPr>
          <w:rFonts w:ascii="Wingdings" w:hAnsi="Wingdings"/>
          <w:noProof/>
        </w:rPr>
        <w:t></w:t>
      </w:r>
      <w:r w:rsidRPr="00797162">
        <w:rPr>
          <w:noProof/>
        </w:rPr>
        <w:tab/>
        <w:t xml:space="preserve">omavahenditele </w:t>
      </w:r>
    </w:p>
    <w:p w14:paraId="22303E20" w14:textId="77777777" w:rsidR="00BF22EA" w:rsidRPr="00797162" w:rsidRDefault="00BF22EA" w:rsidP="00CA1FBC">
      <w:pPr>
        <w:pStyle w:val="ListNumberLevel3"/>
        <w:rPr>
          <w:noProof/>
        </w:rPr>
      </w:pPr>
      <w:r w:rsidRPr="00797162">
        <w:rPr>
          <w:rFonts w:ascii="Wingdings" w:hAnsi="Wingdings"/>
          <w:noProof/>
        </w:rPr>
        <w:t></w:t>
      </w:r>
      <w:r w:rsidRPr="00797162">
        <w:rPr>
          <w:noProof/>
        </w:rPr>
        <w:tab/>
        <w:t>muudele tuludele</w:t>
      </w:r>
    </w:p>
    <w:p w14:paraId="2FCC14D6" w14:textId="77777777" w:rsidR="00BF22EA" w:rsidRPr="00797162" w:rsidRDefault="00BF22EA" w:rsidP="00CA1FBC">
      <w:pPr>
        <w:pStyle w:val="ListNumberLevel3"/>
        <w:rPr>
          <w:noProof/>
        </w:rPr>
      </w:pPr>
      <w:r w:rsidRPr="00797162">
        <w:rPr>
          <w:rFonts w:ascii="Wingdings" w:hAnsi="Wingdings"/>
          <w:noProof/>
        </w:rPr>
        <w:t></w:t>
      </w:r>
      <w:r w:rsidRPr="00797162">
        <w:rPr>
          <w:noProof/>
        </w:rPr>
        <w:tab/>
        <w:t>märkige, kas see on kulude eelarveridasid mõjutav sihtotstarbeline tulu</w:t>
      </w:r>
    </w:p>
    <w:p w14:paraId="43482CF5" w14:textId="77777777" w:rsidR="00BF22EA" w:rsidRPr="00797162" w:rsidRDefault="00BF22EA" w:rsidP="00BF22EA">
      <w:pPr>
        <w:jc w:val="right"/>
        <w:rPr>
          <w:noProof/>
          <w:sz w:val="20"/>
        </w:rPr>
      </w:pPr>
      <w:r w:rsidRPr="00797162">
        <w:rPr>
          <w:noProof/>
          <w:sz w:val="20"/>
        </w:rPr>
        <w:t>miljonites eurodes (kolm kohta pärast koma)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0"/>
        <w:gridCol w:w="1306"/>
        <w:gridCol w:w="910"/>
        <w:gridCol w:w="853"/>
        <w:gridCol w:w="858"/>
        <w:gridCol w:w="877"/>
        <w:gridCol w:w="875"/>
        <w:gridCol w:w="875"/>
        <w:gridCol w:w="875"/>
      </w:tblGrid>
      <w:tr w:rsidR="00BF22EA" w:rsidRPr="00797162" w14:paraId="668AA86D" w14:textId="77777777" w:rsidTr="00BE7565">
        <w:trPr>
          <w:trHeight w:val="388"/>
        </w:trPr>
        <w:tc>
          <w:tcPr>
            <w:tcW w:w="1001" w:type="pct"/>
            <w:vMerge w:val="restart"/>
            <w:vAlign w:val="center"/>
          </w:tcPr>
          <w:p w14:paraId="42F19D54" w14:textId="77777777" w:rsidR="00BF22EA" w:rsidRPr="00797162" w:rsidRDefault="00BF22EA" w:rsidP="00BE7565">
            <w:pPr>
              <w:spacing w:before="40" w:after="40"/>
              <w:rPr>
                <w:noProof/>
                <w:sz w:val="18"/>
              </w:rPr>
            </w:pPr>
            <w:r w:rsidRPr="00797162">
              <w:rPr>
                <w:noProof/>
                <w:sz w:val="18"/>
              </w:rPr>
              <w:t>Tulude eelarverida</w:t>
            </w:r>
          </w:p>
        </w:tc>
        <w:tc>
          <w:tcPr>
            <w:tcW w:w="703" w:type="pct"/>
            <w:vMerge w:val="restart"/>
            <w:vAlign w:val="center"/>
          </w:tcPr>
          <w:p w14:paraId="4A2D6FB0" w14:textId="77777777" w:rsidR="00BF22EA" w:rsidRPr="00797162" w:rsidRDefault="00BF22EA" w:rsidP="00BE7565">
            <w:pPr>
              <w:jc w:val="center"/>
              <w:rPr>
                <w:noProof/>
                <w:sz w:val="18"/>
              </w:rPr>
            </w:pPr>
            <w:r w:rsidRPr="00797162">
              <w:rPr>
                <w:noProof/>
                <w:sz w:val="18"/>
              </w:rPr>
              <w:t>Jooksval eelarveaastal kättesaadavad assigneeringud</w:t>
            </w:r>
          </w:p>
        </w:tc>
        <w:tc>
          <w:tcPr>
            <w:tcW w:w="3296" w:type="pct"/>
            <w:gridSpan w:val="7"/>
            <w:vAlign w:val="center"/>
          </w:tcPr>
          <w:p w14:paraId="4C229A6A" w14:textId="77777777" w:rsidR="00BF22EA" w:rsidRPr="00797162" w:rsidRDefault="00BF22EA" w:rsidP="00BE7565">
            <w:pPr>
              <w:jc w:val="center"/>
              <w:rPr>
                <w:noProof/>
                <w:sz w:val="18"/>
              </w:rPr>
            </w:pPr>
            <w:r w:rsidRPr="00797162">
              <w:rPr>
                <w:noProof/>
                <w:sz w:val="18"/>
              </w:rPr>
              <w:t>Ettepaneku/algatuse mõju</w:t>
            </w:r>
            <w:r w:rsidRPr="00797162">
              <w:rPr>
                <w:rStyle w:val="FootnoteReference"/>
                <w:noProof/>
              </w:rPr>
              <w:footnoteReference w:id="56"/>
            </w:r>
          </w:p>
        </w:tc>
      </w:tr>
      <w:tr w:rsidR="00BF22EA" w:rsidRPr="00797162" w14:paraId="30222AB4" w14:textId="77777777" w:rsidTr="00BE7565">
        <w:trPr>
          <w:trHeight w:val="388"/>
        </w:trPr>
        <w:tc>
          <w:tcPr>
            <w:tcW w:w="1001" w:type="pct"/>
            <w:vMerge/>
          </w:tcPr>
          <w:p w14:paraId="706C4838" w14:textId="77777777" w:rsidR="00BF22EA" w:rsidRPr="00797162" w:rsidRDefault="00BF22EA" w:rsidP="00BE7565">
            <w:pPr>
              <w:spacing w:before="40" w:after="40"/>
              <w:rPr>
                <w:noProof/>
                <w:sz w:val="18"/>
              </w:rPr>
            </w:pPr>
          </w:p>
        </w:tc>
        <w:tc>
          <w:tcPr>
            <w:tcW w:w="703" w:type="pct"/>
            <w:vMerge/>
          </w:tcPr>
          <w:p w14:paraId="051B7865" w14:textId="77777777" w:rsidR="00BF22EA" w:rsidRPr="00797162" w:rsidRDefault="00BF22EA" w:rsidP="00BE7565">
            <w:pPr>
              <w:spacing w:beforeLines="40" w:before="96" w:afterLines="40" w:after="96"/>
              <w:rPr>
                <w:i/>
                <w:noProof/>
                <w:sz w:val="18"/>
              </w:rPr>
            </w:pPr>
          </w:p>
        </w:tc>
        <w:tc>
          <w:tcPr>
            <w:tcW w:w="490" w:type="pct"/>
            <w:vAlign w:val="center"/>
          </w:tcPr>
          <w:p w14:paraId="09E66B79" w14:textId="77777777" w:rsidR="00BF22EA" w:rsidRPr="00797162" w:rsidRDefault="00BF22EA" w:rsidP="00BE7565">
            <w:pPr>
              <w:jc w:val="center"/>
              <w:rPr>
                <w:noProof/>
                <w:sz w:val="18"/>
              </w:rPr>
            </w:pPr>
            <w:r w:rsidRPr="00797162">
              <w:rPr>
                <w:noProof/>
                <w:sz w:val="18"/>
              </w:rPr>
              <w:t xml:space="preserve">Aasta </w:t>
            </w:r>
            <w:r w:rsidRPr="00797162">
              <w:rPr>
                <w:b/>
                <w:bCs/>
                <w:noProof/>
                <w:sz w:val="18"/>
              </w:rPr>
              <w:t>2028</w:t>
            </w:r>
          </w:p>
        </w:tc>
        <w:tc>
          <w:tcPr>
            <w:tcW w:w="459" w:type="pct"/>
            <w:vAlign w:val="center"/>
          </w:tcPr>
          <w:p w14:paraId="67B5BDF2" w14:textId="77777777" w:rsidR="00BF22EA" w:rsidRPr="00797162" w:rsidRDefault="00BF22EA" w:rsidP="00BE7565">
            <w:pPr>
              <w:jc w:val="center"/>
              <w:rPr>
                <w:noProof/>
                <w:sz w:val="18"/>
              </w:rPr>
            </w:pPr>
            <w:r w:rsidRPr="00797162">
              <w:rPr>
                <w:noProof/>
                <w:sz w:val="18"/>
              </w:rPr>
              <w:t xml:space="preserve">Aasta </w:t>
            </w:r>
            <w:r w:rsidRPr="00797162">
              <w:rPr>
                <w:b/>
                <w:bCs/>
                <w:noProof/>
                <w:sz w:val="18"/>
              </w:rPr>
              <w:t>2029</w:t>
            </w:r>
          </w:p>
        </w:tc>
        <w:tc>
          <w:tcPr>
            <w:tcW w:w="462" w:type="pct"/>
            <w:vAlign w:val="center"/>
          </w:tcPr>
          <w:p w14:paraId="4244E792" w14:textId="77777777" w:rsidR="00BF22EA" w:rsidRPr="00797162" w:rsidRDefault="00BF22EA" w:rsidP="00BE7565">
            <w:pPr>
              <w:jc w:val="center"/>
              <w:rPr>
                <w:noProof/>
                <w:sz w:val="18"/>
              </w:rPr>
            </w:pPr>
            <w:r w:rsidRPr="00797162">
              <w:rPr>
                <w:noProof/>
                <w:sz w:val="18"/>
              </w:rPr>
              <w:t xml:space="preserve">Aasta </w:t>
            </w:r>
            <w:r w:rsidRPr="00797162">
              <w:rPr>
                <w:b/>
                <w:bCs/>
                <w:noProof/>
                <w:sz w:val="18"/>
              </w:rPr>
              <w:t>2030</w:t>
            </w:r>
          </w:p>
        </w:tc>
        <w:tc>
          <w:tcPr>
            <w:tcW w:w="472" w:type="pct"/>
            <w:vAlign w:val="center"/>
          </w:tcPr>
          <w:p w14:paraId="6874B323" w14:textId="77777777" w:rsidR="00BF22EA" w:rsidRPr="00797162" w:rsidRDefault="00BF22EA" w:rsidP="00BE7565">
            <w:pPr>
              <w:jc w:val="center"/>
              <w:rPr>
                <w:noProof/>
                <w:sz w:val="18"/>
              </w:rPr>
            </w:pPr>
            <w:r w:rsidRPr="00797162">
              <w:rPr>
                <w:noProof/>
                <w:sz w:val="18"/>
              </w:rPr>
              <w:t xml:space="preserve">Aasta </w:t>
            </w:r>
            <w:r w:rsidRPr="00797162">
              <w:rPr>
                <w:b/>
                <w:bCs/>
                <w:noProof/>
                <w:sz w:val="18"/>
              </w:rPr>
              <w:t>2031</w:t>
            </w:r>
          </w:p>
        </w:tc>
        <w:tc>
          <w:tcPr>
            <w:tcW w:w="471" w:type="pct"/>
          </w:tcPr>
          <w:p w14:paraId="60094385" w14:textId="77777777" w:rsidR="00BF22EA" w:rsidRPr="00797162" w:rsidRDefault="00BF22EA" w:rsidP="00BE7565">
            <w:pPr>
              <w:jc w:val="center"/>
              <w:rPr>
                <w:noProof/>
                <w:sz w:val="18"/>
              </w:rPr>
            </w:pPr>
            <w:r w:rsidRPr="00797162">
              <w:rPr>
                <w:noProof/>
                <w:sz w:val="18"/>
              </w:rPr>
              <w:t xml:space="preserve">Aasta </w:t>
            </w:r>
            <w:r w:rsidRPr="00797162">
              <w:rPr>
                <w:b/>
                <w:bCs/>
                <w:noProof/>
                <w:sz w:val="18"/>
              </w:rPr>
              <w:t>2032</w:t>
            </w:r>
          </w:p>
        </w:tc>
        <w:tc>
          <w:tcPr>
            <w:tcW w:w="471" w:type="pct"/>
          </w:tcPr>
          <w:p w14:paraId="5E701E2E" w14:textId="77777777" w:rsidR="00BF22EA" w:rsidRPr="00797162" w:rsidRDefault="00BF22EA" w:rsidP="00BE7565">
            <w:pPr>
              <w:jc w:val="center"/>
              <w:rPr>
                <w:noProof/>
                <w:sz w:val="18"/>
              </w:rPr>
            </w:pPr>
            <w:r w:rsidRPr="00797162">
              <w:rPr>
                <w:noProof/>
                <w:sz w:val="18"/>
              </w:rPr>
              <w:t xml:space="preserve">Aasta </w:t>
            </w:r>
            <w:r w:rsidRPr="00797162">
              <w:rPr>
                <w:b/>
                <w:bCs/>
                <w:noProof/>
                <w:sz w:val="18"/>
              </w:rPr>
              <w:t>2033</w:t>
            </w:r>
          </w:p>
        </w:tc>
        <w:tc>
          <w:tcPr>
            <w:tcW w:w="471" w:type="pct"/>
          </w:tcPr>
          <w:p w14:paraId="0E42B4E3" w14:textId="77777777" w:rsidR="00BF22EA" w:rsidRPr="00797162" w:rsidRDefault="00BF22EA" w:rsidP="00BE7565">
            <w:pPr>
              <w:jc w:val="center"/>
              <w:rPr>
                <w:noProof/>
                <w:sz w:val="18"/>
              </w:rPr>
            </w:pPr>
            <w:r w:rsidRPr="00797162">
              <w:rPr>
                <w:noProof/>
                <w:sz w:val="18"/>
              </w:rPr>
              <w:t xml:space="preserve">Aasta </w:t>
            </w:r>
            <w:r w:rsidRPr="00797162">
              <w:rPr>
                <w:b/>
                <w:bCs/>
                <w:noProof/>
                <w:sz w:val="18"/>
              </w:rPr>
              <w:t>2034</w:t>
            </w:r>
          </w:p>
        </w:tc>
      </w:tr>
      <w:tr w:rsidR="00BF22EA" w:rsidRPr="00797162" w14:paraId="03C201E6" w14:textId="77777777" w:rsidTr="00BE7565">
        <w:trPr>
          <w:trHeight w:val="388"/>
        </w:trPr>
        <w:tc>
          <w:tcPr>
            <w:tcW w:w="1001" w:type="pct"/>
            <w:vAlign w:val="center"/>
          </w:tcPr>
          <w:p w14:paraId="29CD04BF" w14:textId="77777777" w:rsidR="00BF22EA" w:rsidRPr="00797162" w:rsidRDefault="00BF22EA" w:rsidP="00BE7565">
            <w:pPr>
              <w:spacing w:before="40" w:after="40"/>
              <w:rPr>
                <w:noProof/>
                <w:sz w:val="18"/>
              </w:rPr>
            </w:pPr>
            <w:r w:rsidRPr="00797162">
              <w:rPr>
                <w:noProof/>
                <w:sz w:val="18"/>
              </w:rPr>
              <w:t>Artikkel ….</w:t>
            </w:r>
          </w:p>
        </w:tc>
        <w:tc>
          <w:tcPr>
            <w:tcW w:w="703" w:type="pct"/>
          </w:tcPr>
          <w:p w14:paraId="393BE68F" w14:textId="77777777" w:rsidR="00BF22EA" w:rsidRPr="00797162" w:rsidRDefault="00BF22EA" w:rsidP="00BE7565">
            <w:pPr>
              <w:spacing w:beforeLines="40" w:before="96" w:afterLines="40" w:after="96"/>
              <w:jc w:val="center"/>
              <w:rPr>
                <w:i/>
                <w:noProof/>
                <w:sz w:val="18"/>
              </w:rPr>
            </w:pPr>
          </w:p>
        </w:tc>
        <w:tc>
          <w:tcPr>
            <w:tcW w:w="490" w:type="pct"/>
          </w:tcPr>
          <w:p w14:paraId="4A08C740" w14:textId="77777777" w:rsidR="00BF22EA" w:rsidRPr="00797162" w:rsidRDefault="00BF22EA" w:rsidP="00BE7565">
            <w:pPr>
              <w:spacing w:beforeLines="40" w:before="96" w:afterLines="40" w:after="96"/>
              <w:jc w:val="center"/>
              <w:rPr>
                <w:noProof/>
                <w:sz w:val="18"/>
              </w:rPr>
            </w:pPr>
          </w:p>
        </w:tc>
        <w:tc>
          <w:tcPr>
            <w:tcW w:w="459" w:type="pct"/>
          </w:tcPr>
          <w:p w14:paraId="4DD0D125" w14:textId="77777777" w:rsidR="00BF22EA" w:rsidRPr="00797162" w:rsidRDefault="00BF22EA" w:rsidP="00BE7565">
            <w:pPr>
              <w:spacing w:beforeLines="40" w:before="96" w:afterLines="40" w:after="96"/>
              <w:jc w:val="center"/>
              <w:rPr>
                <w:noProof/>
                <w:sz w:val="18"/>
              </w:rPr>
            </w:pPr>
          </w:p>
        </w:tc>
        <w:tc>
          <w:tcPr>
            <w:tcW w:w="462" w:type="pct"/>
          </w:tcPr>
          <w:p w14:paraId="5EF44BAF" w14:textId="77777777" w:rsidR="00BF22EA" w:rsidRPr="00797162" w:rsidRDefault="00BF22EA" w:rsidP="00BE7565">
            <w:pPr>
              <w:spacing w:beforeLines="40" w:before="96" w:afterLines="40" w:after="96"/>
              <w:jc w:val="center"/>
              <w:rPr>
                <w:noProof/>
                <w:sz w:val="18"/>
              </w:rPr>
            </w:pPr>
          </w:p>
        </w:tc>
        <w:tc>
          <w:tcPr>
            <w:tcW w:w="472" w:type="pct"/>
          </w:tcPr>
          <w:p w14:paraId="5D087135" w14:textId="77777777" w:rsidR="00BF22EA" w:rsidRPr="00797162" w:rsidRDefault="00BF22EA" w:rsidP="00BE7565">
            <w:pPr>
              <w:spacing w:beforeLines="40" w:before="96" w:afterLines="40" w:after="96"/>
              <w:jc w:val="center"/>
              <w:rPr>
                <w:noProof/>
                <w:sz w:val="18"/>
              </w:rPr>
            </w:pPr>
          </w:p>
        </w:tc>
        <w:tc>
          <w:tcPr>
            <w:tcW w:w="471" w:type="pct"/>
          </w:tcPr>
          <w:p w14:paraId="27EBE907" w14:textId="77777777" w:rsidR="00BF22EA" w:rsidRPr="00797162" w:rsidRDefault="00BF22EA" w:rsidP="00BE7565">
            <w:pPr>
              <w:spacing w:beforeLines="40" w:before="96" w:afterLines="40" w:after="96"/>
              <w:jc w:val="center"/>
              <w:rPr>
                <w:noProof/>
                <w:sz w:val="18"/>
              </w:rPr>
            </w:pPr>
          </w:p>
        </w:tc>
        <w:tc>
          <w:tcPr>
            <w:tcW w:w="471" w:type="pct"/>
          </w:tcPr>
          <w:p w14:paraId="2057852A" w14:textId="77777777" w:rsidR="00BF22EA" w:rsidRPr="00797162" w:rsidRDefault="00BF22EA" w:rsidP="00BE7565">
            <w:pPr>
              <w:spacing w:beforeLines="40" w:before="96" w:afterLines="40" w:after="96"/>
              <w:jc w:val="center"/>
              <w:rPr>
                <w:noProof/>
                <w:sz w:val="18"/>
              </w:rPr>
            </w:pPr>
          </w:p>
        </w:tc>
        <w:tc>
          <w:tcPr>
            <w:tcW w:w="471" w:type="pct"/>
          </w:tcPr>
          <w:p w14:paraId="589C6B02" w14:textId="77777777" w:rsidR="00BF22EA" w:rsidRPr="00797162" w:rsidRDefault="00BF22EA" w:rsidP="00BE7565">
            <w:pPr>
              <w:spacing w:beforeLines="40" w:before="96" w:afterLines="40" w:after="96"/>
              <w:jc w:val="center"/>
              <w:rPr>
                <w:noProof/>
                <w:sz w:val="18"/>
              </w:rPr>
            </w:pPr>
          </w:p>
        </w:tc>
      </w:tr>
    </w:tbl>
    <w:p w14:paraId="44CF83AF" w14:textId="77777777" w:rsidR="00BF22EA" w:rsidRPr="00797162" w:rsidRDefault="00BF22EA" w:rsidP="00BF22EA">
      <w:pPr>
        <w:jc w:val="right"/>
        <w:rPr>
          <w:noProof/>
          <w:sz w:val="20"/>
        </w:rPr>
      </w:pPr>
    </w:p>
    <w:p w14:paraId="67FBB414" w14:textId="77777777" w:rsidR="00BF22EA" w:rsidRPr="00797162" w:rsidRDefault="00BF22EA" w:rsidP="00BF22EA">
      <w:pPr>
        <w:ind w:left="850"/>
        <w:rPr>
          <w:noProof/>
        </w:rPr>
      </w:pPr>
      <w:r w:rsidRPr="00797162">
        <w:rPr>
          <w:noProof/>
        </w:rPr>
        <w:t>Sihtotstarbeliste tulude puhul märkige, milliseid kulude eelarveridasid ettepanek mõjutab.</w:t>
      </w:r>
    </w:p>
    <w:p w14:paraId="3E38457F" w14:textId="77777777" w:rsidR="00BF22EA" w:rsidRPr="00797162" w:rsidRDefault="00BF22EA" w:rsidP="00BF22EA">
      <w:pPr>
        <w:pBdr>
          <w:top w:val="single" w:sz="4" w:space="1" w:color="auto"/>
          <w:left w:val="single" w:sz="4" w:space="4" w:color="auto"/>
          <w:bottom w:val="single" w:sz="4" w:space="1" w:color="auto"/>
          <w:right w:val="single" w:sz="4" w:space="4" w:color="auto"/>
        </w:pBdr>
        <w:ind w:left="850"/>
        <w:rPr>
          <w:noProof/>
        </w:rPr>
      </w:pPr>
      <w:r w:rsidRPr="00797162">
        <w:rPr>
          <w:noProof/>
        </w:rPr>
        <w:t>ei kohaldata</w:t>
      </w:r>
    </w:p>
    <w:p w14:paraId="0FCEF800" w14:textId="77777777" w:rsidR="00BF22EA" w:rsidRPr="00797162" w:rsidRDefault="00BF22EA" w:rsidP="00BF22EA">
      <w:pPr>
        <w:ind w:left="850"/>
        <w:rPr>
          <w:noProof/>
        </w:rPr>
      </w:pPr>
      <w:r w:rsidRPr="00797162">
        <w:rPr>
          <w:noProof/>
        </w:rPr>
        <w:t>Muud märkused (nt tuludele avaldatava mõju arvutamise meetod/valem või muu teave).</w:t>
      </w:r>
    </w:p>
    <w:p w14:paraId="120CC9D5" w14:textId="77777777" w:rsidR="00BF22EA" w:rsidRPr="00797162" w:rsidRDefault="00BF22EA" w:rsidP="00BF22EA">
      <w:pPr>
        <w:pBdr>
          <w:top w:val="single" w:sz="4" w:space="1" w:color="auto"/>
          <w:left w:val="single" w:sz="4" w:space="4" w:color="auto"/>
          <w:bottom w:val="single" w:sz="4" w:space="1" w:color="auto"/>
          <w:right w:val="single" w:sz="4" w:space="4" w:color="auto"/>
        </w:pBdr>
        <w:ind w:left="850"/>
        <w:rPr>
          <w:noProof/>
        </w:rPr>
      </w:pPr>
      <w:r w:rsidRPr="00797162">
        <w:rPr>
          <w:noProof/>
        </w:rPr>
        <w:t>ei kohaldata</w:t>
      </w:r>
    </w:p>
    <w:p w14:paraId="0FA79BD7" w14:textId="77777777" w:rsidR="00BF22EA" w:rsidRPr="00797162" w:rsidRDefault="00BF22EA" w:rsidP="00BF22EA">
      <w:pPr>
        <w:keepNext/>
        <w:tabs>
          <w:tab w:val="left" w:pos="850"/>
        </w:tabs>
        <w:spacing w:before="360"/>
        <w:ind w:left="850" w:hanging="850"/>
        <w:outlineLvl w:val="0"/>
        <w:rPr>
          <w:b/>
          <w:caps/>
          <w:smallCaps/>
          <w:noProof/>
        </w:rPr>
      </w:pPr>
      <w:bookmarkStart w:id="191" w:name="_Toc167220301"/>
      <w:bookmarkStart w:id="192" w:name="_Toc177549035"/>
      <w:r w:rsidRPr="00797162">
        <w:rPr>
          <w:b/>
          <w:smallCaps/>
          <w:noProof/>
        </w:rPr>
        <w:t>4.</w:t>
      </w:r>
      <w:r w:rsidRPr="00797162">
        <w:rPr>
          <w:noProof/>
        </w:rPr>
        <w:tab/>
      </w:r>
      <w:bookmarkStart w:id="193" w:name="_Hlk167692977"/>
      <w:r w:rsidRPr="00797162">
        <w:rPr>
          <w:b/>
          <w:caps/>
          <w:smallCaps/>
          <w:noProof/>
        </w:rPr>
        <w:t>Digimõõde</w:t>
      </w:r>
      <w:bookmarkEnd w:id="191"/>
      <w:bookmarkEnd w:id="192"/>
    </w:p>
    <w:p w14:paraId="2C124812" w14:textId="77777777" w:rsidR="00BF22EA" w:rsidRPr="00797162" w:rsidRDefault="00BF22EA" w:rsidP="00BF22EA">
      <w:pPr>
        <w:keepNext/>
        <w:tabs>
          <w:tab w:val="left" w:pos="850"/>
        </w:tabs>
        <w:ind w:left="850" w:hanging="850"/>
        <w:outlineLvl w:val="1"/>
        <w:rPr>
          <w:b/>
          <w:noProof/>
        </w:rPr>
      </w:pPr>
      <w:bookmarkStart w:id="194" w:name="_Toc167220302"/>
      <w:bookmarkStart w:id="195" w:name="_Toc177549037"/>
      <w:r w:rsidRPr="00797162">
        <w:rPr>
          <w:b/>
          <w:noProof/>
        </w:rPr>
        <w:t>4.1.</w:t>
      </w:r>
      <w:r w:rsidRPr="00797162">
        <w:rPr>
          <w:noProof/>
        </w:rPr>
        <w:tab/>
      </w:r>
      <w:r w:rsidRPr="00797162">
        <w:rPr>
          <w:b/>
          <w:noProof/>
        </w:rPr>
        <w:t>Diginõuded</w:t>
      </w:r>
      <w:bookmarkEnd w:id="194"/>
      <w:bookmarkEnd w:id="195"/>
    </w:p>
    <w:p w14:paraId="5463A085" w14:textId="77777777" w:rsidR="00BF22EA" w:rsidRPr="00797162" w:rsidRDefault="00BF22EA" w:rsidP="00BF22EA">
      <w:pPr>
        <w:ind w:left="850"/>
        <w:rPr>
          <w:noProof/>
        </w:rPr>
      </w:pPr>
      <w:r w:rsidRPr="00797162">
        <w:rPr>
          <w:noProof/>
        </w:rPr>
        <w:t>ei kohaldata</w:t>
      </w:r>
    </w:p>
    <w:p w14:paraId="0D12012F" w14:textId="77777777" w:rsidR="00BF22EA" w:rsidRPr="00797162" w:rsidRDefault="00BF22EA" w:rsidP="00BF22EA">
      <w:pPr>
        <w:keepNext/>
        <w:tabs>
          <w:tab w:val="left" w:pos="850"/>
        </w:tabs>
        <w:ind w:left="850" w:hanging="850"/>
        <w:outlineLvl w:val="1"/>
        <w:rPr>
          <w:b/>
          <w:noProof/>
        </w:rPr>
      </w:pPr>
      <w:bookmarkStart w:id="196" w:name="_Toc167220303"/>
      <w:bookmarkStart w:id="197" w:name="_Toc177549038"/>
      <w:r w:rsidRPr="00797162">
        <w:rPr>
          <w:b/>
          <w:noProof/>
        </w:rPr>
        <w:t>4.2.</w:t>
      </w:r>
      <w:r w:rsidRPr="00797162">
        <w:rPr>
          <w:noProof/>
        </w:rPr>
        <w:tab/>
      </w:r>
      <w:r w:rsidRPr="00797162">
        <w:rPr>
          <w:b/>
          <w:noProof/>
        </w:rPr>
        <w:t>Andmed</w:t>
      </w:r>
      <w:bookmarkEnd w:id="196"/>
      <w:bookmarkEnd w:id="197"/>
    </w:p>
    <w:tbl>
      <w:tblPr>
        <w:tblStyle w:val="TableGrid"/>
        <w:tblW w:w="0" w:type="auto"/>
        <w:tblLook w:val="04A0" w:firstRow="1" w:lastRow="0" w:firstColumn="1" w:lastColumn="0" w:noHBand="0" w:noVBand="1"/>
      </w:tblPr>
      <w:tblGrid>
        <w:gridCol w:w="9063"/>
      </w:tblGrid>
      <w:tr w:rsidR="00BF22EA" w:rsidRPr="00797162" w14:paraId="2EFF83C3" w14:textId="77777777" w:rsidTr="00BE7565">
        <w:tc>
          <w:tcPr>
            <w:tcW w:w="9063" w:type="dxa"/>
          </w:tcPr>
          <w:p w14:paraId="06C42D03" w14:textId="77777777" w:rsidR="00BF22EA" w:rsidRPr="00797162" w:rsidRDefault="00BF22EA" w:rsidP="00B40C35">
            <w:pPr>
              <w:rPr>
                <w:noProof/>
              </w:rPr>
            </w:pPr>
            <w:r w:rsidRPr="00797162">
              <w:rPr>
                <w:noProof/>
              </w:rPr>
              <w:t>ei kohaldata</w:t>
            </w:r>
          </w:p>
        </w:tc>
      </w:tr>
    </w:tbl>
    <w:p w14:paraId="1B6EA81C" w14:textId="77777777" w:rsidR="00BF22EA" w:rsidRPr="00797162" w:rsidRDefault="00BF22EA" w:rsidP="00BF22EA">
      <w:pPr>
        <w:keepNext/>
        <w:tabs>
          <w:tab w:val="left" w:pos="850"/>
        </w:tabs>
        <w:ind w:left="850" w:hanging="850"/>
        <w:outlineLvl w:val="1"/>
        <w:rPr>
          <w:b/>
          <w:noProof/>
        </w:rPr>
      </w:pPr>
      <w:bookmarkStart w:id="198" w:name="_Toc167220305"/>
      <w:bookmarkStart w:id="199" w:name="_Toc177549039"/>
      <w:r w:rsidRPr="00797162">
        <w:rPr>
          <w:b/>
          <w:noProof/>
        </w:rPr>
        <w:t>4.3.</w:t>
      </w:r>
      <w:r w:rsidRPr="00797162">
        <w:rPr>
          <w:noProof/>
        </w:rPr>
        <w:tab/>
      </w:r>
      <w:r w:rsidRPr="00797162">
        <w:rPr>
          <w:b/>
          <w:noProof/>
        </w:rPr>
        <w:t>Digilahendused</w:t>
      </w:r>
      <w:bookmarkEnd w:id="198"/>
      <w:bookmarkEnd w:id="199"/>
    </w:p>
    <w:p w14:paraId="7F33EC98" w14:textId="77777777" w:rsidR="00BF22EA" w:rsidRPr="00797162" w:rsidRDefault="00BF22EA" w:rsidP="00BF22EA">
      <w:pPr>
        <w:jc w:val="right"/>
        <w:rPr>
          <w:noProof/>
        </w:rPr>
      </w:pPr>
    </w:p>
    <w:tbl>
      <w:tblPr>
        <w:tblStyle w:val="TableGrid"/>
        <w:tblpPr w:leftFromText="141" w:rightFromText="141" w:vertAnchor="text" w:horzAnchor="margin" w:tblpY="2"/>
        <w:tblW w:w="9067" w:type="dxa"/>
        <w:tblLook w:val="04A0" w:firstRow="1" w:lastRow="0" w:firstColumn="1" w:lastColumn="0" w:noHBand="0" w:noVBand="1"/>
      </w:tblPr>
      <w:tblGrid>
        <w:gridCol w:w="9067"/>
      </w:tblGrid>
      <w:tr w:rsidR="00BF22EA" w:rsidRPr="00797162" w14:paraId="110DE7BE" w14:textId="77777777" w:rsidTr="00BE7565">
        <w:tc>
          <w:tcPr>
            <w:tcW w:w="9067" w:type="dxa"/>
          </w:tcPr>
          <w:p w14:paraId="06088CCA" w14:textId="77777777" w:rsidR="00BF22EA" w:rsidRPr="00797162" w:rsidRDefault="00BF22EA" w:rsidP="00CA1FBC">
            <w:pPr>
              <w:numPr>
                <w:ilvl w:val="0"/>
                <w:numId w:val="7"/>
              </w:numPr>
              <w:tabs>
                <w:tab w:val="clear" w:pos="709"/>
              </w:tabs>
              <w:ind w:left="0" w:firstLine="0"/>
              <w:rPr>
                <w:noProof/>
                <w:color w:val="0000FF"/>
              </w:rPr>
            </w:pPr>
            <w:r w:rsidRPr="00797162">
              <w:rPr>
                <w:noProof/>
              </w:rPr>
              <w:t>Euroopa Komisjon vastutab digilahenduse väljatöötamise ja hooldamise eest. Ilma et see piiraks määruse (EL) 2016/679 kohaldamist, tagab Euroopa Komisjon käesoleva määruse otstarbel kogutud ja salvestatud andmete turvalisuse, terviklikkuse, ehtsuse ja konfidentsiaalsuse.</w:t>
            </w:r>
          </w:p>
        </w:tc>
      </w:tr>
    </w:tbl>
    <w:p w14:paraId="5D802D01" w14:textId="77777777" w:rsidR="00BF22EA" w:rsidRPr="00797162" w:rsidRDefault="00BF22EA" w:rsidP="00BF22EA">
      <w:pPr>
        <w:keepNext/>
        <w:tabs>
          <w:tab w:val="left" w:pos="850"/>
        </w:tabs>
        <w:ind w:left="850" w:hanging="850"/>
        <w:outlineLvl w:val="1"/>
        <w:rPr>
          <w:noProof/>
        </w:rPr>
      </w:pPr>
      <w:bookmarkStart w:id="200" w:name="_Toc167220304"/>
      <w:bookmarkStart w:id="201" w:name="_Toc177549040"/>
      <w:r w:rsidRPr="00797162">
        <w:rPr>
          <w:b/>
          <w:i/>
          <w:noProof/>
        </w:rPr>
        <w:t>4.4.</w:t>
      </w:r>
      <w:r w:rsidRPr="00797162">
        <w:rPr>
          <w:noProof/>
        </w:rPr>
        <w:tab/>
      </w:r>
      <w:r w:rsidRPr="00797162">
        <w:rPr>
          <w:b/>
          <w:i/>
          <w:noProof/>
        </w:rPr>
        <w:t>Koostalitlusvõime hindamine</w:t>
      </w:r>
      <w:bookmarkEnd w:id="200"/>
      <w:bookmarkEnd w:id="201"/>
    </w:p>
    <w:tbl>
      <w:tblPr>
        <w:tblStyle w:val="TableGrid"/>
        <w:tblpPr w:leftFromText="141" w:rightFromText="141" w:vertAnchor="text" w:horzAnchor="margin" w:tblpY="36"/>
        <w:tblW w:w="9067" w:type="dxa"/>
        <w:tblLayout w:type="fixed"/>
        <w:tblLook w:val="06A0" w:firstRow="1" w:lastRow="0" w:firstColumn="1" w:lastColumn="0" w:noHBand="1" w:noVBand="1"/>
      </w:tblPr>
      <w:tblGrid>
        <w:gridCol w:w="9067"/>
      </w:tblGrid>
      <w:tr w:rsidR="00BF22EA" w:rsidRPr="00797162" w14:paraId="7A3136FE" w14:textId="77777777" w:rsidTr="00BE7565">
        <w:trPr>
          <w:trHeight w:val="300"/>
        </w:trPr>
        <w:tc>
          <w:tcPr>
            <w:tcW w:w="9067" w:type="dxa"/>
          </w:tcPr>
          <w:p w14:paraId="194B560F" w14:textId="77777777" w:rsidR="00BF22EA" w:rsidRPr="00797162" w:rsidRDefault="00BF22EA" w:rsidP="00B40C35">
            <w:pPr>
              <w:rPr>
                <w:i/>
                <w:noProof/>
              </w:rPr>
            </w:pPr>
            <w:r w:rsidRPr="00797162">
              <w:rPr>
                <w:noProof/>
              </w:rPr>
              <w:t>ei kohaldata</w:t>
            </w:r>
          </w:p>
        </w:tc>
      </w:tr>
    </w:tbl>
    <w:p w14:paraId="4D179B4B" w14:textId="77777777" w:rsidR="00BF22EA" w:rsidRPr="00797162" w:rsidRDefault="00BF22EA" w:rsidP="00BF22EA">
      <w:pPr>
        <w:keepNext/>
        <w:tabs>
          <w:tab w:val="left" w:pos="850"/>
        </w:tabs>
        <w:ind w:left="850" w:hanging="850"/>
        <w:outlineLvl w:val="1"/>
        <w:rPr>
          <w:b/>
          <w:noProof/>
        </w:rPr>
      </w:pPr>
      <w:bookmarkStart w:id="202" w:name="_Toc167220306"/>
      <w:bookmarkStart w:id="203" w:name="_Toc177549041"/>
      <w:r w:rsidRPr="00797162">
        <w:rPr>
          <w:b/>
          <w:noProof/>
        </w:rPr>
        <w:t>4.5.</w:t>
      </w:r>
      <w:r w:rsidRPr="00797162">
        <w:rPr>
          <w:noProof/>
        </w:rPr>
        <w:tab/>
      </w:r>
      <w:r w:rsidRPr="00797162">
        <w:rPr>
          <w:b/>
          <w:noProof/>
        </w:rPr>
        <w:t>Digimõõtme rakendamist toetavad meetmed</w:t>
      </w:r>
      <w:bookmarkEnd w:id="202"/>
      <w:bookmarkEnd w:id="203"/>
    </w:p>
    <w:tbl>
      <w:tblPr>
        <w:tblStyle w:val="TableGrid"/>
        <w:tblpPr w:leftFromText="141" w:rightFromText="141" w:vertAnchor="text" w:horzAnchor="margin" w:tblpY="49"/>
        <w:tblW w:w="9067" w:type="dxa"/>
        <w:tblLook w:val="04A0" w:firstRow="1" w:lastRow="0" w:firstColumn="1" w:lastColumn="0" w:noHBand="0" w:noVBand="1"/>
      </w:tblPr>
      <w:tblGrid>
        <w:gridCol w:w="9067"/>
      </w:tblGrid>
      <w:tr w:rsidR="00BF22EA" w:rsidRPr="00797162" w14:paraId="21DB9887" w14:textId="77777777" w:rsidTr="00BE7565">
        <w:tc>
          <w:tcPr>
            <w:tcW w:w="9067" w:type="dxa"/>
          </w:tcPr>
          <w:p w14:paraId="1DAD712D" w14:textId="77777777" w:rsidR="00BF22EA" w:rsidRPr="00797162" w:rsidRDefault="00BF22EA" w:rsidP="00B40C35">
            <w:pPr>
              <w:rPr>
                <w:noProof/>
              </w:rPr>
            </w:pPr>
            <w:r w:rsidRPr="00797162">
              <w:rPr>
                <w:noProof/>
              </w:rPr>
              <w:t>ei kohaldata</w:t>
            </w:r>
          </w:p>
        </w:tc>
      </w:tr>
      <w:bookmarkEnd w:id="193"/>
    </w:tbl>
    <w:p w14:paraId="007729F8" w14:textId="77777777" w:rsidR="00BF22EA" w:rsidRPr="00797162" w:rsidRDefault="00BF22EA" w:rsidP="00BF22EA">
      <w:pPr>
        <w:rPr>
          <w:noProof/>
        </w:rPr>
      </w:pPr>
    </w:p>
    <w:sectPr w:rsidR="00BF22EA" w:rsidRPr="00797162" w:rsidSect="00B662D8">
      <w:headerReference w:type="default" r:id="rId26"/>
      <w:footerReference w:type="default" r:id="rId27"/>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034F5" w14:textId="77777777" w:rsidR="00BF22EA" w:rsidRDefault="00BF22EA" w:rsidP="00BF22EA">
      <w:pPr>
        <w:spacing w:before="0" w:after="0"/>
      </w:pPr>
      <w:r>
        <w:separator/>
      </w:r>
    </w:p>
  </w:endnote>
  <w:endnote w:type="continuationSeparator" w:id="0">
    <w:p w14:paraId="450C8723" w14:textId="77777777" w:rsidR="00BF22EA" w:rsidRDefault="00BF22EA" w:rsidP="00BF22E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61377" w14:textId="27A1D815" w:rsidR="00B662D8" w:rsidRPr="00B662D8" w:rsidRDefault="00B662D8" w:rsidP="00B662D8">
    <w:pPr>
      <w:pStyle w:val="Footer"/>
      <w:rPr>
        <w:rFonts w:ascii="Arial" w:hAnsi="Arial" w:cs="Arial"/>
        <w:b/>
        <w:sz w:val="48"/>
      </w:rPr>
    </w:pPr>
    <w:r w:rsidRPr="00B662D8">
      <w:rPr>
        <w:rFonts w:ascii="Arial" w:hAnsi="Arial" w:cs="Arial"/>
        <w:b/>
        <w:sz w:val="48"/>
      </w:rPr>
      <w:t>ET</w:t>
    </w:r>
    <w:r w:rsidRPr="00B662D8">
      <w:rPr>
        <w:rFonts w:ascii="Arial" w:hAnsi="Arial" w:cs="Arial"/>
        <w:b/>
        <w:sz w:val="48"/>
      </w:rPr>
      <w:tab/>
    </w:r>
    <w:r w:rsidRPr="00B662D8">
      <w:rPr>
        <w:rFonts w:ascii="Arial" w:hAnsi="Arial" w:cs="Arial"/>
        <w:b/>
        <w:sz w:val="48"/>
      </w:rPr>
      <w:tab/>
    </w:r>
    <w:r w:rsidRPr="00B662D8">
      <w:tab/>
    </w:r>
    <w:r w:rsidRPr="00B662D8">
      <w:rPr>
        <w:rFonts w:ascii="Arial" w:hAnsi="Arial" w:cs="Arial"/>
        <w:b/>
        <w:sz w:val="48"/>
      </w:rPr>
      <w:t>ET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4B149" w14:textId="4F840F00" w:rsidR="00B662D8" w:rsidRPr="00B662D8" w:rsidRDefault="00B662D8" w:rsidP="00B662D8">
    <w:pPr>
      <w:pStyle w:val="Footer"/>
      <w:rPr>
        <w:rFonts w:ascii="Arial" w:hAnsi="Arial" w:cs="Arial"/>
        <w:b/>
        <w:sz w:val="48"/>
      </w:rPr>
    </w:pPr>
    <w:r w:rsidRPr="00B662D8">
      <w:rPr>
        <w:rFonts w:ascii="Arial" w:hAnsi="Arial" w:cs="Arial"/>
        <w:b/>
        <w:sz w:val="48"/>
      </w:rPr>
      <w:t>ET</w:t>
    </w:r>
    <w:r w:rsidRPr="00B662D8">
      <w:rPr>
        <w:rFonts w:ascii="Arial" w:hAnsi="Arial" w:cs="Arial"/>
        <w:b/>
        <w:sz w:val="48"/>
      </w:rPr>
      <w:tab/>
    </w:r>
    <w:r w:rsidRPr="00B662D8">
      <w:rPr>
        <w:rFonts w:ascii="Arial" w:hAnsi="Arial" w:cs="Arial"/>
        <w:b/>
        <w:sz w:val="48"/>
      </w:rPr>
      <w:tab/>
    </w:r>
    <w:r w:rsidRPr="00B662D8">
      <w:tab/>
    </w:r>
    <w:r w:rsidRPr="00B662D8">
      <w:rPr>
        <w:rFonts w:ascii="Arial" w:hAnsi="Arial" w:cs="Arial"/>
        <w:b/>
        <w:sz w:val="48"/>
      </w:rPr>
      <w:t>ET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B1CA7" w14:textId="77777777" w:rsidR="00B662D8" w:rsidRDefault="00B662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C83A1" w14:textId="7447C280" w:rsidR="00B662D8" w:rsidRPr="00B662D8" w:rsidRDefault="00B662D8" w:rsidP="00B662D8">
    <w:pPr>
      <w:pStyle w:val="Footer"/>
      <w:rPr>
        <w:rFonts w:ascii="Arial" w:hAnsi="Arial" w:cs="Arial"/>
        <w:b/>
        <w:sz w:val="48"/>
      </w:rPr>
    </w:pPr>
    <w:r w:rsidRPr="00B662D8">
      <w:rPr>
        <w:rFonts w:ascii="Arial" w:hAnsi="Arial" w:cs="Arial"/>
        <w:b/>
        <w:sz w:val="48"/>
      </w:rPr>
      <w:t>ET</w:t>
    </w:r>
    <w:r w:rsidRPr="00B662D8">
      <w:rPr>
        <w:rFonts w:ascii="Arial" w:hAnsi="Arial" w:cs="Arial"/>
        <w:b/>
        <w:sz w:val="48"/>
      </w:rPr>
      <w:tab/>
    </w:r>
    <w:r>
      <w:fldChar w:fldCharType="begin"/>
    </w:r>
    <w:r>
      <w:instrText xml:space="preserve"> PAGE  \* MERGEFORMAT </w:instrText>
    </w:r>
    <w:r>
      <w:fldChar w:fldCharType="separate"/>
    </w:r>
    <w:r w:rsidR="00742A0E">
      <w:rPr>
        <w:noProof/>
      </w:rPr>
      <w:t>31</w:t>
    </w:r>
    <w:r>
      <w:fldChar w:fldCharType="end"/>
    </w:r>
    <w:r>
      <w:tab/>
    </w:r>
    <w:r w:rsidRPr="00B662D8">
      <w:tab/>
    </w:r>
    <w:r w:rsidRPr="00B662D8">
      <w:rPr>
        <w:rFonts w:ascii="Arial" w:hAnsi="Arial" w:cs="Arial"/>
        <w:b/>
        <w:sz w:val="48"/>
      </w:rPr>
      <w:t>ET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A8D40" w14:textId="77777777" w:rsidR="00B662D8" w:rsidRDefault="00B662D8" w:rsidP="00B662D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8AC3F" w14:textId="1D3BCE8E" w:rsidR="00B662D8" w:rsidRPr="00B662D8" w:rsidRDefault="00B662D8" w:rsidP="00B662D8">
    <w:pPr>
      <w:pStyle w:val="FooterLandscape"/>
      <w:rPr>
        <w:rFonts w:ascii="Arial" w:hAnsi="Arial" w:cs="Arial"/>
        <w:b/>
        <w:sz w:val="48"/>
      </w:rPr>
    </w:pPr>
    <w:r w:rsidRPr="00B662D8">
      <w:rPr>
        <w:rFonts w:ascii="Arial" w:hAnsi="Arial" w:cs="Arial"/>
        <w:b/>
        <w:sz w:val="48"/>
      </w:rPr>
      <w:t>ET</w:t>
    </w:r>
    <w:r w:rsidRPr="00B662D8">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B662D8">
      <w:tab/>
    </w:r>
    <w:r w:rsidRPr="00B662D8">
      <w:rPr>
        <w:rFonts w:ascii="Arial" w:hAnsi="Arial" w:cs="Arial"/>
        <w:b/>
        <w:sz w:val="48"/>
      </w:rPr>
      <w:t>ET</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440B1" w14:textId="122FB742" w:rsidR="00B662D8" w:rsidRPr="00B662D8" w:rsidRDefault="00B662D8" w:rsidP="00B662D8">
    <w:pPr>
      <w:pStyle w:val="Footer"/>
      <w:rPr>
        <w:rFonts w:ascii="Arial" w:hAnsi="Arial" w:cs="Arial"/>
        <w:b/>
        <w:sz w:val="48"/>
      </w:rPr>
    </w:pPr>
    <w:r w:rsidRPr="00B662D8">
      <w:rPr>
        <w:rFonts w:ascii="Arial" w:hAnsi="Arial" w:cs="Arial"/>
        <w:b/>
        <w:sz w:val="48"/>
      </w:rPr>
      <w:t>ET</w:t>
    </w:r>
    <w:r w:rsidRPr="00B662D8">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B662D8">
      <w:tab/>
    </w:r>
    <w:r w:rsidRPr="00B662D8">
      <w:rPr>
        <w:rFonts w:ascii="Arial" w:hAnsi="Arial" w:cs="Arial"/>
        <w:b/>
        <w:sz w:val="48"/>
      </w:rPr>
      <w:t>ET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296B4F" w14:textId="77777777" w:rsidR="00BF22EA" w:rsidRDefault="00BF22EA" w:rsidP="00BF22EA">
      <w:pPr>
        <w:spacing w:before="0" w:after="0"/>
      </w:pPr>
      <w:r>
        <w:separator/>
      </w:r>
    </w:p>
  </w:footnote>
  <w:footnote w:type="continuationSeparator" w:id="0">
    <w:p w14:paraId="1F03CBC9" w14:textId="77777777" w:rsidR="00BF22EA" w:rsidRDefault="00BF22EA" w:rsidP="00BF22EA">
      <w:pPr>
        <w:spacing w:before="0" w:after="0"/>
      </w:pPr>
      <w:r>
        <w:continuationSeparator/>
      </w:r>
    </w:p>
  </w:footnote>
  <w:footnote w:id="1">
    <w:p w14:paraId="41E93F6B" w14:textId="74872289" w:rsidR="00BF22EA" w:rsidRPr="0042364F" w:rsidRDefault="00BF22EA" w:rsidP="00BF22EA">
      <w:pPr>
        <w:pStyle w:val="FootnoteText"/>
      </w:pPr>
      <w:r w:rsidRPr="00044957">
        <w:rPr>
          <w:rStyle w:val="FootnoteReference"/>
        </w:rPr>
        <w:footnoteRef/>
      </w:r>
      <w:r w:rsidR="00044957">
        <w:tab/>
      </w:r>
      <w:r>
        <w:t>Ettepanek: Nõukogu (Euratom) määrus, millega luuakse tuumaohutusalase koostöö ja dekomissioneerimise instrument ajavahemikuks 2028–X, 16.5.2025.</w:t>
      </w:r>
    </w:p>
  </w:footnote>
  <w:footnote w:id="2">
    <w:p w14:paraId="2C32D3E0" w14:textId="2689609C" w:rsidR="00BF22EA" w:rsidRPr="0042364F" w:rsidRDefault="00BF22EA" w:rsidP="00BF22EA">
      <w:pPr>
        <w:pStyle w:val="FootnoteText"/>
      </w:pPr>
      <w:r>
        <w:rPr>
          <w:rStyle w:val="FootnoteReference"/>
        </w:rPr>
        <w:footnoteRef/>
      </w:r>
      <w:r w:rsidR="00044957">
        <w:tab/>
      </w:r>
      <w:r>
        <w:t>Järgmise mitmeaastase finantsraamistiku koostamise tegevuskava, Strasbourg, 11.2.2025, COM(2025) 46 final.</w:t>
      </w:r>
    </w:p>
  </w:footnote>
  <w:footnote w:id="3">
    <w:p w14:paraId="34F6F059" w14:textId="50AA0B89" w:rsidR="00BF22EA" w:rsidRPr="0087716A" w:rsidRDefault="00BF22EA" w:rsidP="00BF22EA">
      <w:pPr>
        <w:pStyle w:val="FootnoteText"/>
      </w:pPr>
      <w:r>
        <w:rPr>
          <w:rStyle w:val="FootnoteReference"/>
        </w:rPr>
        <w:footnoteRef/>
      </w:r>
      <w:r w:rsidR="00044957">
        <w:tab/>
      </w:r>
      <w:r>
        <w:t xml:space="preserve">Teatis COM(2025) 570: „ELi dünaamiline eelarve tuleviku prioriteetide elluviimiseks – Mitmeaastane finantsraamistik 2028–2034“ </w:t>
      </w:r>
      <w:hyperlink r:id="rId1" w:history="1">
        <w:r>
          <w:rPr>
            <w:rStyle w:val="Hyperlink"/>
          </w:rPr>
          <w:t>26ff3426-b1db-44d5-ad9c-a646febb3222_en</w:t>
        </w:r>
      </w:hyperlink>
      <w:r>
        <w:t>.</w:t>
      </w:r>
    </w:p>
  </w:footnote>
  <w:footnote w:id="4">
    <w:p w14:paraId="006F541D" w14:textId="77777777" w:rsidR="00BF22EA" w:rsidRPr="0042364F" w:rsidRDefault="00BF22EA" w:rsidP="00BF22EA">
      <w:pPr>
        <w:pStyle w:val="FootnoteText"/>
      </w:pPr>
      <w:r>
        <w:rPr>
          <w:rStyle w:val="FootnoteReference"/>
        </w:rPr>
        <w:footnoteRef/>
      </w:r>
      <w:r>
        <w:tab/>
        <w:t>Nõukogu 27. mai 2021. aasta määrus (Euratom) 2021/948, millega luuakse Euroopa Aatomienergiaühenduse asutamislepingu alusel tuumaohutusalase rahvusvahelise koostöö Euroopa instrument, mis täiendab naabruspiirkonna, arengu- ja rahvusvahelise koostöö instrumenti „Globaalne Euroopa“.</w:t>
      </w:r>
    </w:p>
  </w:footnote>
  <w:footnote w:id="5">
    <w:p w14:paraId="49FA7E7A" w14:textId="77777777" w:rsidR="00BF22EA" w:rsidRPr="0042364F" w:rsidRDefault="00BF22EA" w:rsidP="00BF22EA">
      <w:pPr>
        <w:pStyle w:val="FootnoteText"/>
      </w:pPr>
      <w:r>
        <w:rPr>
          <w:rStyle w:val="FootnoteReference"/>
        </w:rPr>
        <w:footnoteRef/>
      </w:r>
      <w:r>
        <w:tab/>
        <w:t>Nõukogu 25. jaanuari 2021. aasta määrus (Euratom) 2021/100, millega kehtestatakse tuumarajatiste dekomisjoneerimise ja radioaktiivsete jäätmete käitlemise sihtotstarbeline rahastamiskava.</w:t>
      </w:r>
    </w:p>
  </w:footnote>
  <w:footnote w:id="6">
    <w:p w14:paraId="29D2F307" w14:textId="77777777" w:rsidR="00BF22EA" w:rsidRPr="0042364F" w:rsidRDefault="00BF22EA" w:rsidP="00BF22EA">
      <w:pPr>
        <w:pStyle w:val="FootnoteText"/>
      </w:pPr>
      <w:r>
        <w:rPr>
          <w:rStyle w:val="FootnoteReference"/>
        </w:rPr>
        <w:footnoteRef/>
      </w:r>
      <w:r>
        <w:tab/>
        <w:t>Nõukogu 25. jaanuari 2021. aasta määrus (EL) 2021/101, millega kehtestatakse Leedu Ignalina tuumaelektrijaama dekomisjoneerimise abiprogramm.</w:t>
      </w:r>
    </w:p>
  </w:footnote>
  <w:footnote w:id="7">
    <w:p w14:paraId="1CC21748" w14:textId="77777777" w:rsidR="00BF22EA" w:rsidRPr="0087716A" w:rsidRDefault="00BF22EA" w:rsidP="00BF22EA">
      <w:pPr>
        <w:pStyle w:val="FootnoteText"/>
      </w:pPr>
      <w:r>
        <w:rPr>
          <w:rStyle w:val="FootnoteReference"/>
        </w:rPr>
        <w:footnoteRef/>
      </w:r>
      <w:r>
        <w:tab/>
        <w:t>Nende dekomissioneerimisprogrammide jaoks ei ole ette nähtud uusi kulukohustuste assigneeringuid, vaid ainult maksete assigneeringud.</w:t>
      </w:r>
    </w:p>
  </w:footnote>
  <w:footnote w:id="8">
    <w:p w14:paraId="5D03E06C" w14:textId="77777777" w:rsidR="00BF22EA" w:rsidRPr="0087716A" w:rsidRDefault="00BF22EA" w:rsidP="00BF22EA">
      <w:pPr>
        <w:pStyle w:val="FootnoteText"/>
        <w:rPr>
          <w:iCs/>
        </w:rPr>
      </w:pPr>
      <w:r>
        <w:rPr>
          <w:rStyle w:val="FootnoteReference"/>
        </w:rPr>
        <w:footnoteRef/>
      </w:r>
      <w:r>
        <w:tab/>
        <w:t>Nõukogu 19. juuli 2011. aasta direktiiv 2011/70/Euratom, millega luuakse ühenduse raamistik kasutatud tuumkütuse ja radioaktiivsete jäätmete vastutustundlikuks ja ohutuks käitlemiseks. ELT L 199, 2.8.2011, lk 48, ELI:. http://data.europa.eu/eli/dir/2011/70/oj).</w:t>
      </w:r>
    </w:p>
  </w:footnote>
  <w:footnote w:id="9">
    <w:p w14:paraId="78C58312" w14:textId="77777777" w:rsidR="00BF22EA" w:rsidRPr="0012618F" w:rsidRDefault="00BF22EA" w:rsidP="00BF22EA">
      <w:pPr>
        <w:pStyle w:val="FootnoteText"/>
        <w:rPr>
          <w:rFonts w:eastAsia="Times New Roman"/>
        </w:rPr>
      </w:pPr>
      <w:r>
        <w:rPr>
          <w:rStyle w:val="FootnoteReference"/>
        </w:rPr>
        <w:footnoteRef/>
      </w:r>
      <w:r>
        <w:tab/>
        <w:t>ELT L 236, 23.9.2003, lk 944; ELT L 157, 21.6.2005, lk 29; ELT L 157, 21.6.2005, lk 11; ELT L 236, 23.9.2003, lk 33.</w:t>
      </w:r>
    </w:p>
  </w:footnote>
  <w:footnote w:id="10">
    <w:p w14:paraId="4C4242B3" w14:textId="77777777" w:rsidR="00BF22EA" w:rsidRPr="0012618F" w:rsidRDefault="00BF22EA" w:rsidP="00BF22EA">
      <w:pPr>
        <w:pStyle w:val="FootnoteText"/>
        <w:rPr>
          <w:iCs/>
        </w:rPr>
      </w:pPr>
      <w:r>
        <w:rPr>
          <w:rStyle w:val="FootnoteReference"/>
        </w:rPr>
        <w:footnoteRef/>
      </w:r>
      <w:r>
        <w:tab/>
      </w:r>
      <w:hyperlink r:id="rId2" w:history="1">
        <w:r>
          <w:rPr>
            <w:rStyle w:val="Hyperlink"/>
          </w:rPr>
          <w:t>https://sdgs.un.org/2030agenda</w:t>
        </w:r>
      </w:hyperlink>
    </w:p>
  </w:footnote>
  <w:footnote w:id="11">
    <w:p w14:paraId="25059BEE" w14:textId="77777777" w:rsidR="00BF22EA" w:rsidRPr="0042364F" w:rsidRDefault="00BF22EA" w:rsidP="00BF22EA">
      <w:pPr>
        <w:pStyle w:val="FootnoteText"/>
        <w:rPr>
          <w:iCs/>
        </w:rPr>
      </w:pPr>
      <w:r>
        <w:rPr>
          <w:rStyle w:val="FootnoteReference"/>
        </w:rPr>
        <w:footnoteRef/>
      </w:r>
      <w:r>
        <w:tab/>
        <w:t>Euroopa roheline kokkulepe, COM(2019) 640 final, Euroopa Komisjon, Brüssel, 11.12.2019.</w:t>
      </w:r>
    </w:p>
  </w:footnote>
  <w:footnote w:id="12">
    <w:p w14:paraId="633BB733" w14:textId="77777777" w:rsidR="00BF22EA" w:rsidRPr="0042364F" w:rsidRDefault="00BF22EA" w:rsidP="00BF22EA">
      <w:pPr>
        <w:pStyle w:val="FootnoteText"/>
        <w:rPr>
          <w:iCs/>
        </w:rPr>
      </w:pPr>
      <w:r>
        <w:rPr>
          <w:rStyle w:val="FootnoteReference"/>
        </w:rPr>
        <w:footnoteRef/>
      </w:r>
      <w:r>
        <w:tab/>
        <w:t xml:space="preserve">Ettepanek: Euroopa Parlamendi ja nõukogu määrus, millega luuakse „Globaalne Euroopa“, 2025/551, 16/07/2025. </w:t>
      </w:r>
      <w:hyperlink r:id="rId3" w:history="1">
        <w:r>
          <w:rPr>
            <w:rStyle w:val="Hyperlink"/>
          </w:rPr>
          <w:t>Globaalne Euroopa – Euroopa Komisjon</w:t>
        </w:r>
      </w:hyperlink>
    </w:p>
  </w:footnote>
  <w:footnote w:id="13">
    <w:p w14:paraId="04F01325" w14:textId="77777777" w:rsidR="00BF22EA" w:rsidRPr="0042364F" w:rsidRDefault="00BF22EA" w:rsidP="00BF22EA">
      <w:pPr>
        <w:pStyle w:val="FootnoteText"/>
        <w:rPr>
          <w:iCs/>
        </w:rPr>
      </w:pPr>
      <w:r>
        <w:rPr>
          <w:rStyle w:val="FootnoteReference"/>
        </w:rPr>
        <w:footnoteRef/>
      </w:r>
      <w:r>
        <w:tab/>
        <w:t>Ettepanek: Nõukogu otsus ülemeremaade ja -territooriumide, sealhulgas Gröönimaa assotsieerimise kohta, XXX, xx.x.2025 (täidetakse siis, kui ettepanek on valmis).</w:t>
      </w:r>
    </w:p>
  </w:footnote>
  <w:footnote w:id="14">
    <w:p w14:paraId="091B3056" w14:textId="77777777" w:rsidR="00BF22EA" w:rsidRPr="0042364F" w:rsidRDefault="00BF22EA" w:rsidP="00BF22EA">
      <w:pPr>
        <w:pStyle w:val="FootnoteText"/>
        <w:rPr>
          <w:i/>
        </w:rPr>
      </w:pPr>
      <w:r>
        <w:rPr>
          <w:rStyle w:val="FootnoteReference"/>
        </w:rPr>
        <w:footnoteRef/>
      </w:r>
      <w:r>
        <w:tab/>
        <w:t>Euroopa Aatomienergiaühenduse asutamislepingu konsolideeritud versioon (2016/C 203/01), Euroopa Liidu Teataja, 17.6.2016, C 203, lk 1, ELI: http://data.europa.eu/eli/treaty/euratom_2016/oj</w:t>
      </w:r>
    </w:p>
  </w:footnote>
  <w:footnote w:id="15">
    <w:p w14:paraId="731A0810" w14:textId="77777777" w:rsidR="00BF22EA" w:rsidRPr="0042364F" w:rsidRDefault="00BF22EA" w:rsidP="00BF22EA">
      <w:pPr>
        <w:pStyle w:val="FootnoteText"/>
        <w:rPr>
          <w:i/>
        </w:rPr>
      </w:pPr>
      <w:r>
        <w:rPr>
          <w:rStyle w:val="FootnoteReference"/>
        </w:rPr>
        <w:footnoteRef/>
      </w:r>
      <w:r>
        <w:tab/>
      </w:r>
      <w:r>
        <w:rPr>
          <w:i/>
          <w:iCs/>
        </w:rPr>
        <w:t>Kui ühenduse mingi eesmärgi saavutamiseks peaks osutuma vajalikuks ühenduse meede, mille jaoks käesolev leping ei ole sätestanud vajalikke volitusi, siis võtab nõukogu komisjoni ettepaneku põhjal ja pärast konsulteerimist Euroopa Parlamendiga ühehäälselt vastu kohased meetmed.</w:t>
      </w:r>
    </w:p>
  </w:footnote>
  <w:footnote w:id="16">
    <w:p w14:paraId="48B45030" w14:textId="77777777" w:rsidR="00BF22EA" w:rsidRPr="0042364F" w:rsidRDefault="00BF22EA" w:rsidP="00BF22EA">
      <w:pPr>
        <w:pStyle w:val="FootnoteText"/>
      </w:pPr>
      <w:r>
        <w:rPr>
          <w:rStyle w:val="FootnoteReference"/>
        </w:rPr>
        <w:footnoteRef/>
      </w:r>
      <w:r>
        <w:tab/>
        <w:t>Tuumaohutusalase rahvusvahelise koostöö instrumendi välishindamine (2014 kuni 2017. aasta keskpaik), GDSI konsortsium, juuni 2017.</w:t>
      </w:r>
    </w:p>
  </w:footnote>
  <w:footnote w:id="17">
    <w:p w14:paraId="48751D60" w14:textId="77777777" w:rsidR="00BF22EA" w:rsidRPr="0087716A" w:rsidRDefault="00BF22EA" w:rsidP="00BF22EA">
      <w:pPr>
        <w:pStyle w:val="ft1"/>
        <w:jc w:val="both"/>
        <w:rPr>
          <w:rFonts w:ascii="Times New Roman" w:hAnsi="Times New Roman"/>
        </w:rPr>
      </w:pPr>
      <w:r>
        <w:rPr>
          <w:rStyle w:val="FootnoteReference"/>
          <w:lang w:val="en-GB"/>
        </w:rPr>
        <w:footnoteRef/>
      </w:r>
      <w:r>
        <w:tab/>
      </w:r>
      <w:r>
        <w:rPr>
          <w:rFonts w:ascii="Times New Roman" w:hAnsi="Times New Roman"/>
        </w:rPr>
        <w:t>Tuumaohutusalase rahvusvahelise koostöö instrumendi hindamine ajavahemikul 2014–2020, INSC eksperdiabi vahend, leping nr 2020/419-010, LDK Consultants Global EEIG, detsember 2021.</w:t>
      </w:r>
    </w:p>
  </w:footnote>
  <w:footnote w:id="18">
    <w:p w14:paraId="4FF4C0D8" w14:textId="77777777" w:rsidR="00BF22EA" w:rsidRPr="0042364F" w:rsidRDefault="00BF22EA" w:rsidP="00BF22EA">
      <w:pPr>
        <w:pStyle w:val="FootnoteText"/>
      </w:pPr>
      <w:r>
        <w:rPr>
          <w:rStyle w:val="FootnoteReference"/>
        </w:rPr>
        <w:footnoteRef/>
      </w:r>
      <w:r>
        <w:tab/>
        <w:t>Mõjuhinnang, mis on lisatud dokumendile „Ettepanek: Määrus, millega luuakse naabruspoliitika, arengu- ja rahvusvahelise koostöö instrumenti täiendav tuumaohutuse instrument“, SWD(2018) 337 final, Brüssel, 14.6.2018.</w:t>
      </w:r>
    </w:p>
  </w:footnote>
  <w:footnote w:id="19">
    <w:p w14:paraId="7B96F78E" w14:textId="77777777" w:rsidR="00BF22EA" w:rsidRPr="0042364F" w:rsidRDefault="00BF22EA" w:rsidP="00BF22EA">
      <w:pPr>
        <w:pStyle w:val="FootnoteText"/>
      </w:pPr>
      <w:r>
        <w:rPr>
          <w:rStyle w:val="FootnoteReference"/>
        </w:rPr>
        <w:footnoteRef/>
      </w:r>
      <w:r>
        <w:tab/>
        <w:t>Euroopa Liidu välistegevuse rahastute hindamine (2014–2020 ja 2021–2027) – I köide: kokkuvõttev aruanne ja II köide: lisad, Particip GmbH Consortium, märts 2024.</w:t>
      </w:r>
    </w:p>
  </w:footnote>
  <w:footnote w:id="20">
    <w:p w14:paraId="69A401A9" w14:textId="77777777" w:rsidR="00BF22EA" w:rsidRPr="0087716A" w:rsidRDefault="00BF22EA" w:rsidP="00BF22EA">
      <w:pPr>
        <w:pStyle w:val="FootnoteText"/>
      </w:pPr>
      <w:r>
        <w:rPr>
          <w:rStyle w:val="FootnoteReference"/>
        </w:rPr>
        <w:footnoteRef/>
      </w:r>
      <w:r>
        <w:tab/>
        <w:t>Avalik konsultatsioon „ELi järgmine pikaajaline eelarve – ELi rahalised vahendid välistegevuse toetuseks“, 2025.</w:t>
      </w:r>
      <w:hyperlink r:id="rId4" w:history="1">
        <w:r>
          <w:rPr>
            <w:rStyle w:val="Hyperlink"/>
          </w:rPr>
          <w:t>https://ec.europa.eu/info/law/better-regulation/have-your-say/initiatives/14522-ELi-jargmine-pikaajaline-eelarve-ELi-rahalised-vahendid-valistegevuse-toetuseks_et</w:t>
        </w:r>
      </w:hyperlink>
    </w:p>
  </w:footnote>
  <w:footnote w:id="21">
    <w:p w14:paraId="53E0B2FE" w14:textId="77777777" w:rsidR="00BF22EA" w:rsidRPr="0087716A" w:rsidRDefault="00BF22EA" w:rsidP="00BF22EA">
      <w:pPr>
        <w:pStyle w:val="FootnoteText"/>
      </w:pPr>
      <w:r>
        <w:rPr>
          <w:rStyle w:val="FootnoteReference"/>
        </w:rPr>
        <w:footnoteRef/>
      </w:r>
      <w:r>
        <w:tab/>
        <w:t>Need eesmärgid olid järgmised: toetada tuumaohutuse, kiirguskaitse, radioaktiivsete jäätmete käitlemise ja tuumaenergiaalaste kaitsemeetmete tugevdamise alast abi riikidele, mis asuvad ELi naabruses ja kaugemal.</w:t>
      </w:r>
    </w:p>
  </w:footnote>
  <w:footnote w:id="22">
    <w:p w14:paraId="6E3FAB1D" w14:textId="1182AE10" w:rsidR="00BF22EA" w:rsidRPr="0042364F" w:rsidRDefault="00BF22EA" w:rsidP="00BF22EA">
      <w:pPr>
        <w:pStyle w:val="FootnoteText"/>
      </w:pPr>
      <w:r>
        <w:rPr>
          <w:rStyle w:val="FootnoteReference"/>
        </w:rPr>
        <w:footnoteRef/>
      </w:r>
      <w:r>
        <w:tab/>
        <w:t>Raportööri 29. märtsi 2017. aasta raport Euratomile tuumaohutuse konventsiooni sei</w:t>
      </w:r>
      <w:r w:rsidR="00B30CF1">
        <w:t>t</w:t>
      </w:r>
      <w:r>
        <w:t>smendal läbivaatamiskohtumisel.</w:t>
      </w:r>
    </w:p>
  </w:footnote>
  <w:footnote w:id="23">
    <w:p w14:paraId="1B946682" w14:textId="77777777" w:rsidR="00BF22EA" w:rsidRPr="0042364F" w:rsidRDefault="00BF22EA" w:rsidP="00BF22EA">
      <w:pPr>
        <w:pStyle w:val="FootnoteText"/>
      </w:pPr>
      <w:r>
        <w:rPr>
          <w:rStyle w:val="FootnoteReference"/>
        </w:rPr>
        <w:footnoteRef/>
      </w:r>
      <w:r>
        <w:tab/>
        <w:t xml:space="preserve">ENSREG – INSC Position paper (2014-26)_133, </w:t>
      </w:r>
      <w:hyperlink r:id="rId5" w:history="1">
        <w:r>
          <w:rPr>
            <w:rStyle w:val="Hyperlink"/>
          </w:rPr>
          <w:t>https://www.ensreg.eu/international-cooperation</w:t>
        </w:r>
      </w:hyperlink>
      <w:r>
        <w:t>.</w:t>
      </w:r>
    </w:p>
  </w:footnote>
  <w:footnote w:id="24">
    <w:p w14:paraId="272D3D27" w14:textId="77777777" w:rsidR="00BF22EA" w:rsidRPr="0042364F" w:rsidRDefault="00BF22EA" w:rsidP="00BF22EA">
      <w:pPr>
        <w:rPr>
          <w:rFonts w:eastAsia="Times New Roman"/>
          <w:sz w:val="20"/>
          <w:szCs w:val="20"/>
        </w:rPr>
      </w:pPr>
      <w:r>
        <w:rPr>
          <w:rStyle w:val="FootnoteReference"/>
        </w:rPr>
        <w:footnoteRef/>
      </w:r>
      <w:r>
        <w:tab/>
      </w:r>
      <w:r>
        <w:rPr>
          <w:sz w:val="20"/>
        </w:rPr>
        <w:t xml:space="preserve"> Tuumarajatiste dekomissioneerimise ja radioaktiivsete jäätmete käitlemise programmi vahehindamine, Euroopa Komisjoni energeetika peadirektoraat, läbivaadatud lõpparuanne ja lisad, aprill 2025.</w:t>
      </w:r>
    </w:p>
  </w:footnote>
  <w:footnote w:id="25">
    <w:p w14:paraId="0D8FD64A" w14:textId="77777777" w:rsidR="00BF22EA" w:rsidRPr="0042364F" w:rsidRDefault="00BF22EA" w:rsidP="00BF22EA">
      <w:pPr>
        <w:pStyle w:val="FootnoteText"/>
      </w:pPr>
      <w:r>
        <w:rPr>
          <w:rStyle w:val="FootnoteReference"/>
        </w:rPr>
        <w:footnoteRef/>
      </w:r>
      <w:r>
        <w:tab/>
        <w:t>Eelhindamine: uus vahend, milles ühendatakse praegune tuumaohutusalase rahvusvahelise koostöö Euroopa instrument Teadusuuringute Ühiskeskuse dekomissioneerimistegevusega, SWD (2025) XXX, Brüssel, juuni 2025.</w:t>
      </w:r>
    </w:p>
  </w:footnote>
  <w:footnote w:id="26">
    <w:p w14:paraId="621C958B" w14:textId="77777777" w:rsidR="00BF22EA" w:rsidRPr="0042364F" w:rsidRDefault="00BF22EA" w:rsidP="00BF22EA">
      <w:pPr>
        <w:pStyle w:val="FootnoteText"/>
      </w:pPr>
      <w:r>
        <w:rPr>
          <w:rStyle w:val="FootnoteReference"/>
        </w:rPr>
        <w:footnoteRef/>
      </w:r>
      <w:r>
        <w:tab/>
        <w:t>Variant D = ühinemine samast õiguslikust alusest lähtuva teise EÜ instrumendiga.</w:t>
      </w:r>
    </w:p>
  </w:footnote>
  <w:footnote w:id="27">
    <w:p w14:paraId="7DA1EC54" w14:textId="77777777" w:rsidR="00BF22EA" w:rsidRPr="0042364F" w:rsidRDefault="00BF22EA" w:rsidP="00BF22EA">
      <w:pPr>
        <w:pStyle w:val="FootnoteText"/>
      </w:pPr>
      <w:r>
        <w:rPr>
          <w:rStyle w:val="FootnoteReference"/>
        </w:rPr>
        <w:footnoteRef/>
      </w:r>
      <w:r>
        <w:tab/>
        <w:t>Teatis „ELi dünaamiline eelarve tuleviku prioriteetide elluviimiseks. Mitmeaastane finantsraamistik 2028–2034“, COM(2025) 570 final.</w:t>
      </w:r>
    </w:p>
  </w:footnote>
  <w:footnote w:id="28">
    <w:p w14:paraId="47F455DD" w14:textId="77777777" w:rsidR="00BF22EA" w:rsidRPr="0042364F" w:rsidRDefault="00BF22EA" w:rsidP="00BF22EA">
      <w:pPr>
        <w:pStyle w:val="FootnoteText"/>
      </w:pPr>
      <w:r>
        <w:rPr>
          <w:rStyle w:val="FootnoteReference"/>
        </w:rPr>
        <w:footnoteRef/>
      </w:r>
      <w:r>
        <w:tab/>
        <w:t>Euroopa Parlamendi ja nõukogu 23. septembri 2024. aasta määrus (EL, Euratom) 2024/2509, mis käsitleb liidu üldeelarve suhtes kohaldatavaid finantsreegleid (uuesti sõnastatud), Brüssel, 26.9.2024</w:t>
      </w:r>
    </w:p>
  </w:footnote>
  <w:footnote w:id="29">
    <w:p w14:paraId="038EE92A" w14:textId="77777777" w:rsidR="00BF22EA" w:rsidRPr="0042364F" w:rsidRDefault="00BF22EA" w:rsidP="00BF22EA">
      <w:pPr>
        <w:pStyle w:val="FootnoteText"/>
      </w:pPr>
      <w:r>
        <w:rPr>
          <w:rStyle w:val="FootnoteReference"/>
        </w:rPr>
        <w:footnoteRef/>
      </w:r>
      <w:r>
        <w:tab/>
        <w:t>Parema õigusloome suunised, SWD(2021) 305 final, Brüssel, 3.11.2021.</w:t>
      </w:r>
    </w:p>
  </w:footnote>
  <w:footnote w:id="30">
    <w:p w14:paraId="1C9396A0" w14:textId="77777777" w:rsidR="00BF22EA" w:rsidRPr="0042364F" w:rsidRDefault="00BF22EA" w:rsidP="00BF22EA">
      <w:pPr>
        <w:rPr>
          <w:sz w:val="20"/>
          <w:szCs w:val="20"/>
        </w:rPr>
      </w:pPr>
      <w:r>
        <w:rPr>
          <w:rStyle w:val="FootnoteReference"/>
        </w:rPr>
        <w:footnoteRef/>
      </w:r>
      <w:r>
        <w:tab/>
      </w:r>
      <w:r>
        <w:rPr>
          <w:sz w:val="20"/>
        </w:rPr>
        <w:t>Arvamus …, ELT ….</w:t>
      </w:r>
    </w:p>
  </w:footnote>
  <w:footnote w:id="31">
    <w:p w14:paraId="65062B99" w14:textId="77777777" w:rsidR="00BF22EA" w:rsidRDefault="00BF22EA" w:rsidP="00BF22EA">
      <w:pPr>
        <w:pStyle w:val="FootnoteText"/>
      </w:pPr>
      <w:r>
        <w:rPr>
          <w:rStyle w:val="FootnoteReference"/>
        </w:rPr>
        <w:footnoteRef/>
      </w:r>
      <w:r>
        <w:tab/>
        <w:t>Nõukogu 25. juuni 2009. aasta direktiiv 2009/71/Euratom, millega luuakse tuumaseadmete tuumaohutust käsitlev ühenduse raamistik (ELT L 172, 2.7.2009, lk 18, ELI: http://data.europa.eu/eli/dir/2009/71/oj).</w:t>
      </w:r>
    </w:p>
  </w:footnote>
  <w:footnote w:id="32">
    <w:p w14:paraId="38C3849E" w14:textId="77777777" w:rsidR="00BF22EA" w:rsidRPr="0025243D" w:rsidRDefault="00BF22EA" w:rsidP="00BF22EA">
      <w:pPr>
        <w:pStyle w:val="FootnoteText"/>
      </w:pPr>
      <w:r>
        <w:rPr>
          <w:rStyle w:val="FootnoteReference"/>
        </w:rPr>
        <w:footnoteRef/>
      </w:r>
      <w:r>
        <w:tab/>
        <w:t xml:space="preserve">EÜT L 318, 11.12.1999, lk 21, ELI: </w:t>
      </w:r>
      <w:hyperlink r:id="rId6" w:history="1">
        <w:r>
          <w:rPr>
            <w:rStyle w:val="Hyperlink"/>
          </w:rPr>
          <w:t>http://data.europa.eu/eli/convention/1999/819/oj</w:t>
        </w:r>
      </w:hyperlink>
      <w:r>
        <w:t>.</w:t>
      </w:r>
    </w:p>
  </w:footnote>
  <w:footnote w:id="33">
    <w:p w14:paraId="3FC37ACA" w14:textId="77777777" w:rsidR="00BF22EA" w:rsidRPr="0025243D" w:rsidRDefault="00BF22EA" w:rsidP="00BF22EA">
      <w:pPr>
        <w:pStyle w:val="FootnoteText"/>
      </w:pPr>
      <w:r>
        <w:rPr>
          <w:rStyle w:val="FootnoteReference"/>
        </w:rPr>
        <w:footnoteRef/>
      </w:r>
      <w:r>
        <w:tab/>
        <w:t xml:space="preserve">Rahvusvaheline Aatomienergiaagentuur (IAEA), kasutatud tuumkütuse käitlemise ohutust ja radioaktiivsete jäätmete käitlemise ohutust käsitlev ühiskonventsioon, vastu võetud 5. septembril 1997, jõustus 18. juunil 2001. Kättesaadav aadressil: </w:t>
      </w:r>
      <w:hyperlink r:id="rId7" w:history="1">
        <w:r>
          <w:rPr>
            <w:rStyle w:val="Hyperlink"/>
          </w:rPr>
          <w:t>https://www.iaea.org/topics/nuclear-safety-conventions/joint-convention-safety-spent-fuel-management-and-safety-radioactive-waste</w:t>
        </w:r>
      </w:hyperlink>
      <w:r>
        <w:t xml:space="preserve"> </w:t>
      </w:r>
    </w:p>
  </w:footnote>
  <w:footnote w:id="34">
    <w:p w14:paraId="494A659C" w14:textId="77777777" w:rsidR="00BF22EA" w:rsidRPr="0025243D" w:rsidRDefault="00BF22EA" w:rsidP="00BF22EA">
      <w:pPr>
        <w:pStyle w:val="FootnoteText"/>
      </w:pPr>
      <w:r>
        <w:rPr>
          <w:rStyle w:val="FootnoteReference"/>
        </w:rPr>
        <w:footnoteRef/>
      </w:r>
      <w:r>
        <w:tab/>
        <w:t xml:space="preserve">Tuumarelvade leviku tõkestamise leping (NPT), avatud allakirjutamiseks 1. juulil 1968, jõustus 5. märtsil 1970, 729 U.N.T.S. 161. Kättesaadav aadressil: </w:t>
      </w:r>
      <w:hyperlink r:id="rId8" w:tgtFrame="_new" w:history="1">
        <w:r>
          <w:rPr>
            <w:rStyle w:val="Hyperlink"/>
          </w:rPr>
          <w:t>https://www.un.org/disarmament/wmd/nuclear/npt/</w:t>
        </w:r>
      </w:hyperlink>
      <w:r>
        <w:t>.</w:t>
      </w:r>
    </w:p>
  </w:footnote>
  <w:footnote w:id="35">
    <w:p w14:paraId="4628DD6D" w14:textId="77777777" w:rsidR="00BF22EA" w:rsidRPr="00521336" w:rsidRDefault="00BF22EA" w:rsidP="00BF22EA">
      <w:pPr>
        <w:pStyle w:val="FootnoteText"/>
      </w:pPr>
      <w:r>
        <w:rPr>
          <w:rStyle w:val="FootnoteReference"/>
        </w:rPr>
        <w:footnoteRef/>
      </w:r>
      <w:r>
        <w:tab/>
        <w:t xml:space="preserve">15. mail 1997. aastal IAEA juhatajate nõukogu poolt heaks kiidetud näidisprotokoll, mis täiendab riikide ja Rahvusvahelise Aatomienergiaagentuuri vahelist lepingut kaitsemeetmete kohaldamiseks (INFCIRC/540). Kättesaadav internetis aadressil: </w:t>
      </w:r>
      <w:hyperlink r:id="rId9" w:history="1">
        <w:r>
          <w:rPr>
            <w:rStyle w:val="Hyperlink"/>
          </w:rPr>
          <w:t>INFCIRC/540 - Model Protocol Additional to the Agreement(s) Between State(s) and the International Atomic Energy Agency for the Application of Safeguards</w:t>
        </w:r>
      </w:hyperlink>
    </w:p>
  </w:footnote>
  <w:footnote w:id="36">
    <w:p w14:paraId="28C36A94" w14:textId="77777777" w:rsidR="00BF22EA" w:rsidRPr="000B5CA7" w:rsidRDefault="00BF22EA" w:rsidP="00BF22EA">
      <w:pPr>
        <w:pStyle w:val="FootnoteText"/>
      </w:pPr>
      <w:r>
        <w:rPr>
          <w:rStyle w:val="FootnoteReference"/>
        </w:rPr>
        <w:footnoteRef/>
      </w:r>
      <w:r>
        <w:tab/>
        <w:t xml:space="preserve">Nõukogu 27. mai 2021. aasta määrus (Euratom) 2021/948, millega luuakse Euroopa Aatomienergiaühenduse asutamislepingu alusel tuumaohutusalase rahvusvahelise koostöö Euroopa instrument, mis täiendab naabruspiirkonna, arengu- ja rahvusvahelise koostöö instrumenti „Globaalne Euroopa“, ning millega tunnistatakse kehtetuks määrus (Euratom) nr 237/2014 ( ELT L 209, 14.6.2021, lk 79, ELI; </w:t>
      </w:r>
      <w:hyperlink r:id="rId10" w:history="1">
        <w:r>
          <w:rPr>
            <w:rStyle w:val="Hyperlink"/>
          </w:rPr>
          <w:t>http://data.europa.eu/eli/reg/2021/948/oj</w:t>
        </w:r>
      </w:hyperlink>
      <w:r>
        <w:t>).</w:t>
      </w:r>
    </w:p>
  </w:footnote>
  <w:footnote w:id="37">
    <w:p w14:paraId="6BDC6A48" w14:textId="77777777" w:rsidR="00BF22EA" w:rsidRPr="000B5CA7" w:rsidRDefault="00BF22EA" w:rsidP="00BF22EA">
      <w:pPr>
        <w:pStyle w:val="FootnoteText"/>
      </w:pPr>
      <w:r>
        <w:rPr>
          <w:rStyle w:val="FootnoteReference"/>
        </w:rPr>
        <w:footnoteRef/>
      </w:r>
      <w:r>
        <w:tab/>
        <w:t xml:space="preserve">Euroopa Parlamendi ja nõukogu määrus (EL).../... [„Globaalne Euroopa“], millega luuakse instrument „Globaalne Euroopa“ (ELT,..., ELI: …). </w:t>
      </w:r>
    </w:p>
  </w:footnote>
  <w:footnote w:id="38">
    <w:p w14:paraId="01E6470B" w14:textId="77777777" w:rsidR="00BF22EA" w:rsidRPr="000B5CA7" w:rsidRDefault="00BF22EA" w:rsidP="00BF22EA">
      <w:pPr>
        <w:pStyle w:val="FootnoteText"/>
      </w:pPr>
      <w:r>
        <w:rPr>
          <w:rStyle w:val="FootnoteReference"/>
        </w:rPr>
        <w:footnoteRef/>
      </w:r>
      <w:r>
        <w:tab/>
        <w:t xml:space="preserve">Nõukogu 25. jaanuari 2021. aasta määrus (Euratom) 2021/100, millega kehtestatakse tuumarajatiste dekomisjoneerimise ja radioaktiivsete jäätmete käitlemise sihtotstarbeline rahastamiskava ning tunnistatakse kehtetuks määrus (Euratom) nr 1368/2013 (ELT L 34, 1.2.2021, lk 3, ELI: </w:t>
      </w:r>
      <w:hyperlink r:id="rId11" w:history="1">
        <w:r>
          <w:rPr>
            <w:rStyle w:val="Hyperlink"/>
          </w:rPr>
          <w:t>http://data.europa.eu/eli/reg/2021/100/oj</w:t>
        </w:r>
      </w:hyperlink>
      <w:r>
        <w:t>).</w:t>
      </w:r>
    </w:p>
  </w:footnote>
  <w:footnote w:id="39">
    <w:p w14:paraId="7A402046" w14:textId="77777777" w:rsidR="00BF22EA" w:rsidRPr="00521336" w:rsidRDefault="00BF22EA" w:rsidP="00BF22EA">
      <w:pPr>
        <w:pStyle w:val="FootnoteText"/>
      </w:pPr>
      <w:r>
        <w:rPr>
          <w:rStyle w:val="FootnoteReference"/>
        </w:rPr>
        <w:footnoteRef/>
      </w:r>
      <w:r>
        <w:tab/>
        <w:t xml:space="preserve">Nõukogu 27. mai 2021. aasta määrus (Euratom) 2021/948, millega luuakse Euroopa Aatomienergiaühenduse asutamislepingu alusel tuumaohutusalase rahvusvahelise koostöö Euroopa instrument, mis täiendab naabruspiirkonna, arengu- ja rahvusvahelise koostöö instrumenti „Globaalne Euroopa“, ning millega tunnistatakse kehtetuks määrus (Euratom) nr 237/2014 ( ELT L 209, 14.6.2021, lk 79, ELI; </w:t>
      </w:r>
      <w:hyperlink r:id="rId12" w:history="1">
        <w:r>
          <w:rPr>
            <w:rStyle w:val="Hyperlink"/>
          </w:rPr>
          <w:t>http://data.europa.eu/eli/reg/2021/948/oj</w:t>
        </w:r>
      </w:hyperlink>
      <w:r>
        <w:t>).</w:t>
      </w:r>
    </w:p>
  </w:footnote>
  <w:footnote w:id="40">
    <w:p w14:paraId="09230EE1" w14:textId="77777777" w:rsidR="00BF22EA" w:rsidRPr="0042364F" w:rsidRDefault="00BF22EA" w:rsidP="00BF22EA">
      <w:pPr>
        <w:pStyle w:val="FootnoteText"/>
      </w:pPr>
      <w:r>
        <w:rPr>
          <w:rStyle w:val="FootnoteReference"/>
        </w:rPr>
        <w:footnoteRef/>
      </w:r>
      <w:r>
        <w:tab/>
        <w:t>Euroopa Parlamendi ja nõukogu 23. septembri 2024. aasta määrus (EL, Euratom) 2024/2509, mis käsitleb liidu üldeelarve suhtes kohaldatavaid finantsreegleid (ELT L, 2024/2509, 26.9.2024, ELI: http://data.europa.eu/eli/reg/2024/2509/OJ).</w:t>
      </w:r>
    </w:p>
  </w:footnote>
  <w:footnote w:id="41">
    <w:p w14:paraId="20FE7215" w14:textId="77777777" w:rsidR="00BF22EA" w:rsidRPr="00521336" w:rsidRDefault="00BF22EA" w:rsidP="00BF22EA">
      <w:pPr>
        <w:pStyle w:val="FootnoteText"/>
      </w:pPr>
      <w:r>
        <w:rPr>
          <w:rStyle w:val="FootnoteReference"/>
        </w:rPr>
        <w:footnoteRef/>
      </w:r>
      <w:r>
        <w:tab/>
        <w:t xml:space="preserve">Määrus (EL) (EL, Euratom).../... [tulemusraamistiku määrus] (ELT...,... ELI: …). </w:t>
      </w:r>
    </w:p>
  </w:footnote>
  <w:footnote w:id="42">
    <w:p w14:paraId="5C6B46C6" w14:textId="77777777" w:rsidR="00BF22EA" w:rsidRPr="0042364F" w:rsidRDefault="00BF22EA" w:rsidP="00BF22EA">
      <w:pPr>
        <w:pStyle w:val="FootnoteText"/>
      </w:pPr>
      <w:r>
        <w:rPr>
          <w:rStyle w:val="FootnoteReference"/>
        </w:rPr>
        <w:footnoteRef/>
      </w:r>
      <w:r>
        <w:tab/>
        <w:t>Euroopa Parlamendi ja nõukogu 11. septembri 2013. aasta määrus (EL, Euratom) nr 883/2013, mis käsitleb Euroopa Pettustevastase Ameti (OLAF) juurdlusi ning millega tunnistatakse kehtetuks Euroopa Parlamendi ja nõukogu määrus (EÜ) nr 1073/1999 ja nõukogu määrus (Euratom) nr 1074/1999 (ELT L 248, 18.9.2013, lk 1, ELI: </w:t>
      </w:r>
      <w:hyperlink r:id="rId13" w:tooltip="Juurdepääs dokumendile ELI URI kaudu." w:history="1">
        <w:r>
          <w:rPr>
            <w:rStyle w:val="Hyperlink"/>
          </w:rPr>
          <w:t>http://data.europa.eu/eli/reg/2013/883/oj</w:t>
        </w:r>
      </w:hyperlink>
      <w:r>
        <w:t>).</w:t>
      </w:r>
    </w:p>
  </w:footnote>
  <w:footnote w:id="43">
    <w:p w14:paraId="1A870E25" w14:textId="77777777" w:rsidR="00BF22EA" w:rsidRPr="0025243D" w:rsidRDefault="00BF22EA" w:rsidP="00BF22EA">
      <w:pPr>
        <w:pStyle w:val="FootnoteText"/>
        <w:rPr>
          <w:highlight w:val="cyan"/>
        </w:rPr>
      </w:pPr>
      <w:r>
        <w:rPr>
          <w:rStyle w:val="FootnoteReference"/>
        </w:rPr>
        <w:footnoteRef/>
      </w:r>
      <w:r>
        <w:tab/>
        <w:t>Nõukogu 18. detsembri 1995. aasta määrus (EÜ, Euratom) nr 2988/95 Euroopa ühenduste finantshuvide kaitse kohta (EÜT L 312, 23.12.1995, lk 1, ELI: </w:t>
      </w:r>
      <w:hyperlink r:id="rId14" w:tooltip="Juurdepääs dokumendile ELI URI kaudu." w:history="1">
        <w:r>
          <w:rPr>
            <w:rStyle w:val="Hyperlink"/>
          </w:rPr>
          <w:t>http://data.europa.eu/eli/reg/1995/2988/oj</w:t>
        </w:r>
      </w:hyperlink>
      <w:r>
        <w:t>).)</w:t>
      </w:r>
    </w:p>
  </w:footnote>
  <w:footnote w:id="44">
    <w:p w14:paraId="4A3670B7" w14:textId="77777777" w:rsidR="00BF22EA" w:rsidRPr="0042364F" w:rsidRDefault="00BF22EA" w:rsidP="00BF22EA">
      <w:pPr>
        <w:pStyle w:val="FootnoteText"/>
      </w:pPr>
      <w:r>
        <w:rPr>
          <w:rStyle w:val="FootnoteReference"/>
        </w:rPr>
        <w:footnoteRef/>
      </w:r>
      <w:r>
        <w:tab/>
        <w:t>Nõukogu 11. novembri 1996. aasta määrus (Euratom, EÜ) nr 2185/96, mis käsitleb komisjoni tehtavat kohapealset kontrolli ja inspekteerimist, et kaitsta Euroopa ühenduste finantshuve pettuste ja igasuguse muu eeskirjade eiramiste eest (EÜT L 292, 15.11.1996, lk 2, ELI: </w:t>
      </w:r>
      <w:hyperlink r:id="rId15" w:tooltip="Juurdepääs dokumendile ELI URI kaudu." w:history="1">
        <w:r>
          <w:rPr>
            <w:rStyle w:val="Hyperlink"/>
          </w:rPr>
          <w:t>http://data.europa.eu/eli/reg/1996/2185/oj</w:t>
        </w:r>
      </w:hyperlink>
      <w:r>
        <w:t>)</w:t>
      </w:r>
      <w:r>
        <w:rPr>
          <w:rStyle w:val="FootnoteReference"/>
        </w:rPr>
        <w:t>.</w:t>
      </w:r>
      <w:r>
        <w:t>).</w:t>
      </w:r>
    </w:p>
  </w:footnote>
  <w:footnote w:id="45">
    <w:p w14:paraId="258EFD11" w14:textId="77777777" w:rsidR="00BF22EA" w:rsidRPr="0042364F" w:rsidRDefault="00BF22EA" w:rsidP="00BF22EA">
      <w:pPr>
        <w:pStyle w:val="FootnoteText"/>
      </w:pPr>
      <w:r>
        <w:rPr>
          <w:rStyle w:val="FootnoteReference"/>
        </w:rPr>
        <w:footnoteRef/>
      </w:r>
      <w:r>
        <w:tab/>
        <w:t>Nõukogu 12. oktoobri 2017. aasta määrus (EL) 2017/1939, millega rakendatakse tõhustatud koostööd Euroopa Prokuratuuri asutamisel (ELT L 283, 31.10.2017, lk 1, ELI: http://data.europa.eu/eli/reg/2017/1939/OJ).</w:t>
      </w:r>
    </w:p>
  </w:footnote>
  <w:footnote w:id="46">
    <w:p w14:paraId="798F2DD2" w14:textId="77777777" w:rsidR="00BF22EA" w:rsidRPr="0042364F" w:rsidRDefault="00BF22EA" w:rsidP="00BF22EA">
      <w:pPr>
        <w:pStyle w:val="FootnoteText"/>
      </w:pPr>
      <w:r>
        <w:rPr>
          <w:rStyle w:val="FootnoteReference"/>
        </w:rPr>
        <w:footnoteRef/>
      </w:r>
      <w:r>
        <w:tab/>
        <w:t>Euroopa Parlamendi ja nõukogu 5. juuli 2017. aasta direktiiv (EL) 2017/1371, mis käsitleb võitlust liidu finantshuve kahjustavate pettuste vastu kriminaalõiguse abil (ELT L 198, 28.7.2017, lk 29, ELI: </w:t>
      </w:r>
      <w:hyperlink r:id="rId16" w:tooltip="Juurdepääs dokumendile ELI URI kaudu." w:history="1">
        <w:r>
          <w:rPr>
            <w:rStyle w:val="Hyperlink"/>
          </w:rPr>
          <w:t>http://data.europa.eu/eli/dir/2017/1371/oj</w:t>
        </w:r>
      </w:hyperlink>
      <w:r>
        <w:t>).</w:t>
      </w:r>
    </w:p>
  </w:footnote>
  <w:footnote w:id="47">
    <w:p w14:paraId="04DDB76C" w14:textId="77777777" w:rsidR="00BF22EA" w:rsidRPr="00A8027C" w:rsidRDefault="00BF22EA" w:rsidP="00BF22EA">
      <w:pPr>
        <w:pStyle w:val="FootnoteText"/>
      </w:pPr>
      <w:r>
        <w:rPr>
          <w:rStyle w:val="FootnoteReference"/>
        </w:rPr>
        <w:footnoteRef/>
      </w:r>
      <w:r>
        <w:tab/>
        <w:t xml:space="preserve">Nõukogu 19. juuli 2011. aasta direktiiv 2011/70/Euratom, millega luuakse ühenduse raamistik kasutatud tuumkütuse ja radioaktiivsete jäätmete vastutustundlikuks ja ohutuks käitlemiseks (ELT L 199, 2.8.2011, lk 48, ELI: </w:t>
      </w:r>
      <w:hyperlink r:id="rId17" w:history="1">
        <w:r>
          <w:rPr>
            <w:rStyle w:val="Hyperlink"/>
          </w:rPr>
          <w:t>http://data.europa.eu/eli/dir/2011/70/oj</w:t>
        </w:r>
      </w:hyperlink>
      <w:r>
        <w:t>).</w:t>
      </w:r>
    </w:p>
    <w:p w14:paraId="48D24D87" w14:textId="77777777" w:rsidR="00BF22EA" w:rsidRPr="00A8027C" w:rsidRDefault="00BF22EA" w:rsidP="00BF22EA">
      <w:pPr>
        <w:pStyle w:val="FootnoteText"/>
      </w:pPr>
      <w:r>
        <w:t>.</w:t>
      </w:r>
    </w:p>
  </w:footnote>
  <w:footnote w:id="48">
    <w:p w14:paraId="46F4FCB9" w14:textId="77777777" w:rsidR="00BF22EA" w:rsidRPr="0042364F" w:rsidRDefault="00BF22EA" w:rsidP="00BF22EA">
      <w:pPr>
        <w:pStyle w:val="FootnoteText"/>
        <w:rPr>
          <w:rFonts w:eastAsia="Times New Roman"/>
          <w:sz w:val="18"/>
          <w:szCs w:val="18"/>
        </w:rPr>
      </w:pPr>
      <w:r>
        <w:rPr>
          <w:rStyle w:val="FootnoteReference"/>
        </w:rPr>
        <w:footnoteRef/>
      </w:r>
      <w:r>
        <w:tab/>
        <w:t xml:space="preserve">Komisjoni </w:t>
      </w:r>
      <w:r>
        <w:rPr>
          <w:b/>
          <w:bCs/>
        </w:rPr>
        <w:t>17. märtsi 1999. aasta</w:t>
      </w:r>
      <w:r>
        <w:t xml:space="preserve"> teatis Euroopa Parlamendile ja nõukogule vananenud tuumarajatiste dekomissioneerimise ja tuumajäätmete käitlemise kohta:</w:t>
      </w:r>
      <w:r>
        <w:rPr>
          <w:sz w:val="18"/>
        </w:rPr>
        <w:t xml:space="preserve"> Euratomi asutamislepingu alusel Teadusuuringute Ühiskeskuses läbi viidud tuumaalasest tegevusest tulenevad varasemad kohustused (COM (1999) 114 final).</w:t>
      </w:r>
    </w:p>
    <w:p w14:paraId="3F902664" w14:textId="77777777" w:rsidR="00BF22EA" w:rsidRPr="000B5CA7" w:rsidRDefault="00BF22EA" w:rsidP="00BF22EA">
      <w:pPr>
        <w:pStyle w:val="FootnoteText"/>
      </w:pPr>
      <w:r>
        <w:t>.</w:t>
      </w:r>
    </w:p>
  </w:footnote>
  <w:footnote w:id="49">
    <w:p w14:paraId="181D945C" w14:textId="77777777" w:rsidR="00BF22EA" w:rsidRPr="0042364F" w:rsidRDefault="00BF22EA" w:rsidP="00BF22EA">
      <w:r>
        <w:rPr>
          <w:rStyle w:val="FootnoteReference"/>
        </w:rPr>
        <w:footnoteRef/>
      </w:r>
      <w:r>
        <w:tab/>
      </w:r>
      <w:r>
        <w:rPr>
          <w:sz w:val="20"/>
        </w:rPr>
        <w:t>SEC(2004) 624, COM(2008) 903 ja COM(2013) 734.</w:t>
      </w:r>
    </w:p>
  </w:footnote>
  <w:footnote w:id="50">
    <w:p w14:paraId="41D15295" w14:textId="77777777" w:rsidR="00BF22EA" w:rsidRPr="0042364F" w:rsidRDefault="00BF22EA" w:rsidP="00BF22EA">
      <w:pPr>
        <w:pStyle w:val="FootnoteText"/>
        <w:rPr>
          <w:sz w:val="18"/>
          <w:szCs w:val="18"/>
        </w:rPr>
      </w:pPr>
      <w:r>
        <w:rPr>
          <w:rStyle w:val="FootnoteReference"/>
        </w:rPr>
        <w:footnoteRef/>
      </w:r>
      <w:r>
        <w:tab/>
        <w:t>Euroopa Parlamendi ja nõukogu 16. veebruari 2011. aasta määrus (EL) nr 182/2011, millega kehtestatakse eeskirjad ja üldpõhimõtted, mis käsitlevad liikmesriikide läbiviidava kontrolli mehhanisme, mida kohaldatakse komisjoni rakendamisvolituste teostamise suhtes (ELT L 55, 28.2.2011, lk 13, ELI: </w:t>
      </w:r>
      <w:hyperlink r:id="rId18" w:tooltip="Juurdepääs dokumendile ELI URI kaudu" w:history="1">
        <w:r>
          <w:rPr>
            <w:rStyle w:val="Hyperlink"/>
          </w:rPr>
          <w:t>http://data.europa.eu/eli/reg/2011/182/oj</w:t>
        </w:r>
      </w:hyperlink>
      <w:r>
        <w:t>)</w:t>
      </w:r>
      <w:r>
        <w:rPr>
          <w:rStyle w:val="Hyperlink"/>
        </w:rPr>
        <w:t>.</w:t>
      </w:r>
      <w:r>
        <w:t>).</w:t>
      </w:r>
    </w:p>
    <w:p w14:paraId="1659EAB5" w14:textId="77777777" w:rsidR="00BF22EA" w:rsidRPr="000B5CA7" w:rsidRDefault="00BF22EA" w:rsidP="00BF22EA">
      <w:pPr>
        <w:pStyle w:val="FootnoteText"/>
        <w:rPr>
          <w:sz w:val="18"/>
        </w:rPr>
      </w:pPr>
      <w:r>
        <w:rPr>
          <w:sz w:val="18"/>
        </w:rPr>
        <w:t>.</w:t>
      </w:r>
    </w:p>
  </w:footnote>
  <w:footnote w:id="51">
    <w:p w14:paraId="128DEDA9" w14:textId="77777777" w:rsidR="00BF22EA" w:rsidRPr="000B5CA7" w:rsidRDefault="00BF22EA" w:rsidP="00BF22EA">
      <w:pPr>
        <w:pStyle w:val="FootnoteText"/>
      </w:pPr>
      <w:r>
        <w:rPr>
          <w:rStyle w:val="FootnoteReference"/>
        </w:rPr>
        <w:footnoteRef/>
      </w:r>
      <w:r>
        <w:tab/>
        <w:t xml:space="preserve">Nõukogu 26. juuli 2010. aasta otsus 2010/427/EL, millega määratakse kindlaks Euroopa välisteenistuse korraldus ja toimimine </w:t>
      </w:r>
      <w:hyperlink r:id="rId19" w:history="1">
        <w:r>
          <w:rPr>
            <w:rStyle w:val="Hyperlink"/>
            <w:sz w:val="18"/>
          </w:rPr>
          <w:t>(ELT L 201, 3.8.2010, lk 30</w:t>
        </w:r>
      </w:hyperlink>
      <w:r>
        <w:t>, ELI:</w:t>
      </w:r>
      <w:r>
        <w:rPr>
          <w:rFonts w:asciiTheme="minorHAnsi" w:hAnsiTheme="minorHAnsi"/>
        </w:rPr>
        <w:t xml:space="preserve"> </w:t>
      </w:r>
      <w:hyperlink r:id="rId20" w:tooltip="Juurdepääs dokumendile ELI URI kaudu." w:history="1">
        <w:r>
          <w:rPr>
            <w:rStyle w:val="Hyperlink"/>
          </w:rPr>
          <w:t>http://data.europa.eu/eli/dec/2010/427/oj</w:t>
        </w:r>
      </w:hyperlink>
      <w:r>
        <w:rPr>
          <w:sz w:val="18"/>
        </w:rPr>
        <w:t>).</w:t>
      </w:r>
    </w:p>
  </w:footnote>
  <w:footnote w:id="52">
    <w:p w14:paraId="69E31FF1" w14:textId="77777777" w:rsidR="00BF22EA" w:rsidRPr="000663BF" w:rsidRDefault="00BF22EA" w:rsidP="00BF22EA">
      <w:pPr>
        <w:pStyle w:val="FootnoteText"/>
      </w:pPr>
      <w:r>
        <w:rPr>
          <w:rStyle w:val="FootnoteReference"/>
        </w:rPr>
        <w:footnoteRef/>
      </w:r>
      <w:r>
        <w:tab/>
        <w:t>Komisjoni 17. juuli 2007. aasta otsus 2007/530/Euratom, millega moodustatakse tuumaohutuse ja tuumajäätmete käitlemise kõrgetasemeline Euroopa töörühm (ELT L 195, 27.7.2007, lk 44, ELI: http://data.europa.eu/eli/dec/2007/530/oj).</w:t>
      </w:r>
    </w:p>
  </w:footnote>
  <w:footnote w:id="53">
    <w:p w14:paraId="494D5F8E" w14:textId="77777777" w:rsidR="00BF22EA" w:rsidRPr="0042364F" w:rsidRDefault="00BF22EA" w:rsidP="00BF22EA">
      <w:pPr>
        <w:pStyle w:val="FootnoteText"/>
      </w:pPr>
      <w:r>
        <w:rPr>
          <w:rStyle w:val="FootnoteReference"/>
        </w:rPr>
        <w:footnoteRef/>
      </w:r>
      <w:r>
        <w:tab/>
        <w:t>Vastavalt finantsmääruse artikli 58 lõike 2 punktile a või b.</w:t>
      </w:r>
    </w:p>
  </w:footnote>
  <w:footnote w:id="54">
    <w:p w14:paraId="38579FDB" w14:textId="77777777" w:rsidR="00BF22EA" w:rsidRPr="0087716A" w:rsidRDefault="00BF22EA" w:rsidP="00BF22EA">
      <w:pPr>
        <w:pStyle w:val="FootnoteText"/>
      </w:pPr>
      <w:r>
        <w:rPr>
          <w:rStyle w:val="FootnoteReference"/>
        </w:rPr>
        <w:footnoteRef/>
      </w:r>
      <w:r>
        <w:tab/>
        <w:t>Töötajaid rahastatakse Euratomi teadusuuringute ja tehnoloogiaarenduse programmist.</w:t>
      </w:r>
    </w:p>
  </w:footnote>
  <w:footnote w:id="55">
    <w:p w14:paraId="149C6329" w14:textId="77777777" w:rsidR="00BF22EA" w:rsidRPr="0087716A" w:rsidRDefault="00BF22EA" w:rsidP="00BF22EA">
      <w:pPr>
        <w:pStyle w:val="FootnoteText"/>
      </w:pPr>
      <w:r>
        <w:rPr>
          <w:rStyle w:val="FootnoteReference"/>
        </w:rPr>
        <w:footnoteRef/>
      </w:r>
      <w:r>
        <w:tab/>
        <w:t>Töötajaid rahastatakse Euratomi teadusuuringute ja tehnoloogiaarenduse programmist.</w:t>
      </w:r>
    </w:p>
  </w:footnote>
  <w:footnote w:id="56">
    <w:p w14:paraId="4E94E420" w14:textId="77777777" w:rsidR="00BF22EA" w:rsidRPr="0042364F" w:rsidRDefault="00BF22EA" w:rsidP="00BF22EA">
      <w:pPr>
        <w:pStyle w:val="FootnoteText"/>
        <w:rPr>
          <w:szCs w:val="24"/>
        </w:rPr>
      </w:pPr>
      <w:r>
        <w:rPr>
          <w:rStyle w:val="FootnoteReference"/>
        </w:rPr>
        <w:footnoteRef/>
      </w:r>
      <w:r>
        <w:tab/>
        <w:t>Traditsiooniliste omavahendite (tollimaksud ja suhkrumaksud) korral tuleb märkida netosummad, st brutosumma pärast 20 % sissenõudmiskulude mahaarvamist.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F07EE" w14:textId="77777777" w:rsidR="00B662D8" w:rsidRDefault="00B662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91B8A" w14:textId="77777777" w:rsidR="00B662D8" w:rsidRDefault="00B662D8" w:rsidP="00B662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E8805" w14:textId="77777777" w:rsidR="00B662D8" w:rsidRPr="00B662D8" w:rsidRDefault="00B662D8" w:rsidP="00B662D8">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B68D7" w14:textId="77777777" w:rsidR="00B662D8" w:rsidRPr="00B662D8" w:rsidRDefault="00B662D8" w:rsidP="00B662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0D37163"/>
    <w:multiLevelType w:val="hybridMultilevel"/>
    <w:tmpl w:val="2194923E"/>
    <w:lvl w:ilvl="0" w:tplc="CA2ED478">
      <w:start w:val="1"/>
      <w:numFmt w:val="decimal"/>
      <w:pStyle w:val="Point4number"/>
      <w:lvlText w:val="(%1)"/>
      <w:lvlJc w:val="left"/>
      <w:pPr>
        <w:ind w:left="360" w:hanging="360"/>
      </w:pPr>
      <w:rPr>
        <w:rFonts w:ascii="Times New Roman" w:eastAsia="Times New Roman" w:hAnsi="Times New Roman" w:cs="Times New Roman"/>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15:restartNumberingAfterBreak="0">
    <w:nsid w:val="2E065AE3"/>
    <w:multiLevelType w:val="hybridMultilevel"/>
    <w:tmpl w:val="54AE3110"/>
    <w:lvl w:ilvl="0" w:tplc="13F2705C">
      <w:start w:val="1"/>
      <w:numFmt w:val="decimal"/>
      <w:pStyle w:val="Point6number"/>
      <w:lvlText w:val="(%1)"/>
      <w:lvlJc w:val="left"/>
      <w:pPr>
        <w:ind w:left="720" w:hanging="360"/>
      </w:pPr>
      <w:rPr>
        <w:rFonts w:ascii="Times New Roman" w:hAnsi="Times New Roman" w:hint="default"/>
      </w:rPr>
    </w:lvl>
    <w:lvl w:ilvl="1" w:tplc="E1AC27C0" w:tentative="1">
      <w:start w:val="1"/>
      <w:numFmt w:val="lowerLetter"/>
      <w:lvlText w:val="%2."/>
      <w:lvlJc w:val="left"/>
      <w:pPr>
        <w:ind w:left="1440" w:hanging="360"/>
      </w:pPr>
    </w:lvl>
    <w:lvl w:ilvl="2" w:tplc="72824D4A" w:tentative="1">
      <w:start w:val="1"/>
      <w:numFmt w:val="lowerRoman"/>
      <w:lvlText w:val="%3."/>
      <w:lvlJc w:val="right"/>
      <w:pPr>
        <w:ind w:left="2160" w:hanging="180"/>
      </w:pPr>
    </w:lvl>
    <w:lvl w:ilvl="3" w:tplc="6886706E" w:tentative="1">
      <w:start w:val="1"/>
      <w:numFmt w:val="decimal"/>
      <w:lvlText w:val="%4."/>
      <w:lvlJc w:val="left"/>
      <w:pPr>
        <w:ind w:left="2880" w:hanging="360"/>
      </w:pPr>
    </w:lvl>
    <w:lvl w:ilvl="4" w:tplc="B8D088B6" w:tentative="1">
      <w:start w:val="1"/>
      <w:numFmt w:val="lowerLetter"/>
      <w:lvlText w:val="%5."/>
      <w:lvlJc w:val="left"/>
      <w:pPr>
        <w:ind w:left="3600" w:hanging="360"/>
      </w:pPr>
    </w:lvl>
    <w:lvl w:ilvl="5" w:tplc="4E48B4B6" w:tentative="1">
      <w:start w:val="1"/>
      <w:numFmt w:val="lowerRoman"/>
      <w:lvlText w:val="%6."/>
      <w:lvlJc w:val="right"/>
      <w:pPr>
        <w:ind w:left="4320" w:hanging="180"/>
      </w:pPr>
    </w:lvl>
    <w:lvl w:ilvl="6" w:tplc="3692EF96" w:tentative="1">
      <w:start w:val="1"/>
      <w:numFmt w:val="decimal"/>
      <w:lvlText w:val="%7."/>
      <w:lvlJc w:val="left"/>
      <w:pPr>
        <w:ind w:left="5040" w:hanging="360"/>
      </w:pPr>
    </w:lvl>
    <w:lvl w:ilvl="7" w:tplc="ECD41324" w:tentative="1">
      <w:start w:val="1"/>
      <w:numFmt w:val="lowerLetter"/>
      <w:lvlText w:val="%8."/>
      <w:lvlJc w:val="left"/>
      <w:pPr>
        <w:ind w:left="5760" w:hanging="360"/>
      </w:pPr>
    </w:lvl>
    <w:lvl w:ilvl="8" w:tplc="B2FA91BA" w:tentative="1">
      <w:start w:val="1"/>
      <w:numFmt w:val="lowerRoman"/>
      <w:lvlText w:val="%9."/>
      <w:lvlJc w:val="right"/>
      <w:pPr>
        <w:ind w:left="6480" w:hanging="180"/>
      </w:pPr>
    </w:lvl>
  </w:abstractNum>
  <w:abstractNum w:abstractNumId="11"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3"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3B2E0945"/>
    <w:multiLevelType w:val="hybridMultilevel"/>
    <w:tmpl w:val="5832F57A"/>
    <w:lvl w:ilvl="0" w:tplc="7EECC6E8">
      <w:start w:val="1"/>
      <w:numFmt w:val="lowerLetter"/>
      <w:pStyle w:val="-point6letter"/>
      <w:lvlText w:val="(%1)"/>
      <w:lvlJc w:val="left"/>
      <w:pPr>
        <w:ind w:left="720" w:hanging="360"/>
      </w:pPr>
      <w:rPr>
        <w:rFonts w:ascii="Times New Roman" w:hAnsi="Times New Roman" w:hint="default"/>
      </w:rPr>
    </w:lvl>
    <w:lvl w:ilvl="1" w:tplc="631C9762" w:tentative="1">
      <w:start w:val="1"/>
      <w:numFmt w:val="lowerLetter"/>
      <w:lvlText w:val="%2."/>
      <w:lvlJc w:val="left"/>
      <w:pPr>
        <w:ind w:left="1440" w:hanging="360"/>
      </w:pPr>
    </w:lvl>
    <w:lvl w:ilvl="2" w:tplc="FF3C3F10" w:tentative="1">
      <w:start w:val="1"/>
      <w:numFmt w:val="lowerRoman"/>
      <w:lvlText w:val="%3."/>
      <w:lvlJc w:val="right"/>
      <w:pPr>
        <w:ind w:left="2160" w:hanging="180"/>
      </w:pPr>
    </w:lvl>
    <w:lvl w:ilvl="3" w:tplc="943EB2EA" w:tentative="1">
      <w:start w:val="1"/>
      <w:numFmt w:val="decimal"/>
      <w:lvlText w:val="%4."/>
      <w:lvlJc w:val="left"/>
      <w:pPr>
        <w:ind w:left="2880" w:hanging="360"/>
      </w:pPr>
    </w:lvl>
    <w:lvl w:ilvl="4" w:tplc="70CE10D6" w:tentative="1">
      <w:start w:val="1"/>
      <w:numFmt w:val="lowerLetter"/>
      <w:lvlText w:val="%5."/>
      <w:lvlJc w:val="left"/>
      <w:pPr>
        <w:ind w:left="3600" w:hanging="360"/>
      </w:pPr>
    </w:lvl>
    <w:lvl w:ilvl="5" w:tplc="524CBA46" w:tentative="1">
      <w:start w:val="1"/>
      <w:numFmt w:val="lowerRoman"/>
      <w:lvlText w:val="%6."/>
      <w:lvlJc w:val="right"/>
      <w:pPr>
        <w:ind w:left="4320" w:hanging="180"/>
      </w:pPr>
    </w:lvl>
    <w:lvl w:ilvl="6" w:tplc="807EDBA2" w:tentative="1">
      <w:start w:val="1"/>
      <w:numFmt w:val="decimal"/>
      <w:lvlText w:val="%7."/>
      <w:lvlJc w:val="left"/>
      <w:pPr>
        <w:ind w:left="5040" w:hanging="360"/>
      </w:pPr>
    </w:lvl>
    <w:lvl w:ilvl="7" w:tplc="9258DC06" w:tentative="1">
      <w:start w:val="1"/>
      <w:numFmt w:val="lowerLetter"/>
      <w:lvlText w:val="%8."/>
      <w:lvlJc w:val="left"/>
      <w:pPr>
        <w:ind w:left="5760" w:hanging="360"/>
      </w:pPr>
    </w:lvl>
    <w:lvl w:ilvl="8" w:tplc="5DAE5678" w:tentative="1">
      <w:start w:val="1"/>
      <w:numFmt w:val="lowerRoman"/>
      <w:lvlText w:val="%9."/>
      <w:lvlJc w:val="right"/>
      <w:pPr>
        <w:ind w:left="6480" w:hanging="180"/>
      </w:pPr>
    </w:lvl>
  </w:abstractNum>
  <w:abstractNum w:abstractNumId="1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6"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7"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8"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9"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0"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1"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4"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5"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7"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8"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0"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2"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0"/>
  </w:num>
  <w:num w:numId="3">
    <w:abstractNumId w:val="23"/>
  </w:num>
  <w:num w:numId="4">
    <w:abstractNumId w:val="9"/>
  </w:num>
  <w:num w:numId="5">
    <w:abstractNumId w:val="20"/>
  </w:num>
  <w:num w:numId="6">
    <w:abstractNumId w:val="19"/>
  </w:num>
  <w:num w:numId="7">
    <w:abstractNumId w:val="30"/>
  </w:num>
  <w:num w:numId="8">
    <w:abstractNumId w:val="27"/>
  </w:num>
  <w:num w:numId="9">
    <w:abstractNumId w:val="31"/>
  </w:num>
  <w:num w:numId="10">
    <w:abstractNumId w:val="32"/>
  </w:num>
  <w:num w:numId="11">
    <w:abstractNumId w:val="1"/>
  </w:num>
  <w:num w:numId="12">
    <w:abstractNumId w:val="12"/>
  </w:num>
  <w:num w:numId="13">
    <w:abstractNumId w:val="2"/>
  </w:num>
  <w:num w:numId="14">
    <w:abstractNumId w:val="13"/>
  </w:num>
  <w:num w:numId="15">
    <w:abstractNumId w:val="11"/>
  </w:num>
  <w:num w:numId="16">
    <w:abstractNumId w:val="21"/>
  </w:num>
  <w:num w:numId="17">
    <w:abstractNumId w:val="8"/>
  </w:num>
  <w:num w:numId="18">
    <w:abstractNumId w:val="33"/>
    <w:lvlOverride w:ilvl="0">
      <w:startOverride w:val="1"/>
    </w:lvlOverride>
  </w:num>
  <w:num w:numId="19">
    <w:abstractNumId w:val="4"/>
  </w:num>
  <w:num w:numId="20">
    <w:abstractNumId w:val="10"/>
  </w:num>
  <w:num w:numId="21">
    <w:abstractNumId w:val="14"/>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num>
  <w:num w:numId="24">
    <w:abstractNumId w:val="24"/>
    <w:lvlOverride w:ilvl="0">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 w:numId="43">
    <w:abstractNumId w:val="15"/>
  </w:num>
  <w:num w:numId="44">
    <w:abstractNumId w:val="29"/>
  </w:num>
  <w:num w:numId="45">
    <w:abstractNumId w:val="7"/>
  </w:num>
  <w:num w:numId="46">
    <w:abstractNumId w:val="16"/>
  </w:num>
  <w:num w:numId="47">
    <w:abstractNumId w:val="17"/>
  </w:num>
  <w:num w:numId="48">
    <w:abstractNumId w:val="5"/>
  </w:num>
  <w:num w:numId="49">
    <w:abstractNumId w:val="28"/>
  </w:num>
  <w:num w:numId="50">
    <w:abstractNumId w:val="3"/>
  </w:num>
  <w:num w:numId="51">
    <w:abstractNumId w:val="18"/>
  </w:num>
  <w:num w:numId="52">
    <w:abstractNumId w:val="24"/>
  </w:num>
  <w:num w:numId="53">
    <w:abstractNumId w:val="25"/>
  </w:num>
  <w:num w:numId="54">
    <w:abstractNumId w:val="6"/>
  </w:num>
  <w:num w:numId="55">
    <w:abstractNumId w:val="22"/>
  </w:num>
  <w:num w:numId="56">
    <w:abstractNumId w:val="3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10-09 09:58:24"/>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F36CBC70-4595-42DE-9CE1-5C5131566A99"/>
    <w:docVar w:name="LW_COVERPAGE_TYPE" w:val="1"/>
    <w:docVar w:name="LW_CreatedUtc" w:val="2025-08-28T08:35:33.6689075Z"/>
    <w:docVar w:name="LW_CROSSREFERENCE" w:val="{SWD(2025) 254 final}"/>
    <w:docVar w:name="LW_DocType" w:val="COM"/>
    <w:docVar w:name="LW_EMISSION" w:val="3.9.2025"/>
    <w:docVar w:name="LW_EMISSION_ISODATE" w:val="2025-09-03"/>
    <w:docVar w:name="LW_EMISSION_LOCATION" w:val="BRX"/>
    <w:docVar w:name="LW_EMISSION_PREFIX" w:val="Brüssel,"/>
    <w:docVar w:name="LW_EMISSION_SUFFIX" w:val=" "/>
    <w:docVar w:name="LW_ID_DOCMODEL" w:val="SJ-016"/>
    <w:docVar w:name="LW_ID_DOCSIGNATURE" w:val="SJ-016"/>
    <w:docVar w:name="LW_ID_DOCSTRUCTURE" w:val="COM/PL/ORG"/>
    <w:docVar w:name="LW_ID_DOCTYPE" w:val="SJ-016"/>
    <w:docVar w:name="LW_ID_STATUT" w:val="SJ-016"/>
    <w:docVar w:name="LW_INSERT_EXP.MOTIFS.NEW" w:val="1"/>
    <w:docVar w:name="LW_INTERETEEE.CP" w:val="&lt;UNUSED&gt;"/>
    <w:docVar w:name="LW_LANGUE" w:val="ET"/>
    <w:docVar w:name="LW_LEVEL_OF_SENSITIVITY" w:val="Standard treatment"/>
    <w:docVar w:name="LW_NOM.INST" w:val="EUROOPA KOMISJON"/>
    <w:docVar w:name="LW_NOM.INST_JOINTDOC" w:val="&lt;EMPTY&gt;"/>
    <w:docVar w:name="LW_PART_NBR" w:val="1"/>
    <w:docVar w:name="LW_PART_NBR_TOTAL" w:val="1"/>
    <w:docVar w:name="LW_REF.II.NEW.CP" w:val="CNS"/>
    <w:docVar w:name="LW_REF.II.NEW.CP_NUMBER" w:val="0265"/>
    <w:docVar w:name="LW_REF.II.NEW.CP_YEAR" w:val="2025"/>
    <w:docVar w:name="LW_REF.INST.NEW" w:val="COM"/>
    <w:docVar w:name="LW_REF.INST.NEW_ADOPTED" w:val="final"/>
    <w:docVar w:name="LW_REF.INST.NEW_TEXT" w:val="(2025) 59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Ettepanek:"/>
    <w:docVar w:name="LW_SUPERTITRE" w:val="&lt;UNUSED&gt;"/>
    <w:docVar w:name="LW_TITRE.OBJ.CP" w:val="millega luuakse tuumaohutusalase koostöö ja dekomissioneerimise instrument ajavahemikuks 2028\u8211?2034 ning tunnistatakse kehtetuks määrused (Euratom) 2021/100 ja (Euratom) 2021/948"/>
    <w:docVar w:name="LW_TYPE.DOC.CP" w:val="NÕUKOGU MÄÄRUS,"/>
    <w:docVar w:name="LwApiVersions" w:val="LW4CoDe 1.24.5.0; LW 9.0, Build 20240221"/>
  </w:docVars>
  <w:rsids>
    <w:rsidRoot w:val="00BF22EA"/>
    <w:rsid w:val="0000314C"/>
    <w:rsid w:val="000260C4"/>
    <w:rsid w:val="00044957"/>
    <w:rsid w:val="00045355"/>
    <w:rsid w:val="00082F6E"/>
    <w:rsid w:val="000B1942"/>
    <w:rsid w:val="000F0CD5"/>
    <w:rsid w:val="001065F5"/>
    <w:rsid w:val="001238EF"/>
    <w:rsid w:val="00156926"/>
    <w:rsid w:val="001623E2"/>
    <w:rsid w:val="00197613"/>
    <w:rsid w:val="001B23E9"/>
    <w:rsid w:val="001C0C9B"/>
    <w:rsid w:val="001D0FDF"/>
    <w:rsid w:val="001F6AF7"/>
    <w:rsid w:val="00203F68"/>
    <w:rsid w:val="002147E5"/>
    <w:rsid w:val="00223758"/>
    <w:rsid w:val="00231B2A"/>
    <w:rsid w:val="00233DC7"/>
    <w:rsid w:val="00247779"/>
    <w:rsid w:val="00285773"/>
    <w:rsid w:val="00285AC0"/>
    <w:rsid w:val="00285BEE"/>
    <w:rsid w:val="0029533F"/>
    <w:rsid w:val="002B10C0"/>
    <w:rsid w:val="002B30AF"/>
    <w:rsid w:val="002C112F"/>
    <w:rsid w:val="002D4F47"/>
    <w:rsid w:val="002D53CF"/>
    <w:rsid w:val="002E629B"/>
    <w:rsid w:val="002F15A9"/>
    <w:rsid w:val="002F53F5"/>
    <w:rsid w:val="00306852"/>
    <w:rsid w:val="0033344A"/>
    <w:rsid w:val="00337493"/>
    <w:rsid w:val="00352063"/>
    <w:rsid w:val="00393577"/>
    <w:rsid w:val="003A1EF9"/>
    <w:rsid w:val="003A6B07"/>
    <w:rsid w:val="003E6ABB"/>
    <w:rsid w:val="00403DE2"/>
    <w:rsid w:val="00406E62"/>
    <w:rsid w:val="0042648E"/>
    <w:rsid w:val="004608BF"/>
    <w:rsid w:val="004902A0"/>
    <w:rsid w:val="004936D2"/>
    <w:rsid w:val="004B3395"/>
    <w:rsid w:val="004C07E9"/>
    <w:rsid w:val="004E243D"/>
    <w:rsid w:val="004F0E99"/>
    <w:rsid w:val="004F411B"/>
    <w:rsid w:val="00504598"/>
    <w:rsid w:val="0050647F"/>
    <w:rsid w:val="00507683"/>
    <w:rsid w:val="0053021C"/>
    <w:rsid w:val="00554997"/>
    <w:rsid w:val="00566169"/>
    <w:rsid w:val="005665EB"/>
    <w:rsid w:val="00577F34"/>
    <w:rsid w:val="005A07DF"/>
    <w:rsid w:val="005A0C05"/>
    <w:rsid w:val="005A28F0"/>
    <w:rsid w:val="005B1EB6"/>
    <w:rsid w:val="005B33D0"/>
    <w:rsid w:val="005D0518"/>
    <w:rsid w:val="005D1A3B"/>
    <w:rsid w:val="005D64E9"/>
    <w:rsid w:val="00626C17"/>
    <w:rsid w:val="0065089A"/>
    <w:rsid w:val="006927C8"/>
    <w:rsid w:val="006A0532"/>
    <w:rsid w:val="006B46C2"/>
    <w:rsid w:val="006B7B30"/>
    <w:rsid w:val="006C4068"/>
    <w:rsid w:val="006D24DA"/>
    <w:rsid w:val="006E0DCF"/>
    <w:rsid w:val="006F13A7"/>
    <w:rsid w:val="00716E62"/>
    <w:rsid w:val="00727B3E"/>
    <w:rsid w:val="00742A0E"/>
    <w:rsid w:val="00746C0A"/>
    <w:rsid w:val="00751CFC"/>
    <w:rsid w:val="00755F43"/>
    <w:rsid w:val="0077251C"/>
    <w:rsid w:val="00773331"/>
    <w:rsid w:val="007932EF"/>
    <w:rsid w:val="00797162"/>
    <w:rsid w:val="007B52CC"/>
    <w:rsid w:val="007C1A7C"/>
    <w:rsid w:val="007D3ED2"/>
    <w:rsid w:val="007E05B0"/>
    <w:rsid w:val="007E2EED"/>
    <w:rsid w:val="007F1AD2"/>
    <w:rsid w:val="00822AC9"/>
    <w:rsid w:val="00874D22"/>
    <w:rsid w:val="008A21A1"/>
    <w:rsid w:val="008A2914"/>
    <w:rsid w:val="008B1401"/>
    <w:rsid w:val="008C16D8"/>
    <w:rsid w:val="008D74EB"/>
    <w:rsid w:val="008E4D8E"/>
    <w:rsid w:val="00916070"/>
    <w:rsid w:val="00936985"/>
    <w:rsid w:val="0093781C"/>
    <w:rsid w:val="00952C0C"/>
    <w:rsid w:val="0097399D"/>
    <w:rsid w:val="00992237"/>
    <w:rsid w:val="00994F43"/>
    <w:rsid w:val="009B2A09"/>
    <w:rsid w:val="009E504F"/>
    <w:rsid w:val="009E513A"/>
    <w:rsid w:val="009E69DE"/>
    <w:rsid w:val="00A11854"/>
    <w:rsid w:val="00A302CA"/>
    <w:rsid w:val="00A41F9B"/>
    <w:rsid w:val="00A8669C"/>
    <w:rsid w:val="00AB54BF"/>
    <w:rsid w:val="00AB6E4D"/>
    <w:rsid w:val="00AC2B70"/>
    <w:rsid w:val="00AF4C37"/>
    <w:rsid w:val="00B30CF1"/>
    <w:rsid w:val="00B40C35"/>
    <w:rsid w:val="00B6577E"/>
    <w:rsid w:val="00B662D8"/>
    <w:rsid w:val="00B979C6"/>
    <w:rsid w:val="00BA0C92"/>
    <w:rsid w:val="00BB2022"/>
    <w:rsid w:val="00BD24D9"/>
    <w:rsid w:val="00BF0F66"/>
    <w:rsid w:val="00BF22EA"/>
    <w:rsid w:val="00C01FA9"/>
    <w:rsid w:val="00C1086D"/>
    <w:rsid w:val="00C12301"/>
    <w:rsid w:val="00C31FDC"/>
    <w:rsid w:val="00C34920"/>
    <w:rsid w:val="00C46C95"/>
    <w:rsid w:val="00C503BF"/>
    <w:rsid w:val="00C77716"/>
    <w:rsid w:val="00C8176F"/>
    <w:rsid w:val="00CA1FBC"/>
    <w:rsid w:val="00CC5CB8"/>
    <w:rsid w:val="00CF0E63"/>
    <w:rsid w:val="00D20381"/>
    <w:rsid w:val="00D318BB"/>
    <w:rsid w:val="00D406DB"/>
    <w:rsid w:val="00D64ABC"/>
    <w:rsid w:val="00D744E6"/>
    <w:rsid w:val="00DA49D1"/>
    <w:rsid w:val="00DB03A6"/>
    <w:rsid w:val="00DB155B"/>
    <w:rsid w:val="00DB51BC"/>
    <w:rsid w:val="00DB5C65"/>
    <w:rsid w:val="00DB63B0"/>
    <w:rsid w:val="00DC46BB"/>
    <w:rsid w:val="00DD1C8C"/>
    <w:rsid w:val="00DF0C91"/>
    <w:rsid w:val="00DF5FA5"/>
    <w:rsid w:val="00E00F2D"/>
    <w:rsid w:val="00E04082"/>
    <w:rsid w:val="00E14177"/>
    <w:rsid w:val="00E763AB"/>
    <w:rsid w:val="00EC6550"/>
    <w:rsid w:val="00ED382A"/>
    <w:rsid w:val="00EE1F90"/>
    <w:rsid w:val="00EE3DCF"/>
    <w:rsid w:val="00F11625"/>
    <w:rsid w:val="00F2788F"/>
    <w:rsid w:val="00F9004D"/>
    <w:rsid w:val="00FA5B5F"/>
    <w:rsid w:val="00FC3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4C113DC0"/>
  <w15:docId w15:val="{08A40280-962D-412F-81E0-4C6766F19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t-EE"/>
    </w:rPr>
  </w:style>
  <w:style w:type="paragraph" w:styleId="Heading1">
    <w:name w:val="heading 1"/>
    <w:basedOn w:val="Normal"/>
    <w:next w:val="Text1"/>
    <w:link w:val="Heading1Char"/>
    <w:uiPriority w:val="9"/>
    <w:qFormat/>
    <w:pPr>
      <w:keepNext/>
      <w:numPr>
        <w:numId w:val="4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9"/>
      </w:numPr>
      <w:outlineLvl w:val="6"/>
    </w:pPr>
    <w:rPr>
      <w:rFonts w:eastAsiaTheme="majorEastAsia"/>
      <w:iCs/>
    </w:rPr>
  </w:style>
  <w:style w:type="paragraph" w:styleId="Heading8">
    <w:name w:val="heading 8"/>
    <w:basedOn w:val="Normal"/>
    <w:next w:val="Normal"/>
    <w:link w:val="Heading8Char"/>
    <w:uiPriority w:val="9"/>
    <w:semiHidden/>
    <w:unhideWhenUsed/>
    <w:qFormat/>
    <w:rsid w:val="00BF22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22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BF22EA"/>
    <w:pPr>
      <w:numPr>
        <w:numId w:val="3"/>
      </w:numPr>
      <w:tabs>
        <w:tab w:val="num" w:pos="360"/>
      </w:tabs>
      <w:ind w:left="0" w:firstLine="0"/>
    </w:pPr>
    <w:rPr>
      <w:rFonts w:eastAsia="Times New Roman"/>
      <w:lang w:eastAsia="de-DE"/>
    </w:rPr>
  </w:style>
  <w:style w:type="paragraph" w:styleId="ListNumber">
    <w:name w:val="List Number"/>
    <w:basedOn w:val="Normal"/>
    <w:rsid w:val="00BF22EA"/>
    <w:pPr>
      <w:numPr>
        <w:numId w:val="7"/>
      </w:numPr>
    </w:pPr>
    <w:rPr>
      <w:rFonts w:eastAsia="Times New Roman"/>
      <w:lang w:eastAsia="de-DE"/>
    </w:rPr>
  </w:style>
  <w:style w:type="paragraph" w:customStyle="1" w:styleId="ListBullet1">
    <w:name w:val="List Bullet 1"/>
    <w:basedOn w:val="Normal"/>
    <w:rsid w:val="00BF22EA"/>
    <w:pPr>
      <w:numPr>
        <w:numId w:val="2"/>
      </w:numPr>
    </w:pPr>
    <w:rPr>
      <w:rFonts w:eastAsia="Times New Roman"/>
      <w:lang w:eastAsia="de-DE"/>
    </w:rPr>
  </w:style>
  <w:style w:type="paragraph" w:customStyle="1" w:styleId="ListDash">
    <w:name w:val="List Dash"/>
    <w:basedOn w:val="Normal"/>
    <w:rsid w:val="00BF22EA"/>
    <w:pPr>
      <w:numPr>
        <w:numId w:val="4"/>
      </w:numPr>
    </w:pPr>
    <w:rPr>
      <w:rFonts w:eastAsia="Times New Roman"/>
      <w:lang w:eastAsia="de-DE"/>
    </w:rPr>
  </w:style>
  <w:style w:type="paragraph" w:customStyle="1" w:styleId="ListDash1">
    <w:name w:val="List Dash 1"/>
    <w:basedOn w:val="Normal"/>
    <w:rsid w:val="00BF22EA"/>
    <w:pPr>
      <w:numPr>
        <w:numId w:val="5"/>
      </w:numPr>
    </w:pPr>
    <w:rPr>
      <w:rFonts w:eastAsia="Times New Roman"/>
      <w:lang w:eastAsia="de-DE"/>
    </w:rPr>
  </w:style>
  <w:style w:type="paragraph" w:customStyle="1" w:styleId="ListDash2">
    <w:name w:val="List Dash 2"/>
    <w:basedOn w:val="Normal"/>
    <w:rsid w:val="00BF22EA"/>
    <w:pPr>
      <w:numPr>
        <w:numId w:val="6"/>
      </w:numPr>
    </w:pPr>
    <w:rPr>
      <w:rFonts w:eastAsia="Times New Roman"/>
      <w:lang w:eastAsia="de-DE"/>
    </w:rPr>
  </w:style>
  <w:style w:type="paragraph" w:customStyle="1" w:styleId="ListNumberLevel2">
    <w:name w:val="List Number (Level 2)"/>
    <w:basedOn w:val="Normal"/>
    <w:rsid w:val="00BF22EA"/>
    <w:pPr>
      <w:numPr>
        <w:ilvl w:val="1"/>
        <w:numId w:val="7"/>
      </w:numPr>
    </w:pPr>
    <w:rPr>
      <w:rFonts w:eastAsia="Times New Roman"/>
      <w:lang w:eastAsia="de-DE"/>
    </w:rPr>
  </w:style>
  <w:style w:type="paragraph" w:customStyle="1" w:styleId="ListNumberLevel3">
    <w:name w:val="List Number (Level 3)"/>
    <w:basedOn w:val="Normal"/>
    <w:rsid w:val="00BF22EA"/>
    <w:pPr>
      <w:numPr>
        <w:ilvl w:val="2"/>
        <w:numId w:val="7"/>
      </w:numPr>
    </w:pPr>
    <w:rPr>
      <w:rFonts w:eastAsia="Times New Roman"/>
      <w:lang w:eastAsia="de-DE"/>
    </w:rPr>
  </w:style>
  <w:style w:type="paragraph" w:customStyle="1" w:styleId="ListNumberLevel4">
    <w:name w:val="List Number (Level 4)"/>
    <w:basedOn w:val="Normal"/>
    <w:rsid w:val="00BF22EA"/>
    <w:pPr>
      <w:numPr>
        <w:ilvl w:val="3"/>
        <w:numId w:val="7"/>
      </w:numPr>
    </w:pPr>
    <w:rPr>
      <w:rFonts w:eastAsia="Times New Roman"/>
      <w:lang w:eastAsia="de-DE"/>
    </w:rPr>
  </w:style>
  <w:style w:type="table" w:styleId="TableGrid">
    <w:name w:val="Table Grid"/>
    <w:basedOn w:val="TableNormal"/>
    <w:rsid w:val="00BF22EA"/>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F22EA"/>
    <w:rPr>
      <w:color w:val="0000FF"/>
      <w:u w:val="single"/>
    </w:rPr>
  </w:style>
  <w:style w:type="paragraph" w:styleId="ListBullet">
    <w:name w:val="List Bullet"/>
    <w:basedOn w:val="Normal"/>
    <w:rsid w:val="00BF22EA"/>
    <w:pPr>
      <w:numPr>
        <w:numId w:val="8"/>
      </w:numPr>
    </w:pPr>
    <w:rPr>
      <w:rFonts w:eastAsia="Times New Roman"/>
      <w:lang w:eastAsia="en-GB"/>
    </w:rPr>
  </w:style>
  <w:style w:type="paragraph" w:styleId="ListBullet2">
    <w:name w:val="List Bullet 2"/>
    <w:basedOn w:val="Normal"/>
    <w:rsid w:val="00BF22EA"/>
    <w:pPr>
      <w:numPr>
        <w:numId w:val="9"/>
      </w:numPr>
    </w:pPr>
    <w:rPr>
      <w:rFonts w:eastAsia="Times New Roman"/>
      <w:lang w:eastAsia="en-GB"/>
    </w:rPr>
  </w:style>
  <w:style w:type="paragraph" w:styleId="ListBullet3">
    <w:name w:val="List Bullet 3"/>
    <w:basedOn w:val="Normal"/>
    <w:rsid w:val="00BF22EA"/>
    <w:pPr>
      <w:numPr>
        <w:numId w:val="10"/>
      </w:numPr>
    </w:pPr>
    <w:rPr>
      <w:rFonts w:eastAsia="Times New Roman"/>
      <w:lang w:eastAsia="en-GB"/>
    </w:rPr>
  </w:style>
  <w:style w:type="paragraph" w:styleId="ListNumber2">
    <w:name w:val="List Number 2"/>
    <w:basedOn w:val="Normal"/>
    <w:rsid w:val="00BF22EA"/>
    <w:pPr>
      <w:numPr>
        <w:numId w:val="14"/>
      </w:numPr>
    </w:pPr>
    <w:rPr>
      <w:rFonts w:eastAsia="Times New Roman"/>
      <w:lang w:eastAsia="en-GB"/>
    </w:rPr>
  </w:style>
  <w:style w:type="paragraph" w:styleId="ListNumber3">
    <w:name w:val="List Number 3"/>
    <w:basedOn w:val="Normal"/>
    <w:rsid w:val="00BF22EA"/>
    <w:pPr>
      <w:numPr>
        <w:numId w:val="15"/>
      </w:numPr>
    </w:pPr>
    <w:rPr>
      <w:rFonts w:eastAsia="Times New Roman"/>
      <w:lang w:eastAsia="en-GB"/>
    </w:rPr>
  </w:style>
  <w:style w:type="paragraph" w:styleId="ListNumber4">
    <w:name w:val="List Number 4"/>
    <w:basedOn w:val="Normal"/>
    <w:rsid w:val="00BF22EA"/>
    <w:pPr>
      <w:numPr>
        <w:numId w:val="16"/>
      </w:numPr>
    </w:pPr>
    <w:rPr>
      <w:rFonts w:eastAsia="Times New Roman"/>
      <w:lang w:eastAsia="en-GB"/>
    </w:rPr>
  </w:style>
  <w:style w:type="paragraph" w:customStyle="1" w:styleId="ListDash3">
    <w:name w:val="List Dash 3"/>
    <w:basedOn w:val="Normal"/>
    <w:rsid w:val="00BF22EA"/>
    <w:pPr>
      <w:numPr>
        <w:numId w:val="11"/>
      </w:numPr>
    </w:pPr>
    <w:rPr>
      <w:rFonts w:eastAsia="Times New Roman"/>
      <w:lang w:eastAsia="en-GB"/>
    </w:rPr>
  </w:style>
  <w:style w:type="paragraph" w:customStyle="1" w:styleId="ListDash4">
    <w:name w:val="List Dash 4"/>
    <w:basedOn w:val="Normal"/>
    <w:rsid w:val="00BF22EA"/>
    <w:pPr>
      <w:numPr>
        <w:numId w:val="12"/>
      </w:numPr>
    </w:pPr>
    <w:rPr>
      <w:rFonts w:eastAsia="Times New Roman"/>
      <w:lang w:eastAsia="en-GB"/>
    </w:rPr>
  </w:style>
  <w:style w:type="paragraph" w:customStyle="1" w:styleId="ListNumber1">
    <w:name w:val="List Number 1"/>
    <w:basedOn w:val="Text1"/>
    <w:rsid w:val="00BF22EA"/>
    <w:pPr>
      <w:numPr>
        <w:numId w:val="13"/>
      </w:numPr>
    </w:pPr>
    <w:rPr>
      <w:rFonts w:eastAsia="Times New Roman"/>
      <w:lang w:eastAsia="en-GB"/>
    </w:rPr>
  </w:style>
  <w:style w:type="paragraph" w:customStyle="1" w:styleId="ListNumber1Level2">
    <w:name w:val="List Number 1 (Level 2)"/>
    <w:basedOn w:val="Text1"/>
    <w:rsid w:val="00BF22EA"/>
    <w:pPr>
      <w:numPr>
        <w:ilvl w:val="1"/>
        <w:numId w:val="13"/>
      </w:numPr>
    </w:pPr>
    <w:rPr>
      <w:rFonts w:eastAsia="Times New Roman"/>
      <w:lang w:eastAsia="en-GB"/>
    </w:rPr>
  </w:style>
  <w:style w:type="paragraph" w:customStyle="1" w:styleId="ListNumber2Level2">
    <w:name w:val="List Number 2 (Level 2)"/>
    <w:basedOn w:val="Text2"/>
    <w:rsid w:val="00BF22EA"/>
    <w:pPr>
      <w:numPr>
        <w:ilvl w:val="1"/>
        <w:numId w:val="14"/>
      </w:numPr>
    </w:pPr>
    <w:rPr>
      <w:rFonts w:eastAsia="Times New Roman"/>
      <w:lang w:eastAsia="en-GB"/>
    </w:rPr>
  </w:style>
  <w:style w:type="paragraph" w:customStyle="1" w:styleId="ListNumber3Level2">
    <w:name w:val="List Number 3 (Level 2)"/>
    <w:basedOn w:val="Text3"/>
    <w:rsid w:val="00BF22EA"/>
    <w:pPr>
      <w:numPr>
        <w:ilvl w:val="1"/>
        <w:numId w:val="15"/>
      </w:numPr>
    </w:pPr>
    <w:rPr>
      <w:rFonts w:eastAsia="Times New Roman"/>
      <w:lang w:eastAsia="en-GB"/>
    </w:rPr>
  </w:style>
  <w:style w:type="paragraph" w:customStyle="1" w:styleId="ListNumber4Level2">
    <w:name w:val="List Number 4 (Level 2)"/>
    <w:basedOn w:val="Text4"/>
    <w:rsid w:val="00BF22EA"/>
    <w:pPr>
      <w:numPr>
        <w:ilvl w:val="1"/>
        <w:numId w:val="16"/>
      </w:numPr>
    </w:pPr>
    <w:rPr>
      <w:rFonts w:eastAsia="Times New Roman"/>
      <w:lang w:eastAsia="en-GB"/>
    </w:rPr>
  </w:style>
  <w:style w:type="paragraph" w:customStyle="1" w:styleId="ListNumber1Level3">
    <w:name w:val="List Number 1 (Level 3)"/>
    <w:basedOn w:val="Text1"/>
    <w:rsid w:val="00BF22EA"/>
    <w:pPr>
      <w:numPr>
        <w:ilvl w:val="2"/>
        <w:numId w:val="13"/>
      </w:numPr>
    </w:pPr>
    <w:rPr>
      <w:rFonts w:eastAsia="Times New Roman"/>
      <w:lang w:eastAsia="en-GB"/>
    </w:rPr>
  </w:style>
  <w:style w:type="paragraph" w:customStyle="1" w:styleId="ListNumber2Level3">
    <w:name w:val="List Number 2 (Level 3)"/>
    <w:basedOn w:val="Text2"/>
    <w:rsid w:val="00BF22EA"/>
    <w:pPr>
      <w:numPr>
        <w:ilvl w:val="2"/>
        <w:numId w:val="14"/>
      </w:numPr>
    </w:pPr>
    <w:rPr>
      <w:rFonts w:eastAsia="Times New Roman"/>
      <w:lang w:eastAsia="en-GB"/>
    </w:rPr>
  </w:style>
  <w:style w:type="paragraph" w:customStyle="1" w:styleId="ListNumber3Level3">
    <w:name w:val="List Number 3 (Level 3)"/>
    <w:basedOn w:val="Text3"/>
    <w:rsid w:val="00BF22EA"/>
    <w:pPr>
      <w:numPr>
        <w:ilvl w:val="2"/>
        <w:numId w:val="15"/>
      </w:numPr>
    </w:pPr>
    <w:rPr>
      <w:rFonts w:eastAsia="Times New Roman"/>
      <w:lang w:eastAsia="en-GB"/>
    </w:rPr>
  </w:style>
  <w:style w:type="paragraph" w:customStyle="1" w:styleId="ListNumber4Level3">
    <w:name w:val="List Number 4 (Level 3)"/>
    <w:basedOn w:val="Text4"/>
    <w:rsid w:val="00BF22EA"/>
    <w:pPr>
      <w:numPr>
        <w:ilvl w:val="2"/>
        <w:numId w:val="16"/>
      </w:numPr>
    </w:pPr>
    <w:rPr>
      <w:rFonts w:eastAsia="Times New Roman"/>
      <w:lang w:eastAsia="en-GB"/>
    </w:rPr>
  </w:style>
  <w:style w:type="paragraph" w:customStyle="1" w:styleId="ListNumber1Level4">
    <w:name w:val="List Number 1 (Level 4)"/>
    <w:basedOn w:val="Text1"/>
    <w:rsid w:val="00BF22EA"/>
    <w:pPr>
      <w:numPr>
        <w:ilvl w:val="3"/>
        <w:numId w:val="13"/>
      </w:numPr>
    </w:pPr>
    <w:rPr>
      <w:rFonts w:eastAsia="Times New Roman"/>
      <w:lang w:eastAsia="en-GB"/>
    </w:rPr>
  </w:style>
  <w:style w:type="paragraph" w:customStyle="1" w:styleId="ListNumber2Level4">
    <w:name w:val="List Number 2 (Level 4)"/>
    <w:basedOn w:val="Text2"/>
    <w:rsid w:val="00BF22EA"/>
    <w:pPr>
      <w:numPr>
        <w:ilvl w:val="3"/>
        <w:numId w:val="14"/>
      </w:numPr>
    </w:pPr>
    <w:rPr>
      <w:rFonts w:eastAsia="Times New Roman"/>
      <w:lang w:eastAsia="en-GB"/>
    </w:rPr>
  </w:style>
  <w:style w:type="paragraph" w:customStyle="1" w:styleId="ListNumber3Level4">
    <w:name w:val="List Number 3 (Level 4)"/>
    <w:basedOn w:val="Text3"/>
    <w:rsid w:val="00BF22EA"/>
    <w:pPr>
      <w:numPr>
        <w:ilvl w:val="3"/>
        <w:numId w:val="15"/>
      </w:numPr>
    </w:pPr>
    <w:rPr>
      <w:rFonts w:eastAsia="Times New Roman"/>
      <w:lang w:eastAsia="en-GB"/>
    </w:rPr>
  </w:style>
  <w:style w:type="paragraph" w:customStyle="1" w:styleId="ListNumber4Level4">
    <w:name w:val="List Number 4 (Level 4)"/>
    <w:basedOn w:val="Text4"/>
    <w:rsid w:val="00BF22EA"/>
    <w:pPr>
      <w:numPr>
        <w:ilvl w:val="3"/>
        <w:numId w:val="16"/>
      </w:numPr>
    </w:pPr>
    <w:rPr>
      <w:rFonts w:eastAsia="Times New Roman"/>
      <w:lang w:eastAsia="en-GB"/>
    </w:rPr>
  </w:style>
  <w:style w:type="paragraph" w:customStyle="1" w:styleId="Annexetitreacte">
    <w:name w:val="Annexe titre (acte)"/>
    <w:basedOn w:val="Normal"/>
    <w:next w:val="Normal"/>
    <w:rsid w:val="00BF22EA"/>
    <w:pPr>
      <w:jc w:val="center"/>
    </w:pPr>
    <w:rPr>
      <w:rFonts w:eastAsia="Times New Roman"/>
      <w:b/>
      <w:u w:val="single"/>
      <w:lang w:eastAsia="en-GB"/>
    </w:rPr>
  </w:style>
  <w:style w:type="paragraph" w:customStyle="1" w:styleId="Annexetitreexposglobal">
    <w:name w:val="Annexe titre (exposé global)"/>
    <w:basedOn w:val="Normal"/>
    <w:next w:val="Normal"/>
    <w:rsid w:val="00BF22EA"/>
    <w:pPr>
      <w:jc w:val="center"/>
    </w:pPr>
    <w:rPr>
      <w:rFonts w:eastAsia="Times New Roman"/>
      <w:b/>
      <w:u w:val="single"/>
      <w:lang w:eastAsia="en-GB"/>
    </w:rPr>
  </w:style>
  <w:style w:type="paragraph" w:customStyle="1" w:styleId="Annexetitrefichefinacte">
    <w:name w:val="Annexe titre (fiche fin. acte)"/>
    <w:basedOn w:val="Normal"/>
    <w:next w:val="Normal"/>
    <w:rsid w:val="00BF22EA"/>
    <w:pPr>
      <w:jc w:val="center"/>
    </w:pPr>
    <w:rPr>
      <w:rFonts w:eastAsia="Times New Roman"/>
      <w:b/>
      <w:u w:val="single"/>
      <w:lang w:eastAsia="en-GB"/>
    </w:rPr>
  </w:style>
  <w:style w:type="paragraph" w:customStyle="1" w:styleId="Annexetitrefichefinglobale">
    <w:name w:val="Annexe titre (fiche fin. globale)"/>
    <w:basedOn w:val="Normal"/>
    <w:next w:val="Normal"/>
    <w:rsid w:val="00BF22EA"/>
    <w:pPr>
      <w:jc w:val="center"/>
    </w:pPr>
    <w:rPr>
      <w:rFonts w:eastAsia="Times New Roman"/>
      <w:b/>
      <w:u w:val="single"/>
      <w:lang w:eastAsia="en-GB"/>
    </w:rPr>
  </w:style>
  <w:style w:type="paragraph" w:customStyle="1" w:styleId="Annexetitreglobale">
    <w:name w:val="Annexe titre (globale)"/>
    <w:basedOn w:val="Normal"/>
    <w:next w:val="Normal"/>
    <w:rsid w:val="00BF22EA"/>
    <w:pPr>
      <w:jc w:val="center"/>
    </w:pPr>
    <w:rPr>
      <w:rFonts w:eastAsia="Times New Roman"/>
      <w:b/>
      <w:u w:val="single"/>
      <w:lang w:eastAsia="en-GB"/>
    </w:rPr>
  </w:style>
  <w:style w:type="paragraph" w:customStyle="1" w:styleId="Exposdesmotifstitreglobal">
    <w:name w:val="Exposé des motifs titre (global)"/>
    <w:basedOn w:val="Normal"/>
    <w:next w:val="Normal"/>
    <w:rsid w:val="00BF22EA"/>
    <w:pPr>
      <w:jc w:val="center"/>
    </w:pPr>
    <w:rPr>
      <w:rFonts w:eastAsia="Times New Roman"/>
      <w:b/>
      <w:u w:val="single"/>
      <w:lang w:eastAsia="en-GB"/>
    </w:rPr>
  </w:style>
  <w:style w:type="paragraph" w:customStyle="1" w:styleId="Langueoriginale">
    <w:name w:val="Langue originale"/>
    <w:basedOn w:val="Normal"/>
    <w:rsid w:val="00BF22EA"/>
    <w:pPr>
      <w:spacing w:before="360"/>
      <w:jc w:val="center"/>
    </w:pPr>
    <w:rPr>
      <w:rFonts w:eastAsia="Times New Roman"/>
      <w:caps/>
      <w:lang w:eastAsia="en-GB"/>
    </w:rPr>
  </w:style>
  <w:style w:type="paragraph" w:customStyle="1" w:styleId="Phrasefinale">
    <w:name w:val="Phrase finale"/>
    <w:basedOn w:val="Normal"/>
    <w:next w:val="Normal"/>
    <w:rsid w:val="00BF22EA"/>
    <w:pPr>
      <w:spacing w:before="360" w:after="0"/>
      <w:jc w:val="center"/>
    </w:pPr>
    <w:rPr>
      <w:rFonts w:eastAsia="Times New Roman"/>
      <w:lang w:eastAsia="en-GB"/>
    </w:rPr>
  </w:style>
  <w:style w:type="paragraph" w:customStyle="1" w:styleId="Prliminairetitre">
    <w:name w:val="Préliminaire titre"/>
    <w:basedOn w:val="Normal"/>
    <w:next w:val="Normal"/>
    <w:rsid w:val="00BF22EA"/>
    <w:pPr>
      <w:spacing w:before="360" w:after="360"/>
      <w:jc w:val="center"/>
    </w:pPr>
    <w:rPr>
      <w:rFonts w:eastAsia="Times New Roman"/>
      <w:b/>
      <w:lang w:eastAsia="en-GB"/>
    </w:rPr>
  </w:style>
  <w:style w:type="paragraph" w:customStyle="1" w:styleId="Prliminairetype">
    <w:name w:val="Préliminaire type"/>
    <w:basedOn w:val="Normal"/>
    <w:next w:val="Normal"/>
    <w:rsid w:val="00BF22EA"/>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BF22EA"/>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BF22EA"/>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BF22EA"/>
    <w:pPr>
      <w:spacing w:before="0" w:after="0"/>
      <w:ind w:left="5103"/>
      <w:jc w:val="left"/>
    </w:pPr>
    <w:rPr>
      <w:rFonts w:eastAsia="Times New Roman"/>
      <w:lang w:eastAsia="en-GB"/>
    </w:rPr>
  </w:style>
  <w:style w:type="paragraph" w:customStyle="1" w:styleId="Sous-titreobjetprliminaire">
    <w:name w:val="Sous-titre objet (préliminaire)"/>
    <w:basedOn w:val="Normal"/>
    <w:rsid w:val="00BF22EA"/>
    <w:pPr>
      <w:spacing w:before="0" w:after="0"/>
      <w:jc w:val="center"/>
    </w:pPr>
    <w:rPr>
      <w:rFonts w:eastAsia="Times New Roman"/>
      <w:b/>
      <w:lang w:eastAsia="en-GB"/>
    </w:rPr>
  </w:style>
  <w:style w:type="paragraph" w:customStyle="1" w:styleId="Statutprliminaire">
    <w:name w:val="Statut (préliminaire)"/>
    <w:basedOn w:val="Normal"/>
    <w:next w:val="Normal"/>
    <w:rsid w:val="00BF22EA"/>
    <w:pPr>
      <w:spacing w:before="360" w:after="0"/>
      <w:jc w:val="center"/>
    </w:pPr>
    <w:rPr>
      <w:rFonts w:eastAsia="Times New Roman"/>
      <w:lang w:eastAsia="en-GB"/>
    </w:rPr>
  </w:style>
  <w:style w:type="paragraph" w:customStyle="1" w:styleId="Titreobjetprliminaire">
    <w:name w:val="Titre objet (préliminaire)"/>
    <w:basedOn w:val="Normal"/>
    <w:next w:val="Normal"/>
    <w:rsid w:val="00BF22EA"/>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BF22EA"/>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BF22EA"/>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BF22EA"/>
    <w:pPr>
      <w:jc w:val="center"/>
    </w:pPr>
    <w:rPr>
      <w:rFonts w:eastAsia="Times New Roman"/>
      <w:b/>
      <w:u w:val="single"/>
      <w:lang w:eastAsia="en-GB"/>
    </w:rPr>
  </w:style>
  <w:style w:type="paragraph" w:customStyle="1" w:styleId="Fichefinanciretravailtitre">
    <w:name w:val="Fiche financière (travail) titre"/>
    <w:basedOn w:val="Normal"/>
    <w:next w:val="Normal"/>
    <w:rsid w:val="00BF22EA"/>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BF22EA"/>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BF22EA"/>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BF22EA"/>
    <w:pPr>
      <w:jc w:val="center"/>
    </w:pPr>
    <w:rPr>
      <w:rFonts w:eastAsia="Times New Roman"/>
      <w:b/>
      <w:u w:val="single"/>
      <w:lang w:eastAsia="en-GB"/>
    </w:rPr>
  </w:style>
  <w:style w:type="character" w:styleId="CommentReference">
    <w:name w:val="annotation reference"/>
    <w:rsid w:val="00BF22EA"/>
    <w:rPr>
      <w:rFonts w:cs="Times New Roman"/>
      <w:sz w:val="16"/>
      <w:szCs w:val="16"/>
    </w:rPr>
  </w:style>
  <w:style w:type="paragraph" w:styleId="CommentText">
    <w:name w:val="annotation text"/>
    <w:basedOn w:val="Normal"/>
    <w:link w:val="CommentTextChar"/>
    <w:rsid w:val="00BF22EA"/>
    <w:rPr>
      <w:rFonts w:eastAsia="Times New Roman"/>
      <w:sz w:val="20"/>
      <w:szCs w:val="20"/>
      <w:lang w:eastAsia="en-GB"/>
    </w:rPr>
  </w:style>
  <w:style w:type="character" w:customStyle="1" w:styleId="CommentTextChar">
    <w:name w:val="Comment Text Char"/>
    <w:basedOn w:val="DefaultParagraphFont"/>
    <w:link w:val="CommentText"/>
    <w:rsid w:val="00BF22EA"/>
    <w:rPr>
      <w:rFonts w:ascii="Times New Roman" w:eastAsia="Times New Roman" w:hAnsi="Times New Roman" w:cs="Times New Roman"/>
      <w:sz w:val="20"/>
      <w:szCs w:val="20"/>
      <w:lang w:val="et-EE" w:eastAsia="en-GB"/>
    </w:rPr>
  </w:style>
  <w:style w:type="paragraph" w:styleId="CommentSubject">
    <w:name w:val="annotation subject"/>
    <w:basedOn w:val="CommentText"/>
    <w:next w:val="CommentText"/>
    <w:link w:val="CommentSubjectChar"/>
    <w:rsid w:val="00BF22EA"/>
    <w:rPr>
      <w:b/>
      <w:bCs/>
    </w:rPr>
  </w:style>
  <w:style w:type="character" w:customStyle="1" w:styleId="CommentSubjectChar">
    <w:name w:val="Comment Subject Char"/>
    <w:basedOn w:val="CommentTextChar"/>
    <w:link w:val="CommentSubject"/>
    <w:rsid w:val="00BF22EA"/>
    <w:rPr>
      <w:rFonts w:ascii="Times New Roman" w:eastAsia="Times New Roman" w:hAnsi="Times New Roman" w:cs="Times New Roman"/>
      <w:b/>
      <w:bCs/>
      <w:sz w:val="20"/>
      <w:szCs w:val="20"/>
      <w:lang w:val="et-EE" w:eastAsia="en-GB"/>
    </w:rPr>
  </w:style>
  <w:style w:type="paragraph" w:styleId="BalloonText">
    <w:name w:val="Balloon Text"/>
    <w:basedOn w:val="Normal"/>
    <w:link w:val="BalloonTextChar"/>
    <w:rsid w:val="00BF22EA"/>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BF22EA"/>
    <w:rPr>
      <w:rFonts w:ascii="Tahoma" w:eastAsia="Times New Roman" w:hAnsi="Tahoma" w:cs="Tahoma"/>
      <w:sz w:val="16"/>
      <w:szCs w:val="16"/>
      <w:lang w:val="et-EE" w:eastAsia="en-GB"/>
    </w:rPr>
  </w:style>
  <w:style w:type="paragraph" w:styleId="Caption">
    <w:name w:val="caption"/>
    <w:basedOn w:val="Normal"/>
    <w:next w:val="Normal"/>
    <w:qFormat/>
    <w:rsid w:val="00BF22EA"/>
    <w:rPr>
      <w:rFonts w:eastAsia="Times New Roman"/>
      <w:b/>
      <w:bCs/>
      <w:sz w:val="20"/>
      <w:szCs w:val="20"/>
      <w:lang w:eastAsia="en-GB"/>
    </w:rPr>
  </w:style>
  <w:style w:type="paragraph" w:styleId="TableofFigures">
    <w:name w:val="table of figures"/>
    <w:basedOn w:val="Normal"/>
    <w:next w:val="Normal"/>
    <w:rsid w:val="00BF22EA"/>
    <w:rPr>
      <w:rFonts w:eastAsia="Times New Roman"/>
      <w:lang w:eastAsia="en-GB"/>
    </w:rPr>
  </w:style>
  <w:style w:type="character" w:styleId="PageNumber">
    <w:name w:val="page number"/>
    <w:rsid w:val="00BF22EA"/>
  </w:style>
  <w:style w:type="character" w:customStyle="1" w:styleId="tw4winMark">
    <w:name w:val="tw4winMark"/>
    <w:rsid w:val="00BF22EA"/>
    <w:rPr>
      <w:vanish/>
      <w:color w:val="800080"/>
      <w:vertAlign w:val="subscript"/>
    </w:rPr>
  </w:style>
  <w:style w:type="character" w:styleId="FollowedHyperlink">
    <w:name w:val="FollowedHyperlink"/>
    <w:rsid w:val="00BF22EA"/>
    <w:rPr>
      <w:color w:val="800080"/>
      <w:u w:val="single"/>
    </w:rPr>
  </w:style>
  <w:style w:type="paragraph" w:customStyle="1" w:styleId="Sous-titreobjet">
    <w:name w:val="Sous-titre objet"/>
    <w:basedOn w:val="Normal"/>
    <w:rsid w:val="00BF22EA"/>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BF22EA"/>
  </w:style>
  <w:style w:type="paragraph" w:styleId="Revision">
    <w:name w:val="Revision"/>
    <w:hidden/>
    <w:uiPriority w:val="99"/>
    <w:semiHidden/>
    <w:rsid w:val="00BF22EA"/>
    <w:rPr>
      <w:rFonts w:ascii="Calibri" w:eastAsia="Calibri" w:hAnsi="Calibri" w:cs="Times New Roman"/>
      <w:sz w:val="24"/>
      <w:lang w:eastAsia="en-GB"/>
    </w:rPr>
  </w:style>
  <w:style w:type="paragraph" w:customStyle="1" w:styleId="FooterCoverPage">
    <w:name w:val="Footer Cover Page"/>
    <w:basedOn w:val="Normal"/>
    <w:link w:val="FooterCoverPageChar"/>
    <w:rsid w:val="00BF22EA"/>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BF22EA"/>
    <w:rPr>
      <w:rFonts w:ascii="Times New Roman" w:hAnsi="Times New Roman" w:cs="Times New Roman"/>
      <w:b/>
      <w:sz w:val="28"/>
      <w:lang w:val="et-EE"/>
    </w:rPr>
  </w:style>
  <w:style w:type="character" w:customStyle="1" w:styleId="FooterCoverPageChar">
    <w:name w:val="Footer Cover Page Char"/>
    <w:link w:val="FooterCoverPage"/>
    <w:rsid w:val="00BF22EA"/>
    <w:rPr>
      <w:rFonts w:ascii="Times New Roman" w:eastAsia="Calibri" w:hAnsi="Times New Roman" w:cs="Times New Roman"/>
      <w:sz w:val="24"/>
      <w:lang w:val="et-EE" w:eastAsia="en-GB"/>
    </w:rPr>
  </w:style>
  <w:style w:type="paragraph" w:customStyle="1" w:styleId="HeaderCoverPage">
    <w:name w:val="Header Cover Page"/>
    <w:basedOn w:val="Normal"/>
    <w:link w:val="HeaderCoverPageChar"/>
    <w:rsid w:val="00BF22EA"/>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BF22EA"/>
    <w:rPr>
      <w:rFonts w:ascii="Times New Roman" w:eastAsia="Calibri" w:hAnsi="Times New Roman" w:cs="Times New Roman"/>
      <w:sz w:val="24"/>
      <w:lang w:val="et-EE" w:eastAsia="en-GB"/>
    </w:rPr>
  </w:style>
  <w:style w:type="character" w:customStyle="1" w:styleId="FooterSensitivityChar">
    <w:name w:val="Footer Sensitivity Char"/>
    <w:rsid w:val="00BF22EA"/>
    <w:rPr>
      <w:rFonts w:ascii="Times New Roman" w:hAnsi="Times New Roman" w:cs="Times New Roman"/>
      <w:b/>
      <w:sz w:val="32"/>
      <w:lang w:val="et-EE"/>
    </w:rPr>
  </w:style>
  <w:style w:type="character" w:customStyle="1" w:styleId="HeaderSensitivityChar">
    <w:name w:val="Header Sensitivity Char"/>
    <w:rsid w:val="00BF22EA"/>
    <w:rPr>
      <w:rFonts w:ascii="Times New Roman" w:hAnsi="Times New Roman" w:cs="Times New Roman"/>
      <w:b/>
      <w:sz w:val="32"/>
      <w:lang w:val="et-EE"/>
    </w:rPr>
  </w:style>
  <w:style w:type="character" w:customStyle="1" w:styleId="HeaderSensitivityRightChar">
    <w:name w:val="Header Sensitivity Right Char"/>
    <w:rsid w:val="00BF22EA"/>
    <w:rPr>
      <w:rFonts w:ascii="Times New Roman" w:hAnsi="Times New Roman" w:cs="Times New Roman"/>
      <w:sz w:val="28"/>
      <w:lang w:val="et-EE"/>
    </w:rPr>
  </w:style>
  <w:style w:type="paragraph" w:customStyle="1" w:styleId="LegalNumPar">
    <w:name w:val="LegalNumPar"/>
    <w:basedOn w:val="Normal"/>
    <w:rsid w:val="00BF22EA"/>
    <w:pPr>
      <w:numPr>
        <w:numId w:val="17"/>
      </w:numPr>
      <w:spacing w:line="360" w:lineRule="auto"/>
    </w:pPr>
    <w:rPr>
      <w:rFonts w:eastAsia="Times New Roman"/>
      <w:lang w:eastAsia="en-GB"/>
    </w:rPr>
  </w:style>
  <w:style w:type="paragraph" w:customStyle="1" w:styleId="LegalNumPar2">
    <w:name w:val="LegalNumPar2"/>
    <w:basedOn w:val="Normal"/>
    <w:rsid w:val="00BF22EA"/>
    <w:pPr>
      <w:numPr>
        <w:ilvl w:val="1"/>
        <w:numId w:val="17"/>
      </w:numPr>
      <w:spacing w:line="360" w:lineRule="auto"/>
    </w:pPr>
    <w:rPr>
      <w:rFonts w:eastAsia="Times New Roman"/>
      <w:lang w:eastAsia="en-GB"/>
    </w:rPr>
  </w:style>
  <w:style w:type="paragraph" w:customStyle="1" w:styleId="LegalNumPar3">
    <w:name w:val="LegalNumPar3"/>
    <w:basedOn w:val="Normal"/>
    <w:rsid w:val="00BF22EA"/>
    <w:pPr>
      <w:numPr>
        <w:ilvl w:val="2"/>
        <w:numId w:val="17"/>
      </w:numPr>
      <w:spacing w:line="360" w:lineRule="auto"/>
    </w:pPr>
    <w:rPr>
      <w:rFonts w:eastAsia="Times New Roman"/>
      <w:lang w:eastAsia="en-GB"/>
    </w:rPr>
  </w:style>
  <w:style w:type="paragraph" w:styleId="ListParagraph">
    <w:name w:val="List Paragraph"/>
    <w:aliases w:val="List Paragraph_Sections,Paragraphe EI,Paragraphe de liste1,EC,List_Paragraph,Multilevel para_II,List Paragraph1,Akapit z listą BS,Bullet1,Main numbered paragraph,Dot pt,F5 List Paragraph,No Spacing1,List Paragraph Char Char Char"/>
    <w:basedOn w:val="Normal"/>
    <w:link w:val="ListParagraphChar"/>
    <w:uiPriority w:val="34"/>
    <w:qFormat/>
    <w:rsid w:val="00BF22EA"/>
    <w:pPr>
      <w:ind w:left="720"/>
      <w:contextualSpacing/>
    </w:pPr>
    <w:rPr>
      <w:rFonts w:eastAsia="Times New Roman"/>
      <w:lang w:eastAsia="en-GB"/>
    </w:rPr>
  </w:style>
  <w:style w:type="character" w:customStyle="1" w:styleId="UnresolvedMention">
    <w:name w:val="Unresolved Mention"/>
    <w:basedOn w:val="DefaultParagraphFont"/>
    <w:uiPriority w:val="99"/>
    <w:semiHidden/>
    <w:unhideWhenUsed/>
    <w:rsid w:val="00BF22EA"/>
    <w:rPr>
      <w:color w:val="605E5C"/>
      <w:shd w:val="clear" w:color="auto" w:fill="E1DFDD"/>
    </w:rPr>
  </w:style>
  <w:style w:type="character" w:styleId="Strong">
    <w:name w:val="Strong"/>
    <w:basedOn w:val="DefaultParagraphFont"/>
    <w:qFormat/>
    <w:rsid w:val="00BF22EA"/>
    <w:rPr>
      <w:b/>
      <w:bCs/>
    </w:rPr>
  </w:style>
  <w:style w:type="character" w:styleId="Emphasis">
    <w:name w:val="Emphasis"/>
    <w:basedOn w:val="DefaultParagraphFont"/>
    <w:qFormat/>
    <w:rsid w:val="00BF22EA"/>
    <w:rPr>
      <w:i/>
      <w:iCs/>
    </w:rPr>
  </w:style>
  <w:style w:type="character" w:customStyle="1" w:styleId="Mention">
    <w:name w:val="Mention"/>
    <w:basedOn w:val="DefaultParagraphFont"/>
    <w:uiPriority w:val="99"/>
    <w:unhideWhenUsed/>
    <w:rsid w:val="00BF22EA"/>
    <w:rPr>
      <w:color w:val="2B579A"/>
      <w:shd w:val="clear" w:color="auto" w:fill="E1DFDD"/>
    </w:rPr>
  </w:style>
  <w:style w:type="character" w:customStyle="1" w:styleId="normaltextrun">
    <w:name w:val="normaltextrun"/>
    <w:basedOn w:val="DefaultParagraphFont"/>
    <w:rsid w:val="00BF22EA"/>
  </w:style>
  <w:style w:type="character" w:customStyle="1" w:styleId="eop">
    <w:name w:val="eop"/>
    <w:basedOn w:val="DefaultParagraphFont"/>
    <w:rsid w:val="00BF22EA"/>
  </w:style>
  <w:style w:type="character" w:customStyle="1" w:styleId="Heading8Char">
    <w:name w:val="Heading 8 Char"/>
    <w:basedOn w:val="DefaultParagraphFont"/>
    <w:link w:val="Heading8"/>
    <w:uiPriority w:val="9"/>
    <w:semiHidden/>
    <w:rsid w:val="00BF22EA"/>
    <w:rPr>
      <w:rFonts w:ascii="Times New Roman" w:eastAsiaTheme="majorEastAsia" w:hAnsi="Times New Roman" w:cstheme="majorBidi"/>
      <w:i/>
      <w:iCs/>
      <w:color w:val="272727" w:themeColor="text1" w:themeTint="D8"/>
      <w:sz w:val="24"/>
      <w:lang w:val="et-EE"/>
    </w:rPr>
  </w:style>
  <w:style w:type="character" w:customStyle="1" w:styleId="Heading9Char">
    <w:name w:val="Heading 9 Char"/>
    <w:basedOn w:val="DefaultParagraphFont"/>
    <w:link w:val="Heading9"/>
    <w:uiPriority w:val="9"/>
    <w:semiHidden/>
    <w:rsid w:val="00BF22EA"/>
    <w:rPr>
      <w:rFonts w:ascii="Times New Roman" w:eastAsiaTheme="majorEastAsia" w:hAnsi="Times New Roman" w:cstheme="majorBidi"/>
      <w:color w:val="272727" w:themeColor="text1" w:themeTint="D8"/>
      <w:sz w:val="24"/>
      <w:lang w:val="et-EE"/>
    </w:rPr>
  </w:style>
  <w:style w:type="paragraph" w:styleId="Title">
    <w:name w:val="Title"/>
    <w:basedOn w:val="Normal"/>
    <w:next w:val="Normal"/>
    <w:link w:val="TitleChar"/>
    <w:uiPriority w:val="10"/>
    <w:qFormat/>
    <w:rsid w:val="00BF22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22EA"/>
    <w:rPr>
      <w:rFonts w:asciiTheme="majorHAnsi" w:eastAsiaTheme="majorEastAsia" w:hAnsiTheme="majorHAnsi" w:cstheme="majorBidi"/>
      <w:spacing w:val="-10"/>
      <w:kern w:val="28"/>
      <w:sz w:val="56"/>
      <w:szCs w:val="56"/>
      <w:lang w:val="et-EE"/>
    </w:rPr>
  </w:style>
  <w:style w:type="paragraph" w:styleId="Subtitle">
    <w:name w:val="Subtitle"/>
    <w:basedOn w:val="Normal"/>
    <w:next w:val="Normal"/>
    <w:link w:val="SubtitleChar"/>
    <w:uiPriority w:val="11"/>
    <w:qFormat/>
    <w:rsid w:val="00BF22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22EA"/>
    <w:rPr>
      <w:rFonts w:ascii="Times New Roman" w:eastAsiaTheme="majorEastAsia" w:hAnsi="Times New Roman" w:cstheme="majorBidi"/>
      <w:color w:val="595959" w:themeColor="text1" w:themeTint="A6"/>
      <w:spacing w:val="15"/>
      <w:sz w:val="28"/>
      <w:szCs w:val="28"/>
      <w:lang w:val="et-EE"/>
    </w:rPr>
  </w:style>
  <w:style w:type="paragraph" w:styleId="Quote">
    <w:name w:val="Quote"/>
    <w:basedOn w:val="Normal"/>
    <w:next w:val="Normal"/>
    <w:link w:val="QuoteChar"/>
    <w:uiPriority w:val="29"/>
    <w:qFormat/>
    <w:rsid w:val="00BF22EA"/>
    <w:pPr>
      <w:spacing w:before="160"/>
      <w:jc w:val="center"/>
    </w:pPr>
    <w:rPr>
      <w:i/>
      <w:iCs/>
      <w:color w:val="404040" w:themeColor="text1" w:themeTint="BF"/>
    </w:rPr>
  </w:style>
  <w:style w:type="character" w:customStyle="1" w:styleId="QuoteChar">
    <w:name w:val="Quote Char"/>
    <w:basedOn w:val="DefaultParagraphFont"/>
    <w:link w:val="Quote"/>
    <w:uiPriority w:val="29"/>
    <w:rsid w:val="00BF22EA"/>
    <w:rPr>
      <w:rFonts w:ascii="Times New Roman" w:hAnsi="Times New Roman" w:cs="Times New Roman"/>
      <w:i/>
      <w:iCs/>
      <w:color w:val="404040" w:themeColor="text1" w:themeTint="BF"/>
      <w:sz w:val="24"/>
      <w:lang w:val="et-EE"/>
    </w:rPr>
  </w:style>
  <w:style w:type="character" w:styleId="IntenseEmphasis">
    <w:name w:val="Intense Emphasis"/>
    <w:basedOn w:val="DefaultParagraphFont"/>
    <w:uiPriority w:val="21"/>
    <w:qFormat/>
    <w:rsid w:val="00BF22EA"/>
    <w:rPr>
      <w:i/>
      <w:iCs/>
      <w:color w:val="365F91" w:themeColor="accent1" w:themeShade="BF"/>
    </w:rPr>
  </w:style>
  <w:style w:type="paragraph" w:styleId="IntenseQuote">
    <w:name w:val="Intense Quote"/>
    <w:basedOn w:val="Normal"/>
    <w:next w:val="Normal"/>
    <w:link w:val="IntenseQuoteChar"/>
    <w:uiPriority w:val="30"/>
    <w:qFormat/>
    <w:rsid w:val="00BF22E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F22EA"/>
    <w:rPr>
      <w:rFonts w:ascii="Times New Roman" w:hAnsi="Times New Roman" w:cs="Times New Roman"/>
      <w:i/>
      <w:iCs/>
      <w:color w:val="365F91" w:themeColor="accent1" w:themeShade="BF"/>
      <w:sz w:val="24"/>
      <w:lang w:val="et-EE"/>
    </w:rPr>
  </w:style>
  <w:style w:type="character" w:styleId="IntenseReference">
    <w:name w:val="Intense Reference"/>
    <w:basedOn w:val="DefaultParagraphFont"/>
    <w:uiPriority w:val="32"/>
    <w:qFormat/>
    <w:rsid w:val="00BF22EA"/>
    <w:rPr>
      <w:b/>
      <w:bCs/>
      <w:smallCaps/>
      <w:color w:val="365F91" w:themeColor="accent1" w:themeShade="BF"/>
      <w:spacing w:val="5"/>
    </w:rPr>
  </w:style>
  <w:style w:type="character" w:customStyle="1" w:styleId="Instructions">
    <w:name w:val="Instructions"/>
    <w:basedOn w:val="SubtleEmphasis"/>
    <w:uiPriority w:val="1"/>
    <w:qFormat/>
    <w:rsid w:val="00BF22EA"/>
    <w:rPr>
      <w:rFonts w:ascii="Times New Roman" w:eastAsia="Times New Roman" w:hAnsi="Times New Roman" w:cstheme="majorHAnsi" w:hint="default"/>
      <w:i/>
      <w:iCs/>
      <w:color w:val="008000"/>
      <w:kern w:val="0"/>
      <w:sz w:val="24"/>
      <w:szCs w:val="20"/>
      <w:lang w:val="et-EE" w:eastAsia="en-IE"/>
      <w14:ligatures w14:val="none"/>
    </w:rPr>
  </w:style>
  <w:style w:type="character" w:styleId="SubtleEmphasis">
    <w:name w:val="Subtle Emphasis"/>
    <w:basedOn w:val="DefaultParagraphFont"/>
    <w:uiPriority w:val="19"/>
    <w:qFormat/>
    <w:rsid w:val="00BF22EA"/>
    <w:rPr>
      <w:i/>
      <w:iCs/>
      <w:color w:val="404040" w:themeColor="text1" w:themeTint="BF"/>
    </w:rPr>
  </w:style>
  <w:style w:type="paragraph" w:customStyle="1" w:styleId="Titrechapitre">
    <w:name w:val="Titre chapitre"/>
    <w:basedOn w:val="Normal"/>
    <w:rsid w:val="00BF22EA"/>
    <w:pPr>
      <w:spacing w:line="276" w:lineRule="auto"/>
      <w:jc w:val="center"/>
    </w:pPr>
    <w:rPr>
      <w:i/>
      <w:iCs/>
    </w:rPr>
  </w:style>
  <w:style w:type="paragraph" w:customStyle="1" w:styleId="Point2number0">
    <w:name w:val="Point 2  (number)"/>
    <w:basedOn w:val="Point0number"/>
    <w:rsid w:val="00BF22EA"/>
    <w:pPr>
      <w:numPr>
        <w:numId w:val="0"/>
      </w:numPr>
    </w:pPr>
  </w:style>
  <w:style w:type="paragraph" w:customStyle="1" w:styleId="Point4number">
    <w:name w:val="Point 4 (number)"/>
    <w:basedOn w:val="ListParagraph"/>
    <w:rsid w:val="00BF22EA"/>
    <w:pPr>
      <w:numPr>
        <w:numId w:val="19"/>
      </w:numPr>
      <w:spacing w:line="276" w:lineRule="auto"/>
    </w:pPr>
  </w:style>
  <w:style w:type="paragraph" w:customStyle="1" w:styleId="Point5letter">
    <w:name w:val="Point 5 (letter)"/>
    <w:basedOn w:val="Point2letter"/>
    <w:rsid w:val="00BF22EA"/>
    <w:pPr>
      <w:numPr>
        <w:ilvl w:val="0"/>
        <w:numId w:val="0"/>
      </w:numPr>
      <w:ind w:left="567"/>
    </w:pPr>
  </w:style>
  <w:style w:type="paragraph" w:customStyle="1" w:styleId="Point6number">
    <w:name w:val="Point 6 (number)"/>
    <w:basedOn w:val="ListParagraph"/>
    <w:rsid w:val="00BF22EA"/>
    <w:pPr>
      <w:numPr>
        <w:numId w:val="20"/>
      </w:numPr>
    </w:pPr>
  </w:style>
  <w:style w:type="paragraph" w:customStyle="1" w:styleId="Point7number">
    <w:name w:val="Point 7 (number)"/>
    <w:basedOn w:val="Normal"/>
    <w:rsid w:val="00BF22EA"/>
    <w:pPr>
      <w:spacing w:before="0" w:after="160" w:line="276" w:lineRule="auto"/>
    </w:pPr>
  </w:style>
  <w:style w:type="paragraph" w:customStyle="1" w:styleId="Point8number">
    <w:name w:val="Point 8 (number)"/>
    <w:basedOn w:val="Point2number"/>
    <w:rsid w:val="00BF22EA"/>
    <w:pPr>
      <w:numPr>
        <w:ilvl w:val="0"/>
        <w:numId w:val="0"/>
      </w:numPr>
    </w:pPr>
  </w:style>
  <w:style w:type="paragraph" w:customStyle="1" w:styleId="-point6letter">
    <w:name w:val="-point 6 (letter)"/>
    <w:basedOn w:val="ListParagraph"/>
    <w:rsid w:val="00BF22EA"/>
    <w:pPr>
      <w:numPr>
        <w:numId w:val="21"/>
      </w:numPr>
      <w:spacing w:line="276" w:lineRule="auto"/>
    </w:pPr>
  </w:style>
  <w:style w:type="paragraph" w:customStyle="1" w:styleId="Point6letter">
    <w:name w:val="Point 6 (letter)"/>
    <w:basedOn w:val="Point4letter"/>
    <w:rsid w:val="00BF22EA"/>
    <w:pPr>
      <w:numPr>
        <w:ilvl w:val="0"/>
        <w:numId w:val="0"/>
      </w:numPr>
      <w:ind w:left="567"/>
    </w:pPr>
  </w:style>
  <w:style w:type="paragraph" w:customStyle="1" w:styleId="Point7letter">
    <w:name w:val="Point 7 (letter)"/>
    <w:basedOn w:val="Point6letter"/>
    <w:rsid w:val="00BF22EA"/>
  </w:style>
  <w:style w:type="paragraph" w:customStyle="1" w:styleId="Point8letter">
    <w:name w:val="Point 8 (letter)"/>
    <w:basedOn w:val="Point0letter"/>
    <w:rsid w:val="00BF22EA"/>
    <w:pPr>
      <w:numPr>
        <w:ilvl w:val="0"/>
        <w:numId w:val="0"/>
      </w:numPr>
    </w:pPr>
  </w:style>
  <w:style w:type="paragraph" w:customStyle="1" w:styleId="Point5number">
    <w:name w:val="Point 5 (number)"/>
    <w:basedOn w:val="Point6number"/>
    <w:rsid w:val="00BF22EA"/>
    <w:pPr>
      <w:ind w:left="360"/>
    </w:pPr>
  </w:style>
  <w:style w:type="paragraph" w:customStyle="1" w:styleId="Nomral">
    <w:name w:val="Nomral"/>
    <w:basedOn w:val="Point2number"/>
    <w:rsid w:val="00BF22EA"/>
    <w:pPr>
      <w:numPr>
        <w:ilvl w:val="0"/>
        <w:numId w:val="0"/>
      </w:numPr>
      <w:ind w:left="1984" w:hanging="567"/>
    </w:pPr>
  </w:style>
  <w:style w:type="paragraph" w:customStyle="1" w:styleId="Pointnumber">
    <w:name w:val="Point  (number)"/>
    <w:basedOn w:val="Point8number"/>
    <w:rsid w:val="00BF22EA"/>
  </w:style>
  <w:style w:type="paragraph" w:customStyle="1" w:styleId="Point7number0">
    <w:name w:val="Point (7) number"/>
    <w:basedOn w:val="Normal"/>
    <w:rsid w:val="00BF22EA"/>
  </w:style>
  <w:style w:type="paragraph" w:customStyle="1" w:styleId="CharCharChar1">
    <w:name w:val="Char Char Char1"/>
    <w:basedOn w:val="Normal"/>
    <w:link w:val="FootnoteReference"/>
    <w:uiPriority w:val="99"/>
    <w:rsid w:val="00BF22EA"/>
    <w:pPr>
      <w:spacing w:before="0" w:after="160" w:line="240" w:lineRule="exact"/>
      <w:jc w:val="left"/>
    </w:pPr>
    <w:rPr>
      <w:rFonts w:asciiTheme="minorHAnsi" w:hAnsiTheme="minorHAnsi" w:cstheme="minorBidi"/>
      <w:sz w:val="22"/>
      <w:vertAlign w:val="superscript"/>
    </w:rPr>
  </w:style>
  <w:style w:type="character" w:customStyle="1" w:styleId="ListParagraphChar">
    <w:name w:val="List Paragraph Char"/>
    <w:aliases w:val="List Paragraph_Sections Char,Paragraphe EI Char,Paragraphe de liste1 Char,EC Char,List_Paragraph Char,Multilevel para_II Char,List Paragraph1 Char,Akapit z listą BS Char,Bullet1 Char,Main numbered paragraph Char,Dot pt Char"/>
    <w:basedOn w:val="DefaultParagraphFont"/>
    <w:link w:val="ListParagraph"/>
    <w:uiPriority w:val="34"/>
    <w:qFormat/>
    <w:locked/>
    <w:rsid w:val="00BF22EA"/>
    <w:rPr>
      <w:rFonts w:ascii="Times New Roman" w:eastAsia="Times New Roman" w:hAnsi="Times New Roman" w:cs="Times New Roman"/>
      <w:sz w:val="24"/>
      <w:lang w:val="et-EE" w:eastAsia="en-GB"/>
    </w:rPr>
  </w:style>
  <w:style w:type="paragraph" w:customStyle="1" w:styleId="Default">
    <w:name w:val="Default"/>
    <w:rsid w:val="00BF22E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t1">
    <w:name w:val="ft1"/>
    <w:basedOn w:val="Normal"/>
    <w:next w:val="FootnoteText"/>
    <w:uiPriority w:val="99"/>
    <w:unhideWhenUsed/>
    <w:qFormat/>
    <w:rsid w:val="00BF22EA"/>
    <w:pPr>
      <w:spacing w:before="0" w:after="0"/>
      <w:jc w:val="left"/>
    </w:pPr>
    <w:rPr>
      <w:rFonts w:ascii="Aptos" w:eastAsia="MS Mincho" w:hAnsi="Aptos" w:cs="Aptos"/>
      <w:sz w:val="20"/>
      <w:szCs w:val="20"/>
    </w:rPr>
  </w:style>
  <w:style w:type="table" w:styleId="GridTable7Colorful">
    <w:name w:val="Grid Table 7 Colorful"/>
    <w:basedOn w:val="TableNormal"/>
    <w:uiPriority w:val="52"/>
    <w:rsid w:val="00BF22EA"/>
    <w:pPr>
      <w:spacing w:after="0" w:line="240" w:lineRule="auto"/>
    </w:pPr>
    <w:rPr>
      <w:color w:val="000000" w:themeColor="text1"/>
      <w:sz w:val="20"/>
      <w:szCs w:val="20"/>
      <w:lang w:val="en-IE" w:eastAsia="en-I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f0">
    <w:name w:val="pf0"/>
    <w:basedOn w:val="Normal"/>
    <w:rsid w:val="00BF22EA"/>
    <w:pPr>
      <w:spacing w:before="100" w:beforeAutospacing="1" w:after="100" w:afterAutospacing="1"/>
      <w:jc w:val="left"/>
    </w:pPr>
    <w:rPr>
      <w:rFonts w:eastAsia="Times New Roman"/>
      <w:szCs w:val="24"/>
      <w:lang w:eastAsia="en-IE"/>
    </w:rPr>
  </w:style>
  <w:style w:type="character" w:customStyle="1" w:styleId="cf01">
    <w:name w:val="cf01"/>
    <w:basedOn w:val="DefaultParagraphFont"/>
    <w:rsid w:val="00BF22EA"/>
    <w:rPr>
      <w:rFonts w:ascii="Segoe UI" w:hAnsi="Segoe UI" w:cs="Segoe UI" w:hint="default"/>
      <w:i/>
      <w:iCs/>
      <w:sz w:val="18"/>
      <w:szCs w:val="18"/>
    </w:rPr>
  </w:style>
  <w:style w:type="character" w:customStyle="1" w:styleId="cf11">
    <w:name w:val="cf11"/>
    <w:basedOn w:val="DefaultParagraphFont"/>
    <w:rsid w:val="00BF22EA"/>
    <w:rPr>
      <w:rFonts w:ascii="Segoe UI" w:hAnsi="Segoe UI" w:cs="Segoe UI" w:hint="default"/>
      <w:i/>
      <w:iCs/>
      <w:sz w:val="18"/>
      <w:szCs w:val="18"/>
    </w:rPr>
  </w:style>
  <w:style w:type="paragraph" w:customStyle="1" w:styleId="paragraph">
    <w:name w:val="paragraph"/>
    <w:basedOn w:val="Normal"/>
    <w:rsid w:val="00BF22EA"/>
    <w:pPr>
      <w:spacing w:before="100" w:beforeAutospacing="1" w:after="100" w:afterAutospacing="1"/>
      <w:jc w:val="left"/>
    </w:pPr>
    <w:rPr>
      <w:rFonts w:eastAsia="Times New Roman"/>
      <w:szCs w:val="24"/>
      <w:lang w:eastAsia="en-IE"/>
    </w:rPr>
  </w:style>
  <w:style w:type="character" w:customStyle="1" w:styleId="scxw109949161">
    <w:name w:val="scxw109949161"/>
    <w:basedOn w:val="DefaultParagraphFont"/>
    <w:rsid w:val="00BF22EA"/>
  </w:style>
  <w:style w:type="character" w:customStyle="1" w:styleId="HeaderChar">
    <w:name w:val="Header Char"/>
    <w:basedOn w:val="DefaultParagraphFont"/>
    <w:link w:val="Header"/>
    <w:uiPriority w:val="99"/>
    <w:rsid w:val="00B662D8"/>
    <w:rPr>
      <w:rFonts w:ascii="Times New Roman" w:hAnsi="Times New Roman" w:cs="Times New Roman"/>
      <w:sz w:val="24"/>
      <w:lang w:val="et-EE"/>
    </w:rPr>
  </w:style>
  <w:style w:type="character" w:customStyle="1" w:styleId="FooterChar">
    <w:name w:val="Footer Char"/>
    <w:basedOn w:val="DefaultParagraphFont"/>
    <w:link w:val="Footer"/>
    <w:uiPriority w:val="99"/>
    <w:rsid w:val="00B662D8"/>
    <w:rPr>
      <w:rFonts w:ascii="Times New Roman" w:hAnsi="Times New Roman" w:cs="Times New Roman"/>
      <w:sz w:val="24"/>
      <w:lang w:val="et-E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t-EE"/>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t-EE"/>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t-EE"/>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t-EE"/>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t-EE"/>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t-EE"/>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t-EE"/>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CharCharChar1"/>
    <w:uiPriority w:val="99"/>
    <w:semiHidden/>
    <w:unhideWhenUsed/>
    <w:rPr>
      <w:shd w:val="clear" w:color="auto" w:fill="auto"/>
      <w:vertAlign w:val="superscript"/>
    </w:rPr>
  </w:style>
  <w:style w:type="paragraph" w:customStyle="1" w:styleId="HeaderSensitivity">
    <w:name w:val="Header Sensitivity"/>
    <w:basedOn w:val="Normal"/>
    <w:rsid w:val="00B662D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B662D8"/>
    <w:pPr>
      <w:spacing w:before="0"/>
      <w:jc w:val="right"/>
    </w:pPr>
    <w:rPr>
      <w:sz w:val="28"/>
    </w:rPr>
  </w:style>
  <w:style w:type="paragraph" w:customStyle="1" w:styleId="FooterSensitivity">
    <w:name w:val="Footer Sensitivity"/>
    <w:basedOn w:val="Normal"/>
    <w:rsid w:val="00B662D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42"/>
      </w:numPr>
    </w:pPr>
  </w:style>
  <w:style w:type="paragraph" w:customStyle="1" w:styleId="Tiret1">
    <w:name w:val="Tiret 1"/>
    <w:basedOn w:val="Point1"/>
    <w:pPr>
      <w:numPr>
        <w:numId w:val="43"/>
      </w:numPr>
    </w:pPr>
  </w:style>
  <w:style w:type="paragraph" w:customStyle="1" w:styleId="Tiret2">
    <w:name w:val="Tiret 2"/>
    <w:basedOn w:val="Point2"/>
    <w:pPr>
      <w:numPr>
        <w:numId w:val="44"/>
      </w:numPr>
    </w:pPr>
  </w:style>
  <w:style w:type="paragraph" w:customStyle="1" w:styleId="Tiret3">
    <w:name w:val="Tiret 3"/>
    <w:basedOn w:val="Point3"/>
    <w:pPr>
      <w:numPr>
        <w:numId w:val="45"/>
      </w:numPr>
    </w:pPr>
  </w:style>
  <w:style w:type="paragraph" w:customStyle="1" w:styleId="Tiret4">
    <w:name w:val="Tiret 4"/>
    <w:basedOn w:val="Point4"/>
    <w:pPr>
      <w:numPr>
        <w:numId w:val="46"/>
      </w:numPr>
    </w:pPr>
  </w:style>
  <w:style w:type="paragraph" w:customStyle="1" w:styleId="Tiret5">
    <w:name w:val="Tiret 5"/>
    <w:basedOn w:val="Point5"/>
    <w:pPr>
      <w:numPr>
        <w:numId w:val="4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8"/>
      </w:numPr>
    </w:pPr>
  </w:style>
  <w:style w:type="paragraph" w:customStyle="1" w:styleId="NumPar2">
    <w:name w:val="NumPar 2"/>
    <w:basedOn w:val="Normal"/>
    <w:next w:val="Text1"/>
    <w:pPr>
      <w:numPr>
        <w:ilvl w:val="1"/>
        <w:numId w:val="48"/>
      </w:numPr>
    </w:pPr>
  </w:style>
  <w:style w:type="paragraph" w:customStyle="1" w:styleId="NumPar3">
    <w:name w:val="NumPar 3"/>
    <w:basedOn w:val="Normal"/>
    <w:next w:val="Text1"/>
    <w:pPr>
      <w:numPr>
        <w:ilvl w:val="2"/>
        <w:numId w:val="48"/>
      </w:numPr>
    </w:pPr>
  </w:style>
  <w:style w:type="paragraph" w:customStyle="1" w:styleId="NumPar4">
    <w:name w:val="NumPar 4"/>
    <w:basedOn w:val="Normal"/>
    <w:next w:val="Text1"/>
    <w:pPr>
      <w:numPr>
        <w:ilvl w:val="3"/>
        <w:numId w:val="48"/>
      </w:numPr>
    </w:pPr>
  </w:style>
  <w:style w:type="paragraph" w:customStyle="1" w:styleId="NumPar5">
    <w:name w:val="NumPar 5"/>
    <w:basedOn w:val="Normal"/>
    <w:next w:val="Text2"/>
    <w:pPr>
      <w:numPr>
        <w:ilvl w:val="4"/>
        <w:numId w:val="48"/>
      </w:numPr>
    </w:pPr>
  </w:style>
  <w:style w:type="paragraph" w:customStyle="1" w:styleId="NumPar6">
    <w:name w:val="NumPar 6"/>
    <w:basedOn w:val="Normal"/>
    <w:next w:val="Text2"/>
    <w:pPr>
      <w:numPr>
        <w:ilvl w:val="5"/>
        <w:numId w:val="48"/>
      </w:numPr>
    </w:pPr>
  </w:style>
  <w:style w:type="paragraph" w:customStyle="1" w:styleId="NumPar7">
    <w:name w:val="NumPar 7"/>
    <w:basedOn w:val="Normal"/>
    <w:next w:val="Text2"/>
    <w:pPr>
      <w:numPr>
        <w:ilvl w:val="6"/>
        <w:numId w:val="4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50"/>
      </w:numPr>
    </w:pPr>
  </w:style>
  <w:style w:type="paragraph" w:customStyle="1" w:styleId="Point1number">
    <w:name w:val="Point 1 (number)"/>
    <w:basedOn w:val="Normal"/>
    <w:pPr>
      <w:numPr>
        <w:ilvl w:val="2"/>
        <w:numId w:val="50"/>
      </w:numPr>
    </w:pPr>
  </w:style>
  <w:style w:type="paragraph" w:customStyle="1" w:styleId="Point2number">
    <w:name w:val="Point 2 (number)"/>
    <w:basedOn w:val="Normal"/>
    <w:pPr>
      <w:numPr>
        <w:ilvl w:val="4"/>
        <w:numId w:val="50"/>
      </w:numPr>
    </w:pPr>
  </w:style>
  <w:style w:type="paragraph" w:customStyle="1" w:styleId="Point3number">
    <w:name w:val="Point 3 (number)"/>
    <w:basedOn w:val="Normal"/>
    <w:pPr>
      <w:numPr>
        <w:ilvl w:val="6"/>
        <w:numId w:val="50"/>
      </w:numPr>
    </w:pPr>
  </w:style>
  <w:style w:type="paragraph" w:customStyle="1" w:styleId="Point0letter">
    <w:name w:val="Point 0 (letter)"/>
    <w:basedOn w:val="Normal"/>
    <w:pPr>
      <w:numPr>
        <w:ilvl w:val="1"/>
        <w:numId w:val="50"/>
      </w:numPr>
    </w:pPr>
  </w:style>
  <w:style w:type="paragraph" w:customStyle="1" w:styleId="Point1letter">
    <w:name w:val="Point 1 (letter)"/>
    <w:basedOn w:val="Normal"/>
    <w:pPr>
      <w:numPr>
        <w:ilvl w:val="3"/>
        <w:numId w:val="50"/>
      </w:numPr>
    </w:pPr>
  </w:style>
  <w:style w:type="paragraph" w:customStyle="1" w:styleId="Point2letter">
    <w:name w:val="Point 2 (letter)"/>
    <w:basedOn w:val="Normal"/>
    <w:pPr>
      <w:numPr>
        <w:ilvl w:val="5"/>
        <w:numId w:val="50"/>
      </w:numPr>
    </w:pPr>
  </w:style>
  <w:style w:type="paragraph" w:customStyle="1" w:styleId="Point3letter">
    <w:name w:val="Point 3 (letter)"/>
    <w:basedOn w:val="Normal"/>
    <w:pPr>
      <w:numPr>
        <w:ilvl w:val="7"/>
        <w:numId w:val="50"/>
      </w:numPr>
    </w:pPr>
  </w:style>
  <w:style w:type="paragraph" w:customStyle="1" w:styleId="Point4letter">
    <w:name w:val="Point 4 (letter)"/>
    <w:basedOn w:val="Normal"/>
    <w:pPr>
      <w:numPr>
        <w:ilvl w:val="8"/>
        <w:numId w:val="50"/>
      </w:numPr>
    </w:pPr>
  </w:style>
  <w:style w:type="paragraph" w:customStyle="1" w:styleId="Bullet0">
    <w:name w:val="Bullet 0"/>
    <w:basedOn w:val="Normal"/>
    <w:pPr>
      <w:numPr>
        <w:numId w:val="51"/>
      </w:numPr>
    </w:pPr>
  </w:style>
  <w:style w:type="paragraph" w:customStyle="1" w:styleId="Bullet1">
    <w:name w:val="Bullet 1"/>
    <w:basedOn w:val="Normal"/>
    <w:pPr>
      <w:numPr>
        <w:numId w:val="52"/>
      </w:numPr>
    </w:pPr>
  </w:style>
  <w:style w:type="paragraph" w:customStyle="1" w:styleId="Bullet2">
    <w:name w:val="Bullet 2"/>
    <w:basedOn w:val="Normal"/>
    <w:pPr>
      <w:numPr>
        <w:numId w:val="53"/>
      </w:numPr>
    </w:pPr>
  </w:style>
  <w:style w:type="paragraph" w:customStyle="1" w:styleId="Bullet3">
    <w:name w:val="Bullet 3"/>
    <w:basedOn w:val="Normal"/>
    <w:pPr>
      <w:numPr>
        <w:numId w:val="54"/>
      </w:numPr>
    </w:pPr>
  </w:style>
  <w:style w:type="paragraph" w:customStyle="1" w:styleId="Bullet4">
    <w:name w:val="Bullet 4"/>
    <w:basedOn w:val="Normal"/>
    <w:pPr>
      <w:numPr>
        <w:numId w:val="5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B662D8"/>
    <w:pPr>
      <w:tabs>
        <w:tab w:val="center" w:pos="4535"/>
        <w:tab w:val="right" w:pos="9071"/>
      </w:tabs>
      <w:spacing w:before="0"/>
    </w:pPr>
  </w:style>
  <w:style w:type="paragraph" w:customStyle="1" w:styleId="HeaderLandscape">
    <w:name w:val="HeaderLandscape"/>
    <w:basedOn w:val="Normal"/>
    <w:rsid w:val="00B662D8"/>
    <w:pPr>
      <w:tabs>
        <w:tab w:val="center" w:pos="7285"/>
        <w:tab w:val="right" w:pos="14003"/>
      </w:tabs>
      <w:spacing w:before="0"/>
    </w:pPr>
  </w:style>
  <w:style w:type="paragraph" w:styleId="Footer">
    <w:name w:val="footer"/>
    <w:basedOn w:val="Normal"/>
    <w:link w:val="FooterChar"/>
    <w:uiPriority w:val="99"/>
    <w:unhideWhenUsed/>
    <w:rsid w:val="00B662D8"/>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B662D8"/>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yperlink" Target="https://euc-word-edit.officeapps.live.com/we/wordeditorframe.aspx?ui=fr&amp;rs=en-IE&amp;wopisrc=https%3A%2F%2Feceuropaeu.sharepoint.com%2Fteams%2FGRP-NextMFFProgrammeforNuclearSafetyDecommissioningandCooper%2F_vti_bin%2Fwopi.ashx%2Ffiles%2Fdd57cc71a1774e27bc43877ce9e3971b&amp;wdorigin=AuthPrompt.TEAMS-MAGLEV.teamsSdk_ns.rwc&amp;wdexp=TEAMS-TREATMENT&amp;wdhostclicktime=1755690874393&amp;wdenableroaming=1&amp;mscc=1&amp;hid=1A98BDA1-00B4-0000-00DD-02997AFFFA82.0&amp;uih=sharepointcom&amp;wdlcid=fr&amp;jsapi=1&amp;jsapiver=v2&amp;corrid=9c3bcf60-04c3-da93-8f05-0e3ea21b6f97&amp;usid=9c3bcf60-04c3-da93-8f05-0e3ea21b6f97&amp;newsession=1&amp;sftc=1&amp;uihit=docaspx&amp;muv=1&amp;ats=PairwiseBroker&amp;cac=1&amp;sams=1&amp;mtf=1&amp;sfp=1&amp;sdp=1&amp;hch=1&amp;hwfh=1&amp;dchat=1&amp;sc=%7B%22pmo%22%3A%22https%3A%2F%2Feceuropaeu.sharepoint.com%22%2C%22pmshare%22%3Atrue%7D&amp;ctp=LeastProtected&amp;rct=Normal&amp;afdflight=91&amp;csiro=1&amp;instantedit=1&amp;wopicomplete=1&amp;wdredirectionreason=Unified_SingleFlush" TargetMode="External"/><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emf"/><Relationship Id="rId12" Type="http://schemas.openxmlformats.org/officeDocument/2006/relationships/footer" Target="footer3.xml"/><Relationship Id="rId17" Type="http://schemas.openxmlformats.org/officeDocument/2006/relationships/hyperlink" Target="https://euc-word-edit.officeapps.live.com/we/wordeditorframe.aspx?ui=fr&amp;rs=en-IE&amp;wopisrc=https%3A%2F%2Feceuropaeu.sharepoint.com%2Fteams%2FGRP-NextMFFProgrammeforNuclearSafetyDecommissioningandCooper%2F_vti_bin%2Fwopi.ashx%2Ffiles%2Fdd57cc71a1774e27bc43877ce9e3971b&amp;wdorigin=AuthPrompt.TEAMS-MAGLEV.teamsSdk_ns.rwc&amp;wdexp=TEAMS-TREATMENT&amp;wdhostclicktime=1755690874393&amp;wdenableroaming=1&amp;mscc=1&amp;hid=1A98BDA1-00B4-0000-00DD-02997AFFFA82.0&amp;uih=sharepointcom&amp;wdlcid=fr&amp;jsapi=1&amp;jsapiver=v2&amp;corrid=9c3bcf60-04c3-da93-8f05-0e3ea21b6f97&amp;usid=9c3bcf60-04c3-da93-8f05-0e3ea21b6f97&amp;newsession=1&amp;sftc=1&amp;uihit=docaspx&amp;muv=1&amp;ats=PairwiseBroker&amp;cac=1&amp;sams=1&amp;mtf=1&amp;sfp=1&amp;sdp=1&amp;hch=1&amp;hwfh=1&amp;dchat=1&amp;sc=%7B%22pmo%22%3A%22https%3A%2F%2Feceuropaeu.sharepoint.com%22%2C%22pmshare%22%3Atrue%7D&amp;ctp=LeastProtected&amp;rct=Normal&amp;afdflight=91&amp;csiro=1&amp;instantedit=1&amp;wopicomplete=1&amp;wdredirectionreason=Unified_SingleFlush" TargetMode="External"/><Relationship Id="rId25" Type="http://schemas.openxmlformats.org/officeDocument/2006/relationships/hyperlink" Target="https://euc-word-edit.officeapps.live.com/we/wordeditorframe.aspx?ui=fr&amp;rs=en-IE&amp;wopisrc=https%3A%2F%2Feceuropaeu.sharepoint.com%2Fteams%2FGRP-NextMFFProgrammeforNuclearSafetyDecommissioningandCooper%2F_vti_bin%2Fwopi.ashx%2Ffiles%2Fdd57cc71a1774e27bc43877ce9e3971b&amp;wdorigin=AuthPrompt.TEAMS-MAGLEV.teamsSdk_ns.rwc&amp;wdexp=TEAMS-TREATMENT&amp;wdhostclicktime=1755690874393&amp;wdenableroaming=1&amp;mscc=1&amp;hid=1A98BDA1-00B4-0000-00DD-02997AFFFA82.0&amp;uih=sharepointcom&amp;wdlcid=fr&amp;jsapi=1&amp;jsapiver=v2&amp;corrid=9c3bcf60-04c3-da93-8f05-0e3ea21b6f97&amp;usid=9c3bcf60-04c3-da93-8f05-0e3ea21b6f97&amp;newsession=1&amp;sftc=1&amp;uihit=docaspx&amp;muv=1&amp;ats=PairwiseBroker&amp;cac=1&amp;sams=1&amp;mtf=1&amp;sfp=1&amp;sdp=1&amp;hch=1&amp;hwfh=1&amp;dchat=1&amp;sc=%7B%22pmo%22%3A%22https%3A%2F%2Feceuropaeu.sharepoint.com%22%2C%22pmshare%22%3Atrue%7D&amp;ctp=LeastProtected&amp;rct=Normal&amp;afdflight=91&amp;csiro=1&amp;instantedit=1&amp;wopicomplete=1&amp;wdredirectionreason=Unified_SingleFlush" TargetMode="External"/><Relationship Id="rId2" Type="http://schemas.openxmlformats.org/officeDocument/2006/relationships/styles" Target="styles.xml"/><Relationship Id="rId16" Type="http://schemas.openxmlformats.org/officeDocument/2006/relationships/hyperlink" Target="https://euc-word-edit.officeapps.live.com/we/wordeditorframe.aspx?ui=fr&amp;rs=en-IE&amp;wopisrc=https%3A%2F%2Feceuropaeu.sharepoint.com%2Fteams%2FGRP-NextMFFProgrammeforNuclearSafetyDecommissioningandCooper%2F_vti_bin%2Fwopi.ashx%2Ffiles%2Fdd57cc71a1774e27bc43877ce9e3971b&amp;wdorigin=AuthPrompt.TEAMS-MAGLEV.teamsSdk_ns.rwc&amp;wdexp=TEAMS-TREATMENT&amp;wdhostclicktime=1755690874393&amp;wdenableroaming=1&amp;mscc=1&amp;hid=1A98BDA1-00B4-0000-00DD-02997AFFFA82.0&amp;uih=sharepointcom&amp;wdlcid=fr&amp;jsapi=1&amp;jsapiver=v2&amp;corrid=9c3bcf60-04c3-da93-8f05-0e3ea21b6f97&amp;usid=9c3bcf60-04c3-da93-8f05-0e3ea21b6f97&amp;newsession=1&amp;sftc=1&amp;uihit=docaspx&amp;muv=1&amp;ats=PairwiseBroker&amp;cac=1&amp;sams=1&amp;mtf=1&amp;sfp=1&amp;sdp=1&amp;hch=1&amp;hwfh=1&amp;dchat=1&amp;sc=%7B%22pmo%22%3A%22https%3A%2F%2Feceuropaeu.sharepoint.com%22%2C%22pmshare%22%3Atrue%7D&amp;ctp=LeastProtected&amp;rct=Normal&amp;afdflight=91&amp;csiro=1&amp;instantedit=1&amp;wopicomplete=1&amp;wdredirectionreason=Unified_SingleFlush" TargetMode="Externa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euc-word-edit.officeapps.live.com/we/wordeditorframe.aspx?ui=fr&amp;rs=en-IE&amp;wopisrc=https%3A%2F%2Feceuropaeu.sharepoint.com%2Fteams%2FGRP-NextMFFProgrammeforNuclearSafetyDecommissioningandCooper%2F_vti_bin%2Fwopi.ashx%2Ffiles%2Fdd57cc71a1774e27bc43877ce9e3971b&amp;wdorigin=AuthPrompt.TEAMS-MAGLEV.teamsSdk_ns.rwc&amp;wdexp=TEAMS-TREATMENT&amp;wdhostclicktime=1755690874393&amp;wdenableroaming=1&amp;mscc=1&amp;hid=1A98BDA1-00B4-0000-00DD-02997AFFFA82.0&amp;uih=sharepointcom&amp;wdlcid=fr&amp;jsapi=1&amp;jsapiver=v2&amp;corrid=9c3bcf60-04c3-da93-8f05-0e3ea21b6f97&amp;usid=9c3bcf60-04c3-da93-8f05-0e3ea21b6f97&amp;newsession=1&amp;sftc=1&amp;uihit=docaspx&amp;muv=1&amp;ats=PairwiseBroker&amp;cac=1&amp;sams=1&amp;mtf=1&amp;sfp=1&amp;sdp=1&amp;hch=1&amp;hwfh=1&amp;dchat=1&amp;sc=%7B%22pmo%22%3A%22https%3A%2F%2Feceuropaeu.sharepoint.com%22%2C%22pmshare%22%3Atrue%7D&amp;ctp=LeastProtected&amp;rct=Normal&amp;afdflight=91&amp;csiro=1&amp;instantedit=1&amp;wopicomplete=1&amp;wdredirectionreason=Unified_SingleFlush" TargetMode="Externa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yperlink" Target="https://euc-word-edit.officeapps.live.com/we/wordeditorframe.aspx?ui=fr&amp;rs=en-IE&amp;wopisrc=https%3A%2F%2Feceuropaeu.sharepoint.com%2Fteams%2FGRP-NextMFFProgrammeforNuclearSafetyDecommissioningandCooper%2F_vti_bin%2Fwopi.ashx%2Ffiles%2Fdd57cc71a1774e27bc43877ce9e3971b&amp;wdorigin=AuthPrompt.TEAMS-MAGLEV.teamsSdk_ns.rwc&amp;wdexp=TEAMS-TREATMENT&amp;wdhostclicktime=1755690874393&amp;wdenableroaming=1&amp;mscc=1&amp;hid=1A98BDA1-00B4-0000-00DD-02997AFFFA82.0&amp;uih=sharepointcom&amp;wdlcid=fr&amp;jsapi=1&amp;jsapiver=v2&amp;corrid=9c3bcf60-04c3-da93-8f05-0e3ea21b6f97&amp;usid=9c3bcf60-04c3-da93-8f05-0e3ea21b6f97&amp;newsession=1&amp;sftc=1&amp;uihit=docaspx&amp;muv=1&amp;ats=PairwiseBroker&amp;cac=1&amp;sams=1&amp;mtf=1&amp;sfp=1&amp;sdp=1&amp;hch=1&amp;hwfh=1&amp;dchat=1&amp;sc=%7B%22pmo%22%3A%22https%3A%2F%2Feceuropaeu.sharepoint.com%22%2C%22pmshare%22%3Atrue%7D&amp;ctp=LeastProtected&amp;rct=Normal&amp;afdflight=91&amp;csiro=1&amp;instantedit=1&amp;wopicomplete=1&amp;wdredirectionreason=Unified_SingleFlush" TargetMode="External"/><Relationship Id="rId28" Type="http://schemas.openxmlformats.org/officeDocument/2006/relationships/fontTable" Target="fontTable.xml"/><Relationship Id="rId10" Type="http://schemas.openxmlformats.org/officeDocument/2006/relationships/hyperlink" Target="https://www.google.com/search?rlz=1C1GCEA_enLU1127LU1127&amp;cs=0&amp;sca_esv=fd80f86e9ec25f50&amp;q=Joint+Research+Centre%27s+%28JRC%29+Nuclear+Decommissioning+and+Waste+Management+Platform&amp;sa=X&amp;ved=2ahUKEwix45SereeOAxWmzgIHHcLgJKwQxccNegQIAhAB&amp;mstk=AUtExfDZe_EtwBdGFilTtbI69V0BGDliPgXBAnMnAjraCYKjxYrJun3ngwQsv2ihXyRgaNE1_F9IqVs5iV3RhEfTT1p2FYohCxhaCD_Qgj33Um9_uXuj3obUqJTQJrSqq2Vs_ol_UJt1a7M_1AT4_gICDwn2ty366xi5VqBPRdX_SZcud4E&amp;csui=3" TargetMode="External"/><Relationship Id="rId19" Type="http://schemas.openxmlformats.org/officeDocument/2006/relationships/hyperlink" Target="https://euc-word-edit.officeapps.live.com/we/wordeditorframe.aspx?ui=fr&amp;rs=en-IE&amp;wopisrc=https%3A%2F%2Feceuropaeu.sharepoint.com%2Fteams%2FGRP-NextMFFProgrammeforNuclearSafetyDecommissioningandCooper%2F_vti_bin%2Fwopi.ashx%2Ffiles%2Fdd57cc71a1774e27bc43877ce9e3971b&amp;wdorigin=AuthPrompt.TEAMS-MAGLEV.teamsSdk_ns.rwc&amp;wdexp=TEAMS-TREATMENT&amp;wdhostclicktime=1755690874393&amp;wdenableroaming=1&amp;mscc=1&amp;hid=1A98BDA1-00B4-0000-00DD-02997AFFFA82.0&amp;uih=sharepointcom&amp;wdlcid=fr&amp;jsapi=1&amp;jsapiver=v2&amp;corrid=9c3bcf60-04c3-da93-8f05-0e3ea21b6f97&amp;usid=9c3bcf60-04c3-da93-8f05-0e3ea21b6f97&amp;newsession=1&amp;sftc=1&amp;uihit=docaspx&amp;muv=1&amp;ats=PairwiseBroker&amp;cac=1&amp;sams=1&amp;mtf=1&amp;sfp=1&amp;sdp=1&amp;hch=1&amp;hwfh=1&amp;dchat=1&amp;sc=%7B%22pmo%22%3A%22https%3A%2F%2Feceuropaeu.sharepoint.com%22%2C%22pmshare%22%3Atrue%7D&amp;ctp=LeastProtected&amp;rct=Normal&amp;afdflight=91&amp;csiro=1&amp;instantedit=1&amp;wopicomplete=1&amp;wdredirectionreason=Unified_SingleFlush"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2.xml"/><Relationship Id="rId22" Type="http://schemas.openxmlformats.org/officeDocument/2006/relationships/hyperlink" Target="https://euc-word-edit.officeapps.live.com/we/wordeditorframe.aspx?ui=fr&amp;rs=en-IE&amp;wopisrc=https%3A%2F%2Feceuropaeu.sharepoint.com%2Fteams%2FGRP-NextMFFProgrammeforNuclearSafetyDecommissioningandCooper%2F_vti_bin%2Fwopi.ashx%2Ffiles%2Fdd57cc71a1774e27bc43877ce9e3971b&amp;wdorigin=AuthPrompt.TEAMS-MAGLEV.teamsSdk_ns.rwc&amp;wdexp=TEAMS-TREATMENT&amp;wdhostclicktime=1755690874393&amp;wdenableroaming=1&amp;mscc=1&amp;hid=1A98BDA1-00B4-0000-00DD-02997AFFFA82.0&amp;uih=sharepointcom&amp;wdlcid=fr&amp;jsapi=1&amp;jsapiver=v2&amp;corrid=9c3bcf60-04c3-da93-8f05-0e3ea21b6f97&amp;usid=9c3bcf60-04c3-da93-8f05-0e3ea21b6f97&amp;newsession=1&amp;sftc=1&amp;uihit=docaspx&amp;muv=1&amp;ats=PairwiseBroker&amp;cac=1&amp;sams=1&amp;mtf=1&amp;sfp=1&amp;sdp=1&amp;hch=1&amp;hwfh=1&amp;dchat=1&amp;sc=%7B%22pmo%22%3A%22https%3A%2F%2Feceuropaeu.sharepoint.com%22%2C%22pmshare%22%3Atrue%7D&amp;ctp=LeastProtected&amp;rct=Normal&amp;afdflight=91&amp;csiro=1&amp;instantedit=1&amp;wopicomplete=1&amp;wdredirectionreason=Unified_SingleFlush" TargetMode="External"/><Relationship Id="rId27" Type="http://schemas.openxmlformats.org/officeDocument/2006/relationships/footer" Target="footer7.xml"/></Relationships>
</file>

<file path=word/_rels/footnotes.xml.rels><?xml version='1.0' encoding='UTF-8' standalone='yes'?>
<Relationships xmlns="http://schemas.openxmlformats.org/package/2006/relationships"><Relationship Id="rId8" Type="http://schemas.openxmlformats.org/officeDocument/2006/relationships/hyperlink" Target="https://www.un.org/disarmament/wmd/nuclear/npt/" TargetMode="External"/><Relationship Id="rId13" Type="http://schemas.openxmlformats.org/officeDocument/2006/relationships/hyperlink" Target="http://data.europa.eu/eli/reg/2013/883/oj" TargetMode="External"/><Relationship Id="rId18" Type="http://schemas.openxmlformats.org/officeDocument/2006/relationships/hyperlink" Target="http://data.europa.eu/eli/reg/2011/182/oj" TargetMode="External"/><Relationship Id="rId3" Type="http://schemas.openxmlformats.org/officeDocument/2006/relationships/hyperlink" Target="https://commission.europa.eu/publications/global-europe_en" TargetMode="External"/><Relationship Id="rId7" Type="http://schemas.openxmlformats.org/officeDocument/2006/relationships/hyperlink" Target="https://www.iaea.org/topics/nuclear-safety-conventions/joint-convention-safety-spent-fuel-management-and-safety-radioactive-waste" TargetMode="External"/><Relationship Id="rId12" Type="http://schemas.openxmlformats.org/officeDocument/2006/relationships/hyperlink" Target="http://data.europa.eu/eli/reg/2021/948/oj" TargetMode="External"/><Relationship Id="rId17" Type="http://schemas.openxmlformats.org/officeDocument/2006/relationships/hyperlink" Target="http://data.europa.eu/eli/dir/2011/70/oj)." TargetMode="External"/><Relationship Id="rId2" Type="http://schemas.openxmlformats.org/officeDocument/2006/relationships/hyperlink" Target="https://sdgs.un.org/2030agenda" TargetMode="External"/><Relationship Id="rId16" Type="http://schemas.openxmlformats.org/officeDocument/2006/relationships/hyperlink" Target="http://data.europa.eu/eli/dir/2017/1371/oj)." TargetMode="External"/><Relationship Id="rId20" Type="http://schemas.openxmlformats.org/officeDocument/2006/relationships/hyperlink" Target="http://data.europa.eu/eli/dec/2010/427/oj" TargetMode="External"/><Relationship Id="rId1" Type="http://schemas.openxmlformats.org/officeDocument/2006/relationships/hyperlink" Target="https://commission.europa.eu/document/download/26ff3426-b1db-44d5-ad9c-a646febb3222_en?filename=COM_2025_570_1_ET_ACT_part1_v6.pdf" TargetMode="External"/><Relationship Id="rId6" Type="http://schemas.openxmlformats.org/officeDocument/2006/relationships/hyperlink" Target="http://data.europa.eu/eli/convention/1999/819/oj" TargetMode="External"/><Relationship Id="rId11" Type="http://schemas.openxmlformats.org/officeDocument/2006/relationships/hyperlink" Target="http://data.europa.eu/eli/reg/2021/100/oj" TargetMode="External"/><Relationship Id="rId5" Type="http://schemas.openxmlformats.org/officeDocument/2006/relationships/hyperlink" Target="https://www.ensreg.eu/international-cooperation" TargetMode="External"/><Relationship Id="rId15" Type="http://schemas.openxmlformats.org/officeDocument/2006/relationships/hyperlink" Target="http://data.europa.eu/eli/reg/1996/2185/oj" TargetMode="External"/><Relationship Id="rId10" Type="http://schemas.openxmlformats.org/officeDocument/2006/relationships/hyperlink" Target="http://data.europa.eu/eli/reg/2021/948/oj" TargetMode="External"/><Relationship Id="rId19" Type="http://schemas.openxmlformats.org/officeDocument/2006/relationships/hyperlink" Target="https://eur-lex.europa.eu/legal-content/EN/AUTO/?uri=OJ:L:2010:201:TOC" TargetMode="External"/><Relationship Id="rId4" Type="http://schemas.openxmlformats.org/officeDocument/2006/relationships/hyperlink" Target="https://ec.europa.eu/info/law/better-regulation/have-your-say/initiatives/14522-ELi-jargmine-pikaajaline-eelarve-ELi-rahalised-vahendid-valistegevuse-toetuseks_et" TargetMode="External"/><Relationship Id="rId9" Type="http://schemas.openxmlformats.org/officeDocument/2006/relationships/hyperlink" Target="https://www.iaea.org/sites/default/files/infcirc540.pdf" TargetMode="External"/><Relationship Id="rId14" Type="http://schemas.openxmlformats.org/officeDocument/2006/relationships/hyperlink" Target="http://data.europa.eu/eli/reg/1995/2988/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236</TotalTime>
  <Pages>21</Pages>
  <Words>17610</Words>
  <Characters>100382</Characters>
  <Application>Microsoft Office Word</Application>
  <DocSecurity>0</DocSecurity>
  <Lines>836</Lines>
  <Paragraphs>235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50</cp:revision>
  <dcterms:created xsi:type="dcterms:W3CDTF">2025-09-02T08:07:00Z</dcterms:created>
  <dcterms:modified xsi:type="dcterms:W3CDTF">2025-10-09T07:58:00Z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SJ-016</vt:lpwstr>
  </property>
  <property fmtid="{D5CDD505-2E9C-101B-9397-08002B2CF9AE}" pid="10" name="MSIP_Label_6bd9ddd1-4d20-43f6-abfa-fc3c07406f94_Enabled">
    <vt:lpwstr>true</vt:lpwstr>
  </property>
  <property fmtid="{D5CDD505-2E9C-101B-9397-08002B2CF9AE}" pid="11" name="MSIP_Label_6bd9ddd1-4d20-43f6-abfa-fc3c07406f94_SetDate">
    <vt:lpwstr>2025-08-28T08:45:18Z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f0a11042-ce27-4f73-aacc-73519f158a03</vt:lpwstr>
  </property>
  <property fmtid="{D5CDD505-2E9C-101B-9397-08002B2CF9AE}" pid="16" name="MSIP_Label_6bd9ddd1-4d20-43f6-abfa-fc3c07406f94_ContentBits">
    <vt:lpwstr>0</vt:lpwstr>
  </property>
  <property fmtid="{D5CDD505-2E9C-101B-9397-08002B2CF9AE}" pid="17" name="MSIP_Label_6bd9ddd1-4d20-43f6-abfa-fc3c07406f94_Tag">
    <vt:lpwstr>10, 3, 0, 1</vt:lpwstr>
  </property>
  <property fmtid="{D5CDD505-2E9C-101B-9397-08002B2CF9AE}" pid="18" name="DQCStatus">
    <vt:lpwstr>Green (DQC version 03)</vt:lpwstr>
  </property>
</Properties>
</file>