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533F" w:rsidRPr="00E6145A" w:rsidRDefault="000757CD" w:rsidP="000757CD">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CCB27DD2-D44A-4578-BFC2-4889DC76D175" style="width:455.25pt;height:433.5pt">
            <v:imagedata r:id="rId11" o:title=""/>
          </v:shape>
        </w:pict>
      </w:r>
    </w:p>
    <w:p w:rsidR="00292C07" w:rsidRPr="00E6145A" w:rsidRDefault="00292C07">
      <w:pPr>
        <w:rPr>
          <w:noProof/>
        </w:rPr>
        <w:sectPr w:rsidR="00292C07" w:rsidRPr="00E6145A" w:rsidSect="000757CD">
          <w:footerReference w:type="even" r:id="rId12"/>
          <w:footerReference w:type="default" r:id="rId13"/>
          <w:pgSz w:w="11907" w:h="16839"/>
          <w:pgMar w:top="1134" w:right="1417" w:bottom="1134" w:left="1417" w:header="709" w:footer="709" w:gutter="0"/>
          <w:pgNumType w:start="0"/>
          <w:cols w:space="720"/>
          <w:docGrid w:linePitch="360"/>
        </w:sectPr>
      </w:pPr>
    </w:p>
    <w:p w:rsidR="00ED4D5D" w:rsidRPr="00E6145A" w:rsidRDefault="00E6145A" w:rsidP="00E6145A">
      <w:pPr>
        <w:pStyle w:val="Rfrenceinterinstitutionnelle"/>
        <w:rPr>
          <w:noProof/>
        </w:rPr>
      </w:pPr>
      <w:bookmarkStart w:id="0" w:name="_GoBack"/>
      <w:bookmarkEnd w:id="0"/>
      <w:r>
        <w:rPr>
          <w:noProof/>
        </w:rPr>
        <w:lastRenderedPageBreak/>
        <w:t>2023/0363 (COD)</w:t>
      </w:r>
    </w:p>
    <w:p w:rsidR="00292C07" w:rsidRPr="00E6145A" w:rsidRDefault="00E6145A" w:rsidP="00E6145A">
      <w:pPr>
        <w:pStyle w:val="Typedudocument"/>
        <w:rPr>
          <w:noProof/>
        </w:rPr>
      </w:pPr>
      <w:r w:rsidRPr="00E6145A">
        <w:rPr>
          <w:noProof/>
        </w:rPr>
        <w:t>KOMISJONI TEATIS</w:t>
      </w:r>
      <w:r w:rsidRPr="00E6145A">
        <w:rPr>
          <w:noProof/>
        </w:rPr>
        <w:br/>
        <w:t>EUROOPA PARLAMENDILE,</w:t>
      </w:r>
      <w:r w:rsidRPr="00E6145A">
        <w:rPr>
          <w:noProof/>
        </w:rPr>
        <w:br/>
      </w:r>
      <w:r w:rsidRPr="00E6145A">
        <w:rPr>
          <w:noProof/>
        </w:rPr>
        <w:br/>
        <w:t>mis on esitatud Euroopa Liidu toimimise lepingu artikli 294 lõike 6 alusel</w:t>
      </w:r>
      <w:r w:rsidRPr="00E6145A">
        <w:rPr>
          <w:noProof/>
        </w:rPr>
        <w:br/>
      </w:r>
      <w:r w:rsidRPr="00E6145A">
        <w:rPr>
          <w:noProof/>
        </w:rPr>
        <w:br/>
        <w:t>ning milles käsitletakse</w:t>
      </w:r>
    </w:p>
    <w:p w:rsidR="00292C07" w:rsidRPr="00E6145A" w:rsidRDefault="00E6145A" w:rsidP="00E6145A">
      <w:pPr>
        <w:pStyle w:val="Titreobjet"/>
        <w:rPr>
          <w:noProof/>
        </w:rPr>
      </w:pPr>
      <w:r w:rsidRPr="00E6145A">
        <w:rPr>
          <w:noProof/>
        </w:rPr>
        <w:t>nõukogu seisukohta seoses järgmise õigusakti vastuvõtmisega, Euroopa Parlamendi ja nõukogu määrus, millega muudetakse määrusi (EL) nr 1092/2010, (EL) nr 1093/2010, (EL) nr 1094/2010, (EL) nr 1095/2010, (EL) nr 806/2014, (EL) 2021/523 ja (EL) 2024/1620 seoses teatavate aruandlusnõuetega finantsteenuste ja investeerimistoetuse valdkonnas</w:t>
      </w:r>
    </w:p>
    <w:p w:rsidR="00292C07" w:rsidRPr="00E6145A" w:rsidRDefault="00292C07">
      <w:pPr>
        <w:pStyle w:val="ManualHeading1"/>
        <w:rPr>
          <w:noProof/>
          <w:sz w:val="22"/>
        </w:rPr>
      </w:pPr>
      <w:r w:rsidRPr="00E6145A">
        <w:rPr>
          <w:noProof/>
        </w:rPr>
        <w:t>1.</w:t>
      </w:r>
      <w:r w:rsidRPr="00E6145A">
        <w:rPr>
          <w:noProof/>
        </w:rPr>
        <w:tab/>
        <w:t>Taust</w:t>
      </w:r>
    </w:p>
    <w:tbl>
      <w:tblPr>
        <w:tblW w:w="0" w:type="auto"/>
        <w:tblLayout w:type="fixed"/>
        <w:tblLook w:val="0000" w:firstRow="0" w:lastRow="0" w:firstColumn="0" w:lastColumn="0" w:noHBand="0" w:noVBand="0"/>
      </w:tblPr>
      <w:tblGrid>
        <w:gridCol w:w="6804"/>
        <w:gridCol w:w="2483"/>
      </w:tblGrid>
      <w:tr w:rsidR="00292C07" w:rsidRPr="00E6145A" w:rsidTr="00636E04">
        <w:tc>
          <w:tcPr>
            <w:tcW w:w="6804" w:type="dxa"/>
          </w:tcPr>
          <w:p w:rsidR="00292C07" w:rsidRPr="00E6145A" w:rsidRDefault="00292C07">
            <w:pPr>
              <w:jc w:val="left"/>
              <w:rPr>
                <w:noProof/>
              </w:rPr>
            </w:pPr>
            <w:r w:rsidRPr="00E6145A">
              <w:rPr>
                <w:noProof/>
              </w:rPr>
              <w:t xml:space="preserve">Euroopa Parlamendile ja nõukogule ettepaneku edastamise kuupäev: </w:t>
            </w:r>
            <w:r w:rsidRPr="00E6145A">
              <w:rPr>
                <w:noProof/>
              </w:rPr>
              <w:br/>
              <w:t>(dokument COM(2023) 593 final – 2023/0363 COD):</w:t>
            </w:r>
          </w:p>
        </w:tc>
        <w:tc>
          <w:tcPr>
            <w:tcW w:w="2483" w:type="dxa"/>
            <w:vAlign w:val="center"/>
          </w:tcPr>
          <w:p w:rsidR="00292C07" w:rsidRPr="00E6145A" w:rsidRDefault="007810E3" w:rsidP="00636E04">
            <w:pPr>
              <w:jc w:val="left"/>
              <w:rPr>
                <w:noProof/>
              </w:rPr>
            </w:pPr>
            <w:r w:rsidRPr="00E6145A">
              <w:rPr>
                <w:noProof/>
              </w:rPr>
              <w:t>17. oktoober 2023</w:t>
            </w:r>
          </w:p>
        </w:tc>
      </w:tr>
      <w:tr w:rsidR="00292C07" w:rsidRPr="00E6145A" w:rsidTr="00636E04">
        <w:tc>
          <w:tcPr>
            <w:tcW w:w="6804" w:type="dxa"/>
          </w:tcPr>
          <w:p w:rsidR="00292C07" w:rsidRPr="00E6145A" w:rsidRDefault="00292C07">
            <w:pPr>
              <w:rPr>
                <w:noProof/>
              </w:rPr>
            </w:pPr>
            <w:r w:rsidRPr="00E6145A">
              <w:rPr>
                <w:noProof/>
              </w:rPr>
              <w:t>Euroopa Majandus- ja Sotsiaalkomitee arvamuse kuupäev:</w:t>
            </w:r>
          </w:p>
        </w:tc>
        <w:tc>
          <w:tcPr>
            <w:tcW w:w="2483" w:type="dxa"/>
            <w:vAlign w:val="center"/>
          </w:tcPr>
          <w:p w:rsidR="00292C07" w:rsidRPr="00E6145A" w:rsidRDefault="007810E3" w:rsidP="00636E04">
            <w:pPr>
              <w:jc w:val="left"/>
              <w:rPr>
                <w:noProof/>
              </w:rPr>
            </w:pPr>
            <w:r w:rsidRPr="00E6145A">
              <w:rPr>
                <w:noProof/>
              </w:rPr>
              <w:t>14. veebruar 2024</w:t>
            </w:r>
          </w:p>
        </w:tc>
      </w:tr>
      <w:tr w:rsidR="00292C07" w:rsidRPr="00E6145A" w:rsidTr="00636E04">
        <w:tc>
          <w:tcPr>
            <w:tcW w:w="6804" w:type="dxa"/>
          </w:tcPr>
          <w:p w:rsidR="00292C07" w:rsidRPr="00E6145A" w:rsidRDefault="00292C07">
            <w:pPr>
              <w:rPr>
                <w:noProof/>
              </w:rPr>
            </w:pPr>
            <w:r w:rsidRPr="00E6145A">
              <w:rPr>
                <w:noProof/>
              </w:rPr>
              <w:t>Euroopa Parlamendi seisukoha kuupäev, esimene lugemine:</w:t>
            </w:r>
          </w:p>
        </w:tc>
        <w:tc>
          <w:tcPr>
            <w:tcW w:w="2483" w:type="dxa"/>
            <w:vAlign w:val="center"/>
          </w:tcPr>
          <w:p w:rsidR="00292C07" w:rsidRPr="00E6145A" w:rsidRDefault="007810E3" w:rsidP="00636E04">
            <w:pPr>
              <w:jc w:val="left"/>
              <w:rPr>
                <w:noProof/>
              </w:rPr>
            </w:pPr>
            <w:r w:rsidRPr="00E6145A">
              <w:rPr>
                <w:noProof/>
              </w:rPr>
              <w:t>12. märts 2024</w:t>
            </w:r>
          </w:p>
        </w:tc>
      </w:tr>
      <w:tr w:rsidR="00292C07" w:rsidRPr="00E6145A" w:rsidTr="00636E04">
        <w:tc>
          <w:tcPr>
            <w:tcW w:w="6804" w:type="dxa"/>
          </w:tcPr>
          <w:p w:rsidR="00292C07" w:rsidRPr="00E6145A" w:rsidRDefault="00292C07">
            <w:pPr>
              <w:rPr>
                <w:noProof/>
              </w:rPr>
            </w:pPr>
            <w:r w:rsidRPr="00E6145A">
              <w:rPr>
                <w:noProof/>
              </w:rPr>
              <w:t>Muudetud ettepaneku edastamise kuupäev:</w:t>
            </w:r>
          </w:p>
        </w:tc>
        <w:tc>
          <w:tcPr>
            <w:tcW w:w="2483" w:type="dxa"/>
            <w:vAlign w:val="center"/>
          </w:tcPr>
          <w:p w:rsidR="00292C07" w:rsidRPr="00E6145A" w:rsidRDefault="001B19DA" w:rsidP="00636E04">
            <w:pPr>
              <w:jc w:val="left"/>
              <w:rPr>
                <w:noProof/>
              </w:rPr>
            </w:pPr>
            <w:r w:rsidRPr="00E6145A">
              <w:rPr>
                <w:noProof/>
              </w:rPr>
              <w:t>puudub</w:t>
            </w:r>
          </w:p>
        </w:tc>
      </w:tr>
      <w:tr w:rsidR="00292C07" w:rsidRPr="00E6145A" w:rsidTr="00636E04">
        <w:tc>
          <w:tcPr>
            <w:tcW w:w="6804" w:type="dxa"/>
          </w:tcPr>
          <w:p w:rsidR="00292C07" w:rsidRPr="00E6145A" w:rsidRDefault="00292C07">
            <w:pPr>
              <w:rPr>
                <w:noProof/>
              </w:rPr>
            </w:pPr>
            <w:r w:rsidRPr="00E6145A">
              <w:rPr>
                <w:noProof/>
              </w:rPr>
              <w:t>Nõukogu seisukoha vastuvõtmise kuupäev:</w:t>
            </w:r>
          </w:p>
        </w:tc>
        <w:tc>
          <w:tcPr>
            <w:tcW w:w="2483" w:type="dxa"/>
            <w:vAlign w:val="center"/>
          </w:tcPr>
          <w:p w:rsidR="00292C07" w:rsidRPr="00E6145A" w:rsidRDefault="00636E04" w:rsidP="00636E04">
            <w:pPr>
              <w:jc w:val="left"/>
              <w:rPr>
                <w:noProof/>
              </w:rPr>
            </w:pPr>
            <w:r w:rsidRPr="00E6145A">
              <w:rPr>
                <w:noProof/>
              </w:rPr>
              <w:t>[8. juuli 2025]</w:t>
            </w:r>
          </w:p>
        </w:tc>
      </w:tr>
    </w:tbl>
    <w:p w:rsidR="00292C07" w:rsidRPr="00E6145A" w:rsidRDefault="00292C07">
      <w:pPr>
        <w:pStyle w:val="ManualHeading1"/>
        <w:rPr>
          <w:noProof/>
        </w:rPr>
      </w:pPr>
      <w:r w:rsidRPr="00E6145A">
        <w:rPr>
          <w:noProof/>
        </w:rPr>
        <w:t>2.</w:t>
      </w:r>
      <w:r w:rsidRPr="00E6145A">
        <w:rPr>
          <w:noProof/>
        </w:rPr>
        <w:tab/>
        <w:t>Komisjoni ettepaneku eesmärk</w:t>
      </w:r>
    </w:p>
    <w:p w:rsidR="00292C07" w:rsidRPr="00E6145A" w:rsidRDefault="001B19DA">
      <w:pPr>
        <w:rPr>
          <w:noProof/>
        </w:rPr>
      </w:pPr>
      <w:r w:rsidRPr="00E6145A">
        <w:rPr>
          <w:noProof/>
        </w:rPr>
        <w:t>Käesoleva ettepaneku eesmärk on hõlbustada teabe jagamist ametiasutuste vahel ja selle taaskasutamist ning vältida liigset aruandlust finantssektori ettevõtjate ja muude finantsturu osaliste poolt, kes peavad esitama andmeid mitmesugustele finantssüsteemi üle järelevalvet tegevatele riiklikele ja ELi asutustele. Eraldi paneb komisjon sama ettepaneku raames ette vähendada programmi „InvestEU“ kohta aruannete esitamise sagedust.</w:t>
      </w:r>
    </w:p>
    <w:p w:rsidR="00292C07" w:rsidRPr="00E6145A" w:rsidRDefault="00292C07">
      <w:pPr>
        <w:pStyle w:val="ManualHeading1"/>
        <w:rPr>
          <w:noProof/>
        </w:rPr>
      </w:pPr>
      <w:r w:rsidRPr="00E6145A">
        <w:rPr>
          <w:noProof/>
        </w:rPr>
        <w:t>3.</w:t>
      </w:r>
      <w:r w:rsidRPr="00E6145A">
        <w:rPr>
          <w:noProof/>
        </w:rPr>
        <w:tab/>
        <w:t>Märkused nõukogu seisukoha kohta</w:t>
      </w:r>
    </w:p>
    <w:p w:rsidR="00292C07" w:rsidRPr="00E6145A" w:rsidRDefault="001B19DA">
      <w:pPr>
        <w:widowControl w:val="0"/>
        <w:rPr>
          <w:noProof/>
        </w:rPr>
      </w:pPr>
      <w:r w:rsidRPr="00E6145A">
        <w:rPr>
          <w:noProof/>
        </w:rPr>
        <w:t>Esimesel lugemisel vastu võetud nõukogu seisukoht kajastab täielikult Euroopa Parlamendi ja nõukogu vahel 17. detsembril 2024 saavutatud poliitilist kokkulepet. Komisjon toetab seda kokkulepet. Selle kokkuleppe põhipunktid on järgmised.</w:t>
      </w:r>
    </w:p>
    <w:p w:rsidR="00DB41F4" w:rsidRPr="00E6145A" w:rsidRDefault="008B0DCF" w:rsidP="000C5213">
      <w:pPr>
        <w:pStyle w:val="Bullet0"/>
        <w:numPr>
          <w:ilvl w:val="0"/>
          <w:numId w:val="5"/>
        </w:numPr>
        <w:rPr>
          <w:noProof/>
        </w:rPr>
      </w:pPr>
      <w:r w:rsidRPr="00E6145A">
        <w:rPr>
          <w:noProof/>
        </w:rPr>
        <w:t>Andmete jagamise kohustuse kohaldamisala osas leppisid kaasseadusandjad kokku, et see hõlmab kõiki ELi tasandi asutusi, kes teevad järelevalvet finantssüsteemi üle: kolm Euroopa järelevalveasutust (st Euroopa Pangandusjärelevalve, Euroopa Väärtpaberiturujärelevalve ning Euroopa Kindlustus- ja Tööandjapensionide Järelevalve), Euroopa Süsteemsete Riskide Nõukogu, Ühtne Kriisilahendusnõukogu, Euroopa Keskpank kui ühtse järelevalvemehhanismi pädev asutus ning Rahapesu ja Terrorismi Rahastamise Tõkestamise Amet. Kaasseadusandjad jätsid andmete jagamise kohustuse kohaldamisalast välja riiklikud pädevad asutused ja seepärast jääb nendega andmete jagamine lisaks ELi õiguses juba ettenähtule vabatahtlikuks. Komisjon peab seda konkreetset tulemust kahetsusväärseks (vt komisjoni avaldus lisas), sest see vähendab algatuse koormuse vähendamise potentsiaali, kuid ta nõustub sellega kompromissina.</w:t>
      </w:r>
    </w:p>
    <w:p w:rsidR="008B0DCF" w:rsidRPr="00E6145A" w:rsidRDefault="008B0DCF" w:rsidP="008B0DCF">
      <w:pPr>
        <w:pStyle w:val="Bullet0"/>
        <w:rPr>
          <w:noProof/>
        </w:rPr>
      </w:pPr>
      <w:r w:rsidRPr="00E6145A">
        <w:rPr>
          <w:noProof/>
        </w:rPr>
        <w:t xml:space="preserve">Integreeritud aruandlussüsteemi osas, nagu Euroopa Parlament oma esimesel lugemisel võetud seisukohas esitas, nõutakse määruses, et Euroopa järelevalveasutused koostaksid aruande, milles esitatakse tegevuskava sektoriülese integreeritud aruandlussüsteemi rakendamiseks, tuginedes Euroopa järelevalveasutuste käimasolevale valdkondlikule tööle. Euroopa järelevalveasutuste teises aruandes andmete jagamise takistuste kohta lepiti kokku eraldi ja see tuleb esitada kahe aasta pärast ja seda tuleb vajaduse korral korrapäraselt ajakohastada. </w:t>
      </w:r>
      <w:r w:rsidRPr="00E6145A">
        <w:rPr>
          <w:rStyle w:val="Hyperlink"/>
          <w:noProof/>
          <w:u w:val="none"/>
        </w:rPr>
        <w:t>Kaasseadusandjad ei kiitnud siiski heaks selle kokkuleppe mõju ressurssidele</w:t>
      </w:r>
      <w:r w:rsidRPr="00E6145A">
        <w:rPr>
          <w:noProof/>
        </w:rPr>
        <w:t>, mille komisjon esitas institutsioonidevahelistel läbirääkimistel, ning seetõttu ei eraldata Euroopa järelevalveasutuste selle töö jaoks lisavahendeid.</w:t>
      </w:r>
    </w:p>
    <w:p w:rsidR="008B0DCF" w:rsidRPr="00E6145A" w:rsidRDefault="008B0DCF" w:rsidP="008B0DCF">
      <w:pPr>
        <w:pStyle w:val="Bullet0"/>
        <w:rPr>
          <w:noProof/>
        </w:rPr>
      </w:pPr>
      <w:r w:rsidRPr="00E6145A">
        <w:rPr>
          <w:noProof/>
        </w:rPr>
        <w:t>Andmete jagamist käsitlevate vastastikuse mõistmise memorandumite osas leppisid kaasseadusandjad kokku, et ametiasutused võivad sõlmida teabe vahetamise korra kohta vastastikuse mõistmise memorandumi. Komisjon võib töötada ametiasutuste jaoks välja mittesiduvad suunised, et panna paika vastastikuse mõistmise memorandumi peamised aspektid.</w:t>
      </w:r>
    </w:p>
    <w:p w:rsidR="008B0DCF" w:rsidRPr="00E6145A" w:rsidRDefault="008B0DCF" w:rsidP="008B0DCF">
      <w:pPr>
        <w:pStyle w:val="Bullet0"/>
        <w:rPr>
          <w:noProof/>
        </w:rPr>
      </w:pPr>
      <w:r w:rsidRPr="00E6145A">
        <w:rPr>
          <w:noProof/>
        </w:rPr>
        <w:t>Seoses kohustusega taotleda andmeid teistelt asutustelt (põhimõte „üks aruanne“) leppisid kaasseadusandjad kokku asutuste kohustuses taotleda andmeid teistelt asutustelt, kellel need on juba olemas, mitte aruandvatelt üksustelt, võttes samal ajal arvesse, et võib esineda juhtumeid, kus asutused vajavad paindlikkust, et pöörduda otse finantsasutuste poole.</w:t>
      </w:r>
    </w:p>
    <w:p w:rsidR="008B0DCF" w:rsidRPr="00E6145A" w:rsidRDefault="008B0DCF" w:rsidP="008B0DCF">
      <w:pPr>
        <w:pStyle w:val="Bullet0"/>
        <w:rPr>
          <w:noProof/>
        </w:rPr>
      </w:pPr>
      <w:r w:rsidRPr="00E6145A">
        <w:rPr>
          <w:noProof/>
        </w:rPr>
        <w:t>Seoses andmete jagamisega teadusuuringute ja innovatsiooni eesmärgil soodustatakse kokkuleppega andmete taaskasutamist teadusuuringute ja innovatsiooni eesmärgil, tingimusel et andmeid käsitletakse asjakohaselt, et need anonüümida ja kaitsta konfidentsiaalset teavet. Nagu ka komisjoni ettepanekus, on andmete jagamine kolmandate isikutega teadusuuringute ja innovatsiooni eesmärgil vabatahtlik, ning kaasseadusandjad täpsustasid, et andmesubjekte ja liikmesriike ei tohiks identifitseerida. Seevastu ei jõutud kokkuleppele andmete komisjoniga jagamise osas, mille kohta komisjon oli teinud ettepaneku, et suurendada suutlikkust hinnata oma ettepanekute mõju viisil, mis takistaks üksikute üksuste kindlakstegemist.</w:t>
      </w:r>
    </w:p>
    <w:p w:rsidR="003871B1" w:rsidRPr="00E6145A" w:rsidRDefault="008B0DCF" w:rsidP="003871B1">
      <w:pPr>
        <w:pStyle w:val="Bullet0"/>
        <w:rPr>
          <w:noProof/>
        </w:rPr>
      </w:pPr>
      <w:r w:rsidRPr="00E6145A">
        <w:rPr>
          <w:noProof/>
        </w:rPr>
        <w:t>InvestEU määruse kavandatud muudatuste osas lepiti kokku, et need säilitatakse vastavalt komisjoni ettepanekule.</w:t>
      </w:r>
    </w:p>
    <w:p w:rsidR="00292C07" w:rsidRPr="00E6145A" w:rsidRDefault="00292C07">
      <w:pPr>
        <w:pStyle w:val="ManualHeading1"/>
        <w:rPr>
          <w:noProof/>
        </w:rPr>
      </w:pPr>
      <w:r w:rsidRPr="00E6145A">
        <w:rPr>
          <w:noProof/>
        </w:rPr>
        <w:t>4.</w:t>
      </w:r>
      <w:r w:rsidRPr="00E6145A">
        <w:rPr>
          <w:noProof/>
        </w:rPr>
        <w:tab/>
        <w:t>Järeldus</w:t>
      </w:r>
    </w:p>
    <w:p w:rsidR="00292C07" w:rsidRPr="00E6145A" w:rsidRDefault="001B19DA">
      <w:pPr>
        <w:rPr>
          <w:noProof/>
        </w:rPr>
      </w:pPr>
      <w:r w:rsidRPr="00E6145A">
        <w:rPr>
          <w:noProof/>
        </w:rPr>
        <w:t>Komisjon toetab institutsioonidevaheliste läbirääkimiste tulemusi ja võib seega nõukogus esimesel lugemisel võetud seisukohaga nõustuda, kuid märgib samas, et kompromisstekst nõrgendab võrreldes komisjoni ettepanekuga koormuse vähendamise potentsiaali.</w:t>
      </w:r>
    </w:p>
    <w:p w:rsidR="001B19DA" w:rsidRPr="00E6145A" w:rsidRDefault="001B19DA" w:rsidP="001B19DA">
      <w:pPr>
        <w:pStyle w:val="ManualHeading1"/>
        <w:rPr>
          <w:noProof/>
        </w:rPr>
      </w:pPr>
      <w:r w:rsidRPr="00E6145A">
        <w:rPr>
          <w:noProof/>
        </w:rPr>
        <w:t>5.</w:t>
      </w:r>
      <w:r w:rsidRPr="00E6145A">
        <w:rPr>
          <w:noProof/>
        </w:rPr>
        <w:tab/>
        <w:t>Komisjoni avaldused</w:t>
      </w:r>
    </w:p>
    <w:p w:rsidR="001B19DA" w:rsidRPr="00E6145A" w:rsidRDefault="001B19DA" w:rsidP="00282B10">
      <w:pPr>
        <w:rPr>
          <w:noProof/>
          <w:sz w:val="28"/>
        </w:rPr>
      </w:pPr>
      <w:r w:rsidRPr="00E6145A">
        <w:rPr>
          <w:noProof/>
        </w:rPr>
        <w:t>Komisjon esitas 2. aprillil 2025 COREPER II koosoleku protokolli avalduse, mis on esitatud liites.</w:t>
      </w:r>
    </w:p>
    <w:p w:rsidR="001B19DA" w:rsidRPr="00E6145A" w:rsidRDefault="001B19DA" w:rsidP="001B19DA">
      <w:pPr>
        <w:autoSpaceDE w:val="0"/>
        <w:autoSpaceDN w:val="0"/>
        <w:adjustRightInd w:val="0"/>
        <w:jc w:val="center"/>
        <w:rPr>
          <w:b/>
          <w:bCs/>
          <w:noProof/>
        </w:rPr>
      </w:pPr>
      <w:r w:rsidRPr="00E6145A">
        <w:rPr>
          <w:noProof/>
        </w:rPr>
        <w:br w:type="page"/>
      </w:r>
      <w:r w:rsidRPr="00E6145A">
        <w:rPr>
          <w:b/>
          <w:noProof/>
        </w:rPr>
        <w:t>LIIDE</w:t>
      </w:r>
    </w:p>
    <w:p w:rsidR="001B19DA" w:rsidRPr="00E6145A" w:rsidRDefault="001B19DA" w:rsidP="001B19DA">
      <w:pPr>
        <w:jc w:val="center"/>
        <w:rPr>
          <w:noProof/>
        </w:rPr>
      </w:pPr>
      <w:r w:rsidRPr="00E6145A">
        <w:rPr>
          <w:b/>
          <w:noProof/>
        </w:rPr>
        <w:t>Komisjoni avaldused</w:t>
      </w:r>
    </w:p>
    <w:p w:rsidR="001B19DA" w:rsidRPr="00E6145A" w:rsidRDefault="001B19DA" w:rsidP="001B19DA">
      <w:pPr>
        <w:rPr>
          <w:noProof/>
        </w:rPr>
      </w:pPr>
    </w:p>
    <w:p w:rsidR="001B19DA" w:rsidRPr="00E6145A" w:rsidRDefault="00B0685C" w:rsidP="001B19DA">
      <w:pPr>
        <w:rPr>
          <w:noProof/>
        </w:rPr>
      </w:pPr>
      <w:r w:rsidRPr="00E6145A">
        <w:rPr>
          <w:noProof/>
        </w:rPr>
        <w:t>2. aprillil 2025 COREPER II koosoleku protokolli kantud komisjoni avaldus:</w:t>
      </w:r>
    </w:p>
    <w:p w:rsidR="001B19DA" w:rsidRPr="00E6145A" w:rsidRDefault="001B19DA" w:rsidP="001B19DA">
      <w:pPr>
        <w:pStyle w:val="Point2"/>
        <w:rPr>
          <w:noProof/>
        </w:rPr>
      </w:pPr>
    </w:p>
    <w:p w:rsidR="004E26DC" w:rsidRDefault="00202A59" w:rsidP="00062BBB">
      <w:pPr>
        <w:pStyle w:val="Text1"/>
        <w:rPr>
          <w:noProof/>
        </w:rPr>
      </w:pPr>
      <w:r w:rsidRPr="00E6145A">
        <w:rPr>
          <w:noProof/>
        </w:rPr>
        <w:t>„Komisjon on kindlalt pühendunud koormuse vähendamisele.</w:t>
      </w:r>
      <w:r w:rsidRPr="00E6145A">
        <w:rPr>
          <w:i/>
          <w:noProof/>
        </w:rPr>
        <w:t xml:space="preserve"> 17. detsembril toimunud kolmepoolsel kohtumisel saavutatud kokkulepe on oluline samm süsteemi suunas, kus andmeid esitatakse üks kord ning seejärel jagatakse ja taaskasutatakse nii palju kui võimalik. Komisjon avaldab siiski sügavat kahetsust, et ettepaneku koormuse vähendamise potentsiaal on pärast otsust mitte kaasata andmete jagamise kohustuste kohaldamisalasse riiklikke pädevaid asutusi märkimisväärselt nõrgenenud. Halduskoormuse vähendamine on ühine eesmärk, mida riigipead ja valitsusjuhid sageli avalikult meelde tuletavad (vt Euroopa Ülemkogu 17.–18. aprilli 2024. aasta järeldused kapitaliturgude liidu kohta), ning kõik institutsioonid peaksid püüdma ellu viia lihtsustusi ELi ettevõtjate jaoks. </w:t>
      </w:r>
      <w:r w:rsidRPr="00E6145A">
        <w:rPr>
          <w:noProof/>
        </w:rPr>
        <w:t>Komisjon jätkab selle eesmärgi toetamist, sealhulgas ELi finantsteenuste järelevalveandmete strateegia jätkuva rakendamise ja integreeritud aruandluse vallas tehtava töö kaudu.“</w:t>
      </w:r>
    </w:p>
    <w:p w:rsidR="001B19DA" w:rsidRPr="00E6145A" w:rsidRDefault="001B19DA" w:rsidP="00062BBB">
      <w:pPr>
        <w:pStyle w:val="Text1"/>
        <w:rPr>
          <w:noProof/>
        </w:rPr>
      </w:pPr>
    </w:p>
    <w:sectPr w:rsidR="001B19DA" w:rsidRPr="00E6145A" w:rsidSect="000757CD">
      <w:headerReference w:type="even" r:id="rId14"/>
      <w:footerReference w:type="even" r:id="rId15"/>
      <w:footerReference w:type="default" r:id="rId16"/>
      <w:headerReference w:type="first" r:id="rId17"/>
      <w:footerReference w:type="first" r:id="rId18"/>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31B6" w:rsidRPr="000672BD" w:rsidRDefault="00AF31B6" w:rsidP="00292C07">
      <w:pPr>
        <w:spacing w:before="0" w:after="0"/>
      </w:pPr>
      <w:r>
        <w:separator/>
      </w:r>
    </w:p>
  </w:endnote>
  <w:endnote w:type="continuationSeparator" w:id="0">
    <w:p w:rsidR="00AF31B6" w:rsidRPr="000672BD" w:rsidRDefault="00AF31B6" w:rsidP="00292C07">
      <w:pPr>
        <w:spacing w:before="0" w:after="0"/>
      </w:pPr>
      <w:r>
        <w:continuationSeparator/>
      </w:r>
    </w:p>
  </w:endnote>
  <w:endnote w:type="continuationNotice" w:id="1">
    <w:p w:rsidR="00AF31B6" w:rsidRPr="000672BD" w:rsidRDefault="00AF31B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57CD" w:rsidRPr="000757CD" w:rsidRDefault="000757CD" w:rsidP="000757CD">
    <w:pPr>
      <w:pStyle w:val="Footer"/>
      <w:rPr>
        <w:rFonts w:ascii="Arial" w:hAnsi="Arial" w:cs="Arial"/>
        <w:b/>
        <w:sz w:val="48"/>
      </w:rPr>
    </w:pPr>
    <w:r w:rsidRPr="000757CD">
      <w:rPr>
        <w:rFonts w:ascii="Arial" w:hAnsi="Arial" w:cs="Arial"/>
        <w:b/>
        <w:sz w:val="48"/>
      </w:rPr>
      <w:t>ET</w:t>
    </w:r>
    <w:r w:rsidRPr="000757CD">
      <w:rPr>
        <w:rFonts w:ascii="Arial" w:hAnsi="Arial" w:cs="Arial"/>
        <w:b/>
        <w:sz w:val="48"/>
      </w:rPr>
      <w:tab/>
    </w:r>
    <w:r w:rsidRPr="000757CD">
      <w:rPr>
        <w:rFonts w:ascii="Arial" w:hAnsi="Arial" w:cs="Arial"/>
        <w:b/>
        <w:sz w:val="48"/>
      </w:rPr>
      <w:tab/>
    </w:r>
    <w:r w:rsidRPr="000757CD">
      <w:tab/>
    </w:r>
    <w:r w:rsidRPr="000757CD">
      <w:rPr>
        <w:rFonts w:ascii="Arial" w:hAnsi="Arial" w:cs="Arial"/>
        <w:b/>
        <w:sz w:val="48"/>
      </w:rPr>
      <w:t>ET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57CD" w:rsidRPr="000757CD" w:rsidRDefault="000757CD" w:rsidP="000757CD">
    <w:pPr>
      <w:pStyle w:val="Footer"/>
      <w:rPr>
        <w:rFonts w:ascii="Arial" w:hAnsi="Arial" w:cs="Arial"/>
        <w:b/>
        <w:sz w:val="48"/>
      </w:rPr>
    </w:pPr>
    <w:r w:rsidRPr="000757CD">
      <w:rPr>
        <w:rFonts w:ascii="Arial" w:hAnsi="Arial" w:cs="Arial"/>
        <w:b/>
        <w:sz w:val="48"/>
      </w:rPr>
      <w:t>ET</w:t>
    </w:r>
    <w:r w:rsidRPr="000757CD">
      <w:rPr>
        <w:rFonts w:ascii="Arial" w:hAnsi="Arial" w:cs="Arial"/>
        <w:b/>
        <w:sz w:val="48"/>
      </w:rPr>
      <w:tab/>
    </w:r>
    <w:r w:rsidRPr="000757CD">
      <w:rPr>
        <w:rFonts w:ascii="Arial" w:hAnsi="Arial" w:cs="Arial"/>
        <w:b/>
        <w:sz w:val="48"/>
      </w:rPr>
      <w:tab/>
    </w:r>
    <w:r w:rsidRPr="000757CD">
      <w:tab/>
    </w:r>
    <w:r w:rsidRPr="000757CD">
      <w:rPr>
        <w:rFonts w:ascii="Arial" w:hAnsi="Arial" w:cs="Arial"/>
        <w:b/>
        <w:sz w:val="48"/>
      </w:rPr>
      <w:t>ET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57CD" w:rsidRDefault="000757C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57CD" w:rsidRPr="000757CD" w:rsidRDefault="000757CD" w:rsidP="000757CD">
    <w:pPr>
      <w:pStyle w:val="Footer"/>
      <w:rPr>
        <w:rFonts w:ascii="Arial" w:hAnsi="Arial" w:cs="Arial"/>
        <w:b/>
        <w:sz w:val="48"/>
      </w:rPr>
    </w:pPr>
    <w:r w:rsidRPr="000757CD">
      <w:rPr>
        <w:rFonts w:ascii="Arial" w:hAnsi="Arial" w:cs="Arial"/>
        <w:b/>
        <w:sz w:val="48"/>
      </w:rPr>
      <w:t>ET</w:t>
    </w:r>
    <w:r w:rsidRPr="000757CD">
      <w:rPr>
        <w:rFonts w:ascii="Arial" w:hAnsi="Arial" w:cs="Arial"/>
        <w:b/>
        <w:sz w:val="48"/>
      </w:rPr>
      <w:tab/>
    </w:r>
    <w:r>
      <w:fldChar w:fldCharType="begin"/>
    </w:r>
    <w:r>
      <w:instrText xml:space="preserve"> PAGE  \* MERGEFORMAT </w:instrText>
    </w:r>
    <w:r>
      <w:fldChar w:fldCharType="separate"/>
    </w:r>
    <w:r w:rsidR="004E26DC">
      <w:rPr>
        <w:noProof/>
      </w:rPr>
      <w:t>3</w:t>
    </w:r>
    <w:r>
      <w:fldChar w:fldCharType="end"/>
    </w:r>
    <w:r>
      <w:tab/>
    </w:r>
    <w:r w:rsidRPr="000757CD">
      <w:tab/>
    </w:r>
    <w:r w:rsidRPr="000757CD">
      <w:rPr>
        <w:rFonts w:ascii="Arial" w:hAnsi="Arial" w:cs="Arial"/>
        <w:b/>
        <w:sz w:val="48"/>
      </w:rPr>
      <w:t>ET</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57CD" w:rsidRDefault="000757CD" w:rsidP="000757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31B6" w:rsidRPr="000672BD" w:rsidRDefault="00AF31B6" w:rsidP="00292C07">
      <w:pPr>
        <w:spacing w:before="0" w:after="0"/>
      </w:pPr>
      <w:r>
        <w:separator/>
      </w:r>
    </w:p>
  </w:footnote>
  <w:footnote w:type="continuationSeparator" w:id="0">
    <w:p w:rsidR="00AF31B6" w:rsidRPr="000672BD" w:rsidRDefault="00AF31B6" w:rsidP="00292C07">
      <w:pPr>
        <w:spacing w:before="0" w:after="0"/>
      </w:pPr>
      <w:r>
        <w:continuationSeparator/>
      </w:r>
    </w:p>
  </w:footnote>
  <w:footnote w:type="continuationNotice" w:id="1">
    <w:p w:rsidR="00AF31B6" w:rsidRPr="000672BD" w:rsidRDefault="00AF31B6">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57CD" w:rsidRDefault="000757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57CD" w:rsidRDefault="000757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999EDF56"/>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1B48164C"/>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3B22F67A"/>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6F56C0A2"/>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6"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0"/>
  </w:num>
  <w:num w:numId="2">
    <w:abstractNumId w:val="3"/>
  </w:num>
  <w:num w:numId="3">
    <w:abstractNumId w:val="2"/>
  </w:num>
  <w:num w:numId="4">
    <w:abstractNumId w:val="1"/>
  </w:num>
  <w:num w:numId="5">
    <w:abstractNumId w:val="11"/>
    <w:lvlOverride w:ilvl="0">
      <w:startOverride w:val="1"/>
    </w:lvlOverride>
  </w:num>
  <w:num w:numId="6">
    <w:abstractNumId w:val="15"/>
  </w:num>
  <w:num w:numId="7">
    <w:abstractNumId w:val="8"/>
  </w:num>
  <w:num w:numId="8">
    <w:abstractNumId w:val="17"/>
  </w:num>
  <w:num w:numId="9">
    <w:abstractNumId w:val="7"/>
  </w:num>
  <w:num w:numId="10">
    <w:abstractNumId w:val="9"/>
  </w:num>
  <w:num w:numId="11">
    <w:abstractNumId w:val="10"/>
  </w:num>
  <w:num w:numId="12">
    <w:abstractNumId w:val="5"/>
  </w:num>
  <w:num w:numId="13">
    <w:abstractNumId w:val="16"/>
  </w:num>
  <w:num w:numId="14">
    <w:abstractNumId w:val="4"/>
  </w:num>
  <w:num w:numId="15">
    <w:abstractNumId w:val="11"/>
  </w:num>
  <w:num w:numId="16">
    <w:abstractNumId w:val="13"/>
  </w:num>
  <w:num w:numId="17">
    <w:abstractNumId w:val="14"/>
  </w:num>
  <w:num w:numId="18">
    <w:abstractNumId w:val="6"/>
  </w:num>
  <w:num w:numId="19">
    <w:abstractNumId w:val="12"/>
  </w:num>
  <w:num w:numId="20">
    <w:abstractNumId w:val="18"/>
  </w:num>
  <w:num w:numId="21">
    <w:abstractNumId w:val="15"/>
  </w:num>
  <w:num w:numId="22">
    <w:abstractNumId w:val="8"/>
  </w:num>
  <w:num w:numId="23">
    <w:abstractNumId w:val="17"/>
  </w:num>
  <w:num w:numId="24">
    <w:abstractNumId w:val="7"/>
  </w:num>
  <w:num w:numId="25">
    <w:abstractNumId w:val="9"/>
  </w:num>
  <w:num w:numId="26">
    <w:abstractNumId w:val="10"/>
  </w:num>
  <w:num w:numId="27">
    <w:abstractNumId w:val="5"/>
  </w:num>
  <w:num w:numId="28">
    <w:abstractNumId w:val="16"/>
  </w:num>
  <w:num w:numId="29">
    <w:abstractNumId w:val="4"/>
  </w:num>
  <w:num w:numId="30">
    <w:abstractNumId w:val="11"/>
  </w:num>
  <w:num w:numId="31">
    <w:abstractNumId w:val="13"/>
  </w:num>
  <w:num w:numId="32">
    <w:abstractNumId w:val="14"/>
  </w:num>
  <w:num w:numId="33">
    <w:abstractNumId w:val="6"/>
  </w:num>
  <w:num w:numId="34">
    <w:abstractNumId w:val="12"/>
  </w:num>
  <w:num w:numId="35">
    <w:abstractNumId w:val="18"/>
  </w:num>
  <w:num w:numId="36">
    <w:abstractNumId w:val="15"/>
  </w:num>
  <w:num w:numId="37">
    <w:abstractNumId w:val="8"/>
  </w:num>
  <w:num w:numId="38">
    <w:abstractNumId w:val="17"/>
  </w:num>
  <w:num w:numId="39">
    <w:abstractNumId w:val="7"/>
  </w:num>
  <w:num w:numId="40">
    <w:abstractNumId w:val="9"/>
  </w:num>
  <w:num w:numId="41">
    <w:abstractNumId w:val="10"/>
  </w:num>
  <w:num w:numId="42">
    <w:abstractNumId w:val="5"/>
  </w:num>
  <w:num w:numId="43">
    <w:abstractNumId w:val="16"/>
  </w:num>
  <w:num w:numId="44">
    <w:abstractNumId w:val="4"/>
  </w:num>
  <w:num w:numId="45">
    <w:abstractNumId w:val="11"/>
  </w:num>
  <w:num w:numId="46">
    <w:abstractNumId w:val="13"/>
  </w:num>
  <w:num w:numId="47">
    <w:abstractNumId w:val="14"/>
  </w:num>
  <w:num w:numId="48">
    <w:abstractNumId w:val="6"/>
  </w:num>
  <w:num w:numId="49">
    <w:abstractNumId w:val="12"/>
  </w:num>
  <w:num w:numId="50">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5-07-17 16:26:13"/>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CCB27DD2-D44A-4578-BFC2-4889DC76D175"/>
    <w:docVar w:name="LW_COVERPAGE_TYPE" w:val="1"/>
    <w:docVar w:name="LW_CreatedUtc" w:val="2025-03-05T12:49:32.6622381Z"/>
    <w:docVar w:name="LW_CROSSREFERENCE" w:val="&lt;UNUSED&gt;"/>
    <w:docVar w:name="LW_DocType" w:val="COM"/>
    <w:docVar w:name="LW_EMISSION" w:val="18.7.2025"/>
    <w:docVar w:name="LW_EMISSION_ISODATE" w:val="2025-07-18"/>
    <w:docVar w:name="LW_EMISSION_LOCATION" w:val="BRX"/>
    <w:docVar w:name="LW_EMISSION_PREFIX" w:val="Brüssel,"/>
    <w:docVar w:name="LW_EMISSION_SUFFIX" w:val=" "/>
    <w:docVar w:name="LW_ID_DOCMODEL" w:val="SJ-028"/>
    <w:docVar w:name="LW_ID_DOCSTRUCTURE" w:val="COM/PL/CODEC"/>
    <w:docVar w:name="LW_ID_DOCTYPE" w:val="SJ-028"/>
    <w:docVar w:name="LW_INTERETEEE.CP" w:val="&lt;UNUSED&gt;"/>
    <w:docVar w:name="LW_LANGUE" w:val="ET"/>
    <w:docVar w:name="LW_LEVEL_OF_SENSITIVITY" w:val="Standard treatment"/>
    <w:docVar w:name="LW_NOM.INST" w:val="EUROOPA KOMISJON"/>
    <w:docVar w:name="LW_NOM.INST_JOINTDOC" w:val="&lt;EMPTY&gt;"/>
    <w:docVar w:name="LW_PART_NBR" w:val="1"/>
    <w:docVar w:name="LW_PART_NBR_TOTAL" w:val="1"/>
    <w:docVar w:name="LW_REF.II.NEW.CP" w:val="COD"/>
    <w:docVar w:name="LW_REF.II.NEW.CP_NUMBER" w:val="0363"/>
    <w:docVar w:name="LW_REF.II.NEW.CP_YEAR" w:val="2023"/>
    <w:docVar w:name="LW_REF.INST.NEW" w:val="COM"/>
    <w:docVar w:name="LW_REF.INST.NEW_ADOPTED" w:val="final"/>
    <w:docVar w:name="LW_REF.INST.NEW_TEXT" w:val="(2025) 429"/>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nõukogu seisukohta seoses järgmise õigusakti vastuvõtmisega, Euroopa Parlamendi ja nõukogu määrus, millega muudetakse määrusi (EL) nr 1092/2010, (EL) nr 1093/2010, (EL) nr 1094/2010, (EL) nr 1095/2010, (EL) nr 806/2014, (EL) 2021/523 ja (EL) 2024/1620 seoses teatavate aruandlusnõuetega finantsteenuste ja investeerimistoetuse valdkonnas"/>
    <w:docVar w:name="LW_TYPE.DOC.CP" w:val="KOMISJONI TEATIS_x000b_EUROOPA PARLAMENDILE,_x000b__x000b_mis on esitatud Euroopa Liidu toimimise lepingu artikli 294 lõike 6 alusel_x000b__x000b_ning milles käsitletakse"/>
    <w:docVar w:name="LwApiVersions" w:val="LW4CoDe 1.24.5.0; LW 9.0, Build 20240221"/>
    <w:docVar w:name="Stamp" w:val="\\dossiers.dgt.cec.eu.int\dossiers\FISMA\FISMA-2025-00455\FISMA-2025-00455-00-00-EN-EDT-00.202504280853472873199.DOCX"/>
  </w:docVars>
  <w:rsids>
    <w:rsidRoot w:val="00292C07"/>
    <w:rsid w:val="000146DA"/>
    <w:rsid w:val="00021A79"/>
    <w:rsid w:val="00027BEF"/>
    <w:rsid w:val="00033287"/>
    <w:rsid w:val="000357C4"/>
    <w:rsid w:val="00035F26"/>
    <w:rsid w:val="00037669"/>
    <w:rsid w:val="0005353C"/>
    <w:rsid w:val="00057CBC"/>
    <w:rsid w:val="00057E46"/>
    <w:rsid w:val="000619CE"/>
    <w:rsid w:val="00062BBB"/>
    <w:rsid w:val="000634E3"/>
    <w:rsid w:val="000672BD"/>
    <w:rsid w:val="0007065C"/>
    <w:rsid w:val="000757CD"/>
    <w:rsid w:val="000A6746"/>
    <w:rsid w:val="000A756A"/>
    <w:rsid w:val="000B2E20"/>
    <w:rsid w:val="000B5FEA"/>
    <w:rsid w:val="000C5213"/>
    <w:rsid w:val="000D468C"/>
    <w:rsid w:val="000E07CC"/>
    <w:rsid w:val="000F1B4C"/>
    <w:rsid w:val="00105D48"/>
    <w:rsid w:val="001065F5"/>
    <w:rsid w:val="00106F5D"/>
    <w:rsid w:val="00120A31"/>
    <w:rsid w:val="001238EF"/>
    <w:rsid w:val="00131711"/>
    <w:rsid w:val="00136742"/>
    <w:rsid w:val="00142DC5"/>
    <w:rsid w:val="001477B1"/>
    <w:rsid w:val="00162D8B"/>
    <w:rsid w:val="00163C8D"/>
    <w:rsid w:val="00197613"/>
    <w:rsid w:val="001B17A3"/>
    <w:rsid w:val="001B19DA"/>
    <w:rsid w:val="001C64B6"/>
    <w:rsid w:val="001D3809"/>
    <w:rsid w:val="00202A59"/>
    <w:rsid w:val="002273DC"/>
    <w:rsid w:val="00233B5E"/>
    <w:rsid w:val="00233DC7"/>
    <w:rsid w:val="0023546B"/>
    <w:rsid w:val="00246872"/>
    <w:rsid w:val="00247779"/>
    <w:rsid w:val="00264C21"/>
    <w:rsid w:val="00266889"/>
    <w:rsid w:val="00275636"/>
    <w:rsid w:val="00282B10"/>
    <w:rsid w:val="00285BEE"/>
    <w:rsid w:val="00287E2C"/>
    <w:rsid w:val="00292C07"/>
    <w:rsid w:val="0029533F"/>
    <w:rsid w:val="00296D98"/>
    <w:rsid w:val="002B2025"/>
    <w:rsid w:val="002B30AF"/>
    <w:rsid w:val="002C1D20"/>
    <w:rsid w:val="002C2F65"/>
    <w:rsid w:val="002C7C74"/>
    <w:rsid w:val="002D79F1"/>
    <w:rsid w:val="002D7C38"/>
    <w:rsid w:val="002E3C3B"/>
    <w:rsid w:val="002E77AB"/>
    <w:rsid w:val="002E7FCF"/>
    <w:rsid w:val="002F149E"/>
    <w:rsid w:val="00304E91"/>
    <w:rsid w:val="003066BE"/>
    <w:rsid w:val="00312FDF"/>
    <w:rsid w:val="00313600"/>
    <w:rsid w:val="00313CE9"/>
    <w:rsid w:val="00316750"/>
    <w:rsid w:val="00326979"/>
    <w:rsid w:val="00332F50"/>
    <w:rsid w:val="0033344A"/>
    <w:rsid w:val="00337ED8"/>
    <w:rsid w:val="00340881"/>
    <w:rsid w:val="003426AF"/>
    <w:rsid w:val="00357E00"/>
    <w:rsid w:val="00384C16"/>
    <w:rsid w:val="003871B1"/>
    <w:rsid w:val="003958A4"/>
    <w:rsid w:val="003B1414"/>
    <w:rsid w:val="003B5D59"/>
    <w:rsid w:val="003C3B74"/>
    <w:rsid w:val="003D1F94"/>
    <w:rsid w:val="003E73C5"/>
    <w:rsid w:val="003F48B1"/>
    <w:rsid w:val="0041052C"/>
    <w:rsid w:val="004117DA"/>
    <w:rsid w:val="0042648E"/>
    <w:rsid w:val="0043362F"/>
    <w:rsid w:val="0045138D"/>
    <w:rsid w:val="0046152E"/>
    <w:rsid w:val="00475E9A"/>
    <w:rsid w:val="00481CAE"/>
    <w:rsid w:val="00485475"/>
    <w:rsid w:val="00492C45"/>
    <w:rsid w:val="004936D2"/>
    <w:rsid w:val="004A0086"/>
    <w:rsid w:val="004A61A3"/>
    <w:rsid w:val="004A7F59"/>
    <w:rsid w:val="004D60A8"/>
    <w:rsid w:val="004E26DC"/>
    <w:rsid w:val="004E394F"/>
    <w:rsid w:val="004E5F89"/>
    <w:rsid w:val="004E621E"/>
    <w:rsid w:val="004F087B"/>
    <w:rsid w:val="004F2007"/>
    <w:rsid w:val="004F7291"/>
    <w:rsid w:val="004F73C0"/>
    <w:rsid w:val="00507701"/>
    <w:rsid w:val="00511B23"/>
    <w:rsid w:val="00530527"/>
    <w:rsid w:val="0055481F"/>
    <w:rsid w:val="00565086"/>
    <w:rsid w:val="005815E1"/>
    <w:rsid w:val="00585AA0"/>
    <w:rsid w:val="005A29EE"/>
    <w:rsid w:val="005A3B10"/>
    <w:rsid w:val="005A5438"/>
    <w:rsid w:val="005B16C6"/>
    <w:rsid w:val="005B1EB6"/>
    <w:rsid w:val="005C23DC"/>
    <w:rsid w:val="005D207D"/>
    <w:rsid w:val="005F5066"/>
    <w:rsid w:val="00601905"/>
    <w:rsid w:val="00606E04"/>
    <w:rsid w:val="00611DBD"/>
    <w:rsid w:val="00616033"/>
    <w:rsid w:val="0061722B"/>
    <w:rsid w:val="00621A0E"/>
    <w:rsid w:val="00636E04"/>
    <w:rsid w:val="006538AE"/>
    <w:rsid w:val="006566CB"/>
    <w:rsid w:val="006630DB"/>
    <w:rsid w:val="00674A1D"/>
    <w:rsid w:val="00674F49"/>
    <w:rsid w:val="00685866"/>
    <w:rsid w:val="00693A4F"/>
    <w:rsid w:val="006B01B7"/>
    <w:rsid w:val="006B2A3D"/>
    <w:rsid w:val="006B4A1E"/>
    <w:rsid w:val="006B6569"/>
    <w:rsid w:val="006C55FD"/>
    <w:rsid w:val="006D5269"/>
    <w:rsid w:val="006E1279"/>
    <w:rsid w:val="006E21DF"/>
    <w:rsid w:val="006F0072"/>
    <w:rsid w:val="006F4DE1"/>
    <w:rsid w:val="0071397C"/>
    <w:rsid w:val="00725B63"/>
    <w:rsid w:val="00726575"/>
    <w:rsid w:val="0074143F"/>
    <w:rsid w:val="00746AB2"/>
    <w:rsid w:val="00752F12"/>
    <w:rsid w:val="007565A0"/>
    <w:rsid w:val="007603FD"/>
    <w:rsid w:val="00762992"/>
    <w:rsid w:val="00765AA7"/>
    <w:rsid w:val="00773331"/>
    <w:rsid w:val="00773921"/>
    <w:rsid w:val="00777F34"/>
    <w:rsid w:val="007810E3"/>
    <w:rsid w:val="007932EF"/>
    <w:rsid w:val="007C2C0B"/>
    <w:rsid w:val="007D3489"/>
    <w:rsid w:val="007E05B0"/>
    <w:rsid w:val="007E71DA"/>
    <w:rsid w:val="00802374"/>
    <w:rsid w:val="00830EA7"/>
    <w:rsid w:val="00831B9C"/>
    <w:rsid w:val="0084000D"/>
    <w:rsid w:val="00850019"/>
    <w:rsid w:val="00855405"/>
    <w:rsid w:val="00855DCD"/>
    <w:rsid w:val="008563EA"/>
    <w:rsid w:val="00860CA7"/>
    <w:rsid w:val="0087141D"/>
    <w:rsid w:val="00874D22"/>
    <w:rsid w:val="00891185"/>
    <w:rsid w:val="008973A3"/>
    <w:rsid w:val="008A2914"/>
    <w:rsid w:val="008A5EFD"/>
    <w:rsid w:val="008A78B8"/>
    <w:rsid w:val="008B0DCF"/>
    <w:rsid w:val="008B6EA8"/>
    <w:rsid w:val="008D024D"/>
    <w:rsid w:val="008D0CB8"/>
    <w:rsid w:val="008D1D24"/>
    <w:rsid w:val="008E4D8E"/>
    <w:rsid w:val="008F4A48"/>
    <w:rsid w:val="008F6A8E"/>
    <w:rsid w:val="00903C17"/>
    <w:rsid w:val="009146E9"/>
    <w:rsid w:val="00915BDF"/>
    <w:rsid w:val="00916A8D"/>
    <w:rsid w:val="009222DC"/>
    <w:rsid w:val="009324AC"/>
    <w:rsid w:val="009351D2"/>
    <w:rsid w:val="00942AF3"/>
    <w:rsid w:val="009442D5"/>
    <w:rsid w:val="009467B7"/>
    <w:rsid w:val="00946BA7"/>
    <w:rsid w:val="00954B83"/>
    <w:rsid w:val="009A70A0"/>
    <w:rsid w:val="009A710E"/>
    <w:rsid w:val="009B0707"/>
    <w:rsid w:val="009B3C22"/>
    <w:rsid w:val="009B57DA"/>
    <w:rsid w:val="009C5226"/>
    <w:rsid w:val="009D697E"/>
    <w:rsid w:val="009E146A"/>
    <w:rsid w:val="009E7B10"/>
    <w:rsid w:val="009E7C2F"/>
    <w:rsid w:val="009F5EE3"/>
    <w:rsid w:val="00A12E42"/>
    <w:rsid w:val="00A22AD1"/>
    <w:rsid w:val="00A26211"/>
    <w:rsid w:val="00A40EE9"/>
    <w:rsid w:val="00A473C1"/>
    <w:rsid w:val="00A50A3D"/>
    <w:rsid w:val="00A62104"/>
    <w:rsid w:val="00A810BF"/>
    <w:rsid w:val="00A86468"/>
    <w:rsid w:val="00A92CB5"/>
    <w:rsid w:val="00AD5144"/>
    <w:rsid w:val="00AE1862"/>
    <w:rsid w:val="00AF1D64"/>
    <w:rsid w:val="00AF31B6"/>
    <w:rsid w:val="00B0685C"/>
    <w:rsid w:val="00B11B0D"/>
    <w:rsid w:val="00B14CDB"/>
    <w:rsid w:val="00B169CA"/>
    <w:rsid w:val="00B24764"/>
    <w:rsid w:val="00B47D62"/>
    <w:rsid w:val="00B53D18"/>
    <w:rsid w:val="00B56124"/>
    <w:rsid w:val="00B63B0D"/>
    <w:rsid w:val="00B850B7"/>
    <w:rsid w:val="00B91CC8"/>
    <w:rsid w:val="00BA2433"/>
    <w:rsid w:val="00BA530A"/>
    <w:rsid w:val="00BA71A0"/>
    <w:rsid w:val="00BD25DB"/>
    <w:rsid w:val="00BF093E"/>
    <w:rsid w:val="00BF1D1C"/>
    <w:rsid w:val="00BF7465"/>
    <w:rsid w:val="00C12301"/>
    <w:rsid w:val="00C2278D"/>
    <w:rsid w:val="00C244B7"/>
    <w:rsid w:val="00C25FA6"/>
    <w:rsid w:val="00C27322"/>
    <w:rsid w:val="00C42695"/>
    <w:rsid w:val="00C52D74"/>
    <w:rsid w:val="00C669F3"/>
    <w:rsid w:val="00C771E1"/>
    <w:rsid w:val="00C81F93"/>
    <w:rsid w:val="00C863B1"/>
    <w:rsid w:val="00C87576"/>
    <w:rsid w:val="00C93CE4"/>
    <w:rsid w:val="00C952AF"/>
    <w:rsid w:val="00CA037B"/>
    <w:rsid w:val="00CA1824"/>
    <w:rsid w:val="00CA6CB5"/>
    <w:rsid w:val="00CB3BF0"/>
    <w:rsid w:val="00CC4DAD"/>
    <w:rsid w:val="00CC62D9"/>
    <w:rsid w:val="00CC785F"/>
    <w:rsid w:val="00CD0902"/>
    <w:rsid w:val="00CD0BE3"/>
    <w:rsid w:val="00CF23D7"/>
    <w:rsid w:val="00D20381"/>
    <w:rsid w:val="00D26003"/>
    <w:rsid w:val="00D44040"/>
    <w:rsid w:val="00D47442"/>
    <w:rsid w:val="00D53684"/>
    <w:rsid w:val="00D87272"/>
    <w:rsid w:val="00DA0CB6"/>
    <w:rsid w:val="00DA1953"/>
    <w:rsid w:val="00DA2EB6"/>
    <w:rsid w:val="00DB41F4"/>
    <w:rsid w:val="00DB7742"/>
    <w:rsid w:val="00DC0E37"/>
    <w:rsid w:val="00DC5149"/>
    <w:rsid w:val="00DC7B51"/>
    <w:rsid w:val="00DD3180"/>
    <w:rsid w:val="00DD438D"/>
    <w:rsid w:val="00DD4A57"/>
    <w:rsid w:val="00DE56CA"/>
    <w:rsid w:val="00E266C0"/>
    <w:rsid w:val="00E3164D"/>
    <w:rsid w:val="00E560E4"/>
    <w:rsid w:val="00E6145A"/>
    <w:rsid w:val="00E62512"/>
    <w:rsid w:val="00E75C92"/>
    <w:rsid w:val="00E935E3"/>
    <w:rsid w:val="00E949B2"/>
    <w:rsid w:val="00EB3885"/>
    <w:rsid w:val="00EC5DA5"/>
    <w:rsid w:val="00EC6303"/>
    <w:rsid w:val="00ED4D5D"/>
    <w:rsid w:val="00EE4A1D"/>
    <w:rsid w:val="00EE79CD"/>
    <w:rsid w:val="00F1269C"/>
    <w:rsid w:val="00F3504C"/>
    <w:rsid w:val="00F3559F"/>
    <w:rsid w:val="00F42BD4"/>
    <w:rsid w:val="00F65BB9"/>
    <w:rsid w:val="00F716FB"/>
    <w:rsid w:val="00F81861"/>
    <w:rsid w:val="00F84E89"/>
    <w:rsid w:val="00F970C3"/>
    <w:rsid w:val="00FA568F"/>
    <w:rsid w:val="00FB42E5"/>
    <w:rsid w:val="00FC1B0C"/>
    <w:rsid w:val="00FC38F8"/>
    <w:rsid w:val="00FC46FE"/>
    <w:rsid w:val="00FC5841"/>
    <w:rsid w:val="00FD0D65"/>
    <w:rsid w:val="00FD694B"/>
    <w:rsid w:val="00FE3CA1"/>
    <w:rsid w:val="00FF17DC"/>
    <w:rsid w:val="00FF3177"/>
    <w:rsid w:val="00FF7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5:docId w15:val="{5E35E0CB-2332-474F-B64D-8BA1FC064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et-EE"/>
    </w:rPr>
  </w:style>
  <w:style w:type="paragraph" w:styleId="Heading1">
    <w:name w:val="heading 1"/>
    <w:basedOn w:val="Normal"/>
    <w:next w:val="Text1"/>
    <w:link w:val="Heading1Char"/>
    <w:uiPriority w:val="9"/>
    <w:qFormat/>
    <w:pPr>
      <w:keepNext/>
      <w:numPr>
        <w:numId w:val="43"/>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43"/>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43"/>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43"/>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43"/>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43"/>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43"/>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uiPriority w:val="99"/>
    <w:semiHidden/>
    <w:unhideWhenUsed/>
    <w:rsid w:val="001B19DA"/>
    <w:pPr>
      <w:numPr>
        <w:numId w:val="1"/>
      </w:numPr>
      <w:contextualSpacing/>
    </w:pPr>
  </w:style>
  <w:style w:type="paragraph" w:styleId="ListParagraph">
    <w:name w:val="List Paragraph"/>
    <w:basedOn w:val="Normal"/>
    <w:uiPriority w:val="34"/>
    <w:qFormat/>
    <w:rsid w:val="001B19DA"/>
    <w:pPr>
      <w:ind w:left="720"/>
      <w:contextualSpacing/>
    </w:pPr>
  </w:style>
  <w:style w:type="paragraph" w:customStyle="1" w:styleId="Initial">
    <w:name w:val="Initial"/>
    <w:rsid w:val="001B19DA"/>
    <w:pPr>
      <w:tabs>
        <w:tab w:val="left" w:pos="-720"/>
      </w:tabs>
      <w:suppressAutoHyphens/>
      <w:spacing w:after="0" w:line="240" w:lineRule="auto"/>
      <w:jc w:val="both"/>
    </w:pPr>
    <w:rPr>
      <w:rFonts w:ascii="Times New Roman" w:eastAsia="Times New Roman" w:hAnsi="Times New Roman" w:cs="Times New Roman"/>
      <w:spacing w:val="-3"/>
      <w:sz w:val="24"/>
      <w:szCs w:val="20"/>
      <w:lang w:eastAsia="fr-FR"/>
    </w:rPr>
  </w:style>
  <w:style w:type="character" w:styleId="Hyperlink">
    <w:name w:val="Hyperlink"/>
    <w:rsid w:val="008B0DCF"/>
    <w:rPr>
      <w:u w:val="single"/>
    </w:rPr>
  </w:style>
  <w:style w:type="paragraph" w:styleId="ListBullet">
    <w:name w:val="List Bullet"/>
    <w:basedOn w:val="Normal"/>
    <w:uiPriority w:val="99"/>
    <w:semiHidden/>
    <w:unhideWhenUsed/>
    <w:rsid w:val="000E07CC"/>
    <w:pPr>
      <w:numPr>
        <w:numId w:val="2"/>
      </w:numPr>
      <w:contextualSpacing/>
    </w:pPr>
  </w:style>
  <w:style w:type="paragraph" w:styleId="ListBullet2">
    <w:name w:val="List Bullet 2"/>
    <w:basedOn w:val="Normal"/>
    <w:uiPriority w:val="99"/>
    <w:semiHidden/>
    <w:unhideWhenUsed/>
    <w:rsid w:val="000E07CC"/>
    <w:pPr>
      <w:numPr>
        <w:numId w:val="3"/>
      </w:numPr>
      <w:contextualSpacing/>
    </w:pPr>
  </w:style>
  <w:style w:type="paragraph" w:styleId="ListBullet3">
    <w:name w:val="List Bullet 3"/>
    <w:basedOn w:val="Normal"/>
    <w:uiPriority w:val="99"/>
    <w:semiHidden/>
    <w:unhideWhenUsed/>
    <w:rsid w:val="000E07CC"/>
    <w:pPr>
      <w:numPr>
        <w:numId w:val="4"/>
      </w:numPr>
      <w:contextualSpacing/>
    </w:pPr>
  </w:style>
  <w:style w:type="paragraph" w:styleId="Revision">
    <w:name w:val="Revision"/>
    <w:hidden/>
    <w:uiPriority w:val="99"/>
    <w:semiHidden/>
    <w:rsid w:val="0041052C"/>
    <w:pPr>
      <w:spacing w:after="0" w:line="240" w:lineRule="auto"/>
    </w:pPr>
    <w:rPr>
      <w:rFonts w:ascii="Times New Roman" w:hAnsi="Times New Roman" w:cs="Times New Roman"/>
      <w:sz w:val="24"/>
    </w:rPr>
  </w:style>
  <w:style w:type="character" w:styleId="CommentReference">
    <w:name w:val="annotation reference"/>
    <w:basedOn w:val="DefaultParagraphFont"/>
    <w:uiPriority w:val="99"/>
    <w:semiHidden/>
    <w:unhideWhenUsed/>
    <w:rsid w:val="00287E2C"/>
    <w:rPr>
      <w:sz w:val="16"/>
      <w:szCs w:val="16"/>
    </w:rPr>
  </w:style>
  <w:style w:type="paragraph" w:styleId="CommentText">
    <w:name w:val="annotation text"/>
    <w:basedOn w:val="Normal"/>
    <w:link w:val="CommentTextChar"/>
    <w:uiPriority w:val="99"/>
    <w:unhideWhenUsed/>
    <w:rsid w:val="00287E2C"/>
    <w:rPr>
      <w:sz w:val="20"/>
      <w:szCs w:val="20"/>
    </w:rPr>
  </w:style>
  <w:style w:type="character" w:customStyle="1" w:styleId="CommentTextChar">
    <w:name w:val="Comment Text Char"/>
    <w:basedOn w:val="DefaultParagraphFont"/>
    <w:link w:val="CommentText"/>
    <w:uiPriority w:val="99"/>
    <w:rsid w:val="00287E2C"/>
    <w:rPr>
      <w:rFonts w:ascii="Times New Roman" w:hAnsi="Times New Roman" w:cs="Times New Roman"/>
      <w:sz w:val="20"/>
      <w:szCs w:val="20"/>
      <w:lang w:val="et-EE"/>
    </w:rPr>
  </w:style>
  <w:style w:type="paragraph" w:styleId="CommentSubject">
    <w:name w:val="annotation subject"/>
    <w:basedOn w:val="CommentText"/>
    <w:next w:val="CommentText"/>
    <w:link w:val="CommentSubjectChar"/>
    <w:uiPriority w:val="99"/>
    <w:semiHidden/>
    <w:unhideWhenUsed/>
    <w:rsid w:val="00287E2C"/>
    <w:rPr>
      <w:b/>
      <w:bCs/>
    </w:rPr>
  </w:style>
  <w:style w:type="character" w:customStyle="1" w:styleId="CommentSubjectChar">
    <w:name w:val="Comment Subject Char"/>
    <w:basedOn w:val="CommentTextChar"/>
    <w:link w:val="CommentSubject"/>
    <w:uiPriority w:val="99"/>
    <w:semiHidden/>
    <w:rsid w:val="00287E2C"/>
    <w:rPr>
      <w:rFonts w:ascii="Times New Roman" w:hAnsi="Times New Roman" w:cs="Times New Roman"/>
      <w:b/>
      <w:bCs/>
      <w:sz w:val="20"/>
      <w:szCs w:val="20"/>
      <w:lang w:val="et-EE"/>
    </w:rPr>
  </w:style>
  <w:style w:type="character" w:customStyle="1" w:styleId="Mention">
    <w:name w:val="Mention"/>
    <w:basedOn w:val="DefaultParagraphFont"/>
    <w:uiPriority w:val="99"/>
    <w:unhideWhenUsed/>
    <w:rsid w:val="00FF17DC"/>
    <w:rPr>
      <w:color w:val="2B579A"/>
      <w:shd w:val="clear" w:color="auto" w:fill="E1DFDD"/>
    </w:rPr>
  </w:style>
  <w:style w:type="character" w:customStyle="1" w:styleId="UnresolvedMention">
    <w:name w:val="Unresolved Mention"/>
    <w:basedOn w:val="DefaultParagraphFont"/>
    <w:uiPriority w:val="99"/>
    <w:semiHidden/>
    <w:unhideWhenUsed/>
    <w:rsid w:val="000672BD"/>
    <w:rPr>
      <w:color w:val="605E5C"/>
      <w:shd w:val="clear" w:color="auto" w:fill="E1DFDD"/>
    </w:rPr>
  </w:style>
  <w:style w:type="character" w:customStyle="1" w:styleId="HeaderChar">
    <w:name w:val="Header Char"/>
    <w:basedOn w:val="DefaultParagraphFont"/>
    <w:link w:val="Header"/>
    <w:uiPriority w:val="99"/>
    <w:rsid w:val="000757CD"/>
    <w:rPr>
      <w:rFonts w:ascii="Times New Roman" w:hAnsi="Times New Roman" w:cs="Times New Roman"/>
      <w:sz w:val="24"/>
      <w:lang w:val="et-EE"/>
    </w:rPr>
  </w:style>
  <w:style w:type="character" w:customStyle="1" w:styleId="FooterChar">
    <w:name w:val="Footer Char"/>
    <w:basedOn w:val="DefaultParagraphFont"/>
    <w:link w:val="Footer"/>
    <w:uiPriority w:val="99"/>
    <w:rsid w:val="000757CD"/>
    <w:rPr>
      <w:rFonts w:ascii="Times New Roman" w:hAnsi="Times New Roman" w:cs="Times New Roman"/>
      <w:sz w:val="24"/>
      <w:lang w:val="et-EE"/>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0757CD"/>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0757CD"/>
    <w:pPr>
      <w:spacing w:before="0"/>
      <w:jc w:val="right"/>
    </w:pPr>
    <w:rPr>
      <w:sz w:val="28"/>
    </w:rPr>
  </w:style>
  <w:style w:type="paragraph" w:customStyle="1" w:styleId="FooterSensitivity">
    <w:name w:val="Footer Sensitivity"/>
    <w:basedOn w:val="Normal"/>
    <w:rsid w:val="000757CD"/>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36"/>
      </w:numPr>
    </w:pPr>
  </w:style>
  <w:style w:type="paragraph" w:customStyle="1" w:styleId="Tiret1">
    <w:name w:val="Tiret 1"/>
    <w:basedOn w:val="Point1"/>
    <w:pPr>
      <w:numPr>
        <w:numId w:val="37"/>
      </w:numPr>
    </w:pPr>
  </w:style>
  <w:style w:type="paragraph" w:customStyle="1" w:styleId="Tiret2">
    <w:name w:val="Tiret 2"/>
    <w:basedOn w:val="Point2"/>
    <w:pPr>
      <w:numPr>
        <w:numId w:val="38"/>
      </w:numPr>
    </w:pPr>
  </w:style>
  <w:style w:type="paragraph" w:customStyle="1" w:styleId="Tiret3">
    <w:name w:val="Tiret 3"/>
    <w:basedOn w:val="Point3"/>
    <w:pPr>
      <w:numPr>
        <w:numId w:val="39"/>
      </w:numPr>
    </w:pPr>
  </w:style>
  <w:style w:type="paragraph" w:customStyle="1" w:styleId="Tiret4">
    <w:name w:val="Tiret 4"/>
    <w:basedOn w:val="Point4"/>
    <w:pPr>
      <w:numPr>
        <w:numId w:val="40"/>
      </w:numPr>
    </w:pPr>
  </w:style>
  <w:style w:type="paragraph" w:customStyle="1" w:styleId="Tiret5">
    <w:name w:val="Tiret 5"/>
    <w:basedOn w:val="Point5"/>
    <w:pPr>
      <w:numPr>
        <w:numId w:val="41"/>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42"/>
      </w:numPr>
    </w:pPr>
  </w:style>
  <w:style w:type="paragraph" w:customStyle="1" w:styleId="NumPar2">
    <w:name w:val="NumPar 2"/>
    <w:basedOn w:val="Normal"/>
    <w:next w:val="Text1"/>
    <w:pPr>
      <w:numPr>
        <w:ilvl w:val="1"/>
        <w:numId w:val="42"/>
      </w:numPr>
    </w:pPr>
  </w:style>
  <w:style w:type="paragraph" w:customStyle="1" w:styleId="NumPar3">
    <w:name w:val="NumPar 3"/>
    <w:basedOn w:val="Normal"/>
    <w:next w:val="Text1"/>
    <w:pPr>
      <w:numPr>
        <w:ilvl w:val="2"/>
        <w:numId w:val="42"/>
      </w:numPr>
    </w:pPr>
  </w:style>
  <w:style w:type="paragraph" w:customStyle="1" w:styleId="NumPar4">
    <w:name w:val="NumPar 4"/>
    <w:basedOn w:val="Normal"/>
    <w:next w:val="Text1"/>
    <w:pPr>
      <w:numPr>
        <w:ilvl w:val="3"/>
        <w:numId w:val="42"/>
      </w:numPr>
    </w:pPr>
  </w:style>
  <w:style w:type="paragraph" w:customStyle="1" w:styleId="NumPar5">
    <w:name w:val="NumPar 5"/>
    <w:basedOn w:val="Normal"/>
    <w:next w:val="Text2"/>
    <w:pPr>
      <w:numPr>
        <w:ilvl w:val="4"/>
        <w:numId w:val="42"/>
      </w:numPr>
    </w:pPr>
  </w:style>
  <w:style w:type="paragraph" w:customStyle="1" w:styleId="NumPar6">
    <w:name w:val="NumPar 6"/>
    <w:basedOn w:val="Normal"/>
    <w:next w:val="Text2"/>
    <w:pPr>
      <w:numPr>
        <w:ilvl w:val="5"/>
        <w:numId w:val="42"/>
      </w:numPr>
    </w:pPr>
  </w:style>
  <w:style w:type="paragraph" w:customStyle="1" w:styleId="NumPar7">
    <w:name w:val="NumPar 7"/>
    <w:basedOn w:val="Normal"/>
    <w:next w:val="Text2"/>
    <w:pPr>
      <w:numPr>
        <w:ilvl w:val="6"/>
        <w:numId w:val="42"/>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44"/>
      </w:numPr>
    </w:pPr>
  </w:style>
  <w:style w:type="paragraph" w:customStyle="1" w:styleId="Point1number">
    <w:name w:val="Point 1 (number)"/>
    <w:basedOn w:val="Normal"/>
    <w:pPr>
      <w:numPr>
        <w:ilvl w:val="2"/>
        <w:numId w:val="44"/>
      </w:numPr>
    </w:pPr>
  </w:style>
  <w:style w:type="paragraph" w:customStyle="1" w:styleId="Point2number">
    <w:name w:val="Point 2 (number)"/>
    <w:basedOn w:val="Normal"/>
    <w:pPr>
      <w:numPr>
        <w:ilvl w:val="4"/>
        <w:numId w:val="44"/>
      </w:numPr>
    </w:pPr>
  </w:style>
  <w:style w:type="paragraph" w:customStyle="1" w:styleId="Point3number">
    <w:name w:val="Point 3 (number)"/>
    <w:basedOn w:val="Normal"/>
    <w:pPr>
      <w:numPr>
        <w:ilvl w:val="6"/>
        <w:numId w:val="44"/>
      </w:numPr>
    </w:pPr>
  </w:style>
  <w:style w:type="paragraph" w:customStyle="1" w:styleId="Point0letter">
    <w:name w:val="Point 0 (letter)"/>
    <w:basedOn w:val="Normal"/>
    <w:pPr>
      <w:numPr>
        <w:ilvl w:val="1"/>
        <w:numId w:val="44"/>
      </w:numPr>
    </w:pPr>
  </w:style>
  <w:style w:type="paragraph" w:customStyle="1" w:styleId="Point1letter">
    <w:name w:val="Point 1 (letter)"/>
    <w:basedOn w:val="Normal"/>
    <w:pPr>
      <w:numPr>
        <w:ilvl w:val="3"/>
        <w:numId w:val="44"/>
      </w:numPr>
    </w:pPr>
  </w:style>
  <w:style w:type="paragraph" w:customStyle="1" w:styleId="Point2letter">
    <w:name w:val="Point 2 (letter)"/>
    <w:basedOn w:val="Normal"/>
    <w:pPr>
      <w:numPr>
        <w:ilvl w:val="5"/>
        <w:numId w:val="44"/>
      </w:numPr>
    </w:pPr>
  </w:style>
  <w:style w:type="paragraph" w:customStyle="1" w:styleId="Point3letter">
    <w:name w:val="Point 3 (letter)"/>
    <w:basedOn w:val="Normal"/>
    <w:pPr>
      <w:numPr>
        <w:ilvl w:val="7"/>
        <w:numId w:val="44"/>
      </w:numPr>
    </w:pPr>
  </w:style>
  <w:style w:type="paragraph" w:customStyle="1" w:styleId="Point4letter">
    <w:name w:val="Point 4 (letter)"/>
    <w:basedOn w:val="Normal"/>
    <w:pPr>
      <w:numPr>
        <w:ilvl w:val="8"/>
        <w:numId w:val="44"/>
      </w:numPr>
    </w:pPr>
  </w:style>
  <w:style w:type="paragraph" w:customStyle="1" w:styleId="Bullet0">
    <w:name w:val="Bullet 0"/>
    <w:basedOn w:val="Normal"/>
    <w:pPr>
      <w:numPr>
        <w:numId w:val="45"/>
      </w:numPr>
    </w:pPr>
  </w:style>
  <w:style w:type="paragraph" w:customStyle="1" w:styleId="Bullet1">
    <w:name w:val="Bullet 1"/>
    <w:basedOn w:val="Normal"/>
    <w:pPr>
      <w:numPr>
        <w:numId w:val="46"/>
      </w:numPr>
    </w:pPr>
  </w:style>
  <w:style w:type="paragraph" w:customStyle="1" w:styleId="Bullet2">
    <w:name w:val="Bullet 2"/>
    <w:basedOn w:val="Normal"/>
    <w:pPr>
      <w:numPr>
        <w:numId w:val="47"/>
      </w:numPr>
    </w:pPr>
  </w:style>
  <w:style w:type="paragraph" w:customStyle="1" w:styleId="Bullet3">
    <w:name w:val="Bullet 3"/>
    <w:basedOn w:val="Normal"/>
    <w:pPr>
      <w:numPr>
        <w:numId w:val="48"/>
      </w:numPr>
    </w:pPr>
  </w:style>
  <w:style w:type="paragraph" w:customStyle="1" w:styleId="Bullet4">
    <w:name w:val="Bullet 4"/>
    <w:basedOn w:val="Normal"/>
    <w:pPr>
      <w:numPr>
        <w:numId w:val="49"/>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50"/>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 w:type="paragraph" w:styleId="Header">
    <w:name w:val="header"/>
    <w:basedOn w:val="Normal"/>
    <w:link w:val="HeaderChar"/>
    <w:uiPriority w:val="99"/>
    <w:unhideWhenUsed/>
    <w:rsid w:val="000757CD"/>
    <w:pPr>
      <w:tabs>
        <w:tab w:val="center" w:pos="4535"/>
        <w:tab w:val="right" w:pos="9071"/>
      </w:tabs>
      <w:spacing w:before="0"/>
    </w:pPr>
  </w:style>
  <w:style w:type="paragraph" w:customStyle="1" w:styleId="HeaderLandscape">
    <w:name w:val="HeaderLandscape"/>
    <w:basedOn w:val="Normal"/>
    <w:rsid w:val="000757CD"/>
    <w:pPr>
      <w:tabs>
        <w:tab w:val="center" w:pos="7285"/>
        <w:tab w:val="right" w:pos="14003"/>
      </w:tabs>
      <w:spacing w:before="0"/>
    </w:pPr>
  </w:style>
  <w:style w:type="paragraph" w:styleId="Footer">
    <w:name w:val="footer"/>
    <w:basedOn w:val="Normal"/>
    <w:link w:val="FooterChar"/>
    <w:uiPriority w:val="99"/>
    <w:unhideWhenUsed/>
    <w:rsid w:val="000757CD"/>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0757CD"/>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E4EC354ADFB40AC5D4FC129E379BA" ma:contentTypeVersion="10" ma:contentTypeDescription="Create a new document." ma:contentTypeScope="" ma:versionID="68610bfe4983538e3e7e8c73291afaa0">
  <xsd:schema xmlns:xsd="http://www.w3.org/2001/XMLSchema" xmlns:xs="http://www.w3.org/2001/XMLSchema" xmlns:p="http://schemas.microsoft.com/office/2006/metadata/properties" xmlns:ns2="541a8a8b-b856-4d35-a5c7-7f2c0ec3d499" xmlns:ns3="e0757b53-df10-4b98-9811-094c4c3e23a8" targetNamespace="http://schemas.microsoft.com/office/2006/metadata/properties" ma:root="true" ma:fieldsID="ef7912c705832c509720ec4ceca819af" ns2:_="" ns3:_="">
    <xsd:import namespace="541a8a8b-b856-4d35-a5c7-7f2c0ec3d499"/>
    <xsd:import namespace="e0757b53-df10-4b98-9811-094c4c3e23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757b53-df10-4b98-9811-094c4c3e23a8"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44775F-7E23-4EA5-8166-741AF54825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1a8a8b-b856-4d35-a5c7-7f2c0ec3d499"/>
    <ds:schemaRef ds:uri="e0757b53-df10-4b98-9811-094c4c3e23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437A97-61CA-4AA8-BF31-2537C1F84C38}">
  <ds:schemaRefs>
    <ds:schemaRef ds:uri="http://schemas.microsoft.com/sharepoint/v3/contenttype/forms"/>
  </ds:schemaRefs>
</ds:datastoreItem>
</file>

<file path=customXml/itemProps3.xml><?xml version="1.0" encoding="utf-8"?>
<ds:datastoreItem xmlns:ds="http://schemas.openxmlformats.org/officeDocument/2006/customXml" ds:itemID="{FF9DAFE7-EB2A-4DFF-ADFA-86EA8144160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6FFB8E4-2398-425E-9C99-8873049C3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15</TotalTime>
  <Pages>4</Pages>
  <Words>933</Words>
  <Characters>5323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26</cp:revision>
  <dcterms:created xsi:type="dcterms:W3CDTF">2025-05-23T12:13:00Z</dcterms:created>
  <dcterms:modified xsi:type="dcterms:W3CDTF">2025-07-17T14:26:00Z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COM/PL/CODEC</vt:lpwstr>
  </property>
  <property fmtid="{D5CDD505-2E9C-101B-9397-08002B2CF9AE}" pid="3" name="Version">
    <vt:lpwstr>8.0.25.0</vt:lpwstr>
  </property>
  <property fmtid="{D5CDD505-2E9C-101B-9397-08002B2CF9AE}" pid="4" name="Last edited using">
    <vt:lpwstr>LW 9.1, Build 20240808</vt:lpwstr>
  </property>
  <property fmtid="{D5CDD505-2E9C-101B-9397-08002B2CF9AE}" pid="5" name="Created using">
    <vt:lpwstr>LW 9.1, Build 20240808</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SJ-028</vt:lpwstr>
  </property>
  <property fmtid="{D5CDD505-2E9C-101B-9397-08002B2CF9AE}" pid="10" name="MSIP_Label_6bd9ddd1-4d20-43f6-abfa-fc3c07406f94_Enabled">
    <vt:lpwstr>true</vt:lpwstr>
  </property>
  <property fmtid="{D5CDD505-2E9C-101B-9397-08002B2CF9AE}" pid="11" name="MSIP_Label_6bd9ddd1-4d20-43f6-abfa-fc3c07406f94_SetDate">
    <vt:lpwstr>2025-03-05T13:16:28Z</vt:lpwstr>
  </property>
  <property fmtid="{D5CDD505-2E9C-101B-9397-08002B2CF9AE}" pid="12" name="MSIP_Label_6bd9ddd1-4d20-43f6-abfa-fc3c07406f94_Method">
    <vt:lpwstr>Standard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cba42235-534a-46c5-ae66-1681eef6c3ff</vt:lpwstr>
  </property>
  <property fmtid="{D5CDD505-2E9C-101B-9397-08002B2CF9AE}" pid="16" name="MSIP_Label_6bd9ddd1-4d20-43f6-abfa-fc3c07406f94_ContentBits">
    <vt:lpwstr>0</vt:lpwstr>
  </property>
  <property fmtid="{D5CDD505-2E9C-101B-9397-08002B2CF9AE}" pid="17" name="ContentTypeId">
    <vt:lpwstr>0x010100087E4EC354ADFB40AC5D4FC129E379BA</vt:lpwstr>
  </property>
  <property fmtid="{D5CDD505-2E9C-101B-9397-08002B2CF9AE}" pid="18" name="DQCStatus">
    <vt:lpwstr>Green (DQC version 03)</vt:lpwstr>
  </property>
</Properties>
</file>