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101D6F" w14:textId="6C4C2F1C" w:rsidR="006C7F87" w:rsidRPr="004E7899" w:rsidRDefault="00E76CC9" w:rsidP="00E76CC9">
      <w:pPr>
        <w:pStyle w:val="Pagedecouverture"/>
        <w:rPr>
          <w:noProof/>
        </w:rPr>
      </w:pPr>
      <w:r>
        <w:rPr>
          <w:noProof/>
        </w:rPr>
        <w:pict w14:anchorId="63A0FB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E04676E0-4B00-4EF4-B62D-16D967AFCB28" style="width:455.25pt;height:426pt">
            <v:imagedata r:id="rId11" o:title=""/>
          </v:shape>
        </w:pict>
      </w:r>
    </w:p>
    <w:p w14:paraId="424625E9" w14:textId="77777777" w:rsidR="006C7F87" w:rsidRPr="004E7899" w:rsidRDefault="006C7F87" w:rsidP="006C7F87">
      <w:pPr>
        <w:rPr>
          <w:noProof/>
        </w:rPr>
        <w:sectPr w:rsidR="006C7F87" w:rsidRPr="004E7899" w:rsidSect="00E76CC9">
          <w:footerReference w:type="even" r:id="rId12"/>
          <w:footerReference w:type="default" r:id="rId13"/>
          <w:pgSz w:w="11907" w:h="16839"/>
          <w:pgMar w:top="1134" w:right="1417" w:bottom="1134" w:left="1417" w:header="709" w:footer="709" w:gutter="0"/>
          <w:pgNumType w:start="0"/>
          <w:cols w:space="720"/>
          <w:docGrid w:linePitch="360"/>
        </w:sectPr>
      </w:pPr>
    </w:p>
    <w:p w14:paraId="18292C6C" w14:textId="77777777" w:rsidR="006C7F87" w:rsidRPr="004E7899" w:rsidRDefault="006C7F87" w:rsidP="0094068A">
      <w:pPr>
        <w:pStyle w:val="Exposdesmotifstitre"/>
        <w:rPr>
          <w:noProof/>
        </w:rPr>
      </w:pPr>
      <w:bookmarkStart w:id="0" w:name="_GoBack"/>
      <w:bookmarkEnd w:id="0"/>
      <w:r w:rsidRPr="004E7899">
        <w:rPr>
          <w:noProof/>
        </w:rPr>
        <w:lastRenderedPageBreak/>
        <w:t>SELETUSKIRI</w:t>
      </w:r>
    </w:p>
    <w:p w14:paraId="7E99D75D" w14:textId="77777777" w:rsidR="006C7F87" w:rsidRPr="004E7899" w:rsidRDefault="006C7F87" w:rsidP="0094068A">
      <w:pPr>
        <w:pStyle w:val="ManualHeading1"/>
        <w:rPr>
          <w:noProof/>
        </w:rPr>
      </w:pPr>
      <w:r w:rsidRPr="004E7899">
        <w:rPr>
          <w:noProof/>
        </w:rPr>
        <w:t>1.</w:t>
      </w:r>
      <w:r w:rsidRPr="004E7899">
        <w:rPr>
          <w:noProof/>
        </w:rPr>
        <w:tab/>
        <w:t>ETTEPANEKU TAUST</w:t>
      </w:r>
    </w:p>
    <w:p w14:paraId="6EE80A76" w14:textId="77777777" w:rsidR="006C7F87" w:rsidRPr="004E7899" w:rsidRDefault="006C7F87" w:rsidP="0094068A">
      <w:pPr>
        <w:pStyle w:val="ManualHeading2"/>
        <w:rPr>
          <w:rFonts w:eastAsia="Arial Unicode MS"/>
          <w:noProof/>
        </w:rPr>
      </w:pPr>
      <w:r w:rsidRPr="004E7899">
        <w:rPr>
          <w:noProof/>
          <w:color w:val="000000"/>
          <w:u w:color="000000"/>
          <w:bdr w:val="nil"/>
        </w:rPr>
        <w:t>•</w:t>
      </w:r>
      <w:r w:rsidRPr="004E7899">
        <w:rPr>
          <w:noProof/>
        </w:rPr>
        <w:tab/>
        <w:t>Ettepaneku põhjused ja eesmärgid</w:t>
      </w:r>
    </w:p>
    <w:p w14:paraId="56E63E7C" w14:textId="77777777" w:rsidR="00A53DB0" w:rsidRPr="004E7899" w:rsidRDefault="00A53DB0" w:rsidP="00A53DB0">
      <w:pPr>
        <w:pBdr>
          <w:top w:val="nil"/>
          <w:left w:val="nil"/>
          <w:bottom w:val="nil"/>
          <w:right w:val="nil"/>
          <w:between w:val="nil"/>
          <w:bar w:val="nil"/>
        </w:pBdr>
        <w:spacing w:before="0" w:after="240"/>
        <w:rPr>
          <w:rStyle w:val="normaltextrun"/>
          <w:noProof/>
          <w:u w:val="single"/>
        </w:rPr>
      </w:pPr>
      <w:r w:rsidRPr="004E7899">
        <w:rPr>
          <w:rStyle w:val="normaltextrun"/>
          <w:noProof/>
          <w:u w:val="single"/>
        </w:rPr>
        <w:t>Üldine taust ja eesmärgid</w:t>
      </w:r>
    </w:p>
    <w:p w14:paraId="59F8115B" w14:textId="77777777" w:rsidR="004875CD" w:rsidRPr="004E7899" w:rsidRDefault="004875CD" w:rsidP="004875CD">
      <w:pPr>
        <w:tabs>
          <w:tab w:val="num" w:pos="709"/>
        </w:tabs>
        <w:rPr>
          <w:noProof/>
        </w:rPr>
      </w:pPr>
      <w:r w:rsidRPr="004E7899">
        <w:rPr>
          <w:noProof/>
        </w:rPr>
        <w:t>Juhtides tähelepanu koormusele ja nõuete täitmisega seotud kuludele, mis tulenevad äriühingute kestlikkusaruandluse direktiivist (CSRD) ja äriühingute kestlikkusalase hoolsuskohustuse direktiivist (CSDDD), toonitas Mario Draghi oma aruandes Euroopa konkurentsivõime tuleviku kohta, et Euroopa peab looma õiguskeskkonna, mis edendab konkurentsivõimet ja vastupidavust</w:t>
      </w:r>
      <w:r w:rsidRPr="004E7899">
        <w:rPr>
          <w:rStyle w:val="FootnoteReference"/>
          <w:noProof/>
        </w:rPr>
        <w:footnoteReference w:id="2"/>
      </w:r>
      <w:r w:rsidRPr="004E7899">
        <w:rPr>
          <w:noProof/>
        </w:rPr>
        <w:t>. Budapesti deklaratsioonis uue Euroopa konkurentsivõime kokkuleppe kohta kutsusid ELi riigipead ja valitsusjuhid üles käivitama „lihtsustamisrevolutsiooni [...], millega tagatakse ettevõtjatele selge, lihtne ja arukas õigusraamistik ning vähendatakse oluliselt haldus-, regulatiiv- ja aruandluskoormust, eelkõige VKEde jaoks“.</w:t>
      </w:r>
      <w:r w:rsidRPr="004E7899">
        <w:rPr>
          <w:noProof/>
          <w:sz w:val="22"/>
          <w:vertAlign w:val="superscript"/>
        </w:rPr>
        <w:t xml:space="preserve"> </w:t>
      </w:r>
      <w:r w:rsidRPr="004E7899">
        <w:rPr>
          <w:rStyle w:val="FootnoteReference"/>
          <w:noProof/>
        </w:rPr>
        <w:footnoteReference w:id="3"/>
      </w:r>
      <w:r w:rsidRPr="004E7899">
        <w:rPr>
          <w:noProof/>
        </w:rPr>
        <w:t xml:space="preserve"> Nad kutsusid komisjoni üles esitama 2025. aasta esimesel poolel konkreetseid ettepanekuid, millega vähendada aruandlusnõudeid vähemalt 25 %. </w:t>
      </w:r>
    </w:p>
    <w:p w14:paraId="1CBEC8FF" w14:textId="77777777" w:rsidR="004875CD" w:rsidRPr="004E7899" w:rsidRDefault="004875CD" w:rsidP="004875CD">
      <w:pPr>
        <w:tabs>
          <w:tab w:val="num" w:pos="709"/>
        </w:tabs>
        <w:rPr>
          <w:noProof/>
        </w:rPr>
      </w:pPr>
      <w:r w:rsidRPr="004E7899">
        <w:rPr>
          <w:noProof/>
        </w:rPr>
        <w:t>Komisjon kinnitas oma teatises „ELi konkurentsivõime kompass“, et ta esitab ettepaneku esimese lihtsustamise koondpaketi kohta, mis hõlmab ulatuslikku lihtsustamist kestliku rahanduse aruandluse, kestlikkusalase hoolsuskohustuse ja taksonoomia valdkonnas</w:t>
      </w:r>
      <w:r w:rsidRPr="004E7899">
        <w:rPr>
          <w:rStyle w:val="FootnoteReference"/>
          <w:noProof/>
        </w:rPr>
        <w:footnoteReference w:id="4"/>
      </w:r>
      <w:r w:rsidRPr="004E7899">
        <w:rPr>
          <w:noProof/>
        </w:rPr>
        <w:t>.</w:t>
      </w:r>
      <w:r w:rsidRPr="004E7899">
        <w:rPr>
          <w:noProof/>
          <w:sz w:val="22"/>
          <w:vertAlign w:val="superscript"/>
        </w:rPr>
        <w:t xml:space="preserve"> </w:t>
      </w:r>
      <w:r w:rsidRPr="004E7899">
        <w:rPr>
          <w:noProof/>
        </w:rPr>
        <w:t>Oma teatises „Lihtsam ja kiirem Euroopa: teatis rakendamise ja lihtsustamise kohta“ esitas komisjon rakendamis- ja lihtsustamiskava, mis toob inimeste ja ettevõtete jaoks kohapeal kaasa kiire ja nähtava paranemise, nõudis enamat kui järkjärgulist lähenemisviisi ning rõhutas vajadust julgelt tegutseda, et muuta ELi, riiklikud ja piirkondlikud õigusnormid sujuvamaks ja lihtsamaks</w:t>
      </w:r>
      <w:r w:rsidRPr="004E7899">
        <w:rPr>
          <w:rStyle w:val="FootnoteReference"/>
          <w:noProof/>
        </w:rPr>
        <w:footnoteReference w:id="5"/>
      </w:r>
      <w:r w:rsidRPr="004E7899">
        <w:rPr>
          <w:noProof/>
        </w:rPr>
        <w:t>.</w:t>
      </w:r>
    </w:p>
    <w:p w14:paraId="5E31988E" w14:textId="77777777" w:rsidR="00A53DB0" w:rsidRPr="004E7899" w:rsidRDefault="00A53DB0" w:rsidP="00A53DB0">
      <w:pPr>
        <w:pBdr>
          <w:top w:val="nil"/>
          <w:left w:val="nil"/>
          <w:bottom w:val="nil"/>
          <w:right w:val="nil"/>
          <w:between w:val="nil"/>
          <w:bar w:val="nil"/>
        </w:pBdr>
        <w:spacing w:before="0" w:after="240"/>
        <w:rPr>
          <w:rStyle w:val="eop"/>
          <w:noProof/>
          <w:shd w:val="clear" w:color="auto" w:fill="FFFFFF"/>
        </w:rPr>
      </w:pPr>
      <w:r w:rsidRPr="004E7899">
        <w:rPr>
          <w:rStyle w:val="normaltextrun"/>
          <w:noProof/>
        </w:rPr>
        <w:t>CSRD</w:t>
      </w:r>
      <w:r w:rsidRPr="004E7899">
        <w:rPr>
          <w:rStyle w:val="FootnoteReference"/>
          <w:noProof/>
        </w:rPr>
        <w:footnoteReference w:id="6"/>
      </w:r>
      <w:r w:rsidRPr="004E7899">
        <w:rPr>
          <w:rStyle w:val="normaltextrun"/>
          <w:noProof/>
        </w:rPr>
        <w:t xml:space="preserve"> jõustus 5. jaanuaril 2023</w:t>
      </w:r>
      <w:r w:rsidRPr="004E7899">
        <w:rPr>
          <w:noProof/>
        </w:rPr>
        <w:t>.</w:t>
      </w:r>
      <w:r w:rsidRPr="004E7899">
        <w:rPr>
          <w:rStyle w:val="normaltextrun"/>
          <w:noProof/>
        </w:rPr>
        <w:t xml:space="preserve"> Sellega tugevdati ja ajakohastati äriühingute kestlikkusaruandluse nõudeid, muutes raamatupidamisdirektiivi, läbipaistvusdirektiivi, auditidirektiivi ja auditimäärust</w:t>
      </w:r>
      <w:r w:rsidRPr="004E7899">
        <w:rPr>
          <w:rStyle w:val="FootnoteReference"/>
          <w:noProof/>
        </w:rPr>
        <w:footnoteReference w:id="7"/>
      </w:r>
      <w:r w:rsidRPr="004E7899">
        <w:rPr>
          <w:noProof/>
        </w:rPr>
        <w:t>.</w:t>
      </w:r>
      <w:r w:rsidRPr="004E7899">
        <w:rPr>
          <w:rStyle w:val="normaltextrun"/>
          <w:noProof/>
        </w:rPr>
        <w:t xml:space="preserve"> </w:t>
      </w:r>
      <w:r w:rsidRPr="004E7899">
        <w:rPr>
          <w:rStyle w:val="eop"/>
          <w:noProof/>
          <w:shd w:val="clear" w:color="auto" w:fill="FFFFFF"/>
        </w:rPr>
        <w:t>CSRD on Euroopa rohelise kokkuleppe ja kestliku rahanduse tegevuskava</w:t>
      </w:r>
      <w:r w:rsidRPr="004E7899">
        <w:rPr>
          <w:rStyle w:val="FootnoteReference"/>
          <w:noProof/>
        </w:rPr>
        <w:footnoteReference w:id="8"/>
      </w:r>
      <w:r w:rsidRPr="004E7899">
        <w:rPr>
          <w:rStyle w:val="eop"/>
          <w:noProof/>
          <w:shd w:val="clear" w:color="auto" w:fill="FFFFFF"/>
        </w:rPr>
        <w:t xml:space="preserve"> oluline osa</w:t>
      </w:r>
      <w:r w:rsidRPr="004E7899">
        <w:rPr>
          <w:noProof/>
        </w:rPr>
        <w:t>.</w:t>
      </w:r>
      <w:r w:rsidRPr="004E7899">
        <w:rPr>
          <w:rStyle w:val="eop"/>
          <w:noProof/>
          <w:shd w:val="clear" w:color="auto" w:fill="FFFFFF"/>
        </w:rPr>
        <w:t xml:space="preserve"> Selle eesmärk on tagada, et investoritel on teave, mida nad vajavad selliste riskide mõistmiseks ja juhtimiseks, millega investeerimisobjektiks olevad äriühingud kliimamuutuste ja muude kestlikkuse aspektide tõttu kokku puutuvad. Samuti on direktiivi eesmärk tagada, et investoritel ja muudel sidusrühmadel on vajalik teave mõju kohta, mida äriühingud inimestele ja keskkonnale avaldavad. Direktiiviga edendatakse seega finantsstabiilsust ja keskkonnaalast terviklikkust. See on vajalik tingimus, et rahalised vahendid jõuaksid kestlikkuseesmärke taotlevatesse äriühingutesse, ning suurendab kõigi sidusrühmade jaoks äriühingute kestlikkustulemustega seotud vastutust ja läbipaistvust. </w:t>
      </w:r>
    </w:p>
    <w:p w14:paraId="2FB66916" w14:textId="1EEC1A69" w:rsidR="00A718DA" w:rsidRPr="004E7899" w:rsidRDefault="00A53DB0" w:rsidP="00A53DB0">
      <w:pPr>
        <w:pBdr>
          <w:top w:val="nil"/>
          <w:left w:val="nil"/>
          <w:bottom w:val="nil"/>
          <w:right w:val="nil"/>
          <w:between w:val="nil"/>
          <w:bar w:val="nil"/>
        </w:pBdr>
        <w:spacing w:before="0" w:after="240"/>
        <w:rPr>
          <w:rFonts w:eastAsia="Arial Unicode MS"/>
          <w:noProof/>
        </w:rPr>
      </w:pPr>
      <w:r w:rsidRPr="004E7899">
        <w:rPr>
          <w:noProof/>
        </w:rPr>
        <w:t xml:space="preserve">CSDDD võeti vastu 13. juunil 2024. Selle eesmärk on aidata saavutada Euroopa Liidu laiemat eesmärki minna üle kestlikule ja kliimaneutraalsele majandusele, nagu on kirjeldatud Euroopa rohelises kokkuleppes. Direktiivis nõutakse, et äriühingud teeksid kindlaks iga äriühingu enda tegevuses, tema tütarettevõtjate tegevuses ja äriühingu tegevusahelas inimõigustele ja keskkonnale avalduva kahjuliku mõju ning käsitleksid seda. </w:t>
      </w:r>
    </w:p>
    <w:p w14:paraId="03EA413F" w14:textId="77777777" w:rsidR="00A53DB0" w:rsidRPr="004E7899" w:rsidRDefault="00A53DB0" w:rsidP="00A53DB0">
      <w:pPr>
        <w:pBdr>
          <w:top w:val="nil"/>
          <w:left w:val="nil"/>
          <w:bottom w:val="nil"/>
          <w:right w:val="nil"/>
          <w:between w:val="nil"/>
          <w:bar w:val="nil"/>
        </w:pBdr>
        <w:spacing w:before="0" w:after="240"/>
        <w:rPr>
          <w:noProof/>
        </w:rPr>
      </w:pPr>
      <w:r w:rsidRPr="004E7899">
        <w:rPr>
          <w:noProof/>
        </w:rPr>
        <w:t>CSRDd ja CSDDDd rakendatakse nüüd uues ja keerulises olukorras. Venemaa agressioonisõda Ukraina vastu on tõstnud ELi ettevõtjate jaoks energiahindu. Kaubanduspinged suurenevad, kuna geopoliitilised olud muutuvad jätkuvalt. Mõne teise olulise jurisdiktsiooni erinev lähenemisviis äriühingute kestlikkusaruandluse ja hoolsuskohustuse reguleerimisele tekitab küsimusi mõju kohta, mida nende õigusaktid ELi äriühingute konkurentsipositsioonile avaldavad. Liidu võime säilitada ja kaitsta oma väärtusi sõltub muu hulgas liidu majanduse suutlikkusest ebastabiilsetes ja vahetevahel vaenulikes geopoliitilistes tingimustes kohaneda ja konkureerida.</w:t>
      </w:r>
    </w:p>
    <w:p w14:paraId="4CD5AF9B" w14:textId="66097CB4" w:rsidR="00A53DB0" w:rsidRPr="004E7899" w:rsidRDefault="00A53DB0" w:rsidP="00A53DB0">
      <w:pPr>
        <w:pBdr>
          <w:top w:val="nil"/>
          <w:left w:val="nil"/>
          <w:bottom w:val="nil"/>
          <w:right w:val="nil"/>
          <w:between w:val="nil"/>
          <w:bar w:val="nil"/>
        </w:pBdr>
        <w:spacing w:before="0" w:after="240"/>
        <w:rPr>
          <w:noProof/>
        </w:rPr>
      </w:pPr>
      <w:r w:rsidRPr="004E7899">
        <w:rPr>
          <w:noProof/>
        </w:rPr>
        <w:t>Seepärast lükatakse käesoleva ettepanekuga CSDDD ja teatavate CSRD sätete kohaldamine edasi.</w:t>
      </w:r>
    </w:p>
    <w:p w14:paraId="3CBE9D1C" w14:textId="77777777" w:rsidR="00A53DB0" w:rsidRPr="004E7899" w:rsidRDefault="00A53DB0" w:rsidP="00A53DB0">
      <w:pPr>
        <w:pBdr>
          <w:top w:val="nil"/>
          <w:left w:val="nil"/>
          <w:bottom w:val="nil"/>
          <w:right w:val="nil"/>
          <w:between w:val="nil"/>
          <w:bar w:val="nil"/>
        </w:pBdr>
        <w:spacing w:before="0" w:after="240"/>
        <w:rPr>
          <w:noProof/>
          <w:u w:val="single"/>
        </w:rPr>
      </w:pPr>
      <w:r w:rsidRPr="004E7899">
        <w:rPr>
          <w:noProof/>
          <w:u w:val="single"/>
        </w:rPr>
        <w:t>Käesoleva ettepaneku konkreetne taust ja eesmärgid seoses CSRDga</w:t>
      </w:r>
    </w:p>
    <w:p w14:paraId="779DFFCE" w14:textId="77777777" w:rsidR="00A53DB0" w:rsidRPr="004E7899" w:rsidRDefault="006D059E" w:rsidP="00A53DB0">
      <w:pPr>
        <w:pBdr>
          <w:top w:val="nil"/>
          <w:left w:val="nil"/>
          <w:bottom w:val="nil"/>
          <w:right w:val="nil"/>
          <w:between w:val="nil"/>
          <w:bar w:val="nil"/>
        </w:pBdr>
        <w:spacing w:before="0" w:after="240"/>
        <w:rPr>
          <w:noProof/>
        </w:rPr>
      </w:pPr>
      <w:r w:rsidRPr="004E7899">
        <w:rPr>
          <w:noProof/>
        </w:rPr>
        <w:t>CSRDd kohaldatakse praegu suurettevõtjate, ELi reguleeritud turgudel noteeritud väärtpabereid omavate VKEde, suurte kontsernide emaettevõtjate ning nendesse kategooriatesse kuuluvate emitentide suhtes. CSRDga kehtestatud aruandlusnõuete kohaldamine toimub järk-järgult vastavalt ettevõtjate eri kategooriatele. Esimeses etapis peavad 2025. aastal esitama esimest korda aruande 2024. majandusaasta kohta suured avaliku huvi üksused, kellel on üle 500 töötaja</w:t>
      </w:r>
      <w:r w:rsidRPr="004E7899">
        <w:rPr>
          <w:rStyle w:val="FootnoteReference"/>
          <w:rFonts w:eastAsia="Arial Unicode MS"/>
          <w:noProof/>
          <w:lang w:eastAsia="en-GB"/>
        </w:rPr>
        <w:footnoteReference w:id="9"/>
      </w:r>
      <w:r w:rsidRPr="004E7899">
        <w:rPr>
          <w:noProof/>
        </w:rPr>
        <w:t>. Teises etapis peavad teised suurettevõtjad esitama 2026. aastal aruande 2025. majandusaasta kohta</w:t>
      </w:r>
      <w:r w:rsidRPr="004E7899">
        <w:rPr>
          <w:rStyle w:val="FootnoteReference"/>
          <w:rFonts w:eastAsia="Arial Unicode MS"/>
          <w:noProof/>
          <w:lang w:eastAsia="en-GB"/>
        </w:rPr>
        <w:footnoteReference w:id="10"/>
      </w:r>
      <w:r w:rsidRPr="004E7899">
        <w:rPr>
          <w:noProof/>
        </w:rPr>
        <w:t>. Kolmandas etapis peavad VKEd, kelle väärtpaberid on noteeritud ELi reguleeritud turgudel, esitama 2027. aastal aruande 2026. majandusaasta kohta, kuigi neil on võimalus aruandlusest 2026. ja 2027. majandusaasta kohta loobuda</w:t>
      </w:r>
      <w:r w:rsidRPr="004E7899">
        <w:rPr>
          <w:rStyle w:val="FootnoteReference"/>
          <w:rFonts w:eastAsia="Arial Unicode MS"/>
          <w:noProof/>
          <w:lang w:eastAsia="en-GB"/>
        </w:rPr>
        <w:footnoteReference w:id="11"/>
      </w:r>
      <w:r w:rsidRPr="004E7899">
        <w:rPr>
          <w:noProof/>
        </w:rPr>
        <w:t>. Neljandas etapis peavad teatavad kolmandate riikide ettevõtjad, kelle äritegevus liidu territooriumil ületab konkreetseid künniseid, esitama 2029. aastal aruande 2028. majandusaasta kohta</w:t>
      </w:r>
      <w:r w:rsidRPr="004E7899">
        <w:rPr>
          <w:rStyle w:val="FootnoteReference"/>
          <w:rFonts w:eastAsia="Arial Unicode MS"/>
          <w:noProof/>
          <w:lang w:eastAsia="en-GB"/>
        </w:rPr>
        <w:footnoteReference w:id="12"/>
      </w:r>
      <w:r w:rsidRPr="004E7899">
        <w:rPr>
          <w:noProof/>
        </w:rPr>
        <w:t xml:space="preserve">. </w:t>
      </w:r>
    </w:p>
    <w:p w14:paraId="036B6A5D" w14:textId="77777777" w:rsidR="00A53DB0" w:rsidRPr="004E7899" w:rsidRDefault="00A53DB0" w:rsidP="00A53DB0">
      <w:pPr>
        <w:pBdr>
          <w:top w:val="nil"/>
          <w:left w:val="nil"/>
          <w:bottom w:val="nil"/>
          <w:right w:val="nil"/>
          <w:between w:val="nil"/>
          <w:bar w:val="nil"/>
        </w:pBdr>
        <w:spacing w:before="0" w:after="240"/>
        <w:rPr>
          <w:rStyle w:val="normaltextrun"/>
          <w:noProof/>
          <w:color w:val="000000"/>
          <w:shd w:val="clear" w:color="auto" w:fill="FFFFFF"/>
        </w:rPr>
      </w:pPr>
      <w:r w:rsidRPr="004E7899">
        <w:rPr>
          <w:rStyle w:val="normaltextrun"/>
          <w:noProof/>
        </w:rPr>
        <w:t xml:space="preserve">CSRDs on nõutud, et direktiivi kohaldamisalasse kuuluvad ettevõtjad esitaksid kestlikkusteavet vastavalt kohustuslikele Euroopa kestlikkusaruandluse standarditele (ESRSid) ning et komisjon võtaks sellised standardid vastu delegeeritud õigusaktidega. </w:t>
      </w:r>
      <w:r w:rsidRPr="004E7899">
        <w:rPr>
          <w:rStyle w:val="normaltextrun"/>
          <w:noProof/>
          <w:color w:val="000000"/>
          <w:shd w:val="clear" w:color="auto" w:fill="FFFFFF"/>
        </w:rPr>
        <w:t>2023. aasta juulis võttis komisjon vastu esimesed ESRSid, mis on sektorist sõltumatud, mis tähendab, et neid peavad kohaldama kõik standardi kohaldamisalasse kuuluvad ettevõtjad, sõltumata majandussektorist, kus ettevõtja tegutseb</w:t>
      </w:r>
      <w:r w:rsidRPr="004E7899">
        <w:rPr>
          <w:rStyle w:val="FootnoteReference"/>
          <w:noProof/>
          <w:color w:val="000000"/>
        </w:rPr>
        <w:footnoteReference w:id="13"/>
      </w:r>
      <w:r w:rsidRPr="004E7899">
        <w:rPr>
          <w:noProof/>
        </w:rPr>
        <w:t>.</w:t>
      </w:r>
      <w:r w:rsidRPr="004E7899">
        <w:rPr>
          <w:rStyle w:val="normaltextrun"/>
          <w:noProof/>
          <w:color w:val="000000"/>
          <w:shd w:val="clear" w:color="auto" w:fill="FFFFFF"/>
        </w:rPr>
        <w:t xml:space="preserve"> CSRDs on ka nõutud, et komisjon võtaks vastu sektoripõhised aruandlusstandardid, ning esimesed sellised standardid võetakse vastu 2026. aasta juuniks. CSRD võimaldab börsil noteeritud VKEdel kasutada aruannete esitamiseks ESRSide täiskomplekti asemel eraldiseisvat ja leebemat, proportsionaalset standardite kogumit. </w:t>
      </w:r>
    </w:p>
    <w:p w14:paraId="4ADC343F" w14:textId="77777777" w:rsidR="00A53DB0" w:rsidRPr="004E7899" w:rsidRDefault="00A53DB0" w:rsidP="00A53DB0">
      <w:pPr>
        <w:pBdr>
          <w:top w:val="nil"/>
          <w:left w:val="nil"/>
          <w:bottom w:val="nil"/>
          <w:right w:val="nil"/>
          <w:between w:val="nil"/>
          <w:bar w:val="nil"/>
        </w:pBdr>
        <w:spacing w:before="0" w:after="240"/>
        <w:rPr>
          <w:rStyle w:val="eop"/>
          <w:noProof/>
          <w:shd w:val="clear" w:color="auto" w:fill="FFFFFF"/>
        </w:rPr>
      </w:pPr>
      <w:r w:rsidRPr="004E7899">
        <w:rPr>
          <w:rStyle w:val="normaltextrun"/>
          <w:noProof/>
          <w:color w:val="000000"/>
          <w:shd w:val="clear" w:color="auto" w:fill="FFFFFF"/>
        </w:rPr>
        <w:t>Komisjoni taotlusel on EFRAG esitanud kestlikkusaruandluse standardi vabatahtlikuks kasutamiseks VKEdele, kelle suhtes ei kohaldata aruandlusnõudeid (VKEde vabatahtlik standard)</w:t>
      </w:r>
      <w:r w:rsidRPr="004E7899">
        <w:rPr>
          <w:rStyle w:val="FootnoteReference"/>
          <w:noProof/>
          <w:color w:val="000000"/>
        </w:rPr>
        <w:footnoteReference w:id="14"/>
      </w:r>
      <w:r w:rsidRPr="004E7899">
        <w:rPr>
          <w:noProof/>
        </w:rPr>
        <w:t>.</w:t>
      </w:r>
      <w:r w:rsidRPr="004E7899">
        <w:rPr>
          <w:rStyle w:val="normaltextrun"/>
          <w:noProof/>
          <w:color w:val="000000"/>
          <w:shd w:val="clear" w:color="auto" w:fill="FFFFFF"/>
        </w:rPr>
        <w:t xml:space="preserve"> VKEde vabatahtliku standardi eesmärk on anda VKEdele lihtne ja laialdaselt tunnustatud vahend, mille abil nad saavad esitada kestlikkusteavet pankadele, suurettevõtjatele ja muudele sidusrühmadele, kes võivad sellist teavet nõuda.</w:t>
      </w:r>
    </w:p>
    <w:p w14:paraId="7CCD3325" w14:textId="77777777" w:rsidR="00A53DB0" w:rsidRPr="004E7899" w:rsidRDefault="00A53DB0" w:rsidP="00A53DB0">
      <w:pPr>
        <w:pBdr>
          <w:top w:val="nil"/>
          <w:left w:val="nil"/>
          <w:bottom w:val="nil"/>
          <w:right w:val="nil"/>
          <w:between w:val="nil"/>
          <w:bar w:val="nil"/>
        </w:pBdr>
        <w:spacing w:before="0" w:after="240"/>
        <w:rPr>
          <w:noProof/>
        </w:rPr>
      </w:pPr>
      <w:r w:rsidRPr="004E7899">
        <w:rPr>
          <w:noProof/>
        </w:rPr>
        <w:t>CSRD muud olulised elemendid on kindluse andmist ja väärtusahela teabe esitamist käsitlevad sätted. Ettevõtjad peavad avaldama oma kestlikkusteabe koos vannutatud audiitori arvamusega, või kui liikmesriigid seda lubavad, sõltumatu kindlusandvate audiitorteenuste osutaja arvamusega. Praegune nõue näeb ette piiratud kindluse andmist, kuid CSRDs on sätestatud, et see võib tulevikus teatavatel tingimustel muutuda piisava kindluse andmise nõudeks</w:t>
      </w:r>
      <w:r w:rsidRPr="004E7899">
        <w:rPr>
          <w:rStyle w:val="FootnoteReference"/>
          <w:rFonts w:eastAsia="Arial Unicode MS"/>
          <w:noProof/>
          <w:lang w:eastAsia="en-GB"/>
        </w:rPr>
        <w:footnoteReference w:id="15"/>
      </w:r>
      <w:r w:rsidRPr="004E7899">
        <w:rPr>
          <w:noProof/>
        </w:rPr>
        <w:t xml:space="preserve">. CSRDs nõutakse ka, et komisjon võtaks delegeeritud õigusaktidega vastu kestlikkusaruandluse audiitorkontrolli standardid. </w:t>
      </w:r>
    </w:p>
    <w:p w14:paraId="672FFF9C" w14:textId="77777777" w:rsidR="00A53DB0" w:rsidRPr="004E7899" w:rsidRDefault="00A53DB0" w:rsidP="00A53DB0">
      <w:pPr>
        <w:pBdr>
          <w:top w:val="nil"/>
          <w:left w:val="nil"/>
          <w:bottom w:val="nil"/>
          <w:right w:val="nil"/>
          <w:between w:val="nil"/>
          <w:bar w:val="nil"/>
        </w:pBdr>
        <w:spacing w:before="0" w:after="240"/>
        <w:rPr>
          <w:noProof/>
        </w:rPr>
      </w:pPr>
      <w:r w:rsidRPr="004E7899">
        <w:rPr>
          <w:noProof/>
        </w:rPr>
        <w:t xml:space="preserve">CSRDs on nõutud, et ettevõtjad esitaksid väärtusahelat käsitleva teabe ulatuses, mis on vajalik nende kestlikkusega seotud mõju, riskide ja võimaluste mõistmiseks. CSRDga kehtestatakse väärtusahelaga seotud piirang, mille kohaselt ei tohi ESRSid sisaldada aruandlusnõudeid, mis nõuavad, et ettevõtjad hangiksid oma väärtusahelasse kuuluvatelt VKEdelt teavet, mis ületab proportsionaalse standardi alusel börsil noteeritud VKEde kohta avalikustatavat teavet. </w:t>
      </w:r>
    </w:p>
    <w:p w14:paraId="376DF68A" w14:textId="77777777" w:rsidR="00A53DB0" w:rsidRPr="004E7899" w:rsidRDefault="005E4A88" w:rsidP="00A53DB0">
      <w:pPr>
        <w:pBdr>
          <w:top w:val="nil"/>
          <w:left w:val="nil"/>
          <w:bottom w:val="nil"/>
          <w:right w:val="nil"/>
          <w:between w:val="nil"/>
          <w:bar w:val="nil"/>
        </w:pBdr>
        <w:spacing w:before="0" w:after="240"/>
        <w:rPr>
          <w:noProof/>
        </w:rPr>
      </w:pPr>
      <w:r w:rsidRPr="004E7899">
        <w:rPr>
          <w:noProof/>
        </w:rPr>
        <w:t>Käesoleva ettepaneku eesmärk on vähendada aruandluskoormust ja piirata kohustuste edasikandumist väiksematele ettevõtjatele. Esiteks lihtsustakse käesoleva ettepanekuga paralleelselt esitatava komisjoni eraldiseisva seadusandliku ettepanekuga raamistikku ja vähendatakse koormust järgmistel viisidel.</w:t>
      </w:r>
    </w:p>
    <w:p w14:paraId="1097D112" w14:textId="77777777" w:rsidR="00A53DB0" w:rsidRPr="004E7899" w:rsidRDefault="00A53DB0" w:rsidP="00373936">
      <w:pPr>
        <w:pStyle w:val="Tiret0"/>
        <w:numPr>
          <w:ilvl w:val="0"/>
          <w:numId w:val="21"/>
        </w:numPr>
        <w:rPr>
          <w:noProof/>
        </w:rPr>
      </w:pPr>
      <w:r w:rsidRPr="004E7899">
        <w:rPr>
          <w:noProof/>
        </w:rPr>
        <w:t>Nende ettevõtjate arvu, kelle suhtes kohaldatakse kohustuslikke kestlikkusaruandluse nõudeid, vähendatakse ligikaudu 80 %, jättes välja kuni 1 000 töötajaga suurettevõtjad (st mõned teise ja mõned esimese etapi ettevõtjad) ja börsil noteeritud VKEd (st kõik kolmanda etapi ettevõtjad). Aruandlusnõudeid kohaldatakse ainult nende suurettevõtjate suhtes, kellel on keskmiselt üle 1 000 töötaja (st ettevõtjad, kellel on üle 1 000 töötaja ja kelle käive on üle 50 miljoni euro või bilansimaht üle 25 miljoni euro). See muudetud künnis viib CSRD paremini kooskõlla CSDDDga</w:t>
      </w:r>
      <w:r w:rsidRPr="004E7899">
        <w:rPr>
          <w:rStyle w:val="FootnoteReference"/>
          <w:rFonts w:eastAsia="Arial Unicode MS"/>
          <w:noProof/>
        </w:rPr>
        <w:footnoteReference w:id="16"/>
      </w:r>
      <w:r w:rsidRPr="004E7899">
        <w:rPr>
          <w:noProof/>
        </w:rPr>
        <w:t>.</w:t>
      </w:r>
    </w:p>
    <w:p w14:paraId="2B3C5736" w14:textId="77777777" w:rsidR="00494487" w:rsidRPr="004E7899" w:rsidRDefault="00494487" w:rsidP="00DD2BEC">
      <w:pPr>
        <w:pStyle w:val="Tiret0"/>
        <w:rPr>
          <w:noProof/>
        </w:rPr>
      </w:pPr>
      <w:r w:rsidRPr="004E7899">
        <w:rPr>
          <w:noProof/>
        </w:rPr>
        <w:t>Komisjon teeb ettepaneku kehtestada nende ettevõtjate jaoks, kelle suhtes ei kohaldata kohustuslikke kestlikkusaruandluse nõudeid, vabatahtlikuks kasutamiseks proportsionaalne standard, mis põhineks EFRAGi välja töötatud VKEde vabatahtlikul standardil. Selle ettepaneku kohaselt võtab komisjon kõnealuse vabatahtliku standardi vastu delegeeritud õigusaktina. Turunõudluse rahuldamiseks kavatseb komisjon vahepeal võimalikult kiiresti esitada soovituse vabatahtliku kestlikkusaruandluse kohta, tuginedes EFRAGi välja töötatud VKEde vabatahtlikule standardile.</w:t>
      </w:r>
    </w:p>
    <w:p w14:paraId="44EA8AE2" w14:textId="1DF2EA12" w:rsidR="00A53DB0" w:rsidRPr="004E7899" w:rsidRDefault="00A53DB0" w:rsidP="00DD2BEC">
      <w:pPr>
        <w:pStyle w:val="Tiret0"/>
        <w:rPr>
          <w:noProof/>
        </w:rPr>
      </w:pPr>
      <w:r w:rsidRPr="004E7899">
        <w:rPr>
          <w:noProof/>
        </w:rPr>
        <w:t>Väärtusahelaga seotud piirangut laiendatakse ja tugevdatakse. See kehtiks otse aruandva äriühingu suhtes, selle asemel et piirata üksnes seda, mida ESRSides võib ette näha. See kaitseks kõiki kuni 1 000 töötajaga ettevõtjaid, mitte ainult VKEsid, nagu praegu. Piirang määratakse kindlaks vabatahtliku standardiga, mille komisjon võtab vastu delegeeritud õigusaktina ja mis põhineb EFRAGi välja töötatud VKEde vabatahtlikul standardil. See vähendab oluliselt aruandluskoormuse edasikandumise probleemi.</w:t>
      </w:r>
    </w:p>
    <w:p w14:paraId="74DED8E4" w14:textId="0B0A6865" w:rsidR="00A53DB0" w:rsidRPr="004E7899" w:rsidRDefault="00A53DB0" w:rsidP="00DD2BEC">
      <w:pPr>
        <w:pStyle w:val="Tiret0"/>
        <w:rPr>
          <w:noProof/>
        </w:rPr>
      </w:pPr>
      <w:r w:rsidRPr="004E7899">
        <w:rPr>
          <w:noProof/>
        </w:rPr>
        <w:t xml:space="preserve">Sektoripõhiseid aruandlusstandardeid ei kehtestata, et vältida nende kohustuslike andmepunktide arvu suurenemist, mida ettevõtjad peaksid esitama. </w:t>
      </w:r>
    </w:p>
    <w:p w14:paraId="24338609" w14:textId="076CE31D" w:rsidR="00A53DB0" w:rsidRPr="004E7899" w:rsidRDefault="00A53DB0" w:rsidP="00DD2BEC">
      <w:pPr>
        <w:pStyle w:val="Tiret0"/>
        <w:rPr>
          <w:noProof/>
        </w:rPr>
      </w:pPr>
      <w:r w:rsidRPr="004E7899">
        <w:rPr>
          <w:noProof/>
        </w:rPr>
        <w:t>Kaotatakse võimalus minna piiratud kindluse andmise nõudelt üle piisava kindluse andmise nõudele. See annab selguse, et asjaomaste ettevõtjate kindluse andmisega seotud kulud tulevikus ei suurene.</w:t>
      </w:r>
    </w:p>
    <w:p w14:paraId="67A9CDA0" w14:textId="77777777" w:rsidR="00557418" w:rsidRPr="004E7899" w:rsidRDefault="00120567" w:rsidP="00DD2BEC">
      <w:pPr>
        <w:pStyle w:val="Tiret0"/>
        <w:rPr>
          <w:noProof/>
        </w:rPr>
      </w:pPr>
      <w:r w:rsidRPr="004E7899">
        <w:rPr>
          <w:noProof/>
        </w:rPr>
        <w:t>Selle asemel, et täita kohustust võtta 2026. aastaks vastu kestlikkusaruandluse audiitorkontrolli standardid, annab komisjon 2026. aastaks välja sihipärased audiitorkontrolli suunised. See võimaldab komisjonil kiiremini lahendada kestlikkusaruandluse audiitorkontrolli valdkonnas tekkivaid probleeme, mis võivad tekitada tarbetut koormust ettevõtjatele, kelle suhtes kohaldatakse aruandlusnõudeid.</w:t>
      </w:r>
    </w:p>
    <w:p w14:paraId="78426277" w14:textId="77777777" w:rsidR="00A53DB0" w:rsidRPr="004E7899" w:rsidRDefault="42A06590" w:rsidP="00DD2BEC">
      <w:pPr>
        <w:pStyle w:val="Tiret0"/>
        <w:rPr>
          <w:noProof/>
        </w:rPr>
      </w:pPr>
      <w:r w:rsidRPr="004E7899">
        <w:rPr>
          <w:noProof/>
        </w:rPr>
        <w:t>Ettepanekuga luuakse vabatahtlikult rakendatav kord, mille kohaselt suurettevõtjad, kellel on keskmiselt üle 1 000 töötaja (st ettevõtjad, kellel on üle 1 000 töötaja ja kelle käive on üle 50 miljoni euro või bilansimaht üle 25 miljoni euro), kelle netokäive on kuni 450 miljonit eurot ja kes väidavad, et nende tegevus on kooskõlas või osaliselt kooskõlas ELi taksonoomiaga, avalikustavad oma käibe ja investeeringukulude peamised tulemusnäitajad ning võivad otsustada avalikustada oma tegevuskulude peamise tulemusnäitaja. Sellise vabatahtliku lähenemisviisiga kõrvaldatakse täielikult taksonoomia aruandluseeskirjade järgimise kulud selliste suurettevõtjate puhul, kellel on keskmiselt üle 1 000 töötaja (st ettevõtjad, kellel on üle 1 000 töötaja ja kelle käive on üle 50 miljoni euro või bilansimaht üle 25 miljoni euro), kelle netokäive on kuni 450 miljonit eurot ja kes ei väida, et nende tegevus on seotud majandustegevusega, mis liigitub taksonoomiamääruse kohaselt keskkonnakestlikuks. Lisaks tagatakse käesoleva ettepanekuga suurem paindlikkus, võimaldades neil ettevõtjatel anda aru tegevustest, mis vastavad teatavatele taksonoomia tehnilistele sõelumiskriteeriumidele, ent ei täida neid kõiki. Selline osaliselt kooskõlla viidud tegevust käsitlev aruandlus võib edendada tegevuste järkjärgulist keskkonnaalast üleminekut aja jooksul kooskõlas eesmärgiga suurendada ülemineku rahastamist.</w:t>
      </w:r>
    </w:p>
    <w:p w14:paraId="25C86C4A" w14:textId="77777777" w:rsidR="00A53DB0" w:rsidRPr="004E7899" w:rsidRDefault="00A53DB0" w:rsidP="00A53DB0">
      <w:pPr>
        <w:pBdr>
          <w:top w:val="nil"/>
          <w:left w:val="nil"/>
          <w:bottom w:val="nil"/>
          <w:right w:val="nil"/>
          <w:between w:val="nil"/>
          <w:bar w:val="nil"/>
        </w:pBdr>
        <w:spacing w:before="0" w:after="240"/>
        <w:rPr>
          <w:noProof/>
        </w:rPr>
      </w:pPr>
      <w:r w:rsidRPr="004E7899">
        <w:rPr>
          <w:noProof/>
        </w:rPr>
        <w:t xml:space="preserve">Teiseks kavatseb komisjon võtta viivitamata vastu delegeeritud õigusakti, et esimesed ESRSid läbi vaadata. ESRSide kiireks lihtsustamiseks ja ühtlustamiseks ning ettevõtjatele selguse ja õiguskindluse tagamiseks kavatseb komisjon võtta võimalikult kiiresti ja hiljemalt kuus kuud pärast direktiivi jõustumist vastu vajaliku delegeeritud õigusakti, et lihtsustada aruandlusraamistikku, mida käsitletakse eespool osutatud eraldiseisvas seadusandlikus ettepanekus. Delegeeritud õigusakti läbivaatamisega vähendatakse oluliselt ESRSide kohustuslike andmepunktide arvu, i) kõrvaldades need, mida peetakse üldotstarbelise kestlikkusaruandluse jaoks kõige vähem oluliseks, ii) eelistades kvantitatiivseid andmepunkte kirjeldavale tekstile ja iii) eristades täiendavalt kohustuslikke ja vabatahtlikke andmepunkte, kahjustamata koostalitlusvõimet ülemaailmsete aruandlusstandarditega ja ilma et see piiraks iga ettevõtja olulisuse hindamist. Läbivaatamise käigus täpsustatakse sätteid, mida peetakse ebaselgeks. See parandab kooskõla muude ELi õigusaktidega. Antakse selgemad juhised selle kohta, kuidas kohaldada olulisuse põhimõtet, millega tagatakse, et ettevõtjad esitavad ainult olulise teabe, ja vähendatakse riski, et kindlustandvate audiitorteenuste osutajad julgustavad tahtmatult ettevõtjaid esitama teavet, mis ei ole vajalik, või eraldama olulisuse hindamise protsessile ülemääraseid ressursse. Sellega lihtsustatakse standardite struktuuri ja esitusviisi. See parandab juba niigi väga suurt koostalitlusvõimet ülemaailmsete kestlikkusaruandluse standarditega. Samuti tehakse muid muudatusi, mida võib pidada vajalikuks, võttes arvesse ESRSide esmakordsel kohaldamisel saadud kogemusi. </w:t>
      </w:r>
    </w:p>
    <w:p w14:paraId="14EF0C81" w14:textId="77777777" w:rsidR="00A53DB0" w:rsidRPr="004E7899" w:rsidRDefault="00A53DB0" w:rsidP="00A53DB0">
      <w:pPr>
        <w:pBdr>
          <w:top w:val="nil"/>
          <w:left w:val="nil"/>
          <w:bottom w:val="nil"/>
          <w:right w:val="nil"/>
          <w:between w:val="nil"/>
          <w:bar w:val="nil"/>
        </w:pBdr>
        <w:spacing w:before="0" w:after="240"/>
        <w:rPr>
          <w:noProof/>
        </w:rPr>
      </w:pPr>
      <w:r w:rsidRPr="004E7899">
        <w:rPr>
          <w:noProof/>
        </w:rPr>
        <w:t>Kolmandaks lükatakse käesoleva ettepanekuga kahe aasta võrra edasi aruandlusnõuete kohaldamise teine etapp (suurettevõtjad, kes ei ole avaliku huvi üksused ja kellel on üle 500 töötaja, samuti vähem kui 500 töötajaga suurettevõtjad</w:t>
      </w:r>
      <w:r w:rsidRPr="004E7899">
        <w:rPr>
          <w:rStyle w:val="FootnoteReference"/>
          <w:rFonts w:eastAsia="Arial Unicode MS"/>
          <w:noProof/>
          <w:lang w:eastAsia="en-GB"/>
        </w:rPr>
        <w:footnoteReference w:id="17"/>
      </w:r>
      <w:r w:rsidRPr="004E7899">
        <w:rPr>
          <w:noProof/>
        </w:rPr>
        <w:t>) ja kolmas etapp (börsil noteeritud VKEd, väikesed ja mittekeerukad krediidiasutused ning kaptiivkindlustusandjad ja kaptiivedasikindlustusandjad). Edasilükkamise eesmärk on vältida olukorda, kus teatavad ettevõtjad peavad esitama aruande 2025. majandusaasta (teine etapp) või 2026. majandusaasta (kolmas etapp) kohta ning seejärel vabastatakse nad sellest nõudest. Selline olukord tähendaks, et kõnealused ettevõtjad kannavad tarbetuid ja välditavaid kulusid.</w:t>
      </w:r>
    </w:p>
    <w:p w14:paraId="31BF7E7D" w14:textId="77777777" w:rsidR="00A53DB0" w:rsidRPr="004E7899" w:rsidRDefault="00A53DB0" w:rsidP="00A53DB0">
      <w:pPr>
        <w:pBdr>
          <w:top w:val="nil"/>
          <w:left w:val="nil"/>
          <w:bottom w:val="nil"/>
          <w:right w:val="nil"/>
          <w:between w:val="nil"/>
          <w:bar w:val="nil"/>
        </w:pBdr>
        <w:spacing w:before="0" w:after="240"/>
        <w:rPr>
          <w:noProof/>
        </w:rPr>
      </w:pPr>
      <w:r w:rsidRPr="004E7899">
        <w:rPr>
          <w:noProof/>
        </w:rPr>
        <w:t xml:space="preserve">Komisjon kutsub kaasseadusandjaid üles jõudma kavandatud edasilükkamise suhtes kiiresti kokkuleppele, eelkõige selleks, et tagada vajalik õigusselgus teise etapi ettevõtjatele, kellel on praegu kohustus esitada esimest korda aruanne 2026. aastal 2025. majandusaasta kohta. </w:t>
      </w:r>
    </w:p>
    <w:p w14:paraId="1A646225" w14:textId="77777777" w:rsidR="00A53DB0" w:rsidRPr="004E7899" w:rsidRDefault="00A53DB0" w:rsidP="00A53DB0">
      <w:pPr>
        <w:pBdr>
          <w:top w:val="nil"/>
          <w:left w:val="nil"/>
          <w:bottom w:val="nil"/>
          <w:right w:val="nil"/>
          <w:between w:val="nil"/>
          <w:bar w:val="nil"/>
        </w:pBdr>
        <w:spacing w:before="0" w:after="240"/>
        <w:rPr>
          <w:noProof/>
          <w:u w:val="single"/>
        </w:rPr>
      </w:pPr>
      <w:r w:rsidRPr="004E7899">
        <w:rPr>
          <w:noProof/>
          <w:u w:val="single"/>
        </w:rPr>
        <w:t>Käesoleva ettepaneku konkreetne taust ja eesmärgid seoses CSDDDga</w:t>
      </w:r>
    </w:p>
    <w:p w14:paraId="1815EC07" w14:textId="77777777" w:rsidR="00DD6F15" w:rsidRPr="004E7899" w:rsidRDefault="00A427AE" w:rsidP="00977655">
      <w:pPr>
        <w:pBdr>
          <w:top w:val="nil"/>
          <w:left w:val="nil"/>
          <w:bottom w:val="nil"/>
          <w:right w:val="nil"/>
          <w:between w:val="nil"/>
          <w:bar w:val="nil"/>
        </w:pBdr>
        <w:spacing w:before="0" w:after="240"/>
        <w:rPr>
          <w:noProof/>
        </w:rPr>
      </w:pPr>
      <w:r w:rsidRPr="004E7899">
        <w:rPr>
          <w:noProof/>
        </w:rPr>
        <w:t xml:space="preserve">Kehtivate normide kohaselt peaksid liikmesriigid võtma CSDDD üle 26. juuliks 2026. Kohaldamine on kavandatud kolmes etapis: alates 2027. aasta juulist hakatakse neid norme kohaldama ainult suurimate ELi äriühingute suhtes, st nende suhtes, kellel on üle 5 000 töötaja ja kelle aastane (ülemaailmne) netokäive on üle 1,5 miljardi euro, ning kolmandate riikide äriühingute suhtes, kelle netokäive ELis on üle 1,5 miljardi euro. Teises etapis peaksid alates 2028. aasta juulist uut raamistikku hakkama järgima ELi äriühingud, kellel on üle 3 000 töötaja ja kelle netokäive on üle 900 miljoni euro, ning kolmandate riikide äriühingud, kellel on ELis selline netokäive. Lõpuks peaksid 2029. aasta juulis hakkama direktiivi (üle võtvaid liikmesriigi õigusnorme) kohaldama kõik teised äriühingud, kes kuuluvad selle üldisesse kohaldamisalasse. Alates sellest kuupäevast kohaldatakse CSDDDd hinnanguliselt ligikaudu 6 000 suure ELi äriühingu ja ligikaudu 900 kolmanda riigi äriühingu suhtes. Isikulise kohaldamisala ja järkjärgulise kohaldamise puhul võetakse arvesse asjaolu, et eri suurusega äriühingutel on uue kohustusliku raamistiku rakendamiseks erinev suutlikkus, ning seega on see proportsionaalse lähenemisviisi tagamise põhielement. </w:t>
      </w:r>
    </w:p>
    <w:p w14:paraId="1C0C8011" w14:textId="77777777" w:rsidR="00E12051" w:rsidRPr="004E7899" w:rsidRDefault="00E631F3" w:rsidP="00A53DB0">
      <w:pPr>
        <w:pBdr>
          <w:top w:val="nil"/>
          <w:left w:val="nil"/>
          <w:bottom w:val="nil"/>
          <w:right w:val="nil"/>
          <w:between w:val="nil"/>
          <w:bar w:val="nil"/>
        </w:pBdr>
        <w:spacing w:before="0" w:after="240"/>
        <w:rPr>
          <w:noProof/>
        </w:rPr>
      </w:pPr>
      <w:r w:rsidRPr="004E7899">
        <w:rPr>
          <w:noProof/>
        </w:rPr>
        <w:t>Lisaks lihtsustakse käesoleva ettepanekuga paralleelselt esitatava komisjoni eraldiseisva seadusandliku ettepanekuga raamistikku ja vähendatakse mitmel viisil äriühingute koormust. Käesoleva ettepanekuga lükatakse direktiivi kohaldamise esimene etapp ühe aasta võrra edasi. Edasilükkamise eesmärk on anda esimesele äriühingute rühmale lisaaega, et valmistuda muudetud direktiivist tulenevateks kohustusteks, võttes arvesse ka suuniseid, mille komisjon võtab vastu kooskõlas paralleelses lihtsustamisettepanekus sätestatud rangema ajakavaga.</w:t>
      </w:r>
    </w:p>
    <w:p w14:paraId="2699D682" w14:textId="77777777" w:rsidR="00480F54" w:rsidRPr="004E7899" w:rsidRDefault="00E12051" w:rsidP="0094068A">
      <w:pPr>
        <w:pBdr>
          <w:top w:val="nil"/>
          <w:left w:val="nil"/>
          <w:bottom w:val="nil"/>
          <w:right w:val="nil"/>
          <w:between w:val="nil"/>
          <w:bar w:val="nil"/>
        </w:pBdr>
        <w:spacing w:before="0" w:after="240"/>
        <w:rPr>
          <w:noProof/>
        </w:rPr>
      </w:pPr>
      <w:r w:rsidRPr="004E7899">
        <w:rPr>
          <w:noProof/>
        </w:rPr>
        <w:t>Lisaks sellele lükatakse käesoleva ettepanekuga liikmesriikide ülevõtmistähtaega ühe aasta võrra edasi, et võtta arvesse võimalikke viivitusi CSDDD ülevõtmisel, mis on tingitud paralleelse lihtsustamisettepanekuga direktiivi tehtud võimalikest muudatustest.</w:t>
      </w:r>
    </w:p>
    <w:p w14:paraId="76C6F3E4" w14:textId="77777777" w:rsidR="006C7F87" w:rsidRPr="004E7899" w:rsidRDefault="006C7F87" w:rsidP="0094068A">
      <w:pPr>
        <w:pStyle w:val="ManualHeading2"/>
        <w:rPr>
          <w:rFonts w:eastAsia="Arial Unicode MS"/>
          <w:noProof/>
          <w:color w:val="000000"/>
          <w:u w:color="000000"/>
          <w:bdr w:val="nil"/>
        </w:rPr>
      </w:pPr>
      <w:r w:rsidRPr="004E7899">
        <w:rPr>
          <w:noProof/>
          <w:color w:val="000000"/>
          <w:u w:color="000000"/>
          <w:bdr w:val="nil"/>
        </w:rPr>
        <w:t>•</w:t>
      </w:r>
      <w:r w:rsidRPr="004E7899">
        <w:rPr>
          <w:noProof/>
        </w:rPr>
        <w:tab/>
        <w:t>Kooskõla poliitikavaldkonnas praegu kehtivate õigusnormidega</w:t>
      </w:r>
    </w:p>
    <w:p w14:paraId="49877AA6" w14:textId="77777777" w:rsidR="00F763CA" w:rsidRPr="004E7899" w:rsidRDefault="00F763CA" w:rsidP="00F763CA">
      <w:pPr>
        <w:pBdr>
          <w:top w:val="nil"/>
          <w:left w:val="nil"/>
          <w:bottom w:val="nil"/>
          <w:right w:val="nil"/>
          <w:between w:val="nil"/>
          <w:bar w:val="nil"/>
        </w:pBdr>
        <w:spacing w:before="0" w:after="240"/>
        <w:rPr>
          <w:rFonts w:eastAsia="Arial Unicode MS"/>
          <w:noProof/>
        </w:rPr>
      </w:pPr>
      <w:r w:rsidRPr="004E7899">
        <w:rPr>
          <w:noProof/>
        </w:rPr>
        <w:t>Ettevõtjad, kelle suhtes kohaldatakse CSRD aruandlusnõudeid, on samuti automaatselt kohustatud esitama teatavad näitajad taksonoomiamääruse artikli 8 alusel. Lükates edasi äriühingute suhtes aruandlusnõuete kohaldamise teise ja kolmanda etapi, lükatakse käesoleva ettepanekuga seega automaatselt edasi kuupäev, mil sellised äriühingud peavad esitama need näitajad taksonoomiamääruse alusel.</w:t>
      </w:r>
    </w:p>
    <w:p w14:paraId="6D78FFDA" w14:textId="0CBD0008" w:rsidR="00F763CA" w:rsidRPr="004E7899" w:rsidRDefault="00F763CA" w:rsidP="00F763CA">
      <w:pPr>
        <w:pBdr>
          <w:top w:val="nil"/>
          <w:left w:val="nil"/>
          <w:bottom w:val="nil"/>
          <w:right w:val="nil"/>
          <w:between w:val="nil"/>
          <w:bar w:val="nil"/>
        </w:pBdr>
        <w:spacing w:before="0" w:after="240"/>
        <w:rPr>
          <w:rFonts w:eastAsia="Arial Unicode MS"/>
          <w:noProof/>
        </w:rPr>
      </w:pPr>
      <w:r w:rsidRPr="004E7899">
        <w:rPr>
          <w:noProof/>
        </w:rPr>
        <w:t>CSRDs ja ESRSides sätestatud aruandlusnõuete eesmärk on muu hulgas tagada, et finantsturu osalistel, krediidiasutustel ja võrdlusaluste halduritel oleks juurdepääs kestlikkusteabele, mida nad ettevõtjatelt vajavad, et täita jätkusuutlikkust käsitleva teabe avalikustamise määrusest, kapitalinõuete määrusest ja võrdlusaluste määrusest tulenevaid aruandluskohustusi. Kavandatava edasilükkamisega lükatakse edasi finantsturu osaliste, krediidiasutuste ja võrdlusaluste haldurite jaoks teabe kättesaadavuse parandamine.</w:t>
      </w:r>
    </w:p>
    <w:p w14:paraId="55FC4E52" w14:textId="77777777" w:rsidR="00F763CA" w:rsidRPr="004E7899" w:rsidRDefault="00F763CA" w:rsidP="0094068A">
      <w:pPr>
        <w:pBdr>
          <w:top w:val="nil"/>
          <w:left w:val="nil"/>
          <w:bottom w:val="nil"/>
          <w:right w:val="nil"/>
          <w:between w:val="nil"/>
          <w:bar w:val="nil"/>
        </w:pBdr>
        <w:spacing w:before="0" w:after="240"/>
        <w:rPr>
          <w:rFonts w:eastAsia="Arial Unicode MS"/>
          <w:noProof/>
        </w:rPr>
      </w:pPr>
      <w:r w:rsidRPr="004E7899">
        <w:rPr>
          <w:noProof/>
        </w:rPr>
        <w:t xml:space="preserve">Ettevõtjad, kelle suhtes kohaldatakse nii CSRDd kui ka CSDDDd, ei ole CSDDD kohaselt kohustatud esitama täiendavat teavet lisaks sellele, mida nad peavad esitama CSRD alusel. Kuna käesoleva ettepanekuga lükatakse edasi nii CSDDDs ette nähtud meetmed kui ka teatavate ettevõtjate suhtes CSRD kohaste aruandlusnõuete kohaldamise kuupäev, säilib kooskõla nende kahe õigusakti vahel. </w:t>
      </w:r>
    </w:p>
    <w:p w14:paraId="4B559101" w14:textId="77777777" w:rsidR="006C7F87" w:rsidRPr="004E7899" w:rsidRDefault="006C7F87" w:rsidP="0094068A">
      <w:pPr>
        <w:pStyle w:val="ManualHeading2"/>
        <w:rPr>
          <w:rFonts w:eastAsia="Arial Unicode MS"/>
          <w:noProof/>
        </w:rPr>
      </w:pPr>
      <w:r w:rsidRPr="004E7899">
        <w:rPr>
          <w:noProof/>
          <w:color w:val="000000"/>
          <w:u w:color="000000"/>
          <w:bdr w:val="nil"/>
        </w:rPr>
        <w:t>•</w:t>
      </w:r>
      <w:r w:rsidRPr="004E7899">
        <w:rPr>
          <w:noProof/>
        </w:rPr>
        <w:tab/>
        <w:t>Kooskõla muude liidu tegevuspõhimõtetega</w:t>
      </w:r>
    </w:p>
    <w:p w14:paraId="2CA8BED0" w14:textId="77777777" w:rsidR="00B8576D" w:rsidRPr="004E7899" w:rsidRDefault="00B8576D" w:rsidP="00B8576D">
      <w:pPr>
        <w:pBdr>
          <w:top w:val="nil"/>
          <w:left w:val="nil"/>
          <w:bottom w:val="nil"/>
          <w:right w:val="nil"/>
          <w:between w:val="nil"/>
          <w:bar w:val="nil"/>
        </w:pBdr>
        <w:spacing w:before="0" w:after="240"/>
        <w:rPr>
          <w:rFonts w:eastAsia="Arial Unicode MS"/>
          <w:noProof/>
        </w:rPr>
      </w:pPr>
      <w:r w:rsidRPr="004E7899">
        <w:rPr>
          <w:noProof/>
        </w:rPr>
        <w:t xml:space="preserve">Käesolev ettepanek on kooskõlas ELi poliitikaga, mille eesmärk on suurendada konkurentsivõimet, lihtsustada õigusraamistikku ja vähendada ettevõtjate koormust, ning saavutab samal ajal CSRD ja CSDDD poliitikaeesmärgid. See hõlmab Euroopa rohelise kokkuleppe säilitamist, kuna keskpikas ja pikas perspektiivis sõltub konkurentsivõime sellest, kas äriühingud integreerivad kestlikkuskaalutlused piisavalt oma tegevusse. </w:t>
      </w:r>
    </w:p>
    <w:p w14:paraId="60ACF72B" w14:textId="77777777" w:rsidR="006C7F87" w:rsidRPr="004E7899" w:rsidRDefault="006C7F87" w:rsidP="0094068A">
      <w:pPr>
        <w:pStyle w:val="ManualHeading1"/>
        <w:rPr>
          <w:noProof/>
        </w:rPr>
      </w:pPr>
      <w:r w:rsidRPr="004E7899">
        <w:rPr>
          <w:noProof/>
        </w:rPr>
        <w:t>2.</w:t>
      </w:r>
      <w:r w:rsidRPr="004E7899">
        <w:rPr>
          <w:noProof/>
        </w:rPr>
        <w:tab/>
        <w:t>ÕIGUSLIK ALUS, SUBSIDIAARSUS JA PROPORTSIONAALSUS</w:t>
      </w:r>
    </w:p>
    <w:p w14:paraId="66932301" w14:textId="77777777" w:rsidR="006C7F87" w:rsidRPr="004E7899" w:rsidRDefault="006C7F87" w:rsidP="0094068A">
      <w:pPr>
        <w:pStyle w:val="ManualHeading2"/>
        <w:rPr>
          <w:rFonts w:eastAsia="Arial Unicode MS"/>
          <w:noProof/>
          <w:u w:color="000000"/>
          <w:bdr w:val="nil"/>
        </w:rPr>
      </w:pPr>
      <w:r w:rsidRPr="004E7899">
        <w:rPr>
          <w:noProof/>
          <w:u w:color="000000"/>
          <w:bdr w:val="nil"/>
        </w:rPr>
        <w:t>•</w:t>
      </w:r>
      <w:r w:rsidRPr="004E7899">
        <w:rPr>
          <w:noProof/>
        </w:rPr>
        <w:tab/>
      </w:r>
      <w:r w:rsidRPr="004E7899">
        <w:rPr>
          <w:noProof/>
          <w:u w:color="000000"/>
          <w:bdr w:val="nil"/>
        </w:rPr>
        <w:t>Õiguslik alus</w:t>
      </w:r>
    </w:p>
    <w:p w14:paraId="35B2DD44" w14:textId="77777777" w:rsidR="006C7F87" w:rsidRPr="004E7899" w:rsidRDefault="009C089C" w:rsidP="0094068A">
      <w:pPr>
        <w:pBdr>
          <w:top w:val="nil"/>
          <w:left w:val="nil"/>
          <w:bottom w:val="nil"/>
          <w:right w:val="nil"/>
          <w:between w:val="nil"/>
          <w:bar w:val="nil"/>
        </w:pBdr>
        <w:spacing w:before="0" w:after="240"/>
        <w:rPr>
          <w:rFonts w:eastAsia="Arial Unicode MS"/>
          <w:noProof/>
        </w:rPr>
      </w:pPr>
      <w:r w:rsidRPr="004E7899">
        <w:rPr>
          <w:noProof/>
        </w:rPr>
        <w:t>Ettepaneku õiguslik alus põhineb Euroopa Liidu toimimise lepingu (ELi toimimise leping) artiklitel 50 ja 114. ELi toimimise lepingu artikkel 50 on õiguslik alus selliste ELi meetmete vastuvõtmiseks, mille eesmärk on saavutada äriühinguõiguses asutamisvabadus ühtsel turul, ning sellega volitatakse Euroopa Parlamenti ja nõukogu direktiivide abil tegutsema. ELi toimimise lepingu artikkel 114 on üldine õiguslik alus, mille eesmärk on rajada ühtne turg või tagada selle toimimine, mis käesoleval juhul tähendab kapitali vaba liikumist. ELi toimimise lepingu artiklid 50 ja 114 on direktiivi (EL) 2022/2464 ja direktiivi (EL) 2024/1760 õiguslik alus.</w:t>
      </w:r>
    </w:p>
    <w:p w14:paraId="29DF55DE" w14:textId="77777777" w:rsidR="006C7F87" w:rsidRPr="004E7899" w:rsidRDefault="006C7F87" w:rsidP="0094068A">
      <w:pPr>
        <w:pStyle w:val="ManualHeading2"/>
        <w:rPr>
          <w:rFonts w:eastAsia="Arial Unicode MS"/>
          <w:noProof/>
          <w:u w:color="000000"/>
          <w:bdr w:val="nil"/>
        </w:rPr>
      </w:pPr>
      <w:r w:rsidRPr="004E7899">
        <w:rPr>
          <w:noProof/>
          <w:u w:color="000000"/>
          <w:bdr w:val="nil"/>
        </w:rPr>
        <w:t>•</w:t>
      </w:r>
      <w:r w:rsidRPr="004E7899">
        <w:rPr>
          <w:noProof/>
        </w:rPr>
        <w:tab/>
      </w:r>
      <w:r w:rsidRPr="004E7899">
        <w:rPr>
          <w:noProof/>
          <w:u w:color="000000"/>
          <w:bdr w:val="nil"/>
        </w:rPr>
        <w:t xml:space="preserve">Subsidiaarsus (ainupädevusse mittekuuluva valdkonna puhul) </w:t>
      </w:r>
    </w:p>
    <w:p w14:paraId="77EDE928" w14:textId="77777777" w:rsidR="006C7F87" w:rsidRPr="004E7899" w:rsidRDefault="000515FD" w:rsidP="0094068A">
      <w:pPr>
        <w:pBdr>
          <w:top w:val="nil"/>
          <w:left w:val="nil"/>
          <w:bottom w:val="nil"/>
          <w:right w:val="nil"/>
          <w:between w:val="nil"/>
          <w:bar w:val="nil"/>
        </w:pBdr>
        <w:spacing w:before="0" w:after="240"/>
        <w:rPr>
          <w:rFonts w:eastAsia="Arial Unicode MS"/>
          <w:noProof/>
        </w:rPr>
      </w:pPr>
      <w:r w:rsidRPr="004E7899">
        <w:rPr>
          <w:noProof/>
        </w:rPr>
        <w:t xml:space="preserve">Käesoleva ettepanekuga muudetakse </w:t>
      </w:r>
      <w:bookmarkStart w:id="1" w:name="_Hlk189940979"/>
      <w:r w:rsidRPr="004E7899">
        <w:rPr>
          <w:noProof/>
        </w:rPr>
        <w:t>teatavate liidu õiguse sätete kohaldamise alguskuupäevi</w:t>
      </w:r>
      <w:bookmarkEnd w:id="1"/>
      <w:r w:rsidRPr="004E7899">
        <w:rPr>
          <w:noProof/>
        </w:rPr>
        <w:t xml:space="preserve">. Neid kuupäevi saab muuta üksnes ELi tasandi meetmega. </w:t>
      </w:r>
    </w:p>
    <w:p w14:paraId="7D16969E" w14:textId="77777777" w:rsidR="006C7F87" w:rsidRPr="004E7899" w:rsidRDefault="006C7F87" w:rsidP="0094068A">
      <w:pPr>
        <w:pStyle w:val="ManualHeading2"/>
        <w:rPr>
          <w:rFonts w:eastAsia="Arial Unicode MS"/>
          <w:noProof/>
          <w:u w:color="000000"/>
          <w:bdr w:val="nil"/>
        </w:rPr>
      </w:pPr>
      <w:r w:rsidRPr="004E7899">
        <w:rPr>
          <w:noProof/>
          <w:u w:color="000000"/>
          <w:bdr w:val="nil"/>
        </w:rPr>
        <w:t>•</w:t>
      </w:r>
      <w:r w:rsidRPr="004E7899">
        <w:rPr>
          <w:noProof/>
        </w:rPr>
        <w:tab/>
      </w:r>
      <w:r w:rsidRPr="004E7899">
        <w:rPr>
          <w:noProof/>
          <w:u w:color="000000"/>
          <w:bdr w:val="nil"/>
        </w:rPr>
        <w:t>Proportsionaalsus</w:t>
      </w:r>
    </w:p>
    <w:p w14:paraId="669D2B99" w14:textId="0BC4ABD7" w:rsidR="006C7F87" w:rsidRPr="004E7899" w:rsidRDefault="00A67FB0" w:rsidP="0094068A">
      <w:pPr>
        <w:pBdr>
          <w:top w:val="nil"/>
          <w:left w:val="nil"/>
          <w:bottom w:val="nil"/>
          <w:right w:val="nil"/>
          <w:between w:val="nil"/>
          <w:bar w:val="nil"/>
        </w:pBdr>
        <w:spacing w:before="0" w:after="240"/>
        <w:rPr>
          <w:rFonts w:eastAsia="Arial Unicode MS"/>
          <w:noProof/>
        </w:rPr>
      </w:pPr>
      <w:r w:rsidRPr="004E7899">
        <w:rPr>
          <w:noProof/>
        </w:rPr>
        <w:t>Poliitikaeesmärk on lükata edasi teatavate liidu õiguse sätete kohaldamise alguskuupäevi. Selle eesmärgi saavutamise ainus viis on teha ettepanek neid kuupäevi muuta.</w:t>
      </w:r>
    </w:p>
    <w:p w14:paraId="369E84B1" w14:textId="77777777" w:rsidR="006C7F87" w:rsidRPr="004E7899" w:rsidRDefault="006C7F87" w:rsidP="0094068A">
      <w:pPr>
        <w:pStyle w:val="ManualHeading2"/>
        <w:rPr>
          <w:rFonts w:eastAsia="Arial Unicode MS"/>
          <w:noProof/>
          <w:u w:color="000000"/>
          <w:bdr w:val="nil"/>
        </w:rPr>
      </w:pPr>
      <w:r w:rsidRPr="004E7899">
        <w:rPr>
          <w:noProof/>
          <w:u w:color="000000"/>
          <w:bdr w:val="nil"/>
        </w:rPr>
        <w:t>•</w:t>
      </w:r>
      <w:r w:rsidRPr="004E7899">
        <w:rPr>
          <w:noProof/>
        </w:rPr>
        <w:tab/>
      </w:r>
      <w:r w:rsidRPr="004E7899">
        <w:rPr>
          <w:noProof/>
          <w:u w:color="000000"/>
          <w:bdr w:val="nil"/>
        </w:rPr>
        <w:t>Vahendi valik</w:t>
      </w:r>
    </w:p>
    <w:p w14:paraId="7A555AA8" w14:textId="77777777" w:rsidR="006C7F87" w:rsidRPr="004E7899" w:rsidRDefault="00327AFF" w:rsidP="0094068A">
      <w:pPr>
        <w:pBdr>
          <w:top w:val="nil"/>
          <w:left w:val="nil"/>
          <w:bottom w:val="nil"/>
          <w:right w:val="nil"/>
          <w:between w:val="nil"/>
          <w:bar w:val="nil"/>
        </w:pBdr>
        <w:spacing w:before="0" w:after="240"/>
        <w:rPr>
          <w:rFonts w:eastAsia="Arial Unicode MS"/>
          <w:noProof/>
        </w:rPr>
      </w:pPr>
      <w:r w:rsidRPr="004E7899">
        <w:rPr>
          <w:noProof/>
        </w:rPr>
        <w:t>Käesolev ettepanek koosneb direktiivist, millega muudetakse äriühingute kestlikkusaruandluse direktiivi (CSRD) ja äriühingute kestlikkusalase hoolsuskohustuse direktiivi (CSDDD) sätteid. Koonddirektiivi peetakse kõige sobivamaks õiguslikuks vahendiks, et muuta kehtivaid direktiive seoses lihtsustamise ja koormuse vähendamisega kestlikkusaruandluse ja hoolsuskohustuse valdkonnas.</w:t>
      </w:r>
    </w:p>
    <w:p w14:paraId="3783CF80" w14:textId="77777777" w:rsidR="006C7F87" w:rsidRPr="004E7899" w:rsidRDefault="006C7F87" w:rsidP="0094068A">
      <w:pPr>
        <w:pStyle w:val="ManualHeading1"/>
        <w:rPr>
          <w:noProof/>
        </w:rPr>
      </w:pPr>
      <w:r w:rsidRPr="004E7899">
        <w:rPr>
          <w:noProof/>
        </w:rPr>
        <w:t>3.</w:t>
      </w:r>
      <w:r w:rsidRPr="004E7899">
        <w:rPr>
          <w:noProof/>
        </w:rPr>
        <w:tab/>
        <w:t>JÄRELHINDAMISE, SIDUSRÜHMADEGA KONSULTEERIMISE JA MÕJU HINDAMISE TULEMUSED</w:t>
      </w:r>
    </w:p>
    <w:p w14:paraId="56BC2DB3" w14:textId="77777777" w:rsidR="006C7F87" w:rsidRPr="004E7899" w:rsidRDefault="006C7F87" w:rsidP="0094068A">
      <w:pPr>
        <w:pStyle w:val="ManualHeading2"/>
        <w:rPr>
          <w:rFonts w:eastAsia="Arial Unicode MS"/>
          <w:noProof/>
          <w:u w:color="000000"/>
          <w:bdr w:val="nil"/>
        </w:rPr>
      </w:pPr>
      <w:r w:rsidRPr="004E7899">
        <w:rPr>
          <w:noProof/>
          <w:u w:color="000000"/>
          <w:bdr w:val="nil"/>
        </w:rPr>
        <w:t>•</w:t>
      </w:r>
      <w:r w:rsidRPr="004E7899">
        <w:rPr>
          <w:noProof/>
        </w:rPr>
        <w:tab/>
      </w:r>
      <w:r w:rsidRPr="004E7899">
        <w:rPr>
          <w:noProof/>
          <w:u w:color="000000"/>
          <w:bdr w:val="nil"/>
        </w:rPr>
        <w:t>Praegu kehtivate õigusaktide järelhindamine või toimivuse kontroll</w:t>
      </w:r>
    </w:p>
    <w:p w14:paraId="0C3221D1" w14:textId="2D302313" w:rsidR="00D03258" w:rsidRPr="004E7899" w:rsidRDefault="00D03258" w:rsidP="00D03258">
      <w:pPr>
        <w:pBdr>
          <w:top w:val="nil"/>
          <w:left w:val="nil"/>
          <w:bottom w:val="nil"/>
          <w:right w:val="nil"/>
          <w:between w:val="nil"/>
          <w:bar w:val="nil"/>
        </w:pBdr>
        <w:spacing w:before="0" w:after="240"/>
        <w:rPr>
          <w:rFonts w:eastAsia="Arial Unicode MS"/>
          <w:noProof/>
        </w:rPr>
      </w:pPr>
      <w:r w:rsidRPr="004E7899">
        <w:rPr>
          <w:noProof/>
        </w:rPr>
        <w:t>Äriühingud ei ole CSDDDd veel üle võtnud ega kohaldanud. CSRDd on kohaldanud esimene rühm äriühinguid, kes avaldavad oma esimesed kestlikkusaruanded peamiselt 2025. aasta esimesel poolel. Seetõttu ei olnud kummagi õigusakti järelhindamist ega toimivuskontrolli võimalik läbi viia.</w:t>
      </w:r>
    </w:p>
    <w:p w14:paraId="7A481714" w14:textId="77777777" w:rsidR="006C7F87" w:rsidRPr="004E7899" w:rsidRDefault="006C7F87" w:rsidP="0094068A">
      <w:pPr>
        <w:pStyle w:val="ManualHeading2"/>
        <w:rPr>
          <w:rFonts w:eastAsia="Arial Unicode MS"/>
          <w:noProof/>
          <w:u w:color="000000"/>
          <w:bdr w:val="nil"/>
        </w:rPr>
      </w:pPr>
      <w:r w:rsidRPr="004E7899">
        <w:rPr>
          <w:noProof/>
          <w:u w:color="000000"/>
          <w:bdr w:val="nil"/>
        </w:rPr>
        <w:t>•</w:t>
      </w:r>
      <w:r w:rsidRPr="004E7899">
        <w:rPr>
          <w:noProof/>
        </w:rPr>
        <w:tab/>
      </w:r>
      <w:r w:rsidRPr="004E7899">
        <w:rPr>
          <w:noProof/>
          <w:u w:color="000000"/>
          <w:bdr w:val="nil"/>
        </w:rPr>
        <w:t>Konsulteerimine sidusrühmadega</w:t>
      </w:r>
    </w:p>
    <w:p w14:paraId="3AAA5766" w14:textId="77777777" w:rsidR="001275AC" w:rsidRPr="004E7899" w:rsidRDefault="001275AC" w:rsidP="001275AC">
      <w:pPr>
        <w:pBdr>
          <w:top w:val="nil"/>
          <w:left w:val="nil"/>
          <w:bottom w:val="nil"/>
          <w:right w:val="nil"/>
          <w:between w:val="nil"/>
          <w:bar w:val="nil"/>
        </w:pBdr>
        <w:spacing w:before="0" w:after="240"/>
        <w:rPr>
          <w:noProof/>
        </w:rPr>
      </w:pPr>
      <w:r w:rsidRPr="004E7899">
        <w:rPr>
          <w:noProof/>
        </w:rPr>
        <w:t xml:space="preserve">Ettepaneku sisu on aidanud kujundada järgmine konsultatsioonitegevus: </w:t>
      </w:r>
    </w:p>
    <w:p w14:paraId="33E7A4B8" w14:textId="77777777" w:rsidR="001275AC" w:rsidRPr="004E7899" w:rsidRDefault="001275AC" w:rsidP="000B7904">
      <w:pPr>
        <w:pStyle w:val="paragraph"/>
        <w:numPr>
          <w:ilvl w:val="0"/>
          <w:numId w:val="17"/>
        </w:numPr>
        <w:spacing w:before="0" w:beforeAutospacing="0" w:after="0" w:afterAutospacing="0"/>
        <w:jc w:val="both"/>
        <w:textAlignment w:val="baseline"/>
        <w:rPr>
          <w:rStyle w:val="normaltextrun"/>
          <w:rFonts w:ascii="Segoe UI" w:hAnsi="Segoe UI" w:cs="Segoe UI"/>
          <w:noProof/>
          <w:sz w:val="18"/>
          <w:szCs w:val="18"/>
        </w:rPr>
      </w:pPr>
      <w:r w:rsidRPr="004E7899">
        <w:rPr>
          <w:rStyle w:val="normaltextrun"/>
          <w:noProof/>
          <w:color w:val="000000"/>
          <w:shd w:val="clear" w:color="auto" w:fill="FFFFFF"/>
        </w:rPr>
        <w:t>Euroopa Komisjoni tagasisidekorje aruandlusnõuete ratsionaliseerimise kohta, oktoober-detsember 2023</w:t>
      </w:r>
      <w:r w:rsidRPr="004E7899">
        <w:rPr>
          <w:rStyle w:val="FootnoteReference"/>
          <w:noProof/>
          <w:color w:val="000000"/>
        </w:rPr>
        <w:footnoteReference w:id="18"/>
      </w:r>
      <w:r w:rsidRPr="004E7899">
        <w:rPr>
          <w:noProof/>
        </w:rPr>
        <w:t>;</w:t>
      </w:r>
      <w:r w:rsidRPr="004E7899">
        <w:rPr>
          <w:rStyle w:val="normaltextrun"/>
          <w:noProof/>
          <w:color w:val="000000"/>
          <w:shd w:val="clear" w:color="auto" w:fill="FFFFFF"/>
        </w:rPr>
        <w:t xml:space="preserve"> </w:t>
      </w:r>
    </w:p>
    <w:p w14:paraId="58A6F751" w14:textId="77777777" w:rsidR="001275AC" w:rsidRPr="004E7899" w:rsidRDefault="001275AC" w:rsidP="000B7904">
      <w:pPr>
        <w:pStyle w:val="paragraph"/>
        <w:numPr>
          <w:ilvl w:val="0"/>
          <w:numId w:val="17"/>
        </w:numPr>
        <w:spacing w:before="0" w:beforeAutospacing="0" w:after="0" w:afterAutospacing="0"/>
        <w:jc w:val="both"/>
        <w:textAlignment w:val="baseline"/>
        <w:rPr>
          <w:rStyle w:val="normaltextrun"/>
          <w:rFonts w:ascii="Segoe UI" w:hAnsi="Segoe UI" w:cs="Segoe UI"/>
          <w:noProof/>
          <w:sz w:val="18"/>
          <w:szCs w:val="18"/>
        </w:rPr>
      </w:pPr>
      <w:r w:rsidRPr="004E7899">
        <w:rPr>
          <w:rStyle w:val="normaltextrun"/>
          <w:noProof/>
        </w:rPr>
        <w:t>Euroopa Komisjoni kestlikkusaruandluse usutavuse kontroll ja lihtsustamise ümarlaud 2025. aasta veebruari alguses;</w:t>
      </w:r>
    </w:p>
    <w:p w14:paraId="186ABB6A" w14:textId="77777777" w:rsidR="001275AC" w:rsidRPr="004E7899" w:rsidRDefault="001275AC" w:rsidP="000B7904">
      <w:pPr>
        <w:pStyle w:val="paragraph"/>
        <w:numPr>
          <w:ilvl w:val="0"/>
          <w:numId w:val="17"/>
        </w:numPr>
        <w:spacing w:before="0" w:beforeAutospacing="0" w:after="0" w:afterAutospacing="0"/>
        <w:jc w:val="both"/>
        <w:textAlignment w:val="baseline"/>
        <w:rPr>
          <w:rFonts w:ascii="Segoe UI" w:hAnsi="Segoe UI" w:cs="Segoe UI"/>
          <w:noProof/>
          <w:sz w:val="18"/>
          <w:szCs w:val="18"/>
        </w:rPr>
      </w:pPr>
      <w:r w:rsidRPr="004E7899">
        <w:rPr>
          <w:noProof/>
        </w:rPr>
        <w:t>Euroopa Komisjon korraldas 2024. aasta mais ja novembris ka eraldiseisvaid sidusrühmadele suunatud tegevusi, sealhulgas kaks suurt sidusrühmade hübriidfoorumit CSRD teemal, kus kohapeal osales üle 400 inimese ja virtuaalselt üle 3 000 inimese;</w:t>
      </w:r>
    </w:p>
    <w:p w14:paraId="51A494F1" w14:textId="77777777" w:rsidR="000A19BC" w:rsidRPr="004E7899" w:rsidRDefault="000A19BC" w:rsidP="000B7904">
      <w:pPr>
        <w:pStyle w:val="paragraph"/>
        <w:numPr>
          <w:ilvl w:val="0"/>
          <w:numId w:val="17"/>
        </w:numPr>
        <w:spacing w:before="0" w:beforeAutospacing="0" w:after="0" w:afterAutospacing="0"/>
        <w:jc w:val="both"/>
        <w:textAlignment w:val="baseline"/>
        <w:rPr>
          <w:noProof/>
        </w:rPr>
      </w:pPr>
      <w:r w:rsidRPr="004E7899">
        <w:rPr>
          <w:noProof/>
        </w:rPr>
        <w:t>Euroopa Komisjon sai väga palju kirju ja üksikasjalikke analüüse mitmesugustelt sidusrühmadelt (äriühingutelt investoritele, pankadele, kodanikuühiskonnale, vabaühendustele, kaubanduskodadele ja liikmesriikide haldusasutustele).</w:t>
      </w:r>
    </w:p>
    <w:p w14:paraId="31F2CDAC" w14:textId="77777777" w:rsidR="000A19BC" w:rsidRPr="004E7899" w:rsidRDefault="000A19BC" w:rsidP="000A19BC">
      <w:pPr>
        <w:pStyle w:val="paragraph"/>
        <w:spacing w:before="0" w:beforeAutospacing="0" w:after="0" w:afterAutospacing="0"/>
        <w:ind w:left="720"/>
        <w:jc w:val="both"/>
        <w:textAlignment w:val="baseline"/>
        <w:rPr>
          <w:rFonts w:ascii="Segoe UI" w:hAnsi="Segoe UI" w:cs="Segoe UI"/>
          <w:noProof/>
          <w:sz w:val="18"/>
          <w:szCs w:val="18"/>
        </w:rPr>
      </w:pPr>
    </w:p>
    <w:p w14:paraId="4AC91D72" w14:textId="77777777" w:rsidR="005A6B99" w:rsidRPr="004E7899" w:rsidRDefault="005A6B99" w:rsidP="005A6B99">
      <w:pPr>
        <w:pBdr>
          <w:top w:val="nil"/>
          <w:left w:val="nil"/>
          <w:bottom w:val="nil"/>
          <w:right w:val="nil"/>
          <w:between w:val="nil"/>
          <w:bar w:val="nil"/>
        </w:pBdr>
        <w:spacing w:before="0" w:after="240"/>
        <w:rPr>
          <w:rStyle w:val="normaltextrun"/>
          <w:rFonts w:eastAsia="Arial Unicode MS"/>
          <w:noProof/>
          <w:u w:val="single"/>
        </w:rPr>
      </w:pPr>
      <w:r w:rsidRPr="004E7899">
        <w:rPr>
          <w:noProof/>
          <w:u w:val="single"/>
        </w:rPr>
        <w:t>Äriühingute kestlikkusaruandluse direktiiv</w:t>
      </w:r>
    </w:p>
    <w:p w14:paraId="207B6FB7" w14:textId="77777777" w:rsidR="005A6B99" w:rsidRPr="004E7899" w:rsidRDefault="005A6B99" w:rsidP="005A6B99">
      <w:pPr>
        <w:pStyle w:val="paragraph"/>
        <w:spacing w:before="0" w:beforeAutospacing="0" w:after="0" w:afterAutospacing="0"/>
        <w:jc w:val="both"/>
        <w:textAlignment w:val="baseline"/>
        <w:rPr>
          <w:rStyle w:val="eop"/>
          <w:rFonts w:eastAsiaTheme="majorEastAsia"/>
          <w:noProof/>
          <w:color w:val="000000"/>
          <w:shd w:val="clear" w:color="auto" w:fill="FFFFFF"/>
        </w:rPr>
      </w:pPr>
      <w:r w:rsidRPr="004E7899">
        <w:rPr>
          <w:rStyle w:val="normaltextrun"/>
          <w:noProof/>
          <w:color w:val="000000"/>
          <w:shd w:val="clear" w:color="auto" w:fill="FFFFFF"/>
        </w:rPr>
        <w:t>Euroopa Komisjoni tagasisidekorjega aruandlusnõuete ratsionaliseerimise kohta</w:t>
      </w:r>
      <w:r w:rsidRPr="004E7899">
        <w:rPr>
          <w:noProof/>
          <w:color w:val="000000"/>
          <w:shd w:val="clear" w:color="auto" w:fill="FFFFFF"/>
        </w:rPr>
        <w:t xml:space="preserve"> sooviti saada tõendeid ja seisukohti eeskirjade kohta, mida peetakse halduskoormust tekitavaks. </w:t>
      </w:r>
      <w:r w:rsidRPr="004E7899">
        <w:rPr>
          <w:rStyle w:val="normaltextrun"/>
          <w:noProof/>
          <w:color w:val="000000"/>
          <w:shd w:val="clear" w:color="auto" w:fill="FFFFFF"/>
        </w:rPr>
        <w:t xml:space="preserve">Tagasisidekorjele vastas peaaegu 200 sidusrühma, kes kutsusid eelkõige üles lihtsustama kestlikkusaruandlust, hoolsuskohustust ja ELi taksonoomiat. </w:t>
      </w:r>
    </w:p>
    <w:p w14:paraId="3A797607" w14:textId="77777777" w:rsidR="005A6B99" w:rsidRPr="004E7899" w:rsidRDefault="005A6B99" w:rsidP="005A6B99">
      <w:pPr>
        <w:pStyle w:val="paragraph"/>
        <w:spacing w:before="0" w:beforeAutospacing="0" w:after="0" w:afterAutospacing="0"/>
        <w:jc w:val="both"/>
        <w:textAlignment w:val="baseline"/>
        <w:rPr>
          <w:rFonts w:ascii="Segoe UI" w:hAnsi="Segoe UI" w:cs="Segoe UI"/>
          <w:noProof/>
          <w:sz w:val="18"/>
          <w:szCs w:val="18"/>
        </w:rPr>
      </w:pPr>
    </w:p>
    <w:p w14:paraId="60B1CD5F" w14:textId="77777777" w:rsidR="005A6B99" w:rsidRPr="004E7899" w:rsidRDefault="005A6B99" w:rsidP="005A6B99">
      <w:pPr>
        <w:pBdr>
          <w:top w:val="nil"/>
          <w:left w:val="nil"/>
          <w:bottom w:val="nil"/>
          <w:right w:val="nil"/>
          <w:between w:val="nil"/>
          <w:bar w:val="nil"/>
        </w:pBdr>
        <w:spacing w:before="0" w:after="240"/>
        <w:rPr>
          <w:noProof/>
        </w:rPr>
      </w:pPr>
      <w:r w:rsidRPr="004E7899">
        <w:rPr>
          <w:noProof/>
        </w:rPr>
        <w:t xml:space="preserve">Euroopa Komisjoni </w:t>
      </w:r>
      <w:r w:rsidRPr="004E7899">
        <w:rPr>
          <w:rStyle w:val="normaltextrun"/>
          <w:noProof/>
        </w:rPr>
        <w:t>kohtumistel</w:t>
      </w:r>
      <w:r w:rsidRPr="004E7899">
        <w:rPr>
          <w:noProof/>
        </w:rPr>
        <w:t xml:space="preserve"> Euroopa tööstuse esindajate, sotsiaalpartnerite ja kodanikuühiskonnaga 2025. aasta veebruari alguses väljendasid sidusrühmad toetust CSRD ja CSDDD üldistele eesmärkidele, kuid toonitasid vajadust nende direktiivide rakendamist lihtsustada ja ühtlustada. </w:t>
      </w:r>
    </w:p>
    <w:p w14:paraId="2020A5C2" w14:textId="77777777" w:rsidR="00083FC5" w:rsidRPr="004E7899" w:rsidRDefault="00083FC5" w:rsidP="005A6B99">
      <w:pPr>
        <w:pBdr>
          <w:top w:val="nil"/>
          <w:left w:val="nil"/>
          <w:bottom w:val="nil"/>
          <w:right w:val="nil"/>
          <w:between w:val="nil"/>
          <w:bar w:val="nil"/>
        </w:pBdr>
        <w:spacing w:before="0" w:after="240"/>
        <w:rPr>
          <w:noProof/>
        </w:rPr>
      </w:pPr>
      <w:r w:rsidRPr="004E7899">
        <w:rPr>
          <w:noProof/>
        </w:rPr>
        <w:t xml:space="preserve">Mõned sidusrühmad, eelkõige äri- ja tööstuskontsernid, soovitasid lihtsustamisele keskendumiseks kehtivate õigusaktide kohaldamine peatada. Nad väitsid, et CSRDs sätestatud aruandlusnõuete kohaldamise edasilükkamine annaks komisjonile võimaluse raamistikku lihtsustada ja annaks ühtlasi äriühingutele rohkem aega, et eelseisvateks muudatusteks valmistuda. </w:t>
      </w:r>
    </w:p>
    <w:p w14:paraId="1F83BAB3" w14:textId="77777777" w:rsidR="00083FC5" w:rsidRPr="004E7899" w:rsidRDefault="00083FC5" w:rsidP="001275AC">
      <w:pPr>
        <w:pBdr>
          <w:top w:val="nil"/>
          <w:left w:val="nil"/>
          <w:bottom w:val="nil"/>
          <w:right w:val="nil"/>
          <w:between w:val="nil"/>
          <w:bar w:val="nil"/>
        </w:pBdr>
        <w:spacing w:before="0" w:after="240"/>
        <w:rPr>
          <w:noProof/>
        </w:rPr>
      </w:pPr>
      <w:r w:rsidRPr="004E7899">
        <w:rPr>
          <w:noProof/>
        </w:rPr>
        <w:t>Teised sidusrühmad, eelkõige kodanikuühiskonna rühmad, nägid eeskirjade säilitamises suuri eeliseid, tõid esile õiguskindluse ja regulatiivse stabiilsuse tähtsust ettevõtjate jaoks ning pooldasid Euroopa rohelise kokkuleppe ja kestliku rahanduse tegevuskava eesmärkide säilitamist. Samuti rõhutasid nad, et kehtivate eeskirjade edasilükkamise või muutmise asemel tuleks kestlikkusaruandluse raamistiku teatavate osade selgitamiseks ja lihtsustamiseks kasutada rakendamissuuniseid.</w:t>
      </w:r>
    </w:p>
    <w:p w14:paraId="1B9E39D9" w14:textId="62EED218" w:rsidR="00D1796E" w:rsidRPr="004E7899" w:rsidRDefault="00D1796E" w:rsidP="00D1796E">
      <w:pPr>
        <w:pStyle w:val="paragraph"/>
        <w:spacing w:before="0" w:beforeAutospacing="0" w:after="0" w:afterAutospacing="0"/>
        <w:jc w:val="both"/>
        <w:textAlignment w:val="baseline"/>
        <w:rPr>
          <w:rStyle w:val="eop"/>
          <w:noProof/>
          <w:color w:val="000000"/>
          <w:shd w:val="clear" w:color="auto" w:fill="FFFFFF"/>
        </w:rPr>
      </w:pPr>
      <w:r w:rsidRPr="004E7899">
        <w:rPr>
          <w:rStyle w:val="normaltextrun"/>
          <w:noProof/>
          <w:color w:val="000000"/>
          <w:shd w:val="clear" w:color="auto" w:fill="FFFFFF"/>
        </w:rPr>
        <w:t>Lihtsustamise vajadust on väljendatud ka paljudes muudes, nii finants- kui ka mittefinantssektori ettevõtjate aruannetes, soovitustes ja sidusrühmade seisukohtades; neist mitmes rõhutatakse keerukuse ja halduskoormuse vähendamise tähtsust ning käesolevas ettepanekus kirjeldatud koormuse vähendamise meetmetes on neis esitatud teavet arvesse võetud.</w:t>
      </w:r>
    </w:p>
    <w:p w14:paraId="201E04FD" w14:textId="77777777" w:rsidR="00D1796E" w:rsidRPr="004E7899" w:rsidRDefault="00D1796E" w:rsidP="00D1796E">
      <w:pPr>
        <w:pStyle w:val="paragraph"/>
        <w:spacing w:before="0" w:beforeAutospacing="0" w:after="0" w:afterAutospacing="0"/>
        <w:jc w:val="both"/>
        <w:textAlignment w:val="baseline"/>
        <w:rPr>
          <w:rFonts w:ascii="Segoe UI" w:hAnsi="Segoe UI" w:cs="Segoe UI"/>
          <w:noProof/>
          <w:sz w:val="18"/>
          <w:szCs w:val="18"/>
        </w:rPr>
      </w:pPr>
    </w:p>
    <w:p w14:paraId="3AB21881" w14:textId="77777777" w:rsidR="001275AC" w:rsidRPr="004E7899" w:rsidRDefault="001275AC" w:rsidP="001275AC">
      <w:pPr>
        <w:pBdr>
          <w:top w:val="nil"/>
          <w:left w:val="nil"/>
          <w:bottom w:val="nil"/>
          <w:right w:val="nil"/>
          <w:between w:val="nil"/>
          <w:bar w:val="nil"/>
        </w:pBdr>
        <w:spacing w:before="0" w:after="240"/>
        <w:rPr>
          <w:rFonts w:eastAsia="Arial Unicode MS"/>
          <w:noProof/>
          <w:u w:val="single"/>
        </w:rPr>
      </w:pPr>
      <w:r w:rsidRPr="004E7899">
        <w:rPr>
          <w:noProof/>
          <w:u w:val="single"/>
        </w:rPr>
        <w:t>Äriühingute kestlikkusalase hoolsuskohustuse direktiiv</w:t>
      </w:r>
    </w:p>
    <w:p w14:paraId="5D62E859" w14:textId="77777777" w:rsidR="004B0309" w:rsidRPr="004E7899" w:rsidRDefault="004B0309" w:rsidP="004B0309">
      <w:pPr>
        <w:rPr>
          <w:noProof/>
        </w:rPr>
      </w:pPr>
      <w:r w:rsidRPr="004E7899">
        <w:rPr>
          <w:noProof/>
        </w:rPr>
        <w:t>Ettepaneku koostamisel on arvesse võetud eri sidusrühmadega, sealhulgas ettevõtjate, kutseühingute ja kodanikuühiskonna organisatsioonidega peetud konsultatsioone, samuti muid kontakte sidusrühmadega ja neilt saadud teavet. Nende hulka kuulub eelkõige kahepäevane sidusrühmade üritus, mis võimaldas komisjonil saada praktikutelt teavet selle kohta, milliseid probleeme nad seoses kehtiva õigusraamistikuga näevad ja millised võiksid olla võimalikud lahendused nende kõrvaldamiseks. Kuigi mõned sidusrühmad nõudsid kaugeleulatuvaid muudatusi ja edasilükkamisi, rõhutasid teised vajadust õiguskindluse järele ja olid vastu direktiivi uuesti avamisele ning keskendusid selle asemel rakendamisele. Käesoleva ettepaneku ja paralleelse lihtsustamisettepaneku eesmärk on neid seisukohti tasakaalustada, säilitades CSDDD terviklikkuse, kuid tehes samal ajal muudatusi direktiivi lihtsustamiseks ja ühtlustamiseks.</w:t>
      </w:r>
    </w:p>
    <w:p w14:paraId="36789638" w14:textId="77777777" w:rsidR="006C7F87" w:rsidRPr="004E7899" w:rsidRDefault="006C7F87" w:rsidP="0094068A">
      <w:pPr>
        <w:pStyle w:val="ManualHeading2"/>
        <w:rPr>
          <w:rFonts w:eastAsia="Arial Unicode MS"/>
          <w:noProof/>
          <w:u w:color="000000"/>
          <w:bdr w:val="nil"/>
        </w:rPr>
      </w:pPr>
      <w:r w:rsidRPr="004E7899">
        <w:rPr>
          <w:noProof/>
          <w:u w:color="000000"/>
          <w:bdr w:val="nil"/>
        </w:rPr>
        <w:t>•</w:t>
      </w:r>
      <w:r w:rsidRPr="004E7899">
        <w:rPr>
          <w:noProof/>
        </w:rPr>
        <w:tab/>
      </w:r>
      <w:r w:rsidRPr="004E7899">
        <w:rPr>
          <w:noProof/>
          <w:u w:color="000000"/>
          <w:bdr w:val="nil"/>
        </w:rPr>
        <w:t>Eksperdiarvamuste kogumine ja kasutamine</w:t>
      </w:r>
    </w:p>
    <w:p w14:paraId="4B27ADCC" w14:textId="77777777" w:rsidR="006C7F87" w:rsidRPr="004E7899" w:rsidRDefault="0077312E" w:rsidP="0094068A">
      <w:pPr>
        <w:pBdr>
          <w:top w:val="nil"/>
          <w:left w:val="nil"/>
          <w:bottom w:val="nil"/>
          <w:right w:val="nil"/>
          <w:between w:val="nil"/>
          <w:bar w:val="nil"/>
        </w:pBdr>
        <w:spacing w:before="0" w:after="240"/>
        <w:rPr>
          <w:noProof/>
        </w:rPr>
      </w:pPr>
      <w:r w:rsidRPr="004E7899">
        <w:rPr>
          <w:noProof/>
        </w:rPr>
        <w:t xml:space="preserve">Ei kohaldata. </w:t>
      </w:r>
    </w:p>
    <w:p w14:paraId="4C434194" w14:textId="77777777" w:rsidR="006C7F87" w:rsidRPr="004E7899" w:rsidRDefault="006C7F87" w:rsidP="0094068A">
      <w:pPr>
        <w:pStyle w:val="ManualHeading2"/>
        <w:rPr>
          <w:rFonts w:eastAsia="Arial Unicode MS"/>
          <w:noProof/>
          <w:u w:color="000000"/>
          <w:bdr w:val="nil"/>
        </w:rPr>
      </w:pPr>
      <w:r w:rsidRPr="004E7899">
        <w:rPr>
          <w:noProof/>
          <w:u w:color="000000"/>
          <w:bdr w:val="nil"/>
        </w:rPr>
        <w:t>•</w:t>
      </w:r>
      <w:r w:rsidRPr="004E7899">
        <w:rPr>
          <w:noProof/>
        </w:rPr>
        <w:tab/>
      </w:r>
      <w:r w:rsidRPr="004E7899">
        <w:rPr>
          <w:noProof/>
          <w:u w:color="000000"/>
          <w:bdr w:val="nil"/>
        </w:rPr>
        <w:t>Mõjuhinnang</w:t>
      </w:r>
    </w:p>
    <w:p w14:paraId="4B3795C5" w14:textId="10D06661" w:rsidR="006C7F87" w:rsidRPr="004E7899" w:rsidRDefault="00E649C0" w:rsidP="0094068A">
      <w:pPr>
        <w:pBdr>
          <w:top w:val="nil"/>
          <w:left w:val="nil"/>
          <w:bottom w:val="nil"/>
          <w:right w:val="nil"/>
          <w:between w:val="nil"/>
          <w:bar w:val="nil"/>
        </w:pBdr>
        <w:spacing w:before="0" w:after="240"/>
        <w:rPr>
          <w:noProof/>
        </w:rPr>
      </w:pPr>
      <w:r w:rsidRPr="004E7899">
        <w:rPr>
          <w:noProof/>
        </w:rPr>
        <w:t>Käesolevale ettepanekule on lisatud kavandatud meetmete mõju analüüsi sisaldav komisjoni talituste töödokument. Võttes arvesse tungivat vajadust ettepanekud esitada, et tuvastatud probleemid kõrvaldada, ei olnud täielikku mõjuhinnangut võimalik koostada.</w:t>
      </w:r>
    </w:p>
    <w:p w14:paraId="2E797997" w14:textId="77777777" w:rsidR="006C7F87" w:rsidRPr="004E7899" w:rsidRDefault="006C7F87" w:rsidP="0094068A">
      <w:pPr>
        <w:pStyle w:val="ManualHeading2"/>
        <w:rPr>
          <w:rFonts w:eastAsia="Arial Unicode MS"/>
          <w:noProof/>
          <w:u w:color="000000"/>
          <w:bdr w:val="nil"/>
        </w:rPr>
      </w:pPr>
      <w:r w:rsidRPr="004E7899">
        <w:rPr>
          <w:noProof/>
          <w:u w:color="000000"/>
          <w:bdr w:val="nil"/>
        </w:rPr>
        <w:t>•</w:t>
      </w:r>
      <w:r w:rsidRPr="004E7899">
        <w:rPr>
          <w:noProof/>
        </w:rPr>
        <w:tab/>
      </w:r>
      <w:r w:rsidRPr="004E7899">
        <w:rPr>
          <w:noProof/>
          <w:u w:color="000000"/>
          <w:bdr w:val="nil"/>
        </w:rPr>
        <w:t>Õigusnormide toimivus ja lihtsustamine</w:t>
      </w:r>
    </w:p>
    <w:p w14:paraId="053A533A" w14:textId="77777777" w:rsidR="006C7F87" w:rsidRPr="004E7899" w:rsidRDefault="00645D12" w:rsidP="0094068A">
      <w:pPr>
        <w:pBdr>
          <w:top w:val="nil"/>
          <w:left w:val="nil"/>
          <w:bottom w:val="nil"/>
          <w:right w:val="nil"/>
          <w:between w:val="nil"/>
          <w:bar w:val="nil"/>
        </w:pBdr>
        <w:spacing w:before="0" w:after="240"/>
        <w:rPr>
          <w:rFonts w:eastAsia="Arial Unicode MS"/>
          <w:noProof/>
        </w:rPr>
      </w:pPr>
      <w:r w:rsidRPr="004E7899">
        <w:rPr>
          <w:noProof/>
        </w:rPr>
        <w:t>Käesolev ettepanek on selgelt kavandatud eesmärgiga hõlbustada kestlikkusaruandluse korra olulist lihtsustamist.</w:t>
      </w:r>
    </w:p>
    <w:p w14:paraId="2997827B" w14:textId="77777777" w:rsidR="006C7F87" w:rsidRPr="004E7899" w:rsidRDefault="006C7F87" w:rsidP="0094068A">
      <w:pPr>
        <w:pStyle w:val="ManualHeading2"/>
        <w:rPr>
          <w:rFonts w:eastAsia="Arial Unicode MS"/>
          <w:noProof/>
          <w:u w:color="000000"/>
          <w:bdr w:val="nil"/>
        </w:rPr>
      </w:pPr>
      <w:r w:rsidRPr="004E7899">
        <w:rPr>
          <w:noProof/>
          <w:u w:color="000000"/>
          <w:bdr w:val="nil"/>
        </w:rPr>
        <w:t>•</w:t>
      </w:r>
      <w:r w:rsidRPr="004E7899">
        <w:rPr>
          <w:noProof/>
        </w:rPr>
        <w:tab/>
      </w:r>
      <w:r w:rsidRPr="004E7899">
        <w:rPr>
          <w:noProof/>
          <w:u w:color="000000"/>
          <w:bdr w:val="nil"/>
        </w:rPr>
        <w:t>Põhiõigused</w:t>
      </w:r>
    </w:p>
    <w:p w14:paraId="34757B2E" w14:textId="77777777" w:rsidR="007730D3" w:rsidRPr="004E7899" w:rsidRDefault="007730D3" w:rsidP="007730D3">
      <w:pPr>
        <w:pBdr>
          <w:top w:val="nil"/>
          <w:left w:val="nil"/>
          <w:bottom w:val="nil"/>
          <w:right w:val="nil"/>
          <w:between w:val="nil"/>
          <w:bar w:val="nil"/>
        </w:pBdr>
        <w:spacing w:before="0" w:after="240"/>
        <w:rPr>
          <w:noProof/>
          <w:u w:val="single"/>
        </w:rPr>
      </w:pPr>
      <w:r w:rsidRPr="004E7899">
        <w:rPr>
          <w:noProof/>
          <w:u w:val="single"/>
        </w:rPr>
        <w:t>Äriühingute kestlikkusaruandluse direktiiv</w:t>
      </w:r>
    </w:p>
    <w:p w14:paraId="1A036D07" w14:textId="77777777" w:rsidR="007C2EAE" w:rsidRPr="004E7899" w:rsidRDefault="007C2EAE" w:rsidP="007C2EAE">
      <w:pPr>
        <w:pBdr>
          <w:top w:val="nil"/>
          <w:left w:val="nil"/>
          <w:bottom w:val="nil"/>
          <w:right w:val="nil"/>
          <w:between w:val="nil"/>
          <w:bar w:val="nil"/>
        </w:pBdr>
        <w:spacing w:before="0" w:after="240"/>
        <w:rPr>
          <w:noProof/>
        </w:rPr>
      </w:pPr>
      <w:r w:rsidRPr="004E7899">
        <w:rPr>
          <w:noProof/>
        </w:rPr>
        <w:t xml:space="preserve">Ettepanekus austatakse ja järgitakse Euroopa Liidu põhiõiguste hartas sätestatud põhimõtteid. Äriühingute kestlikkusaruandluse direktiivil on põhiõigustele kaudne positiivne mõju, kuna kestlikkusaruandluse nõuded võivad mõjutada äriühinguid paremini käituma. See aitab äriühingutel põhiõigusi rohkem teadvustada ja mõjutada positiivselt seda, kuidas nad tuvastavad ja haldavad tegelikku ja võimalikku kahjulikku mõju põhiõigustele. Kavandatav edasilükkamine lükkab edasi ka positiivse mõju nende äriühingute puhul, kes hakkavad aruandlusnõudeid hiljem kohaldama. Selliste äriühingute koormuse vähendamine ja eelkõige nende äriühingute koormuse vähendamine, kes jäetakse CSRD kohaldamisalast välja eraldi ettepanekuga, mille komisjon esitab paralleelselt käesoleva ettepanekuga, peaks siiski tooma kaasa muud ühiskondlikku kasu jõukuse loomise ning tööhõive ja innovatsiooni, sealhulgas kestlikkust toetava innovatsiooni edendamise näol. </w:t>
      </w:r>
    </w:p>
    <w:p w14:paraId="107A6CCE" w14:textId="77777777" w:rsidR="004B79C1" w:rsidRPr="004E7899" w:rsidRDefault="004B79C1" w:rsidP="004B79C1">
      <w:pPr>
        <w:pBdr>
          <w:top w:val="nil"/>
          <w:left w:val="nil"/>
          <w:bottom w:val="nil"/>
          <w:right w:val="nil"/>
          <w:between w:val="nil"/>
          <w:bar w:val="nil"/>
        </w:pBdr>
        <w:spacing w:before="0" w:after="240"/>
        <w:rPr>
          <w:noProof/>
          <w:u w:val="single"/>
        </w:rPr>
      </w:pPr>
      <w:r w:rsidRPr="004E7899">
        <w:rPr>
          <w:noProof/>
          <w:u w:val="single"/>
        </w:rPr>
        <w:t>Äriühingute kestlikkusalase hoolsuskohustuse direktiiv</w:t>
      </w:r>
    </w:p>
    <w:p w14:paraId="43ACC459" w14:textId="77777777" w:rsidR="007730D3" w:rsidRPr="004E7899" w:rsidRDefault="009B0967" w:rsidP="007C2EAE">
      <w:pPr>
        <w:pBdr>
          <w:top w:val="nil"/>
          <w:left w:val="nil"/>
          <w:bottom w:val="nil"/>
          <w:right w:val="nil"/>
          <w:between w:val="nil"/>
          <w:bar w:val="nil"/>
        </w:pBdr>
        <w:spacing w:before="0" w:after="240"/>
        <w:rPr>
          <w:noProof/>
        </w:rPr>
      </w:pPr>
      <w:r w:rsidRPr="004E7899">
        <w:rPr>
          <w:noProof/>
        </w:rPr>
        <w:t xml:space="preserve">Ettepanekus austatakse ja järgitakse Euroopa Liidu põhiõiguste hartas sätestatud põhimõtteid. Põhiõiguste kaitse ja edendamine on CSDDD üks põhieesmärk. Direktiivis nõutakse, et väga suured äriühingud teeksid kindlaks iga äriühingu enda tegevuses, tema tütarettevõtjate tegevuses ja äriühingu tegevusahelas avalduva kahjuliku mõju inimõigustele ja kahjuliku keskkonnamõju ning käsitleksid sellist mõju. Kavandatav edasilükkamine lükkab edasi positiivse mõju direktiivi kohaldamisalasse kuuluvate äriühingute esimese rühma puhul, kes hakkavad hoolsusnõudeid hiljem kohaldama. </w:t>
      </w:r>
    </w:p>
    <w:p w14:paraId="55F555EF" w14:textId="77777777" w:rsidR="006C7F87" w:rsidRPr="004E7899" w:rsidRDefault="006C7F87" w:rsidP="0094068A">
      <w:pPr>
        <w:pStyle w:val="ManualHeading1"/>
        <w:rPr>
          <w:noProof/>
        </w:rPr>
      </w:pPr>
      <w:r w:rsidRPr="004E7899">
        <w:rPr>
          <w:noProof/>
        </w:rPr>
        <w:t>4.</w:t>
      </w:r>
      <w:r w:rsidRPr="004E7899">
        <w:rPr>
          <w:noProof/>
        </w:rPr>
        <w:tab/>
        <w:t>MÕJU EELARVELE</w:t>
      </w:r>
    </w:p>
    <w:p w14:paraId="3FEE963A" w14:textId="77777777" w:rsidR="006C7F87" w:rsidRPr="004E7899" w:rsidRDefault="00661D1F" w:rsidP="0094068A">
      <w:pPr>
        <w:pBdr>
          <w:top w:val="nil"/>
          <w:left w:val="nil"/>
          <w:bottom w:val="nil"/>
          <w:right w:val="nil"/>
          <w:between w:val="nil"/>
          <w:bar w:val="nil"/>
        </w:pBdr>
        <w:spacing w:before="0" w:after="240"/>
        <w:rPr>
          <w:rFonts w:eastAsia="Arial Unicode MS"/>
          <w:noProof/>
        </w:rPr>
      </w:pPr>
      <w:r w:rsidRPr="004E7899">
        <w:rPr>
          <w:noProof/>
        </w:rPr>
        <w:t xml:space="preserve">Ettepanek ei mõjuta eelarvet. </w:t>
      </w:r>
    </w:p>
    <w:p w14:paraId="3F061832" w14:textId="77777777" w:rsidR="006C7F87" w:rsidRPr="004E7899" w:rsidRDefault="006C7F87" w:rsidP="0094068A">
      <w:pPr>
        <w:pStyle w:val="ManualHeading1"/>
        <w:rPr>
          <w:noProof/>
        </w:rPr>
      </w:pPr>
      <w:r w:rsidRPr="004E7899">
        <w:rPr>
          <w:noProof/>
        </w:rPr>
        <w:t>5.</w:t>
      </w:r>
      <w:r w:rsidRPr="004E7899">
        <w:rPr>
          <w:noProof/>
        </w:rPr>
        <w:tab/>
        <w:t>MUU TEAVE</w:t>
      </w:r>
    </w:p>
    <w:p w14:paraId="67DB09EF" w14:textId="77777777" w:rsidR="006C7F87" w:rsidRPr="004E7899" w:rsidRDefault="006C7F87" w:rsidP="0094068A">
      <w:pPr>
        <w:pStyle w:val="ManualHeading2"/>
        <w:rPr>
          <w:rFonts w:eastAsia="Arial Unicode MS"/>
          <w:noProof/>
          <w:u w:color="000000"/>
          <w:bdr w:val="nil"/>
        </w:rPr>
      </w:pPr>
      <w:r w:rsidRPr="004E7899">
        <w:rPr>
          <w:noProof/>
          <w:u w:color="000000"/>
          <w:bdr w:val="nil"/>
        </w:rPr>
        <w:t>•</w:t>
      </w:r>
      <w:r w:rsidRPr="004E7899">
        <w:rPr>
          <w:noProof/>
        </w:rPr>
        <w:tab/>
      </w:r>
      <w:r w:rsidRPr="004E7899">
        <w:rPr>
          <w:noProof/>
          <w:u w:color="000000"/>
          <w:bdr w:val="nil"/>
        </w:rPr>
        <w:t>Rakenduskavad ning järelevalve, hindamise ja aruandluse kord</w:t>
      </w:r>
    </w:p>
    <w:p w14:paraId="5918F282" w14:textId="77777777" w:rsidR="006C7F87" w:rsidRPr="004E7899" w:rsidRDefault="00733A6F" w:rsidP="0094068A">
      <w:pPr>
        <w:pBdr>
          <w:top w:val="nil"/>
          <w:left w:val="nil"/>
          <w:bottom w:val="nil"/>
          <w:right w:val="nil"/>
          <w:between w:val="nil"/>
          <w:bar w:val="nil"/>
        </w:pBdr>
        <w:spacing w:before="0" w:after="240"/>
        <w:rPr>
          <w:noProof/>
        </w:rPr>
      </w:pPr>
      <w:r w:rsidRPr="004E7899">
        <w:rPr>
          <w:noProof/>
        </w:rPr>
        <w:t>Ei kohaldata.</w:t>
      </w:r>
    </w:p>
    <w:p w14:paraId="2D1C5984" w14:textId="77777777" w:rsidR="006C7F87" w:rsidRPr="004E7899" w:rsidRDefault="006C7F87" w:rsidP="0094068A">
      <w:pPr>
        <w:pStyle w:val="ManualHeading2"/>
        <w:rPr>
          <w:rFonts w:eastAsia="Arial Unicode MS"/>
          <w:noProof/>
          <w:u w:color="000000"/>
          <w:bdr w:val="nil"/>
        </w:rPr>
      </w:pPr>
      <w:r w:rsidRPr="004E7899">
        <w:rPr>
          <w:noProof/>
          <w:u w:color="000000"/>
          <w:bdr w:val="nil"/>
        </w:rPr>
        <w:t>•</w:t>
      </w:r>
      <w:r w:rsidRPr="004E7899">
        <w:rPr>
          <w:noProof/>
        </w:rPr>
        <w:tab/>
      </w:r>
      <w:r w:rsidRPr="004E7899">
        <w:rPr>
          <w:noProof/>
          <w:u w:color="000000"/>
          <w:bdr w:val="nil"/>
        </w:rPr>
        <w:t>Selgitavad dokumendid (direktiivide puhul)</w:t>
      </w:r>
    </w:p>
    <w:p w14:paraId="33A2F332" w14:textId="77777777" w:rsidR="006A1E17" w:rsidRPr="004E7899" w:rsidRDefault="006A1E17" w:rsidP="006A1E17">
      <w:pPr>
        <w:pBdr>
          <w:top w:val="nil"/>
          <w:left w:val="nil"/>
          <w:bottom w:val="nil"/>
          <w:right w:val="nil"/>
          <w:between w:val="nil"/>
          <w:bar w:val="nil"/>
        </w:pBdr>
        <w:spacing w:before="0" w:after="240"/>
        <w:rPr>
          <w:rFonts w:eastAsia="Arial Unicode MS"/>
          <w:noProof/>
        </w:rPr>
      </w:pPr>
      <w:r w:rsidRPr="004E7899">
        <w:rPr>
          <w:noProof/>
        </w:rPr>
        <w:t>Selgitavaid dokumente ei peeta vajalikuks.</w:t>
      </w:r>
    </w:p>
    <w:p w14:paraId="1C3D5683" w14:textId="7CE0BE1C" w:rsidR="006C7F87" w:rsidRPr="004E7899" w:rsidRDefault="006C7F87" w:rsidP="00DD2BEC">
      <w:pPr>
        <w:pStyle w:val="ManualHeading2"/>
        <w:rPr>
          <w:rFonts w:eastAsia="Arial Unicode MS"/>
          <w:noProof/>
          <w:u w:color="000000"/>
          <w:bdr w:val="nil"/>
        </w:rPr>
      </w:pPr>
      <w:r w:rsidRPr="004E7899">
        <w:rPr>
          <w:noProof/>
          <w:u w:color="000000"/>
          <w:bdr w:val="nil"/>
        </w:rPr>
        <w:t>•</w:t>
      </w:r>
      <w:r w:rsidRPr="004E7899">
        <w:rPr>
          <w:noProof/>
        </w:rPr>
        <w:tab/>
      </w:r>
      <w:r w:rsidRPr="004E7899">
        <w:rPr>
          <w:noProof/>
          <w:u w:color="000000"/>
          <w:bdr w:val="nil"/>
        </w:rPr>
        <w:t>Ettepaneku sätete üksikasjalik selgitus</w:t>
      </w:r>
    </w:p>
    <w:p w14:paraId="782C9BD4" w14:textId="77777777" w:rsidR="00D1123F" w:rsidRPr="004E7899" w:rsidRDefault="00D1123F" w:rsidP="0057371C">
      <w:pPr>
        <w:spacing w:before="0" w:after="0"/>
        <w:rPr>
          <w:noProof/>
        </w:rPr>
      </w:pPr>
      <w:bookmarkStart w:id="2" w:name="_Hlk190089865"/>
      <w:r w:rsidRPr="004E7899">
        <w:rPr>
          <w:noProof/>
        </w:rPr>
        <w:t xml:space="preserve">Artikliga 1 muudetakse direktiivi (EL) 2022/2464 (äriühingute kestlikkusaruandluse direktiiv, CSRD) artikli 5 lõiget 2, kehtestades kestlikkusaruandluse nõuete kaheaastase edasilükkamise kõigi CSRD kohaldamisalasse kuuluvate äriühingute puhul, kes peavad sõltuvalt suurusest täitma nõudeid alates 2025. või 2026. majandusaastast. </w:t>
      </w:r>
    </w:p>
    <w:p w14:paraId="626315B7" w14:textId="77777777" w:rsidR="002C75E5" w:rsidRPr="004E7899" w:rsidRDefault="002C75E5" w:rsidP="0057371C">
      <w:pPr>
        <w:spacing w:before="0" w:after="0"/>
        <w:rPr>
          <w:noProof/>
        </w:rPr>
      </w:pPr>
      <w:r w:rsidRPr="004E7899">
        <w:rPr>
          <w:noProof/>
        </w:rPr>
        <w:t>Täpsemalt:</w:t>
      </w:r>
    </w:p>
    <w:p w14:paraId="0E44F782" w14:textId="77777777" w:rsidR="003D234B" w:rsidRPr="004E7899" w:rsidRDefault="00482FA2" w:rsidP="00DD2BEC">
      <w:pPr>
        <w:pStyle w:val="Tiret0"/>
        <w:rPr>
          <w:noProof/>
        </w:rPr>
      </w:pPr>
      <w:r w:rsidRPr="004E7899">
        <w:rPr>
          <w:noProof/>
        </w:rPr>
        <w:t>lõike 1 punkti a kohaselt peavad liikmesriigid tagama, et järgmised ettevõtjad esitavad kestlikkusaruande alates 1. jaanuaril 2027 (mitte 1. jaanuaril 2025) või pärast seda algavatest majandusaastatest:</w:t>
      </w:r>
    </w:p>
    <w:p w14:paraId="06D7EA88" w14:textId="77777777" w:rsidR="003D234B" w:rsidRPr="004E7899" w:rsidRDefault="00571B79" w:rsidP="00373936">
      <w:pPr>
        <w:pStyle w:val="Bullet0"/>
        <w:numPr>
          <w:ilvl w:val="0"/>
          <w:numId w:val="22"/>
        </w:numPr>
        <w:tabs>
          <w:tab w:val="clear" w:pos="850"/>
          <w:tab w:val="num" w:pos="1560"/>
        </w:tabs>
        <w:ind w:left="1276" w:hanging="425"/>
        <w:rPr>
          <w:noProof/>
        </w:rPr>
      </w:pPr>
      <w:r w:rsidRPr="004E7899">
        <w:rPr>
          <w:noProof/>
        </w:rPr>
        <w:t xml:space="preserve">suurettevõtjad, kellel on keskmiselt kuni 500 töötajat majandusaasta jooksul; </w:t>
      </w:r>
    </w:p>
    <w:p w14:paraId="244D0EA4" w14:textId="77777777" w:rsidR="003D234B" w:rsidRPr="004E7899" w:rsidRDefault="003D234B" w:rsidP="00DD2BEC">
      <w:pPr>
        <w:pStyle w:val="Bullet0"/>
        <w:tabs>
          <w:tab w:val="clear" w:pos="850"/>
          <w:tab w:val="num" w:pos="1560"/>
        </w:tabs>
        <w:ind w:left="1276" w:hanging="425"/>
        <w:rPr>
          <w:noProof/>
        </w:rPr>
      </w:pPr>
      <w:r w:rsidRPr="004E7899">
        <w:rPr>
          <w:noProof/>
        </w:rPr>
        <w:t xml:space="preserve">suurettevõtjad, kellel on keskmiselt üle 500 töötaja majandusaasta jooksul, kuid kes ei ole avaliku huvi üksused; </w:t>
      </w:r>
    </w:p>
    <w:p w14:paraId="3B377C00" w14:textId="77777777" w:rsidR="00F83E1C" w:rsidRPr="004E7899" w:rsidRDefault="00F83E1C" w:rsidP="00DD2BEC">
      <w:pPr>
        <w:pStyle w:val="Bullet0"/>
        <w:tabs>
          <w:tab w:val="clear" w:pos="850"/>
          <w:tab w:val="num" w:pos="1560"/>
        </w:tabs>
        <w:ind w:left="1276" w:hanging="425"/>
        <w:rPr>
          <w:noProof/>
        </w:rPr>
      </w:pPr>
      <w:r w:rsidRPr="004E7899">
        <w:rPr>
          <w:noProof/>
        </w:rPr>
        <w:t>suure kontserni emaettevõtjad, kelle keskmine töötajate arv on bilansipäeval konsolideeritud alusel üle 500 töötaja majandusaasta jooksul;</w:t>
      </w:r>
    </w:p>
    <w:p w14:paraId="5A9CDE58" w14:textId="77777777" w:rsidR="003D234B" w:rsidRPr="004E7899" w:rsidRDefault="000A419A" w:rsidP="00DD2BEC">
      <w:pPr>
        <w:pStyle w:val="Bullet0"/>
        <w:tabs>
          <w:tab w:val="clear" w:pos="850"/>
          <w:tab w:val="num" w:pos="1560"/>
        </w:tabs>
        <w:ind w:left="1276" w:hanging="425"/>
        <w:rPr>
          <w:noProof/>
        </w:rPr>
      </w:pPr>
      <w:r w:rsidRPr="004E7899">
        <w:rPr>
          <w:noProof/>
        </w:rPr>
        <w:t>suure kontserni emaettevõtjad, kelle keskmine töötajate arv on bilansipäeval konsolideeritud alusel üle 500 töötaja majandusaasta jooksul, kuid kes ei ole avaliku huvi üksused;</w:t>
      </w:r>
    </w:p>
    <w:p w14:paraId="4F0AC7B6" w14:textId="77777777" w:rsidR="00AE44DE" w:rsidRPr="004E7899" w:rsidRDefault="00996F14" w:rsidP="00DD2BEC">
      <w:pPr>
        <w:pStyle w:val="Tiret0"/>
        <w:rPr>
          <w:noProof/>
        </w:rPr>
      </w:pPr>
      <w:r w:rsidRPr="004E7899">
        <w:rPr>
          <w:noProof/>
        </w:rPr>
        <w:t xml:space="preserve">lõike 1 punkti b kohaselt peavad liikmesriigid tagama, et VKEd, kelle väärtpaberid on noteeritud ELi reguleeritud turul, väikesed ja mittekeerukad finantsinstitutsioonid (tingimusel, et nad on suurettevõtjad või börsil noteeritud VKEd) ja ELi kaptiiv(edasi)kindlustusandjad (tingimusel, et nad on suurettevõtjad või börsil noteeritud VKEd) esitavad kestlikkusaruande alates 1. jaanuaril 2028 (mitte 1. jaanuaril 2026) või pärast seda algavatest majandusaastatest; </w:t>
      </w:r>
    </w:p>
    <w:p w14:paraId="6B9C609D" w14:textId="77777777" w:rsidR="00965588" w:rsidRPr="004E7899" w:rsidRDefault="00996F14" w:rsidP="00DD2BEC">
      <w:pPr>
        <w:pStyle w:val="Tiret0"/>
        <w:rPr>
          <w:noProof/>
        </w:rPr>
      </w:pPr>
      <w:r w:rsidRPr="004E7899">
        <w:rPr>
          <w:noProof/>
        </w:rPr>
        <w:t>lõike 2 punkti a kohaselt peavad liikmesriigid tagama, et järgmised emitendid esitavad kestlikkusaruande alates 1. jaanuaril 2027 (mitte 1. jaanuaril 2025) või pärast seda algavatest majandusaastatest:</w:t>
      </w:r>
    </w:p>
    <w:p w14:paraId="69335C85" w14:textId="77777777" w:rsidR="001F18C1" w:rsidRPr="004E7899" w:rsidRDefault="009A2097" w:rsidP="00DD2BEC">
      <w:pPr>
        <w:pStyle w:val="Bullet0"/>
        <w:tabs>
          <w:tab w:val="clear" w:pos="850"/>
          <w:tab w:val="num" w:pos="1276"/>
        </w:tabs>
        <w:ind w:left="1276" w:hanging="425"/>
        <w:rPr>
          <w:noProof/>
        </w:rPr>
      </w:pPr>
      <w:r w:rsidRPr="004E7899">
        <w:rPr>
          <w:noProof/>
        </w:rPr>
        <w:t xml:space="preserve">suurettevõtjast emitendid, kellel on keskmiselt kuni 500 töötajat majandusaasta jooksul; </w:t>
      </w:r>
    </w:p>
    <w:p w14:paraId="72715353" w14:textId="77777777" w:rsidR="001F18C1" w:rsidRPr="004E7899" w:rsidRDefault="006E5885" w:rsidP="00DD2BEC">
      <w:pPr>
        <w:pStyle w:val="Bullet0"/>
        <w:tabs>
          <w:tab w:val="clear" w:pos="850"/>
          <w:tab w:val="num" w:pos="1276"/>
        </w:tabs>
        <w:ind w:left="1276" w:hanging="425"/>
        <w:rPr>
          <w:noProof/>
        </w:rPr>
      </w:pPr>
      <w:r w:rsidRPr="004E7899">
        <w:rPr>
          <w:noProof/>
        </w:rPr>
        <w:t>suure kontserni emaettevõtjast emitendid, kelle keskmine töötajate arv on konsolideeritud alusel kuni 500 töötajat majandusaasta jooksul;</w:t>
      </w:r>
    </w:p>
    <w:p w14:paraId="00967E68" w14:textId="77777777" w:rsidR="00965588" w:rsidRPr="004E7899" w:rsidRDefault="00996F14" w:rsidP="00DD2BEC">
      <w:pPr>
        <w:pStyle w:val="Tiret0"/>
        <w:rPr>
          <w:noProof/>
        </w:rPr>
      </w:pPr>
      <w:r w:rsidRPr="004E7899">
        <w:rPr>
          <w:noProof/>
        </w:rPr>
        <w:t xml:space="preserve">lõike 2 punkti b kohaselt peavad liikmesriigid tagama, et emitendid, kes on VKEd, väikesed ja mittekeerukad finantsinstitutsioonid (tingimusel, et nad on suurettevõtjad või börsil noteeritud VKEd) ning ELi kaptiiv(edasi)kindlustusandjad (tingimusel, et nad on suurettevõtjad või börsil noteeritud VKEd), esitavad kestlikkusaruande alates 1. jaanuaril 2028 (mitte 1. jaanuaril 2026) või pärast seda algavatest majandusaastatest. </w:t>
      </w:r>
    </w:p>
    <w:bookmarkEnd w:id="2"/>
    <w:p w14:paraId="287C1AF3" w14:textId="77777777" w:rsidR="00D1123F" w:rsidRPr="004E7899" w:rsidRDefault="00D1123F" w:rsidP="00044603">
      <w:pPr>
        <w:pStyle w:val="ListParagraph"/>
        <w:spacing w:before="0" w:after="0"/>
        <w:rPr>
          <w:noProof/>
        </w:rPr>
      </w:pPr>
    </w:p>
    <w:p w14:paraId="3C22947A" w14:textId="77777777" w:rsidR="00240611" w:rsidRPr="004E7899" w:rsidRDefault="00D1123F" w:rsidP="008E7E13">
      <w:pPr>
        <w:spacing w:before="0" w:after="0"/>
        <w:rPr>
          <w:noProof/>
        </w:rPr>
      </w:pPr>
      <w:r w:rsidRPr="004E7899">
        <w:rPr>
          <w:noProof/>
        </w:rPr>
        <w:t>Artikliga 2 muudetakse direktiivi (EL) 2024/1760 (äriühingu kestlikkusalase hoolsuskohustuse direktiiv, CSDDD) artiklit 37, lükates direktiivi ülevõtmise tähtaja ja selle kohaldamise direktiivi kohaldamisalasse kuuluvate äriühingute esimese rühma suhtes ühe aasta võrra edasi.</w:t>
      </w:r>
    </w:p>
    <w:p w14:paraId="15A6D424" w14:textId="77777777" w:rsidR="00AE5E8C" w:rsidRPr="004E7899" w:rsidRDefault="00AE5E8C" w:rsidP="00AE5E8C">
      <w:pPr>
        <w:spacing w:before="0" w:after="0"/>
        <w:jc w:val="left"/>
        <w:rPr>
          <w:noProof/>
        </w:rPr>
      </w:pPr>
    </w:p>
    <w:p w14:paraId="3C2533B5" w14:textId="77777777" w:rsidR="00D1123F" w:rsidRPr="004E7899" w:rsidRDefault="00D1123F" w:rsidP="004A73DD">
      <w:pPr>
        <w:spacing w:before="0" w:after="0"/>
        <w:rPr>
          <w:noProof/>
        </w:rPr>
      </w:pPr>
      <w:r w:rsidRPr="004E7899">
        <w:rPr>
          <w:noProof/>
        </w:rPr>
        <w:t xml:space="preserve">Artiklis 3 nõutakse, et liikmesriigid võtaksid käesoleva direktiivi artikli 1 üle hiljemalt 31. detsembriks 2025 ja edastaksid komisjonile oma ülevõtmismeetmete teksti. </w:t>
      </w:r>
    </w:p>
    <w:p w14:paraId="7A3D7D4B" w14:textId="77777777" w:rsidR="00D4127B" w:rsidRPr="004E7899" w:rsidRDefault="00D4127B" w:rsidP="004A73DD">
      <w:pPr>
        <w:spacing w:before="0" w:after="0"/>
        <w:rPr>
          <w:noProof/>
        </w:rPr>
      </w:pPr>
    </w:p>
    <w:p w14:paraId="23FC9E95" w14:textId="77777777" w:rsidR="00F74219" w:rsidRPr="004E7899" w:rsidRDefault="00D1123F" w:rsidP="004A73DD">
      <w:pPr>
        <w:spacing w:before="0" w:after="0"/>
        <w:rPr>
          <w:noProof/>
        </w:rPr>
      </w:pPr>
      <w:r w:rsidRPr="004E7899">
        <w:rPr>
          <w:noProof/>
        </w:rPr>
        <w:t xml:space="preserve">Artiklis 4 sätestatakse, et direktiiv jõustub järgmisel päeval pärast selle avaldamist </w:t>
      </w:r>
      <w:r w:rsidRPr="004E7899">
        <w:rPr>
          <w:i/>
          <w:iCs/>
          <w:noProof/>
        </w:rPr>
        <w:t>Euroopa Liidu Teatajas</w:t>
      </w:r>
      <w:r w:rsidRPr="004E7899">
        <w:rPr>
          <w:noProof/>
        </w:rPr>
        <w:t>.</w:t>
      </w:r>
    </w:p>
    <w:p w14:paraId="2D5C892E" w14:textId="77777777" w:rsidR="006C7F87" w:rsidRPr="004E7899" w:rsidRDefault="00AA6233" w:rsidP="004A73DD">
      <w:pPr>
        <w:spacing w:before="0" w:after="0"/>
        <w:rPr>
          <w:noProof/>
        </w:rPr>
        <w:sectPr w:rsidR="006C7F87" w:rsidRPr="004E7899" w:rsidSect="00E76CC9">
          <w:headerReference w:type="even" r:id="rId14"/>
          <w:footerReference w:type="even" r:id="rId15"/>
          <w:footerReference w:type="default" r:id="rId16"/>
          <w:headerReference w:type="first" r:id="rId17"/>
          <w:footerReference w:type="first" r:id="rId18"/>
          <w:pgSz w:w="11907" w:h="16839"/>
          <w:pgMar w:top="1134" w:right="1417" w:bottom="1134" w:left="1417" w:header="709" w:footer="709" w:gutter="0"/>
          <w:cols w:space="708"/>
          <w:docGrid w:linePitch="360"/>
        </w:sectPr>
      </w:pPr>
      <w:r w:rsidRPr="004E7899">
        <w:rPr>
          <w:noProof/>
        </w:rPr>
        <w:t xml:space="preserve"> </w:t>
      </w:r>
    </w:p>
    <w:p w14:paraId="0EC6F386" w14:textId="14ED468C" w:rsidR="001F5A76" w:rsidRPr="004E7899" w:rsidRDefault="004E7899" w:rsidP="004E7899">
      <w:pPr>
        <w:pStyle w:val="Rfrenceinterinstitutionnelle"/>
        <w:rPr>
          <w:noProof/>
        </w:rPr>
      </w:pPr>
      <w:r>
        <w:rPr>
          <w:noProof/>
        </w:rPr>
        <w:t>2025/0044 (COD)</w:t>
      </w:r>
    </w:p>
    <w:p w14:paraId="52077563" w14:textId="4AEA6F00" w:rsidR="006C7F87" w:rsidRPr="004E7899" w:rsidRDefault="004E7899" w:rsidP="004E7899">
      <w:pPr>
        <w:pStyle w:val="Statut"/>
        <w:rPr>
          <w:noProof/>
        </w:rPr>
      </w:pPr>
      <w:r w:rsidRPr="004E7899">
        <w:rPr>
          <w:noProof/>
        </w:rPr>
        <w:t>Ettepanek:</w:t>
      </w:r>
    </w:p>
    <w:p w14:paraId="032F4257" w14:textId="110EA361" w:rsidR="006C7F87" w:rsidRPr="004E7899" w:rsidRDefault="004E7899" w:rsidP="004E7899">
      <w:pPr>
        <w:pStyle w:val="Typedudocument"/>
        <w:rPr>
          <w:noProof/>
        </w:rPr>
      </w:pPr>
      <w:r w:rsidRPr="004E7899">
        <w:rPr>
          <w:noProof/>
        </w:rPr>
        <w:t>EUROOPA PARLAMENDI JA NÕUKOGU DIREKTIIV,</w:t>
      </w:r>
    </w:p>
    <w:p w14:paraId="4710C23F" w14:textId="512B69BC" w:rsidR="006C7F87" w:rsidRPr="004E7899" w:rsidRDefault="004E7899" w:rsidP="004E7899">
      <w:pPr>
        <w:pStyle w:val="Titreobjet"/>
        <w:rPr>
          <w:noProof/>
        </w:rPr>
      </w:pPr>
      <w:r w:rsidRPr="004E7899">
        <w:rPr>
          <w:noProof/>
        </w:rPr>
        <w:t>millega muudetakse direktiive (EL) 2022/2464 ja (EL) 2024/1760 seoses kuupäevadega, millest alates peavad liikmesriigid kohaldama teatavaid äriühingute kestlikkusaruandluse ja hoolsuskohustuse nõudeid</w:t>
      </w:r>
    </w:p>
    <w:p w14:paraId="68F8BF08" w14:textId="2FB9A0E7" w:rsidR="006D1D06" w:rsidRPr="004E7899" w:rsidRDefault="004E7899" w:rsidP="004E7899">
      <w:pPr>
        <w:pStyle w:val="IntrtEEE"/>
        <w:rPr>
          <w:noProof/>
        </w:rPr>
      </w:pPr>
      <w:r w:rsidRPr="004E7899">
        <w:rPr>
          <w:noProof/>
        </w:rPr>
        <w:t>(EMPs kohaldatav tekst)</w:t>
      </w:r>
    </w:p>
    <w:p w14:paraId="29C58613" w14:textId="77777777" w:rsidR="006C7F87" w:rsidRPr="004E7899" w:rsidRDefault="006C7F87" w:rsidP="0094068A">
      <w:pPr>
        <w:pStyle w:val="Institutionquiagit"/>
        <w:rPr>
          <w:noProof/>
        </w:rPr>
      </w:pPr>
      <w:r w:rsidRPr="004E7899">
        <w:rPr>
          <w:noProof/>
        </w:rPr>
        <w:t>EUROOPA PARLAMENT JA EUROOPA LIIDU NÕUKOGU,</w:t>
      </w:r>
    </w:p>
    <w:p w14:paraId="19B55D86" w14:textId="77777777" w:rsidR="006C7F87" w:rsidRPr="004E7899" w:rsidRDefault="006C7F87" w:rsidP="0094068A">
      <w:pPr>
        <w:rPr>
          <w:noProof/>
        </w:rPr>
      </w:pPr>
      <w:r w:rsidRPr="004E7899">
        <w:rPr>
          <w:noProof/>
        </w:rPr>
        <w:t>võttes arvesse Euroopa Liidu toimimise lepingut, eriti selle artikleid 50 ja 114,</w:t>
      </w:r>
    </w:p>
    <w:p w14:paraId="5DD19041" w14:textId="77777777" w:rsidR="006C7F87" w:rsidRPr="004E7899" w:rsidRDefault="006C7F87" w:rsidP="0094068A">
      <w:pPr>
        <w:rPr>
          <w:noProof/>
        </w:rPr>
      </w:pPr>
      <w:r w:rsidRPr="004E7899">
        <w:rPr>
          <w:noProof/>
        </w:rPr>
        <w:t>võttes arvesse Euroopa Komisjoni ettepanekut,</w:t>
      </w:r>
    </w:p>
    <w:p w14:paraId="4B97FEC1" w14:textId="77777777" w:rsidR="006C7F87" w:rsidRPr="004E7899" w:rsidRDefault="006C7F87" w:rsidP="0094068A">
      <w:pPr>
        <w:rPr>
          <w:noProof/>
        </w:rPr>
      </w:pPr>
      <w:r w:rsidRPr="004E7899">
        <w:rPr>
          <w:noProof/>
        </w:rPr>
        <w:t>olles edastanud seadusandliku akti eelnõu liikmesriikide parlamentidele,</w:t>
      </w:r>
    </w:p>
    <w:p w14:paraId="21151698" w14:textId="77777777" w:rsidR="006C7F87" w:rsidRPr="004E7899" w:rsidRDefault="006C7F87" w:rsidP="0094068A">
      <w:pPr>
        <w:rPr>
          <w:noProof/>
        </w:rPr>
      </w:pPr>
      <w:r w:rsidRPr="004E7899">
        <w:rPr>
          <w:noProof/>
        </w:rPr>
        <w:t>võttes arvesse Euroopa Majandus- ja Sotsiaalkomitee arvamust</w:t>
      </w:r>
      <w:r w:rsidRPr="004E7899">
        <w:rPr>
          <w:rStyle w:val="FootnoteReference"/>
          <w:noProof/>
        </w:rPr>
        <w:footnoteReference w:id="19"/>
      </w:r>
      <w:r w:rsidRPr="004E7899">
        <w:rPr>
          <w:noProof/>
        </w:rPr>
        <w:t xml:space="preserve">, </w:t>
      </w:r>
    </w:p>
    <w:p w14:paraId="41108EF3" w14:textId="77777777" w:rsidR="006C7F87" w:rsidRPr="004E7899" w:rsidRDefault="006C7F87" w:rsidP="0094068A">
      <w:pPr>
        <w:rPr>
          <w:noProof/>
        </w:rPr>
      </w:pPr>
      <w:r w:rsidRPr="004E7899">
        <w:rPr>
          <w:noProof/>
        </w:rPr>
        <w:t>toimides seadusandliku tavamenetluse kohaselt</w:t>
      </w:r>
    </w:p>
    <w:p w14:paraId="3348CFED" w14:textId="77777777" w:rsidR="006C7F87" w:rsidRPr="004E7899" w:rsidRDefault="006C7F87" w:rsidP="0094068A">
      <w:pPr>
        <w:rPr>
          <w:noProof/>
        </w:rPr>
      </w:pPr>
      <w:r w:rsidRPr="004E7899">
        <w:rPr>
          <w:noProof/>
        </w:rPr>
        <w:t>ning arvestades järgmist:</w:t>
      </w:r>
    </w:p>
    <w:p w14:paraId="0B5D942A" w14:textId="127F88E5" w:rsidR="00D93D4A" w:rsidRPr="004E7899" w:rsidRDefault="00BC32E6" w:rsidP="00BC32E6">
      <w:pPr>
        <w:pStyle w:val="ManualConsidrant"/>
        <w:rPr>
          <w:noProof/>
        </w:rPr>
      </w:pPr>
      <w:r w:rsidRPr="00BC32E6">
        <w:rPr>
          <w:noProof/>
        </w:rPr>
        <w:t>(1)</w:t>
      </w:r>
      <w:r w:rsidRPr="00BC32E6">
        <w:rPr>
          <w:noProof/>
        </w:rPr>
        <w:tab/>
      </w:r>
      <w:r w:rsidR="3B0C1D98" w:rsidRPr="004E7899">
        <w:rPr>
          <w:noProof/>
        </w:rPr>
        <w:t>Komisjon esitas oma 11. veebruari 2025. aasta teatises „Lihtsam ja kiirem Euroopa: teatis rakendamise ja lihtsustamise kohta“</w:t>
      </w:r>
      <w:r w:rsidR="3B0C1D98" w:rsidRPr="004E7899">
        <w:rPr>
          <w:rStyle w:val="FootnoteReference"/>
          <w:noProof/>
        </w:rPr>
        <w:footnoteReference w:id="20"/>
      </w:r>
      <w:r w:rsidR="3B0C1D98" w:rsidRPr="004E7899">
        <w:rPr>
          <w:noProof/>
        </w:rPr>
        <w:t xml:space="preserve"> visiooni rakendamis- ja lihtsustamiskavast, mis kiiresti ja nähtavalt parandab inimeste ja ettevõtete olukorda kohapeal. Selleks on vaja enamat kui järkjärgulist lähenemisviisi ja liit peab selle eesmärgi saavutamiseks julgelt tegutsema. Komisjon, Euroopa Parlament, nõukogu, liikmesriikide kõigi tasandite ametiasutused ja sidusrühmad peavad töötama üheskoos, et muuta liidu, riiklikud ja piirkondlikud õigusnormid sujuvamaks ja lihtsamaks ning rakendada poliitikat tulemuslikumalt.</w:t>
      </w:r>
    </w:p>
    <w:p w14:paraId="2009B34D" w14:textId="523691AD" w:rsidR="006C7F87" w:rsidRPr="004E7899" w:rsidRDefault="00BC32E6" w:rsidP="00BC32E6">
      <w:pPr>
        <w:pStyle w:val="ManualConsidrant"/>
        <w:rPr>
          <w:noProof/>
        </w:rPr>
      </w:pPr>
      <w:r w:rsidRPr="00BC32E6">
        <w:rPr>
          <w:noProof/>
        </w:rPr>
        <w:t>(2)</w:t>
      </w:r>
      <w:r w:rsidRPr="00BC32E6">
        <w:rPr>
          <w:noProof/>
        </w:rPr>
        <w:tab/>
      </w:r>
      <w:r w:rsidR="6C848968" w:rsidRPr="004E7899">
        <w:rPr>
          <w:noProof/>
        </w:rPr>
        <w:t>Seoses komisjoni kohustusega vähendada aruandluskoormust ja suurendada konkurentsivõimet on vaja nende eesmärkide saavutamiseks teha Euroopa Parlamendi ja nõukogu direktiivides (EL) 2022/2464</w:t>
      </w:r>
      <w:r w:rsidR="6C848968" w:rsidRPr="004E7899">
        <w:rPr>
          <w:rStyle w:val="FootnoteReference"/>
          <w:noProof/>
        </w:rPr>
        <w:footnoteReference w:id="21"/>
      </w:r>
      <w:r w:rsidR="6C848968" w:rsidRPr="004E7899">
        <w:rPr>
          <w:noProof/>
        </w:rPr>
        <w:t xml:space="preserve"> ja (EL) 2024/1760</w:t>
      </w:r>
      <w:r w:rsidR="6C848968" w:rsidRPr="004E7899">
        <w:rPr>
          <w:rStyle w:val="FootnoteReference"/>
          <w:noProof/>
        </w:rPr>
        <w:footnoteReference w:id="22"/>
      </w:r>
      <w:r w:rsidR="6C848968" w:rsidRPr="004E7899">
        <w:rPr>
          <w:noProof/>
        </w:rPr>
        <w:t xml:space="preserve"> sihipäraseid muudatusi, säilitades samal ajal Euroopa rohelise kokkuleppe</w:t>
      </w:r>
      <w:r w:rsidR="6C848968" w:rsidRPr="004E7899">
        <w:rPr>
          <w:rStyle w:val="FootnoteReference"/>
          <w:noProof/>
        </w:rPr>
        <w:footnoteReference w:id="23"/>
      </w:r>
      <w:r w:rsidR="6C848968" w:rsidRPr="004E7899">
        <w:rPr>
          <w:noProof/>
        </w:rPr>
        <w:t xml:space="preserve"> ja kestliku rahanduse tegevuskava</w:t>
      </w:r>
      <w:r w:rsidR="6C848968" w:rsidRPr="004E7899">
        <w:rPr>
          <w:rStyle w:val="FootnoteReference"/>
          <w:noProof/>
        </w:rPr>
        <w:footnoteReference w:id="24"/>
      </w:r>
      <w:r w:rsidR="6C848968" w:rsidRPr="004E7899">
        <w:rPr>
          <w:noProof/>
        </w:rPr>
        <w:t xml:space="preserve"> poliitikaeesmärgid. </w:t>
      </w:r>
    </w:p>
    <w:p w14:paraId="2F30529C" w14:textId="1BEF9BBE" w:rsidR="006C7F87" w:rsidRPr="004E7899" w:rsidRDefault="00BC32E6" w:rsidP="00BC32E6">
      <w:pPr>
        <w:pStyle w:val="ManualConsidrant"/>
        <w:rPr>
          <w:noProof/>
        </w:rPr>
      </w:pPr>
      <w:r w:rsidRPr="00BC32E6">
        <w:rPr>
          <w:noProof/>
        </w:rPr>
        <w:t>(3)</w:t>
      </w:r>
      <w:r w:rsidRPr="00BC32E6">
        <w:rPr>
          <w:noProof/>
        </w:rPr>
        <w:tab/>
      </w:r>
      <w:r w:rsidR="58D6BACA" w:rsidRPr="004E7899">
        <w:rPr>
          <w:noProof/>
        </w:rPr>
        <w:t>Direktiivi (EL) 2022/2464 artikli 5 lõike 2 esimeses lõigus on sätestatud kuupäevad, millest alates peavad liikmesriigid kohaldama Euroopa Parlamendi ja nõukogu direktiivis 2013/34/EL</w:t>
      </w:r>
      <w:r w:rsidR="58D6BACA" w:rsidRPr="004E7899">
        <w:rPr>
          <w:rStyle w:val="FootnoteReference"/>
          <w:noProof/>
        </w:rPr>
        <w:footnoteReference w:id="25"/>
      </w:r>
      <w:r w:rsidR="58D6BACA" w:rsidRPr="004E7899">
        <w:rPr>
          <w:noProof/>
        </w:rPr>
        <w:t xml:space="preserve"> sätestatud kestlikkusaruandluse nõudeid, kusjuures kuupäevad sõltuvad asjaomase ettevõtja suurusest. Suurettevõtjad, kes on avaliku huvi üksused ja kellel on keskmiselt üle 500 töötaja majandusaasta jooksul, ja avaliku huvi üksused, mis on suure kontserni emaettevõtjad, kelle keskmine töötajate arv on bilansipäeval konsolideeritud alusel üle 500 töötaja majandusaasta jooksul, peavad esitama 2025. aastal aruande 1. jaanuaril 2024 või pärast seda algavate majandusaastate kohta. Teised suurettevõtjad ja teised suure kontserni emaettevõtjad peavad esitama 2026. aastal aruande 1. jaanuaril 2025 või pärast seda algavate majandusaastate kohta. Väikesed ja keskmise suurusega ettevõtjad (v.a mikroettevõtjad), väikesed ja mittekeerukad finantsinstitutsioonid ning kaptiiv(edasi)kindlustusandjad peavad esitama 2027. aastal aruande 1. jaanuaril 2026 või pärast seda algavate majandusaastate kohta. Võttes arvesse komisjoni käimasolevaid algatusi, mille eesmärk on lihtsustada teatavaid kehtivaid kestlikkusaruandluse kohustusi ja vähendada ettevõtjate asjaomast halduskoormust, tagada õigusselgus ning vältida olukorda, kus ettevõtjatel, kellelt nõutakse praegu aruande esitamist 1. jaanuaril 2025 või pärast seda algavate majandusaastate kohta ja 1. jaanuaril 2026 või pärast seda algavate majandusaastate kohta, tekivad tarbetud ja välditavad kulud, tuleks kestlikkusaruandluse nõuded nende ettevõtjate puhul vastavalt kahe aasta võrra edasi lükata.</w:t>
      </w:r>
    </w:p>
    <w:p w14:paraId="6BDE0901" w14:textId="38E74930" w:rsidR="00C7534A" w:rsidRPr="004E7899" w:rsidRDefault="00BC32E6" w:rsidP="00BC32E6">
      <w:pPr>
        <w:pStyle w:val="ManualConsidrant"/>
        <w:rPr>
          <w:noProof/>
          <w:sz w:val="22"/>
        </w:rPr>
      </w:pPr>
      <w:r w:rsidRPr="00BC32E6">
        <w:rPr>
          <w:noProof/>
        </w:rPr>
        <w:t>(4)</w:t>
      </w:r>
      <w:r w:rsidRPr="00BC32E6">
        <w:rPr>
          <w:noProof/>
        </w:rPr>
        <w:tab/>
      </w:r>
      <w:r w:rsidR="64BE5097" w:rsidRPr="004E7899">
        <w:rPr>
          <w:noProof/>
        </w:rPr>
        <w:t>Direktiivi (EL) 2022/2464 artikli 5 lõike 2 kolmandas lõigus on sätestatud kuupäevad, millest alates peavad liikmesriigid kohaldama Euroopa Parlamendi ja nõukogu direktiivis 2004/109/EÜ</w:t>
      </w:r>
      <w:r w:rsidR="64BE5097" w:rsidRPr="004E7899">
        <w:rPr>
          <w:rStyle w:val="FootnoteReference"/>
          <w:noProof/>
        </w:rPr>
        <w:footnoteReference w:id="26"/>
      </w:r>
      <w:r w:rsidR="64BE5097" w:rsidRPr="004E7899">
        <w:rPr>
          <w:noProof/>
        </w:rPr>
        <w:t xml:space="preserve"> sätestatud kestlikkusaruandluse nõudeid, kusjuures kuupäevad sõltuvad asjaomase emitendi suurusest. Suurettevõtjast emitendid, kellel on keskmiselt üle 500 töötaja majandusaasta jooksul, ja suure kontserni emaettevõtjast emitendid, kelle keskmine töötajate arv on bilansipäeval konsolideeritud alusel üle 500 töötaja majandusaasta jooksul, peavad esitama 2025. aastal aruande 1. jaanuaril 2024 või pärast seda algavate majandusaastate kohta. Teised suurettevõtjast emitendid ja teised suure kontserni emaettevõtjast emitendid peavad esitama 2026. aastal aruande 1. jaanuaril 2025 või pärast seda algavate majandusaastate kohta. Emitendid, kes on väikesed ja keskmise suurusega ettevõtjad (v.a mikroettevõtjad), väikesed ja mittekeerukad finantsinstitutsioonid ning kaptiiv(edasi)kindlustusandjad, peavad esitama 2027. aastal aruande 1. jaanuaril 2026 või pärast seda algavate majandusaastate kohta. Võttes arvesse komisjoni käimasolevaid algatusi, mille eesmärk on lihtsustada teatavaid kehtivaid kestlikkusaruandluse kohustusi ja vähendada ettevõtjate asjaomast halduskoormust, tagada õigusselgus ning vältida olukorda, kus emitentidel, kellelt nõutakse praegu aruande esitamist 1. jaanuaril 2025 või pärast seda algavate majandusaastate kohta ja 1. jaanuaril 2026 või pärast seda algavate majandusaastate kohta, tekivad tarbetud ja välditavad kulud, tuleks kestlikkusaruandluse nõuded nende emitentide puhul vastavalt kahe aasta võrra edasi lükata. </w:t>
      </w:r>
    </w:p>
    <w:p w14:paraId="400C5F81" w14:textId="2E060B2B" w:rsidR="00C7534A" w:rsidRPr="004E7899" w:rsidRDefault="00BC32E6" w:rsidP="00BC32E6">
      <w:pPr>
        <w:pStyle w:val="ManualConsidrant"/>
        <w:rPr>
          <w:noProof/>
          <w:sz w:val="22"/>
        </w:rPr>
      </w:pPr>
      <w:r w:rsidRPr="00BC32E6">
        <w:rPr>
          <w:noProof/>
        </w:rPr>
        <w:t>(5)</w:t>
      </w:r>
      <w:r w:rsidRPr="00BC32E6">
        <w:rPr>
          <w:noProof/>
        </w:rPr>
        <w:tab/>
      </w:r>
      <w:r w:rsidR="1E77F9F9" w:rsidRPr="004E7899">
        <w:rPr>
          <w:noProof/>
        </w:rPr>
        <w:t>Kuupäev, milleks liikmesriigid peavad direktiivi (EL) 2024/1760 kohaldama, tuleks kõnealuse direktiivi kohaldamisalasse kuuluvate äriühingute esimese rühma puhul ühe aasta võrra edasi lükata, et anda äriühingutele rohkem aega valmistuda selle direktiivi nõuete täitmiseks ja anda neile võimalus võtta arvesse komisjoni välja antavaid suuniseid, milles täpsustatakse seda, kuidas nad peaksid oma hoolsuskohustust praktikas täitma.</w:t>
      </w:r>
    </w:p>
    <w:p w14:paraId="35B8A052" w14:textId="01F84F47" w:rsidR="002E2D55" w:rsidRPr="004E7899" w:rsidRDefault="00BC32E6" w:rsidP="00BC32E6">
      <w:pPr>
        <w:pStyle w:val="ManualConsidrant"/>
        <w:rPr>
          <w:noProof/>
        </w:rPr>
      </w:pPr>
      <w:r w:rsidRPr="00BC32E6">
        <w:rPr>
          <w:noProof/>
        </w:rPr>
        <w:t>(6)</w:t>
      </w:r>
      <w:r w:rsidRPr="00BC32E6">
        <w:rPr>
          <w:noProof/>
        </w:rPr>
        <w:tab/>
      </w:r>
      <w:r w:rsidR="1E77F9F9" w:rsidRPr="004E7899">
        <w:rPr>
          <w:noProof/>
        </w:rPr>
        <w:t>Võttes arvesse paralleelset seadusandlikku ettepanekut, mille eesmärk on lihtsustada kestlikkusraamistikku ja vähendada äriühingute koormust, tuleks lisaks tähtaega, mille jooksul liikmesriigid peavad direktiivi (EL) 2024/1760 üle võtma, pikendada ühe aasta võrra, et võtta arvesse nende käimasolevates ülevõtmispüüdlustes tekkivaid võimalikke viivitusi, mis tulenevad kõnealuse direktiivi võimalikest muudatustest.</w:t>
      </w:r>
    </w:p>
    <w:p w14:paraId="06EB3612" w14:textId="72F02640" w:rsidR="002E2D55" w:rsidRPr="004E7899" w:rsidRDefault="00BC32E6" w:rsidP="00BC32E6">
      <w:pPr>
        <w:pStyle w:val="ManualConsidrant"/>
        <w:rPr>
          <w:noProof/>
        </w:rPr>
      </w:pPr>
      <w:r w:rsidRPr="00BC32E6">
        <w:rPr>
          <w:noProof/>
        </w:rPr>
        <w:t>(7)</w:t>
      </w:r>
      <w:r w:rsidRPr="00BC32E6">
        <w:rPr>
          <w:noProof/>
        </w:rPr>
        <w:tab/>
      </w:r>
      <w:r w:rsidR="5260DB5D" w:rsidRPr="004E7899">
        <w:rPr>
          <w:noProof/>
          <w:shd w:val="clear" w:color="auto" w:fill="FFFFFF"/>
        </w:rPr>
        <w:t>Kuna käesoleva direktiivi eesmärke ei suuda liikmesriigid piisavalt saavutada, küll aga saab seda meetme ulatuse või toime tõttu paremini saavutada liidu tasandil, võib liit võtta meetmeid kooskõlas Euroopa Liidu lepingu artiklis 5 sätestatud subsidiaarsuse põhimõttega. Kõnealuses artiklis sätestatud proportsionaalsuse põhimõtte kohaselt ei lähe käesolev direktiiv nimetatud eesmärkide saavutamiseks vajalikust kaugemale.</w:t>
      </w:r>
    </w:p>
    <w:p w14:paraId="08860092" w14:textId="2D06A4E1" w:rsidR="00922DE6" w:rsidRPr="004E7899" w:rsidRDefault="00BC32E6" w:rsidP="00BC32E6">
      <w:pPr>
        <w:pStyle w:val="ManualConsidrant"/>
        <w:rPr>
          <w:noProof/>
        </w:rPr>
      </w:pPr>
      <w:r w:rsidRPr="00BC32E6">
        <w:rPr>
          <w:noProof/>
        </w:rPr>
        <w:t>(8)</w:t>
      </w:r>
      <w:r w:rsidRPr="00BC32E6">
        <w:rPr>
          <w:noProof/>
        </w:rPr>
        <w:tab/>
      </w:r>
      <w:r w:rsidR="5260DB5D" w:rsidRPr="004E7899">
        <w:rPr>
          <w:noProof/>
        </w:rPr>
        <w:t>Direktiive (EL) 2022/2464 ja (EL) 2024/1760 tuleks seetõttu vastavalt muuta.</w:t>
      </w:r>
    </w:p>
    <w:p w14:paraId="17D0A514" w14:textId="3F7600BA" w:rsidR="002E2D55" w:rsidRPr="004E7899" w:rsidRDefault="00BC32E6" w:rsidP="00BC32E6">
      <w:pPr>
        <w:pStyle w:val="ManualConsidrant"/>
        <w:rPr>
          <w:noProof/>
        </w:rPr>
      </w:pPr>
      <w:r w:rsidRPr="00BC32E6">
        <w:rPr>
          <w:noProof/>
        </w:rPr>
        <w:t>(9)</w:t>
      </w:r>
      <w:r w:rsidRPr="00BC32E6">
        <w:rPr>
          <w:noProof/>
        </w:rPr>
        <w:tab/>
      </w:r>
      <w:r w:rsidR="4D4898BF" w:rsidRPr="004E7899">
        <w:rPr>
          <w:noProof/>
        </w:rPr>
        <w:t>Kiireloomulisuse tõttu ja õiguskindluse tagamiseks võimalikult kiiresti peaks käesolev direktiiv jõustuma järgmisel päeval pärast selle avaldamist,</w:t>
      </w:r>
    </w:p>
    <w:p w14:paraId="3A59A10B" w14:textId="77777777" w:rsidR="006C7F87" w:rsidRPr="004E7899" w:rsidRDefault="006C7F87" w:rsidP="0094068A">
      <w:pPr>
        <w:pStyle w:val="Formuledadoption"/>
        <w:rPr>
          <w:noProof/>
        </w:rPr>
      </w:pPr>
      <w:r w:rsidRPr="004E7899">
        <w:rPr>
          <w:noProof/>
        </w:rPr>
        <w:t>ON VASTU VÕTNUD KÄESOLEVA DIREKTIIVI:</w:t>
      </w:r>
    </w:p>
    <w:p w14:paraId="1B84065B" w14:textId="77777777" w:rsidR="006C7F87" w:rsidRPr="004E7899" w:rsidRDefault="006C7F87" w:rsidP="0094068A">
      <w:pPr>
        <w:pStyle w:val="Titrearticle"/>
        <w:rPr>
          <w:noProof/>
        </w:rPr>
      </w:pPr>
      <w:r w:rsidRPr="004E7899">
        <w:rPr>
          <w:noProof/>
        </w:rPr>
        <w:t>Artikkel 1</w:t>
      </w:r>
    </w:p>
    <w:p w14:paraId="32F47EFE" w14:textId="77777777" w:rsidR="006C7F87" w:rsidRPr="004E7899" w:rsidRDefault="001C785F" w:rsidP="000D5AA7">
      <w:pPr>
        <w:pStyle w:val="Titrearticle"/>
        <w:rPr>
          <w:b/>
          <w:bCs/>
          <w:i w:val="0"/>
          <w:iCs/>
          <w:noProof/>
        </w:rPr>
      </w:pPr>
      <w:r w:rsidRPr="004E7899">
        <w:rPr>
          <w:b/>
          <w:i w:val="0"/>
          <w:noProof/>
        </w:rPr>
        <w:t>Direktiivi (EL) 2022/2464 muutmine</w:t>
      </w:r>
    </w:p>
    <w:p w14:paraId="68B89702" w14:textId="77777777" w:rsidR="000D5AA7" w:rsidRPr="004E7899" w:rsidRDefault="000C13CE" w:rsidP="000D5AA7">
      <w:pPr>
        <w:rPr>
          <w:noProof/>
        </w:rPr>
      </w:pPr>
      <w:r w:rsidRPr="004E7899">
        <w:rPr>
          <w:noProof/>
        </w:rPr>
        <w:t>Direktiivi (EL) 2022/2464 artikli 5 lõiget 2 muudetakse järgmiselt:</w:t>
      </w:r>
    </w:p>
    <w:p w14:paraId="0C862589" w14:textId="3BAEE438" w:rsidR="00922DE6" w:rsidRPr="004E7899" w:rsidRDefault="00BC32E6" w:rsidP="00BC32E6">
      <w:pPr>
        <w:pStyle w:val="Point0"/>
        <w:rPr>
          <w:noProof/>
        </w:rPr>
      </w:pPr>
      <w:r w:rsidRPr="00BC32E6">
        <w:rPr>
          <w:noProof/>
        </w:rPr>
        <w:t>(1)</w:t>
      </w:r>
      <w:r w:rsidRPr="00BC32E6">
        <w:rPr>
          <w:noProof/>
        </w:rPr>
        <w:tab/>
      </w:r>
      <w:r w:rsidR="0059025E" w:rsidRPr="004E7899">
        <w:rPr>
          <w:noProof/>
        </w:rPr>
        <w:t>esimest lõiku muudetakse järgmiselt:</w:t>
      </w:r>
    </w:p>
    <w:p w14:paraId="115AAB46" w14:textId="27F9F814" w:rsidR="00820DCA" w:rsidRPr="004E7899" w:rsidRDefault="00BC32E6" w:rsidP="00BC32E6">
      <w:pPr>
        <w:pStyle w:val="Point1"/>
        <w:rPr>
          <w:noProof/>
        </w:rPr>
      </w:pPr>
      <w:r w:rsidRPr="00BC32E6">
        <w:rPr>
          <w:noProof/>
        </w:rPr>
        <w:t>(a)</w:t>
      </w:r>
      <w:r w:rsidRPr="00BC32E6">
        <w:rPr>
          <w:noProof/>
        </w:rPr>
        <w:tab/>
      </w:r>
      <w:r w:rsidR="00922DE6" w:rsidRPr="004E7899">
        <w:rPr>
          <w:noProof/>
        </w:rPr>
        <w:t>punkti b sissejuhatav osa asendatakse järgmisega:</w:t>
      </w:r>
    </w:p>
    <w:p w14:paraId="5E69603D" w14:textId="77777777" w:rsidR="00820DCA" w:rsidRPr="004E7899" w:rsidRDefault="00820DCA" w:rsidP="000A30FC">
      <w:pPr>
        <w:ind w:left="1418"/>
        <w:rPr>
          <w:noProof/>
        </w:rPr>
      </w:pPr>
      <w:r w:rsidRPr="004E7899">
        <w:rPr>
          <w:noProof/>
        </w:rPr>
        <w:t>„1. jaanuaril 2027 või pärast seda algavate majandusaastate puhul:“;</w:t>
      </w:r>
    </w:p>
    <w:p w14:paraId="0B9DECC3" w14:textId="7EFF6CB2" w:rsidR="00573C2F" w:rsidRPr="004E7899" w:rsidRDefault="00BC32E6" w:rsidP="00BC32E6">
      <w:pPr>
        <w:pStyle w:val="Point1"/>
        <w:rPr>
          <w:noProof/>
        </w:rPr>
      </w:pPr>
      <w:r w:rsidRPr="00BC32E6">
        <w:rPr>
          <w:noProof/>
        </w:rPr>
        <w:t>(b)</w:t>
      </w:r>
      <w:r w:rsidRPr="00BC32E6">
        <w:rPr>
          <w:noProof/>
        </w:rPr>
        <w:tab/>
      </w:r>
      <w:r w:rsidR="007C593B" w:rsidRPr="004E7899">
        <w:rPr>
          <w:noProof/>
        </w:rPr>
        <w:t>punkti c sissejuhatav osa asendatakse järgmisega:</w:t>
      </w:r>
    </w:p>
    <w:p w14:paraId="4490BE32" w14:textId="77777777" w:rsidR="00573C2F" w:rsidRPr="004E7899" w:rsidRDefault="00573C2F" w:rsidP="000A30FC">
      <w:pPr>
        <w:ind w:left="1418"/>
        <w:rPr>
          <w:noProof/>
        </w:rPr>
      </w:pPr>
      <w:r w:rsidRPr="004E7899">
        <w:rPr>
          <w:noProof/>
        </w:rPr>
        <w:t>„1. jaanuaril 2028 või pärast seda algavate majandusaastate puhul:“;</w:t>
      </w:r>
    </w:p>
    <w:p w14:paraId="7FDD5755" w14:textId="52681BCD" w:rsidR="000869E9" w:rsidRPr="004E7899" w:rsidRDefault="00BC32E6" w:rsidP="00BC32E6">
      <w:pPr>
        <w:pStyle w:val="Point0"/>
        <w:rPr>
          <w:noProof/>
        </w:rPr>
      </w:pPr>
      <w:r w:rsidRPr="00BC32E6">
        <w:rPr>
          <w:noProof/>
        </w:rPr>
        <w:t>(2)</w:t>
      </w:r>
      <w:r w:rsidRPr="00BC32E6">
        <w:rPr>
          <w:noProof/>
        </w:rPr>
        <w:tab/>
      </w:r>
      <w:r w:rsidR="0059025E" w:rsidRPr="004E7899">
        <w:rPr>
          <w:noProof/>
        </w:rPr>
        <w:t>kolmandat lõiku muudetakse järgmiselt:</w:t>
      </w:r>
    </w:p>
    <w:p w14:paraId="696C498B" w14:textId="57402213" w:rsidR="00573C2F" w:rsidRPr="004E7899" w:rsidRDefault="00BC32E6" w:rsidP="00BC32E6">
      <w:pPr>
        <w:pStyle w:val="Point1"/>
        <w:rPr>
          <w:noProof/>
        </w:rPr>
      </w:pPr>
      <w:r w:rsidRPr="00BC32E6">
        <w:rPr>
          <w:noProof/>
        </w:rPr>
        <w:t>(a)</w:t>
      </w:r>
      <w:r w:rsidRPr="00BC32E6">
        <w:rPr>
          <w:noProof/>
        </w:rPr>
        <w:tab/>
      </w:r>
      <w:r w:rsidR="003F368B" w:rsidRPr="004E7899">
        <w:rPr>
          <w:noProof/>
        </w:rPr>
        <w:t>punkti b sissejuhatav osa asendatakse järgmisega:</w:t>
      </w:r>
    </w:p>
    <w:p w14:paraId="7A4E4876" w14:textId="77777777" w:rsidR="00573C2F" w:rsidRPr="004E7899" w:rsidRDefault="00573C2F" w:rsidP="000A30FC">
      <w:pPr>
        <w:ind w:left="1418"/>
        <w:rPr>
          <w:noProof/>
        </w:rPr>
      </w:pPr>
      <w:r w:rsidRPr="004E7899">
        <w:rPr>
          <w:noProof/>
        </w:rPr>
        <w:t>„1. jaanuaril 2027 või pärast seda algavate majandusaastate puhul:“;</w:t>
      </w:r>
    </w:p>
    <w:p w14:paraId="283ED772" w14:textId="67F5AECF" w:rsidR="00573C2F" w:rsidRPr="004E7899" w:rsidRDefault="00BC32E6" w:rsidP="00BC32E6">
      <w:pPr>
        <w:pStyle w:val="Point1"/>
        <w:rPr>
          <w:noProof/>
        </w:rPr>
      </w:pPr>
      <w:r w:rsidRPr="00BC32E6">
        <w:rPr>
          <w:noProof/>
        </w:rPr>
        <w:t>(b)</w:t>
      </w:r>
      <w:r w:rsidRPr="00BC32E6">
        <w:rPr>
          <w:noProof/>
        </w:rPr>
        <w:tab/>
      </w:r>
      <w:r w:rsidR="003F368B" w:rsidRPr="004E7899">
        <w:rPr>
          <w:noProof/>
        </w:rPr>
        <w:t>punkti c sissejuhatav osa asendatakse järgmisega:</w:t>
      </w:r>
    </w:p>
    <w:p w14:paraId="0DDBFE91" w14:textId="77777777" w:rsidR="00573C2F" w:rsidRPr="004E7899" w:rsidRDefault="00573C2F" w:rsidP="000A30FC">
      <w:pPr>
        <w:ind w:left="1418"/>
        <w:rPr>
          <w:noProof/>
        </w:rPr>
      </w:pPr>
      <w:r w:rsidRPr="004E7899">
        <w:rPr>
          <w:noProof/>
        </w:rPr>
        <w:t>„1. jaanuaril 2028 või pärast seda algavate majandusaastate puhul:“.</w:t>
      </w:r>
    </w:p>
    <w:p w14:paraId="4BC1C576" w14:textId="77777777" w:rsidR="000D5AA7" w:rsidRPr="004E7899" w:rsidRDefault="000D5AA7" w:rsidP="000D5AA7">
      <w:pPr>
        <w:pStyle w:val="Titrearticle"/>
        <w:rPr>
          <w:noProof/>
        </w:rPr>
      </w:pPr>
      <w:r w:rsidRPr="004E7899">
        <w:rPr>
          <w:noProof/>
        </w:rPr>
        <w:t>Artikkel 2</w:t>
      </w:r>
    </w:p>
    <w:p w14:paraId="63C10FF7" w14:textId="77777777" w:rsidR="000D5AA7" w:rsidRPr="004E7899" w:rsidRDefault="000D5AA7" w:rsidP="000D5AA7">
      <w:pPr>
        <w:pStyle w:val="Titrearticle"/>
        <w:rPr>
          <w:b/>
          <w:bCs/>
          <w:i w:val="0"/>
          <w:iCs/>
          <w:noProof/>
        </w:rPr>
      </w:pPr>
      <w:r w:rsidRPr="004E7899">
        <w:rPr>
          <w:b/>
          <w:i w:val="0"/>
          <w:noProof/>
        </w:rPr>
        <w:t>Direktiivi (EL) 2024/1760 muutmine</w:t>
      </w:r>
    </w:p>
    <w:p w14:paraId="008E573E" w14:textId="77777777" w:rsidR="00046A65" w:rsidRPr="004E7899" w:rsidRDefault="003D2B3B" w:rsidP="00EA3B38">
      <w:pPr>
        <w:rPr>
          <w:noProof/>
        </w:rPr>
      </w:pPr>
      <w:r w:rsidRPr="004E7899">
        <w:rPr>
          <w:noProof/>
        </w:rPr>
        <w:t>Direktiivi (EL) 2024/1760 artikli 37 lõike 1 esimene ja teine lõik asendatakse järgmisega:</w:t>
      </w:r>
    </w:p>
    <w:p w14:paraId="6FB59733" w14:textId="77777777" w:rsidR="00046A65" w:rsidRPr="004E7899" w:rsidRDefault="00ED6798" w:rsidP="002002BC">
      <w:pPr>
        <w:rPr>
          <w:noProof/>
        </w:rPr>
      </w:pPr>
      <w:r w:rsidRPr="004E7899">
        <w:rPr>
          <w:noProof/>
        </w:rPr>
        <w:t>„Liikmesriigid võtavad käesoleva direktiivi järgimiseks vajalikud õigus- ja haldusnormid vastu ja avaldavad need hiljemalt 26. juuliks 2027. Nad edastavad nende õigusnormide teksti viivitamata komisjonile.</w:t>
      </w:r>
    </w:p>
    <w:p w14:paraId="247669C7" w14:textId="77777777" w:rsidR="00046A65" w:rsidRPr="004E7899" w:rsidRDefault="00046A65" w:rsidP="002002BC">
      <w:pPr>
        <w:rPr>
          <w:noProof/>
        </w:rPr>
      </w:pPr>
      <w:r w:rsidRPr="004E7899">
        <w:rPr>
          <w:noProof/>
        </w:rPr>
        <w:t>Liikmesriigid kohaldavad neid norme järgmiselt: </w:t>
      </w:r>
    </w:p>
    <w:p w14:paraId="6DC4CC09" w14:textId="10034188" w:rsidR="00725A9E" w:rsidRPr="004E7899" w:rsidRDefault="00BC32E6" w:rsidP="00BC32E6">
      <w:pPr>
        <w:pStyle w:val="Point0"/>
        <w:rPr>
          <w:noProof/>
        </w:rPr>
      </w:pPr>
      <w:r w:rsidRPr="00BC32E6">
        <w:rPr>
          <w:noProof/>
        </w:rPr>
        <w:t>(a)</w:t>
      </w:r>
      <w:r w:rsidRPr="00BC32E6">
        <w:rPr>
          <w:noProof/>
        </w:rPr>
        <w:tab/>
      </w:r>
      <w:r w:rsidR="00472108" w:rsidRPr="004E7899">
        <w:rPr>
          <w:noProof/>
        </w:rPr>
        <w:t>alates 26. juulist 2028 artikli 2 lõike 1 punktides a ja b osutatud äriühingute puhul, mis on asutatud liikmesriigi õigusaktide kohaselt ja millel oli keskmiselt üle 3 000 töötaja ja mille ülemaailmne netokäive oli üle 900 000 000 euro sellel viimasel majandusaastal enne 26. juulit 2028, mille kohta on või oleks pidanud olema vastu võetud aruandeaasta finantsaruanded, välja arvatud artikli 16 järgimiseks vajalikud meetmed, mida liikmesriigid kohaldavad nende äriühingute suhtes majandusaastatel, mis algavad 1. jaanuaril 2029 või pärast seda;</w:t>
      </w:r>
    </w:p>
    <w:p w14:paraId="31D45FD2" w14:textId="30282AEB" w:rsidR="00472108" w:rsidRPr="004E7899" w:rsidRDefault="00BC32E6" w:rsidP="00BC32E6">
      <w:pPr>
        <w:pStyle w:val="Point0"/>
        <w:rPr>
          <w:noProof/>
        </w:rPr>
      </w:pPr>
      <w:r w:rsidRPr="00BC32E6">
        <w:rPr>
          <w:noProof/>
        </w:rPr>
        <w:t>(b)</w:t>
      </w:r>
      <w:r w:rsidRPr="00BC32E6">
        <w:rPr>
          <w:noProof/>
        </w:rPr>
        <w:tab/>
      </w:r>
      <w:r w:rsidR="00472108" w:rsidRPr="004E7899">
        <w:rPr>
          <w:noProof/>
        </w:rPr>
        <w:t>alates 26. juulist 2028 artikli 2 lõike 2 punktides a ja b osutatud äriühingute puhul, mis on asutatud kolmanda riigi õigusaktide kohaselt ja mille netokäive liidus oli üle 900 000 000 euro majandusaastal, mis eelnes viimasele majandusaastale enne 26. juulit 2028, välja arvatud artikli 16 järgimiseks vajalikud meetmed, mida liikmesriigid kohaldavad nende äriühingute suhtes majandusaastatel, mis algavad 1. jaanuaril 2029 või pärast seda;</w:t>
      </w:r>
    </w:p>
    <w:p w14:paraId="3B6CBA28" w14:textId="71BE64A6" w:rsidR="00472108" w:rsidRPr="004E7899" w:rsidRDefault="00BC32E6" w:rsidP="00BC32E6">
      <w:pPr>
        <w:pStyle w:val="Point0"/>
        <w:rPr>
          <w:noProof/>
        </w:rPr>
      </w:pPr>
      <w:r w:rsidRPr="00BC32E6">
        <w:rPr>
          <w:noProof/>
        </w:rPr>
        <w:t>(c)</w:t>
      </w:r>
      <w:r w:rsidRPr="00BC32E6">
        <w:rPr>
          <w:noProof/>
        </w:rPr>
        <w:tab/>
      </w:r>
      <w:r w:rsidR="00472108" w:rsidRPr="004E7899">
        <w:rPr>
          <w:noProof/>
        </w:rPr>
        <w:t>alates 26. juulist 2029 kõigi muude artikli 2 lõike 1 punktides a ja b ning artikli 2 lõike 2 punktides a ja b osutatud äriühingute ning artikli 2 lõike 1 punktis c ja artikli 2 lõike 2 punktis c osutatud äriühingute puhul, välja arvatud artikli 16 järgimiseks vajalikud meetmed, mida liikmesriigid kohaldavad nende äriühingute suhtes majandusaastatel, mis algavad 1. jaanuaril 2030 või pärast seda.“</w:t>
      </w:r>
    </w:p>
    <w:p w14:paraId="552E5337" w14:textId="77777777" w:rsidR="006C7F87" w:rsidRPr="004E7899" w:rsidRDefault="006C7F87" w:rsidP="0094068A">
      <w:pPr>
        <w:pStyle w:val="Titrearticle"/>
        <w:keepLines/>
        <w:rPr>
          <w:noProof/>
        </w:rPr>
      </w:pPr>
      <w:r w:rsidRPr="004E7899">
        <w:rPr>
          <w:noProof/>
        </w:rPr>
        <w:t xml:space="preserve">Artikkel 3 </w:t>
      </w:r>
    </w:p>
    <w:p w14:paraId="6D3B5825" w14:textId="77777777" w:rsidR="006C7F87" w:rsidRPr="004E7899" w:rsidRDefault="00787171" w:rsidP="00787171">
      <w:pPr>
        <w:pStyle w:val="Titrearticle"/>
        <w:rPr>
          <w:b/>
          <w:bCs/>
          <w:i w:val="0"/>
          <w:iCs/>
          <w:noProof/>
        </w:rPr>
      </w:pPr>
      <w:r w:rsidRPr="004E7899">
        <w:rPr>
          <w:b/>
          <w:i w:val="0"/>
          <w:noProof/>
        </w:rPr>
        <w:t>Ülevõtmine</w:t>
      </w:r>
    </w:p>
    <w:p w14:paraId="18B16440" w14:textId="77777777" w:rsidR="006C7F87" w:rsidRPr="004E7899" w:rsidRDefault="006C7F87" w:rsidP="0094068A">
      <w:pPr>
        <w:pStyle w:val="ManualNumPar1"/>
        <w:rPr>
          <w:noProof/>
        </w:rPr>
      </w:pPr>
      <w:r w:rsidRPr="004E7899">
        <w:rPr>
          <w:noProof/>
        </w:rPr>
        <w:t>1.</w:t>
      </w:r>
      <w:r w:rsidRPr="004E7899">
        <w:rPr>
          <w:noProof/>
        </w:rPr>
        <w:tab/>
        <w:t>Liikmesriigid jõustavad käesoleva direktiivi täitmiseks vajalikud õigus- ja haldusnormid hiljemalt 31. detsembriks 2025. Nad edastavad kõnealuste normide teksti viivitamata komisjonile.</w:t>
      </w:r>
    </w:p>
    <w:p w14:paraId="685FB8CC" w14:textId="77777777" w:rsidR="006C7F87" w:rsidRPr="004E7899" w:rsidRDefault="006C7F87" w:rsidP="0094068A">
      <w:pPr>
        <w:pStyle w:val="Text1"/>
        <w:rPr>
          <w:noProof/>
        </w:rPr>
      </w:pPr>
      <w:r w:rsidRPr="004E7899">
        <w:rPr>
          <w:noProof/>
        </w:rPr>
        <w:t>Kui liikmesriigid need meetmed vastu võtavad, lisavad nad nendesse meetmetesse või nende meetmete ametliku avaldamise korral nende juurde viite käesolevale direktiivile. Sellise viitamise viisi näevad ette liikmesriigid.</w:t>
      </w:r>
    </w:p>
    <w:p w14:paraId="3B416A3D" w14:textId="77777777" w:rsidR="006C7F87" w:rsidRPr="004E7899" w:rsidRDefault="006C7F87" w:rsidP="0094068A">
      <w:pPr>
        <w:pStyle w:val="ManualNumPar1"/>
        <w:rPr>
          <w:noProof/>
        </w:rPr>
      </w:pPr>
      <w:r w:rsidRPr="004E7899">
        <w:rPr>
          <w:noProof/>
        </w:rPr>
        <w:t>2.</w:t>
      </w:r>
      <w:r w:rsidRPr="004E7899">
        <w:rPr>
          <w:noProof/>
        </w:rPr>
        <w:tab/>
        <w:t>Liikmesriigid edastavad komisjonile käesoleva direktiiviga reguleeritavas valdkonnas nende vastuvõetud põhiliste siseriiklike õigusnormide teksti.</w:t>
      </w:r>
    </w:p>
    <w:p w14:paraId="579570DD" w14:textId="77777777" w:rsidR="006C7F87" w:rsidRPr="004E7899" w:rsidRDefault="006C7F87" w:rsidP="0094068A">
      <w:pPr>
        <w:pStyle w:val="Titrearticle"/>
        <w:rPr>
          <w:noProof/>
        </w:rPr>
      </w:pPr>
      <w:r w:rsidRPr="004E7899">
        <w:rPr>
          <w:noProof/>
        </w:rPr>
        <w:t>Artikkel 4</w:t>
      </w:r>
    </w:p>
    <w:p w14:paraId="1B17ABCC" w14:textId="77777777" w:rsidR="00AC7306" w:rsidRPr="004E7899" w:rsidRDefault="00AC7306" w:rsidP="00AC7306">
      <w:pPr>
        <w:pStyle w:val="Titrearticle"/>
        <w:rPr>
          <w:b/>
          <w:bCs/>
          <w:i w:val="0"/>
          <w:iCs/>
          <w:noProof/>
        </w:rPr>
      </w:pPr>
      <w:r w:rsidRPr="004E7899">
        <w:rPr>
          <w:b/>
          <w:i w:val="0"/>
          <w:noProof/>
        </w:rPr>
        <w:t>Jõustumine</w:t>
      </w:r>
    </w:p>
    <w:p w14:paraId="76267EF5" w14:textId="77777777" w:rsidR="006C7F87" w:rsidRPr="004E7899" w:rsidRDefault="74F27777" w:rsidP="0094068A">
      <w:pPr>
        <w:rPr>
          <w:noProof/>
        </w:rPr>
      </w:pPr>
      <w:r w:rsidRPr="004E7899">
        <w:rPr>
          <w:noProof/>
        </w:rPr>
        <w:t xml:space="preserve">Käesolev direktiiv jõustub järgmisel päeval pärast selle avaldamist </w:t>
      </w:r>
      <w:r w:rsidRPr="004E7899">
        <w:rPr>
          <w:i/>
          <w:noProof/>
        </w:rPr>
        <w:t>Euroopa Liidu Teatajas</w:t>
      </w:r>
      <w:r w:rsidRPr="004E7899">
        <w:rPr>
          <w:noProof/>
        </w:rPr>
        <w:t>.</w:t>
      </w:r>
    </w:p>
    <w:p w14:paraId="3DE172A4" w14:textId="77777777" w:rsidR="006C7F87" w:rsidRPr="004E7899" w:rsidRDefault="006C7F87" w:rsidP="0094068A">
      <w:pPr>
        <w:pStyle w:val="Titrearticle"/>
        <w:rPr>
          <w:noProof/>
        </w:rPr>
      </w:pPr>
      <w:r w:rsidRPr="004E7899">
        <w:rPr>
          <w:noProof/>
        </w:rPr>
        <w:t>Artikkel 5</w:t>
      </w:r>
    </w:p>
    <w:p w14:paraId="0CF7DE50" w14:textId="77777777" w:rsidR="00AC7306" w:rsidRPr="004E7899" w:rsidRDefault="00AC7306" w:rsidP="00B14EAE">
      <w:pPr>
        <w:pStyle w:val="Titrearticle"/>
        <w:rPr>
          <w:noProof/>
        </w:rPr>
      </w:pPr>
      <w:r w:rsidRPr="004E7899">
        <w:rPr>
          <w:b/>
          <w:i w:val="0"/>
          <w:noProof/>
        </w:rPr>
        <w:t>Adressaadid</w:t>
      </w:r>
    </w:p>
    <w:p w14:paraId="1C1869A6" w14:textId="77777777" w:rsidR="006C7F87" w:rsidRPr="004E7899" w:rsidRDefault="006C7F87" w:rsidP="0094068A">
      <w:pPr>
        <w:keepNext/>
        <w:keepLines/>
        <w:rPr>
          <w:noProof/>
        </w:rPr>
      </w:pPr>
      <w:r w:rsidRPr="004E7899">
        <w:rPr>
          <w:noProof/>
        </w:rPr>
        <w:t>Käesolev direktiiv on adresseeritud liikmesriikidele.</w:t>
      </w:r>
    </w:p>
    <w:p w14:paraId="6F99BCD3" w14:textId="170D319D" w:rsidR="006C7F87" w:rsidRPr="004E7899" w:rsidRDefault="004E7899" w:rsidP="00B14EAE">
      <w:pPr>
        <w:pStyle w:val="Fait"/>
        <w:rPr>
          <w:noProof/>
        </w:rPr>
      </w:pPr>
      <w:r>
        <w:rPr>
          <w:noProof/>
        </w:rPr>
        <w:t>Brüssel,</w:t>
      </w:r>
    </w:p>
    <w:p w14:paraId="77EDDB57" w14:textId="77777777" w:rsidR="006C7F87" w:rsidRPr="004E7899" w:rsidRDefault="006C7F87" w:rsidP="00B14EAE">
      <w:pPr>
        <w:pStyle w:val="Institutionquisigne"/>
        <w:rPr>
          <w:noProof/>
        </w:rPr>
      </w:pPr>
      <w:r w:rsidRPr="004E7899">
        <w:rPr>
          <w:noProof/>
        </w:rPr>
        <w:t>Euroopa Parlamendi nimel</w:t>
      </w:r>
      <w:r w:rsidRPr="004E7899">
        <w:rPr>
          <w:noProof/>
        </w:rPr>
        <w:tab/>
        <w:t>Nõukogu nimel</w:t>
      </w:r>
    </w:p>
    <w:p w14:paraId="7B049FFF" w14:textId="77777777" w:rsidR="00CA2B31" w:rsidRPr="004E7899" w:rsidRDefault="006C7F87" w:rsidP="00BB1CDB">
      <w:pPr>
        <w:pStyle w:val="Personnequisigne"/>
        <w:rPr>
          <w:noProof/>
        </w:rPr>
      </w:pPr>
      <w:r w:rsidRPr="004E7899">
        <w:rPr>
          <w:noProof/>
        </w:rPr>
        <w:t>president</w:t>
      </w:r>
      <w:r w:rsidRPr="004E7899">
        <w:rPr>
          <w:noProof/>
        </w:rPr>
        <w:tab/>
        <w:t>eesistuja</w:t>
      </w:r>
    </w:p>
    <w:p w14:paraId="7B7B0287" w14:textId="77777777" w:rsidR="00CA2B31" w:rsidRPr="004E7899" w:rsidRDefault="001A1613" w:rsidP="0078133F">
      <w:pPr>
        <w:spacing w:before="0" w:after="200" w:line="276" w:lineRule="auto"/>
        <w:jc w:val="left"/>
        <w:rPr>
          <w:noProof/>
        </w:rPr>
      </w:pPr>
      <w:r w:rsidRPr="004E7899">
        <w:rPr>
          <w:noProof/>
        </w:rPr>
        <w:br w:type="page"/>
      </w:r>
    </w:p>
    <w:p w14:paraId="391CEFDA" w14:textId="77777777" w:rsidR="00CA2B31" w:rsidRPr="004E7899" w:rsidRDefault="00CA2B31" w:rsidP="00CA2B31">
      <w:pPr>
        <w:pStyle w:val="Fichefinanciretitre"/>
        <w:keepNext/>
        <w:rPr>
          <w:noProof/>
        </w:rPr>
      </w:pPr>
      <w:r w:rsidRPr="004E7899">
        <w:rPr>
          <w:noProof/>
        </w:rPr>
        <w:t>FINANTS- JA DIGISELGITUS</w:t>
      </w:r>
    </w:p>
    <w:p w14:paraId="262A4CF2" w14:textId="77777777" w:rsidR="000F2513" w:rsidRPr="004E7899" w:rsidRDefault="000F2513" w:rsidP="0078133F">
      <w:pPr>
        <w:rPr>
          <w:noProof/>
        </w:rPr>
      </w:pPr>
    </w:p>
    <w:p w14:paraId="3FD6B615" w14:textId="77777777" w:rsidR="00CA2B31" w:rsidRPr="004E7899" w:rsidRDefault="00CA2B31" w:rsidP="00CA2B31">
      <w:pPr>
        <w:pStyle w:val="TOC1"/>
        <w:rPr>
          <w:rFonts w:asciiTheme="minorHAnsi" w:eastAsiaTheme="minorEastAsia" w:hAnsiTheme="minorHAnsi" w:cstheme="minorBidi"/>
          <w:noProof/>
          <w:kern w:val="2"/>
          <w:sz w:val="22"/>
          <w14:ligatures w14:val="standardContextual"/>
        </w:rPr>
      </w:pPr>
      <w:r w:rsidRPr="004E7899">
        <w:rPr>
          <w:noProof/>
        </w:rPr>
        <w:t>1.</w:t>
      </w:r>
      <w:r w:rsidRPr="004E7899">
        <w:rPr>
          <w:noProof/>
        </w:rPr>
        <w:tab/>
        <w:t>ETTEPANEKU/ALGATUSE RAAMISTIK</w:t>
      </w:r>
      <w:r w:rsidRPr="004E7899">
        <w:rPr>
          <w:noProof/>
        </w:rPr>
        <w:tab/>
      </w:r>
      <w:r w:rsidRPr="004E7899">
        <w:rPr>
          <w:noProof/>
          <w:webHidden/>
        </w:rPr>
        <w:t>3</w:t>
      </w:r>
    </w:p>
    <w:p w14:paraId="2B141920" w14:textId="77777777" w:rsidR="00CA2B31" w:rsidRPr="004E7899" w:rsidRDefault="00CA2B31" w:rsidP="00CA2B31">
      <w:pPr>
        <w:pStyle w:val="TOC2"/>
        <w:rPr>
          <w:rFonts w:asciiTheme="minorHAnsi" w:eastAsiaTheme="minorEastAsia" w:hAnsiTheme="minorHAnsi" w:cstheme="minorBidi"/>
          <w:noProof/>
          <w:kern w:val="2"/>
          <w:sz w:val="22"/>
          <w14:ligatures w14:val="standardContextual"/>
        </w:rPr>
      </w:pPr>
      <w:r w:rsidRPr="004E7899">
        <w:rPr>
          <w:noProof/>
        </w:rPr>
        <w:t>1.1.</w:t>
      </w:r>
      <w:r w:rsidRPr="004E7899">
        <w:rPr>
          <w:noProof/>
        </w:rPr>
        <w:tab/>
        <w:t>Ettepaneku/algatuse nimetus</w:t>
      </w:r>
      <w:r w:rsidRPr="004E7899">
        <w:rPr>
          <w:noProof/>
        </w:rPr>
        <w:tab/>
      </w:r>
      <w:r w:rsidRPr="004E7899">
        <w:rPr>
          <w:noProof/>
          <w:webHidden/>
        </w:rPr>
        <w:t>3</w:t>
      </w:r>
    </w:p>
    <w:p w14:paraId="3D149DC4" w14:textId="77777777" w:rsidR="00CA2B31" w:rsidRPr="004E7899" w:rsidRDefault="00CA2B31" w:rsidP="00CA2B31">
      <w:pPr>
        <w:pStyle w:val="TOC2"/>
        <w:rPr>
          <w:rFonts w:asciiTheme="minorHAnsi" w:eastAsiaTheme="minorEastAsia" w:hAnsiTheme="minorHAnsi" w:cstheme="minorBidi"/>
          <w:noProof/>
          <w:kern w:val="2"/>
          <w:sz w:val="22"/>
          <w14:ligatures w14:val="standardContextual"/>
        </w:rPr>
      </w:pPr>
      <w:r w:rsidRPr="004E7899">
        <w:rPr>
          <w:noProof/>
        </w:rPr>
        <w:t>1.2.</w:t>
      </w:r>
      <w:r w:rsidRPr="004E7899">
        <w:rPr>
          <w:noProof/>
        </w:rPr>
        <w:tab/>
        <w:t>Asjaomased poliitikavaldkonnad</w:t>
      </w:r>
      <w:r w:rsidRPr="004E7899">
        <w:rPr>
          <w:noProof/>
        </w:rPr>
        <w:tab/>
      </w:r>
      <w:r w:rsidRPr="004E7899">
        <w:rPr>
          <w:noProof/>
          <w:webHidden/>
        </w:rPr>
        <w:t>3</w:t>
      </w:r>
    </w:p>
    <w:p w14:paraId="5AF54A6F" w14:textId="77777777" w:rsidR="00CA2B31" w:rsidRPr="004E7899" w:rsidRDefault="00CA2B31" w:rsidP="00CA2B31">
      <w:pPr>
        <w:pStyle w:val="TOC2"/>
        <w:rPr>
          <w:rFonts w:asciiTheme="minorHAnsi" w:eastAsiaTheme="minorEastAsia" w:hAnsiTheme="minorHAnsi" w:cstheme="minorBidi"/>
          <w:noProof/>
          <w:kern w:val="2"/>
          <w:sz w:val="22"/>
          <w14:ligatures w14:val="standardContextual"/>
        </w:rPr>
      </w:pPr>
      <w:r w:rsidRPr="004E7899">
        <w:rPr>
          <w:noProof/>
        </w:rPr>
        <w:t>1.3.</w:t>
      </w:r>
      <w:r w:rsidRPr="004E7899">
        <w:rPr>
          <w:noProof/>
        </w:rPr>
        <w:tab/>
        <w:t>Eesmärgid</w:t>
      </w:r>
      <w:r w:rsidRPr="004E7899">
        <w:rPr>
          <w:noProof/>
        </w:rPr>
        <w:tab/>
      </w:r>
      <w:r w:rsidRPr="004E7899">
        <w:rPr>
          <w:noProof/>
          <w:webHidden/>
        </w:rPr>
        <w:t>3</w:t>
      </w:r>
    </w:p>
    <w:p w14:paraId="0F356330" w14:textId="77777777" w:rsidR="00CA2B31" w:rsidRPr="004E7899" w:rsidRDefault="00CA2B31" w:rsidP="00CA2B31">
      <w:pPr>
        <w:pStyle w:val="TOC3"/>
        <w:rPr>
          <w:rFonts w:asciiTheme="minorHAnsi" w:eastAsiaTheme="minorEastAsia" w:hAnsiTheme="minorHAnsi" w:cstheme="minorBidi"/>
          <w:noProof/>
          <w:kern w:val="2"/>
          <w:sz w:val="22"/>
          <w14:ligatures w14:val="standardContextual"/>
        </w:rPr>
      </w:pPr>
      <w:r w:rsidRPr="004E7899">
        <w:rPr>
          <w:noProof/>
        </w:rPr>
        <w:t>1.3.1.</w:t>
      </w:r>
      <w:r w:rsidRPr="004E7899">
        <w:rPr>
          <w:noProof/>
        </w:rPr>
        <w:tab/>
        <w:t>Üldeesmärgid</w:t>
      </w:r>
      <w:r w:rsidRPr="004E7899">
        <w:rPr>
          <w:noProof/>
        </w:rPr>
        <w:tab/>
      </w:r>
      <w:r w:rsidRPr="004E7899">
        <w:rPr>
          <w:noProof/>
          <w:webHidden/>
        </w:rPr>
        <w:t>3</w:t>
      </w:r>
    </w:p>
    <w:p w14:paraId="0E2ADA45" w14:textId="77777777" w:rsidR="00CA2B31" w:rsidRPr="004E7899" w:rsidRDefault="00CA2B31" w:rsidP="00CA2B31">
      <w:pPr>
        <w:pStyle w:val="TOC3"/>
        <w:rPr>
          <w:rFonts w:asciiTheme="minorHAnsi" w:eastAsiaTheme="minorEastAsia" w:hAnsiTheme="minorHAnsi" w:cstheme="minorBidi"/>
          <w:noProof/>
          <w:kern w:val="2"/>
          <w:sz w:val="22"/>
          <w14:ligatures w14:val="standardContextual"/>
        </w:rPr>
      </w:pPr>
      <w:r w:rsidRPr="004E7899">
        <w:rPr>
          <w:noProof/>
        </w:rPr>
        <w:t>1.3.2.</w:t>
      </w:r>
      <w:r w:rsidRPr="004E7899">
        <w:rPr>
          <w:noProof/>
        </w:rPr>
        <w:tab/>
        <w:t>Erieesmärgid</w:t>
      </w:r>
      <w:r w:rsidRPr="004E7899">
        <w:rPr>
          <w:noProof/>
        </w:rPr>
        <w:tab/>
      </w:r>
      <w:r w:rsidRPr="004E7899">
        <w:rPr>
          <w:noProof/>
          <w:webHidden/>
        </w:rPr>
        <w:t>3</w:t>
      </w:r>
    </w:p>
    <w:p w14:paraId="1D043487" w14:textId="77777777" w:rsidR="00CA2B31" w:rsidRPr="004E7899" w:rsidRDefault="00CA2B31" w:rsidP="00CA2B31">
      <w:pPr>
        <w:pStyle w:val="TOC3"/>
        <w:rPr>
          <w:rFonts w:asciiTheme="minorHAnsi" w:eastAsiaTheme="minorEastAsia" w:hAnsiTheme="minorHAnsi" w:cstheme="minorBidi"/>
          <w:noProof/>
          <w:kern w:val="2"/>
          <w:sz w:val="22"/>
          <w14:ligatures w14:val="standardContextual"/>
        </w:rPr>
      </w:pPr>
      <w:r w:rsidRPr="004E7899">
        <w:rPr>
          <w:noProof/>
        </w:rPr>
        <w:t>1.3.3.</w:t>
      </w:r>
      <w:r w:rsidRPr="004E7899">
        <w:rPr>
          <w:noProof/>
        </w:rPr>
        <w:tab/>
        <w:t>Oodatavad tulemused ja mõju</w:t>
      </w:r>
      <w:r w:rsidRPr="004E7899">
        <w:rPr>
          <w:noProof/>
        </w:rPr>
        <w:tab/>
      </w:r>
      <w:r w:rsidRPr="004E7899">
        <w:rPr>
          <w:noProof/>
          <w:webHidden/>
        </w:rPr>
        <w:t>3</w:t>
      </w:r>
    </w:p>
    <w:p w14:paraId="455FE001" w14:textId="77777777" w:rsidR="00CA2B31" w:rsidRPr="004E7899" w:rsidRDefault="00CA2B31" w:rsidP="00CA2B31">
      <w:pPr>
        <w:pStyle w:val="TOC3"/>
        <w:rPr>
          <w:rFonts w:asciiTheme="minorHAnsi" w:eastAsiaTheme="minorEastAsia" w:hAnsiTheme="minorHAnsi" w:cstheme="minorBidi"/>
          <w:noProof/>
          <w:kern w:val="2"/>
          <w:sz w:val="22"/>
          <w14:ligatures w14:val="standardContextual"/>
        </w:rPr>
      </w:pPr>
      <w:r w:rsidRPr="004E7899">
        <w:rPr>
          <w:noProof/>
        </w:rPr>
        <w:t>1.3.4.</w:t>
      </w:r>
      <w:r w:rsidRPr="004E7899">
        <w:rPr>
          <w:noProof/>
        </w:rPr>
        <w:tab/>
        <w:t>Tulemusnäitajad</w:t>
      </w:r>
      <w:r w:rsidRPr="004E7899">
        <w:rPr>
          <w:noProof/>
        </w:rPr>
        <w:tab/>
      </w:r>
      <w:r w:rsidRPr="004E7899">
        <w:rPr>
          <w:noProof/>
          <w:webHidden/>
        </w:rPr>
        <w:t>3</w:t>
      </w:r>
    </w:p>
    <w:p w14:paraId="0A2172B7" w14:textId="77777777" w:rsidR="00CA2B31" w:rsidRPr="004E7899" w:rsidRDefault="00CA2B31" w:rsidP="00CA2B31">
      <w:pPr>
        <w:pStyle w:val="TOC2"/>
        <w:rPr>
          <w:rFonts w:asciiTheme="minorHAnsi" w:eastAsiaTheme="minorEastAsia" w:hAnsiTheme="minorHAnsi" w:cstheme="minorBidi"/>
          <w:noProof/>
          <w:kern w:val="2"/>
          <w:sz w:val="22"/>
          <w14:ligatures w14:val="standardContextual"/>
        </w:rPr>
      </w:pPr>
      <w:r w:rsidRPr="004E7899">
        <w:rPr>
          <w:noProof/>
        </w:rPr>
        <w:t>1.4.</w:t>
      </w:r>
      <w:r w:rsidRPr="004E7899">
        <w:rPr>
          <w:noProof/>
        </w:rPr>
        <w:tab/>
        <w:t>Ettepanek/algatus käsitleb</w:t>
      </w:r>
      <w:r w:rsidRPr="004E7899">
        <w:rPr>
          <w:noProof/>
        </w:rPr>
        <w:tab/>
      </w:r>
      <w:r w:rsidRPr="004E7899">
        <w:rPr>
          <w:noProof/>
          <w:webHidden/>
        </w:rPr>
        <w:t>4</w:t>
      </w:r>
    </w:p>
    <w:p w14:paraId="403A7C9F" w14:textId="77777777" w:rsidR="00CA2B31" w:rsidRPr="004E7899" w:rsidRDefault="00CA2B31" w:rsidP="00CA2B31">
      <w:pPr>
        <w:pStyle w:val="TOC2"/>
        <w:rPr>
          <w:rFonts w:asciiTheme="minorHAnsi" w:eastAsiaTheme="minorEastAsia" w:hAnsiTheme="minorHAnsi" w:cstheme="minorBidi"/>
          <w:noProof/>
          <w:kern w:val="2"/>
          <w:sz w:val="22"/>
          <w14:ligatures w14:val="standardContextual"/>
        </w:rPr>
      </w:pPr>
      <w:r w:rsidRPr="004E7899">
        <w:rPr>
          <w:noProof/>
        </w:rPr>
        <w:t>1.5.</w:t>
      </w:r>
      <w:r w:rsidRPr="004E7899">
        <w:rPr>
          <w:noProof/>
        </w:rPr>
        <w:tab/>
        <w:t>Ettepaneku/algatuse põhjendused</w:t>
      </w:r>
      <w:r w:rsidRPr="004E7899">
        <w:rPr>
          <w:noProof/>
        </w:rPr>
        <w:tab/>
      </w:r>
      <w:r w:rsidRPr="004E7899">
        <w:rPr>
          <w:noProof/>
          <w:webHidden/>
        </w:rPr>
        <w:t>4</w:t>
      </w:r>
    </w:p>
    <w:p w14:paraId="1ECBA4B3" w14:textId="77777777" w:rsidR="00CA2B31" w:rsidRPr="004E7899" w:rsidRDefault="00CA2B31" w:rsidP="00CA2B31">
      <w:pPr>
        <w:pStyle w:val="TOC3"/>
        <w:rPr>
          <w:rFonts w:asciiTheme="minorHAnsi" w:eastAsiaTheme="minorEastAsia" w:hAnsiTheme="minorHAnsi" w:cstheme="minorBidi"/>
          <w:noProof/>
          <w:kern w:val="2"/>
          <w:sz w:val="22"/>
          <w14:ligatures w14:val="standardContextual"/>
        </w:rPr>
      </w:pPr>
      <w:r w:rsidRPr="004E7899">
        <w:rPr>
          <w:noProof/>
        </w:rPr>
        <w:t>1.5.1.</w:t>
      </w:r>
      <w:r w:rsidRPr="004E7899">
        <w:rPr>
          <w:noProof/>
        </w:rPr>
        <w:tab/>
        <w:t>Lühi- või pikaajalises perspektiivis täidetavad vajadused, sealhulgas algatuse rakendamise üksikasjalik ajakava</w:t>
      </w:r>
      <w:r w:rsidRPr="004E7899">
        <w:rPr>
          <w:noProof/>
        </w:rPr>
        <w:tab/>
      </w:r>
      <w:r w:rsidRPr="004E7899">
        <w:rPr>
          <w:noProof/>
          <w:webHidden/>
        </w:rPr>
        <w:t>4</w:t>
      </w:r>
    </w:p>
    <w:p w14:paraId="057A1EB4" w14:textId="77777777" w:rsidR="00CA2B31" w:rsidRPr="004E7899" w:rsidRDefault="00CA2B31" w:rsidP="00CA2B31">
      <w:pPr>
        <w:pStyle w:val="TOC3"/>
        <w:rPr>
          <w:rFonts w:asciiTheme="minorHAnsi" w:eastAsiaTheme="minorEastAsia" w:hAnsiTheme="minorHAnsi" w:cstheme="minorBidi"/>
          <w:noProof/>
          <w:kern w:val="2"/>
          <w:sz w:val="22"/>
          <w14:ligatures w14:val="standardContextual"/>
        </w:rPr>
      </w:pPr>
      <w:r w:rsidRPr="004E7899">
        <w:rPr>
          <w:noProof/>
        </w:rPr>
        <w:t>1.5.2.</w:t>
      </w:r>
      <w:r w:rsidRPr="004E7899">
        <w:rPr>
          <w:noProof/>
        </w:rPr>
        <w:tab/>
        <w:t>ELi meetme lisaväärtus (see võib tuleneda eri teguritest, nagu kooskõlastamisest saadav kasu, õiguskindlus, suurem tõhusus või vastastikune täiendavus). Käesoleva punkti kohaldamisel tähendab „ELi meetme lisaväärtus“ väärtust, mis tuleneb liidu sekkumisest ja lisandub väärtusele, mille liikmesriigid oleksid muidu üksi loonud.</w:t>
      </w:r>
      <w:r w:rsidRPr="004E7899">
        <w:rPr>
          <w:noProof/>
        </w:rPr>
        <w:tab/>
      </w:r>
      <w:r w:rsidRPr="004E7899">
        <w:rPr>
          <w:noProof/>
          <w:webHidden/>
        </w:rPr>
        <w:t>4</w:t>
      </w:r>
    </w:p>
    <w:p w14:paraId="38F8914B" w14:textId="77777777" w:rsidR="00CA2B31" w:rsidRPr="004E7899" w:rsidRDefault="00CA2B31" w:rsidP="00CA2B31">
      <w:pPr>
        <w:pStyle w:val="TOC3"/>
        <w:rPr>
          <w:rFonts w:asciiTheme="minorHAnsi" w:eastAsiaTheme="minorEastAsia" w:hAnsiTheme="minorHAnsi" w:cstheme="minorBidi"/>
          <w:noProof/>
          <w:kern w:val="2"/>
          <w:sz w:val="22"/>
          <w14:ligatures w14:val="standardContextual"/>
        </w:rPr>
      </w:pPr>
      <w:r w:rsidRPr="004E7899">
        <w:rPr>
          <w:noProof/>
        </w:rPr>
        <w:t>1.5.3.</w:t>
      </w:r>
      <w:r w:rsidRPr="004E7899">
        <w:rPr>
          <w:noProof/>
        </w:rPr>
        <w:tab/>
        <w:t>Samalaadsetest kogemustest saadud õppetunnid</w:t>
      </w:r>
      <w:r w:rsidRPr="004E7899">
        <w:rPr>
          <w:noProof/>
        </w:rPr>
        <w:tab/>
      </w:r>
      <w:r w:rsidRPr="004E7899">
        <w:rPr>
          <w:noProof/>
          <w:webHidden/>
        </w:rPr>
        <w:t>4</w:t>
      </w:r>
    </w:p>
    <w:p w14:paraId="32EAC30A" w14:textId="77777777" w:rsidR="00CA2B31" w:rsidRPr="004E7899" w:rsidRDefault="00CA2B31" w:rsidP="00CA2B31">
      <w:pPr>
        <w:pStyle w:val="TOC1"/>
        <w:rPr>
          <w:rFonts w:asciiTheme="minorHAnsi" w:eastAsiaTheme="minorEastAsia" w:hAnsiTheme="minorHAnsi" w:cstheme="minorBidi"/>
          <w:noProof/>
          <w:kern w:val="2"/>
          <w:sz w:val="22"/>
          <w14:ligatures w14:val="standardContextual"/>
        </w:rPr>
      </w:pPr>
      <w:r w:rsidRPr="004E7899">
        <w:rPr>
          <w:noProof/>
        </w:rPr>
        <w:t>2.</w:t>
      </w:r>
      <w:r w:rsidRPr="004E7899">
        <w:rPr>
          <w:noProof/>
        </w:rPr>
        <w:tab/>
        <w:t>HALDUSMEETMED</w:t>
      </w:r>
      <w:r w:rsidRPr="004E7899">
        <w:rPr>
          <w:noProof/>
        </w:rPr>
        <w:tab/>
      </w:r>
      <w:r w:rsidRPr="004E7899">
        <w:rPr>
          <w:noProof/>
          <w:webHidden/>
        </w:rPr>
        <w:t>8</w:t>
      </w:r>
    </w:p>
    <w:p w14:paraId="73491379" w14:textId="77777777" w:rsidR="00CA2B31" w:rsidRPr="004E7899" w:rsidRDefault="00CA2B31" w:rsidP="00CA2B31">
      <w:pPr>
        <w:pStyle w:val="TOC2"/>
        <w:rPr>
          <w:rFonts w:asciiTheme="minorHAnsi" w:eastAsiaTheme="minorEastAsia" w:hAnsiTheme="minorHAnsi" w:cstheme="minorBidi"/>
          <w:noProof/>
          <w:kern w:val="2"/>
          <w:sz w:val="22"/>
          <w14:ligatures w14:val="standardContextual"/>
        </w:rPr>
      </w:pPr>
      <w:r w:rsidRPr="004E7899">
        <w:rPr>
          <w:noProof/>
        </w:rPr>
        <w:t>2.1.</w:t>
      </w:r>
      <w:r w:rsidRPr="004E7899">
        <w:rPr>
          <w:noProof/>
        </w:rPr>
        <w:tab/>
        <w:t>Järelevalve ja aruandluse reeglid</w:t>
      </w:r>
      <w:r w:rsidRPr="004E7899">
        <w:rPr>
          <w:noProof/>
        </w:rPr>
        <w:tab/>
      </w:r>
      <w:r w:rsidRPr="004E7899">
        <w:rPr>
          <w:noProof/>
          <w:webHidden/>
        </w:rPr>
        <w:t>8</w:t>
      </w:r>
    </w:p>
    <w:p w14:paraId="557CF5AD" w14:textId="77777777" w:rsidR="00CA2B31" w:rsidRPr="004E7899" w:rsidRDefault="00CA2B31" w:rsidP="00CA2B31">
      <w:pPr>
        <w:pStyle w:val="TOC2"/>
        <w:rPr>
          <w:rFonts w:asciiTheme="minorHAnsi" w:eastAsiaTheme="minorEastAsia" w:hAnsiTheme="minorHAnsi" w:cstheme="minorBidi"/>
          <w:noProof/>
          <w:kern w:val="2"/>
          <w:sz w:val="22"/>
          <w14:ligatures w14:val="standardContextual"/>
        </w:rPr>
      </w:pPr>
      <w:r w:rsidRPr="004E7899">
        <w:rPr>
          <w:noProof/>
        </w:rPr>
        <w:t>2.2.</w:t>
      </w:r>
      <w:r w:rsidRPr="004E7899">
        <w:rPr>
          <w:noProof/>
        </w:rPr>
        <w:tab/>
        <w:t>Haldus- ja kontrollisüsteem(id)</w:t>
      </w:r>
      <w:r w:rsidRPr="004E7899">
        <w:rPr>
          <w:noProof/>
        </w:rPr>
        <w:tab/>
      </w:r>
      <w:r w:rsidRPr="004E7899">
        <w:rPr>
          <w:noProof/>
          <w:webHidden/>
        </w:rPr>
        <w:t>8</w:t>
      </w:r>
    </w:p>
    <w:p w14:paraId="35E9DD44" w14:textId="77777777" w:rsidR="00CA2B31" w:rsidRPr="004E7899" w:rsidRDefault="00CA2B31" w:rsidP="00CA2B31">
      <w:pPr>
        <w:pStyle w:val="TOC3"/>
        <w:rPr>
          <w:rFonts w:asciiTheme="minorHAnsi" w:eastAsiaTheme="minorEastAsia" w:hAnsiTheme="minorHAnsi" w:cstheme="minorBidi"/>
          <w:noProof/>
          <w:kern w:val="2"/>
          <w:sz w:val="22"/>
          <w14:ligatures w14:val="standardContextual"/>
        </w:rPr>
      </w:pPr>
      <w:r w:rsidRPr="004E7899">
        <w:rPr>
          <w:noProof/>
        </w:rPr>
        <w:t>2.2.1.</w:t>
      </w:r>
      <w:r w:rsidRPr="004E7899">
        <w:rPr>
          <w:noProof/>
        </w:rPr>
        <w:tab/>
        <w:t>Eelarve täitmise viisi(de), rahastuse rakendamise mehhanismi(de), maksete tegemise korra ja kavandatava kontrollistrateegia selgitus</w:t>
      </w:r>
      <w:r w:rsidRPr="004E7899">
        <w:rPr>
          <w:noProof/>
        </w:rPr>
        <w:tab/>
      </w:r>
      <w:r w:rsidRPr="004E7899">
        <w:rPr>
          <w:noProof/>
          <w:webHidden/>
        </w:rPr>
        <w:t>8</w:t>
      </w:r>
    </w:p>
    <w:p w14:paraId="67DA575D" w14:textId="77777777" w:rsidR="00CA2B31" w:rsidRPr="004E7899" w:rsidRDefault="00CA2B31" w:rsidP="00CA2B31">
      <w:pPr>
        <w:pStyle w:val="TOC3"/>
        <w:rPr>
          <w:rFonts w:asciiTheme="minorHAnsi" w:eastAsiaTheme="minorEastAsia" w:hAnsiTheme="minorHAnsi" w:cstheme="minorBidi"/>
          <w:noProof/>
          <w:kern w:val="2"/>
          <w:sz w:val="22"/>
          <w14:ligatures w14:val="standardContextual"/>
        </w:rPr>
      </w:pPr>
      <w:r w:rsidRPr="004E7899">
        <w:rPr>
          <w:noProof/>
        </w:rPr>
        <w:t>2.2.2.</w:t>
      </w:r>
      <w:r w:rsidRPr="004E7899">
        <w:rPr>
          <w:noProof/>
        </w:rPr>
        <w:tab/>
        <w:t>Teave kindlakstehtud riskide ja nende vähendamiseks kasutusele võetud sisekontrollisüsteemi(de) kohta</w:t>
      </w:r>
      <w:r w:rsidRPr="004E7899">
        <w:rPr>
          <w:noProof/>
        </w:rPr>
        <w:tab/>
      </w:r>
      <w:r w:rsidRPr="004E7899">
        <w:rPr>
          <w:noProof/>
          <w:webHidden/>
        </w:rPr>
        <w:t>8</w:t>
      </w:r>
    </w:p>
    <w:p w14:paraId="3E566693" w14:textId="77777777" w:rsidR="00CA2B31" w:rsidRPr="004E7899" w:rsidRDefault="00CA2B31" w:rsidP="00CA2B31">
      <w:pPr>
        <w:pStyle w:val="TOC3"/>
        <w:rPr>
          <w:rFonts w:asciiTheme="minorHAnsi" w:eastAsiaTheme="minorEastAsia" w:hAnsiTheme="minorHAnsi" w:cstheme="minorBidi"/>
          <w:noProof/>
          <w:kern w:val="2"/>
          <w:sz w:val="22"/>
          <w14:ligatures w14:val="standardContextual"/>
        </w:rPr>
      </w:pPr>
      <w:r w:rsidRPr="004E7899">
        <w:rPr>
          <w:noProof/>
        </w:rPr>
        <w:t>2.2.3.</w:t>
      </w:r>
      <w:r w:rsidRPr="004E7899">
        <w:rPr>
          <w:noProof/>
        </w:rPr>
        <w:tab/>
        <w:t>Kontrollimeetmete hinnanguline kulutõhusus (kontrollikulude suhe hallatavate vahendite väärtusse), selle põhjendus ja oodatav veariski tase (maksete tegemise ja sulgemise ajal)</w:t>
      </w:r>
      <w:r w:rsidRPr="004E7899">
        <w:rPr>
          <w:noProof/>
        </w:rPr>
        <w:tab/>
      </w:r>
      <w:r w:rsidRPr="004E7899">
        <w:rPr>
          <w:noProof/>
          <w:webHidden/>
        </w:rPr>
        <w:t>8</w:t>
      </w:r>
    </w:p>
    <w:p w14:paraId="13A9DC70" w14:textId="77777777" w:rsidR="00CA2B31" w:rsidRPr="004E7899" w:rsidRDefault="00CA2B31" w:rsidP="00CA2B31">
      <w:pPr>
        <w:pStyle w:val="TOC2"/>
        <w:rPr>
          <w:rFonts w:asciiTheme="minorHAnsi" w:eastAsiaTheme="minorEastAsia" w:hAnsiTheme="minorHAnsi" w:cstheme="minorBidi"/>
          <w:noProof/>
          <w:kern w:val="2"/>
          <w:sz w:val="22"/>
          <w14:ligatures w14:val="standardContextual"/>
        </w:rPr>
      </w:pPr>
      <w:r w:rsidRPr="004E7899">
        <w:rPr>
          <w:noProof/>
        </w:rPr>
        <w:t>2.3.</w:t>
      </w:r>
      <w:r w:rsidRPr="004E7899">
        <w:rPr>
          <w:noProof/>
        </w:rPr>
        <w:tab/>
        <w:t>Pettuste ja õigusnormide rikkumise ärahoidmise meetmed</w:t>
      </w:r>
      <w:r w:rsidRPr="004E7899">
        <w:rPr>
          <w:noProof/>
        </w:rPr>
        <w:tab/>
      </w:r>
      <w:r w:rsidRPr="004E7899">
        <w:rPr>
          <w:noProof/>
          <w:webHidden/>
        </w:rPr>
        <w:t>9</w:t>
      </w:r>
    </w:p>
    <w:p w14:paraId="767A6FA7" w14:textId="77777777" w:rsidR="00CA2B31" w:rsidRPr="004E7899" w:rsidRDefault="00CA2B31" w:rsidP="00CA2B31">
      <w:pPr>
        <w:pStyle w:val="TOC1"/>
        <w:rPr>
          <w:rFonts w:asciiTheme="minorHAnsi" w:eastAsiaTheme="minorEastAsia" w:hAnsiTheme="minorHAnsi" w:cstheme="minorBidi"/>
          <w:noProof/>
          <w:kern w:val="2"/>
          <w:sz w:val="22"/>
          <w14:ligatures w14:val="standardContextual"/>
        </w:rPr>
      </w:pPr>
      <w:r w:rsidRPr="004E7899">
        <w:rPr>
          <w:noProof/>
        </w:rPr>
        <w:t>4.</w:t>
      </w:r>
      <w:r w:rsidRPr="004E7899">
        <w:rPr>
          <w:noProof/>
        </w:rPr>
        <w:tab/>
      </w:r>
      <w:r w:rsidRPr="004E7899">
        <w:rPr>
          <w:caps/>
          <w:noProof/>
        </w:rPr>
        <w:t>Digimõõde</w:t>
      </w:r>
      <w:r w:rsidRPr="004E7899">
        <w:rPr>
          <w:noProof/>
        </w:rPr>
        <w:tab/>
      </w:r>
      <w:r w:rsidRPr="004E7899">
        <w:rPr>
          <w:noProof/>
          <w:webHidden/>
        </w:rPr>
        <w:t>29</w:t>
      </w:r>
    </w:p>
    <w:p w14:paraId="521A57FF" w14:textId="77777777" w:rsidR="00CA2B31" w:rsidRPr="004E7899" w:rsidRDefault="00CA2B31" w:rsidP="00CA2B31">
      <w:pPr>
        <w:pStyle w:val="TOC2"/>
        <w:rPr>
          <w:rFonts w:asciiTheme="minorHAnsi" w:eastAsiaTheme="minorEastAsia" w:hAnsiTheme="minorHAnsi" w:cstheme="minorBidi"/>
          <w:noProof/>
          <w:kern w:val="2"/>
          <w:sz w:val="22"/>
          <w14:ligatures w14:val="standardContextual"/>
        </w:rPr>
      </w:pPr>
      <w:r w:rsidRPr="004E7899">
        <w:rPr>
          <w:noProof/>
        </w:rPr>
        <w:t>4.1.</w:t>
      </w:r>
      <w:r w:rsidRPr="004E7899">
        <w:rPr>
          <w:noProof/>
        </w:rPr>
        <w:tab/>
        <w:t>Diginõuded</w:t>
      </w:r>
      <w:r w:rsidRPr="004E7899">
        <w:rPr>
          <w:noProof/>
        </w:rPr>
        <w:tab/>
      </w:r>
      <w:r w:rsidRPr="004E7899">
        <w:rPr>
          <w:noProof/>
          <w:webHidden/>
        </w:rPr>
        <w:t>30</w:t>
      </w:r>
    </w:p>
    <w:p w14:paraId="57AEB511" w14:textId="77777777" w:rsidR="00CA2B31" w:rsidRPr="004E7899" w:rsidRDefault="00CA2B31" w:rsidP="00CA2B31">
      <w:pPr>
        <w:pStyle w:val="TOC2"/>
        <w:rPr>
          <w:rFonts w:asciiTheme="minorHAnsi" w:eastAsiaTheme="minorEastAsia" w:hAnsiTheme="minorHAnsi" w:cstheme="minorBidi"/>
          <w:noProof/>
          <w:kern w:val="2"/>
          <w:sz w:val="22"/>
          <w14:ligatures w14:val="standardContextual"/>
        </w:rPr>
      </w:pPr>
      <w:r w:rsidRPr="004E7899">
        <w:rPr>
          <w:noProof/>
        </w:rPr>
        <w:t>4.2.</w:t>
      </w:r>
      <w:r w:rsidRPr="004E7899">
        <w:rPr>
          <w:noProof/>
        </w:rPr>
        <w:tab/>
        <w:t>Andmed</w:t>
      </w:r>
      <w:r w:rsidRPr="004E7899">
        <w:rPr>
          <w:noProof/>
        </w:rPr>
        <w:tab/>
      </w:r>
      <w:r w:rsidRPr="004E7899">
        <w:rPr>
          <w:noProof/>
          <w:webHidden/>
        </w:rPr>
        <w:t>30</w:t>
      </w:r>
    </w:p>
    <w:p w14:paraId="64652870" w14:textId="77777777" w:rsidR="00CA2B31" w:rsidRPr="004E7899" w:rsidRDefault="00CA2B31" w:rsidP="00CA2B31">
      <w:pPr>
        <w:pStyle w:val="TOC2"/>
        <w:rPr>
          <w:rFonts w:asciiTheme="minorHAnsi" w:eastAsiaTheme="minorEastAsia" w:hAnsiTheme="minorHAnsi" w:cstheme="minorBidi"/>
          <w:noProof/>
          <w:kern w:val="2"/>
          <w:sz w:val="22"/>
          <w14:ligatures w14:val="standardContextual"/>
        </w:rPr>
      </w:pPr>
      <w:r w:rsidRPr="004E7899">
        <w:rPr>
          <w:noProof/>
        </w:rPr>
        <w:t>4.3.</w:t>
      </w:r>
      <w:r w:rsidRPr="004E7899">
        <w:rPr>
          <w:noProof/>
        </w:rPr>
        <w:tab/>
        <w:t>Digilahendused</w:t>
      </w:r>
      <w:r w:rsidRPr="004E7899">
        <w:rPr>
          <w:noProof/>
        </w:rPr>
        <w:tab/>
      </w:r>
      <w:r w:rsidRPr="004E7899">
        <w:rPr>
          <w:noProof/>
          <w:webHidden/>
        </w:rPr>
        <w:t>31</w:t>
      </w:r>
    </w:p>
    <w:p w14:paraId="17CD33AC" w14:textId="77777777" w:rsidR="00CA2B31" w:rsidRPr="004E7899" w:rsidRDefault="00CA2B31" w:rsidP="00CA2B31">
      <w:pPr>
        <w:pStyle w:val="TOC2"/>
        <w:rPr>
          <w:rFonts w:asciiTheme="minorHAnsi" w:eastAsiaTheme="minorEastAsia" w:hAnsiTheme="minorHAnsi" w:cstheme="minorBidi"/>
          <w:noProof/>
          <w:kern w:val="2"/>
          <w:sz w:val="22"/>
          <w14:ligatures w14:val="standardContextual"/>
        </w:rPr>
      </w:pPr>
      <w:r w:rsidRPr="004E7899">
        <w:rPr>
          <w:noProof/>
        </w:rPr>
        <w:t>4.4.</w:t>
      </w:r>
      <w:r w:rsidRPr="004E7899">
        <w:rPr>
          <w:noProof/>
        </w:rPr>
        <w:tab/>
        <w:t>Koostalitlusvõime hindamine</w:t>
      </w:r>
      <w:r w:rsidRPr="004E7899">
        <w:rPr>
          <w:noProof/>
        </w:rPr>
        <w:tab/>
      </w:r>
      <w:r w:rsidRPr="004E7899">
        <w:rPr>
          <w:noProof/>
          <w:webHidden/>
        </w:rPr>
        <w:t>31</w:t>
      </w:r>
    </w:p>
    <w:p w14:paraId="3643FEF0" w14:textId="77777777" w:rsidR="00CA2B31" w:rsidRPr="004E7899" w:rsidRDefault="00CA2B31" w:rsidP="00CA2B31">
      <w:pPr>
        <w:pStyle w:val="TOC2"/>
        <w:rPr>
          <w:rFonts w:asciiTheme="minorHAnsi" w:eastAsiaTheme="minorEastAsia" w:hAnsiTheme="minorHAnsi" w:cstheme="minorBidi"/>
          <w:noProof/>
          <w:kern w:val="2"/>
          <w:sz w:val="22"/>
          <w14:ligatures w14:val="standardContextual"/>
        </w:rPr>
      </w:pPr>
      <w:r w:rsidRPr="004E7899">
        <w:rPr>
          <w:noProof/>
        </w:rPr>
        <w:t>4.5.</w:t>
      </w:r>
      <w:r w:rsidRPr="004E7899">
        <w:rPr>
          <w:noProof/>
        </w:rPr>
        <w:tab/>
        <w:t>Digimõõtme rakendamist toetavad meetmed</w:t>
      </w:r>
      <w:r w:rsidRPr="004E7899">
        <w:rPr>
          <w:noProof/>
        </w:rPr>
        <w:tab/>
      </w:r>
      <w:r w:rsidRPr="004E7899">
        <w:rPr>
          <w:noProof/>
          <w:webHidden/>
        </w:rPr>
        <w:t>32</w:t>
      </w:r>
    </w:p>
    <w:p w14:paraId="69981287" w14:textId="77777777" w:rsidR="00CA2B31" w:rsidRPr="004E7899" w:rsidRDefault="00CA2B31" w:rsidP="00CA2B31">
      <w:pPr>
        <w:pStyle w:val="TOC1"/>
        <w:ind w:left="0" w:firstLine="0"/>
        <w:rPr>
          <w:noProof/>
        </w:rPr>
        <w:sectPr w:rsidR="00CA2B31" w:rsidRPr="004E7899" w:rsidSect="00E76CC9">
          <w:pgSz w:w="11907" w:h="16840" w:code="9"/>
          <w:pgMar w:top="1134" w:right="1418" w:bottom="1134" w:left="1418" w:header="709" w:footer="709" w:gutter="0"/>
          <w:pgNumType w:start="1"/>
          <w:cols w:space="720"/>
          <w:docGrid w:linePitch="360"/>
        </w:sectPr>
      </w:pPr>
    </w:p>
    <w:p w14:paraId="0A0BC0FA" w14:textId="77777777" w:rsidR="00CA2B31" w:rsidRPr="004E7899" w:rsidRDefault="00CA2B31" w:rsidP="00CA2B31">
      <w:pPr>
        <w:pStyle w:val="ManualHeading1"/>
        <w:rPr>
          <w:noProof/>
        </w:rPr>
      </w:pPr>
      <w:bookmarkStart w:id="3" w:name="_Toc514938007"/>
      <w:bookmarkStart w:id="4" w:name="_Toc520485025"/>
      <w:bookmarkStart w:id="5" w:name="_Toc160804567"/>
      <w:bookmarkStart w:id="6" w:name="_Toc167220259"/>
      <w:bookmarkStart w:id="7" w:name="_Toc177548992"/>
      <w:r w:rsidRPr="004E7899">
        <w:rPr>
          <w:noProof/>
        </w:rPr>
        <w:t>1.</w:t>
      </w:r>
      <w:r w:rsidRPr="004E7899">
        <w:rPr>
          <w:noProof/>
        </w:rPr>
        <w:tab/>
        <w:t>ETTEPANEKU/ALGATUSE RAAMISTIK</w:t>
      </w:r>
      <w:bookmarkEnd w:id="3"/>
      <w:bookmarkEnd w:id="4"/>
      <w:bookmarkEnd w:id="5"/>
      <w:bookmarkEnd w:id="6"/>
      <w:bookmarkEnd w:id="7"/>
      <w:r w:rsidRPr="004E7899">
        <w:rPr>
          <w:noProof/>
        </w:rPr>
        <w:t xml:space="preserve"> </w:t>
      </w:r>
    </w:p>
    <w:p w14:paraId="7FF6FAED" w14:textId="77777777" w:rsidR="00CA2B31" w:rsidRPr="004E7899" w:rsidRDefault="00CA2B31" w:rsidP="00CA2B31">
      <w:pPr>
        <w:pStyle w:val="ManualHeading2"/>
        <w:rPr>
          <w:noProof/>
        </w:rPr>
      </w:pPr>
      <w:bookmarkStart w:id="8" w:name="_Toc514938008"/>
      <w:bookmarkStart w:id="9" w:name="_Toc520485026"/>
      <w:bookmarkStart w:id="10" w:name="_Toc160804568"/>
      <w:bookmarkStart w:id="11" w:name="_Toc167220260"/>
      <w:bookmarkStart w:id="12" w:name="_Toc177548993"/>
      <w:r w:rsidRPr="004E7899">
        <w:rPr>
          <w:noProof/>
        </w:rPr>
        <w:t>1.1.</w:t>
      </w:r>
      <w:r w:rsidRPr="004E7899">
        <w:rPr>
          <w:noProof/>
        </w:rPr>
        <w:tab/>
        <w:t>Ettepaneku/algatuse nimetus</w:t>
      </w:r>
      <w:bookmarkEnd w:id="8"/>
      <w:bookmarkEnd w:id="9"/>
      <w:bookmarkEnd w:id="10"/>
      <w:bookmarkEnd w:id="11"/>
      <w:bookmarkEnd w:id="12"/>
    </w:p>
    <w:p w14:paraId="41055A92" w14:textId="77777777" w:rsidR="00CA2B31" w:rsidRPr="004E7899" w:rsidRDefault="00CA2B31" w:rsidP="00DF6FDE">
      <w:pPr>
        <w:pStyle w:val="Text1"/>
        <w:pBdr>
          <w:top w:val="single" w:sz="4" w:space="1" w:color="auto"/>
          <w:left w:val="single" w:sz="4" w:space="4" w:color="auto"/>
          <w:bottom w:val="single" w:sz="4" w:space="1" w:color="auto"/>
          <w:right w:val="single" w:sz="4" w:space="4" w:color="auto"/>
        </w:pBdr>
        <w:rPr>
          <w:noProof/>
        </w:rPr>
      </w:pPr>
      <w:r w:rsidRPr="004E7899">
        <w:rPr>
          <w:noProof/>
        </w:rPr>
        <w:t xml:space="preserve">Ettepanek: Euroopa Parlamendi ja nõukogu direktiiv, millega muudetakse direktiive (EL) 2022/2464 ja (EL) 2024/1760 seoses teatavate äriühingute kestlikkusaruandluse ja hoolsuskohustuse nõuetega. </w:t>
      </w:r>
    </w:p>
    <w:p w14:paraId="05707247" w14:textId="77777777" w:rsidR="00CA2B31" w:rsidRPr="004E7899" w:rsidRDefault="00CA2B31" w:rsidP="00CA2B31">
      <w:pPr>
        <w:pStyle w:val="ManualHeading2"/>
        <w:rPr>
          <w:i/>
          <w:noProof/>
        </w:rPr>
      </w:pPr>
      <w:bookmarkStart w:id="13" w:name="_Toc514938011"/>
      <w:bookmarkStart w:id="14" w:name="_Toc520485027"/>
      <w:bookmarkStart w:id="15" w:name="_Toc160804569"/>
      <w:bookmarkStart w:id="16" w:name="_Toc167220261"/>
      <w:bookmarkStart w:id="17" w:name="_Toc177548994"/>
      <w:r w:rsidRPr="004E7899">
        <w:rPr>
          <w:noProof/>
        </w:rPr>
        <w:t>1.2.</w:t>
      </w:r>
      <w:r w:rsidRPr="004E7899">
        <w:rPr>
          <w:noProof/>
        </w:rPr>
        <w:tab/>
        <w:t>Asjaomased poliitikavaldkonnad</w:t>
      </w:r>
      <w:bookmarkEnd w:id="13"/>
      <w:bookmarkEnd w:id="14"/>
      <w:bookmarkEnd w:id="15"/>
      <w:bookmarkEnd w:id="16"/>
      <w:bookmarkEnd w:id="17"/>
      <w:r w:rsidRPr="004E7899">
        <w:rPr>
          <w:i/>
          <w:noProof/>
        </w:rPr>
        <w:t xml:space="preserve"> </w:t>
      </w:r>
    </w:p>
    <w:p w14:paraId="45DCBC19" w14:textId="77777777" w:rsidR="00CA2B31" w:rsidRPr="004E7899" w:rsidRDefault="00CA2B31" w:rsidP="00CA2B31">
      <w:pPr>
        <w:pStyle w:val="Text1"/>
        <w:pBdr>
          <w:top w:val="single" w:sz="4" w:space="1" w:color="auto"/>
          <w:left w:val="single" w:sz="4" w:space="4" w:color="auto"/>
          <w:bottom w:val="single" w:sz="4" w:space="1" w:color="auto"/>
          <w:right w:val="single" w:sz="4" w:space="4" w:color="auto"/>
        </w:pBdr>
        <w:rPr>
          <w:noProof/>
        </w:rPr>
      </w:pPr>
      <w:r w:rsidRPr="004E7899">
        <w:rPr>
          <w:noProof/>
        </w:rPr>
        <w:t xml:space="preserve">Kapitaliturgude liit, Euroopa hoiuste ja investeeringute liit, Euroopa roheline kokkulepe, kestliku rahanduse strateegia, äriühinguõigus ja äriühingu üldjuhtimine </w:t>
      </w:r>
    </w:p>
    <w:p w14:paraId="4028EEA9" w14:textId="77777777" w:rsidR="00CA2B31" w:rsidRPr="004E7899" w:rsidRDefault="00CA2B31" w:rsidP="00CA2B31">
      <w:pPr>
        <w:pStyle w:val="ManualHeading2"/>
        <w:rPr>
          <w:noProof/>
        </w:rPr>
      </w:pPr>
      <w:bookmarkStart w:id="18" w:name="_Toc514938015"/>
      <w:bookmarkStart w:id="19" w:name="_Toc520485029"/>
      <w:bookmarkStart w:id="20" w:name="_Toc160804571"/>
      <w:bookmarkStart w:id="21" w:name="_Toc167220263"/>
      <w:bookmarkStart w:id="22" w:name="_Toc177548995"/>
      <w:r w:rsidRPr="004E7899">
        <w:rPr>
          <w:noProof/>
        </w:rPr>
        <w:t>1.3.</w:t>
      </w:r>
      <w:r w:rsidRPr="004E7899">
        <w:rPr>
          <w:noProof/>
        </w:rPr>
        <w:tab/>
        <w:t>Eesmärgid</w:t>
      </w:r>
      <w:bookmarkEnd w:id="18"/>
      <w:bookmarkEnd w:id="19"/>
      <w:bookmarkEnd w:id="20"/>
      <w:bookmarkEnd w:id="21"/>
      <w:bookmarkEnd w:id="22"/>
    </w:p>
    <w:p w14:paraId="7D58B297" w14:textId="77777777" w:rsidR="00CA2B31" w:rsidRPr="004E7899" w:rsidRDefault="00CA2B31" w:rsidP="00CA2B31">
      <w:pPr>
        <w:pStyle w:val="ManualHeading3"/>
        <w:rPr>
          <w:noProof/>
        </w:rPr>
      </w:pPr>
      <w:bookmarkStart w:id="23" w:name="_Toc514938016"/>
      <w:bookmarkStart w:id="24" w:name="_Toc520485030"/>
      <w:bookmarkStart w:id="25" w:name="_Toc160804572"/>
      <w:bookmarkStart w:id="26" w:name="_Toc167220264"/>
      <w:bookmarkStart w:id="27" w:name="_Toc177548996"/>
      <w:r w:rsidRPr="004E7899">
        <w:rPr>
          <w:noProof/>
        </w:rPr>
        <w:t>1.3.1.</w:t>
      </w:r>
      <w:r w:rsidRPr="004E7899">
        <w:rPr>
          <w:noProof/>
        </w:rPr>
        <w:tab/>
        <w:t>Üldeesmärgid</w:t>
      </w:r>
      <w:bookmarkEnd w:id="23"/>
      <w:bookmarkEnd w:id="24"/>
      <w:bookmarkEnd w:id="25"/>
      <w:bookmarkEnd w:id="26"/>
      <w:bookmarkEnd w:id="27"/>
    </w:p>
    <w:p w14:paraId="4EC84BF5" w14:textId="77777777" w:rsidR="00CA2B31" w:rsidRPr="004E7899" w:rsidRDefault="00CA2B31" w:rsidP="00CA2B31">
      <w:pPr>
        <w:pStyle w:val="Text1"/>
        <w:pBdr>
          <w:top w:val="single" w:sz="4" w:space="1" w:color="auto"/>
          <w:left w:val="single" w:sz="4" w:space="4" w:color="auto"/>
          <w:bottom w:val="single" w:sz="4" w:space="1" w:color="auto"/>
          <w:right w:val="single" w:sz="4" w:space="4" w:color="auto"/>
        </w:pBdr>
        <w:rPr>
          <w:noProof/>
        </w:rPr>
      </w:pPr>
      <w:r w:rsidRPr="004E7899">
        <w:rPr>
          <w:noProof/>
        </w:rPr>
        <w:t>Käesoleva seadusandliku ettepaneku üldeesmärk on lihtsustada ja vähendada direktiivi 2006/43/EÜ, direktiivi 2013/34/EL, direktiivi (EL) 2022/2464 ja direktiivi (EL) 2024/1760 teatavaid nõudeid, et leevendada nõuete kohaldamisalasse kuuluvate äriühingute aruandluskoormust.</w:t>
      </w:r>
    </w:p>
    <w:p w14:paraId="7516CEA4" w14:textId="77777777" w:rsidR="00CA2B31" w:rsidRPr="004E7899" w:rsidRDefault="00CA2B31" w:rsidP="00DF6FDE">
      <w:pPr>
        <w:pStyle w:val="Text1"/>
        <w:pBdr>
          <w:top w:val="single" w:sz="4" w:space="1" w:color="auto"/>
          <w:left w:val="single" w:sz="4" w:space="4" w:color="auto"/>
          <w:bottom w:val="single" w:sz="4" w:space="1" w:color="auto"/>
          <w:right w:val="single" w:sz="4" w:space="4" w:color="auto"/>
        </w:pBdr>
        <w:rPr>
          <w:noProof/>
        </w:rPr>
      </w:pPr>
      <w:r w:rsidRPr="004E7899">
        <w:rPr>
          <w:noProof/>
        </w:rPr>
        <w:t xml:space="preserve">Vähendades aruandlusnõuetega seotud halduskoormust ja kestlikkusaruandluse nõuete täitmisega seotud kulusid, mis tulenevad eespool nimetatud õigusaktidest, on käesoleva ettepaneku eesmärk suurendada raamistiku proportsionaalsust ja Euroopa äriühingute konkurentsivõimet, säilitades samal ajal ka Euroopa rohelise kokkuleppe eesmärgid. </w:t>
      </w:r>
    </w:p>
    <w:p w14:paraId="07026537" w14:textId="77777777" w:rsidR="00CA2B31" w:rsidRPr="004E7899" w:rsidRDefault="00CA2B31" w:rsidP="00CA2B31">
      <w:pPr>
        <w:pStyle w:val="ManualHeading3"/>
        <w:rPr>
          <w:noProof/>
        </w:rPr>
      </w:pPr>
      <w:bookmarkStart w:id="28" w:name="_Toc514938018"/>
      <w:bookmarkStart w:id="29" w:name="_Toc520485031"/>
      <w:bookmarkStart w:id="30" w:name="_Toc160804573"/>
      <w:bookmarkStart w:id="31" w:name="_Toc167220265"/>
      <w:bookmarkStart w:id="32" w:name="_Toc177548997"/>
      <w:r w:rsidRPr="004E7899">
        <w:rPr>
          <w:noProof/>
        </w:rPr>
        <w:t>1.3.2.</w:t>
      </w:r>
      <w:r w:rsidRPr="004E7899">
        <w:rPr>
          <w:noProof/>
        </w:rPr>
        <w:tab/>
        <w:t>Erieesmärgid</w:t>
      </w:r>
      <w:bookmarkEnd w:id="28"/>
      <w:bookmarkEnd w:id="29"/>
      <w:bookmarkEnd w:id="30"/>
      <w:bookmarkEnd w:id="31"/>
      <w:bookmarkEnd w:id="32"/>
    </w:p>
    <w:p w14:paraId="01F1975F" w14:textId="77777777" w:rsidR="00CA2B31" w:rsidRPr="004E7899" w:rsidRDefault="00CA2B31" w:rsidP="00A147FF">
      <w:pPr>
        <w:pStyle w:val="Text1"/>
        <w:pBdr>
          <w:top w:val="single" w:sz="4" w:space="1" w:color="auto"/>
          <w:left w:val="single" w:sz="4" w:space="4" w:color="auto"/>
          <w:bottom w:val="single" w:sz="4" w:space="1" w:color="auto"/>
          <w:right w:val="single" w:sz="4" w:space="4" w:color="auto"/>
        </w:pBdr>
        <w:rPr>
          <w:noProof/>
        </w:rPr>
      </w:pPr>
      <w:r w:rsidRPr="004E7899">
        <w:rPr>
          <w:noProof/>
        </w:rPr>
        <w:t xml:space="preserve">Käesolevas ettepanekus esitatud direktiivi (EL) 2022/2464 kavandatud muudatuste erieesmärk on saavutada järgmised tulemused: </w:t>
      </w:r>
    </w:p>
    <w:p w14:paraId="2C48C751" w14:textId="77777777" w:rsidR="00CA2B31" w:rsidRPr="004E7899" w:rsidRDefault="00CA2B31" w:rsidP="00373936">
      <w:pPr>
        <w:pStyle w:val="Tiret1"/>
        <w:numPr>
          <w:ilvl w:val="0"/>
          <w:numId w:val="23"/>
        </w:numPr>
        <w:rPr>
          <w:noProof/>
        </w:rPr>
      </w:pPr>
      <w:r w:rsidRPr="004E7899">
        <w:rPr>
          <w:noProof/>
        </w:rPr>
        <w:t xml:space="preserve">lükata kestlikkusaruandluse nõuete kohaldamine teise ja kolmanda etapi äriühingute suhtes kahe aasta võrra edasi. </w:t>
      </w:r>
    </w:p>
    <w:p w14:paraId="7F1343EB" w14:textId="77777777" w:rsidR="00CA2B31" w:rsidRPr="004E7899" w:rsidRDefault="00CA2B31" w:rsidP="00CA2B31">
      <w:pPr>
        <w:pStyle w:val="Text1"/>
        <w:pBdr>
          <w:top w:val="single" w:sz="4" w:space="1" w:color="auto"/>
          <w:left w:val="single" w:sz="4" w:space="4" w:color="auto"/>
          <w:bottom w:val="single" w:sz="4" w:space="1" w:color="auto"/>
          <w:right w:val="single" w:sz="4" w:space="4" w:color="auto"/>
        </w:pBdr>
        <w:rPr>
          <w:noProof/>
        </w:rPr>
      </w:pPr>
      <w:r w:rsidRPr="004E7899">
        <w:rPr>
          <w:noProof/>
        </w:rPr>
        <w:t xml:space="preserve">Käesolevas ettepanekus esitatud direktiivi (EL) 2024/1760 kavandatud muudatuste erieesmärk on saavutada järgmised tulemused: </w:t>
      </w:r>
    </w:p>
    <w:p w14:paraId="212188E2" w14:textId="77777777" w:rsidR="003F2BB2" w:rsidRPr="004E7899" w:rsidRDefault="004D5429" w:rsidP="00DD2BEC">
      <w:pPr>
        <w:pStyle w:val="Tiret1"/>
        <w:rPr>
          <w:noProof/>
        </w:rPr>
      </w:pPr>
      <w:r w:rsidRPr="004E7899">
        <w:rPr>
          <w:noProof/>
        </w:rPr>
        <w:t>lükata kestlikkusalase hoolsuskohustuse nõuete ülevõtmise tähtaeg ja nende kohaldamine esimese etapi äriühingute suhtes ühe aasta võrra edasi.</w:t>
      </w:r>
    </w:p>
    <w:p w14:paraId="1E8CF8FB" w14:textId="77777777" w:rsidR="00CA2B31" w:rsidRPr="004E7899" w:rsidRDefault="00CA2B31" w:rsidP="00CA2B31">
      <w:pPr>
        <w:pStyle w:val="ManualHeading3"/>
        <w:rPr>
          <w:noProof/>
        </w:rPr>
      </w:pPr>
      <w:bookmarkStart w:id="33" w:name="_Toc514938019"/>
      <w:bookmarkStart w:id="34" w:name="_Toc520485032"/>
      <w:bookmarkStart w:id="35" w:name="_Toc160804574"/>
      <w:bookmarkStart w:id="36" w:name="_Toc167220266"/>
      <w:bookmarkStart w:id="37" w:name="_Toc177548998"/>
      <w:r w:rsidRPr="004E7899">
        <w:rPr>
          <w:noProof/>
        </w:rPr>
        <w:t>1.3.3.</w:t>
      </w:r>
      <w:r w:rsidRPr="004E7899">
        <w:rPr>
          <w:noProof/>
        </w:rPr>
        <w:tab/>
        <w:t>Oodatavad tulemused ja mõju</w:t>
      </w:r>
      <w:bookmarkEnd w:id="33"/>
      <w:bookmarkEnd w:id="34"/>
      <w:bookmarkEnd w:id="35"/>
      <w:bookmarkEnd w:id="36"/>
      <w:bookmarkEnd w:id="37"/>
    </w:p>
    <w:p w14:paraId="21387579" w14:textId="77777777" w:rsidR="00CA2B31" w:rsidRPr="004E7899" w:rsidRDefault="00CA2B31" w:rsidP="00CA2B31">
      <w:pPr>
        <w:pStyle w:val="Text1"/>
        <w:rPr>
          <w:noProof/>
        </w:rPr>
      </w:pPr>
      <w:r w:rsidRPr="004E7899">
        <w:rPr>
          <w:i/>
          <w:noProof/>
          <w:sz w:val="20"/>
        </w:rPr>
        <w:t>Märkige, milline peaks olema ettepaneku/algatuse oodatav mõju toetusesaajatele/sihtrühmale.</w:t>
      </w:r>
    </w:p>
    <w:p w14:paraId="0DFF76F4" w14:textId="77777777" w:rsidR="00CA2B31" w:rsidRPr="004E7899" w:rsidRDefault="00CA2B31" w:rsidP="00CA2B31">
      <w:pPr>
        <w:pStyle w:val="Text1"/>
        <w:pBdr>
          <w:top w:val="single" w:sz="4" w:space="1" w:color="auto"/>
          <w:left w:val="single" w:sz="4" w:space="4" w:color="auto"/>
          <w:bottom w:val="single" w:sz="4" w:space="1" w:color="auto"/>
          <w:right w:val="single" w:sz="4" w:space="4" w:color="auto"/>
        </w:pBdr>
        <w:rPr>
          <w:noProof/>
        </w:rPr>
      </w:pPr>
      <w:r w:rsidRPr="004E7899">
        <w:rPr>
          <w:noProof/>
        </w:rPr>
        <w:t xml:space="preserve">Kavandatud muudatuste oodatavad tulemused ja mõju on kestlikkusaruandluse nõuete lihtsustamine ja selle tulemusena äriühingute halduskoormuse vähendamine, säilitades samal ajal Euroopa rohelise kokkuleppe ja kestliku rahanduse tegevuskava eesmärgid. Kavandatud muudatused peaksid ka kaasa tooma asjaomaste äriühingute kulude märkimisväärse kokkuhoiu kestlikkusaruande esitamisel. </w:t>
      </w:r>
    </w:p>
    <w:p w14:paraId="1C8339DF" w14:textId="77777777" w:rsidR="00CA2B31" w:rsidRPr="004E7899" w:rsidRDefault="00DD4334" w:rsidP="00CA2B31">
      <w:pPr>
        <w:pStyle w:val="Text1"/>
        <w:pBdr>
          <w:top w:val="single" w:sz="4" w:space="1" w:color="auto"/>
          <w:left w:val="single" w:sz="4" w:space="4" w:color="auto"/>
          <w:bottom w:val="single" w:sz="4" w:space="1" w:color="auto"/>
          <w:right w:val="single" w:sz="4" w:space="4" w:color="auto"/>
        </w:pBdr>
        <w:rPr>
          <w:noProof/>
        </w:rPr>
      </w:pPr>
      <w:r w:rsidRPr="004E7899">
        <w:rPr>
          <w:noProof/>
        </w:rPr>
        <w:t>Käesolevas ettepanekus esitatud direktiivi (EL) 2024/1760 muudatused peaksid leevendama äriühingute nõuete täitmisega seotud koormust, kuna neil on rohkem aega, et valmistuda nõuete täitmiseks ning kohandada oma poliitikat, protsesse ja menetlusi, võttes arvesse ka komisjoni välja antavaid suuniseid, mis võimaldavad neil tugineda parimatele tavadele ning vähendada õigusnõustamise ja nõustamisteenuste kasutamist.</w:t>
      </w:r>
    </w:p>
    <w:p w14:paraId="714FE192" w14:textId="77777777" w:rsidR="00CA2B31" w:rsidRPr="004E7899" w:rsidRDefault="00CA2B31" w:rsidP="00CA2B31">
      <w:pPr>
        <w:pStyle w:val="ManualHeading3"/>
        <w:rPr>
          <w:noProof/>
        </w:rPr>
      </w:pPr>
      <w:bookmarkStart w:id="38" w:name="_Toc514938023"/>
      <w:bookmarkStart w:id="39" w:name="_Toc520485033"/>
      <w:bookmarkStart w:id="40" w:name="_Toc160804575"/>
      <w:bookmarkStart w:id="41" w:name="_Toc167220267"/>
      <w:bookmarkStart w:id="42" w:name="_Toc177548999"/>
      <w:r w:rsidRPr="004E7899">
        <w:rPr>
          <w:noProof/>
        </w:rPr>
        <w:t>1.3.4.</w:t>
      </w:r>
      <w:r w:rsidRPr="004E7899">
        <w:rPr>
          <w:noProof/>
        </w:rPr>
        <w:tab/>
        <w:t>Tulemusnäitajad</w:t>
      </w:r>
      <w:bookmarkEnd w:id="38"/>
      <w:bookmarkEnd w:id="39"/>
      <w:bookmarkEnd w:id="40"/>
      <w:bookmarkEnd w:id="41"/>
      <w:bookmarkEnd w:id="42"/>
    </w:p>
    <w:p w14:paraId="208D9BC5" w14:textId="77777777" w:rsidR="00CA2B31" w:rsidRPr="004E7899" w:rsidRDefault="00CA2B31" w:rsidP="00CA2B31">
      <w:pPr>
        <w:pStyle w:val="Text1"/>
        <w:rPr>
          <w:i/>
          <w:noProof/>
          <w:sz w:val="20"/>
        </w:rPr>
      </w:pPr>
      <w:r w:rsidRPr="004E7899">
        <w:rPr>
          <w:i/>
          <w:noProof/>
          <w:sz w:val="20"/>
        </w:rPr>
        <w:t>Märkige, milliste näitajate abil jälgitakse edusamme ja saavutusi.</w:t>
      </w:r>
    </w:p>
    <w:p w14:paraId="739DA69C" w14:textId="2A130619" w:rsidR="00CA2B31" w:rsidRPr="004E7899" w:rsidRDefault="00CA2B31" w:rsidP="00CA2B31">
      <w:pPr>
        <w:pStyle w:val="Text1"/>
        <w:pBdr>
          <w:top w:val="single" w:sz="4" w:space="1" w:color="auto"/>
          <w:left w:val="single" w:sz="4" w:space="4" w:color="auto"/>
          <w:bottom w:val="single" w:sz="4" w:space="1" w:color="auto"/>
          <w:right w:val="single" w:sz="4" w:space="4" w:color="auto"/>
        </w:pBdr>
        <w:rPr>
          <w:noProof/>
        </w:rPr>
      </w:pPr>
      <w:r w:rsidRPr="004E7899">
        <w:rPr>
          <w:noProof/>
        </w:rPr>
        <w:t>CSRDd on kohaldanud esimene rühm äriühinguid, kes avaldavad oma esimesed kestlikkusaruanded peamiselt 2025. aasta esimesel poolel. Seetõttu ei olnud kummagi õigusakti järelhindamist ega toimivuskontrolli võimalik läbi viia.</w:t>
      </w:r>
    </w:p>
    <w:p w14:paraId="020DAAE8" w14:textId="77777777" w:rsidR="00CA2B31" w:rsidRPr="004E7899" w:rsidRDefault="00CA2B31" w:rsidP="00CA2B31">
      <w:pPr>
        <w:pStyle w:val="Text1"/>
        <w:pBdr>
          <w:top w:val="single" w:sz="4" w:space="1" w:color="auto"/>
          <w:left w:val="single" w:sz="4" w:space="4" w:color="auto"/>
          <w:bottom w:val="single" w:sz="4" w:space="1" w:color="auto"/>
          <w:right w:val="single" w:sz="4" w:space="4" w:color="auto"/>
        </w:pBdr>
        <w:rPr>
          <w:noProof/>
        </w:rPr>
      </w:pPr>
      <w:r w:rsidRPr="004E7899">
        <w:rPr>
          <w:noProof/>
        </w:rPr>
        <w:t xml:space="preserve">Komisjon uurib võimalust korraldada ettepaneku erieesmärkide saavutamisel tehtud edusammude jälgimiseks mitmesugust teabevahetust sidusrühmadega ning korrapäraseid uuringuid kestlikkusteabe kasutajate ja sellist teavet esitavate ettevõtjate kohta, sõltuvalt rahaliste vahendite olemasolust. CSRD artikli 6 kohaselt peab komisjon esitama 2029. aasta aprilliks aruande direktiivi rakendamise kohta. </w:t>
      </w:r>
    </w:p>
    <w:p w14:paraId="6162400D" w14:textId="77777777" w:rsidR="00CA2B31" w:rsidRPr="004E7899" w:rsidRDefault="00CA2B31" w:rsidP="00CA2B31">
      <w:pPr>
        <w:pStyle w:val="Text1"/>
        <w:pBdr>
          <w:top w:val="single" w:sz="4" w:space="1" w:color="auto"/>
          <w:left w:val="single" w:sz="4" w:space="4" w:color="auto"/>
          <w:bottom w:val="single" w:sz="4" w:space="1" w:color="auto"/>
          <w:right w:val="single" w:sz="4" w:space="4" w:color="auto"/>
        </w:pBdr>
        <w:rPr>
          <w:noProof/>
        </w:rPr>
      </w:pPr>
      <w:r w:rsidRPr="004E7899">
        <w:rPr>
          <w:noProof/>
        </w:rPr>
        <w:t>Käesolevas ettepanekus võtab komisjon ka kohustuse esimesed ESRSid läbi vaadata. Vastavalt direktiivile 2013/34/EL peab komisjon kestlikkusaruandluse standardid, sealhulgas väikeste ja keskmise suurusega ettevõtjate kestlikkusaruandluse standardid, iga kolme aasta järel läbi vaatama, et võtta arvesse asjakohast arengut, sealhulgas rahvusvaheliste standardite arengut.</w:t>
      </w:r>
    </w:p>
    <w:p w14:paraId="11400E4A" w14:textId="77777777" w:rsidR="00CA2B31" w:rsidRPr="004E7899" w:rsidRDefault="00CA2B31" w:rsidP="00381DB2">
      <w:pPr>
        <w:pStyle w:val="Text1"/>
        <w:pBdr>
          <w:top w:val="single" w:sz="4" w:space="1" w:color="auto"/>
          <w:left w:val="single" w:sz="4" w:space="4" w:color="auto"/>
          <w:bottom w:val="single" w:sz="4" w:space="1" w:color="auto"/>
          <w:right w:val="single" w:sz="4" w:space="4" w:color="auto"/>
        </w:pBdr>
        <w:rPr>
          <w:noProof/>
        </w:rPr>
      </w:pPr>
      <w:r w:rsidRPr="004E7899">
        <w:rPr>
          <w:noProof/>
        </w:rPr>
        <w:t xml:space="preserve">Vastavalt muudetud CSDDD artiklile 36 hinnatakse korrapäraselt ka selle direktiivi rakendamist ja tulemuslikkust oma eesmärkide saavutamisel, eelkõige kahjuliku mõjuga tegelemisel. </w:t>
      </w:r>
    </w:p>
    <w:p w14:paraId="6170F603" w14:textId="77777777" w:rsidR="00CA2B31" w:rsidRPr="004E7899" w:rsidRDefault="00CA2B31" w:rsidP="00CA2B31">
      <w:pPr>
        <w:pStyle w:val="Text1"/>
        <w:pBdr>
          <w:top w:val="single" w:sz="4" w:space="1" w:color="auto"/>
          <w:left w:val="single" w:sz="4" w:space="4" w:color="auto"/>
          <w:bottom w:val="single" w:sz="4" w:space="1" w:color="auto"/>
          <w:right w:val="single" w:sz="4" w:space="4" w:color="auto"/>
        </w:pBdr>
        <w:rPr>
          <w:noProof/>
        </w:rPr>
      </w:pPr>
      <w:r w:rsidRPr="004E7899">
        <w:rPr>
          <w:noProof/>
        </w:rPr>
        <w:t>Nende ettepanekute edenemise jälgimiseks kasutatakse mitut näitajat, näiteks kavandatud meetmete tulemuslikkust ja õigeaegsust, kestlikkusaruandluse nõuetega kooskõlas toimuva andmete kogumise ja töötlemise protsesside tõhusust ning eesmärki piirata halduskoormust ja vältida tarbetuid või dubleerivaid aruandlusnõudeid.</w:t>
      </w:r>
    </w:p>
    <w:p w14:paraId="459AB5B8" w14:textId="77777777" w:rsidR="00CA2B31" w:rsidRPr="004E7899" w:rsidRDefault="00CA2B31" w:rsidP="00CA2B31">
      <w:pPr>
        <w:pStyle w:val="ManualHeading2"/>
        <w:rPr>
          <w:noProof/>
        </w:rPr>
      </w:pPr>
      <w:bookmarkStart w:id="43" w:name="_Toc177549000"/>
      <w:r w:rsidRPr="004E7899">
        <w:rPr>
          <w:noProof/>
        </w:rPr>
        <w:t>1.4.</w:t>
      </w:r>
      <w:r w:rsidRPr="004E7899">
        <w:rPr>
          <w:noProof/>
        </w:rPr>
        <w:tab/>
        <w:t>Ettepanek/algatus käsitleb</w:t>
      </w:r>
      <w:bookmarkEnd w:id="43"/>
      <w:r w:rsidRPr="004E7899">
        <w:rPr>
          <w:noProof/>
        </w:rPr>
        <w:t xml:space="preserve"> </w:t>
      </w:r>
    </w:p>
    <w:p w14:paraId="5B3A2B82" w14:textId="77777777" w:rsidR="00CA2B31" w:rsidRPr="004E7899" w:rsidRDefault="00CA2B31" w:rsidP="00CA2B31">
      <w:pPr>
        <w:pStyle w:val="Text1"/>
        <w:rPr>
          <w:noProof/>
          <w:sz w:val="22"/>
        </w:rPr>
      </w:pPr>
      <w:r w:rsidRPr="004E7899">
        <w:rPr>
          <w:rFonts w:ascii="Wingdings" w:hAnsi="Wingdings"/>
          <w:noProof/>
          <w:sz w:val="22"/>
        </w:rPr>
        <w:t></w:t>
      </w:r>
      <w:r w:rsidRPr="004E7899">
        <w:rPr>
          <w:i/>
          <w:noProof/>
          <w:sz w:val="22"/>
        </w:rPr>
        <w:t xml:space="preserve"> </w:t>
      </w:r>
      <w:r w:rsidRPr="004E7899">
        <w:rPr>
          <w:noProof/>
        </w:rPr>
        <w:t>uut meedet</w:t>
      </w:r>
      <w:r w:rsidRPr="004E7899">
        <w:rPr>
          <w:noProof/>
          <w:sz w:val="22"/>
        </w:rPr>
        <w:t xml:space="preserve"> </w:t>
      </w:r>
    </w:p>
    <w:p w14:paraId="61A407FF" w14:textId="77777777" w:rsidR="00CA2B31" w:rsidRPr="004E7899" w:rsidRDefault="00CA2B31" w:rsidP="00CA2B31">
      <w:pPr>
        <w:pStyle w:val="Text1"/>
        <w:rPr>
          <w:noProof/>
          <w:sz w:val="22"/>
        </w:rPr>
      </w:pPr>
      <w:r w:rsidRPr="004E7899">
        <w:rPr>
          <w:rFonts w:ascii="Wingdings" w:hAnsi="Wingdings"/>
          <w:noProof/>
          <w:sz w:val="22"/>
        </w:rPr>
        <w:t></w:t>
      </w:r>
      <w:r w:rsidRPr="004E7899">
        <w:rPr>
          <w:i/>
          <w:noProof/>
          <w:sz w:val="22"/>
        </w:rPr>
        <w:t xml:space="preserve"> </w:t>
      </w:r>
      <w:r w:rsidRPr="004E7899">
        <w:rPr>
          <w:noProof/>
        </w:rPr>
        <w:t>uut meedet, mis tuleneb katseprojektist / ettevalmistavast meetmest</w:t>
      </w:r>
      <w:r w:rsidRPr="004E7899">
        <w:rPr>
          <w:rStyle w:val="FootnoteReference"/>
          <w:noProof/>
        </w:rPr>
        <w:footnoteReference w:id="27"/>
      </w:r>
      <w:r w:rsidRPr="004E7899">
        <w:rPr>
          <w:noProof/>
          <w:sz w:val="22"/>
        </w:rPr>
        <w:t xml:space="preserve"> </w:t>
      </w:r>
    </w:p>
    <w:p w14:paraId="6CD39F72" w14:textId="77777777" w:rsidR="00CA2B31" w:rsidRPr="004E7899" w:rsidRDefault="00CA2B31" w:rsidP="00CA2B31">
      <w:pPr>
        <w:pStyle w:val="Text1"/>
        <w:rPr>
          <w:noProof/>
          <w:sz w:val="22"/>
        </w:rPr>
      </w:pPr>
      <w:r w:rsidRPr="004E7899">
        <w:rPr>
          <w:rFonts w:ascii="Wingdings" w:hAnsi="Wingdings"/>
          <w:noProof/>
          <w:sz w:val="22"/>
        </w:rPr>
        <w:t></w:t>
      </w:r>
      <w:r w:rsidRPr="004E7899">
        <w:rPr>
          <w:i/>
          <w:noProof/>
          <w:sz w:val="22"/>
        </w:rPr>
        <w:t xml:space="preserve"> </w:t>
      </w:r>
      <w:r w:rsidRPr="004E7899">
        <w:rPr>
          <w:noProof/>
        </w:rPr>
        <w:t>olemasoleva meetme pikendamist</w:t>
      </w:r>
      <w:r w:rsidRPr="004E7899">
        <w:rPr>
          <w:noProof/>
          <w:sz w:val="22"/>
        </w:rPr>
        <w:t xml:space="preserve"> </w:t>
      </w:r>
    </w:p>
    <w:p w14:paraId="0D98C224" w14:textId="77777777" w:rsidR="00CA2B31" w:rsidRPr="004E7899" w:rsidRDefault="00161789" w:rsidP="00CA2B31">
      <w:pPr>
        <w:pStyle w:val="Text1"/>
        <w:rPr>
          <w:noProof/>
        </w:rPr>
      </w:pPr>
      <w:r w:rsidRPr="004E7899">
        <w:rPr>
          <w:rFonts w:ascii="Wingdings" w:hAnsi="Wingdings"/>
          <w:noProof/>
          <w:sz w:val="22"/>
        </w:rPr>
        <w:t></w:t>
      </w:r>
      <w:r w:rsidRPr="004E7899">
        <w:rPr>
          <w:i/>
          <w:noProof/>
          <w:sz w:val="22"/>
        </w:rPr>
        <w:t xml:space="preserve"> </w:t>
      </w:r>
      <w:r w:rsidRPr="004E7899">
        <w:rPr>
          <w:noProof/>
        </w:rPr>
        <w:t>ühe või mitme meetme ümbersuunamist teise või uude meetmesse või ühendamist teise või uue meetmega</w:t>
      </w:r>
    </w:p>
    <w:p w14:paraId="385C9DF2" w14:textId="77777777" w:rsidR="00CA2B31" w:rsidRPr="004E7899" w:rsidRDefault="00CA2B31" w:rsidP="00CA2B31">
      <w:pPr>
        <w:pStyle w:val="ManualHeading2"/>
        <w:rPr>
          <w:bCs/>
          <w:noProof/>
          <w:szCs w:val="24"/>
        </w:rPr>
      </w:pPr>
      <w:bookmarkStart w:id="44" w:name="_Toc514938025"/>
      <w:bookmarkStart w:id="45" w:name="_Toc520485034"/>
      <w:bookmarkStart w:id="46" w:name="_Toc160804576"/>
      <w:bookmarkStart w:id="47" w:name="_Toc167220268"/>
      <w:bookmarkStart w:id="48" w:name="_Toc177549001"/>
      <w:r w:rsidRPr="004E7899">
        <w:rPr>
          <w:noProof/>
        </w:rPr>
        <w:t>1.5.</w:t>
      </w:r>
      <w:r w:rsidRPr="004E7899">
        <w:rPr>
          <w:noProof/>
        </w:rPr>
        <w:tab/>
        <w:t>Ettepaneku/algatuse põhjendused</w:t>
      </w:r>
      <w:bookmarkEnd w:id="44"/>
      <w:bookmarkEnd w:id="45"/>
      <w:bookmarkEnd w:id="46"/>
      <w:bookmarkEnd w:id="47"/>
      <w:bookmarkEnd w:id="48"/>
      <w:r w:rsidRPr="004E7899">
        <w:rPr>
          <w:noProof/>
        </w:rPr>
        <w:t xml:space="preserve"> </w:t>
      </w:r>
    </w:p>
    <w:p w14:paraId="54240F99" w14:textId="77777777" w:rsidR="00CA2B31" w:rsidRPr="004E7899" w:rsidRDefault="00CA2B31" w:rsidP="00CA2B31">
      <w:pPr>
        <w:pStyle w:val="ManualHeading3"/>
        <w:rPr>
          <w:noProof/>
        </w:rPr>
      </w:pPr>
      <w:bookmarkStart w:id="49" w:name="_Toc514938026"/>
      <w:bookmarkStart w:id="50" w:name="_Toc520485035"/>
      <w:bookmarkStart w:id="51" w:name="_Toc160804577"/>
      <w:bookmarkStart w:id="52" w:name="_Toc167220269"/>
      <w:bookmarkStart w:id="53" w:name="_Toc177549002"/>
      <w:r w:rsidRPr="004E7899">
        <w:rPr>
          <w:noProof/>
        </w:rPr>
        <w:t>1.5.1.</w:t>
      </w:r>
      <w:r w:rsidRPr="004E7899">
        <w:rPr>
          <w:noProof/>
        </w:rPr>
        <w:tab/>
        <w:t>Lühi- või pikaajalises perspektiivis täidetavad vajadused, sealhulgas algatuse rakendamise üksikasjalik ajakava</w:t>
      </w:r>
      <w:bookmarkEnd w:id="49"/>
      <w:bookmarkEnd w:id="50"/>
      <w:bookmarkEnd w:id="51"/>
      <w:bookmarkEnd w:id="52"/>
      <w:bookmarkEnd w:id="53"/>
    </w:p>
    <w:p w14:paraId="067753C0" w14:textId="77777777" w:rsidR="00CA2B31" w:rsidRPr="004E7899" w:rsidRDefault="00CA2B31" w:rsidP="00CA2B31">
      <w:pPr>
        <w:pStyle w:val="Text1"/>
        <w:pBdr>
          <w:top w:val="single" w:sz="4" w:space="1" w:color="auto"/>
          <w:left w:val="single" w:sz="4" w:space="4" w:color="auto"/>
          <w:bottom w:val="single" w:sz="4" w:space="1" w:color="auto"/>
          <w:right w:val="single" w:sz="4" w:space="4" w:color="auto"/>
        </w:pBdr>
        <w:rPr>
          <w:noProof/>
        </w:rPr>
      </w:pPr>
      <w:r w:rsidRPr="004E7899">
        <w:rPr>
          <w:noProof/>
        </w:rPr>
        <w:t>Käesoleva ettepanekuga teeb komisjon ettepaneku võtta vastu direktiiv, millega muudetakse direktiive (EL) 2022/2464 ja (EL) 2024/1760. Kui kaasseadusandjad on jõudnud ettepaneku sisu suhtes kokkuleppele, on liikmesriikidel konkreetne tähtaeg, et võtta oma riigisisesesse õigusesse üle käesoleva direktiiviga tehtud muudatused, millega lükatakse edasi kuupäev, millest alates peavad teatavad äriühingute rühmad kõnealuseid direktiive kohaldama. Käesoleva ettepaneku kohaselt on ülevõtmise tähtaeg 31. detsember 2025. Samuti on käesoleva ettepaneku eesmärk lükata direktiivi (EL) 2024/1760 ülevõtmise tähtaega ühe aasta võrra edasi. Selle tulemusena peaksid liikmesriigid võtma CSDDD üle hiljemalt 26. juuliks 2027.</w:t>
      </w:r>
    </w:p>
    <w:p w14:paraId="2AD4A732" w14:textId="77777777" w:rsidR="00A71B9A" w:rsidRPr="004E7899" w:rsidRDefault="00CA2B31" w:rsidP="00A71B9A">
      <w:pPr>
        <w:pStyle w:val="Text1"/>
        <w:pBdr>
          <w:top w:val="single" w:sz="4" w:space="1" w:color="auto"/>
          <w:left w:val="single" w:sz="4" w:space="4" w:color="auto"/>
          <w:bottom w:val="single" w:sz="4" w:space="1" w:color="auto"/>
          <w:right w:val="single" w:sz="4" w:space="4" w:color="auto"/>
        </w:pBdr>
        <w:rPr>
          <w:noProof/>
        </w:rPr>
      </w:pPr>
      <w:r w:rsidRPr="004E7899">
        <w:rPr>
          <w:noProof/>
        </w:rPr>
        <w:t xml:space="preserve">Eraldi seadusandlikus ettepanekus teeb komisjon ettepaneku muuta direktiivide 2006/43/EÜ, 2013/34/EL, (EL) 2022/2464 ja (EL) 2024/1760 mitut sätet. Komisjon teeb ka ettepaneku vaadata läbi komisjoni delegeeritud määrus (EL) 2023/2772 (Euroopa kestlikkusaruandluse standardid). Komisjon võtab ESRSe käsitleva läbivaadatud delegeeritud õigusakti vastu õigeaegselt, et läbivaadatud standardeid saaksid kohaldada need teise etapi ettevõtjad, kellelt nõutakse 2028. aastal CSRD kohast aruandlust 2027. majandusaasta kohta. </w:t>
      </w:r>
    </w:p>
    <w:p w14:paraId="3B1EF6B7" w14:textId="77777777" w:rsidR="00CA2B31" w:rsidRPr="004E7899" w:rsidRDefault="00CA2B31" w:rsidP="00CA2B31">
      <w:pPr>
        <w:pStyle w:val="Text1"/>
        <w:pBdr>
          <w:top w:val="single" w:sz="4" w:space="1" w:color="auto"/>
          <w:left w:val="single" w:sz="4" w:space="4" w:color="auto"/>
          <w:bottom w:val="single" w:sz="4" w:space="1" w:color="auto"/>
          <w:right w:val="single" w:sz="4" w:space="4" w:color="auto"/>
        </w:pBdr>
        <w:rPr>
          <w:noProof/>
        </w:rPr>
      </w:pPr>
      <w:r w:rsidRPr="004E7899">
        <w:rPr>
          <w:noProof/>
        </w:rPr>
        <w:t>Komisjon uurib võimalust korraldada ettepaneku erieesmärkide saavutamisel tehtud edusammude jälgimiseks mitmesugust teabevahetust sidusrühmadega ning korrapäraseid uuringuid kestlikkusteabe kasutajate ja sellist teavet esitavate ettevõtjate kohta, sõltuvalt rahaliste vahendite kättesaadavusest. CSRD artikli 6 kohaselt peab komisjon esitama 2029. aasta aprilliks aruande direktiivi rakendamise kohta. Vastavalt muudetud CSDDD artiklile 36 hinnatakse korrapäraselt ka selle direktiivi rakendamist ja tulemuslikkust oma eesmärkide saavutamisel, eelkõige kahjuliku mõjuga tegelemisel. Ettepanek ei vaja rakenduskava.</w:t>
      </w:r>
    </w:p>
    <w:p w14:paraId="2DEBA43F" w14:textId="77777777" w:rsidR="00CA2B31" w:rsidRPr="004E7899" w:rsidRDefault="00CA2B31" w:rsidP="00CA2B31">
      <w:pPr>
        <w:pStyle w:val="ManualHeading3"/>
        <w:rPr>
          <w:bCs/>
          <w:noProof/>
          <w:szCs w:val="24"/>
        </w:rPr>
      </w:pPr>
      <w:bookmarkStart w:id="54" w:name="_Toc514938029"/>
      <w:bookmarkStart w:id="55" w:name="_Toc520485036"/>
      <w:bookmarkStart w:id="56" w:name="_Toc160804578"/>
      <w:bookmarkStart w:id="57" w:name="_Toc167220270"/>
      <w:bookmarkStart w:id="58" w:name="_Toc177549003"/>
      <w:r w:rsidRPr="004E7899">
        <w:rPr>
          <w:noProof/>
        </w:rPr>
        <w:t>1.5.2.</w:t>
      </w:r>
      <w:r w:rsidRPr="004E7899">
        <w:rPr>
          <w:noProof/>
        </w:rPr>
        <w:tab/>
        <w:t>ELi meetme lisaväärtus (see võib tuleneda eri teguritest, nagu kooskõlastamisest saadav kasu, õiguskindlus, suurem tõhusus või vastastikune täiendavus). Käesoleva punkti kohaldamisel tähendab „ELi meetme lisaväärtus“ väärtust, mis tuleneb liidu sekkumisest ja lisandub väärtusele, mille liikmesriigid oleksid muidu üksi loonud.</w:t>
      </w:r>
      <w:bookmarkEnd w:id="54"/>
      <w:bookmarkEnd w:id="55"/>
      <w:bookmarkEnd w:id="56"/>
      <w:bookmarkEnd w:id="57"/>
      <w:bookmarkEnd w:id="58"/>
    </w:p>
    <w:p w14:paraId="4408CF97" w14:textId="28339C88" w:rsidR="00CA2B31" w:rsidRPr="004E7899" w:rsidRDefault="00CA2B31" w:rsidP="00CA2B31">
      <w:pPr>
        <w:pStyle w:val="Text1"/>
        <w:pBdr>
          <w:top w:val="single" w:sz="4" w:space="1" w:color="auto"/>
          <w:left w:val="single" w:sz="4" w:space="4" w:color="auto"/>
          <w:bottom w:val="single" w:sz="4" w:space="1" w:color="auto"/>
          <w:right w:val="single" w:sz="4" w:space="4" w:color="auto"/>
        </w:pBdr>
        <w:rPr>
          <w:noProof/>
        </w:rPr>
      </w:pPr>
      <w:r w:rsidRPr="004E7899">
        <w:rPr>
          <w:noProof/>
        </w:rPr>
        <w:t>Kestlikkusteabe avalikustamist ELis reguleeritakse juba raamatupidamisdirektiiviga, mida on CSRDga muudetud. Kestlikkusaruandluse ja sellega seoses kindluse andmise ühtsed eeskirjad tagavad eri liikmesriikides asutatud äriühingutele võrdsed võimalused. Märkimisväärsed erinevused kestlikkusaruandluse ja kindluse andmise nõuetes liikmesriikide vahel tekitaksid piiriüleselt tegutsevatele ettevõtjatele lisakulusid ja põhjustaksid keerukust, mis kahjustaks ühtset turgu. Liikmesriigid üksi ei saa kehtivaid ELi õigusakte muuta, et äriühingute koormust vähendada.</w:t>
      </w:r>
    </w:p>
    <w:p w14:paraId="2110B15E" w14:textId="77777777" w:rsidR="00B52CFF" w:rsidRPr="004E7899" w:rsidRDefault="00B52CFF" w:rsidP="00065E58">
      <w:pPr>
        <w:pStyle w:val="Text1"/>
        <w:pBdr>
          <w:top w:val="single" w:sz="4" w:space="1" w:color="auto"/>
          <w:left w:val="single" w:sz="4" w:space="4" w:color="auto"/>
          <w:bottom w:val="single" w:sz="4" w:space="1" w:color="auto"/>
          <w:right w:val="single" w:sz="4" w:space="4" w:color="auto"/>
        </w:pBdr>
        <w:rPr>
          <w:noProof/>
        </w:rPr>
      </w:pPr>
      <w:r w:rsidRPr="004E7899">
        <w:rPr>
          <w:noProof/>
        </w:rPr>
        <w:t xml:space="preserve">Samamoodi on äriühingute kestlikkusalase hoolsuskohustuse ühtlustatud õigusraamistik juba sätestatud CSDDDs, mis hõlmab ka teatavaid ELi turul tegutsevaid kolmandate riikide äriühinguid, tagades selles poliitikavaldkonnas võrdsed tingimused. </w:t>
      </w:r>
    </w:p>
    <w:p w14:paraId="18713100" w14:textId="77777777" w:rsidR="00CA2B31" w:rsidRPr="004E7899" w:rsidRDefault="00CA2B31" w:rsidP="00CA2B31">
      <w:pPr>
        <w:pStyle w:val="ManualHeading3"/>
        <w:rPr>
          <w:noProof/>
        </w:rPr>
      </w:pPr>
      <w:bookmarkStart w:id="59" w:name="_Toc514938030"/>
      <w:bookmarkStart w:id="60" w:name="_Toc520485037"/>
      <w:bookmarkStart w:id="61" w:name="_Toc160804579"/>
      <w:bookmarkStart w:id="62" w:name="_Toc167220271"/>
      <w:bookmarkStart w:id="63" w:name="_Toc177549004"/>
      <w:r w:rsidRPr="004E7899">
        <w:rPr>
          <w:noProof/>
        </w:rPr>
        <w:t>1.5.3.</w:t>
      </w:r>
      <w:r w:rsidRPr="004E7899">
        <w:rPr>
          <w:noProof/>
        </w:rPr>
        <w:tab/>
        <w:t>Samalaadsetest kogemustest saadud õppetunnid</w:t>
      </w:r>
      <w:bookmarkEnd w:id="59"/>
      <w:bookmarkEnd w:id="60"/>
      <w:bookmarkEnd w:id="61"/>
      <w:bookmarkEnd w:id="62"/>
      <w:bookmarkEnd w:id="63"/>
    </w:p>
    <w:p w14:paraId="49719C46" w14:textId="77777777" w:rsidR="00CA2B31" w:rsidRPr="004E7899" w:rsidRDefault="00CA2B31" w:rsidP="00CA2B31">
      <w:pPr>
        <w:pStyle w:val="Text1"/>
        <w:pBdr>
          <w:top w:val="single" w:sz="4" w:space="1" w:color="auto"/>
          <w:left w:val="single" w:sz="4" w:space="4" w:color="auto"/>
          <w:bottom w:val="single" w:sz="4" w:space="1" w:color="auto"/>
          <w:right w:val="single" w:sz="4" w:space="4" w:color="auto"/>
        </w:pBdr>
        <w:rPr>
          <w:noProof/>
        </w:rPr>
      </w:pPr>
      <w:r w:rsidRPr="004E7899">
        <w:rPr>
          <w:noProof/>
        </w:rPr>
        <w:t>–</w:t>
      </w:r>
    </w:p>
    <w:p w14:paraId="26850A04" w14:textId="77777777" w:rsidR="00CA2B31" w:rsidRPr="004E7899" w:rsidRDefault="00CA2B31" w:rsidP="00CA2B31">
      <w:pPr>
        <w:pStyle w:val="ManualHeading3"/>
        <w:rPr>
          <w:noProof/>
        </w:rPr>
      </w:pPr>
      <w:bookmarkStart w:id="64" w:name="_Toc514938033"/>
      <w:bookmarkStart w:id="65" w:name="_Toc520485038"/>
      <w:bookmarkStart w:id="66" w:name="_Toc160804580"/>
      <w:bookmarkStart w:id="67" w:name="_Toc167220272"/>
      <w:bookmarkStart w:id="68" w:name="_Toc177549005"/>
      <w:r w:rsidRPr="004E7899">
        <w:rPr>
          <w:noProof/>
        </w:rPr>
        <w:t>1.5.4.</w:t>
      </w:r>
      <w:r w:rsidRPr="004E7899">
        <w:rPr>
          <w:noProof/>
        </w:rPr>
        <w:tab/>
        <w:t>Kooskõla mitmeaastase finantsraamistikuga ja võimalik koostoime muude asjakohaste vahenditega</w:t>
      </w:r>
      <w:bookmarkEnd w:id="64"/>
      <w:bookmarkEnd w:id="65"/>
      <w:bookmarkEnd w:id="66"/>
      <w:bookmarkEnd w:id="67"/>
      <w:bookmarkEnd w:id="68"/>
    </w:p>
    <w:p w14:paraId="58DDF419" w14:textId="77777777" w:rsidR="00CA2B31" w:rsidRPr="004E7899" w:rsidRDefault="00CA2B31" w:rsidP="00CA2B31">
      <w:pPr>
        <w:pStyle w:val="Text1"/>
        <w:pBdr>
          <w:top w:val="single" w:sz="4" w:space="1" w:color="auto"/>
          <w:left w:val="single" w:sz="4" w:space="4" w:color="auto"/>
          <w:bottom w:val="single" w:sz="4" w:space="1" w:color="auto"/>
          <w:right w:val="single" w:sz="4" w:space="4" w:color="auto"/>
        </w:pBdr>
        <w:rPr>
          <w:noProof/>
        </w:rPr>
      </w:pPr>
      <w:r w:rsidRPr="004E7899">
        <w:rPr>
          <w:noProof/>
        </w:rPr>
        <w:t>–</w:t>
      </w:r>
    </w:p>
    <w:p w14:paraId="55EA4935" w14:textId="77777777" w:rsidR="00CA2B31" w:rsidRPr="004E7899" w:rsidRDefault="00CA2B31" w:rsidP="00CA2B31">
      <w:pPr>
        <w:pStyle w:val="ManualHeading3"/>
        <w:rPr>
          <w:noProof/>
        </w:rPr>
      </w:pPr>
      <w:bookmarkStart w:id="69" w:name="_Toc514938036"/>
      <w:bookmarkStart w:id="70" w:name="_Toc520485039"/>
      <w:bookmarkStart w:id="71" w:name="_Toc160804581"/>
      <w:bookmarkStart w:id="72" w:name="_Toc167220273"/>
      <w:bookmarkStart w:id="73" w:name="_Toc177549006"/>
      <w:r w:rsidRPr="004E7899">
        <w:rPr>
          <w:noProof/>
        </w:rPr>
        <w:t>1.5.5.</w:t>
      </w:r>
      <w:r w:rsidRPr="004E7899">
        <w:rPr>
          <w:noProof/>
        </w:rPr>
        <w:tab/>
        <w:t>Erinevate kasutada olevate rahastamisvõimaluste, sealhulgas vahendite ümberpaigutamise võimaluste hinnang</w:t>
      </w:r>
      <w:bookmarkEnd w:id="69"/>
      <w:bookmarkEnd w:id="70"/>
      <w:bookmarkEnd w:id="71"/>
      <w:bookmarkEnd w:id="72"/>
      <w:bookmarkEnd w:id="73"/>
    </w:p>
    <w:p w14:paraId="18076633" w14:textId="77777777" w:rsidR="00CA2B31" w:rsidRPr="004E7899" w:rsidRDefault="00CA2B31" w:rsidP="00CA2B31">
      <w:pPr>
        <w:pStyle w:val="Text1"/>
        <w:pBdr>
          <w:top w:val="single" w:sz="4" w:space="1" w:color="auto"/>
          <w:left w:val="single" w:sz="4" w:space="4" w:color="auto"/>
          <w:bottom w:val="single" w:sz="4" w:space="1" w:color="auto"/>
          <w:right w:val="single" w:sz="4" w:space="4" w:color="auto"/>
        </w:pBdr>
        <w:rPr>
          <w:noProof/>
        </w:rPr>
      </w:pPr>
      <w:r w:rsidRPr="004E7899">
        <w:rPr>
          <w:noProof/>
        </w:rPr>
        <w:t>–</w:t>
      </w:r>
    </w:p>
    <w:p w14:paraId="6EE8743D" w14:textId="77777777" w:rsidR="00CA2B31" w:rsidRPr="004E7899" w:rsidRDefault="00CA2B31" w:rsidP="00CA2B31">
      <w:pPr>
        <w:rPr>
          <w:noProof/>
        </w:rPr>
        <w:sectPr w:rsidR="00CA2B31" w:rsidRPr="004E7899" w:rsidSect="00E76CC9">
          <w:pgSz w:w="11907" w:h="16840" w:code="9"/>
          <w:pgMar w:top="1134" w:right="1418" w:bottom="1134" w:left="1418" w:header="709" w:footer="709" w:gutter="0"/>
          <w:cols w:space="708"/>
          <w:docGrid w:linePitch="360"/>
        </w:sectPr>
      </w:pPr>
    </w:p>
    <w:p w14:paraId="66C02D76" w14:textId="77777777" w:rsidR="00CA2B31" w:rsidRPr="004E7899" w:rsidRDefault="00CA2B31" w:rsidP="00CA2B31">
      <w:pPr>
        <w:pStyle w:val="ManualHeading1"/>
        <w:rPr>
          <w:bCs/>
          <w:noProof/>
          <w:szCs w:val="24"/>
        </w:rPr>
      </w:pPr>
      <w:bookmarkStart w:id="74" w:name="_Toc514938050"/>
      <w:bookmarkStart w:id="75" w:name="_Toc520485049"/>
      <w:bookmarkStart w:id="76" w:name="_Toc160804591"/>
      <w:bookmarkStart w:id="77" w:name="_Toc167220283"/>
      <w:bookmarkStart w:id="78" w:name="_Toc177549016"/>
      <w:r w:rsidRPr="004E7899">
        <w:rPr>
          <w:noProof/>
        </w:rPr>
        <w:t>3.</w:t>
      </w:r>
      <w:r w:rsidRPr="004E7899">
        <w:rPr>
          <w:noProof/>
        </w:rPr>
        <w:tab/>
        <w:t>ETTEPANEKU/ALGATUSE HINNANGULINE FINANTSMÕJU</w:t>
      </w:r>
      <w:bookmarkEnd w:id="74"/>
      <w:bookmarkEnd w:id="75"/>
      <w:bookmarkEnd w:id="76"/>
      <w:bookmarkEnd w:id="77"/>
      <w:bookmarkEnd w:id="78"/>
      <w:r w:rsidRPr="004E7899">
        <w:rPr>
          <w:noProof/>
        </w:rPr>
        <w:t xml:space="preserve"> </w:t>
      </w:r>
    </w:p>
    <w:p w14:paraId="759CF7E2" w14:textId="77777777" w:rsidR="00CA2B31" w:rsidRPr="004E7899" w:rsidRDefault="00CA2B31" w:rsidP="00CA2B31">
      <w:pPr>
        <w:pStyle w:val="ManualHeading2"/>
        <w:rPr>
          <w:noProof/>
        </w:rPr>
      </w:pPr>
      <w:bookmarkStart w:id="79" w:name="_Toc514938051"/>
      <w:bookmarkStart w:id="80" w:name="_Toc520485050"/>
      <w:bookmarkStart w:id="81" w:name="_Toc160804592"/>
      <w:bookmarkStart w:id="82" w:name="_Toc167220284"/>
      <w:bookmarkStart w:id="83" w:name="_Toc177549017"/>
      <w:r w:rsidRPr="004E7899">
        <w:rPr>
          <w:noProof/>
        </w:rPr>
        <w:t>3.1.</w:t>
      </w:r>
      <w:r w:rsidRPr="004E7899">
        <w:rPr>
          <w:noProof/>
        </w:rPr>
        <w:tab/>
        <w:t>Mitmeaastase finantsraamistiku rubriigid ja kulude eelarveread, millele mõju avaldub</w:t>
      </w:r>
      <w:bookmarkEnd w:id="79"/>
      <w:bookmarkEnd w:id="80"/>
      <w:bookmarkEnd w:id="81"/>
      <w:bookmarkEnd w:id="82"/>
      <w:bookmarkEnd w:id="83"/>
      <w:r w:rsidRPr="004E7899">
        <w:rPr>
          <w:noProof/>
        </w:rPr>
        <w:t xml:space="preserve"> </w:t>
      </w:r>
    </w:p>
    <w:p w14:paraId="21DE8826" w14:textId="77777777" w:rsidR="00CA2B31" w:rsidRPr="004E7899" w:rsidRDefault="00CA2B31" w:rsidP="00CA2B31">
      <w:pPr>
        <w:pStyle w:val="Text1"/>
        <w:pBdr>
          <w:top w:val="single" w:sz="4" w:space="1" w:color="auto"/>
          <w:left w:val="single" w:sz="4" w:space="4" w:color="auto"/>
          <w:bottom w:val="single" w:sz="4" w:space="1" w:color="auto"/>
          <w:right w:val="single" w:sz="4" w:space="4" w:color="auto"/>
        </w:pBdr>
        <w:rPr>
          <w:noProof/>
        </w:rPr>
      </w:pPr>
      <w:bookmarkStart w:id="84" w:name="_Hlk157691648"/>
      <w:r w:rsidRPr="004E7899">
        <w:rPr>
          <w:noProof/>
        </w:rPr>
        <w:t>–</w:t>
      </w:r>
    </w:p>
    <w:p w14:paraId="7119D4C5" w14:textId="77777777" w:rsidR="00CA2B31" w:rsidRPr="004E7899" w:rsidRDefault="00CA2B31" w:rsidP="00CA2B31">
      <w:pPr>
        <w:pStyle w:val="ManualHeading1"/>
        <w:rPr>
          <w:caps/>
          <w:noProof/>
        </w:rPr>
      </w:pPr>
      <w:bookmarkStart w:id="85" w:name="_Toc167220301"/>
      <w:bookmarkStart w:id="86" w:name="_Toc177549035"/>
      <w:bookmarkEnd w:id="84"/>
      <w:r w:rsidRPr="004E7899">
        <w:rPr>
          <w:noProof/>
        </w:rPr>
        <w:t>4.</w:t>
      </w:r>
      <w:r w:rsidRPr="004E7899">
        <w:rPr>
          <w:noProof/>
        </w:rPr>
        <w:tab/>
      </w:r>
      <w:bookmarkStart w:id="87" w:name="_Hlk167692977"/>
      <w:r w:rsidRPr="004E7899">
        <w:rPr>
          <w:caps/>
          <w:noProof/>
        </w:rPr>
        <w:t>Digimõõde</w:t>
      </w:r>
      <w:bookmarkEnd w:id="85"/>
      <w:bookmarkEnd w:id="86"/>
    </w:p>
    <w:p w14:paraId="070487E6" w14:textId="77777777" w:rsidR="00CA2B31" w:rsidRPr="004E7899" w:rsidRDefault="00CA2B31" w:rsidP="00CA2B31">
      <w:pPr>
        <w:pStyle w:val="ManualHeading2"/>
        <w:rPr>
          <w:noProof/>
        </w:rPr>
      </w:pPr>
      <w:bookmarkStart w:id="88" w:name="_Toc167220302"/>
      <w:bookmarkStart w:id="89" w:name="_Toc177549037"/>
      <w:r w:rsidRPr="004E7899">
        <w:rPr>
          <w:noProof/>
        </w:rPr>
        <w:t>4.1.</w:t>
      </w:r>
      <w:r w:rsidRPr="004E7899">
        <w:rPr>
          <w:noProof/>
        </w:rPr>
        <w:tab/>
        <w:t>Diginõuded</w:t>
      </w:r>
      <w:bookmarkEnd w:id="88"/>
      <w:bookmarkEnd w:id="89"/>
    </w:p>
    <w:tbl>
      <w:tblPr>
        <w:tblStyle w:val="TableGrid"/>
        <w:tblW w:w="9072" w:type="dxa"/>
        <w:tblInd w:w="-5" w:type="dxa"/>
        <w:tblLayout w:type="fixed"/>
        <w:tblLook w:val="06A0" w:firstRow="1" w:lastRow="0" w:firstColumn="1" w:lastColumn="0" w:noHBand="1" w:noVBand="1"/>
      </w:tblPr>
      <w:tblGrid>
        <w:gridCol w:w="9072"/>
      </w:tblGrid>
      <w:tr w:rsidR="00CA2B31" w:rsidRPr="004E7899" w14:paraId="1FF1B370" w14:textId="77777777">
        <w:trPr>
          <w:trHeight w:val="300"/>
        </w:trPr>
        <w:tc>
          <w:tcPr>
            <w:tcW w:w="9072" w:type="dxa"/>
          </w:tcPr>
          <w:p w14:paraId="53DE3F9F" w14:textId="77777777" w:rsidR="00CA2B31" w:rsidRPr="004E7899" w:rsidRDefault="00CA2B31">
            <w:pPr>
              <w:rPr>
                <w:noProof/>
              </w:rPr>
            </w:pPr>
            <w:r w:rsidRPr="004E7899">
              <w:rPr>
                <w:noProof/>
              </w:rPr>
              <w:t xml:space="preserve">Direktiiviga 2013/34/EL kehtestatud aruandlusnõuded näevad ette, et äriühingud peavad koguma ja esitama andmeid oma oluliste kestlikkusaspektidega seotud mõju, riskide ja võimaluste kohta. See tegevus hõlmab oluliste andmete tuvastamist, kogumist, töötlemist, kontrollimist ja avaldamist. Ettevõtjad kasutavad asjakohaste andmete kogumiseks sageli digitaalseid andmete kogumise ja jagamise platvorme. Lisaks kasutavad ettevõtjad sageli ka digitaalseid andmehaldusvahendeid, et talletada ja töödelda andmeid kestlikkusaruandluse eesmärgil. </w:t>
            </w:r>
          </w:p>
          <w:p w14:paraId="103B9207" w14:textId="77777777" w:rsidR="00CA2B31" w:rsidRPr="004E7899" w:rsidRDefault="00CA2B31">
            <w:pPr>
              <w:rPr>
                <w:noProof/>
              </w:rPr>
            </w:pPr>
            <w:r w:rsidRPr="004E7899">
              <w:rPr>
                <w:noProof/>
              </w:rPr>
              <w:t xml:space="preserve">Kestlikkusteabe kasutajad ootavad üha enam, et selline teave oleks kättesaadav, võrreldav ja masinloetav digitaalses vormingus. Liikmesriigid peavad nõudma, et ettevõtjad, kelle suhtes kohaldatakse direktiivi 2013/34/EL kestlikkusaruandluse nõudeid, teeksid tegevusaruanded oma veebisaitidel üldsusele tasuta kättesaadavaks. Digiteerimine loob võimalused teabe tõhusamaks kasutamiseks ja võimaldab märkimisväärset kulude kokkuhoidu nii kasutajate kui ka ettevõtjate jaoks. Digiteerimine võimaldab ka andmete tsentraliseerimist liidu ja liikmesriikide tasandil avatud ja kättesaadavas vormingus, mis hõlbustab andmete lugemist ja võimaldab võrdlemist. Need nõuded täiendavad ka Euroopa ühtse juurdepääsupunkti (ESAP) loomist avaliku äriteabe jaoks. </w:t>
            </w:r>
          </w:p>
          <w:p w14:paraId="585DD329" w14:textId="77777777" w:rsidR="00CA2B31" w:rsidRPr="004E7899" w:rsidRDefault="00CA2B31">
            <w:pPr>
              <w:rPr>
                <w:noProof/>
              </w:rPr>
            </w:pPr>
            <w:r w:rsidRPr="004E7899">
              <w:rPr>
                <w:noProof/>
              </w:rPr>
              <w:t xml:space="preserve">Direktiivis esitatud erinõuete kohta, mis on digiteerimise seisukohast olulised, vt allpool. </w:t>
            </w:r>
          </w:p>
          <w:p w14:paraId="227AA3B6" w14:textId="77777777" w:rsidR="00C8775A" w:rsidRPr="004E7899" w:rsidRDefault="00C8775A" w:rsidP="00C8775A">
            <w:pPr>
              <w:rPr>
                <w:noProof/>
              </w:rPr>
            </w:pPr>
            <w:r w:rsidRPr="004E7899">
              <w:rPr>
                <w:noProof/>
              </w:rPr>
              <w:t>Direktiivi 2013/34/EL kohaselt peavad ettevõtjad, kelle suhtes kohaldatakse kestlikkusaruandlust, koostama oma tegevusaruande elektroonilises aruandlusvormingus, mis on kindlaks määratud komisjoni delegeeritud määruse (EL) 2019/815 (ESEFi delegeeritud määrus) artikliga 3. Samuti nõutakse selles, et need ettevõtjad märgistaksid oma kestlikkusaruande, sealhulgas määruse (EL) 2020/852 artiklis 8 sätestatud avalikustatava teabe, järgides digitaalset taksonoomiat, mille komisjon võtab vastu ESEFi delegeeritud määruse muudatusega.</w:t>
            </w:r>
          </w:p>
          <w:p w14:paraId="55E75276" w14:textId="77777777" w:rsidR="00BA76ED" w:rsidRPr="004E7899" w:rsidRDefault="00C8775A" w:rsidP="00C8775A">
            <w:pPr>
              <w:rPr>
                <w:noProof/>
              </w:rPr>
            </w:pPr>
            <w:r w:rsidRPr="004E7899">
              <w:rPr>
                <w:noProof/>
              </w:rPr>
              <w:t xml:space="preserve">Liidu kestlikkusaruandluse standardite digitaalne taksonoomia võimaldab kestlikkusaruande märgistada ja tagab selle masinloetavuse. Kuni kõnealuse digitaalse taksonoomia vastuvõtmiseni ei ole ettevõtjad kohustatud oma kestlikkusaruandeid märgistama. Võttes arvesse, et kestlikkusaruanne muutub masinloetavaks alles siis, kui see lisatakse XHTML-dokumenti ja märgistatakse digitaalse taksonoomiaga, ei pea ettevõtjad kuni digitaalse taksonoomia vastuvõtmiseni </w:t>
            </w:r>
          </w:p>
          <w:p w14:paraId="26534E70" w14:textId="77777777" w:rsidR="00CA2B31" w:rsidRPr="004E7899" w:rsidRDefault="00CA2B31">
            <w:pPr>
              <w:rPr>
                <w:noProof/>
              </w:rPr>
            </w:pPr>
            <w:r w:rsidRPr="004E7899">
              <w:rPr>
                <w:noProof/>
              </w:rPr>
              <w:t>tegevusaruannet XHTMLis koostama.</w:t>
            </w:r>
          </w:p>
          <w:p w14:paraId="64F4E2CC" w14:textId="77777777" w:rsidR="00CA2B31" w:rsidRPr="004E7899" w:rsidRDefault="00CA2B31">
            <w:pPr>
              <w:rPr>
                <w:noProof/>
              </w:rPr>
            </w:pPr>
            <w:r w:rsidRPr="004E7899">
              <w:rPr>
                <w:noProof/>
              </w:rPr>
              <w:t>Nendest nõuetest mõjutatud sidusrühmad on muu hulgas ettevõtjad, kes peavad koostama ja avaldama kestlikkusaruande, mis on digitaalselt märgistatud ja esitatud XHTML-vormingus, ning kindlustandvate audiitorteenuste osutajad, kes peavad kontrollima, et kestlikkusaruanne vastaks vajalikele nõuetele.</w:t>
            </w:r>
          </w:p>
          <w:p w14:paraId="21AD8A39" w14:textId="77777777" w:rsidR="00CA2B31" w:rsidRPr="004E7899" w:rsidRDefault="00CA2B31" w:rsidP="00845B88">
            <w:pPr>
              <w:pBdr>
                <w:top w:val="nil"/>
                <w:left w:val="nil"/>
                <w:bottom w:val="nil"/>
                <w:right w:val="nil"/>
                <w:between w:val="nil"/>
                <w:bar w:val="nil"/>
              </w:pBdr>
              <w:spacing w:before="0" w:after="240"/>
              <w:rPr>
                <w:rFonts w:eastAsia="Arial Unicode MS"/>
                <w:noProof/>
              </w:rPr>
            </w:pPr>
            <w:r w:rsidRPr="004E7899">
              <w:rPr>
                <w:noProof/>
              </w:rPr>
              <w:t xml:space="preserve">Käesoleva ettepanekuga ei muudeta äriühingute kestlikkusaruandluse direktiiviga kehtestatud digitaalse märgistamise või vormingu eeskirju, mis tõhustavad digitaalset aruandlust ja võimaldavad rakendada tehisintellekti ettevõtjate esitatava teabe kasutamisel. </w:t>
            </w:r>
          </w:p>
          <w:p w14:paraId="199C6595" w14:textId="77777777" w:rsidR="00904981" w:rsidRPr="004E7899" w:rsidRDefault="00904981" w:rsidP="00845B88">
            <w:pPr>
              <w:pBdr>
                <w:top w:val="nil"/>
                <w:left w:val="nil"/>
                <w:bottom w:val="nil"/>
                <w:right w:val="nil"/>
                <w:between w:val="nil"/>
                <w:bar w:val="nil"/>
              </w:pBdr>
              <w:spacing w:before="0" w:after="240"/>
              <w:rPr>
                <w:rFonts w:eastAsia="Arial Unicode MS"/>
                <w:noProof/>
                <w:color w:val="000000" w:themeColor="text1"/>
              </w:rPr>
            </w:pPr>
            <w:r w:rsidRPr="004E7899">
              <w:rPr>
                <w:noProof/>
              </w:rPr>
              <w:t>Mis puudutab CSDDDd, siis võivad digivahendid ja -tehnoloogia toetada andmete kogumist ja hindamist ning vähendada nende tegevuste kulusid. Käesoleva ettepanekuga ei muudeta CSDDD asjakohaseid sätteid.</w:t>
            </w:r>
          </w:p>
        </w:tc>
      </w:tr>
    </w:tbl>
    <w:p w14:paraId="167D8CE8" w14:textId="77777777" w:rsidR="00CA2B31" w:rsidRPr="004E7899" w:rsidRDefault="00CA2B31" w:rsidP="00CA2B31">
      <w:pPr>
        <w:pStyle w:val="ManualHeading2"/>
        <w:rPr>
          <w:noProof/>
        </w:rPr>
      </w:pPr>
      <w:bookmarkStart w:id="90" w:name="_Toc167220303"/>
      <w:bookmarkStart w:id="91" w:name="_Toc177549038"/>
      <w:r w:rsidRPr="004E7899">
        <w:rPr>
          <w:noProof/>
        </w:rPr>
        <w:t>4.2.</w:t>
      </w:r>
      <w:r w:rsidRPr="004E7899">
        <w:rPr>
          <w:noProof/>
        </w:rPr>
        <w:tab/>
        <w:t>Andmed</w:t>
      </w:r>
      <w:bookmarkEnd w:id="90"/>
      <w:bookmarkEnd w:id="91"/>
    </w:p>
    <w:tbl>
      <w:tblPr>
        <w:tblStyle w:val="TableGrid"/>
        <w:tblW w:w="0" w:type="auto"/>
        <w:tblLook w:val="04A0" w:firstRow="1" w:lastRow="0" w:firstColumn="1" w:lastColumn="0" w:noHBand="0" w:noVBand="1"/>
      </w:tblPr>
      <w:tblGrid>
        <w:gridCol w:w="9063"/>
      </w:tblGrid>
      <w:tr w:rsidR="00CA2B31" w:rsidRPr="004E7899" w14:paraId="564E50A3" w14:textId="77777777">
        <w:tc>
          <w:tcPr>
            <w:tcW w:w="9063" w:type="dxa"/>
          </w:tcPr>
          <w:p w14:paraId="6993631D" w14:textId="77777777" w:rsidR="00CA2B31" w:rsidRPr="004E7899" w:rsidRDefault="00CA2B31">
            <w:pPr>
              <w:rPr>
                <w:noProof/>
              </w:rPr>
            </w:pPr>
            <w:r w:rsidRPr="004E7899">
              <w:rPr>
                <w:noProof/>
              </w:rPr>
              <w:t xml:space="preserve">Vt eespool. </w:t>
            </w:r>
          </w:p>
        </w:tc>
      </w:tr>
    </w:tbl>
    <w:p w14:paraId="157855C8" w14:textId="77777777" w:rsidR="00CA2B31" w:rsidRPr="004E7899" w:rsidRDefault="00CA2B31" w:rsidP="00CA2B31">
      <w:pPr>
        <w:pStyle w:val="ManualHeading2"/>
        <w:rPr>
          <w:noProof/>
        </w:rPr>
      </w:pPr>
      <w:bookmarkStart w:id="92" w:name="_Toc167220305"/>
      <w:bookmarkStart w:id="93" w:name="_Toc177549039"/>
      <w:r w:rsidRPr="004E7899">
        <w:rPr>
          <w:noProof/>
        </w:rPr>
        <w:t>4.3.</w:t>
      </w:r>
      <w:r w:rsidRPr="004E7899">
        <w:rPr>
          <w:noProof/>
        </w:rPr>
        <w:tab/>
        <w:t>Digilahendused</w:t>
      </w:r>
      <w:bookmarkEnd w:id="92"/>
      <w:bookmarkEnd w:id="93"/>
    </w:p>
    <w:tbl>
      <w:tblPr>
        <w:tblStyle w:val="TableGrid"/>
        <w:tblpPr w:leftFromText="141" w:rightFromText="141" w:vertAnchor="text" w:horzAnchor="margin" w:tblpY="2"/>
        <w:tblW w:w="9067" w:type="dxa"/>
        <w:tblLook w:val="04A0" w:firstRow="1" w:lastRow="0" w:firstColumn="1" w:lastColumn="0" w:noHBand="0" w:noVBand="1"/>
      </w:tblPr>
      <w:tblGrid>
        <w:gridCol w:w="9067"/>
      </w:tblGrid>
      <w:tr w:rsidR="00CA2B31" w:rsidRPr="004E7899" w14:paraId="705B34B9" w14:textId="77777777">
        <w:tc>
          <w:tcPr>
            <w:tcW w:w="9067" w:type="dxa"/>
          </w:tcPr>
          <w:p w14:paraId="447FA7F5" w14:textId="77777777" w:rsidR="00CA2B31" w:rsidRPr="004E7899" w:rsidRDefault="00CA2B31">
            <w:pPr>
              <w:rPr>
                <w:noProof/>
              </w:rPr>
            </w:pPr>
            <w:r w:rsidRPr="004E7899">
              <w:rPr>
                <w:noProof/>
              </w:rPr>
              <w:t xml:space="preserve">Vt eespool. </w:t>
            </w:r>
          </w:p>
        </w:tc>
      </w:tr>
    </w:tbl>
    <w:p w14:paraId="76028B6C" w14:textId="77777777" w:rsidR="00CA2B31" w:rsidRPr="004E7899" w:rsidRDefault="00CA2B31" w:rsidP="00CA2B31">
      <w:pPr>
        <w:pStyle w:val="ManualHeading2"/>
        <w:rPr>
          <w:rStyle w:val="Emphasis"/>
          <w:b w:val="0"/>
          <w:bCs/>
          <w:i w:val="0"/>
          <w:iCs w:val="0"/>
          <w:noProof/>
        </w:rPr>
      </w:pPr>
      <w:bookmarkStart w:id="94" w:name="_Toc167220304"/>
      <w:bookmarkStart w:id="95" w:name="_Toc177549040"/>
      <w:r w:rsidRPr="004E7899">
        <w:rPr>
          <w:rStyle w:val="Emphasis"/>
          <w:noProof/>
        </w:rPr>
        <w:t>4.4.</w:t>
      </w:r>
      <w:r w:rsidRPr="004E7899">
        <w:rPr>
          <w:noProof/>
        </w:rPr>
        <w:tab/>
      </w:r>
      <w:r w:rsidRPr="004E7899">
        <w:rPr>
          <w:rStyle w:val="Emphasis"/>
          <w:noProof/>
        </w:rPr>
        <w:t>Koostalitlusvõime hindamine</w:t>
      </w:r>
      <w:bookmarkEnd w:id="94"/>
      <w:bookmarkEnd w:id="95"/>
    </w:p>
    <w:tbl>
      <w:tblPr>
        <w:tblStyle w:val="TableGrid"/>
        <w:tblpPr w:leftFromText="141" w:rightFromText="141" w:vertAnchor="text" w:horzAnchor="margin" w:tblpY="36"/>
        <w:tblW w:w="9067" w:type="dxa"/>
        <w:tblLayout w:type="fixed"/>
        <w:tblLook w:val="06A0" w:firstRow="1" w:lastRow="0" w:firstColumn="1" w:lastColumn="0" w:noHBand="1" w:noVBand="1"/>
      </w:tblPr>
      <w:tblGrid>
        <w:gridCol w:w="9067"/>
      </w:tblGrid>
      <w:tr w:rsidR="00CA2B31" w:rsidRPr="004E7899" w14:paraId="086F4381" w14:textId="77777777">
        <w:trPr>
          <w:trHeight w:val="300"/>
        </w:trPr>
        <w:tc>
          <w:tcPr>
            <w:tcW w:w="9067" w:type="dxa"/>
          </w:tcPr>
          <w:p w14:paraId="5AABB5EE" w14:textId="77777777" w:rsidR="00CA2B31" w:rsidRPr="004E7899" w:rsidRDefault="00CA2B31">
            <w:pPr>
              <w:rPr>
                <w:i/>
                <w:iCs/>
                <w:noProof/>
                <w:color w:val="215868" w:themeColor="accent5" w:themeShade="80"/>
              </w:rPr>
            </w:pPr>
            <w:r w:rsidRPr="004E7899">
              <w:rPr>
                <w:noProof/>
              </w:rPr>
              <w:t>–</w:t>
            </w:r>
          </w:p>
        </w:tc>
      </w:tr>
    </w:tbl>
    <w:p w14:paraId="2F7D6FC0" w14:textId="77777777" w:rsidR="00CA2B31" w:rsidRPr="004E7899" w:rsidRDefault="00CA2B31" w:rsidP="00CA2B31">
      <w:pPr>
        <w:pStyle w:val="ManualHeading2"/>
        <w:rPr>
          <w:noProof/>
        </w:rPr>
      </w:pPr>
      <w:bookmarkStart w:id="96" w:name="_Toc167220306"/>
      <w:bookmarkStart w:id="97" w:name="_Toc177549041"/>
      <w:r w:rsidRPr="004E7899">
        <w:rPr>
          <w:noProof/>
        </w:rPr>
        <w:t>4.5.</w:t>
      </w:r>
      <w:r w:rsidRPr="004E7899">
        <w:rPr>
          <w:noProof/>
        </w:rPr>
        <w:tab/>
        <w:t>Digimõõtme rakendamist toetavad meetmed</w:t>
      </w:r>
      <w:bookmarkEnd w:id="96"/>
      <w:bookmarkEnd w:id="97"/>
    </w:p>
    <w:tbl>
      <w:tblPr>
        <w:tblStyle w:val="TableGrid"/>
        <w:tblpPr w:leftFromText="141" w:rightFromText="141" w:vertAnchor="text" w:horzAnchor="margin" w:tblpY="49"/>
        <w:tblW w:w="9067" w:type="dxa"/>
        <w:tblLook w:val="04A0" w:firstRow="1" w:lastRow="0" w:firstColumn="1" w:lastColumn="0" w:noHBand="0" w:noVBand="1"/>
      </w:tblPr>
      <w:tblGrid>
        <w:gridCol w:w="9067"/>
      </w:tblGrid>
      <w:tr w:rsidR="00CA2B31" w:rsidRPr="004E7899" w14:paraId="537B6991" w14:textId="77777777">
        <w:tc>
          <w:tcPr>
            <w:tcW w:w="9067" w:type="dxa"/>
          </w:tcPr>
          <w:p w14:paraId="7A34E1F4" w14:textId="77777777" w:rsidR="00CA2B31" w:rsidRPr="004E7899" w:rsidRDefault="00CA2B31">
            <w:pPr>
              <w:rPr>
                <w:noProof/>
              </w:rPr>
            </w:pPr>
            <w:r w:rsidRPr="004E7899">
              <w:rPr>
                <w:noProof/>
              </w:rPr>
              <w:t xml:space="preserve">Et hõlbustada punktis 4.1 nimetatud, digiteerimise seisukohast oluliste nõuete sujuvat rakendamist, osaleb komisjon mitmes algatuses. </w:t>
            </w:r>
          </w:p>
          <w:p w14:paraId="59CD393D" w14:textId="77777777" w:rsidR="00CA2B31" w:rsidRPr="004E7899" w:rsidRDefault="00CA2B31">
            <w:pPr>
              <w:rPr>
                <w:noProof/>
              </w:rPr>
            </w:pPr>
            <w:r w:rsidRPr="004E7899">
              <w:rPr>
                <w:noProof/>
              </w:rPr>
              <w:t xml:space="preserve">Esiteks on liidu kestlikkusaruandluse standardite digitaalne taksonoomia vajalik selleks, et esitatud teabe saaks nende kestlikkusaruandluse standardite kohaselt märgistada. Pärast ESMA-lt tehnilise nõuande saamist võtab komisjon delegeeritud õigusaktiga vastu digitaalse taksonoomia kestlikkusteabe märgistamiseks. </w:t>
            </w:r>
          </w:p>
          <w:p w14:paraId="3119ACB5" w14:textId="77777777" w:rsidR="00CA2B31" w:rsidRPr="004E7899" w:rsidRDefault="00CA2B31">
            <w:pPr>
              <w:rPr>
                <w:noProof/>
              </w:rPr>
            </w:pPr>
            <w:r w:rsidRPr="004E7899">
              <w:rPr>
                <w:noProof/>
              </w:rPr>
              <w:t>Teiseks kavatseb komisjon tehnilise toe instrumendi 2025. aasta vooru raames käivitada mitut riiki hõlmava juhtprojekti „Ettevõtete kestlikkusaruandluse parandamine“. Selle algatuse eesmärk on suurendada liikmesriikide suutlikkust toetada äriühinguid, eelkõige VKEsid, CSRD ja ELi taksonoomia aruandlusnõuete rakendamisel. Algatuse raames antava toetuse puhul võetakse arvesse aruandlusnõuete arengut ning see on asjakohane ka börsil noteerimata VKEde jaoks, kelle suhtes ei kohaldata kohustuslikku aruandlust, kuid kellelt nende finants- ja väärtusahela partnerid nõuavad üha enam kestlikkusteavet.</w:t>
            </w:r>
          </w:p>
          <w:p w14:paraId="41036389" w14:textId="77777777" w:rsidR="00CA2B31" w:rsidRPr="004E7899" w:rsidRDefault="00CA2B31">
            <w:pPr>
              <w:rPr>
                <w:noProof/>
              </w:rPr>
            </w:pPr>
            <w:r w:rsidRPr="004E7899">
              <w:rPr>
                <w:noProof/>
              </w:rPr>
              <w:t xml:space="preserve">Kolmandaks on EFRAG käivitanud VKEde foorumi, kus tuuakse kokku VKEde kogukonna asjaomased sidusrühmad, et arutada kestlikkusaruandluse nõuete rakendamist ning seda, kuidas saab digilahendusi ja -vahendeid kasutada VKEde kestlikkusaruandluse hõlbustamiseks. </w:t>
            </w:r>
          </w:p>
          <w:p w14:paraId="3A0E590F" w14:textId="77777777" w:rsidR="004F2909" w:rsidRPr="004E7899" w:rsidRDefault="004F2909">
            <w:pPr>
              <w:rPr>
                <w:noProof/>
              </w:rPr>
            </w:pPr>
            <w:r w:rsidRPr="004E7899">
              <w:rPr>
                <w:noProof/>
              </w:rPr>
              <w:t>Mis puudutab CSDDDd, siis selleks, et aidata äriühingutel täita oma hoolsuskohustusi kogu oma väärtusahelas, julgustatakse direktiiviga kasutama digivahendeid ja -tehnoloogiat ning nõutakse, et komisjon annaks välja suunised, mis sisaldavad kasulikku teavet ja viiteid asjakohastele ressurssidele. Käesoleva ettepanekuga ei muudeta direktiivi asjakohaseid sätteid.</w:t>
            </w:r>
          </w:p>
        </w:tc>
      </w:tr>
      <w:bookmarkEnd w:id="87"/>
    </w:tbl>
    <w:p w14:paraId="408DC6B4" w14:textId="77777777" w:rsidR="00CA2B31" w:rsidRPr="004E7899" w:rsidRDefault="00CA2B31" w:rsidP="00D13127">
      <w:pPr>
        <w:rPr>
          <w:noProof/>
        </w:rPr>
      </w:pPr>
    </w:p>
    <w:sectPr w:rsidR="00CA2B31" w:rsidRPr="004E7899" w:rsidSect="00E76CC9">
      <w:pgSz w:w="11907" w:h="16840" w:code="9"/>
      <w:pgMar w:top="1134" w:right="1418" w:bottom="1134" w:left="1418" w:header="709"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1914D" w14:textId="77777777" w:rsidR="00A3793C" w:rsidRDefault="00A3793C" w:rsidP="006C7F87">
      <w:pPr>
        <w:spacing w:before="0" w:after="0"/>
      </w:pPr>
      <w:r>
        <w:separator/>
      </w:r>
    </w:p>
  </w:endnote>
  <w:endnote w:type="continuationSeparator" w:id="0">
    <w:p w14:paraId="44E92779" w14:textId="77777777" w:rsidR="00A3793C" w:rsidRDefault="00A3793C" w:rsidP="006C7F87">
      <w:pPr>
        <w:spacing w:before="0" w:after="0"/>
      </w:pPr>
      <w:r>
        <w:continuationSeparator/>
      </w:r>
    </w:p>
  </w:endnote>
  <w:endnote w:type="continuationNotice" w:id="1">
    <w:p w14:paraId="625B8ADE" w14:textId="77777777" w:rsidR="00A3793C" w:rsidRDefault="00A3793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Aptos">
    <w:altName w:val="Arial"/>
    <w:charset w:val="00"/>
    <w:family w:val="swiss"/>
    <w:pitch w:val="variable"/>
    <w:sig w:usb0="00000001"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E383D" w14:textId="281DC76B" w:rsidR="00E76CC9" w:rsidRPr="00E76CC9" w:rsidRDefault="00E76CC9" w:rsidP="00E76CC9">
    <w:pPr>
      <w:pStyle w:val="Footer"/>
      <w:rPr>
        <w:rFonts w:ascii="Arial" w:hAnsi="Arial" w:cs="Arial"/>
        <w:b/>
        <w:sz w:val="48"/>
      </w:rPr>
    </w:pPr>
    <w:r w:rsidRPr="00E76CC9">
      <w:rPr>
        <w:rFonts w:ascii="Arial" w:hAnsi="Arial" w:cs="Arial"/>
        <w:b/>
        <w:sz w:val="48"/>
      </w:rPr>
      <w:t>ET</w:t>
    </w:r>
    <w:r w:rsidRPr="00E76CC9">
      <w:rPr>
        <w:rFonts w:ascii="Arial" w:hAnsi="Arial" w:cs="Arial"/>
        <w:b/>
        <w:sz w:val="48"/>
      </w:rPr>
      <w:tab/>
    </w:r>
    <w:r w:rsidRPr="00E76CC9">
      <w:rPr>
        <w:rFonts w:ascii="Arial" w:hAnsi="Arial" w:cs="Arial"/>
        <w:b/>
        <w:sz w:val="48"/>
      </w:rPr>
      <w:tab/>
    </w:r>
    <w:r w:rsidRPr="00E76CC9">
      <w:tab/>
    </w:r>
    <w:r w:rsidRPr="00E76CC9">
      <w:rPr>
        <w:rFonts w:ascii="Arial" w:hAnsi="Arial" w:cs="Arial"/>
        <w:b/>
        <w:sz w:val="48"/>
      </w:rPr>
      <w:t>ET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40DD0" w14:textId="01942275" w:rsidR="00E76CC9" w:rsidRPr="00E76CC9" w:rsidRDefault="00E76CC9" w:rsidP="00E76CC9">
    <w:pPr>
      <w:pStyle w:val="Footer"/>
      <w:rPr>
        <w:rFonts w:ascii="Arial" w:hAnsi="Arial" w:cs="Arial"/>
        <w:b/>
        <w:sz w:val="48"/>
      </w:rPr>
    </w:pPr>
    <w:r w:rsidRPr="00E76CC9">
      <w:rPr>
        <w:rFonts w:ascii="Arial" w:hAnsi="Arial" w:cs="Arial"/>
        <w:b/>
        <w:sz w:val="48"/>
      </w:rPr>
      <w:t>ET</w:t>
    </w:r>
    <w:r w:rsidRPr="00E76CC9">
      <w:rPr>
        <w:rFonts w:ascii="Arial" w:hAnsi="Arial" w:cs="Arial"/>
        <w:b/>
        <w:sz w:val="48"/>
      </w:rPr>
      <w:tab/>
    </w:r>
    <w:r w:rsidRPr="00E76CC9">
      <w:rPr>
        <w:rFonts w:ascii="Arial" w:hAnsi="Arial" w:cs="Arial"/>
        <w:b/>
        <w:sz w:val="48"/>
      </w:rPr>
      <w:tab/>
    </w:r>
    <w:r w:rsidRPr="00E76CC9">
      <w:tab/>
    </w:r>
    <w:r w:rsidRPr="00E76CC9">
      <w:rPr>
        <w:rFonts w:ascii="Arial" w:hAnsi="Arial" w:cs="Arial"/>
        <w:b/>
        <w:sz w:val="48"/>
      </w:rPr>
      <w:t>ET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A909C" w14:textId="77777777" w:rsidR="00E76CC9" w:rsidRDefault="00E76CC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0C591" w14:textId="3FC44DD0" w:rsidR="00E76CC9" w:rsidRPr="00E76CC9" w:rsidRDefault="00E76CC9" w:rsidP="00E76CC9">
    <w:pPr>
      <w:pStyle w:val="Footer"/>
      <w:rPr>
        <w:rFonts w:ascii="Arial" w:hAnsi="Arial" w:cs="Arial"/>
        <w:b/>
        <w:sz w:val="48"/>
      </w:rPr>
    </w:pPr>
    <w:r w:rsidRPr="00E76CC9">
      <w:rPr>
        <w:rFonts w:ascii="Arial" w:hAnsi="Arial" w:cs="Arial"/>
        <w:b/>
        <w:sz w:val="48"/>
      </w:rPr>
      <w:t>ET</w:t>
    </w:r>
    <w:r w:rsidRPr="00E76CC9">
      <w:rPr>
        <w:rFonts w:ascii="Arial" w:hAnsi="Arial" w:cs="Arial"/>
        <w:b/>
        <w:sz w:val="48"/>
      </w:rPr>
      <w:tab/>
    </w:r>
    <w:r>
      <w:fldChar w:fldCharType="begin"/>
    </w:r>
    <w:r>
      <w:instrText xml:space="preserve"> PAGE  \* MERGEFORMAT </w:instrText>
    </w:r>
    <w:r>
      <w:fldChar w:fldCharType="separate"/>
    </w:r>
    <w:r w:rsidR="00B14EAE">
      <w:rPr>
        <w:noProof/>
      </w:rPr>
      <w:t>5</w:t>
    </w:r>
    <w:r>
      <w:fldChar w:fldCharType="end"/>
    </w:r>
    <w:r>
      <w:tab/>
    </w:r>
    <w:r w:rsidRPr="00E76CC9">
      <w:tab/>
    </w:r>
    <w:r w:rsidRPr="00E76CC9">
      <w:rPr>
        <w:rFonts w:ascii="Arial" w:hAnsi="Arial" w:cs="Arial"/>
        <w:b/>
        <w:sz w:val="48"/>
      </w:rPr>
      <w:t>ET</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6CA9F" w14:textId="77777777" w:rsidR="00E76CC9" w:rsidRDefault="00E76CC9" w:rsidP="00E76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3DE9D8" w14:textId="77777777" w:rsidR="00A3793C" w:rsidRDefault="00A3793C" w:rsidP="006C7F87">
      <w:pPr>
        <w:spacing w:before="0" w:after="0"/>
      </w:pPr>
      <w:r>
        <w:separator/>
      </w:r>
    </w:p>
  </w:footnote>
  <w:footnote w:type="continuationSeparator" w:id="0">
    <w:p w14:paraId="0A5AB533" w14:textId="77777777" w:rsidR="00A3793C" w:rsidRDefault="00A3793C" w:rsidP="006C7F87">
      <w:pPr>
        <w:spacing w:before="0" w:after="0"/>
      </w:pPr>
      <w:r>
        <w:continuationSeparator/>
      </w:r>
    </w:p>
  </w:footnote>
  <w:footnote w:type="continuationNotice" w:id="1">
    <w:p w14:paraId="18E194F9" w14:textId="77777777" w:rsidR="00A3793C" w:rsidRDefault="00A3793C">
      <w:pPr>
        <w:spacing w:before="0" w:after="0"/>
      </w:pPr>
    </w:p>
  </w:footnote>
  <w:footnote w:id="2">
    <w:p w14:paraId="65BF8F8C" w14:textId="4B473DB0" w:rsidR="004875CD" w:rsidRPr="001C5090" w:rsidRDefault="004875CD" w:rsidP="004875CD">
      <w:pPr>
        <w:pStyle w:val="FootnoteText"/>
      </w:pPr>
      <w:r>
        <w:rPr>
          <w:rStyle w:val="FootnoteReference"/>
        </w:rPr>
        <w:footnoteRef/>
      </w:r>
      <w:r>
        <w:tab/>
        <w:t xml:space="preserve">„The future of European competitiveness“, september 2024. </w:t>
      </w:r>
    </w:p>
  </w:footnote>
  <w:footnote w:id="3">
    <w:p w14:paraId="00F2CD19" w14:textId="415E1FA9" w:rsidR="004875CD" w:rsidRPr="00A92F39" w:rsidRDefault="004875CD" w:rsidP="004875CD">
      <w:pPr>
        <w:pStyle w:val="FootnoteText"/>
      </w:pPr>
      <w:r>
        <w:rPr>
          <w:rStyle w:val="FootnoteReference"/>
        </w:rPr>
        <w:footnoteRef/>
      </w:r>
      <w:r>
        <w:tab/>
        <w:t xml:space="preserve">Budapesti deklaratsioon uue Euroopa konkurentsivõime kokkuleppe kohta, 8. november 2024. </w:t>
      </w:r>
    </w:p>
  </w:footnote>
  <w:footnote w:id="4">
    <w:p w14:paraId="7DB2E662" w14:textId="737F6ED9" w:rsidR="004875CD" w:rsidRPr="00A92F39" w:rsidRDefault="004875CD" w:rsidP="004875CD">
      <w:pPr>
        <w:pStyle w:val="FootnoteText"/>
        <w:ind w:left="0" w:firstLine="0"/>
      </w:pPr>
      <w:r>
        <w:rPr>
          <w:rStyle w:val="FootnoteReference"/>
        </w:rPr>
        <w:footnoteRef/>
      </w:r>
      <w:r>
        <w:tab/>
        <w:t>Komisjoni teatis Euroopa Parlamendile, Euroopa Ülemkogule, nõukogule, Euroopa Majandus- ja Sotsiaalkomiteele ning Regioonide Komiteele „ELi konkurentsivõime kompass“ (COM(2025) 30 final).</w:t>
      </w:r>
    </w:p>
  </w:footnote>
  <w:footnote w:id="5">
    <w:p w14:paraId="533D478B" w14:textId="3E79E686" w:rsidR="004875CD" w:rsidRPr="004138C0" w:rsidRDefault="004875CD" w:rsidP="004875CD">
      <w:pPr>
        <w:pStyle w:val="FootnoteText"/>
        <w:ind w:left="0" w:firstLine="0"/>
      </w:pPr>
      <w:r>
        <w:rPr>
          <w:rStyle w:val="FootnoteReference"/>
        </w:rPr>
        <w:footnoteRef/>
      </w:r>
      <w:r>
        <w:tab/>
        <w:t>Komisjoni teatis Euroopa Parlamendile, nõukogule, Euroopa Majandus- ja Sotsiaalkomiteele ning Regioonide Komiteele „Lihtsam ja kiirem Euroopa: teatis rakendamise ja lihtsustamise kohta“ (COM(2025) 47 final).</w:t>
      </w:r>
    </w:p>
  </w:footnote>
  <w:footnote w:id="6">
    <w:p w14:paraId="70EE944E" w14:textId="7D932725" w:rsidR="00A53DB0" w:rsidRPr="00341E86" w:rsidRDefault="00A53DB0" w:rsidP="00A53DB0">
      <w:pPr>
        <w:pStyle w:val="FootnoteText"/>
        <w:ind w:left="0" w:firstLine="0"/>
      </w:pPr>
      <w:r>
        <w:rPr>
          <w:rStyle w:val="FootnoteReference"/>
        </w:rPr>
        <w:footnoteRef/>
      </w:r>
      <w:r>
        <w:tab/>
        <w:t>Euroopa Parlamendi ja nõukogu 14. detsembri 2022. aasta direktiiv (EL) 2022/2464 (äriühingute kestlikkusaruandluse direktiiv).</w:t>
      </w:r>
    </w:p>
  </w:footnote>
  <w:footnote w:id="7">
    <w:p w14:paraId="0BBC7B5C" w14:textId="043DC7B2" w:rsidR="00A53DB0" w:rsidRPr="00841383" w:rsidRDefault="00A53DB0" w:rsidP="00A53DB0">
      <w:pPr>
        <w:pStyle w:val="FootnoteText"/>
        <w:ind w:left="0" w:firstLine="0"/>
      </w:pPr>
      <w:r>
        <w:rPr>
          <w:rStyle w:val="FootnoteReference"/>
        </w:rPr>
        <w:footnoteRef/>
      </w:r>
      <w:r>
        <w:tab/>
        <w:t>Euroopa Parlamendi ja nõukogu 26. juuni 2013. aasta direktiiv 2013/34/EL (raamatupidamisdirektiiv). Euroopa Parlamendi ja nõukogu 15. detsembri 2004. aasta direktiiv 2004/109/EÜ (läbipaistvusdirektiiv). Euroopa Parlamendi ja nõukogu 17. mai 2006. aasta direktiiv 2006/43/EÜ (auditidirektiiv). Euroopa Parlamendi ja nõukogu 16. aprilli 2014. aasta määrus (EÜ) nr 537/2014 (auditimäärus).</w:t>
      </w:r>
    </w:p>
  </w:footnote>
  <w:footnote w:id="8">
    <w:p w14:paraId="58D5382F" w14:textId="06273D79" w:rsidR="00A53DB0" w:rsidRPr="001C5090" w:rsidRDefault="00A53DB0" w:rsidP="00A53DB0">
      <w:pPr>
        <w:pStyle w:val="FootnoteText"/>
        <w:ind w:left="0" w:firstLine="0"/>
      </w:pPr>
      <w:r>
        <w:rPr>
          <w:rStyle w:val="FootnoteReference"/>
        </w:rPr>
        <w:footnoteRef/>
      </w:r>
      <w:r>
        <w:tab/>
        <w:t>Komisjoni teatis „Euroopa roheline kokkulepe“ (COM(2019) 640 final). Komisjoni teatis „Tegevuskava: Jätkusuutliku majanduskasvu rahastamine“ (COM(2018) 97 final).</w:t>
      </w:r>
    </w:p>
  </w:footnote>
  <w:footnote w:id="9">
    <w:p w14:paraId="06D95305" w14:textId="5E850D6E" w:rsidR="00A53DB0" w:rsidRPr="006838CC" w:rsidRDefault="00A53DB0" w:rsidP="008A6B8D">
      <w:pPr>
        <w:pStyle w:val="FootnoteText"/>
        <w:ind w:left="0" w:firstLine="0"/>
      </w:pPr>
      <w:r>
        <w:rPr>
          <w:rStyle w:val="FootnoteReference"/>
        </w:rPr>
        <w:footnoteRef/>
      </w:r>
      <w:r>
        <w:tab/>
        <w:t>Konsolideeritud kestlikkusaruandluse puhul ka avaliku huvi üksused, kes on rohkem kui 500 töötajaga kontserni emaettevõtjad. „Avaliku huvi üksused“ on raamatupidamisdirektiivi artikli 2 punktis 1 määratletud kui ettevõtjad: a) kelle suhtes kohaldatakse liikmesriigi õigust ning kelle vabalt võõrandatavate väärtpaberitega lubatakse kaubelda ELi reguleeritud turul; b) kes on krediidiasutused; c) kes on kindlustusandjad või d) kes on liikmesriikide poolt nimetatud avaliku huvi üksusteks. „Suurettevõtjad“ on määratletud raamatupidamisdirektiivi artikli 3 lõikes 4 kui ettevõtjad, kes oma bilansipäeval ületavad kolme järgmise kriteeriumi seast vähemalt kahte piirmäära: a) bilansimaht: 25 000 000 eurot; b) netokäive: 50 000 000 eurot; c) keskmine töötajate arv aruandeaasta jooksul: 250.</w:t>
      </w:r>
    </w:p>
  </w:footnote>
  <w:footnote w:id="10">
    <w:p w14:paraId="5A52A887" w14:textId="527912BE" w:rsidR="0079497B" w:rsidRPr="0079497B" w:rsidRDefault="0079497B">
      <w:pPr>
        <w:pStyle w:val="FootnoteText"/>
      </w:pPr>
      <w:r>
        <w:rPr>
          <w:rStyle w:val="FootnoteReference"/>
        </w:rPr>
        <w:footnoteRef/>
      </w:r>
      <w:r>
        <w:tab/>
        <w:t>Konsolideeritud kestlikkusaruandluse puhul ka teised suurte kontsernide emaettevõtjad.</w:t>
      </w:r>
    </w:p>
  </w:footnote>
  <w:footnote w:id="11">
    <w:p w14:paraId="30182859" w14:textId="3092AF78" w:rsidR="00691CEA" w:rsidRPr="00691CEA" w:rsidRDefault="00691CEA" w:rsidP="00691CEA">
      <w:pPr>
        <w:pStyle w:val="FootnoteText"/>
        <w:ind w:left="0" w:firstLine="0"/>
      </w:pPr>
      <w:r>
        <w:rPr>
          <w:rStyle w:val="FootnoteReference"/>
        </w:rPr>
        <w:footnoteRef/>
      </w:r>
      <w:r>
        <w:tab/>
        <w:t>Kolmandas etapis osalevad ka väikesed ja mittekeerukad krediidiasutused ning kaptiivkindlustusandjad ja kaptiivedasikindlustusandjad, kuigi nad võivad kasutada täiendavat kaheaastast loobumisvõimalust üksnes juhul, kui nad on börsil noteeritud VKEd.</w:t>
      </w:r>
    </w:p>
  </w:footnote>
  <w:footnote w:id="12">
    <w:p w14:paraId="29D0A7FD" w14:textId="78BDE862" w:rsidR="001E0B9F" w:rsidRPr="001E0B9F" w:rsidRDefault="001E0B9F" w:rsidP="001E0B9F">
      <w:pPr>
        <w:pStyle w:val="FootnoteText"/>
        <w:ind w:left="0" w:firstLine="0"/>
      </w:pPr>
      <w:r>
        <w:rPr>
          <w:rStyle w:val="FootnoteReference"/>
        </w:rPr>
        <w:footnoteRef/>
      </w:r>
      <w:r>
        <w:tab/>
        <w:t>Vastavalt raamatupidamisdirektiivi (muudetud CSRDga) artiklile 40a peab mujal kui ELis asutatud ettevõtja esitama kestlikkusteabe kontserni tasandil, kui ta a) teenib liidus üle 150 miljoni euro ja b) tal on ELis tütarettevõtja, kelle suhtes kohaldatakse CSRDga kehtestatud kestlikkusaruandluse nõudeid, või tal on ELi filiaal, mis teenib üle 40 miljoni euro. Sellisel juhul on ELi tütarettevõtjal või filiaalil õiguslik kohustus aruanne avaldada.</w:t>
      </w:r>
    </w:p>
  </w:footnote>
  <w:footnote w:id="13">
    <w:p w14:paraId="44C95D97" w14:textId="5A8AA16B" w:rsidR="00A53DB0" w:rsidRPr="005B5F6E" w:rsidRDefault="00A53DB0" w:rsidP="00A53DB0">
      <w:pPr>
        <w:pStyle w:val="FootnoteText"/>
        <w:ind w:left="0" w:firstLine="0"/>
      </w:pPr>
      <w:r>
        <w:rPr>
          <w:rStyle w:val="FootnoteReference"/>
        </w:rPr>
        <w:footnoteRef/>
      </w:r>
      <w:r>
        <w:tab/>
        <w:t>Komisjoni 31. juuli 2023. aasta delegeeritud määrus (EL) 2023/2772, millega täiendatakse Euroopa Parlamendi ja nõukogu direktiivi 2013/34/EL seoses kestlikkusaruandluse standarditega.</w:t>
      </w:r>
    </w:p>
  </w:footnote>
  <w:footnote w:id="14">
    <w:p w14:paraId="7C184B09" w14:textId="4CCADC15" w:rsidR="00A53DB0" w:rsidRPr="00146875" w:rsidRDefault="00A53DB0" w:rsidP="00A53DB0">
      <w:pPr>
        <w:pStyle w:val="FootnoteText"/>
        <w:ind w:left="0" w:firstLine="0"/>
      </w:pPr>
      <w:r>
        <w:rPr>
          <w:rStyle w:val="FootnoteReference"/>
        </w:rPr>
        <w:footnoteRef/>
      </w:r>
      <w:r>
        <w:tab/>
        <w:t>EFRAGi varasem nimetus oli Euroopa finantsaruandluse nõuanderühm, kuid praegu on selle ametlik nimetus lihtsalt EFRAG. Tegemist on mitut sidusrühma hõlmava sõltumatu eraõigusliku asutusega, mida valdavas osas rahastab EL.</w:t>
      </w:r>
    </w:p>
  </w:footnote>
  <w:footnote w:id="15">
    <w:p w14:paraId="4B0388A9" w14:textId="03D72822" w:rsidR="00A53DB0" w:rsidRPr="008233EB" w:rsidRDefault="00A53DB0" w:rsidP="00DF33E8">
      <w:pPr>
        <w:pStyle w:val="FootnoteText"/>
        <w:ind w:left="0" w:firstLine="0"/>
      </w:pPr>
      <w:r>
        <w:rPr>
          <w:rStyle w:val="FootnoteReference"/>
        </w:rPr>
        <w:footnoteRef/>
      </w:r>
      <w:r>
        <w:tab/>
        <w:t>Piiratud kindlust andva töövõtu korral on töö maht oluliselt väiksem kui piisavat kindlust andva töövõtu korral. Piiratud kindlust andva töövõtu kokkuvõte esitatakse tavaliselt eitava lause vormis, märkides, et kindluse andja ei ole tuvastanud midagi, mis võimaldaks järeldada, et töövõtu objektis on märkimisväärseid väärkajastatusi. Piisavat kindlust andva töövõtu korral sõnastatakse kokkuvõte tavaliselt jaatava lause vormis ja tulemuseks on arvamus varem kindlaks määratud kriteeriumide alusel tehtud hindamise kohta.</w:t>
      </w:r>
    </w:p>
  </w:footnote>
  <w:footnote w:id="16">
    <w:p w14:paraId="619EA6EA" w14:textId="00A5BF7B" w:rsidR="00C37F8F" w:rsidRPr="001E198A" w:rsidRDefault="00C37F8F" w:rsidP="00C37F8F">
      <w:pPr>
        <w:pStyle w:val="FootnoteText"/>
        <w:ind w:left="0" w:firstLine="0"/>
      </w:pPr>
      <w:r>
        <w:rPr>
          <w:rStyle w:val="FootnoteReference"/>
        </w:rPr>
        <w:footnoteRef/>
      </w:r>
      <w:r>
        <w:tab/>
        <w:t>Lisaks tõstetakse järjepidevuse huvides raamatupidamisdirektiivi artiklis 40a sätestatud liidus saadud netokäibe künnist nende mujal kui ELis asutatud ettevõtjate puhul, kelle suhtes kohaldatakse kontserni tasandil aruandlusnõudeid, 150 miljonilt eurolt 450 miljonile eurole. Peale selle tõstetakse järjepidevuse huvides artiklis 40a ELi filiaalidele ettenähtud künnist 40 miljonilt eurolt 50 miljonile eurole ning ELi tütarettevõtjatele kehtestatud künnist kohaldatakse üksnes raamatupidamisdirektiivis määratletud suurettevõtjate suhtes. CSDDDs sätestatud peamised künnised on 1 000 töötajat ja 450 miljoni euro suurune käive.</w:t>
      </w:r>
    </w:p>
  </w:footnote>
  <w:footnote w:id="17">
    <w:p w14:paraId="1E7651F3" w14:textId="726C8BE8" w:rsidR="00A957BF" w:rsidRPr="00BB1ACA" w:rsidRDefault="00A957BF" w:rsidP="00DD2BEC">
      <w:pPr>
        <w:pStyle w:val="FootnoteText"/>
        <w:ind w:left="0" w:firstLine="0"/>
      </w:pPr>
      <w:r>
        <w:rPr>
          <w:rStyle w:val="FootnoteReference"/>
        </w:rPr>
        <w:footnoteRef/>
      </w:r>
      <w:r>
        <w:tab/>
        <w:t>Samuti ettevõtjad, kes ei ole avaliku huvi üksused ja kes on üle 500 töötajaga suure kontserni emaettevõtjad, ning ettevõtjad, kes on vähem kui 500 töötajaga suure kontserni emaettevõtjad.</w:t>
      </w:r>
    </w:p>
  </w:footnote>
  <w:footnote w:id="18">
    <w:p w14:paraId="3C32A32E" w14:textId="2953927B" w:rsidR="001275AC" w:rsidRPr="007927A9" w:rsidRDefault="001275AC" w:rsidP="00634F0B">
      <w:pPr>
        <w:pStyle w:val="FootnoteText"/>
        <w:ind w:left="0" w:firstLine="0"/>
      </w:pPr>
      <w:r>
        <w:rPr>
          <w:rStyle w:val="FootnoteReference"/>
        </w:rPr>
        <w:footnoteRef/>
      </w:r>
      <w:r>
        <w:tab/>
      </w:r>
      <w:r>
        <w:rPr>
          <w:rStyle w:val="normaltextrun"/>
          <w:color w:val="000000"/>
          <w:shd w:val="clear" w:color="auto" w:fill="FFFFFF"/>
        </w:rPr>
        <w:t>Ajavahemikus 17. oktoobrist kuni 1. detsembrini 2023 kogus komisjon 193 sidusrühmalt tagasisidet aruandlusnõuete võimaliku ratsionaliseerimise meetmete kohta. Tagasisidekorjele vastasid peamiselt ettevõtjate ühendused (84), äriühingud (35), ametiasutused (23) ja vabaühendused (18). Mis puudutab geograafilist katvust, siis pärinesid sidusrühmad peamiselt Saksamaalt (53), Belgiast (47), Prantsusmaalt (7), Leedust (8), Madalmaadest (6), Itaaliast (5) ja Austriast (4). Tagasiside sisaldas ka ettepanekut kasutada digiteerimist ja sujuvamaid andmevooge, tagada andmete ja standardite korduskasutus ning selgete ja õigeaegsete suuniste kättesaadavus ning kõrvaldada õigusaktides esinevad kattuvused ja vastuolud.</w:t>
      </w:r>
      <w:r>
        <w:rPr>
          <w:rStyle w:val="normaltextrun"/>
          <w:rFonts w:ascii="Aptos" w:hAnsi="Aptos"/>
          <w:color w:val="000000"/>
          <w:shd w:val="clear" w:color="auto" w:fill="FFFFFF"/>
        </w:rPr>
        <w:t xml:space="preserve"> </w:t>
      </w:r>
      <w:hyperlink r:id="rId1" w:tgtFrame="_blank" w:history="1">
        <w:r>
          <w:rPr>
            <w:rStyle w:val="normaltextrun"/>
            <w:color w:val="467886"/>
            <w:u w:val="single"/>
            <w:shd w:val="clear" w:color="auto" w:fill="FFFFFF"/>
          </w:rPr>
          <w:t>https://ec.europa.eu/info/law/better-regulation/have-your-say/initiatives/13990-Administrative-burden-rationalisation-of-reporting-requirements_et</w:t>
        </w:r>
      </w:hyperlink>
    </w:p>
  </w:footnote>
  <w:footnote w:id="19">
    <w:p w14:paraId="7DAAF59F" w14:textId="77777777" w:rsidR="006C7F87" w:rsidRPr="00FA2113" w:rsidRDefault="006C7F87" w:rsidP="0094068A">
      <w:pPr>
        <w:pStyle w:val="FootnoteText"/>
      </w:pPr>
      <w:r>
        <w:rPr>
          <w:rStyle w:val="FootnoteReference"/>
        </w:rPr>
        <w:footnoteRef/>
      </w:r>
      <w:r>
        <w:tab/>
        <w:t>ELT C […], […], lk […].</w:t>
      </w:r>
    </w:p>
  </w:footnote>
  <w:footnote w:id="20">
    <w:p w14:paraId="229DD3C4" w14:textId="77777777" w:rsidR="00F06FCD" w:rsidRPr="00A128B6" w:rsidRDefault="00F06FCD">
      <w:pPr>
        <w:pStyle w:val="FootnoteText"/>
      </w:pPr>
      <w:r>
        <w:rPr>
          <w:rStyle w:val="FootnoteReference"/>
        </w:rPr>
        <w:footnoteRef/>
      </w:r>
      <w:r>
        <w:tab/>
        <w:t>Komisjoni 11. veebruari 2025. aasta teatis Euroopa Parlamendile, nõukogule, Euroopa Majandus- ja Sotsiaalkomiteele ning Regioonide Komiteele „Lihtsam ja kiirem Euroopa:</w:t>
      </w:r>
      <w:r>
        <w:rPr>
          <w:i/>
        </w:rPr>
        <w:t xml:space="preserve"> </w:t>
      </w:r>
      <w:r>
        <w:t>teatis rakendamise ja lihtsustamise kohta“ (COM(2025) 47 final).</w:t>
      </w:r>
    </w:p>
  </w:footnote>
  <w:footnote w:id="21">
    <w:p w14:paraId="1BD1DB8D" w14:textId="77777777" w:rsidR="0005409B" w:rsidRPr="0080569C" w:rsidRDefault="0005409B" w:rsidP="0080569C">
      <w:pPr>
        <w:pStyle w:val="FootnoteText"/>
      </w:pPr>
      <w:r>
        <w:rPr>
          <w:rStyle w:val="FootnoteReference"/>
        </w:rPr>
        <w:footnoteRef/>
      </w:r>
      <w:r>
        <w:tab/>
        <w:t>Euroopa Parlamendi ja nõukogu 14. detsembri 2022. aasta direktiiv (EL) 2022/2464, millega muudetakse määrust (EL) nr 537/2014, direktiivi 2004/109/EÜ, direktiivi 2006/43/EÜ ja direktiivi 2013/34/EL seoses äriühingute kestlikkusaruandlusega (ELT L 322, 16.12.2022, lk 15, ELI: </w:t>
      </w:r>
      <w:hyperlink r:id="rId2" w:tooltip="Juurdepääs dokumendile ELI URI kaudu." w:history="1">
        <w:r>
          <w:rPr>
            <w:color w:val="0000FF"/>
            <w:u w:val="single"/>
          </w:rPr>
          <w:t>http://data.europa.eu/eli/dir/2022/2464/oj</w:t>
        </w:r>
      </w:hyperlink>
      <w:r>
        <w:t>).</w:t>
      </w:r>
    </w:p>
  </w:footnote>
  <w:footnote w:id="22">
    <w:p w14:paraId="5CE05F6D" w14:textId="77777777" w:rsidR="005C7196" w:rsidRPr="005C7196" w:rsidRDefault="005C7196" w:rsidP="005C7196">
      <w:pPr>
        <w:pStyle w:val="FootnoteText"/>
      </w:pPr>
      <w:r>
        <w:rPr>
          <w:rStyle w:val="FootnoteReference"/>
        </w:rPr>
        <w:footnoteRef/>
      </w:r>
      <w:r>
        <w:tab/>
        <w:t>Euroopa Parlamendi ja nõukogu 13. juuni 2024. aasta direktiiv (EL) 2024/1760, mis käsitleb äriühingute kestlikkusalast hoolsuskohustust ja millega muudetakse direktiivi (EL) 2019/1937 ning määrust (EL) 2023/2859 (ELT L, 2024/1760, 5.7.2024, ELI: http://data.europa.eu/eli/dir/2024/1760/oj).</w:t>
      </w:r>
    </w:p>
  </w:footnote>
  <w:footnote w:id="23">
    <w:p w14:paraId="26B9C313" w14:textId="77777777" w:rsidR="00E6553B" w:rsidRPr="00E6553B" w:rsidRDefault="00E6553B" w:rsidP="00E6553B">
      <w:pPr>
        <w:pStyle w:val="FootnoteText"/>
      </w:pPr>
      <w:r>
        <w:rPr>
          <w:rStyle w:val="FootnoteReference"/>
        </w:rPr>
        <w:footnoteRef/>
      </w:r>
      <w:r>
        <w:tab/>
        <w:t>Komisjoni 11. detsembri 2019. aasta teatis Euroopa Parlamendile, Euroopa Ülemkogule, nõukogule, Euroopa Majandus- ja Sotsiaalkomiteele ning Regioonide Komiteele „Euroopa roheline kokkulepe“ (COM(2019) 640 final).</w:t>
      </w:r>
    </w:p>
  </w:footnote>
  <w:footnote w:id="24">
    <w:p w14:paraId="3F7D67A6" w14:textId="77777777" w:rsidR="005C7196" w:rsidRPr="00DE5445" w:rsidRDefault="005C7196" w:rsidP="00DE5445">
      <w:pPr>
        <w:pStyle w:val="FootnoteText"/>
      </w:pPr>
      <w:r>
        <w:rPr>
          <w:rStyle w:val="FootnoteReference"/>
        </w:rPr>
        <w:footnoteRef/>
      </w:r>
      <w:r>
        <w:tab/>
      </w:r>
      <w:r>
        <w:rPr>
          <w:sz w:val="18"/>
        </w:rPr>
        <w:t>Komisjoni teatis Euroopa Parlamendile, Euroopa Ülemkogule, nõukogule, Euroopa Keskpangale, Euroopa Majandus- ja Sotsiaalkomiteele ning Regioonide Komiteele „Tegevuskava:</w:t>
      </w:r>
      <w:r>
        <w:rPr>
          <w:i/>
          <w:sz w:val="18"/>
        </w:rPr>
        <w:t xml:space="preserve"> </w:t>
      </w:r>
      <w:r>
        <w:rPr>
          <w:sz w:val="18"/>
        </w:rPr>
        <w:t>Jätkusuutliku majanduskasvu rahastamine“ (COM(2018) 97 final).</w:t>
      </w:r>
    </w:p>
  </w:footnote>
  <w:footnote w:id="25">
    <w:p w14:paraId="48FE2A8A" w14:textId="77777777" w:rsidR="0015348C" w:rsidRPr="005F5F45" w:rsidRDefault="0015348C" w:rsidP="005F5F45">
      <w:pPr>
        <w:pStyle w:val="FootnoteText"/>
      </w:pPr>
      <w:r>
        <w:rPr>
          <w:rStyle w:val="FootnoteReference"/>
        </w:rPr>
        <w:footnoteRef/>
      </w:r>
      <w:r>
        <w:tab/>
        <w:t>Euroopa Parlamendi ja nõukogu 26. juuni 2013. aasta direktiiv 2013/34/EL teatavat liiki ettevõtjate aruandeaasta finantsaruannete, konsolideeritud finantsaruannete ja nendega seotud aruannete kohta ja millega muudetakse Euroopa Parlamendi ja nõukogu direktiivi 2006/43/EÜ ning tunnistatakse kehtetuks nõukogu direktiivid 78/660/EMÜ ja 83/349/EMÜ (ELT L 182, 29.6.2013, lk 19, ELI: http://data.europa.eu/eli/dir/2013/34/oj).</w:t>
      </w:r>
    </w:p>
  </w:footnote>
  <w:footnote w:id="26">
    <w:p w14:paraId="59B2C4CD" w14:textId="77777777" w:rsidR="007B433C" w:rsidRPr="00A128B6" w:rsidRDefault="007B433C" w:rsidP="007B7660">
      <w:pPr>
        <w:pStyle w:val="FootnoteText"/>
      </w:pPr>
      <w:r>
        <w:rPr>
          <w:rStyle w:val="FootnoteReference"/>
        </w:rPr>
        <w:footnoteRef/>
      </w:r>
      <w:r>
        <w:tab/>
        <w:t xml:space="preserve">Euroopa Parlamendi ja nõukogu 15. detsembri 2004. aasta direktiiv 2004/109/EÜ läbipaistvuse nõuete ühtlustamise kohta teabele, mis kuulub avaldamisele emitentide kohta, kelle väärtpaberid on lubatud reguleeritud turul kauplemisele, ning millega muudetakse direktiivi 2001/34/EÜ (ELT L 390, 31.12.2004, lk 38, ELI: </w:t>
      </w:r>
      <w:hyperlink r:id="rId3" w:history="1">
        <w:r>
          <w:rPr>
            <w:rStyle w:val="Hyperlink"/>
          </w:rPr>
          <w:t>http://data.europa.eu/eli/dir/2004/109/oj</w:t>
        </w:r>
      </w:hyperlink>
      <w:r>
        <w:t xml:space="preserve">). </w:t>
      </w:r>
    </w:p>
  </w:footnote>
  <w:footnote w:id="27">
    <w:p w14:paraId="3A34D00E" w14:textId="77777777" w:rsidR="00CA2B31" w:rsidRDefault="00CA2B31" w:rsidP="00CA2B31">
      <w:pPr>
        <w:pStyle w:val="FootnoteText"/>
      </w:pPr>
      <w:r>
        <w:rPr>
          <w:rStyle w:val="FootnoteReference"/>
        </w:rPr>
        <w:footnoteRef/>
      </w:r>
      <w:r>
        <w:tab/>
        <w:t>Vastavalt finantsmääruse artikli 58 lõike 2 punktile a või b.</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DFB43" w14:textId="77777777" w:rsidR="00E76CC9" w:rsidRDefault="00E76C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67050" w14:textId="77777777" w:rsidR="00E76CC9" w:rsidRDefault="00E76C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2"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6"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7"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9"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1"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7"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8"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0" w15:restartNumberingAfterBreak="0">
    <w:nsid w:val="557C4C1E"/>
    <w:multiLevelType w:val="hybridMultilevel"/>
    <w:tmpl w:val="C8306D66"/>
    <w:lvl w:ilvl="0" w:tplc="00C61896">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2"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3"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5"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6"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8"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30"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1"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0"/>
  </w:num>
  <w:num w:numId="2">
    <w:abstractNumId w:val="21"/>
  </w:num>
  <w:num w:numId="3">
    <w:abstractNumId w:val="8"/>
  </w:num>
  <w:num w:numId="4">
    <w:abstractNumId w:val="17"/>
  </w:num>
  <w:num w:numId="5">
    <w:abstractNumId w:val="16"/>
  </w:num>
  <w:num w:numId="6">
    <w:abstractNumId w:val="28"/>
  </w:num>
  <w:num w:numId="7">
    <w:abstractNumId w:val="25"/>
  </w:num>
  <w:num w:numId="8">
    <w:abstractNumId w:val="29"/>
  </w:num>
  <w:num w:numId="9">
    <w:abstractNumId w:val="30"/>
  </w:num>
  <w:num w:numId="10">
    <w:abstractNumId w:val="1"/>
  </w:num>
  <w:num w:numId="11">
    <w:abstractNumId w:val="10"/>
  </w:num>
  <w:num w:numId="12">
    <w:abstractNumId w:val="2"/>
  </w:num>
  <w:num w:numId="13">
    <w:abstractNumId w:val="11"/>
  </w:num>
  <w:num w:numId="14">
    <w:abstractNumId w:val="9"/>
  </w:num>
  <w:num w:numId="15">
    <w:abstractNumId w:val="18"/>
  </w:num>
  <w:num w:numId="16">
    <w:abstractNumId w:val="7"/>
  </w:num>
  <w:num w:numId="17">
    <w:abstractNumId w:val="20"/>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num>
  <w:num w:numId="22">
    <w:abstractNumId w:val="15"/>
    <w:lvlOverride w:ilvl="0">
      <w:startOverride w:val="1"/>
    </w:lvlOverride>
  </w:num>
  <w:num w:numId="23">
    <w:abstractNumId w:val="12"/>
    <w:lvlOverride w:ilvl="0">
      <w:startOverride w:val="1"/>
    </w:lvlOverride>
  </w:num>
  <w:num w:numId="24">
    <w:abstractNumId w:val="24"/>
  </w:num>
  <w:num w:numId="25">
    <w:abstractNumId w:val="12"/>
  </w:num>
  <w:num w:numId="26">
    <w:abstractNumId w:val="27"/>
  </w:num>
  <w:num w:numId="27">
    <w:abstractNumId w:val="6"/>
  </w:num>
  <w:num w:numId="28">
    <w:abstractNumId w:val="13"/>
  </w:num>
  <w:num w:numId="29">
    <w:abstractNumId w:val="14"/>
  </w:num>
  <w:num w:numId="30">
    <w:abstractNumId w:val="4"/>
  </w:num>
  <w:num w:numId="31">
    <w:abstractNumId w:val="26"/>
  </w:num>
  <w:num w:numId="32">
    <w:abstractNumId w:val="3"/>
  </w:num>
  <w:num w:numId="33">
    <w:abstractNumId w:val="15"/>
  </w:num>
  <w:num w:numId="34">
    <w:abstractNumId w:val="22"/>
  </w:num>
  <w:num w:numId="35">
    <w:abstractNumId w:val="23"/>
  </w:num>
  <w:num w:numId="36">
    <w:abstractNumId w:val="5"/>
  </w:num>
  <w:num w:numId="37">
    <w:abstractNumId w:val="19"/>
  </w:num>
  <w:num w:numId="38">
    <w:abstractNumId w:val="3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attachedTemplate r:id="rId1"/>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5-03-12 19:53:10"/>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E04676E0-4B00-4EF4-B62D-16D967AFCB28"/>
    <w:docVar w:name="LW_COVERPAGE_TYPE" w:val="1"/>
    <w:docVar w:name="LW_CreatedUtc" w:val="2025-02-06T08:46:16.1545004Z"/>
    <w:docVar w:name="LW_CROSSREFERENCE" w:val="{SWD(2025) 80 final}"/>
    <w:docVar w:name="LW_DocType" w:val="COM"/>
    <w:docVar w:name="LW_EMISSION" w:val="26.2.2025"/>
    <w:docVar w:name="LW_EMISSION_ISODATE" w:val="2025-02-26"/>
    <w:docVar w:name="LW_EMISSION_LOCATION" w:val="BRX"/>
    <w:docVar w:name="LW_EMISSION_PREFIX" w:val="Brüssel,"/>
    <w:docVar w:name="LW_EMISSION_SUFFIX" w:val=" "/>
    <w:docVar w:name="LW_ID_DOCMODEL" w:val="SJ-024"/>
    <w:docVar w:name="LW_ID_DOCSIGNATURE" w:val="SJ-024"/>
    <w:docVar w:name="LW_ID_DOCSTRUCTURE" w:val="COM/PL/ORG"/>
    <w:docVar w:name="LW_ID_DOCTYPE" w:val="SJ-024"/>
    <w:docVar w:name="LW_ID_STATUT" w:val="SJ-024"/>
    <w:docVar w:name="LW_INSERT_EXP.MOTIFS.NEW" w:val="1"/>
    <w:docVar w:name="LW_INTERETEEE.CP" w:val="(EMPs kohaldatav tekst)"/>
    <w:docVar w:name="LW_LANGUE" w:val="ET"/>
    <w:docVar w:name="LW_LEVEL_OF_SENSITIVITY" w:val="Standard treatment"/>
    <w:docVar w:name="LW_NOM.INST" w:val="EUROOPA KOMISJON"/>
    <w:docVar w:name="LW_NOM.INST_JOINTDOC" w:val="&lt;EMPTY&gt;"/>
    <w:docVar w:name="LW_PART_NBR" w:val="1"/>
    <w:docVar w:name="LW_PART_NBR_TOTAL" w:val="1"/>
    <w:docVar w:name="LW_REF.II.NEW.CP" w:val="COD"/>
    <w:docVar w:name="LW_REF.II.NEW.CP_NUMBER" w:val="0044"/>
    <w:docVar w:name="LW_REF.II.NEW.CP_YEAR" w:val="2025"/>
    <w:docVar w:name="LW_REF.INST.NEW" w:val="COM"/>
    <w:docVar w:name="LW_REF.INST.NEW_ADOPTED" w:val="final"/>
    <w:docVar w:name="LW_REF.INST.NEW_TEXT" w:val="(2025) 8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Ettepanek:"/>
    <w:docVar w:name="LW_SUPERTITRE" w:val="&lt;UNUSED&gt;"/>
    <w:docVar w:name="LW_TITRE.OBJ.CP" w:val="millega muudetakse direktiive (EL) 2022/2464 ja (EL) 2024/1760 seoses kuupäevadega, millest alates peavad liikmesriigid kohaldama teatavaid äriühingute kestlikkusaruandluse ja hoolsuskohustuse nõudeid"/>
    <w:docVar w:name="LW_TYPE.DOC.CP" w:val="EUROOPA PARLAMENDI JA NÕUKOGU DIREKTIIV,"/>
    <w:docVar w:name="LwApiVersions" w:val="LW4CoDe 1.24.5.0; LW 9.0, Build 20240221"/>
  </w:docVars>
  <w:rsids>
    <w:rsidRoot w:val="006C7F87"/>
    <w:rsid w:val="00000A56"/>
    <w:rsid w:val="00001519"/>
    <w:rsid w:val="00001C94"/>
    <w:rsid w:val="00001F5D"/>
    <w:rsid w:val="00002430"/>
    <w:rsid w:val="0000448A"/>
    <w:rsid w:val="00004740"/>
    <w:rsid w:val="00004DCC"/>
    <w:rsid w:val="00005FB2"/>
    <w:rsid w:val="000064E3"/>
    <w:rsid w:val="00006BE4"/>
    <w:rsid w:val="00010BD3"/>
    <w:rsid w:val="000115DD"/>
    <w:rsid w:val="00014203"/>
    <w:rsid w:val="00014E80"/>
    <w:rsid w:val="00016972"/>
    <w:rsid w:val="00017932"/>
    <w:rsid w:val="00020A00"/>
    <w:rsid w:val="00021ED7"/>
    <w:rsid w:val="00022B87"/>
    <w:rsid w:val="00023740"/>
    <w:rsid w:val="000240CF"/>
    <w:rsid w:val="00024DBC"/>
    <w:rsid w:val="000333BE"/>
    <w:rsid w:val="0003473F"/>
    <w:rsid w:val="00035C0E"/>
    <w:rsid w:val="00037573"/>
    <w:rsid w:val="000414FE"/>
    <w:rsid w:val="00042905"/>
    <w:rsid w:val="00044603"/>
    <w:rsid w:val="00046A65"/>
    <w:rsid w:val="00046D7B"/>
    <w:rsid w:val="00047793"/>
    <w:rsid w:val="000506E3"/>
    <w:rsid w:val="00051236"/>
    <w:rsid w:val="000515FD"/>
    <w:rsid w:val="00051AFB"/>
    <w:rsid w:val="00053819"/>
    <w:rsid w:val="0005409B"/>
    <w:rsid w:val="00057751"/>
    <w:rsid w:val="0005779E"/>
    <w:rsid w:val="00057DC9"/>
    <w:rsid w:val="00061420"/>
    <w:rsid w:val="000658DE"/>
    <w:rsid w:val="00065E58"/>
    <w:rsid w:val="00070B34"/>
    <w:rsid w:val="00070DE2"/>
    <w:rsid w:val="000722D8"/>
    <w:rsid w:val="00073A17"/>
    <w:rsid w:val="00073C6C"/>
    <w:rsid w:val="00074A2F"/>
    <w:rsid w:val="00074B47"/>
    <w:rsid w:val="00074F9C"/>
    <w:rsid w:val="000751F3"/>
    <w:rsid w:val="000759AE"/>
    <w:rsid w:val="00075F17"/>
    <w:rsid w:val="00080A04"/>
    <w:rsid w:val="00081021"/>
    <w:rsid w:val="00083172"/>
    <w:rsid w:val="00083FC5"/>
    <w:rsid w:val="00084620"/>
    <w:rsid w:val="00084AAD"/>
    <w:rsid w:val="0008577A"/>
    <w:rsid w:val="000857AB"/>
    <w:rsid w:val="000869E9"/>
    <w:rsid w:val="0008797C"/>
    <w:rsid w:val="00092E59"/>
    <w:rsid w:val="00094284"/>
    <w:rsid w:val="000944BA"/>
    <w:rsid w:val="0009477C"/>
    <w:rsid w:val="000956A0"/>
    <w:rsid w:val="00096750"/>
    <w:rsid w:val="000A0C13"/>
    <w:rsid w:val="000A19BC"/>
    <w:rsid w:val="000A1BF2"/>
    <w:rsid w:val="000A30FC"/>
    <w:rsid w:val="000A3313"/>
    <w:rsid w:val="000A419A"/>
    <w:rsid w:val="000A561A"/>
    <w:rsid w:val="000A5941"/>
    <w:rsid w:val="000A63E4"/>
    <w:rsid w:val="000A68D5"/>
    <w:rsid w:val="000B0CA2"/>
    <w:rsid w:val="000B1895"/>
    <w:rsid w:val="000B1B58"/>
    <w:rsid w:val="000B1F10"/>
    <w:rsid w:val="000B1FD8"/>
    <w:rsid w:val="000B404F"/>
    <w:rsid w:val="000B47D3"/>
    <w:rsid w:val="000B51AB"/>
    <w:rsid w:val="000B5330"/>
    <w:rsid w:val="000B7904"/>
    <w:rsid w:val="000C02AD"/>
    <w:rsid w:val="000C13CE"/>
    <w:rsid w:val="000C1ADD"/>
    <w:rsid w:val="000C2145"/>
    <w:rsid w:val="000C21BD"/>
    <w:rsid w:val="000C4977"/>
    <w:rsid w:val="000C4B22"/>
    <w:rsid w:val="000C5C36"/>
    <w:rsid w:val="000C5D90"/>
    <w:rsid w:val="000C68DE"/>
    <w:rsid w:val="000D3A2F"/>
    <w:rsid w:val="000D5AA7"/>
    <w:rsid w:val="000D5CA4"/>
    <w:rsid w:val="000D5FE5"/>
    <w:rsid w:val="000D6015"/>
    <w:rsid w:val="000D62EA"/>
    <w:rsid w:val="000D6621"/>
    <w:rsid w:val="000D6EEE"/>
    <w:rsid w:val="000E100A"/>
    <w:rsid w:val="000E39FC"/>
    <w:rsid w:val="000E3C43"/>
    <w:rsid w:val="000E44CD"/>
    <w:rsid w:val="000E764E"/>
    <w:rsid w:val="000E7BD7"/>
    <w:rsid w:val="000F1D21"/>
    <w:rsid w:val="000F2513"/>
    <w:rsid w:val="000F42C4"/>
    <w:rsid w:val="000F7EE5"/>
    <w:rsid w:val="001006D0"/>
    <w:rsid w:val="00100B9F"/>
    <w:rsid w:val="00100FF0"/>
    <w:rsid w:val="00103694"/>
    <w:rsid w:val="00103ABA"/>
    <w:rsid w:val="00104BDE"/>
    <w:rsid w:val="00105384"/>
    <w:rsid w:val="00105750"/>
    <w:rsid w:val="001065F5"/>
    <w:rsid w:val="00106C8D"/>
    <w:rsid w:val="00107329"/>
    <w:rsid w:val="00110596"/>
    <w:rsid w:val="00110866"/>
    <w:rsid w:val="00110AFB"/>
    <w:rsid w:val="00110D9F"/>
    <w:rsid w:val="001112CA"/>
    <w:rsid w:val="00113E98"/>
    <w:rsid w:val="00116A75"/>
    <w:rsid w:val="00116F1C"/>
    <w:rsid w:val="00120567"/>
    <w:rsid w:val="00121879"/>
    <w:rsid w:val="00122340"/>
    <w:rsid w:val="001230BB"/>
    <w:rsid w:val="001238EF"/>
    <w:rsid w:val="0012448C"/>
    <w:rsid w:val="00124F31"/>
    <w:rsid w:val="001254B6"/>
    <w:rsid w:val="00125F26"/>
    <w:rsid w:val="001269CB"/>
    <w:rsid w:val="00126DDC"/>
    <w:rsid w:val="001275AC"/>
    <w:rsid w:val="00127E30"/>
    <w:rsid w:val="00131346"/>
    <w:rsid w:val="00133251"/>
    <w:rsid w:val="001333BB"/>
    <w:rsid w:val="001365F6"/>
    <w:rsid w:val="0013685A"/>
    <w:rsid w:val="00137105"/>
    <w:rsid w:val="001423E7"/>
    <w:rsid w:val="001428A5"/>
    <w:rsid w:val="001453BD"/>
    <w:rsid w:val="001459D6"/>
    <w:rsid w:val="001466AD"/>
    <w:rsid w:val="001471FE"/>
    <w:rsid w:val="00147D4A"/>
    <w:rsid w:val="00150A06"/>
    <w:rsid w:val="00150A0C"/>
    <w:rsid w:val="00152FAA"/>
    <w:rsid w:val="0015348C"/>
    <w:rsid w:val="00153715"/>
    <w:rsid w:val="00153787"/>
    <w:rsid w:val="00154A58"/>
    <w:rsid w:val="00155218"/>
    <w:rsid w:val="0015570C"/>
    <w:rsid w:val="001559B2"/>
    <w:rsid w:val="001615C9"/>
    <w:rsid w:val="00161789"/>
    <w:rsid w:val="00162314"/>
    <w:rsid w:val="00162A4D"/>
    <w:rsid w:val="00163D9A"/>
    <w:rsid w:val="001649F9"/>
    <w:rsid w:val="00164D21"/>
    <w:rsid w:val="0016514D"/>
    <w:rsid w:val="0016688D"/>
    <w:rsid w:val="00167380"/>
    <w:rsid w:val="001704A7"/>
    <w:rsid w:val="001704D3"/>
    <w:rsid w:val="00170CC9"/>
    <w:rsid w:val="001719D9"/>
    <w:rsid w:val="00172033"/>
    <w:rsid w:val="00172EF5"/>
    <w:rsid w:val="00175112"/>
    <w:rsid w:val="00177218"/>
    <w:rsid w:val="001776F1"/>
    <w:rsid w:val="00180EC5"/>
    <w:rsid w:val="0018228A"/>
    <w:rsid w:val="00183166"/>
    <w:rsid w:val="00183581"/>
    <w:rsid w:val="001838E7"/>
    <w:rsid w:val="00185648"/>
    <w:rsid w:val="001858F5"/>
    <w:rsid w:val="00186052"/>
    <w:rsid w:val="00186A70"/>
    <w:rsid w:val="00187AAD"/>
    <w:rsid w:val="00187BE3"/>
    <w:rsid w:val="00187DFA"/>
    <w:rsid w:val="00190E89"/>
    <w:rsid w:val="00191A83"/>
    <w:rsid w:val="00192B77"/>
    <w:rsid w:val="00192E2C"/>
    <w:rsid w:val="00193464"/>
    <w:rsid w:val="0019356E"/>
    <w:rsid w:val="00194258"/>
    <w:rsid w:val="00194BFD"/>
    <w:rsid w:val="0019598C"/>
    <w:rsid w:val="00196323"/>
    <w:rsid w:val="0019720B"/>
    <w:rsid w:val="00197613"/>
    <w:rsid w:val="001A1613"/>
    <w:rsid w:val="001A1951"/>
    <w:rsid w:val="001A21C8"/>
    <w:rsid w:val="001A3845"/>
    <w:rsid w:val="001A38CB"/>
    <w:rsid w:val="001A545C"/>
    <w:rsid w:val="001A6105"/>
    <w:rsid w:val="001A6AB3"/>
    <w:rsid w:val="001A7869"/>
    <w:rsid w:val="001A7DB8"/>
    <w:rsid w:val="001B136D"/>
    <w:rsid w:val="001B17B7"/>
    <w:rsid w:val="001B3E56"/>
    <w:rsid w:val="001B428D"/>
    <w:rsid w:val="001B4307"/>
    <w:rsid w:val="001B4861"/>
    <w:rsid w:val="001B5A37"/>
    <w:rsid w:val="001B5FA7"/>
    <w:rsid w:val="001B7A1B"/>
    <w:rsid w:val="001C2F9D"/>
    <w:rsid w:val="001C3537"/>
    <w:rsid w:val="001C3BFF"/>
    <w:rsid w:val="001C49AB"/>
    <w:rsid w:val="001C785F"/>
    <w:rsid w:val="001D0366"/>
    <w:rsid w:val="001D0B41"/>
    <w:rsid w:val="001D2668"/>
    <w:rsid w:val="001D31CC"/>
    <w:rsid w:val="001D3F76"/>
    <w:rsid w:val="001D5C73"/>
    <w:rsid w:val="001D6441"/>
    <w:rsid w:val="001D68ED"/>
    <w:rsid w:val="001E0B9F"/>
    <w:rsid w:val="001E2559"/>
    <w:rsid w:val="001E3C74"/>
    <w:rsid w:val="001E595B"/>
    <w:rsid w:val="001E66FB"/>
    <w:rsid w:val="001E7E44"/>
    <w:rsid w:val="001F00A4"/>
    <w:rsid w:val="001F11BB"/>
    <w:rsid w:val="001F18C1"/>
    <w:rsid w:val="001F1CFD"/>
    <w:rsid w:val="001F3ED5"/>
    <w:rsid w:val="001F458A"/>
    <w:rsid w:val="001F5202"/>
    <w:rsid w:val="001F5A76"/>
    <w:rsid w:val="001F6994"/>
    <w:rsid w:val="001F6F3A"/>
    <w:rsid w:val="002002BC"/>
    <w:rsid w:val="00200F16"/>
    <w:rsid w:val="00201884"/>
    <w:rsid w:val="00201F03"/>
    <w:rsid w:val="00202280"/>
    <w:rsid w:val="002029D4"/>
    <w:rsid w:val="00202AD3"/>
    <w:rsid w:val="0020431E"/>
    <w:rsid w:val="0020482E"/>
    <w:rsid w:val="00204D3B"/>
    <w:rsid w:val="0020507B"/>
    <w:rsid w:val="00206CDC"/>
    <w:rsid w:val="00210E32"/>
    <w:rsid w:val="00211700"/>
    <w:rsid w:val="00211BF5"/>
    <w:rsid w:val="00212922"/>
    <w:rsid w:val="00213D3F"/>
    <w:rsid w:val="00213E32"/>
    <w:rsid w:val="00216527"/>
    <w:rsid w:val="00216752"/>
    <w:rsid w:val="00217359"/>
    <w:rsid w:val="002173A5"/>
    <w:rsid w:val="00220DDA"/>
    <w:rsid w:val="00222CD5"/>
    <w:rsid w:val="002235EA"/>
    <w:rsid w:val="002241E2"/>
    <w:rsid w:val="002253AB"/>
    <w:rsid w:val="00226EEE"/>
    <w:rsid w:val="00233980"/>
    <w:rsid w:val="00233DC7"/>
    <w:rsid w:val="00235DFF"/>
    <w:rsid w:val="002402F7"/>
    <w:rsid w:val="00240611"/>
    <w:rsid w:val="0024154A"/>
    <w:rsid w:val="002418E6"/>
    <w:rsid w:val="0024198F"/>
    <w:rsid w:val="0024323A"/>
    <w:rsid w:val="0024366B"/>
    <w:rsid w:val="00244488"/>
    <w:rsid w:val="00246B74"/>
    <w:rsid w:val="00247779"/>
    <w:rsid w:val="00250DBE"/>
    <w:rsid w:val="0025158A"/>
    <w:rsid w:val="00251A37"/>
    <w:rsid w:val="00252831"/>
    <w:rsid w:val="002537AF"/>
    <w:rsid w:val="00253805"/>
    <w:rsid w:val="0025383F"/>
    <w:rsid w:val="0025414A"/>
    <w:rsid w:val="00255F5F"/>
    <w:rsid w:val="00256B52"/>
    <w:rsid w:val="0025725C"/>
    <w:rsid w:val="002614A5"/>
    <w:rsid w:val="00261ED2"/>
    <w:rsid w:val="00262F94"/>
    <w:rsid w:val="002650E3"/>
    <w:rsid w:val="002654FB"/>
    <w:rsid w:val="00266484"/>
    <w:rsid w:val="002667E8"/>
    <w:rsid w:val="00271909"/>
    <w:rsid w:val="00271B0D"/>
    <w:rsid w:val="00274E63"/>
    <w:rsid w:val="00274FCF"/>
    <w:rsid w:val="002761CA"/>
    <w:rsid w:val="002775D8"/>
    <w:rsid w:val="00282A21"/>
    <w:rsid w:val="00285794"/>
    <w:rsid w:val="00285BEE"/>
    <w:rsid w:val="002868DC"/>
    <w:rsid w:val="00286FA2"/>
    <w:rsid w:val="0029280D"/>
    <w:rsid w:val="00293059"/>
    <w:rsid w:val="00293806"/>
    <w:rsid w:val="0029533F"/>
    <w:rsid w:val="002956CC"/>
    <w:rsid w:val="00297A5D"/>
    <w:rsid w:val="002A0B7B"/>
    <w:rsid w:val="002A2AF9"/>
    <w:rsid w:val="002A2E8F"/>
    <w:rsid w:val="002A3C91"/>
    <w:rsid w:val="002A3ECA"/>
    <w:rsid w:val="002A4672"/>
    <w:rsid w:val="002A5850"/>
    <w:rsid w:val="002A75A8"/>
    <w:rsid w:val="002B0AE1"/>
    <w:rsid w:val="002B30AF"/>
    <w:rsid w:val="002B3437"/>
    <w:rsid w:val="002B4006"/>
    <w:rsid w:val="002B45CD"/>
    <w:rsid w:val="002B668A"/>
    <w:rsid w:val="002B6DCB"/>
    <w:rsid w:val="002B7057"/>
    <w:rsid w:val="002B7587"/>
    <w:rsid w:val="002C0002"/>
    <w:rsid w:val="002C3CF8"/>
    <w:rsid w:val="002C5F60"/>
    <w:rsid w:val="002C68B1"/>
    <w:rsid w:val="002C75E5"/>
    <w:rsid w:val="002D3140"/>
    <w:rsid w:val="002D3451"/>
    <w:rsid w:val="002D59B4"/>
    <w:rsid w:val="002D6A34"/>
    <w:rsid w:val="002D76A6"/>
    <w:rsid w:val="002E2D55"/>
    <w:rsid w:val="002E31AD"/>
    <w:rsid w:val="002E3635"/>
    <w:rsid w:val="002F0991"/>
    <w:rsid w:val="002F319C"/>
    <w:rsid w:val="002F4862"/>
    <w:rsid w:val="002F4A91"/>
    <w:rsid w:val="002F4E46"/>
    <w:rsid w:val="002F5243"/>
    <w:rsid w:val="002F773F"/>
    <w:rsid w:val="002F7CCE"/>
    <w:rsid w:val="003017E4"/>
    <w:rsid w:val="003024E2"/>
    <w:rsid w:val="00307D02"/>
    <w:rsid w:val="003102DB"/>
    <w:rsid w:val="00310A73"/>
    <w:rsid w:val="00310F6D"/>
    <w:rsid w:val="003117B2"/>
    <w:rsid w:val="00311F6F"/>
    <w:rsid w:val="003121A3"/>
    <w:rsid w:val="00312AA4"/>
    <w:rsid w:val="00312FF4"/>
    <w:rsid w:val="00313A24"/>
    <w:rsid w:val="00313D82"/>
    <w:rsid w:val="00314468"/>
    <w:rsid w:val="00314682"/>
    <w:rsid w:val="00315DE7"/>
    <w:rsid w:val="00315F26"/>
    <w:rsid w:val="00316438"/>
    <w:rsid w:val="00316451"/>
    <w:rsid w:val="00316EFF"/>
    <w:rsid w:val="003204F1"/>
    <w:rsid w:val="00320592"/>
    <w:rsid w:val="00320FD0"/>
    <w:rsid w:val="00321646"/>
    <w:rsid w:val="00321BE7"/>
    <w:rsid w:val="00321F4A"/>
    <w:rsid w:val="00322B69"/>
    <w:rsid w:val="00322EFF"/>
    <w:rsid w:val="00323EC5"/>
    <w:rsid w:val="003240E3"/>
    <w:rsid w:val="00324E2F"/>
    <w:rsid w:val="00325BD4"/>
    <w:rsid w:val="00326015"/>
    <w:rsid w:val="00327AFF"/>
    <w:rsid w:val="00331383"/>
    <w:rsid w:val="00332C20"/>
    <w:rsid w:val="0033344A"/>
    <w:rsid w:val="00334C5B"/>
    <w:rsid w:val="00334FCB"/>
    <w:rsid w:val="00336F25"/>
    <w:rsid w:val="003379BF"/>
    <w:rsid w:val="00337C2A"/>
    <w:rsid w:val="003409AE"/>
    <w:rsid w:val="00341681"/>
    <w:rsid w:val="00343AF5"/>
    <w:rsid w:val="003446B3"/>
    <w:rsid w:val="00344AD0"/>
    <w:rsid w:val="00344EAA"/>
    <w:rsid w:val="00347DBD"/>
    <w:rsid w:val="00350807"/>
    <w:rsid w:val="00351D9C"/>
    <w:rsid w:val="00352AA2"/>
    <w:rsid w:val="003537A2"/>
    <w:rsid w:val="00353FFD"/>
    <w:rsid w:val="003553F8"/>
    <w:rsid w:val="00355C83"/>
    <w:rsid w:val="00360F19"/>
    <w:rsid w:val="00361B10"/>
    <w:rsid w:val="00363183"/>
    <w:rsid w:val="0036350F"/>
    <w:rsid w:val="00364007"/>
    <w:rsid w:val="00364373"/>
    <w:rsid w:val="0036598A"/>
    <w:rsid w:val="00365B52"/>
    <w:rsid w:val="00370804"/>
    <w:rsid w:val="00371584"/>
    <w:rsid w:val="00373936"/>
    <w:rsid w:val="0037411A"/>
    <w:rsid w:val="00374542"/>
    <w:rsid w:val="00375803"/>
    <w:rsid w:val="00377741"/>
    <w:rsid w:val="00380041"/>
    <w:rsid w:val="0038052F"/>
    <w:rsid w:val="00380540"/>
    <w:rsid w:val="00381DB2"/>
    <w:rsid w:val="00381E10"/>
    <w:rsid w:val="003822E4"/>
    <w:rsid w:val="003825CA"/>
    <w:rsid w:val="0038523F"/>
    <w:rsid w:val="003869C9"/>
    <w:rsid w:val="00387B5E"/>
    <w:rsid w:val="00387B8C"/>
    <w:rsid w:val="00387C50"/>
    <w:rsid w:val="0039229E"/>
    <w:rsid w:val="003925DA"/>
    <w:rsid w:val="00395EEE"/>
    <w:rsid w:val="0039704F"/>
    <w:rsid w:val="00397E46"/>
    <w:rsid w:val="003A0FEF"/>
    <w:rsid w:val="003A4147"/>
    <w:rsid w:val="003A4F24"/>
    <w:rsid w:val="003A5802"/>
    <w:rsid w:val="003A64AB"/>
    <w:rsid w:val="003A735F"/>
    <w:rsid w:val="003B0695"/>
    <w:rsid w:val="003B3882"/>
    <w:rsid w:val="003B51EB"/>
    <w:rsid w:val="003C2759"/>
    <w:rsid w:val="003C6B22"/>
    <w:rsid w:val="003C7508"/>
    <w:rsid w:val="003D2299"/>
    <w:rsid w:val="003D234B"/>
    <w:rsid w:val="003D25D1"/>
    <w:rsid w:val="003D2B3B"/>
    <w:rsid w:val="003D56AB"/>
    <w:rsid w:val="003D601A"/>
    <w:rsid w:val="003D6D30"/>
    <w:rsid w:val="003D6EEE"/>
    <w:rsid w:val="003D7AF6"/>
    <w:rsid w:val="003D7C1D"/>
    <w:rsid w:val="003E04EB"/>
    <w:rsid w:val="003E1F15"/>
    <w:rsid w:val="003E2888"/>
    <w:rsid w:val="003E324A"/>
    <w:rsid w:val="003E41BD"/>
    <w:rsid w:val="003E424A"/>
    <w:rsid w:val="003E5C68"/>
    <w:rsid w:val="003E6A28"/>
    <w:rsid w:val="003E6CBE"/>
    <w:rsid w:val="003F15F9"/>
    <w:rsid w:val="003F2513"/>
    <w:rsid w:val="003F2BB2"/>
    <w:rsid w:val="003F368B"/>
    <w:rsid w:val="003F45C2"/>
    <w:rsid w:val="003F4AD4"/>
    <w:rsid w:val="003F5635"/>
    <w:rsid w:val="003F67DF"/>
    <w:rsid w:val="003F6B69"/>
    <w:rsid w:val="003F7F2C"/>
    <w:rsid w:val="00400B70"/>
    <w:rsid w:val="00401809"/>
    <w:rsid w:val="00402489"/>
    <w:rsid w:val="00402BCC"/>
    <w:rsid w:val="0040540B"/>
    <w:rsid w:val="00405725"/>
    <w:rsid w:val="0040618E"/>
    <w:rsid w:val="00406D00"/>
    <w:rsid w:val="00406D1A"/>
    <w:rsid w:val="00406FA6"/>
    <w:rsid w:val="00407B27"/>
    <w:rsid w:val="00407B6C"/>
    <w:rsid w:val="00410B63"/>
    <w:rsid w:val="00410E37"/>
    <w:rsid w:val="00412EEF"/>
    <w:rsid w:val="004135E9"/>
    <w:rsid w:val="00415FDE"/>
    <w:rsid w:val="00416EC6"/>
    <w:rsid w:val="00420292"/>
    <w:rsid w:val="0042085E"/>
    <w:rsid w:val="004214B1"/>
    <w:rsid w:val="00421A7A"/>
    <w:rsid w:val="00421AE4"/>
    <w:rsid w:val="00421F17"/>
    <w:rsid w:val="004223DF"/>
    <w:rsid w:val="00422885"/>
    <w:rsid w:val="00423837"/>
    <w:rsid w:val="0042401C"/>
    <w:rsid w:val="004241F7"/>
    <w:rsid w:val="00425BAF"/>
    <w:rsid w:val="0042621B"/>
    <w:rsid w:val="0042624C"/>
    <w:rsid w:val="0042648E"/>
    <w:rsid w:val="00427C2F"/>
    <w:rsid w:val="00427CE8"/>
    <w:rsid w:val="004406DD"/>
    <w:rsid w:val="00440E5D"/>
    <w:rsid w:val="00445246"/>
    <w:rsid w:val="00446AE5"/>
    <w:rsid w:val="004508D2"/>
    <w:rsid w:val="004509EC"/>
    <w:rsid w:val="00450F48"/>
    <w:rsid w:val="004513C5"/>
    <w:rsid w:val="00451B5A"/>
    <w:rsid w:val="0045374D"/>
    <w:rsid w:val="004559C6"/>
    <w:rsid w:val="00455DB9"/>
    <w:rsid w:val="00456DE1"/>
    <w:rsid w:val="00457727"/>
    <w:rsid w:val="00461474"/>
    <w:rsid w:val="004625B6"/>
    <w:rsid w:val="00463146"/>
    <w:rsid w:val="00463F23"/>
    <w:rsid w:val="00465CAD"/>
    <w:rsid w:val="0046760B"/>
    <w:rsid w:val="0046D8D3"/>
    <w:rsid w:val="00472108"/>
    <w:rsid w:val="00474DBA"/>
    <w:rsid w:val="00474FD9"/>
    <w:rsid w:val="00475C7C"/>
    <w:rsid w:val="00480F54"/>
    <w:rsid w:val="00481BEB"/>
    <w:rsid w:val="00482FA2"/>
    <w:rsid w:val="00483098"/>
    <w:rsid w:val="004843D2"/>
    <w:rsid w:val="00484F89"/>
    <w:rsid w:val="00485FDD"/>
    <w:rsid w:val="004862E3"/>
    <w:rsid w:val="004875CD"/>
    <w:rsid w:val="004903FE"/>
    <w:rsid w:val="004904F6"/>
    <w:rsid w:val="00490B17"/>
    <w:rsid w:val="004936D2"/>
    <w:rsid w:val="00494487"/>
    <w:rsid w:val="004947DD"/>
    <w:rsid w:val="0049770C"/>
    <w:rsid w:val="004A0984"/>
    <w:rsid w:val="004A2570"/>
    <w:rsid w:val="004A3B6F"/>
    <w:rsid w:val="004A3C49"/>
    <w:rsid w:val="004A431C"/>
    <w:rsid w:val="004A57B2"/>
    <w:rsid w:val="004A5E27"/>
    <w:rsid w:val="004A73DD"/>
    <w:rsid w:val="004B0309"/>
    <w:rsid w:val="004B154E"/>
    <w:rsid w:val="004B215F"/>
    <w:rsid w:val="004B2D2D"/>
    <w:rsid w:val="004B3F4F"/>
    <w:rsid w:val="004B4E96"/>
    <w:rsid w:val="004B5A53"/>
    <w:rsid w:val="004B6190"/>
    <w:rsid w:val="004B6520"/>
    <w:rsid w:val="004B71A0"/>
    <w:rsid w:val="004B7930"/>
    <w:rsid w:val="004B79C1"/>
    <w:rsid w:val="004C025F"/>
    <w:rsid w:val="004C04A1"/>
    <w:rsid w:val="004C1461"/>
    <w:rsid w:val="004C1832"/>
    <w:rsid w:val="004C589F"/>
    <w:rsid w:val="004C60B6"/>
    <w:rsid w:val="004C6B84"/>
    <w:rsid w:val="004C6CB1"/>
    <w:rsid w:val="004C6F03"/>
    <w:rsid w:val="004C6F31"/>
    <w:rsid w:val="004C79CC"/>
    <w:rsid w:val="004C7A2C"/>
    <w:rsid w:val="004D238D"/>
    <w:rsid w:val="004D2808"/>
    <w:rsid w:val="004D439F"/>
    <w:rsid w:val="004D4EC0"/>
    <w:rsid w:val="004D5429"/>
    <w:rsid w:val="004D5B57"/>
    <w:rsid w:val="004D7CE7"/>
    <w:rsid w:val="004E0836"/>
    <w:rsid w:val="004E1576"/>
    <w:rsid w:val="004E16E8"/>
    <w:rsid w:val="004E1E2E"/>
    <w:rsid w:val="004E3EB8"/>
    <w:rsid w:val="004E3F6C"/>
    <w:rsid w:val="004E518E"/>
    <w:rsid w:val="004E5D02"/>
    <w:rsid w:val="004E5F46"/>
    <w:rsid w:val="004E664D"/>
    <w:rsid w:val="004E719D"/>
    <w:rsid w:val="004E7899"/>
    <w:rsid w:val="004F0204"/>
    <w:rsid w:val="004F0CF4"/>
    <w:rsid w:val="004F2909"/>
    <w:rsid w:val="004F554B"/>
    <w:rsid w:val="004F6090"/>
    <w:rsid w:val="004F619D"/>
    <w:rsid w:val="004F7D37"/>
    <w:rsid w:val="004F7ED9"/>
    <w:rsid w:val="0050020C"/>
    <w:rsid w:val="00500C88"/>
    <w:rsid w:val="00501E4B"/>
    <w:rsid w:val="00501EFE"/>
    <w:rsid w:val="00505CF3"/>
    <w:rsid w:val="005062A6"/>
    <w:rsid w:val="005064D3"/>
    <w:rsid w:val="00506697"/>
    <w:rsid w:val="00506B13"/>
    <w:rsid w:val="00506BC9"/>
    <w:rsid w:val="00511986"/>
    <w:rsid w:val="005134E1"/>
    <w:rsid w:val="00513C08"/>
    <w:rsid w:val="00515006"/>
    <w:rsid w:val="005167AD"/>
    <w:rsid w:val="005179ED"/>
    <w:rsid w:val="00517CE1"/>
    <w:rsid w:val="00520A0A"/>
    <w:rsid w:val="00522E80"/>
    <w:rsid w:val="005242A7"/>
    <w:rsid w:val="0052683F"/>
    <w:rsid w:val="00526A7F"/>
    <w:rsid w:val="0053244D"/>
    <w:rsid w:val="00533EEC"/>
    <w:rsid w:val="00536E73"/>
    <w:rsid w:val="005370CC"/>
    <w:rsid w:val="00540F3A"/>
    <w:rsid w:val="005412DF"/>
    <w:rsid w:val="005431DF"/>
    <w:rsid w:val="00543276"/>
    <w:rsid w:val="005433C5"/>
    <w:rsid w:val="005447C1"/>
    <w:rsid w:val="00544E78"/>
    <w:rsid w:val="00545F56"/>
    <w:rsid w:val="00547141"/>
    <w:rsid w:val="005500A0"/>
    <w:rsid w:val="00550E9A"/>
    <w:rsid w:val="00551364"/>
    <w:rsid w:val="00553220"/>
    <w:rsid w:val="0055345C"/>
    <w:rsid w:val="005549CD"/>
    <w:rsid w:val="00555B85"/>
    <w:rsid w:val="00557160"/>
    <w:rsid w:val="00557418"/>
    <w:rsid w:val="0055760D"/>
    <w:rsid w:val="00557723"/>
    <w:rsid w:val="0056362C"/>
    <w:rsid w:val="00563A8C"/>
    <w:rsid w:val="00563CBC"/>
    <w:rsid w:val="00570F5C"/>
    <w:rsid w:val="005713E3"/>
    <w:rsid w:val="00571840"/>
    <w:rsid w:val="00571B79"/>
    <w:rsid w:val="00571D4A"/>
    <w:rsid w:val="0057371C"/>
    <w:rsid w:val="0057398F"/>
    <w:rsid w:val="00573C2F"/>
    <w:rsid w:val="00574ACB"/>
    <w:rsid w:val="005756D4"/>
    <w:rsid w:val="00576780"/>
    <w:rsid w:val="00577F13"/>
    <w:rsid w:val="0058033F"/>
    <w:rsid w:val="00581CDC"/>
    <w:rsid w:val="00583284"/>
    <w:rsid w:val="00583B78"/>
    <w:rsid w:val="00585BD7"/>
    <w:rsid w:val="00585FEC"/>
    <w:rsid w:val="00587F26"/>
    <w:rsid w:val="0059025E"/>
    <w:rsid w:val="005910AA"/>
    <w:rsid w:val="005924B6"/>
    <w:rsid w:val="00592CFF"/>
    <w:rsid w:val="00597735"/>
    <w:rsid w:val="005A0351"/>
    <w:rsid w:val="005A0E1B"/>
    <w:rsid w:val="005A1930"/>
    <w:rsid w:val="005A2426"/>
    <w:rsid w:val="005A27DF"/>
    <w:rsid w:val="005A32FC"/>
    <w:rsid w:val="005A3B5B"/>
    <w:rsid w:val="005A4ACC"/>
    <w:rsid w:val="005A699D"/>
    <w:rsid w:val="005A6B99"/>
    <w:rsid w:val="005A7273"/>
    <w:rsid w:val="005A72C3"/>
    <w:rsid w:val="005A753D"/>
    <w:rsid w:val="005B02FD"/>
    <w:rsid w:val="005B1EB6"/>
    <w:rsid w:val="005B4404"/>
    <w:rsid w:val="005B616E"/>
    <w:rsid w:val="005B656B"/>
    <w:rsid w:val="005B71E9"/>
    <w:rsid w:val="005B76FA"/>
    <w:rsid w:val="005C24C4"/>
    <w:rsid w:val="005C3A30"/>
    <w:rsid w:val="005C5235"/>
    <w:rsid w:val="005C5F0D"/>
    <w:rsid w:val="005C7196"/>
    <w:rsid w:val="005D013E"/>
    <w:rsid w:val="005D3A22"/>
    <w:rsid w:val="005D3A3C"/>
    <w:rsid w:val="005D5CE2"/>
    <w:rsid w:val="005D6B2F"/>
    <w:rsid w:val="005E20D6"/>
    <w:rsid w:val="005E40B2"/>
    <w:rsid w:val="005E4A88"/>
    <w:rsid w:val="005E5424"/>
    <w:rsid w:val="005F00F3"/>
    <w:rsid w:val="005F0509"/>
    <w:rsid w:val="005F17C7"/>
    <w:rsid w:val="005F1991"/>
    <w:rsid w:val="005F19E6"/>
    <w:rsid w:val="005F491C"/>
    <w:rsid w:val="005F5F45"/>
    <w:rsid w:val="005F6326"/>
    <w:rsid w:val="005F63F6"/>
    <w:rsid w:val="005F6786"/>
    <w:rsid w:val="005F74D0"/>
    <w:rsid w:val="00600684"/>
    <w:rsid w:val="00602E2B"/>
    <w:rsid w:val="00602E88"/>
    <w:rsid w:val="0060318F"/>
    <w:rsid w:val="00604BDB"/>
    <w:rsid w:val="00604E39"/>
    <w:rsid w:val="00605CAE"/>
    <w:rsid w:val="006066A9"/>
    <w:rsid w:val="0060758F"/>
    <w:rsid w:val="00610C40"/>
    <w:rsid w:val="00611091"/>
    <w:rsid w:val="00611284"/>
    <w:rsid w:val="00612A24"/>
    <w:rsid w:val="00615DDD"/>
    <w:rsid w:val="00620144"/>
    <w:rsid w:val="006216C6"/>
    <w:rsid w:val="00623883"/>
    <w:rsid w:val="00623ABE"/>
    <w:rsid w:val="00623E66"/>
    <w:rsid w:val="00623EE6"/>
    <w:rsid w:val="0062431C"/>
    <w:rsid w:val="006263D3"/>
    <w:rsid w:val="006308FF"/>
    <w:rsid w:val="0063181C"/>
    <w:rsid w:val="00631D04"/>
    <w:rsid w:val="0063382B"/>
    <w:rsid w:val="0063466C"/>
    <w:rsid w:val="00634F0B"/>
    <w:rsid w:val="006350ED"/>
    <w:rsid w:val="006359E4"/>
    <w:rsid w:val="00636208"/>
    <w:rsid w:val="0063726D"/>
    <w:rsid w:val="00640342"/>
    <w:rsid w:val="00640794"/>
    <w:rsid w:val="00642240"/>
    <w:rsid w:val="006423C3"/>
    <w:rsid w:val="00642992"/>
    <w:rsid w:val="00642A28"/>
    <w:rsid w:val="0064378F"/>
    <w:rsid w:val="0064429E"/>
    <w:rsid w:val="00644958"/>
    <w:rsid w:val="00645D12"/>
    <w:rsid w:val="0065287F"/>
    <w:rsid w:val="00652AA6"/>
    <w:rsid w:val="00657298"/>
    <w:rsid w:val="006613E8"/>
    <w:rsid w:val="00661D1F"/>
    <w:rsid w:val="00661FC9"/>
    <w:rsid w:val="006649CB"/>
    <w:rsid w:val="00667568"/>
    <w:rsid w:val="00670A63"/>
    <w:rsid w:val="00673EC8"/>
    <w:rsid w:val="0067494E"/>
    <w:rsid w:val="00675183"/>
    <w:rsid w:val="006756A6"/>
    <w:rsid w:val="00677357"/>
    <w:rsid w:val="006827D8"/>
    <w:rsid w:val="006835C5"/>
    <w:rsid w:val="006851B2"/>
    <w:rsid w:val="006858EB"/>
    <w:rsid w:val="00686186"/>
    <w:rsid w:val="00687184"/>
    <w:rsid w:val="006872A2"/>
    <w:rsid w:val="00691CEA"/>
    <w:rsid w:val="006929A1"/>
    <w:rsid w:val="00692E7D"/>
    <w:rsid w:val="0069316C"/>
    <w:rsid w:val="00694CC6"/>
    <w:rsid w:val="00695433"/>
    <w:rsid w:val="00695444"/>
    <w:rsid w:val="006977B9"/>
    <w:rsid w:val="006A10E0"/>
    <w:rsid w:val="006A1E17"/>
    <w:rsid w:val="006A3976"/>
    <w:rsid w:val="006A55B1"/>
    <w:rsid w:val="006A5E0F"/>
    <w:rsid w:val="006A6BDD"/>
    <w:rsid w:val="006A7066"/>
    <w:rsid w:val="006A7757"/>
    <w:rsid w:val="006A7C59"/>
    <w:rsid w:val="006B20DD"/>
    <w:rsid w:val="006B2CC2"/>
    <w:rsid w:val="006B3692"/>
    <w:rsid w:val="006B40D2"/>
    <w:rsid w:val="006B5199"/>
    <w:rsid w:val="006B6C76"/>
    <w:rsid w:val="006B6CCA"/>
    <w:rsid w:val="006C1F8C"/>
    <w:rsid w:val="006C2F48"/>
    <w:rsid w:val="006C5091"/>
    <w:rsid w:val="006C52DD"/>
    <w:rsid w:val="006C746E"/>
    <w:rsid w:val="006C7D47"/>
    <w:rsid w:val="006C7F87"/>
    <w:rsid w:val="006D059E"/>
    <w:rsid w:val="006D0D24"/>
    <w:rsid w:val="006D0F1F"/>
    <w:rsid w:val="006D1D06"/>
    <w:rsid w:val="006D2771"/>
    <w:rsid w:val="006D31C4"/>
    <w:rsid w:val="006D3803"/>
    <w:rsid w:val="006D47E9"/>
    <w:rsid w:val="006D4B52"/>
    <w:rsid w:val="006D6389"/>
    <w:rsid w:val="006E0540"/>
    <w:rsid w:val="006E0A81"/>
    <w:rsid w:val="006E10E5"/>
    <w:rsid w:val="006E177B"/>
    <w:rsid w:val="006E1CC6"/>
    <w:rsid w:val="006E2738"/>
    <w:rsid w:val="006E2D2F"/>
    <w:rsid w:val="006E39C2"/>
    <w:rsid w:val="006E4842"/>
    <w:rsid w:val="006E4E6E"/>
    <w:rsid w:val="006E5885"/>
    <w:rsid w:val="006E6CF7"/>
    <w:rsid w:val="006F19C2"/>
    <w:rsid w:val="006F20DF"/>
    <w:rsid w:val="006F3AED"/>
    <w:rsid w:val="006F3F32"/>
    <w:rsid w:val="006F40D6"/>
    <w:rsid w:val="006F4690"/>
    <w:rsid w:val="006F5A4D"/>
    <w:rsid w:val="006F5D20"/>
    <w:rsid w:val="00702E4E"/>
    <w:rsid w:val="0070375F"/>
    <w:rsid w:val="00704237"/>
    <w:rsid w:val="00704639"/>
    <w:rsid w:val="00706ADF"/>
    <w:rsid w:val="0070730E"/>
    <w:rsid w:val="00707C13"/>
    <w:rsid w:val="007128E4"/>
    <w:rsid w:val="007133D1"/>
    <w:rsid w:val="00713553"/>
    <w:rsid w:val="00714F39"/>
    <w:rsid w:val="007152AD"/>
    <w:rsid w:val="00715B5B"/>
    <w:rsid w:val="00715FD6"/>
    <w:rsid w:val="00717155"/>
    <w:rsid w:val="00717453"/>
    <w:rsid w:val="007178A0"/>
    <w:rsid w:val="007215E6"/>
    <w:rsid w:val="00721CEF"/>
    <w:rsid w:val="00722EA4"/>
    <w:rsid w:val="00723AFD"/>
    <w:rsid w:val="00725A9E"/>
    <w:rsid w:val="007301A7"/>
    <w:rsid w:val="0073123B"/>
    <w:rsid w:val="00731A24"/>
    <w:rsid w:val="00733137"/>
    <w:rsid w:val="00733A6F"/>
    <w:rsid w:val="00734D09"/>
    <w:rsid w:val="00734EC9"/>
    <w:rsid w:val="00735298"/>
    <w:rsid w:val="00736859"/>
    <w:rsid w:val="00737066"/>
    <w:rsid w:val="007371A5"/>
    <w:rsid w:val="0074157D"/>
    <w:rsid w:val="00741A8F"/>
    <w:rsid w:val="00741BD6"/>
    <w:rsid w:val="0074227E"/>
    <w:rsid w:val="00743B63"/>
    <w:rsid w:val="00743F26"/>
    <w:rsid w:val="0074525A"/>
    <w:rsid w:val="00745CC1"/>
    <w:rsid w:val="00745FA1"/>
    <w:rsid w:val="007466FA"/>
    <w:rsid w:val="00746997"/>
    <w:rsid w:val="00746AED"/>
    <w:rsid w:val="0074784C"/>
    <w:rsid w:val="00747D71"/>
    <w:rsid w:val="0075130C"/>
    <w:rsid w:val="007516BD"/>
    <w:rsid w:val="00754460"/>
    <w:rsid w:val="00755D01"/>
    <w:rsid w:val="00756063"/>
    <w:rsid w:val="00756E35"/>
    <w:rsid w:val="007642B6"/>
    <w:rsid w:val="007656B0"/>
    <w:rsid w:val="00767255"/>
    <w:rsid w:val="00772084"/>
    <w:rsid w:val="007727AD"/>
    <w:rsid w:val="007730D3"/>
    <w:rsid w:val="0077312E"/>
    <w:rsid w:val="00773331"/>
    <w:rsid w:val="0078133F"/>
    <w:rsid w:val="007828C1"/>
    <w:rsid w:val="00784E20"/>
    <w:rsid w:val="00784E31"/>
    <w:rsid w:val="007861B3"/>
    <w:rsid w:val="00786F01"/>
    <w:rsid w:val="00787171"/>
    <w:rsid w:val="00790FA2"/>
    <w:rsid w:val="007914E9"/>
    <w:rsid w:val="007932EF"/>
    <w:rsid w:val="00793C9C"/>
    <w:rsid w:val="00794613"/>
    <w:rsid w:val="0079494B"/>
    <w:rsid w:val="0079497B"/>
    <w:rsid w:val="0079675B"/>
    <w:rsid w:val="007A1120"/>
    <w:rsid w:val="007A136C"/>
    <w:rsid w:val="007A1F5D"/>
    <w:rsid w:val="007A3BC2"/>
    <w:rsid w:val="007A5FE1"/>
    <w:rsid w:val="007A6B52"/>
    <w:rsid w:val="007B020C"/>
    <w:rsid w:val="007B13B9"/>
    <w:rsid w:val="007B1436"/>
    <w:rsid w:val="007B2A53"/>
    <w:rsid w:val="007B30AD"/>
    <w:rsid w:val="007B3427"/>
    <w:rsid w:val="007B3434"/>
    <w:rsid w:val="007B433C"/>
    <w:rsid w:val="007B4D89"/>
    <w:rsid w:val="007B5C77"/>
    <w:rsid w:val="007B71BD"/>
    <w:rsid w:val="007B73FD"/>
    <w:rsid w:val="007B7660"/>
    <w:rsid w:val="007C1084"/>
    <w:rsid w:val="007C2EAE"/>
    <w:rsid w:val="007C456C"/>
    <w:rsid w:val="007C4B7B"/>
    <w:rsid w:val="007C593B"/>
    <w:rsid w:val="007C5FF4"/>
    <w:rsid w:val="007C61C2"/>
    <w:rsid w:val="007C6D5B"/>
    <w:rsid w:val="007C6E35"/>
    <w:rsid w:val="007C6E74"/>
    <w:rsid w:val="007C77BB"/>
    <w:rsid w:val="007C7969"/>
    <w:rsid w:val="007D1565"/>
    <w:rsid w:val="007D52C0"/>
    <w:rsid w:val="007D624F"/>
    <w:rsid w:val="007D6268"/>
    <w:rsid w:val="007D7094"/>
    <w:rsid w:val="007D77A3"/>
    <w:rsid w:val="007E05B0"/>
    <w:rsid w:val="007E098D"/>
    <w:rsid w:val="007E0C0B"/>
    <w:rsid w:val="007E1579"/>
    <w:rsid w:val="007E25C5"/>
    <w:rsid w:val="007E50C5"/>
    <w:rsid w:val="007E57E8"/>
    <w:rsid w:val="007E687F"/>
    <w:rsid w:val="007E6EAF"/>
    <w:rsid w:val="007F0364"/>
    <w:rsid w:val="007F1E72"/>
    <w:rsid w:val="007F28A6"/>
    <w:rsid w:val="007F2AB1"/>
    <w:rsid w:val="007F366D"/>
    <w:rsid w:val="007F44A2"/>
    <w:rsid w:val="007F70A8"/>
    <w:rsid w:val="008000A6"/>
    <w:rsid w:val="00802A33"/>
    <w:rsid w:val="00802A36"/>
    <w:rsid w:val="00802BA5"/>
    <w:rsid w:val="00802ED3"/>
    <w:rsid w:val="00804731"/>
    <w:rsid w:val="0080569C"/>
    <w:rsid w:val="00807DF1"/>
    <w:rsid w:val="00810FAE"/>
    <w:rsid w:val="00811345"/>
    <w:rsid w:val="00811651"/>
    <w:rsid w:val="00811698"/>
    <w:rsid w:val="00812778"/>
    <w:rsid w:val="00812C7A"/>
    <w:rsid w:val="00813F39"/>
    <w:rsid w:val="00814399"/>
    <w:rsid w:val="0081643A"/>
    <w:rsid w:val="00816A97"/>
    <w:rsid w:val="00817585"/>
    <w:rsid w:val="00820DCA"/>
    <w:rsid w:val="00822A4D"/>
    <w:rsid w:val="00823EA1"/>
    <w:rsid w:val="008241FF"/>
    <w:rsid w:val="0082482F"/>
    <w:rsid w:val="00825B25"/>
    <w:rsid w:val="00827933"/>
    <w:rsid w:val="00832765"/>
    <w:rsid w:val="0083506F"/>
    <w:rsid w:val="0083560A"/>
    <w:rsid w:val="008356E3"/>
    <w:rsid w:val="00835E98"/>
    <w:rsid w:val="00837013"/>
    <w:rsid w:val="00837BB1"/>
    <w:rsid w:val="00837F32"/>
    <w:rsid w:val="00843C73"/>
    <w:rsid w:val="008453C6"/>
    <w:rsid w:val="00845487"/>
    <w:rsid w:val="008455CB"/>
    <w:rsid w:val="00845B88"/>
    <w:rsid w:val="00845EC0"/>
    <w:rsid w:val="0084655F"/>
    <w:rsid w:val="008468FC"/>
    <w:rsid w:val="008524BF"/>
    <w:rsid w:val="00853D43"/>
    <w:rsid w:val="00854D24"/>
    <w:rsid w:val="00855B41"/>
    <w:rsid w:val="00855FB8"/>
    <w:rsid w:val="00860841"/>
    <w:rsid w:val="00861990"/>
    <w:rsid w:val="00861DCE"/>
    <w:rsid w:val="0086385F"/>
    <w:rsid w:val="00863F9C"/>
    <w:rsid w:val="00865139"/>
    <w:rsid w:val="00867560"/>
    <w:rsid w:val="008709B0"/>
    <w:rsid w:val="00871514"/>
    <w:rsid w:val="00873985"/>
    <w:rsid w:val="008740BD"/>
    <w:rsid w:val="00874CC4"/>
    <w:rsid w:val="00874D22"/>
    <w:rsid w:val="00875596"/>
    <w:rsid w:val="00880A20"/>
    <w:rsid w:val="00880DA5"/>
    <w:rsid w:val="008811B7"/>
    <w:rsid w:val="0088141B"/>
    <w:rsid w:val="008841FC"/>
    <w:rsid w:val="00884905"/>
    <w:rsid w:val="008850A8"/>
    <w:rsid w:val="00886024"/>
    <w:rsid w:val="00886DC7"/>
    <w:rsid w:val="008879D0"/>
    <w:rsid w:val="00893427"/>
    <w:rsid w:val="00894C82"/>
    <w:rsid w:val="00895319"/>
    <w:rsid w:val="00895E21"/>
    <w:rsid w:val="008A2914"/>
    <w:rsid w:val="008A34A6"/>
    <w:rsid w:val="008A3A27"/>
    <w:rsid w:val="008A4637"/>
    <w:rsid w:val="008A4B56"/>
    <w:rsid w:val="008A67AB"/>
    <w:rsid w:val="008A6B8D"/>
    <w:rsid w:val="008B02B1"/>
    <w:rsid w:val="008B296F"/>
    <w:rsid w:val="008B321E"/>
    <w:rsid w:val="008B4191"/>
    <w:rsid w:val="008B4C7F"/>
    <w:rsid w:val="008B63A4"/>
    <w:rsid w:val="008B777C"/>
    <w:rsid w:val="008B7D46"/>
    <w:rsid w:val="008C00A7"/>
    <w:rsid w:val="008C0327"/>
    <w:rsid w:val="008C08B4"/>
    <w:rsid w:val="008C209D"/>
    <w:rsid w:val="008C21A0"/>
    <w:rsid w:val="008C2600"/>
    <w:rsid w:val="008C2676"/>
    <w:rsid w:val="008C2EE2"/>
    <w:rsid w:val="008C4439"/>
    <w:rsid w:val="008C4791"/>
    <w:rsid w:val="008C4FFE"/>
    <w:rsid w:val="008C7FAA"/>
    <w:rsid w:val="008D0917"/>
    <w:rsid w:val="008D1036"/>
    <w:rsid w:val="008D1188"/>
    <w:rsid w:val="008D18C3"/>
    <w:rsid w:val="008D2471"/>
    <w:rsid w:val="008D383B"/>
    <w:rsid w:val="008D3B36"/>
    <w:rsid w:val="008D3C68"/>
    <w:rsid w:val="008D53F3"/>
    <w:rsid w:val="008D56E2"/>
    <w:rsid w:val="008D64C7"/>
    <w:rsid w:val="008D6DED"/>
    <w:rsid w:val="008E13E1"/>
    <w:rsid w:val="008E1A6E"/>
    <w:rsid w:val="008E2DF3"/>
    <w:rsid w:val="008E3632"/>
    <w:rsid w:val="008E3A18"/>
    <w:rsid w:val="008E4D8E"/>
    <w:rsid w:val="008E52E8"/>
    <w:rsid w:val="008E536B"/>
    <w:rsid w:val="008E6059"/>
    <w:rsid w:val="008E7115"/>
    <w:rsid w:val="008E72B1"/>
    <w:rsid w:val="008E72E6"/>
    <w:rsid w:val="008E732B"/>
    <w:rsid w:val="008E7E13"/>
    <w:rsid w:val="008F0ABE"/>
    <w:rsid w:val="008F19D8"/>
    <w:rsid w:val="008F1FB2"/>
    <w:rsid w:val="008F20CC"/>
    <w:rsid w:val="008F3002"/>
    <w:rsid w:val="008F31E6"/>
    <w:rsid w:val="008F7130"/>
    <w:rsid w:val="008F781A"/>
    <w:rsid w:val="00900985"/>
    <w:rsid w:val="00900CAE"/>
    <w:rsid w:val="00901AC4"/>
    <w:rsid w:val="00903747"/>
    <w:rsid w:val="0090466A"/>
    <w:rsid w:val="00904981"/>
    <w:rsid w:val="00904C6C"/>
    <w:rsid w:val="00904CE4"/>
    <w:rsid w:val="00904F5F"/>
    <w:rsid w:val="00905B2B"/>
    <w:rsid w:val="00906611"/>
    <w:rsid w:val="00907C74"/>
    <w:rsid w:val="00910A31"/>
    <w:rsid w:val="00912B00"/>
    <w:rsid w:val="00913133"/>
    <w:rsid w:val="00913E7F"/>
    <w:rsid w:val="009144F0"/>
    <w:rsid w:val="00916769"/>
    <w:rsid w:val="009179AC"/>
    <w:rsid w:val="0092240E"/>
    <w:rsid w:val="009224F3"/>
    <w:rsid w:val="00922DE6"/>
    <w:rsid w:val="00922EBF"/>
    <w:rsid w:val="00924CC5"/>
    <w:rsid w:val="009253ED"/>
    <w:rsid w:val="00925BC2"/>
    <w:rsid w:val="00925C46"/>
    <w:rsid w:val="0092688C"/>
    <w:rsid w:val="00926D8A"/>
    <w:rsid w:val="00931BAE"/>
    <w:rsid w:val="00932B1E"/>
    <w:rsid w:val="00934666"/>
    <w:rsid w:val="00934B68"/>
    <w:rsid w:val="0093581F"/>
    <w:rsid w:val="0093595F"/>
    <w:rsid w:val="00935ACD"/>
    <w:rsid w:val="00936754"/>
    <w:rsid w:val="0093675A"/>
    <w:rsid w:val="00936E9D"/>
    <w:rsid w:val="00940181"/>
    <w:rsid w:val="00940441"/>
    <w:rsid w:val="0094068A"/>
    <w:rsid w:val="00940ABA"/>
    <w:rsid w:val="009416AA"/>
    <w:rsid w:val="00942B4A"/>
    <w:rsid w:val="00942C3B"/>
    <w:rsid w:val="00942ED0"/>
    <w:rsid w:val="00943752"/>
    <w:rsid w:val="009449DE"/>
    <w:rsid w:val="00944CFD"/>
    <w:rsid w:val="00945022"/>
    <w:rsid w:val="00945E4E"/>
    <w:rsid w:val="00952DE4"/>
    <w:rsid w:val="00962E25"/>
    <w:rsid w:val="00965588"/>
    <w:rsid w:val="00965AE3"/>
    <w:rsid w:val="009668AF"/>
    <w:rsid w:val="00966A20"/>
    <w:rsid w:val="00966C9D"/>
    <w:rsid w:val="009715F9"/>
    <w:rsid w:val="0097330F"/>
    <w:rsid w:val="009735F1"/>
    <w:rsid w:val="0097493C"/>
    <w:rsid w:val="00976581"/>
    <w:rsid w:val="00977655"/>
    <w:rsid w:val="00977A98"/>
    <w:rsid w:val="00983693"/>
    <w:rsid w:val="00983ECD"/>
    <w:rsid w:val="00984670"/>
    <w:rsid w:val="009853E2"/>
    <w:rsid w:val="0098787A"/>
    <w:rsid w:val="00990AD3"/>
    <w:rsid w:val="00990BE3"/>
    <w:rsid w:val="00991458"/>
    <w:rsid w:val="0099452F"/>
    <w:rsid w:val="00994C31"/>
    <w:rsid w:val="00996F14"/>
    <w:rsid w:val="009A0CAD"/>
    <w:rsid w:val="009A2097"/>
    <w:rsid w:val="009A20AE"/>
    <w:rsid w:val="009A300B"/>
    <w:rsid w:val="009A555E"/>
    <w:rsid w:val="009A5D40"/>
    <w:rsid w:val="009A6081"/>
    <w:rsid w:val="009A680E"/>
    <w:rsid w:val="009B0967"/>
    <w:rsid w:val="009B1551"/>
    <w:rsid w:val="009B40B2"/>
    <w:rsid w:val="009B4712"/>
    <w:rsid w:val="009B65B4"/>
    <w:rsid w:val="009B6C22"/>
    <w:rsid w:val="009B6FA2"/>
    <w:rsid w:val="009C0353"/>
    <w:rsid w:val="009C089C"/>
    <w:rsid w:val="009C10F6"/>
    <w:rsid w:val="009C1145"/>
    <w:rsid w:val="009C1A5A"/>
    <w:rsid w:val="009C2D67"/>
    <w:rsid w:val="009C4CDB"/>
    <w:rsid w:val="009C6AA8"/>
    <w:rsid w:val="009C7A79"/>
    <w:rsid w:val="009D250A"/>
    <w:rsid w:val="009D28B8"/>
    <w:rsid w:val="009D2997"/>
    <w:rsid w:val="009D2C64"/>
    <w:rsid w:val="009D46E9"/>
    <w:rsid w:val="009D52F8"/>
    <w:rsid w:val="009D54F2"/>
    <w:rsid w:val="009D5AEF"/>
    <w:rsid w:val="009E05C0"/>
    <w:rsid w:val="009E08C1"/>
    <w:rsid w:val="009E0B1F"/>
    <w:rsid w:val="009E0DD1"/>
    <w:rsid w:val="009E26EF"/>
    <w:rsid w:val="009E354A"/>
    <w:rsid w:val="009E4A12"/>
    <w:rsid w:val="009E4DA8"/>
    <w:rsid w:val="009E53C0"/>
    <w:rsid w:val="009E7CD6"/>
    <w:rsid w:val="009E7D4A"/>
    <w:rsid w:val="009F10DC"/>
    <w:rsid w:val="009F2907"/>
    <w:rsid w:val="009F433B"/>
    <w:rsid w:val="009F52F4"/>
    <w:rsid w:val="009F6089"/>
    <w:rsid w:val="009F6183"/>
    <w:rsid w:val="00A00974"/>
    <w:rsid w:val="00A012DB"/>
    <w:rsid w:val="00A02DDF"/>
    <w:rsid w:val="00A05708"/>
    <w:rsid w:val="00A060FE"/>
    <w:rsid w:val="00A06660"/>
    <w:rsid w:val="00A06AF3"/>
    <w:rsid w:val="00A079C5"/>
    <w:rsid w:val="00A07B18"/>
    <w:rsid w:val="00A10F69"/>
    <w:rsid w:val="00A114CA"/>
    <w:rsid w:val="00A11866"/>
    <w:rsid w:val="00A11962"/>
    <w:rsid w:val="00A11A24"/>
    <w:rsid w:val="00A128B6"/>
    <w:rsid w:val="00A147FF"/>
    <w:rsid w:val="00A15A0A"/>
    <w:rsid w:val="00A15B45"/>
    <w:rsid w:val="00A17DF3"/>
    <w:rsid w:val="00A248F9"/>
    <w:rsid w:val="00A25630"/>
    <w:rsid w:val="00A262DC"/>
    <w:rsid w:val="00A30178"/>
    <w:rsid w:val="00A30600"/>
    <w:rsid w:val="00A30C5A"/>
    <w:rsid w:val="00A31A60"/>
    <w:rsid w:val="00A31A9D"/>
    <w:rsid w:val="00A34B71"/>
    <w:rsid w:val="00A3550E"/>
    <w:rsid w:val="00A35711"/>
    <w:rsid w:val="00A36F5F"/>
    <w:rsid w:val="00A37905"/>
    <w:rsid w:val="00A3793C"/>
    <w:rsid w:val="00A40EC9"/>
    <w:rsid w:val="00A427AE"/>
    <w:rsid w:val="00A42B5F"/>
    <w:rsid w:val="00A44F76"/>
    <w:rsid w:val="00A45203"/>
    <w:rsid w:val="00A462AA"/>
    <w:rsid w:val="00A50270"/>
    <w:rsid w:val="00A51639"/>
    <w:rsid w:val="00A5183C"/>
    <w:rsid w:val="00A51CD1"/>
    <w:rsid w:val="00A53D73"/>
    <w:rsid w:val="00A53DB0"/>
    <w:rsid w:val="00A55447"/>
    <w:rsid w:val="00A56AE4"/>
    <w:rsid w:val="00A57C4F"/>
    <w:rsid w:val="00A61532"/>
    <w:rsid w:val="00A61AA3"/>
    <w:rsid w:val="00A620E6"/>
    <w:rsid w:val="00A62C05"/>
    <w:rsid w:val="00A639EC"/>
    <w:rsid w:val="00A658C9"/>
    <w:rsid w:val="00A65B7E"/>
    <w:rsid w:val="00A65D61"/>
    <w:rsid w:val="00A6607D"/>
    <w:rsid w:val="00A66193"/>
    <w:rsid w:val="00A67601"/>
    <w:rsid w:val="00A67FB0"/>
    <w:rsid w:val="00A7003E"/>
    <w:rsid w:val="00A70286"/>
    <w:rsid w:val="00A718DA"/>
    <w:rsid w:val="00A71B9A"/>
    <w:rsid w:val="00A722D5"/>
    <w:rsid w:val="00A7336F"/>
    <w:rsid w:val="00A737A6"/>
    <w:rsid w:val="00A74697"/>
    <w:rsid w:val="00A77983"/>
    <w:rsid w:val="00A829DC"/>
    <w:rsid w:val="00A82F83"/>
    <w:rsid w:val="00A82FCB"/>
    <w:rsid w:val="00A84534"/>
    <w:rsid w:val="00A85C5A"/>
    <w:rsid w:val="00A866B7"/>
    <w:rsid w:val="00A8731F"/>
    <w:rsid w:val="00A90166"/>
    <w:rsid w:val="00A90D3C"/>
    <w:rsid w:val="00A92320"/>
    <w:rsid w:val="00A9257D"/>
    <w:rsid w:val="00A92930"/>
    <w:rsid w:val="00A92FC4"/>
    <w:rsid w:val="00A933E6"/>
    <w:rsid w:val="00A94DB7"/>
    <w:rsid w:val="00A957BF"/>
    <w:rsid w:val="00A95895"/>
    <w:rsid w:val="00A95E9D"/>
    <w:rsid w:val="00A9680D"/>
    <w:rsid w:val="00A96E4B"/>
    <w:rsid w:val="00A9751B"/>
    <w:rsid w:val="00AA3588"/>
    <w:rsid w:val="00AA41A4"/>
    <w:rsid w:val="00AA4BEE"/>
    <w:rsid w:val="00AA5F76"/>
    <w:rsid w:val="00AA6233"/>
    <w:rsid w:val="00AA6E1D"/>
    <w:rsid w:val="00AB0F2C"/>
    <w:rsid w:val="00AB132F"/>
    <w:rsid w:val="00AB138D"/>
    <w:rsid w:val="00AB1B46"/>
    <w:rsid w:val="00AB1C5C"/>
    <w:rsid w:val="00AB1D4C"/>
    <w:rsid w:val="00AB4C85"/>
    <w:rsid w:val="00AC1DE0"/>
    <w:rsid w:val="00AC259E"/>
    <w:rsid w:val="00AC5AE5"/>
    <w:rsid w:val="00AC7182"/>
    <w:rsid w:val="00AC7306"/>
    <w:rsid w:val="00AD36C2"/>
    <w:rsid w:val="00AD5B97"/>
    <w:rsid w:val="00AD5E0F"/>
    <w:rsid w:val="00AD64AD"/>
    <w:rsid w:val="00AD76B3"/>
    <w:rsid w:val="00AD7CCF"/>
    <w:rsid w:val="00AE0A37"/>
    <w:rsid w:val="00AE0C15"/>
    <w:rsid w:val="00AE1132"/>
    <w:rsid w:val="00AE1834"/>
    <w:rsid w:val="00AE1A0D"/>
    <w:rsid w:val="00AE1A77"/>
    <w:rsid w:val="00AE2292"/>
    <w:rsid w:val="00AE23DB"/>
    <w:rsid w:val="00AE4033"/>
    <w:rsid w:val="00AE44DE"/>
    <w:rsid w:val="00AE50CB"/>
    <w:rsid w:val="00AE59CE"/>
    <w:rsid w:val="00AE5E8C"/>
    <w:rsid w:val="00AF019D"/>
    <w:rsid w:val="00AF01ED"/>
    <w:rsid w:val="00AF150D"/>
    <w:rsid w:val="00AF3DF5"/>
    <w:rsid w:val="00AF4474"/>
    <w:rsid w:val="00AF4EAD"/>
    <w:rsid w:val="00AF594C"/>
    <w:rsid w:val="00AF7735"/>
    <w:rsid w:val="00B03C8F"/>
    <w:rsid w:val="00B040B8"/>
    <w:rsid w:val="00B056A8"/>
    <w:rsid w:val="00B05D0C"/>
    <w:rsid w:val="00B07DBB"/>
    <w:rsid w:val="00B106D5"/>
    <w:rsid w:val="00B10B56"/>
    <w:rsid w:val="00B116D7"/>
    <w:rsid w:val="00B1232C"/>
    <w:rsid w:val="00B12ACA"/>
    <w:rsid w:val="00B13113"/>
    <w:rsid w:val="00B14EAE"/>
    <w:rsid w:val="00B17BDC"/>
    <w:rsid w:val="00B20278"/>
    <w:rsid w:val="00B20A53"/>
    <w:rsid w:val="00B21110"/>
    <w:rsid w:val="00B222D4"/>
    <w:rsid w:val="00B23152"/>
    <w:rsid w:val="00B23FB7"/>
    <w:rsid w:val="00B24620"/>
    <w:rsid w:val="00B2532E"/>
    <w:rsid w:val="00B2561A"/>
    <w:rsid w:val="00B26ACA"/>
    <w:rsid w:val="00B27771"/>
    <w:rsid w:val="00B27BB2"/>
    <w:rsid w:val="00B30647"/>
    <w:rsid w:val="00B31215"/>
    <w:rsid w:val="00B319F8"/>
    <w:rsid w:val="00B32361"/>
    <w:rsid w:val="00B32998"/>
    <w:rsid w:val="00B342D1"/>
    <w:rsid w:val="00B3506B"/>
    <w:rsid w:val="00B3561A"/>
    <w:rsid w:val="00B36088"/>
    <w:rsid w:val="00B416CA"/>
    <w:rsid w:val="00B41A46"/>
    <w:rsid w:val="00B433D3"/>
    <w:rsid w:val="00B436CC"/>
    <w:rsid w:val="00B4581A"/>
    <w:rsid w:val="00B513C6"/>
    <w:rsid w:val="00B52CFF"/>
    <w:rsid w:val="00B53217"/>
    <w:rsid w:val="00B545FA"/>
    <w:rsid w:val="00B54773"/>
    <w:rsid w:val="00B570FB"/>
    <w:rsid w:val="00B60AB0"/>
    <w:rsid w:val="00B613BC"/>
    <w:rsid w:val="00B61F2B"/>
    <w:rsid w:val="00B62B52"/>
    <w:rsid w:val="00B63F3A"/>
    <w:rsid w:val="00B642C2"/>
    <w:rsid w:val="00B645C4"/>
    <w:rsid w:val="00B71A85"/>
    <w:rsid w:val="00B72063"/>
    <w:rsid w:val="00B72FBE"/>
    <w:rsid w:val="00B73EA3"/>
    <w:rsid w:val="00B74C91"/>
    <w:rsid w:val="00B74DE3"/>
    <w:rsid w:val="00B75FF1"/>
    <w:rsid w:val="00B7670F"/>
    <w:rsid w:val="00B81E75"/>
    <w:rsid w:val="00B84DDE"/>
    <w:rsid w:val="00B8576D"/>
    <w:rsid w:val="00B86042"/>
    <w:rsid w:val="00B862C3"/>
    <w:rsid w:val="00B901BC"/>
    <w:rsid w:val="00B90EDD"/>
    <w:rsid w:val="00B932D9"/>
    <w:rsid w:val="00B94DEC"/>
    <w:rsid w:val="00B9783B"/>
    <w:rsid w:val="00BA0A9C"/>
    <w:rsid w:val="00BA13F5"/>
    <w:rsid w:val="00BA1468"/>
    <w:rsid w:val="00BA20DE"/>
    <w:rsid w:val="00BA2DA1"/>
    <w:rsid w:val="00BA4AB2"/>
    <w:rsid w:val="00BA5AC4"/>
    <w:rsid w:val="00BA5DE4"/>
    <w:rsid w:val="00BA6036"/>
    <w:rsid w:val="00BA76ED"/>
    <w:rsid w:val="00BB1ACA"/>
    <w:rsid w:val="00BB1CDB"/>
    <w:rsid w:val="00BB2B5A"/>
    <w:rsid w:val="00BB3340"/>
    <w:rsid w:val="00BB4247"/>
    <w:rsid w:val="00BB5587"/>
    <w:rsid w:val="00BB67B0"/>
    <w:rsid w:val="00BB78C3"/>
    <w:rsid w:val="00BB79D3"/>
    <w:rsid w:val="00BC0D45"/>
    <w:rsid w:val="00BC2798"/>
    <w:rsid w:val="00BC2F6B"/>
    <w:rsid w:val="00BC32A2"/>
    <w:rsid w:val="00BC32E6"/>
    <w:rsid w:val="00BC403E"/>
    <w:rsid w:val="00BD0E3E"/>
    <w:rsid w:val="00BD18D6"/>
    <w:rsid w:val="00BD1F70"/>
    <w:rsid w:val="00BD28D1"/>
    <w:rsid w:val="00BD2BBF"/>
    <w:rsid w:val="00BD45E0"/>
    <w:rsid w:val="00BD590B"/>
    <w:rsid w:val="00BD617C"/>
    <w:rsid w:val="00BD79B0"/>
    <w:rsid w:val="00BE09CF"/>
    <w:rsid w:val="00BE1F00"/>
    <w:rsid w:val="00BE25DF"/>
    <w:rsid w:val="00BE2F1D"/>
    <w:rsid w:val="00BE3D2A"/>
    <w:rsid w:val="00BE3EF5"/>
    <w:rsid w:val="00BE4BEA"/>
    <w:rsid w:val="00BE518B"/>
    <w:rsid w:val="00BE63E4"/>
    <w:rsid w:val="00BF05E2"/>
    <w:rsid w:val="00BF07EC"/>
    <w:rsid w:val="00BF138D"/>
    <w:rsid w:val="00BF15B2"/>
    <w:rsid w:val="00BF2877"/>
    <w:rsid w:val="00BF28CA"/>
    <w:rsid w:val="00BF42A6"/>
    <w:rsid w:val="00BF6B04"/>
    <w:rsid w:val="00BF6D2C"/>
    <w:rsid w:val="00C009EA"/>
    <w:rsid w:val="00C02337"/>
    <w:rsid w:val="00C0343F"/>
    <w:rsid w:val="00C03561"/>
    <w:rsid w:val="00C04001"/>
    <w:rsid w:val="00C047AB"/>
    <w:rsid w:val="00C06B6F"/>
    <w:rsid w:val="00C06C1C"/>
    <w:rsid w:val="00C074B2"/>
    <w:rsid w:val="00C07F8C"/>
    <w:rsid w:val="00C1068E"/>
    <w:rsid w:val="00C10853"/>
    <w:rsid w:val="00C111D1"/>
    <w:rsid w:val="00C12301"/>
    <w:rsid w:val="00C15ADE"/>
    <w:rsid w:val="00C16364"/>
    <w:rsid w:val="00C17030"/>
    <w:rsid w:val="00C20619"/>
    <w:rsid w:val="00C21DA0"/>
    <w:rsid w:val="00C22DFA"/>
    <w:rsid w:val="00C2488C"/>
    <w:rsid w:val="00C26CE7"/>
    <w:rsid w:val="00C279D1"/>
    <w:rsid w:val="00C310E3"/>
    <w:rsid w:val="00C311AA"/>
    <w:rsid w:val="00C32EA8"/>
    <w:rsid w:val="00C33710"/>
    <w:rsid w:val="00C354B8"/>
    <w:rsid w:val="00C3621A"/>
    <w:rsid w:val="00C36DB4"/>
    <w:rsid w:val="00C37F8F"/>
    <w:rsid w:val="00C4018D"/>
    <w:rsid w:val="00C45BF3"/>
    <w:rsid w:val="00C475D1"/>
    <w:rsid w:val="00C47AF8"/>
    <w:rsid w:val="00C47C4F"/>
    <w:rsid w:val="00C505B7"/>
    <w:rsid w:val="00C50AE5"/>
    <w:rsid w:val="00C50FC3"/>
    <w:rsid w:val="00C51BEA"/>
    <w:rsid w:val="00C520F8"/>
    <w:rsid w:val="00C52409"/>
    <w:rsid w:val="00C5316B"/>
    <w:rsid w:val="00C53C16"/>
    <w:rsid w:val="00C55580"/>
    <w:rsid w:val="00C56108"/>
    <w:rsid w:val="00C5647F"/>
    <w:rsid w:val="00C56E60"/>
    <w:rsid w:val="00C57DAC"/>
    <w:rsid w:val="00C62FF8"/>
    <w:rsid w:val="00C63091"/>
    <w:rsid w:val="00C641C6"/>
    <w:rsid w:val="00C641E9"/>
    <w:rsid w:val="00C64249"/>
    <w:rsid w:val="00C65308"/>
    <w:rsid w:val="00C65C94"/>
    <w:rsid w:val="00C66A97"/>
    <w:rsid w:val="00C66CF4"/>
    <w:rsid w:val="00C676DF"/>
    <w:rsid w:val="00C71604"/>
    <w:rsid w:val="00C716C9"/>
    <w:rsid w:val="00C737B0"/>
    <w:rsid w:val="00C7534A"/>
    <w:rsid w:val="00C75A83"/>
    <w:rsid w:val="00C75B38"/>
    <w:rsid w:val="00C75E3F"/>
    <w:rsid w:val="00C75EE5"/>
    <w:rsid w:val="00C765A3"/>
    <w:rsid w:val="00C768BF"/>
    <w:rsid w:val="00C84B47"/>
    <w:rsid w:val="00C85A21"/>
    <w:rsid w:val="00C8601C"/>
    <w:rsid w:val="00C861EE"/>
    <w:rsid w:val="00C8722E"/>
    <w:rsid w:val="00C8775A"/>
    <w:rsid w:val="00C91BF4"/>
    <w:rsid w:val="00C91F63"/>
    <w:rsid w:val="00C930FA"/>
    <w:rsid w:val="00C93458"/>
    <w:rsid w:val="00C94341"/>
    <w:rsid w:val="00C94A7A"/>
    <w:rsid w:val="00C962CB"/>
    <w:rsid w:val="00CA13DA"/>
    <w:rsid w:val="00CA1E8C"/>
    <w:rsid w:val="00CA2B31"/>
    <w:rsid w:val="00CA3128"/>
    <w:rsid w:val="00CA46A1"/>
    <w:rsid w:val="00CA5699"/>
    <w:rsid w:val="00CA57B4"/>
    <w:rsid w:val="00CA65D4"/>
    <w:rsid w:val="00CB30AE"/>
    <w:rsid w:val="00CB3433"/>
    <w:rsid w:val="00CB37D6"/>
    <w:rsid w:val="00CB53F8"/>
    <w:rsid w:val="00CC02FB"/>
    <w:rsid w:val="00CC1051"/>
    <w:rsid w:val="00CC3228"/>
    <w:rsid w:val="00CC3300"/>
    <w:rsid w:val="00CC49E5"/>
    <w:rsid w:val="00CC49ED"/>
    <w:rsid w:val="00CC6E8C"/>
    <w:rsid w:val="00CC773D"/>
    <w:rsid w:val="00CD3C20"/>
    <w:rsid w:val="00CD53C4"/>
    <w:rsid w:val="00CD566B"/>
    <w:rsid w:val="00CD6920"/>
    <w:rsid w:val="00CD6E25"/>
    <w:rsid w:val="00CE3CE0"/>
    <w:rsid w:val="00CE3E4C"/>
    <w:rsid w:val="00CE3F79"/>
    <w:rsid w:val="00CE40BA"/>
    <w:rsid w:val="00CE5FA1"/>
    <w:rsid w:val="00CF692D"/>
    <w:rsid w:val="00D0003C"/>
    <w:rsid w:val="00D0062D"/>
    <w:rsid w:val="00D01587"/>
    <w:rsid w:val="00D03258"/>
    <w:rsid w:val="00D05085"/>
    <w:rsid w:val="00D051E3"/>
    <w:rsid w:val="00D078FE"/>
    <w:rsid w:val="00D07D77"/>
    <w:rsid w:val="00D1123F"/>
    <w:rsid w:val="00D13127"/>
    <w:rsid w:val="00D13E6D"/>
    <w:rsid w:val="00D13EF8"/>
    <w:rsid w:val="00D15334"/>
    <w:rsid w:val="00D16DA6"/>
    <w:rsid w:val="00D16E3A"/>
    <w:rsid w:val="00D178AE"/>
    <w:rsid w:val="00D1796E"/>
    <w:rsid w:val="00D20381"/>
    <w:rsid w:val="00D204AE"/>
    <w:rsid w:val="00D3050B"/>
    <w:rsid w:val="00D30545"/>
    <w:rsid w:val="00D35DA8"/>
    <w:rsid w:val="00D36B14"/>
    <w:rsid w:val="00D36DC2"/>
    <w:rsid w:val="00D3701C"/>
    <w:rsid w:val="00D41044"/>
    <w:rsid w:val="00D41057"/>
    <w:rsid w:val="00D4127B"/>
    <w:rsid w:val="00D418DC"/>
    <w:rsid w:val="00D42C0D"/>
    <w:rsid w:val="00D448D5"/>
    <w:rsid w:val="00D468CD"/>
    <w:rsid w:val="00D47062"/>
    <w:rsid w:val="00D53678"/>
    <w:rsid w:val="00D5406C"/>
    <w:rsid w:val="00D54588"/>
    <w:rsid w:val="00D5474D"/>
    <w:rsid w:val="00D569D5"/>
    <w:rsid w:val="00D57A50"/>
    <w:rsid w:val="00D604A4"/>
    <w:rsid w:val="00D60D98"/>
    <w:rsid w:val="00D62330"/>
    <w:rsid w:val="00D62A87"/>
    <w:rsid w:val="00D66065"/>
    <w:rsid w:val="00D66809"/>
    <w:rsid w:val="00D6753F"/>
    <w:rsid w:val="00D7261D"/>
    <w:rsid w:val="00D73A42"/>
    <w:rsid w:val="00D750FA"/>
    <w:rsid w:val="00D77FF1"/>
    <w:rsid w:val="00D808B8"/>
    <w:rsid w:val="00D8415A"/>
    <w:rsid w:val="00D84EAD"/>
    <w:rsid w:val="00D85226"/>
    <w:rsid w:val="00D85247"/>
    <w:rsid w:val="00D85DC7"/>
    <w:rsid w:val="00D863FA"/>
    <w:rsid w:val="00D87354"/>
    <w:rsid w:val="00D87CEA"/>
    <w:rsid w:val="00D93D4A"/>
    <w:rsid w:val="00D93EC5"/>
    <w:rsid w:val="00D95360"/>
    <w:rsid w:val="00D96E3B"/>
    <w:rsid w:val="00D97671"/>
    <w:rsid w:val="00DA2CA6"/>
    <w:rsid w:val="00DA3030"/>
    <w:rsid w:val="00DA3D3E"/>
    <w:rsid w:val="00DA57DC"/>
    <w:rsid w:val="00DA6B18"/>
    <w:rsid w:val="00DA78AF"/>
    <w:rsid w:val="00DB0618"/>
    <w:rsid w:val="00DB3245"/>
    <w:rsid w:val="00DB49B0"/>
    <w:rsid w:val="00DB5933"/>
    <w:rsid w:val="00DB69AC"/>
    <w:rsid w:val="00DC04EB"/>
    <w:rsid w:val="00DC1110"/>
    <w:rsid w:val="00DC167A"/>
    <w:rsid w:val="00DC1D2F"/>
    <w:rsid w:val="00DC4188"/>
    <w:rsid w:val="00DC4F6A"/>
    <w:rsid w:val="00DC6902"/>
    <w:rsid w:val="00DD086C"/>
    <w:rsid w:val="00DD2BEC"/>
    <w:rsid w:val="00DD3B67"/>
    <w:rsid w:val="00DD3EB8"/>
    <w:rsid w:val="00DD4334"/>
    <w:rsid w:val="00DD5ED3"/>
    <w:rsid w:val="00DD5FF6"/>
    <w:rsid w:val="00DD6F15"/>
    <w:rsid w:val="00DD7FD1"/>
    <w:rsid w:val="00DE0A63"/>
    <w:rsid w:val="00DE2908"/>
    <w:rsid w:val="00DE3A22"/>
    <w:rsid w:val="00DE4F37"/>
    <w:rsid w:val="00DE5445"/>
    <w:rsid w:val="00DE5EF1"/>
    <w:rsid w:val="00DE6EFB"/>
    <w:rsid w:val="00DF0386"/>
    <w:rsid w:val="00DF03C7"/>
    <w:rsid w:val="00DF095A"/>
    <w:rsid w:val="00DF0E95"/>
    <w:rsid w:val="00DF0F6D"/>
    <w:rsid w:val="00DF2208"/>
    <w:rsid w:val="00DF33E8"/>
    <w:rsid w:val="00DF4BA7"/>
    <w:rsid w:val="00DF5977"/>
    <w:rsid w:val="00DF6794"/>
    <w:rsid w:val="00DF6FDE"/>
    <w:rsid w:val="00E00560"/>
    <w:rsid w:val="00E00F51"/>
    <w:rsid w:val="00E014DB"/>
    <w:rsid w:val="00E01C5C"/>
    <w:rsid w:val="00E03488"/>
    <w:rsid w:val="00E03ACB"/>
    <w:rsid w:val="00E05E07"/>
    <w:rsid w:val="00E064C5"/>
    <w:rsid w:val="00E10F6F"/>
    <w:rsid w:val="00E11E6A"/>
    <w:rsid w:val="00E12051"/>
    <w:rsid w:val="00E12327"/>
    <w:rsid w:val="00E126D0"/>
    <w:rsid w:val="00E12FF3"/>
    <w:rsid w:val="00E134FC"/>
    <w:rsid w:val="00E1487A"/>
    <w:rsid w:val="00E14D04"/>
    <w:rsid w:val="00E1604E"/>
    <w:rsid w:val="00E16E4C"/>
    <w:rsid w:val="00E1787D"/>
    <w:rsid w:val="00E20353"/>
    <w:rsid w:val="00E20EAA"/>
    <w:rsid w:val="00E212EB"/>
    <w:rsid w:val="00E229C1"/>
    <w:rsid w:val="00E23863"/>
    <w:rsid w:val="00E23DE1"/>
    <w:rsid w:val="00E25942"/>
    <w:rsid w:val="00E25A70"/>
    <w:rsid w:val="00E25D32"/>
    <w:rsid w:val="00E26B98"/>
    <w:rsid w:val="00E275A7"/>
    <w:rsid w:val="00E2760E"/>
    <w:rsid w:val="00E30C6D"/>
    <w:rsid w:val="00E319CA"/>
    <w:rsid w:val="00E319D7"/>
    <w:rsid w:val="00E33BF4"/>
    <w:rsid w:val="00E3592B"/>
    <w:rsid w:val="00E37315"/>
    <w:rsid w:val="00E37C6F"/>
    <w:rsid w:val="00E412CB"/>
    <w:rsid w:val="00E433E0"/>
    <w:rsid w:val="00E440C8"/>
    <w:rsid w:val="00E44FE7"/>
    <w:rsid w:val="00E46397"/>
    <w:rsid w:val="00E46DB9"/>
    <w:rsid w:val="00E47164"/>
    <w:rsid w:val="00E47F36"/>
    <w:rsid w:val="00E520EA"/>
    <w:rsid w:val="00E537B8"/>
    <w:rsid w:val="00E53E04"/>
    <w:rsid w:val="00E56994"/>
    <w:rsid w:val="00E57200"/>
    <w:rsid w:val="00E5760E"/>
    <w:rsid w:val="00E57F91"/>
    <w:rsid w:val="00E60E41"/>
    <w:rsid w:val="00E61A8A"/>
    <w:rsid w:val="00E61DA8"/>
    <w:rsid w:val="00E62921"/>
    <w:rsid w:val="00E62BF1"/>
    <w:rsid w:val="00E631F3"/>
    <w:rsid w:val="00E64818"/>
    <w:rsid w:val="00E649C0"/>
    <w:rsid w:val="00E64C5F"/>
    <w:rsid w:val="00E6553B"/>
    <w:rsid w:val="00E675BC"/>
    <w:rsid w:val="00E67DF5"/>
    <w:rsid w:val="00E70E46"/>
    <w:rsid w:val="00E70E67"/>
    <w:rsid w:val="00E73542"/>
    <w:rsid w:val="00E73A55"/>
    <w:rsid w:val="00E74300"/>
    <w:rsid w:val="00E75180"/>
    <w:rsid w:val="00E76CC9"/>
    <w:rsid w:val="00E8041A"/>
    <w:rsid w:val="00E81D1D"/>
    <w:rsid w:val="00E821F4"/>
    <w:rsid w:val="00E8237B"/>
    <w:rsid w:val="00E83AD4"/>
    <w:rsid w:val="00E848BE"/>
    <w:rsid w:val="00E85AED"/>
    <w:rsid w:val="00E87EB6"/>
    <w:rsid w:val="00E90FF1"/>
    <w:rsid w:val="00E92B4E"/>
    <w:rsid w:val="00E93367"/>
    <w:rsid w:val="00E93BBB"/>
    <w:rsid w:val="00E95899"/>
    <w:rsid w:val="00E9638D"/>
    <w:rsid w:val="00E96A8D"/>
    <w:rsid w:val="00E97A75"/>
    <w:rsid w:val="00E97A7C"/>
    <w:rsid w:val="00E97BD7"/>
    <w:rsid w:val="00EA1D85"/>
    <w:rsid w:val="00EA24B5"/>
    <w:rsid w:val="00EA3B38"/>
    <w:rsid w:val="00EA4039"/>
    <w:rsid w:val="00EA518E"/>
    <w:rsid w:val="00EA7BB6"/>
    <w:rsid w:val="00EB0432"/>
    <w:rsid w:val="00EB167C"/>
    <w:rsid w:val="00EB2EFD"/>
    <w:rsid w:val="00EB4245"/>
    <w:rsid w:val="00EB549E"/>
    <w:rsid w:val="00EB62AB"/>
    <w:rsid w:val="00EB6F9B"/>
    <w:rsid w:val="00EB73DB"/>
    <w:rsid w:val="00EC1DFF"/>
    <w:rsid w:val="00EC23D8"/>
    <w:rsid w:val="00EC54DF"/>
    <w:rsid w:val="00EC55F4"/>
    <w:rsid w:val="00ED0BDB"/>
    <w:rsid w:val="00ED0ECA"/>
    <w:rsid w:val="00ED4E67"/>
    <w:rsid w:val="00ED5317"/>
    <w:rsid w:val="00ED557B"/>
    <w:rsid w:val="00ED6358"/>
    <w:rsid w:val="00ED6798"/>
    <w:rsid w:val="00EE0665"/>
    <w:rsid w:val="00EE15BE"/>
    <w:rsid w:val="00EE30D8"/>
    <w:rsid w:val="00EE3469"/>
    <w:rsid w:val="00EF1684"/>
    <w:rsid w:val="00EF1AA1"/>
    <w:rsid w:val="00EF3876"/>
    <w:rsid w:val="00EF5457"/>
    <w:rsid w:val="00EF5B1E"/>
    <w:rsid w:val="00EF7B25"/>
    <w:rsid w:val="00EF7C21"/>
    <w:rsid w:val="00F02795"/>
    <w:rsid w:val="00F05680"/>
    <w:rsid w:val="00F058B4"/>
    <w:rsid w:val="00F068B4"/>
    <w:rsid w:val="00F06FCD"/>
    <w:rsid w:val="00F07D29"/>
    <w:rsid w:val="00F107B6"/>
    <w:rsid w:val="00F123C2"/>
    <w:rsid w:val="00F12F45"/>
    <w:rsid w:val="00F1302F"/>
    <w:rsid w:val="00F1472D"/>
    <w:rsid w:val="00F152FD"/>
    <w:rsid w:val="00F1602B"/>
    <w:rsid w:val="00F17831"/>
    <w:rsid w:val="00F17BE9"/>
    <w:rsid w:val="00F21CE3"/>
    <w:rsid w:val="00F22FEC"/>
    <w:rsid w:val="00F23E5E"/>
    <w:rsid w:val="00F26D14"/>
    <w:rsid w:val="00F27B7A"/>
    <w:rsid w:val="00F27D6E"/>
    <w:rsid w:val="00F31A91"/>
    <w:rsid w:val="00F32954"/>
    <w:rsid w:val="00F353E4"/>
    <w:rsid w:val="00F3572C"/>
    <w:rsid w:val="00F3593F"/>
    <w:rsid w:val="00F3775B"/>
    <w:rsid w:val="00F408F5"/>
    <w:rsid w:val="00F419AE"/>
    <w:rsid w:val="00F42347"/>
    <w:rsid w:val="00F44266"/>
    <w:rsid w:val="00F44342"/>
    <w:rsid w:val="00F44F2F"/>
    <w:rsid w:val="00F4569C"/>
    <w:rsid w:val="00F476E3"/>
    <w:rsid w:val="00F477BE"/>
    <w:rsid w:val="00F50F60"/>
    <w:rsid w:val="00F51E91"/>
    <w:rsid w:val="00F52D33"/>
    <w:rsid w:val="00F54F93"/>
    <w:rsid w:val="00F56461"/>
    <w:rsid w:val="00F6009F"/>
    <w:rsid w:val="00F60209"/>
    <w:rsid w:val="00F608A8"/>
    <w:rsid w:val="00F61A20"/>
    <w:rsid w:val="00F61D4A"/>
    <w:rsid w:val="00F61E46"/>
    <w:rsid w:val="00F641AF"/>
    <w:rsid w:val="00F64477"/>
    <w:rsid w:val="00F65DCB"/>
    <w:rsid w:val="00F664B8"/>
    <w:rsid w:val="00F66788"/>
    <w:rsid w:val="00F74219"/>
    <w:rsid w:val="00F763CA"/>
    <w:rsid w:val="00F76D0E"/>
    <w:rsid w:val="00F81A3D"/>
    <w:rsid w:val="00F81D4C"/>
    <w:rsid w:val="00F82FA7"/>
    <w:rsid w:val="00F83E1C"/>
    <w:rsid w:val="00F84761"/>
    <w:rsid w:val="00F91127"/>
    <w:rsid w:val="00F93940"/>
    <w:rsid w:val="00F968AA"/>
    <w:rsid w:val="00FA0126"/>
    <w:rsid w:val="00FA1806"/>
    <w:rsid w:val="00FA2113"/>
    <w:rsid w:val="00FA36AA"/>
    <w:rsid w:val="00FA3BE3"/>
    <w:rsid w:val="00FA3F44"/>
    <w:rsid w:val="00FA60F3"/>
    <w:rsid w:val="00FA6D46"/>
    <w:rsid w:val="00FB006D"/>
    <w:rsid w:val="00FB1028"/>
    <w:rsid w:val="00FB2038"/>
    <w:rsid w:val="00FB251B"/>
    <w:rsid w:val="00FB2B1C"/>
    <w:rsid w:val="00FB3D4C"/>
    <w:rsid w:val="00FB4637"/>
    <w:rsid w:val="00FB4882"/>
    <w:rsid w:val="00FB514B"/>
    <w:rsid w:val="00FB67F6"/>
    <w:rsid w:val="00FC0B0A"/>
    <w:rsid w:val="00FC1E3A"/>
    <w:rsid w:val="00FC3168"/>
    <w:rsid w:val="00FC3227"/>
    <w:rsid w:val="00FC355A"/>
    <w:rsid w:val="00FC36E4"/>
    <w:rsid w:val="00FC38F8"/>
    <w:rsid w:val="00FC4020"/>
    <w:rsid w:val="00FC4548"/>
    <w:rsid w:val="00FC495B"/>
    <w:rsid w:val="00FC6F27"/>
    <w:rsid w:val="00FC75A8"/>
    <w:rsid w:val="00FD1896"/>
    <w:rsid w:val="00FD254B"/>
    <w:rsid w:val="00FD2952"/>
    <w:rsid w:val="00FD2EB8"/>
    <w:rsid w:val="00FD2FD7"/>
    <w:rsid w:val="00FD4872"/>
    <w:rsid w:val="00FD4DA7"/>
    <w:rsid w:val="00FD50D1"/>
    <w:rsid w:val="00FD539C"/>
    <w:rsid w:val="00FD5AFF"/>
    <w:rsid w:val="00FD636E"/>
    <w:rsid w:val="00FD732A"/>
    <w:rsid w:val="00FD7BD0"/>
    <w:rsid w:val="00FD7E4C"/>
    <w:rsid w:val="00FE09E6"/>
    <w:rsid w:val="00FE1115"/>
    <w:rsid w:val="00FE2E63"/>
    <w:rsid w:val="00FE3A84"/>
    <w:rsid w:val="00FE511C"/>
    <w:rsid w:val="00FE5C74"/>
    <w:rsid w:val="00FE6205"/>
    <w:rsid w:val="00FE750A"/>
    <w:rsid w:val="00FF3782"/>
    <w:rsid w:val="00FF3ECD"/>
    <w:rsid w:val="00FF4D1A"/>
    <w:rsid w:val="00FF4EC9"/>
    <w:rsid w:val="00FF59CA"/>
    <w:rsid w:val="00FF6321"/>
    <w:rsid w:val="00FF6B25"/>
    <w:rsid w:val="00FF6CC3"/>
    <w:rsid w:val="01CE5880"/>
    <w:rsid w:val="01D220DD"/>
    <w:rsid w:val="0280D8F3"/>
    <w:rsid w:val="03584EDD"/>
    <w:rsid w:val="0380DBEF"/>
    <w:rsid w:val="046E33F8"/>
    <w:rsid w:val="0529ECA8"/>
    <w:rsid w:val="05D58C75"/>
    <w:rsid w:val="08140B39"/>
    <w:rsid w:val="08784D1F"/>
    <w:rsid w:val="08A192D8"/>
    <w:rsid w:val="09091443"/>
    <w:rsid w:val="0AD49BB2"/>
    <w:rsid w:val="0B14B2A1"/>
    <w:rsid w:val="0C8433EE"/>
    <w:rsid w:val="0D5F0BFC"/>
    <w:rsid w:val="0D8FF3AF"/>
    <w:rsid w:val="0DF2718A"/>
    <w:rsid w:val="0F3D0722"/>
    <w:rsid w:val="0F4AF214"/>
    <w:rsid w:val="0F4E63EF"/>
    <w:rsid w:val="0F6755D1"/>
    <w:rsid w:val="0F6E23CD"/>
    <w:rsid w:val="10FC24F8"/>
    <w:rsid w:val="133455E4"/>
    <w:rsid w:val="134C93AF"/>
    <w:rsid w:val="136E9250"/>
    <w:rsid w:val="13D7214A"/>
    <w:rsid w:val="1435C8AB"/>
    <w:rsid w:val="14811BF8"/>
    <w:rsid w:val="14B4DADB"/>
    <w:rsid w:val="14E0B32F"/>
    <w:rsid w:val="15C1B679"/>
    <w:rsid w:val="15D5E5AC"/>
    <w:rsid w:val="161E0644"/>
    <w:rsid w:val="1658C4A7"/>
    <w:rsid w:val="1734341E"/>
    <w:rsid w:val="18625DE1"/>
    <w:rsid w:val="18CEE0D9"/>
    <w:rsid w:val="194B7FEB"/>
    <w:rsid w:val="1A29E9BF"/>
    <w:rsid w:val="1A82B046"/>
    <w:rsid w:val="1A8BF0C8"/>
    <w:rsid w:val="1C823FE1"/>
    <w:rsid w:val="1C864830"/>
    <w:rsid w:val="1D1851FC"/>
    <w:rsid w:val="1E319D97"/>
    <w:rsid w:val="1E77F9F9"/>
    <w:rsid w:val="1ECD303E"/>
    <w:rsid w:val="1EF40766"/>
    <w:rsid w:val="1FB7F96F"/>
    <w:rsid w:val="1FE3FEB8"/>
    <w:rsid w:val="1FE803A4"/>
    <w:rsid w:val="2060DE4E"/>
    <w:rsid w:val="207F6BC9"/>
    <w:rsid w:val="20E0E4B8"/>
    <w:rsid w:val="219BD86F"/>
    <w:rsid w:val="23641088"/>
    <w:rsid w:val="237D7217"/>
    <w:rsid w:val="244798A4"/>
    <w:rsid w:val="24942E9A"/>
    <w:rsid w:val="24A7647C"/>
    <w:rsid w:val="252A4FAE"/>
    <w:rsid w:val="25E8BF78"/>
    <w:rsid w:val="26948F04"/>
    <w:rsid w:val="269F9C71"/>
    <w:rsid w:val="280F9147"/>
    <w:rsid w:val="2854993B"/>
    <w:rsid w:val="28A2F2E7"/>
    <w:rsid w:val="28BDAD30"/>
    <w:rsid w:val="291C4C62"/>
    <w:rsid w:val="29FE2FD4"/>
    <w:rsid w:val="2B69F990"/>
    <w:rsid w:val="2B77CDD5"/>
    <w:rsid w:val="2BA28ACD"/>
    <w:rsid w:val="2E658E9D"/>
    <w:rsid w:val="2EBB6A3A"/>
    <w:rsid w:val="2F0B639D"/>
    <w:rsid w:val="2F78CDD6"/>
    <w:rsid w:val="303434C6"/>
    <w:rsid w:val="3163E463"/>
    <w:rsid w:val="31F4A417"/>
    <w:rsid w:val="32175E23"/>
    <w:rsid w:val="3230533A"/>
    <w:rsid w:val="33A0DBE8"/>
    <w:rsid w:val="33E0BFA1"/>
    <w:rsid w:val="34D42697"/>
    <w:rsid w:val="34E9597E"/>
    <w:rsid w:val="35033B19"/>
    <w:rsid w:val="352A2462"/>
    <w:rsid w:val="357F638D"/>
    <w:rsid w:val="37208BF2"/>
    <w:rsid w:val="3729BC78"/>
    <w:rsid w:val="379207A8"/>
    <w:rsid w:val="37EA693C"/>
    <w:rsid w:val="382CB7FF"/>
    <w:rsid w:val="384445BA"/>
    <w:rsid w:val="38CF52A7"/>
    <w:rsid w:val="38D4BF09"/>
    <w:rsid w:val="39EB5F4C"/>
    <w:rsid w:val="3A0EFE62"/>
    <w:rsid w:val="3A1B21BB"/>
    <w:rsid w:val="3B0C1D98"/>
    <w:rsid w:val="3B319DCD"/>
    <w:rsid w:val="3B70B2FE"/>
    <w:rsid w:val="3BAD99A5"/>
    <w:rsid w:val="3C5D91F5"/>
    <w:rsid w:val="3CE08189"/>
    <w:rsid w:val="3D17F9E4"/>
    <w:rsid w:val="3D8E3626"/>
    <w:rsid w:val="3DFCB355"/>
    <w:rsid w:val="3E169812"/>
    <w:rsid w:val="3EA25066"/>
    <w:rsid w:val="3FE8C27E"/>
    <w:rsid w:val="3FFBFAE7"/>
    <w:rsid w:val="40262CED"/>
    <w:rsid w:val="408892D4"/>
    <w:rsid w:val="40B9059C"/>
    <w:rsid w:val="40D4EE6A"/>
    <w:rsid w:val="41551946"/>
    <w:rsid w:val="41715590"/>
    <w:rsid w:val="4214DB92"/>
    <w:rsid w:val="42A06590"/>
    <w:rsid w:val="430ADAAD"/>
    <w:rsid w:val="4376A113"/>
    <w:rsid w:val="43770395"/>
    <w:rsid w:val="43947A56"/>
    <w:rsid w:val="43BAFCE7"/>
    <w:rsid w:val="4643CB97"/>
    <w:rsid w:val="46C8D978"/>
    <w:rsid w:val="482DAE6A"/>
    <w:rsid w:val="49E87828"/>
    <w:rsid w:val="49F3485A"/>
    <w:rsid w:val="49F72C89"/>
    <w:rsid w:val="4CDB4273"/>
    <w:rsid w:val="4D32E22E"/>
    <w:rsid w:val="4D47982D"/>
    <w:rsid w:val="4D4898BF"/>
    <w:rsid w:val="4D76FE0C"/>
    <w:rsid w:val="4FA063E6"/>
    <w:rsid w:val="504FCBC9"/>
    <w:rsid w:val="507A6891"/>
    <w:rsid w:val="50ADE294"/>
    <w:rsid w:val="51C624F6"/>
    <w:rsid w:val="51DD2647"/>
    <w:rsid w:val="520EE907"/>
    <w:rsid w:val="5260DB5D"/>
    <w:rsid w:val="52E744AF"/>
    <w:rsid w:val="5335F9A1"/>
    <w:rsid w:val="53A31A44"/>
    <w:rsid w:val="53DF32CB"/>
    <w:rsid w:val="53E17CBA"/>
    <w:rsid w:val="54578A1F"/>
    <w:rsid w:val="54615CD8"/>
    <w:rsid w:val="5513E39E"/>
    <w:rsid w:val="55665EDD"/>
    <w:rsid w:val="56265A41"/>
    <w:rsid w:val="584BD076"/>
    <w:rsid w:val="58D6BACA"/>
    <w:rsid w:val="5993AC09"/>
    <w:rsid w:val="5A4C81EE"/>
    <w:rsid w:val="5A84B917"/>
    <w:rsid w:val="5C1B0047"/>
    <w:rsid w:val="5CAE9DE1"/>
    <w:rsid w:val="5CEAF009"/>
    <w:rsid w:val="5D44A2C1"/>
    <w:rsid w:val="5DB5A9A9"/>
    <w:rsid w:val="5DF5E391"/>
    <w:rsid w:val="5E301D95"/>
    <w:rsid w:val="5E8C1C9B"/>
    <w:rsid w:val="5FB4E087"/>
    <w:rsid w:val="606952C5"/>
    <w:rsid w:val="60A29B03"/>
    <w:rsid w:val="60B629E4"/>
    <w:rsid w:val="624B1221"/>
    <w:rsid w:val="6268C6DA"/>
    <w:rsid w:val="633364C1"/>
    <w:rsid w:val="63E66247"/>
    <w:rsid w:val="64595103"/>
    <w:rsid w:val="64682947"/>
    <w:rsid w:val="64BE5097"/>
    <w:rsid w:val="64ECCACB"/>
    <w:rsid w:val="662E790A"/>
    <w:rsid w:val="66385E3C"/>
    <w:rsid w:val="669237FC"/>
    <w:rsid w:val="680E6DD8"/>
    <w:rsid w:val="682A9DDD"/>
    <w:rsid w:val="6957AEB6"/>
    <w:rsid w:val="69C5039F"/>
    <w:rsid w:val="6B14AB26"/>
    <w:rsid w:val="6B8B7BE4"/>
    <w:rsid w:val="6C848968"/>
    <w:rsid w:val="6D0F2672"/>
    <w:rsid w:val="6DD59ED9"/>
    <w:rsid w:val="6E30BCE0"/>
    <w:rsid w:val="6E7F21ED"/>
    <w:rsid w:val="6EC80427"/>
    <w:rsid w:val="6ED6493E"/>
    <w:rsid w:val="6F731A15"/>
    <w:rsid w:val="6F8E7D52"/>
    <w:rsid w:val="71458DC7"/>
    <w:rsid w:val="71D29472"/>
    <w:rsid w:val="7205CC6C"/>
    <w:rsid w:val="724669AA"/>
    <w:rsid w:val="73476A33"/>
    <w:rsid w:val="738293BA"/>
    <w:rsid w:val="73AD4D79"/>
    <w:rsid w:val="7482B2A1"/>
    <w:rsid w:val="749AAA66"/>
    <w:rsid w:val="74F27777"/>
    <w:rsid w:val="75A8F253"/>
    <w:rsid w:val="77FF13FF"/>
    <w:rsid w:val="7ABC37B8"/>
    <w:rsid w:val="7BF584FC"/>
    <w:rsid w:val="7C640A97"/>
    <w:rsid w:val="7C7D3F50"/>
    <w:rsid w:val="7CCE191C"/>
    <w:rsid w:val="7D975BD1"/>
    <w:rsid w:val="7E011EF3"/>
    <w:rsid w:val="7E54DDB0"/>
    <w:rsid w:val="7E7A667B"/>
    <w:rsid w:val="7E9979C0"/>
    <w:rsid w:val="7F64A0F4"/>
    <w:rsid w:val="7F66B376"/>
    <w:rsid w:val="7F9A92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0284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et-EE"/>
    </w:rPr>
  </w:style>
  <w:style w:type="paragraph" w:styleId="Heading1">
    <w:name w:val="heading 1"/>
    <w:basedOn w:val="Normal"/>
    <w:next w:val="Text1"/>
    <w:link w:val="Heading1Char"/>
    <w:uiPriority w:val="9"/>
    <w:qFormat/>
    <w:pPr>
      <w:keepNext/>
      <w:numPr>
        <w:numId w:val="31"/>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1"/>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1"/>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1"/>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31"/>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31"/>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31"/>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rsid w:val="006C7F87"/>
    <w:pPr>
      <w:numPr>
        <w:numId w:val="2"/>
      </w:numPr>
      <w:tabs>
        <w:tab w:val="num" w:pos="360"/>
      </w:tabs>
      <w:ind w:left="0" w:firstLine="0"/>
    </w:pPr>
    <w:rPr>
      <w:rFonts w:eastAsia="Times New Roman"/>
      <w:lang w:eastAsia="de-DE"/>
    </w:rPr>
  </w:style>
  <w:style w:type="paragraph" w:styleId="ListNumber">
    <w:name w:val="List Number"/>
    <w:basedOn w:val="Normal"/>
    <w:rsid w:val="006C7F87"/>
    <w:pPr>
      <w:numPr>
        <w:numId w:val="6"/>
      </w:numPr>
    </w:pPr>
    <w:rPr>
      <w:rFonts w:eastAsia="Times New Roman"/>
      <w:lang w:eastAsia="de-DE"/>
    </w:rPr>
  </w:style>
  <w:style w:type="paragraph" w:customStyle="1" w:styleId="ListBullet1">
    <w:name w:val="List Bullet 1"/>
    <w:basedOn w:val="Normal"/>
    <w:rsid w:val="006C7F87"/>
    <w:pPr>
      <w:numPr>
        <w:numId w:val="1"/>
      </w:numPr>
    </w:pPr>
    <w:rPr>
      <w:rFonts w:eastAsia="Times New Roman"/>
      <w:lang w:eastAsia="de-DE"/>
    </w:rPr>
  </w:style>
  <w:style w:type="paragraph" w:customStyle="1" w:styleId="ListDash">
    <w:name w:val="List Dash"/>
    <w:basedOn w:val="Normal"/>
    <w:rsid w:val="006C7F87"/>
    <w:pPr>
      <w:numPr>
        <w:numId w:val="3"/>
      </w:numPr>
    </w:pPr>
    <w:rPr>
      <w:rFonts w:eastAsia="Times New Roman"/>
      <w:lang w:eastAsia="de-DE"/>
    </w:rPr>
  </w:style>
  <w:style w:type="paragraph" w:customStyle="1" w:styleId="ListDash1">
    <w:name w:val="List Dash 1"/>
    <w:basedOn w:val="Normal"/>
    <w:rsid w:val="006C7F87"/>
    <w:pPr>
      <w:numPr>
        <w:numId w:val="4"/>
      </w:numPr>
    </w:pPr>
    <w:rPr>
      <w:rFonts w:eastAsia="Times New Roman"/>
      <w:lang w:eastAsia="de-DE"/>
    </w:rPr>
  </w:style>
  <w:style w:type="paragraph" w:customStyle="1" w:styleId="ListDash2">
    <w:name w:val="List Dash 2"/>
    <w:basedOn w:val="Normal"/>
    <w:rsid w:val="006C7F87"/>
    <w:pPr>
      <w:numPr>
        <w:numId w:val="5"/>
      </w:numPr>
    </w:pPr>
    <w:rPr>
      <w:rFonts w:eastAsia="Times New Roman"/>
      <w:lang w:eastAsia="de-DE"/>
    </w:rPr>
  </w:style>
  <w:style w:type="paragraph" w:customStyle="1" w:styleId="ListNumberLevel2">
    <w:name w:val="List Number (Level 2)"/>
    <w:basedOn w:val="Normal"/>
    <w:rsid w:val="006C7F87"/>
    <w:pPr>
      <w:numPr>
        <w:ilvl w:val="1"/>
        <w:numId w:val="6"/>
      </w:numPr>
    </w:pPr>
    <w:rPr>
      <w:rFonts w:eastAsia="Times New Roman"/>
      <w:lang w:eastAsia="de-DE"/>
    </w:rPr>
  </w:style>
  <w:style w:type="paragraph" w:customStyle="1" w:styleId="ListNumberLevel3">
    <w:name w:val="List Number (Level 3)"/>
    <w:basedOn w:val="Normal"/>
    <w:rsid w:val="006C7F87"/>
    <w:pPr>
      <w:numPr>
        <w:ilvl w:val="2"/>
        <w:numId w:val="6"/>
      </w:numPr>
    </w:pPr>
    <w:rPr>
      <w:rFonts w:eastAsia="Times New Roman"/>
      <w:lang w:eastAsia="de-DE"/>
    </w:rPr>
  </w:style>
  <w:style w:type="paragraph" w:customStyle="1" w:styleId="ListNumberLevel4">
    <w:name w:val="List Number (Level 4)"/>
    <w:basedOn w:val="Normal"/>
    <w:rsid w:val="006C7F87"/>
    <w:pPr>
      <w:numPr>
        <w:ilvl w:val="3"/>
        <w:numId w:val="6"/>
      </w:numPr>
    </w:pPr>
    <w:rPr>
      <w:rFonts w:eastAsia="Times New Roman"/>
      <w:lang w:eastAsia="de-DE"/>
    </w:rPr>
  </w:style>
  <w:style w:type="table" w:styleId="TableGrid">
    <w:name w:val="Table Grid"/>
    <w:basedOn w:val="TableNormal"/>
    <w:rsid w:val="006C7F87"/>
    <w:pPr>
      <w:spacing w:before="120" w:after="120" w:line="240" w:lineRule="auto"/>
      <w:jc w:val="both"/>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6C7F87"/>
    <w:rPr>
      <w:color w:val="0000FF"/>
      <w:u w:val="single"/>
    </w:rPr>
  </w:style>
  <w:style w:type="paragraph" w:styleId="ListBullet">
    <w:name w:val="List Bullet"/>
    <w:basedOn w:val="Normal"/>
    <w:rsid w:val="006C7F87"/>
    <w:pPr>
      <w:numPr>
        <w:numId w:val="7"/>
      </w:numPr>
    </w:pPr>
    <w:rPr>
      <w:rFonts w:eastAsia="Times New Roman"/>
      <w:lang w:eastAsia="en-GB"/>
    </w:rPr>
  </w:style>
  <w:style w:type="paragraph" w:styleId="ListBullet2">
    <w:name w:val="List Bullet 2"/>
    <w:basedOn w:val="Normal"/>
    <w:rsid w:val="006C7F87"/>
    <w:pPr>
      <w:numPr>
        <w:numId w:val="8"/>
      </w:numPr>
    </w:pPr>
    <w:rPr>
      <w:rFonts w:eastAsia="Times New Roman"/>
      <w:lang w:eastAsia="en-GB"/>
    </w:rPr>
  </w:style>
  <w:style w:type="paragraph" w:styleId="ListBullet3">
    <w:name w:val="List Bullet 3"/>
    <w:basedOn w:val="Normal"/>
    <w:rsid w:val="006C7F87"/>
    <w:pPr>
      <w:numPr>
        <w:numId w:val="9"/>
      </w:numPr>
    </w:pPr>
    <w:rPr>
      <w:rFonts w:eastAsia="Times New Roman"/>
      <w:lang w:eastAsia="en-GB"/>
    </w:rPr>
  </w:style>
  <w:style w:type="paragraph" w:styleId="ListNumber2">
    <w:name w:val="List Number 2"/>
    <w:basedOn w:val="Normal"/>
    <w:rsid w:val="006C7F87"/>
    <w:pPr>
      <w:numPr>
        <w:numId w:val="13"/>
      </w:numPr>
    </w:pPr>
    <w:rPr>
      <w:rFonts w:eastAsia="Times New Roman"/>
      <w:lang w:eastAsia="en-GB"/>
    </w:rPr>
  </w:style>
  <w:style w:type="paragraph" w:styleId="ListNumber3">
    <w:name w:val="List Number 3"/>
    <w:basedOn w:val="Normal"/>
    <w:rsid w:val="006C7F87"/>
    <w:pPr>
      <w:numPr>
        <w:numId w:val="14"/>
      </w:numPr>
    </w:pPr>
    <w:rPr>
      <w:rFonts w:eastAsia="Times New Roman"/>
      <w:lang w:eastAsia="en-GB"/>
    </w:rPr>
  </w:style>
  <w:style w:type="paragraph" w:styleId="ListNumber4">
    <w:name w:val="List Number 4"/>
    <w:basedOn w:val="Normal"/>
    <w:rsid w:val="006C7F87"/>
    <w:pPr>
      <w:numPr>
        <w:numId w:val="15"/>
      </w:numPr>
    </w:pPr>
    <w:rPr>
      <w:rFonts w:eastAsia="Times New Roman"/>
      <w:lang w:eastAsia="en-GB"/>
    </w:rPr>
  </w:style>
  <w:style w:type="paragraph" w:customStyle="1" w:styleId="ListDash3">
    <w:name w:val="List Dash 3"/>
    <w:basedOn w:val="Normal"/>
    <w:rsid w:val="006C7F87"/>
    <w:pPr>
      <w:numPr>
        <w:numId w:val="10"/>
      </w:numPr>
    </w:pPr>
    <w:rPr>
      <w:rFonts w:eastAsia="Times New Roman"/>
      <w:lang w:eastAsia="en-GB"/>
    </w:rPr>
  </w:style>
  <w:style w:type="paragraph" w:customStyle="1" w:styleId="ListDash4">
    <w:name w:val="List Dash 4"/>
    <w:basedOn w:val="Normal"/>
    <w:rsid w:val="006C7F87"/>
    <w:pPr>
      <w:numPr>
        <w:numId w:val="11"/>
      </w:numPr>
    </w:pPr>
    <w:rPr>
      <w:rFonts w:eastAsia="Times New Roman"/>
      <w:lang w:eastAsia="en-GB"/>
    </w:rPr>
  </w:style>
  <w:style w:type="paragraph" w:customStyle="1" w:styleId="ListNumber1">
    <w:name w:val="List Number 1"/>
    <w:basedOn w:val="Text1"/>
    <w:rsid w:val="006C7F87"/>
    <w:pPr>
      <w:numPr>
        <w:numId w:val="12"/>
      </w:numPr>
    </w:pPr>
    <w:rPr>
      <w:rFonts w:eastAsia="Times New Roman"/>
      <w:lang w:eastAsia="en-GB"/>
    </w:rPr>
  </w:style>
  <w:style w:type="paragraph" w:customStyle="1" w:styleId="ListNumber1Level2">
    <w:name w:val="List Number 1 (Level 2)"/>
    <w:basedOn w:val="Text1"/>
    <w:rsid w:val="006C7F87"/>
    <w:pPr>
      <w:numPr>
        <w:ilvl w:val="1"/>
        <w:numId w:val="12"/>
      </w:numPr>
    </w:pPr>
    <w:rPr>
      <w:rFonts w:eastAsia="Times New Roman"/>
      <w:lang w:eastAsia="en-GB"/>
    </w:rPr>
  </w:style>
  <w:style w:type="paragraph" w:customStyle="1" w:styleId="ListNumber2Level2">
    <w:name w:val="List Number 2 (Level 2)"/>
    <w:basedOn w:val="Text2"/>
    <w:rsid w:val="006C7F87"/>
    <w:pPr>
      <w:numPr>
        <w:ilvl w:val="1"/>
        <w:numId w:val="13"/>
      </w:numPr>
    </w:pPr>
    <w:rPr>
      <w:rFonts w:eastAsia="Times New Roman"/>
      <w:lang w:eastAsia="en-GB"/>
    </w:rPr>
  </w:style>
  <w:style w:type="paragraph" w:customStyle="1" w:styleId="ListNumber3Level2">
    <w:name w:val="List Number 3 (Level 2)"/>
    <w:basedOn w:val="Text3"/>
    <w:rsid w:val="006C7F87"/>
    <w:pPr>
      <w:numPr>
        <w:ilvl w:val="1"/>
        <w:numId w:val="14"/>
      </w:numPr>
    </w:pPr>
    <w:rPr>
      <w:rFonts w:eastAsia="Times New Roman"/>
      <w:lang w:eastAsia="en-GB"/>
    </w:rPr>
  </w:style>
  <w:style w:type="paragraph" w:customStyle="1" w:styleId="ListNumber4Level2">
    <w:name w:val="List Number 4 (Level 2)"/>
    <w:basedOn w:val="Text4"/>
    <w:rsid w:val="006C7F87"/>
    <w:pPr>
      <w:numPr>
        <w:ilvl w:val="1"/>
        <w:numId w:val="15"/>
      </w:numPr>
    </w:pPr>
    <w:rPr>
      <w:rFonts w:eastAsia="Times New Roman"/>
      <w:lang w:eastAsia="en-GB"/>
    </w:rPr>
  </w:style>
  <w:style w:type="paragraph" w:customStyle="1" w:styleId="ListNumber1Level3">
    <w:name w:val="List Number 1 (Level 3)"/>
    <w:basedOn w:val="Text1"/>
    <w:rsid w:val="006C7F87"/>
    <w:pPr>
      <w:numPr>
        <w:ilvl w:val="2"/>
        <w:numId w:val="12"/>
      </w:numPr>
    </w:pPr>
    <w:rPr>
      <w:rFonts w:eastAsia="Times New Roman"/>
      <w:lang w:eastAsia="en-GB"/>
    </w:rPr>
  </w:style>
  <w:style w:type="paragraph" w:customStyle="1" w:styleId="ListNumber2Level3">
    <w:name w:val="List Number 2 (Level 3)"/>
    <w:basedOn w:val="Text2"/>
    <w:rsid w:val="006C7F87"/>
    <w:pPr>
      <w:numPr>
        <w:ilvl w:val="2"/>
        <w:numId w:val="13"/>
      </w:numPr>
    </w:pPr>
    <w:rPr>
      <w:rFonts w:eastAsia="Times New Roman"/>
      <w:lang w:eastAsia="en-GB"/>
    </w:rPr>
  </w:style>
  <w:style w:type="paragraph" w:customStyle="1" w:styleId="ListNumber3Level3">
    <w:name w:val="List Number 3 (Level 3)"/>
    <w:basedOn w:val="Text3"/>
    <w:rsid w:val="006C7F87"/>
    <w:pPr>
      <w:numPr>
        <w:ilvl w:val="2"/>
        <w:numId w:val="14"/>
      </w:numPr>
    </w:pPr>
    <w:rPr>
      <w:rFonts w:eastAsia="Times New Roman"/>
      <w:lang w:eastAsia="en-GB"/>
    </w:rPr>
  </w:style>
  <w:style w:type="paragraph" w:customStyle="1" w:styleId="ListNumber4Level3">
    <w:name w:val="List Number 4 (Level 3)"/>
    <w:basedOn w:val="Text4"/>
    <w:rsid w:val="006C7F87"/>
    <w:pPr>
      <w:numPr>
        <w:ilvl w:val="2"/>
        <w:numId w:val="15"/>
      </w:numPr>
    </w:pPr>
    <w:rPr>
      <w:rFonts w:eastAsia="Times New Roman"/>
      <w:lang w:eastAsia="en-GB"/>
    </w:rPr>
  </w:style>
  <w:style w:type="paragraph" w:customStyle="1" w:styleId="ListNumber1Level4">
    <w:name w:val="List Number 1 (Level 4)"/>
    <w:basedOn w:val="Text1"/>
    <w:rsid w:val="006C7F87"/>
    <w:pPr>
      <w:numPr>
        <w:ilvl w:val="3"/>
        <w:numId w:val="12"/>
      </w:numPr>
    </w:pPr>
    <w:rPr>
      <w:rFonts w:eastAsia="Times New Roman"/>
      <w:lang w:eastAsia="en-GB"/>
    </w:rPr>
  </w:style>
  <w:style w:type="paragraph" w:customStyle="1" w:styleId="ListNumber2Level4">
    <w:name w:val="List Number 2 (Level 4)"/>
    <w:basedOn w:val="Text2"/>
    <w:rsid w:val="006C7F87"/>
    <w:pPr>
      <w:numPr>
        <w:ilvl w:val="3"/>
        <w:numId w:val="13"/>
      </w:numPr>
    </w:pPr>
    <w:rPr>
      <w:rFonts w:eastAsia="Times New Roman"/>
      <w:lang w:eastAsia="en-GB"/>
    </w:rPr>
  </w:style>
  <w:style w:type="paragraph" w:customStyle="1" w:styleId="ListNumber3Level4">
    <w:name w:val="List Number 3 (Level 4)"/>
    <w:basedOn w:val="Text3"/>
    <w:rsid w:val="006C7F87"/>
    <w:pPr>
      <w:numPr>
        <w:ilvl w:val="3"/>
        <w:numId w:val="14"/>
      </w:numPr>
    </w:pPr>
    <w:rPr>
      <w:rFonts w:eastAsia="Times New Roman"/>
      <w:lang w:eastAsia="en-GB"/>
    </w:rPr>
  </w:style>
  <w:style w:type="paragraph" w:customStyle="1" w:styleId="ListNumber4Level4">
    <w:name w:val="List Number 4 (Level 4)"/>
    <w:basedOn w:val="Text4"/>
    <w:rsid w:val="006C7F87"/>
    <w:pPr>
      <w:numPr>
        <w:ilvl w:val="3"/>
        <w:numId w:val="15"/>
      </w:numPr>
    </w:pPr>
    <w:rPr>
      <w:rFonts w:eastAsia="Times New Roman"/>
      <w:lang w:eastAsia="en-GB"/>
    </w:rPr>
  </w:style>
  <w:style w:type="paragraph" w:customStyle="1" w:styleId="Annexetitreacte">
    <w:name w:val="Annexe titre (acte)"/>
    <w:basedOn w:val="Normal"/>
    <w:next w:val="Normal"/>
    <w:rsid w:val="006C7F87"/>
    <w:pPr>
      <w:jc w:val="center"/>
    </w:pPr>
    <w:rPr>
      <w:rFonts w:eastAsia="Times New Roman"/>
      <w:b/>
      <w:u w:val="single"/>
      <w:lang w:eastAsia="en-GB"/>
    </w:rPr>
  </w:style>
  <w:style w:type="paragraph" w:customStyle="1" w:styleId="Annexetitreexposglobal">
    <w:name w:val="Annexe titre (exposé global)"/>
    <w:basedOn w:val="Normal"/>
    <w:next w:val="Normal"/>
    <w:rsid w:val="006C7F87"/>
    <w:pPr>
      <w:jc w:val="center"/>
    </w:pPr>
    <w:rPr>
      <w:rFonts w:eastAsia="Times New Roman"/>
      <w:b/>
      <w:u w:val="single"/>
      <w:lang w:eastAsia="en-GB"/>
    </w:rPr>
  </w:style>
  <w:style w:type="paragraph" w:customStyle="1" w:styleId="Annexetitrefichefinacte">
    <w:name w:val="Annexe titre (fiche fin. acte)"/>
    <w:basedOn w:val="Normal"/>
    <w:next w:val="Normal"/>
    <w:rsid w:val="006C7F87"/>
    <w:pPr>
      <w:jc w:val="center"/>
    </w:pPr>
    <w:rPr>
      <w:rFonts w:eastAsia="Times New Roman"/>
      <w:b/>
      <w:u w:val="single"/>
      <w:lang w:eastAsia="en-GB"/>
    </w:rPr>
  </w:style>
  <w:style w:type="paragraph" w:customStyle="1" w:styleId="Annexetitrefichefinglobale">
    <w:name w:val="Annexe titre (fiche fin. globale)"/>
    <w:basedOn w:val="Normal"/>
    <w:next w:val="Normal"/>
    <w:rsid w:val="006C7F87"/>
    <w:pPr>
      <w:jc w:val="center"/>
    </w:pPr>
    <w:rPr>
      <w:rFonts w:eastAsia="Times New Roman"/>
      <w:b/>
      <w:u w:val="single"/>
      <w:lang w:eastAsia="en-GB"/>
    </w:rPr>
  </w:style>
  <w:style w:type="paragraph" w:customStyle="1" w:styleId="Annexetitreglobale">
    <w:name w:val="Annexe titre (globale)"/>
    <w:basedOn w:val="Normal"/>
    <w:next w:val="Normal"/>
    <w:rsid w:val="006C7F87"/>
    <w:pPr>
      <w:jc w:val="center"/>
    </w:pPr>
    <w:rPr>
      <w:rFonts w:eastAsia="Times New Roman"/>
      <w:b/>
      <w:u w:val="single"/>
      <w:lang w:eastAsia="en-GB"/>
    </w:rPr>
  </w:style>
  <w:style w:type="paragraph" w:customStyle="1" w:styleId="Exposdesmotifstitreglobal">
    <w:name w:val="Exposé des motifs titre (global)"/>
    <w:basedOn w:val="Normal"/>
    <w:next w:val="Normal"/>
    <w:rsid w:val="006C7F87"/>
    <w:pPr>
      <w:jc w:val="center"/>
    </w:pPr>
    <w:rPr>
      <w:rFonts w:eastAsia="Times New Roman"/>
      <w:b/>
      <w:u w:val="single"/>
      <w:lang w:eastAsia="en-GB"/>
    </w:rPr>
  </w:style>
  <w:style w:type="paragraph" w:customStyle="1" w:styleId="Langueoriginale">
    <w:name w:val="Langue originale"/>
    <w:basedOn w:val="Normal"/>
    <w:rsid w:val="006C7F87"/>
    <w:pPr>
      <w:spacing w:before="360"/>
      <w:jc w:val="center"/>
    </w:pPr>
    <w:rPr>
      <w:rFonts w:eastAsia="Times New Roman"/>
      <w:caps/>
      <w:lang w:eastAsia="en-GB"/>
    </w:rPr>
  </w:style>
  <w:style w:type="paragraph" w:customStyle="1" w:styleId="Phrasefinale">
    <w:name w:val="Phrase finale"/>
    <w:basedOn w:val="Normal"/>
    <w:next w:val="Normal"/>
    <w:rsid w:val="006C7F87"/>
    <w:pPr>
      <w:spacing w:before="360" w:after="0"/>
      <w:jc w:val="center"/>
    </w:pPr>
    <w:rPr>
      <w:rFonts w:eastAsia="Times New Roman"/>
      <w:lang w:eastAsia="en-GB"/>
    </w:rPr>
  </w:style>
  <w:style w:type="paragraph" w:customStyle="1" w:styleId="Prliminairetitre">
    <w:name w:val="Préliminaire titre"/>
    <w:basedOn w:val="Normal"/>
    <w:next w:val="Normal"/>
    <w:rsid w:val="006C7F87"/>
    <w:pPr>
      <w:spacing w:before="360" w:after="360"/>
      <w:jc w:val="center"/>
    </w:pPr>
    <w:rPr>
      <w:rFonts w:eastAsia="Times New Roman"/>
      <w:b/>
      <w:lang w:eastAsia="en-GB"/>
    </w:rPr>
  </w:style>
  <w:style w:type="paragraph" w:customStyle="1" w:styleId="Prliminairetype">
    <w:name w:val="Préliminaire type"/>
    <w:basedOn w:val="Normal"/>
    <w:next w:val="Normal"/>
    <w:rsid w:val="006C7F87"/>
    <w:pPr>
      <w:spacing w:before="360" w:after="0"/>
      <w:jc w:val="center"/>
    </w:pPr>
    <w:rPr>
      <w:rFonts w:eastAsia="Times New Roman"/>
      <w:b/>
      <w:lang w:eastAsia="en-GB"/>
    </w:rPr>
  </w:style>
  <w:style w:type="paragraph" w:customStyle="1" w:styleId="Rfrenceinstitutionelle">
    <w:name w:val="Référence institutionelle"/>
    <w:basedOn w:val="Normal"/>
    <w:next w:val="Statut"/>
    <w:rsid w:val="006C7F87"/>
    <w:pPr>
      <w:spacing w:before="0" w:after="240"/>
      <w:ind w:left="5103"/>
      <w:jc w:val="left"/>
    </w:pPr>
    <w:rPr>
      <w:rFonts w:eastAsia="Times New Roman"/>
      <w:lang w:eastAsia="en-GB"/>
    </w:rPr>
  </w:style>
  <w:style w:type="paragraph" w:customStyle="1" w:styleId="Rfrenceinterinstitutionelle">
    <w:name w:val="Référence interinstitutionelle"/>
    <w:basedOn w:val="Normal"/>
    <w:next w:val="Statut"/>
    <w:rsid w:val="006C7F87"/>
    <w:pPr>
      <w:spacing w:before="0" w:after="0"/>
      <w:ind w:left="5103"/>
      <w:jc w:val="left"/>
    </w:pPr>
    <w:rPr>
      <w:rFonts w:eastAsia="Times New Roman"/>
      <w:lang w:eastAsia="en-GB"/>
    </w:rPr>
  </w:style>
  <w:style w:type="paragraph" w:customStyle="1" w:styleId="Rfrenceinterinstitutionelleprliminaire">
    <w:name w:val="Référence interinstitutionelle (préliminaire)"/>
    <w:basedOn w:val="Normal"/>
    <w:next w:val="Normal"/>
    <w:rsid w:val="006C7F87"/>
    <w:pPr>
      <w:spacing w:before="0" w:after="0"/>
      <w:ind w:left="5103"/>
      <w:jc w:val="left"/>
    </w:pPr>
    <w:rPr>
      <w:rFonts w:eastAsia="Times New Roman"/>
      <w:lang w:eastAsia="en-GB"/>
    </w:rPr>
  </w:style>
  <w:style w:type="paragraph" w:customStyle="1" w:styleId="Sous-titreobjetprliminaire">
    <w:name w:val="Sous-titre objet (préliminaire)"/>
    <w:basedOn w:val="Normal"/>
    <w:rsid w:val="006C7F87"/>
    <w:pPr>
      <w:spacing w:before="0" w:after="0"/>
      <w:jc w:val="center"/>
    </w:pPr>
    <w:rPr>
      <w:rFonts w:eastAsia="Times New Roman"/>
      <w:b/>
      <w:lang w:eastAsia="en-GB"/>
    </w:rPr>
  </w:style>
  <w:style w:type="paragraph" w:customStyle="1" w:styleId="Statutprliminaire">
    <w:name w:val="Statut (préliminaire)"/>
    <w:basedOn w:val="Normal"/>
    <w:next w:val="Normal"/>
    <w:rsid w:val="006C7F87"/>
    <w:pPr>
      <w:spacing w:before="360" w:after="0"/>
      <w:jc w:val="center"/>
    </w:pPr>
    <w:rPr>
      <w:rFonts w:eastAsia="Times New Roman"/>
      <w:lang w:eastAsia="en-GB"/>
    </w:rPr>
  </w:style>
  <w:style w:type="paragraph" w:customStyle="1" w:styleId="Titreobjetprliminaire">
    <w:name w:val="Titre objet (préliminaire)"/>
    <w:basedOn w:val="Normal"/>
    <w:next w:val="Normal"/>
    <w:rsid w:val="006C7F87"/>
    <w:pPr>
      <w:spacing w:before="360" w:after="360"/>
      <w:jc w:val="center"/>
    </w:pPr>
    <w:rPr>
      <w:rFonts w:eastAsia="Times New Roman"/>
      <w:b/>
      <w:lang w:eastAsia="en-GB"/>
    </w:rPr>
  </w:style>
  <w:style w:type="paragraph" w:customStyle="1" w:styleId="Typedudocumentprliminaire">
    <w:name w:val="Type du document (préliminaire)"/>
    <w:basedOn w:val="Normal"/>
    <w:next w:val="Normal"/>
    <w:rsid w:val="006C7F87"/>
    <w:pPr>
      <w:spacing w:before="360" w:after="0"/>
      <w:jc w:val="center"/>
    </w:pPr>
    <w:rPr>
      <w:rFonts w:eastAsia="Times New Roman"/>
      <w:b/>
      <w:lang w:eastAsia="en-GB"/>
    </w:rPr>
  </w:style>
  <w:style w:type="paragraph" w:customStyle="1" w:styleId="Fichefinancirestandardtitre">
    <w:name w:val="Fiche financière (standard) titre"/>
    <w:basedOn w:val="Normal"/>
    <w:next w:val="Normal"/>
    <w:rsid w:val="006C7F87"/>
    <w:pPr>
      <w:jc w:val="center"/>
    </w:pPr>
    <w:rPr>
      <w:rFonts w:eastAsia="Times New Roman"/>
      <w:b/>
      <w:u w:val="single"/>
      <w:lang w:eastAsia="en-GB"/>
    </w:rPr>
  </w:style>
  <w:style w:type="paragraph" w:customStyle="1" w:styleId="Fichefinancirestandardtitreacte">
    <w:name w:val="Fiche financière (standard) titre (acte)"/>
    <w:basedOn w:val="Normal"/>
    <w:next w:val="Normal"/>
    <w:rsid w:val="006C7F87"/>
    <w:pPr>
      <w:jc w:val="center"/>
    </w:pPr>
    <w:rPr>
      <w:rFonts w:eastAsia="Times New Roman"/>
      <w:b/>
      <w:u w:val="single"/>
      <w:lang w:eastAsia="en-GB"/>
    </w:rPr>
  </w:style>
  <w:style w:type="paragraph" w:customStyle="1" w:styleId="Fichefinanciretravailtitre">
    <w:name w:val="Fiche financière (travail) titre"/>
    <w:basedOn w:val="Normal"/>
    <w:next w:val="Normal"/>
    <w:rsid w:val="006C7F87"/>
    <w:pPr>
      <w:jc w:val="center"/>
    </w:pPr>
    <w:rPr>
      <w:rFonts w:eastAsia="Times New Roman"/>
      <w:b/>
      <w:u w:val="single"/>
      <w:lang w:eastAsia="en-GB"/>
    </w:rPr>
  </w:style>
  <w:style w:type="paragraph" w:customStyle="1" w:styleId="Fichefinanciretravailtitreacte">
    <w:name w:val="Fiche financière (travail) titre (acte)"/>
    <w:basedOn w:val="Normal"/>
    <w:next w:val="Normal"/>
    <w:rsid w:val="006C7F87"/>
    <w:pPr>
      <w:jc w:val="center"/>
    </w:pPr>
    <w:rPr>
      <w:rFonts w:eastAsia="Times New Roman"/>
      <w:b/>
      <w:u w:val="single"/>
      <w:lang w:eastAsia="en-GB"/>
    </w:rPr>
  </w:style>
  <w:style w:type="paragraph" w:customStyle="1" w:styleId="Fichefinancireattributiontitre">
    <w:name w:val="Fiche financière (attribution) titre"/>
    <w:basedOn w:val="Normal"/>
    <w:next w:val="Normal"/>
    <w:rsid w:val="006C7F87"/>
    <w:pPr>
      <w:jc w:val="center"/>
    </w:pPr>
    <w:rPr>
      <w:rFonts w:eastAsia="Times New Roman"/>
      <w:b/>
      <w:u w:val="single"/>
      <w:lang w:eastAsia="en-GB"/>
    </w:rPr>
  </w:style>
  <w:style w:type="paragraph" w:customStyle="1" w:styleId="Fichefinancireattributiontitreacte">
    <w:name w:val="Fiche financière (attribution) titre (acte)"/>
    <w:basedOn w:val="Normal"/>
    <w:next w:val="Normal"/>
    <w:rsid w:val="006C7F87"/>
    <w:pPr>
      <w:jc w:val="center"/>
    </w:pPr>
    <w:rPr>
      <w:rFonts w:eastAsia="Times New Roman"/>
      <w:b/>
      <w:u w:val="single"/>
      <w:lang w:eastAsia="en-GB"/>
    </w:rPr>
  </w:style>
  <w:style w:type="character" w:styleId="CommentReference">
    <w:name w:val="annotation reference"/>
    <w:rsid w:val="006C7F87"/>
    <w:rPr>
      <w:rFonts w:cs="Times New Roman"/>
      <w:sz w:val="16"/>
      <w:szCs w:val="16"/>
    </w:rPr>
  </w:style>
  <w:style w:type="paragraph" w:styleId="CommentText">
    <w:name w:val="annotation text"/>
    <w:basedOn w:val="Normal"/>
    <w:link w:val="CommentTextChar"/>
    <w:rsid w:val="006C7F87"/>
    <w:rPr>
      <w:rFonts w:eastAsia="Times New Roman"/>
      <w:sz w:val="20"/>
      <w:szCs w:val="20"/>
      <w:lang w:eastAsia="en-GB"/>
    </w:rPr>
  </w:style>
  <w:style w:type="character" w:customStyle="1" w:styleId="CommentTextChar">
    <w:name w:val="Comment Text Char"/>
    <w:basedOn w:val="DefaultParagraphFont"/>
    <w:link w:val="CommentText"/>
    <w:rsid w:val="006C7F87"/>
    <w:rPr>
      <w:rFonts w:ascii="Times New Roman" w:eastAsia="Times New Roman" w:hAnsi="Times New Roman" w:cs="Times New Roman"/>
      <w:sz w:val="20"/>
      <w:szCs w:val="20"/>
      <w:lang w:val="et-EE" w:eastAsia="en-GB"/>
    </w:rPr>
  </w:style>
  <w:style w:type="paragraph" w:styleId="CommentSubject">
    <w:name w:val="annotation subject"/>
    <w:basedOn w:val="CommentText"/>
    <w:next w:val="CommentText"/>
    <w:link w:val="CommentSubjectChar"/>
    <w:rsid w:val="006C7F87"/>
    <w:rPr>
      <w:b/>
      <w:bCs/>
    </w:rPr>
  </w:style>
  <w:style w:type="character" w:customStyle="1" w:styleId="CommentSubjectChar">
    <w:name w:val="Comment Subject Char"/>
    <w:basedOn w:val="CommentTextChar"/>
    <w:link w:val="CommentSubject"/>
    <w:rsid w:val="006C7F87"/>
    <w:rPr>
      <w:rFonts w:ascii="Times New Roman" w:eastAsia="Times New Roman" w:hAnsi="Times New Roman" w:cs="Times New Roman"/>
      <w:b/>
      <w:bCs/>
      <w:sz w:val="20"/>
      <w:szCs w:val="20"/>
      <w:lang w:val="et-EE" w:eastAsia="en-GB"/>
    </w:rPr>
  </w:style>
  <w:style w:type="paragraph" w:styleId="BalloonText">
    <w:name w:val="Balloon Text"/>
    <w:basedOn w:val="Normal"/>
    <w:link w:val="BalloonTextChar"/>
    <w:rsid w:val="006C7F87"/>
    <w:rPr>
      <w:rFonts w:ascii="Tahoma" w:eastAsia="Times New Roman" w:hAnsi="Tahoma" w:cs="Tahoma"/>
      <w:sz w:val="16"/>
      <w:szCs w:val="16"/>
      <w:lang w:eastAsia="en-GB"/>
    </w:rPr>
  </w:style>
  <w:style w:type="character" w:customStyle="1" w:styleId="BalloonTextChar">
    <w:name w:val="Balloon Text Char"/>
    <w:basedOn w:val="DefaultParagraphFont"/>
    <w:link w:val="BalloonText"/>
    <w:rsid w:val="006C7F87"/>
    <w:rPr>
      <w:rFonts w:ascii="Tahoma" w:eastAsia="Times New Roman" w:hAnsi="Tahoma" w:cs="Tahoma"/>
      <w:sz w:val="16"/>
      <w:szCs w:val="16"/>
      <w:lang w:val="et-EE" w:eastAsia="en-GB"/>
    </w:rPr>
  </w:style>
  <w:style w:type="paragraph" w:styleId="Caption">
    <w:name w:val="caption"/>
    <w:basedOn w:val="Normal"/>
    <w:next w:val="Normal"/>
    <w:qFormat/>
    <w:rsid w:val="006C7F87"/>
    <w:rPr>
      <w:rFonts w:eastAsia="Times New Roman"/>
      <w:b/>
      <w:bCs/>
      <w:sz w:val="20"/>
      <w:szCs w:val="20"/>
      <w:lang w:eastAsia="en-GB"/>
    </w:rPr>
  </w:style>
  <w:style w:type="paragraph" w:styleId="TableofFigures">
    <w:name w:val="table of figures"/>
    <w:basedOn w:val="Normal"/>
    <w:next w:val="Normal"/>
    <w:rsid w:val="006C7F87"/>
    <w:rPr>
      <w:rFonts w:eastAsia="Times New Roman"/>
      <w:lang w:eastAsia="en-GB"/>
    </w:rPr>
  </w:style>
  <w:style w:type="character" w:styleId="PageNumber">
    <w:name w:val="page number"/>
    <w:rsid w:val="006C7F87"/>
  </w:style>
  <w:style w:type="character" w:customStyle="1" w:styleId="tw4winMark">
    <w:name w:val="tw4winMark"/>
    <w:rsid w:val="006C7F87"/>
    <w:rPr>
      <w:vanish/>
      <w:color w:val="800080"/>
      <w:vertAlign w:val="subscript"/>
    </w:rPr>
  </w:style>
  <w:style w:type="character" w:styleId="FollowedHyperlink">
    <w:name w:val="FollowedHyperlink"/>
    <w:rsid w:val="006C7F87"/>
    <w:rPr>
      <w:color w:val="800080"/>
      <w:u w:val="single"/>
    </w:rPr>
  </w:style>
  <w:style w:type="paragraph" w:customStyle="1" w:styleId="Sous-titreobjet">
    <w:name w:val="Sous-titre objet"/>
    <w:basedOn w:val="Normal"/>
    <w:rsid w:val="006C7F87"/>
    <w:pPr>
      <w:spacing w:before="0" w:after="0"/>
      <w:jc w:val="center"/>
    </w:pPr>
    <w:rPr>
      <w:rFonts w:eastAsia="Times New Roman"/>
      <w:b/>
      <w:lang w:eastAsia="en-GB"/>
    </w:rPr>
  </w:style>
  <w:style w:type="paragraph" w:customStyle="1" w:styleId="Sous-titreobjetPagedecouverture">
    <w:name w:val="Sous-titre objet (Page de couverture)"/>
    <w:basedOn w:val="Sous-titreobjet"/>
    <w:rsid w:val="006C7F87"/>
  </w:style>
  <w:style w:type="paragraph" w:styleId="Revision">
    <w:name w:val="Revision"/>
    <w:hidden/>
    <w:uiPriority w:val="99"/>
    <w:semiHidden/>
    <w:rsid w:val="006C7F87"/>
    <w:rPr>
      <w:rFonts w:ascii="Calibri" w:eastAsia="Calibri" w:hAnsi="Calibri" w:cs="Times New Roman"/>
      <w:sz w:val="24"/>
      <w:lang w:eastAsia="en-GB"/>
    </w:rPr>
  </w:style>
  <w:style w:type="paragraph" w:customStyle="1" w:styleId="FooterCoverPage">
    <w:name w:val="Footer Cover Page"/>
    <w:basedOn w:val="Normal"/>
    <w:link w:val="FooterCoverPageChar"/>
    <w:rsid w:val="006C7F87"/>
    <w:pPr>
      <w:tabs>
        <w:tab w:val="center" w:pos="4535"/>
        <w:tab w:val="right" w:pos="9071"/>
        <w:tab w:val="right" w:pos="9921"/>
      </w:tabs>
      <w:spacing w:before="360" w:after="0"/>
      <w:ind w:left="-850" w:right="-850"/>
      <w:jc w:val="left"/>
    </w:pPr>
    <w:rPr>
      <w:rFonts w:eastAsia="Calibri"/>
      <w:lang w:eastAsia="en-GB"/>
    </w:rPr>
  </w:style>
  <w:style w:type="character" w:customStyle="1" w:styleId="TOCHeadingChar">
    <w:name w:val="TOC Heading Char"/>
    <w:uiPriority w:val="39"/>
    <w:rsid w:val="006C7F87"/>
    <w:rPr>
      <w:rFonts w:ascii="Times New Roman" w:hAnsi="Times New Roman" w:cs="Times New Roman"/>
      <w:b/>
      <w:sz w:val="28"/>
      <w:lang w:val="et-EE"/>
    </w:rPr>
  </w:style>
  <w:style w:type="character" w:customStyle="1" w:styleId="FooterCoverPageChar">
    <w:name w:val="Footer Cover Page Char"/>
    <w:link w:val="FooterCoverPage"/>
    <w:rsid w:val="006C7F87"/>
    <w:rPr>
      <w:rFonts w:ascii="Times New Roman" w:eastAsia="Calibri" w:hAnsi="Times New Roman" w:cs="Times New Roman"/>
      <w:sz w:val="24"/>
      <w:lang w:val="et-EE" w:eastAsia="en-GB"/>
    </w:rPr>
  </w:style>
  <w:style w:type="paragraph" w:customStyle="1" w:styleId="HeaderCoverPage">
    <w:name w:val="Header Cover Page"/>
    <w:basedOn w:val="Normal"/>
    <w:link w:val="HeaderCoverPageChar"/>
    <w:rsid w:val="006C7F87"/>
    <w:pPr>
      <w:tabs>
        <w:tab w:val="center" w:pos="4535"/>
        <w:tab w:val="right" w:pos="9071"/>
      </w:tabs>
      <w:spacing w:before="0"/>
    </w:pPr>
    <w:rPr>
      <w:rFonts w:eastAsia="Calibri"/>
      <w:lang w:eastAsia="en-GB"/>
    </w:rPr>
  </w:style>
  <w:style w:type="character" w:customStyle="1" w:styleId="HeaderCoverPageChar">
    <w:name w:val="Header Cover Page Char"/>
    <w:link w:val="HeaderCoverPage"/>
    <w:rsid w:val="006C7F87"/>
    <w:rPr>
      <w:rFonts w:ascii="Times New Roman" w:eastAsia="Calibri" w:hAnsi="Times New Roman" w:cs="Times New Roman"/>
      <w:sz w:val="24"/>
      <w:lang w:val="et-EE" w:eastAsia="en-GB"/>
    </w:rPr>
  </w:style>
  <w:style w:type="character" w:customStyle="1" w:styleId="FooterSensitivityChar">
    <w:name w:val="Footer Sensitivity Char"/>
    <w:rsid w:val="006C7F87"/>
    <w:rPr>
      <w:rFonts w:ascii="Times New Roman" w:hAnsi="Times New Roman" w:cs="Times New Roman"/>
      <w:b/>
      <w:sz w:val="32"/>
      <w:lang w:val="et-EE"/>
    </w:rPr>
  </w:style>
  <w:style w:type="character" w:customStyle="1" w:styleId="HeaderSensitivityChar">
    <w:name w:val="Header Sensitivity Char"/>
    <w:rsid w:val="006C7F87"/>
    <w:rPr>
      <w:rFonts w:ascii="Times New Roman" w:hAnsi="Times New Roman" w:cs="Times New Roman"/>
      <w:b/>
      <w:sz w:val="32"/>
      <w:lang w:val="et-EE"/>
    </w:rPr>
  </w:style>
  <w:style w:type="character" w:customStyle="1" w:styleId="HeaderSensitivityRightChar">
    <w:name w:val="Header Sensitivity Right Char"/>
    <w:rsid w:val="006C7F87"/>
    <w:rPr>
      <w:rFonts w:ascii="Times New Roman" w:hAnsi="Times New Roman" w:cs="Times New Roman"/>
      <w:sz w:val="28"/>
      <w:lang w:val="et-EE"/>
    </w:rPr>
  </w:style>
  <w:style w:type="paragraph" w:customStyle="1" w:styleId="LegalNumPar">
    <w:name w:val="LegalNumPar"/>
    <w:basedOn w:val="Normal"/>
    <w:rsid w:val="006C7F87"/>
    <w:pPr>
      <w:numPr>
        <w:numId w:val="16"/>
      </w:numPr>
      <w:spacing w:line="360" w:lineRule="auto"/>
    </w:pPr>
    <w:rPr>
      <w:rFonts w:eastAsia="Times New Roman"/>
      <w:lang w:eastAsia="en-GB"/>
    </w:rPr>
  </w:style>
  <w:style w:type="paragraph" w:customStyle="1" w:styleId="LegalNumPar2">
    <w:name w:val="LegalNumPar2"/>
    <w:basedOn w:val="Normal"/>
    <w:rsid w:val="006C7F87"/>
    <w:pPr>
      <w:numPr>
        <w:ilvl w:val="1"/>
        <w:numId w:val="16"/>
      </w:numPr>
      <w:spacing w:line="360" w:lineRule="auto"/>
    </w:pPr>
    <w:rPr>
      <w:rFonts w:eastAsia="Times New Roman"/>
      <w:lang w:eastAsia="en-GB"/>
    </w:rPr>
  </w:style>
  <w:style w:type="paragraph" w:customStyle="1" w:styleId="LegalNumPar3">
    <w:name w:val="LegalNumPar3"/>
    <w:basedOn w:val="Normal"/>
    <w:rsid w:val="006C7F87"/>
    <w:pPr>
      <w:numPr>
        <w:ilvl w:val="2"/>
        <w:numId w:val="16"/>
      </w:numPr>
      <w:spacing w:line="360" w:lineRule="auto"/>
    </w:pPr>
    <w:rPr>
      <w:rFonts w:eastAsia="Times New Roman"/>
      <w:lang w:eastAsia="en-GB"/>
    </w:rPr>
  </w:style>
  <w:style w:type="paragraph" w:styleId="ListParagraph">
    <w:name w:val="List Paragraph"/>
    <w:basedOn w:val="Normal"/>
    <w:uiPriority w:val="34"/>
    <w:qFormat/>
    <w:rsid w:val="006C7F87"/>
    <w:pPr>
      <w:ind w:left="720"/>
      <w:contextualSpacing/>
    </w:pPr>
    <w:rPr>
      <w:rFonts w:eastAsia="Times New Roman"/>
      <w:lang w:eastAsia="en-GB"/>
    </w:rPr>
  </w:style>
  <w:style w:type="character" w:customStyle="1" w:styleId="UnresolvedMention">
    <w:name w:val="Unresolved Mention"/>
    <w:basedOn w:val="DefaultParagraphFont"/>
    <w:uiPriority w:val="99"/>
    <w:semiHidden/>
    <w:unhideWhenUsed/>
    <w:rsid w:val="006C7F87"/>
    <w:rPr>
      <w:color w:val="605E5C"/>
      <w:shd w:val="clear" w:color="auto" w:fill="E1DFDD"/>
    </w:rPr>
  </w:style>
  <w:style w:type="character" w:styleId="Strong">
    <w:name w:val="Strong"/>
    <w:basedOn w:val="DefaultParagraphFont"/>
    <w:qFormat/>
    <w:rsid w:val="006C7F87"/>
    <w:rPr>
      <w:b/>
      <w:bCs/>
    </w:rPr>
  </w:style>
  <w:style w:type="character" w:styleId="Emphasis">
    <w:name w:val="Emphasis"/>
    <w:basedOn w:val="DefaultParagraphFont"/>
    <w:qFormat/>
    <w:rsid w:val="006C7F87"/>
    <w:rPr>
      <w:i/>
      <w:iCs/>
    </w:rPr>
  </w:style>
  <w:style w:type="character" w:customStyle="1" w:styleId="Mention">
    <w:name w:val="Mention"/>
    <w:basedOn w:val="DefaultParagraphFont"/>
    <w:uiPriority w:val="99"/>
    <w:unhideWhenUsed/>
    <w:rsid w:val="006C7F87"/>
    <w:rPr>
      <w:color w:val="2B579A"/>
      <w:shd w:val="clear" w:color="auto" w:fill="E1DFDD"/>
    </w:rPr>
  </w:style>
  <w:style w:type="character" w:customStyle="1" w:styleId="normaltextrun">
    <w:name w:val="normaltextrun"/>
    <w:basedOn w:val="DefaultParagraphFont"/>
    <w:rsid w:val="006C7F87"/>
  </w:style>
  <w:style w:type="character" w:customStyle="1" w:styleId="eop">
    <w:name w:val="eop"/>
    <w:basedOn w:val="DefaultParagraphFont"/>
    <w:rsid w:val="006C7F87"/>
  </w:style>
  <w:style w:type="paragraph" w:customStyle="1" w:styleId="CharCharChar1">
    <w:name w:val="Char Char Char1"/>
    <w:basedOn w:val="Normal"/>
    <w:link w:val="FootnoteReference"/>
    <w:uiPriority w:val="99"/>
    <w:rsid w:val="00FE1115"/>
    <w:pPr>
      <w:spacing w:before="0" w:after="160" w:line="240" w:lineRule="exact"/>
    </w:pPr>
    <w:rPr>
      <w:rFonts w:asciiTheme="minorHAnsi" w:hAnsiTheme="minorHAnsi" w:cstheme="minorBidi"/>
      <w:sz w:val="22"/>
      <w:vertAlign w:val="superscript"/>
    </w:rPr>
  </w:style>
  <w:style w:type="character" w:customStyle="1" w:styleId="superscript">
    <w:name w:val="superscript"/>
    <w:basedOn w:val="DefaultParagraphFont"/>
    <w:rsid w:val="001275AC"/>
  </w:style>
  <w:style w:type="paragraph" w:customStyle="1" w:styleId="paragraph">
    <w:name w:val="paragraph"/>
    <w:basedOn w:val="Normal"/>
    <w:rsid w:val="001275AC"/>
    <w:pPr>
      <w:spacing w:before="100" w:beforeAutospacing="1" w:after="100" w:afterAutospacing="1"/>
      <w:jc w:val="left"/>
    </w:pPr>
    <w:rPr>
      <w:rFonts w:eastAsia="Times New Roman"/>
      <w:szCs w:val="24"/>
      <w:lang w:eastAsia="en-IE"/>
    </w:rPr>
  </w:style>
  <w:style w:type="character" w:customStyle="1" w:styleId="HeaderChar">
    <w:name w:val="Header Char"/>
    <w:basedOn w:val="DefaultParagraphFont"/>
    <w:link w:val="Header"/>
    <w:uiPriority w:val="99"/>
    <w:rsid w:val="00E76CC9"/>
    <w:rPr>
      <w:rFonts w:ascii="Times New Roman" w:hAnsi="Times New Roman" w:cs="Times New Roman"/>
      <w:sz w:val="24"/>
      <w:lang w:val="et-EE"/>
    </w:rPr>
  </w:style>
  <w:style w:type="character" w:customStyle="1" w:styleId="FooterChar">
    <w:name w:val="Footer Char"/>
    <w:basedOn w:val="DefaultParagraphFont"/>
    <w:link w:val="Footer"/>
    <w:uiPriority w:val="99"/>
    <w:rsid w:val="00E76CC9"/>
    <w:rPr>
      <w:rFonts w:ascii="Times New Roman" w:hAnsi="Times New Roman" w:cs="Times New Roman"/>
      <w:sz w:val="24"/>
      <w:lang w:val="et-EE"/>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t-EE"/>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t-EE"/>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t-EE"/>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t-EE"/>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et-EE"/>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et-EE"/>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et-EE"/>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link w:val="CharCharChar1"/>
    <w:uiPriority w:val="99"/>
    <w:semiHidden/>
    <w:unhideWhenUsed/>
    <w:rPr>
      <w:shd w:val="clear" w:color="auto" w:fill="auto"/>
      <w:vertAlign w:val="superscript"/>
    </w:rPr>
  </w:style>
  <w:style w:type="paragraph" w:customStyle="1" w:styleId="HeaderSensitivity">
    <w:name w:val="Header Sensitivity"/>
    <w:basedOn w:val="Normal"/>
    <w:rsid w:val="00E76CC9"/>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E76CC9"/>
    <w:pPr>
      <w:spacing w:before="0"/>
      <w:jc w:val="right"/>
    </w:pPr>
    <w:rPr>
      <w:sz w:val="28"/>
    </w:rPr>
  </w:style>
  <w:style w:type="paragraph" w:customStyle="1" w:styleId="FooterSensitivity">
    <w:name w:val="Footer Sensitivity"/>
    <w:basedOn w:val="Normal"/>
    <w:rsid w:val="00E76CC9"/>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24"/>
      </w:numPr>
    </w:pPr>
  </w:style>
  <w:style w:type="paragraph" w:customStyle="1" w:styleId="Tiret1">
    <w:name w:val="Tiret 1"/>
    <w:basedOn w:val="Point1"/>
    <w:pPr>
      <w:numPr>
        <w:numId w:val="25"/>
      </w:numPr>
    </w:pPr>
  </w:style>
  <w:style w:type="paragraph" w:customStyle="1" w:styleId="Tiret2">
    <w:name w:val="Tiret 2"/>
    <w:basedOn w:val="Point2"/>
    <w:pPr>
      <w:numPr>
        <w:numId w:val="26"/>
      </w:numPr>
    </w:pPr>
  </w:style>
  <w:style w:type="paragraph" w:customStyle="1" w:styleId="Tiret3">
    <w:name w:val="Tiret 3"/>
    <w:basedOn w:val="Point3"/>
    <w:pPr>
      <w:numPr>
        <w:numId w:val="27"/>
      </w:numPr>
    </w:pPr>
  </w:style>
  <w:style w:type="paragraph" w:customStyle="1" w:styleId="Tiret4">
    <w:name w:val="Tiret 4"/>
    <w:basedOn w:val="Point4"/>
    <w:pPr>
      <w:numPr>
        <w:numId w:val="28"/>
      </w:numPr>
    </w:pPr>
  </w:style>
  <w:style w:type="paragraph" w:customStyle="1" w:styleId="Tiret5">
    <w:name w:val="Tiret 5"/>
    <w:basedOn w:val="Point5"/>
    <w:pPr>
      <w:numPr>
        <w:numId w:val="29"/>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0"/>
      </w:numPr>
    </w:pPr>
  </w:style>
  <w:style w:type="paragraph" w:customStyle="1" w:styleId="NumPar2">
    <w:name w:val="NumPar 2"/>
    <w:basedOn w:val="Normal"/>
    <w:next w:val="Text1"/>
    <w:pPr>
      <w:numPr>
        <w:ilvl w:val="1"/>
        <w:numId w:val="30"/>
      </w:numPr>
    </w:pPr>
  </w:style>
  <w:style w:type="paragraph" w:customStyle="1" w:styleId="NumPar3">
    <w:name w:val="NumPar 3"/>
    <w:basedOn w:val="Normal"/>
    <w:next w:val="Text1"/>
    <w:pPr>
      <w:numPr>
        <w:ilvl w:val="2"/>
        <w:numId w:val="30"/>
      </w:numPr>
    </w:pPr>
  </w:style>
  <w:style w:type="paragraph" w:customStyle="1" w:styleId="NumPar4">
    <w:name w:val="NumPar 4"/>
    <w:basedOn w:val="Normal"/>
    <w:next w:val="Text1"/>
    <w:pPr>
      <w:numPr>
        <w:ilvl w:val="3"/>
        <w:numId w:val="30"/>
      </w:numPr>
    </w:pPr>
  </w:style>
  <w:style w:type="paragraph" w:customStyle="1" w:styleId="NumPar5">
    <w:name w:val="NumPar 5"/>
    <w:basedOn w:val="Normal"/>
    <w:next w:val="Text2"/>
    <w:pPr>
      <w:numPr>
        <w:ilvl w:val="4"/>
        <w:numId w:val="30"/>
      </w:numPr>
    </w:pPr>
  </w:style>
  <w:style w:type="paragraph" w:customStyle="1" w:styleId="NumPar6">
    <w:name w:val="NumPar 6"/>
    <w:basedOn w:val="Normal"/>
    <w:next w:val="Text2"/>
    <w:pPr>
      <w:numPr>
        <w:ilvl w:val="5"/>
        <w:numId w:val="30"/>
      </w:numPr>
    </w:pPr>
  </w:style>
  <w:style w:type="paragraph" w:customStyle="1" w:styleId="NumPar7">
    <w:name w:val="NumPar 7"/>
    <w:basedOn w:val="Normal"/>
    <w:next w:val="Text2"/>
    <w:pPr>
      <w:numPr>
        <w:ilvl w:val="6"/>
        <w:numId w:val="30"/>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2"/>
      </w:numPr>
    </w:pPr>
  </w:style>
  <w:style w:type="paragraph" w:customStyle="1" w:styleId="Point1number">
    <w:name w:val="Point 1 (number)"/>
    <w:basedOn w:val="Normal"/>
    <w:pPr>
      <w:numPr>
        <w:ilvl w:val="2"/>
        <w:numId w:val="32"/>
      </w:numPr>
    </w:pPr>
  </w:style>
  <w:style w:type="paragraph" w:customStyle="1" w:styleId="Point2number">
    <w:name w:val="Point 2 (number)"/>
    <w:basedOn w:val="Normal"/>
    <w:pPr>
      <w:numPr>
        <w:ilvl w:val="4"/>
        <w:numId w:val="32"/>
      </w:numPr>
    </w:pPr>
  </w:style>
  <w:style w:type="paragraph" w:customStyle="1" w:styleId="Point3number">
    <w:name w:val="Point 3 (number)"/>
    <w:basedOn w:val="Normal"/>
    <w:pPr>
      <w:numPr>
        <w:ilvl w:val="6"/>
        <w:numId w:val="32"/>
      </w:numPr>
    </w:pPr>
  </w:style>
  <w:style w:type="paragraph" w:customStyle="1" w:styleId="Point0letter">
    <w:name w:val="Point 0 (letter)"/>
    <w:basedOn w:val="Normal"/>
    <w:pPr>
      <w:numPr>
        <w:ilvl w:val="1"/>
        <w:numId w:val="32"/>
      </w:numPr>
    </w:pPr>
  </w:style>
  <w:style w:type="paragraph" w:customStyle="1" w:styleId="Point1letter">
    <w:name w:val="Point 1 (letter)"/>
    <w:basedOn w:val="Normal"/>
    <w:pPr>
      <w:numPr>
        <w:ilvl w:val="3"/>
        <w:numId w:val="32"/>
      </w:numPr>
    </w:pPr>
  </w:style>
  <w:style w:type="paragraph" w:customStyle="1" w:styleId="Point2letter">
    <w:name w:val="Point 2 (letter)"/>
    <w:basedOn w:val="Normal"/>
    <w:pPr>
      <w:numPr>
        <w:ilvl w:val="5"/>
        <w:numId w:val="32"/>
      </w:numPr>
    </w:pPr>
  </w:style>
  <w:style w:type="paragraph" w:customStyle="1" w:styleId="Point3letter">
    <w:name w:val="Point 3 (letter)"/>
    <w:basedOn w:val="Normal"/>
    <w:pPr>
      <w:numPr>
        <w:ilvl w:val="7"/>
        <w:numId w:val="32"/>
      </w:numPr>
    </w:pPr>
  </w:style>
  <w:style w:type="paragraph" w:customStyle="1" w:styleId="Point4letter">
    <w:name w:val="Point 4 (letter)"/>
    <w:basedOn w:val="Normal"/>
    <w:pPr>
      <w:numPr>
        <w:ilvl w:val="8"/>
        <w:numId w:val="32"/>
      </w:numPr>
    </w:pPr>
  </w:style>
  <w:style w:type="paragraph" w:customStyle="1" w:styleId="Bullet0">
    <w:name w:val="Bullet 0"/>
    <w:basedOn w:val="Normal"/>
    <w:pPr>
      <w:numPr>
        <w:numId w:val="33"/>
      </w:numPr>
    </w:pPr>
  </w:style>
  <w:style w:type="paragraph" w:customStyle="1" w:styleId="Bullet1">
    <w:name w:val="Bullet 1"/>
    <w:basedOn w:val="Normal"/>
    <w:pPr>
      <w:numPr>
        <w:numId w:val="34"/>
      </w:numPr>
    </w:pPr>
  </w:style>
  <w:style w:type="paragraph" w:customStyle="1" w:styleId="Bullet2">
    <w:name w:val="Bullet 2"/>
    <w:basedOn w:val="Normal"/>
    <w:pPr>
      <w:numPr>
        <w:numId w:val="35"/>
      </w:numPr>
    </w:pPr>
  </w:style>
  <w:style w:type="paragraph" w:customStyle="1" w:styleId="Bullet3">
    <w:name w:val="Bullet 3"/>
    <w:basedOn w:val="Normal"/>
    <w:pPr>
      <w:numPr>
        <w:numId w:val="36"/>
      </w:numPr>
    </w:pPr>
  </w:style>
  <w:style w:type="paragraph" w:customStyle="1" w:styleId="Bullet4">
    <w:name w:val="Bullet 4"/>
    <w:basedOn w:val="Normal"/>
    <w:pPr>
      <w:numPr>
        <w:numId w:val="37"/>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8"/>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 w:type="paragraph" w:styleId="Header">
    <w:name w:val="header"/>
    <w:basedOn w:val="Normal"/>
    <w:link w:val="HeaderChar"/>
    <w:uiPriority w:val="99"/>
    <w:unhideWhenUsed/>
    <w:rsid w:val="00E76CC9"/>
    <w:pPr>
      <w:tabs>
        <w:tab w:val="center" w:pos="4535"/>
        <w:tab w:val="right" w:pos="9071"/>
      </w:tabs>
      <w:spacing w:before="0"/>
    </w:pPr>
  </w:style>
  <w:style w:type="paragraph" w:customStyle="1" w:styleId="HeaderLandscape">
    <w:name w:val="HeaderLandscape"/>
    <w:basedOn w:val="Normal"/>
    <w:rsid w:val="00E76CC9"/>
    <w:pPr>
      <w:tabs>
        <w:tab w:val="center" w:pos="7285"/>
        <w:tab w:val="right" w:pos="14003"/>
      </w:tabs>
      <w:spacing w:before="0"/>
    </w:pPr>
  </w:style>
  <w:style w:type="paragraph" w:styleId="Footer">
    <w:name w:val="footer"/>
    <w:basedOn w:val="Normal"/>
    <w:link w:val="FooterChar"/>
    <w:uiPriority w:val="99"/>
    <w:unhideWhenUsed/>
    <w:rsid w:val="00E76CC9"/>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E76CC9"/>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894513">
      <w:bodyDiv w:val="1"/>
      <w:marLeft w:val="0"/>
      <w:marRight w:val="0"/>
      <w:marTop w:val="0"/>
      <w:marBottom w:val="0"/>
      <w:divBdr>
        <w:top w:val="none" w:sz="0" w:space="0" w:color="auto"/>
        <w:left w:val="none" w:sz="0" w:space="0" w:color="auto"/>
        <w:bottom w:val="none" w:sz="0" w:space="0" w:color="auto"/>
        <w:right w:val="none" w:sz="0" w:space="0" w:color="auto"/>
      </w:divBdr>
      <w:divsChild>
        <w:div w:id="47657470">
          <w:marLeft w:val="0"/>
          <w:marRight w:val="0"/>
          <w:marTop w:val="0"/>
          <w:marBottom w:val="0"/>
          <w:divBdr>
            <w:top w:val="none" w:sz="0" w:space="0" w:color="auto"/>
            <w:left w:val="none" w:sz="0" w:space="0" w:color="auto"/>
            <w:bottom w:val="none" w:sz="0" w:space="0" w:color="auto"/>
            <w:right w:val="none" w:sz="0" w:space="0" w:color="auto"/>
          </w:divBdr>
        </w:div>
      </w:divsChild>
    </w:div>
    <w:div w:id="324014887">
      <w:bodyDiv w:val="1"/>
      <w:marLeft w:val="0"/>
      <w:marRight w:val="0"/>
      <w:marTop w:val="0"/>
      <w:marBottom w:val="0"/>
      <w:divBdr>
        <w:top w:val="none" w:sz="0" w:space="0" w:color="auto"/>
        <w:left w:val="none" w:sz="0" w:space="0" w:color="auto"/>
        <w:bottom w:val="none" w:sz="0" w:space="0" w:color="auto"/>
        <w:right w:val="none" w:sz="0" w:space="0" w:color="auto"/>
      </w:divBdr>
    </w:div>
    <w:div w:id="521017053">
      <w:bodyDiv w:val="1"/>
      <w:marLeft w:val="0"/>
      <w:marRight w:val="0"/>
      <w:marTop w:val="0"/>
      <w:marBottom w:val="0"/>
      <w:divBdr>
        <w:top w:val="none" w:sz="0" w:space="0" w:color="auto"/>
        <w:left w:val="none" w:sz="0" w:space="0" w:color="auto"/>
        <w:bottom w:val="none" w:sz="0" w:space="0" w:color="auto"/>
        <w:right w:val="none" w:sz="0" w:space="0" w:color="auto"/>
      </w:divBdr>
    </w:div>
    <w:div w:id="946280079">
      <w:bodyDiv w:val="1"/>
      <w:marLeft w:val="0"/>
      <w:marRight w:val="0"/>
      <w:marTop w:val="0"/>
      <w:marBottom w:val="0"/>
      <w:divBdr>
        <w:top w:val="none" w:sz="0" w:space="0" w:color="auto"/>
        <w:left w:val="none" w:sz="0" w:space="0" w:color="auto"/>
        <w:bottom w:val="none" w:sz="0" w:space="0" w:color="auto"/>
        <w:right w:val="none" w:sz="0" w:space="0" w:color="auto"/>
      </w:divBdr>
    </w:div>
    <w:div w:id="1028676973">
      <w:bodyDiv w:val="1"/>
      <w:marLeft w:val="0"/>
      <w:marRight w:val="0"/>
      <w:marTop w:val="0"/>
      <w:marBottom w:val="0"/>
      <w:divBdr>
        <w:top w:val="none" w:sz="0" w:space="0" w:color="auto"/>
        <w:left w:val="none" w:sz="0" w:space="0" w:color="auto"/>
        <w:bottom w:val="none" w:sz="0" w:space="0" w:color="auto"/>
        <w:right w:val="none" w:sz="0" w:space="0" w:color="auto"/>
      </w:divBdr>
    </w:div>
    <w:div w:id="1255939007">
      <w:bodyDiv w:val="1"/>
      <w:marLeft w:val="0"/>
      <w:marRight w:val="0"/>
      <w:marTop w:val="0"/>
      <w:marBottom w:val="0"/>
      <w:divBdr>
        <w:top w:val="none" w:sz="0" w:space="0" w:color="auto"/>
        <w:left w:val="none" w:sz="0" w:space="0" w:color="auto"/>
        <w:bottom w:val="none" w:sz="0" w:space="0" w:color="auto"/>
        <w:right w:val="none" w:sz="0" w:space="0" w:color="auto"/>
      </w:divBdr>
    </w:div>
    <w:div w:id="1311061037">
      <w:bodyDiv w:val="1"/>
      <w:marLeft w:val="0"/>
      <w:marRight w:val="0"/>
      <w:marTop w:val="0"/>
      <w:marBottom w:val="0"/>
      <w:divBdr>
        <w:top w:val="none" w:sz="0" w:space="0" w:color="auto"/>
        <w:left w:val="none" w:sz="0" w:space="0" w:color="auto"/>
        <w:bottom w:val="none" w:sz="0" w:space="0" w:color="auto"/>
        <w:right w:val="none" w:sz="0" w:space="0" w:color="auto"/>
      </w:divBdr>
    </w:div>
    <w:div w:id="1350836857">
      <w:bodyDiv w:val="1"/>
      <w:marLeft w:val="0"/>
      <w:marRight w:val="0"/>
      <w:marTop w:val="0"/>
      <w:marBottom w:val="0"/>
      <w:divBdr>
        <w:top w:val="none" w:sz="0" w:space="0" w:color="auto"/>
        <w:left w:val="none" w:sz="0" w:space="0" w:color="auto"/>
        <w:bottom w:val="none" w:sz="0" w:space="0" w:color="auto"/>
        <w:right w:val="none" w:sz="0" w:space="0" w:color="auto"/>
      </w:divBdr>
      <w:divsChild>
        <w:div w:id="215434060">
          <w:marLeft w:val="0"/>
          <w:marRight w:val="0"/>
          <w:marTop w:val="0"/>
          <w:marBottom w:val="0"/>
          <w:divBdr>
            <w:top w:val="none" w:sz="0" w:space="0" w:color="auto"/>
            <w:left w:val="none" w:sz="0" w:space="0" w:color="auto"/>
            <w:bottom w:val="none" w:sz="0" w:space="0" w:color="auto"/>
            <w:right w:val="none" w:sz="0" w:space="0" w:color="auto"/>
          </w:divBdr>
        </w:div>
      </w:divsChild>
    </w:div>
    <w:div w:id="1514344084">
      <w:bodyDiv w:val="1"/>
      <w:marLeft w:val="0"/>
      <w:marRight w:val="0"/>
      <w:marTop w:val="0"/>
      <w:marBottom w:val="0"/>
      <w:divBdr>
        <w:top w:val="none" w:sz="0" w:space="0" w:color="auto"/>
        <w:left w:val="none" w:sz="0" w:space="0" w:color="auto"/>
        <w:bottom w:val="none" w:sz="0" w:space="0" w:color="auto"/>
        <w:right w:val="none" w:sz="0" w:space="0" w:color="auto"/>
      </w:divBdr>
    </w:div>
    <w:div w:id="1659266261">
      <w:bodyDiv w:val="1"/>
      <w:marLeft w:val="0"/>
      <w:marRight w:val="0"/>
      <w:marTop w:val="0"/>
      <w:marBottom w:val="0"/>
      <w:divBdr>
        <w:top w:val="none" w:sz="0" w:space="0" w:color="auto"/>
        <w:left w:val="none" w:sz="0" w:space="0" w:color="auto"/>
        <w:bottom w:val="none" w:sz="0" w:space="0" w:color="auto"/>
        <w:right w:val="none" w:sz="0" w:space="0" w:color="auto"/>
      </w:divBdr>
    </w:div>
    <w:div w:id="1965305258">
      <w:bodyDiv w:val="1"/>
      <w:marLeft w:val="0"/>
      <w:marRight w:val="0"/>
      <w:marTop w:val="0"/>
      <w:marBottom w:val="0"/>
      <w:divBdr>
        <w:top w:val="none" w:sz="0" w:space="0" w:color="auto"/>
        <w:left w:val="none" w:sz="0" w:space="0" w:color="auto"/>
        <w:bottom w:val="none" w:sz="0" w:space="0" w:color="auto"/>
        <w:right w:val="none" w:sz="0" w:space="0" w:color="auto"/>
      </w:divBdr>
    </w:div>
    <w:div w:id="2069112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dir/2004/109/oj" TargetMode="External"/><Relationship Id="rId2" Type="http://schemas.openxmlformats.org/officeDocument/2006/relationships/hyperlink" Target="http://data.europa.eu/eli/dir/2022/2464/oj" TargetMode="External"/><Relationship Id="rId1" Type="http://schemas.openxmlformats.org/officeDocument/2006/relationships/hyperlink" Target="https://ec.europa.eu/info/law/better-regulation/have-your-say/initiatives/13990-Administrative-burden-rationalisation-of-reporting-requirements_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97B7BFF882854783B2AFEB81A9CCE9" ma:contentTypeVersion="7" ma:contentTypeDescription="Create a new document." ma:contentTypeScope="" ma:versionID="f73c37285628b2366a89f641e7689f71">
  <xsd:schema xmlns:xsd="http://www.w3.org/2001/XMLSchema" xmlns:xs="http://www.w3.org/2001/XMLSchema" xmlns:p="http://schemas.microsoft.com/office/2006/metadata/properties" xmlns:ns2="9a9637e9-1c11-4ee9-91b8-f060e3608fb2" xmlns:ns3="4af8c89d-4332-4d32-84a3-abf4120a8008" targetNamespace="http://schemas.microsoft.com/office/2006/metadata/properties" ma:root="true" ma:fieldsID="d0c70d7dd3deae9a87ba71169aedc48e" ns2:_="" ns3:_="">
    <xsd:import namespace="9a9637e9-1c11-4ee9-91b8-f060e3608fb2"/>
    <xsd:import namespace="4af8c89d-4332-4d32-84a3-abf4120a80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637e9-1c11-4ee9-91b8-f060e3608f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f8c89d-4332-4d32-84a3-abf4120a800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7BDEE-200C-44B5-AFCE-EBB038138D0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4AF1348-560B-47F8-B8B1-BFEBDD1CC3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637e9-1c11-4ee9-91b8-f060e3608fb2"/>
    <ds:schemaRef ds:uri="4af8c89d-4332-4d32-84a3-abf4120a80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37A273-EA73-454C-9DAA-DC2DF2A57282}">
  <ds:schemaRefs>
    <ds:schemaRef ds:uri="http://schemas.microsoft.com/sharepoint/v3/contenttype/forms"/>
  </ds:schemaRefs>
</ds:datastoreItem>
</file>

<file path=customXml/itemProps4.xml><?xml version="1.0" encoding="utf-8"?>
<ds:datastoreItem xmlns:ds="http://schemas.openxmlformats.org/officeDocument/2006/customXml" ds:itemID="{3CAE0BAC-88B5-4376-8050-E93572513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0</TotalTime>
  <Pages>10</Pages>
  <Words>7892</Words>
  <Characters>44987</Characters>
  <Application>Microsoft Office Word</Application>
  <DocSecurity>0</DocSecurity>
  <Lines>374</Lines>
  <Paragraphs>105</Paragraphs>
  <ScaleCrop>false</ScaleCrop>
  <Manager/>
  <Company/>
  <LinksUpToDate>false</LinksUpToDate>
  <CharactersWithSpaces>52774</CharactersWithSpaces>
  <SharedDoc>false</SharedDoc>
  <HLinks>
    <vt:vector size="18" baseType="variant">
      <vt:variant>
        <vt:i4>4325405</vt:i4>
      </vt:variant>
      <vt:variant>
        <vt:i4>6</vt:i4>
      </vt:variant>
      <vt:variant>
        <vt:i4>0</vt:i4>
      </vt:variant>
      <vt:variant>
        <vt:i4>5</vt:i4>
      </vt:variant>
      <vt:variant>
        <vt:lpwstr>http://data.europa.eu/eli/dir/2004/109/oj</vt:lpwstr>
      </vt:variant>
      <vt:variant>
        <vt:lpwstr/>
      </vt:variant>
      <vt:variant>
        <vt:i4>6422639</vt:i4>
      </vt:variant>
      <vt:variant>
        <vt:i4>3</vt:i4>
      </vt:variant>
      <vt:variant>
        <vt:i4>0</vt:i4>
      </vt:variant>
      <vt:variant>
        <vt:i4>5</vt:i4>
      </vt:variant>
      <vt:variant>
        <vt:lpwstr>http://data.europa.eu/eli/dir/2022/2464/oj</vt:lpwstr>
      </vt:variant>
      <vt:variant>
        <vt:lpwstr/>
      </vt:variant>
      <vt:variant>
        <vt:i4>4653104</vt:i4>
      </vt:variant>
      <vt:variant>
        <vt:i4>0</vt:i4>
      </vt:variant>
      <vt:variant>
        <vt:i4>0</vt:i4>
      </vt:variant>
      <vt:variant>
        <vt:i4>5</vt:i4>
      </vt:variant>
      <vt:variant>
        <vt:lpwstr>https://ec.europa.eu/info/law/better-regulation/have-your-say/initiatives/13990-Administrative-burden-rationalisation-of-reporting-requirements_en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2025-02-26T11:39:00Z</dcterms:created>
  <dcterms:modified xsi:type="dcterms:W3CDTF">2025-03-12T18:53:00Z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LW 9.1, Build 20240808</vt:lpwstr>
  </property>
  <property fmtid="{D5CDD505-2E9C-101B-9397-08002B2CF9AE}" pid="3" name="MSIP_Label_6bd9ddd1-4d20-43f6-abfa-fc3c07406f94_Enabled">
    <vt:lpwstr>true</vt:lpwstr>
  </property>
  <property fmtid="{D5CDD505-2E9C-101B-9397-08002B2CF9AE}" pid="4" name="MSIP_Label_6bd9ddd1-4d20-43f6-abfa-fc3c07406f94_SetDate">
    <vt:lpwstr>2025-02-21T15:51:21Z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03b77c0d-8107-46a8-bc38-8266399f79f7</vt:lpwstr>
  </property>
  <property fmtid="{D5CDD505-2E9C-101B-9397-08002B2CF9AE}" pid="9" name="MSIP_Label_6bd9ddd1-4d20-43f6-abfa-fc3c07406f94_ContentBits">
    <vt:lpwstr>0</vt:lpwstr>
  </property>
  <property fmtid="{D5CDD505-2E9C-101B-9397-08002B2CF9AE}" pid="10" name="ContentTypeId">
    <vt:lpwstr>0x0101007697B7BFF882854783B2AFEB81A9CCE9</vt:lpwstr>
  </property>
  <property fmtid="{D5CDD505-2E9C-101B-9397-08002B2CF9AE}" pid="11" name="Category">
    <vt:lpwstr>COM/PL/ORG</vt:lpwstr>
  </property>
  <property fmtid="{D5CDD505-2E9C-101B-9397-08002B2CF9AE}" pid="12" name="Level of sensitivity">
    <vt:lpwstr>Standard treatment</vt:lpwstr>
  </property>
  <property fmtid="{D5CDD505-2E9C-101B-9397-08002B2CF9AE}" pid="13" name="Part">
    <vt:lpwstr>1</vt:lpwstr>
  </property>
  <property fmtid="{D5CDD505-2E9C-101B-9397-08002B2CF9AE}" pid="14" name="Total parts">
    <vt:lpwstr>1</vt:lpwstr>
  </property>
  <property fmtid="{D5CDD505-2E9C-101B-9397-08002B2CF9AE}" pid="15" name="LWTemplateID">
    <vt:lpwstr>SJ-024</vt:lpwstr>
  </property>
  <property fmtid="{D5CDD505-2E9C-101B-9397-08002B2CF9AE}" pid="16" name="DQCStatus">
    <vt:lpwstr>Green (DQC version 03)</vt:lpwstr>
  </property>
</Properties>
</file>