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1341" w14:textId="0E766FA8" w:rsidR="009F0757" w:rsidRPr="0086173E" w:rsidRDefault="002B6F12" w:rsidP="002B6F12">
      <w:pPr>
        <w:pStyle w:val="Pagedecouverture"/>
        <w:rPr>
          <w:noProof/>
        </w:rPr>
      </w:pPr>
      <w:bookmarkStart w:id="0" w:name="LW_BM_COVERPAGE"/>
      <w:r>
        <w:rPr>
          <w:noProof/>
        </w:rPr>
        <w:pict w14:anchorId="33ABB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75A746CF-9089-40BE-89FA-BD75E3BBC168" style="width:455.4pt;height:426.6pt">
            <v:imagedata r:id="rId11" o:title=""/>
          </v:shape>
        </w:pict>
      </w:r>
    </w:p>
    <w:bookmarkEnd w:id="0"/>
    <w:p w14:paraId="185D1342" w14:textId="77777777" w:rsidR="009F0757" w:rsidRPr="0086173E" w:rsidRDefault="009F0757" w:rsidP="009F0757">
      <w:pPr>
        <w:rPr>
          <w:noProof/>
        </w:rPr>
        <w:sectPr w:rsidR="009F0757" w:rsidRPr="0086173E" w:rsidSect="002B6F12">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tbl>
      <w:tblPr>
        <w:tblStyle w:val="TableGrid"/>
        <w:tblW w:w="10065" w:type="dxa"/>
        <w:tblInd w:w="-318" w:type="dxa"/>
        <w:tblLook w:val="01E0" w:firstRow="1" w:lastRow="1" w:firstColumn="1" w:lastColumn="1" w:noHBand="0" w:noVBand="0"/>
      </w:tblPr>
      <w:tblGrid>
        <w:gridCol w:w="10065"/>
      </w:tblGrid>
      <w:tr w:rsidR="00FA2EB7" w:rsidRPr="0086173E" w14:paraId="185D1344" w14:textId="77777777" w:rsidTr="00FA2EB7">
        <w:tc>
          <w:tcPr>
            <w:tcW w:w="10065" w:type="dxa"/>
            <w:tcBorders>
              <w:bottom w:val="single" w:sz="4" w:space="0" w:color="auto"/>
            </w:tcBorders>
            <w:shd w:val="clear" w:color="auto" w:fill="CCCCCC"/>
          </w:tcPr>
          <w:p w14:paraId="185D1343" w14:textId="5F2FAC3A" w:rsidR="00FA2EB7" w:rsidRPr="0086173E" w:rsidRDefault="00FA2EB7" w:rsidP="009E1E0E">
            <w:pPr>
              <w:tabs>
                <w:tab w:val="left" w:pos="2309"/>
              </w:tabs>
              <w:spacing w:before="60" w:after="60"/>
              <w:jc w:val="center"/>
              <w:rPr>
                <w:rFonts w:ascii="Tahoma" w:hAnsi="Tahoma" w:cs="Tahoma"/>
                <w:b/>
                <w:noProof/>
              </w:rPr>
            </w:pPr>
            <w:r w:rsidRPr="0086173E">
              <w:rPr>
                <w:rFonts w:ascii="Tahoma" w:hAnsi="Tahoma"/>
                <w:b/>
                <w:noProof/>
              </w:rPr>
              <w:lastRenderedPageBreak/>
              <w:t xml:space="preserve">Kokkuvõte </w:t>
            </w:r>
          </w:p>
        </w:tc>
      </w:tr>
      <w:tr w:rsidR="00FA2EB7" w:rsidRPr="0086173E" w14:paraId="185D1346" w14:textId="77777777" w:rsidTr="00FA2EB7">
        <w:tc>
          <w:tcPr>
            <w:tcW w:w="10065" w:type="dxa"/>
            <w:tcBorders>
              <w:top w:val="single" w:sz="4" w:space="0" w:color="auto"/>
              <w:left w:val="single" w:sz="4" w:space="0" w:color="auto"/>
              <w:bottom w:val="single" w:sz="4" w:space="0" w:color="auto"/>
              <w:right w:val="single" w:sz="4" w:space="0" w:color="auto"/>
            </w:tcBorders>
            <w:shd w:val="clear" w:color="auto" w:fill="5B9BD5" w:themeFill="accent1"/>
          </w:tcPr>
          <w:p w14:paraId="185D1345" w14:textId="6E673C1A" w:rsidR="00FA2EB7" w:rsidRPr="0086173E" w:rsidRDefault="00FA2EB7" w:rsidP="009E1E0E">
            <w:pPr>
              <w:jc w:val="both"/>
              <w:rPr>
                <w:rFonts w:ascii="Tahoma" w:hAnsi="Tahoma" w:cs="Tahoma"/>
                <w:noProof/>
              </w:rPr>
            </w:pPr>
            <w:r w:rsidRPr="0086173E">
              <w:rPr>
                <w:rFonts w:ascii="Tahoma" w:hAnsi="Tahoma"/>
                <w:noProof/>
              </w:rPr>
              <w:t>Mõjuhinnang järgmise ettepaneku kohta: EUROOPA PARLAMENDI JA NÕUKOGU DIREKTIIV, millega muudetakse direktiivi 2011/93/EL, mis käsitleb laste seksuaalse kuritarvitamise ja ärakasutamise ning laste seksuaalset kuritarvitamist kujutava materjali vastast võitlust ja mis asendab nõukogu raamotsuse 2004/68/JSK</w:t>
            </w:r>
          </w:p>
        </w:tc>
      </w:tr>
      <w:tr w:rsidR="00FA2EB7" w:rsidRPr="0086173E" w14:paraId="185D1348" w14:textId="77777777" w:rsidTr="00FA2EB7">
        <w:tc>
          <w:tcPr>
            <w:tcW w:w="10065" w:type="dxa"/>
            <w:tcBorders>
              <w:bottom w:val="single" w:sz="4" w:space="0" w:color="auto"/>
            </w:tcBorders>
            <w:shd w:val="clear" w:color="auto" w:fill="CCCCCC"/>
          </w:tcPr>
          <w:p w14:paraId="185D1347" w14:textId="77777777" w:rsidR="00FA2EB7" w:rsidRPr="0086173E" w:rsidRDefault="00FA2EB7" w:rsidP="009E1E0E">
            <w:pPr>
              <w:tabs>
                <w:tab w:val="left" w:pos="2309"/>
              </w:tabs>
              <w:spacing w:before="60" w:after="60"/>
              <w:rPr>
                <w:rFonts w:ascii="Tahoma" w:hAnsi="Tahoma" w:cs="Tahoma"/>
                <w:b/>
                <w:noProof/>
              </w:rPr>
            </w:pPr>
            <w:r w:rsidRPr="0086173E">
              <w:rPr>
                <w:rFonts w:ascii="Tahoma" w:hAnsi="Tahoma"/>
                <w:b/>
                <w:noProof/>
              </w:rPr>
              <w:t>A. Vajadus meetmete järele</w:t>
            </w:r>
            <w:r w:rsidRPr="0086173E">
              <w:rPr>
                <w:noProof/>
              </w:rPr>
              <w:tab/>
            </w:r>
          </w:p>
        </w:tc>
      </w:tr>
      <w:tr w:rsidR="00FA2EB7" w:rsidRPr="0086173E" w14:paraId="185D134A" w14:textId="77777777" w:rsidTr="00FA2EB7">
        <w:tc>
          <w:tcPr>
            <w:tcW w:w="10065" w:type="dxa"/>
            <w:tcBorders>
              <w:bottom w:val="single" w:sz="4" w:space="0" w:color="auto"/>
            </w:tcBorders>
            <w:shd w:val="clear" w:color="auto" w:fill="E0E0E0"/>
          </w:tcPr>
          <w:p w14:paraId="185D1349" w14:textId="7ACF97EE" w:rsidR="00FA2EB7" w:rsidRPr="0086173E" w:rsidRDefault="00E7706C" w:rsidP="009E1E0E">
            <w:pPr>
              <w:pStyle w:val="Default"/>
              <w:jc w:val="both"/>
              <w:rPr>
                <w:rFonts w:ascii="Tahoma" w:hAnsi="Tahoma" w:cs="Tahoma"/>
                <w:noProof/>
                <w:sz w:val="20"/>
                <w:szCs w:val="20"/>
              </w:rPr>
            </w:pPr>
            <w:r w:rsidRPr="0086173E">
              <w:rPr>
                <w:rFonts w:ascii="Tahoma" w:hAnsi="Tahoma"/>
                <w:b/>
                <w:noProof/>
                <w:sz w:val="20"/>
              </w:rPr>
              <w:t xml:space="preserve">Miks? Mis on lahendamist vajav probleem? </w:t>
            </w:r>
          </w:p>
        </w:tc>
      </w:tr>
      <w:tr w:rsidR="00FA2EB7" w:rsidRPr="0086173E" w14:paraId="185D1351" w14:textId="77777777" w:rsidTr="008F0DCD">
        <w:trPr>
          <w:trHeight w:val="4182"/>
        </w:trPr>
        <w:tc>
          <w:tcPr>
            <w:tcW w:w="10065" w:type="dxa"/>
            <w:tcBorders>
              <w:bottom w:val="single" w:sz="4" w:space="0" w:color="auto"/>
            </w:tcBorders>
            <w:shd w:val="clear" w:color="auto" w:fill="auto"/>
          </w:tcPr>
          <w:p w14:paraId="2A9735D2" w14:textId="145E73C4" w:rsidR="0069183D" w:rsidRPr="0086173E" w:rsidRDefault="008F566F" w:rsidP="0069183D">
            <w:pPr>
              <w:jc w:val="both"/>
              <w:rPr>
                <w:rFonts w:ascii="Tahoma" w:hAnsi="Tahoma" w:cs="Tahoma"/>
                <w:bCs/>
                <w:noProof/>
                <w:color w:val="000000"/>
              </w:rPr>
            </w:pPr>
            <w:r w:rsidRPr="0086173E">
              <w:rPr>
                <w:rFonts w:ascii="Tahoma" w:hAnsi="Tahoma"/>
                <w:noProof/>
                <w:color w:val="000000"/>
              </w:rPr>
              <w:t xml:space="preserve">Laste seksuaalne kuritarvitamine mõjutab ELi </w:t>
            </w:r>
            <w:r w:rsidRPr="0086173E">
              <w:rPr>
                <w:rFonts w:ascii="Tahoma" w:hAnsi="Tahoma"/>
                <w:b/>
                <w:noProof/>
                <w:color w:val="000000"/>
              </w:rPr>
              <w:t>avalikku julgeolekut</w:t>
            </w:r>
            <w:r w:rsidRPr="0086173E">
              <w:rPr>
                <w:rFonts w:ascii="Tahoma" w:hAnsi="Tahoma"/>
                <w:noProof/>
                <w:color w:val="000000"/>
              </w:rPr>
              <w:t xml:space="preserve"> ja </w:t>
            </w:r>
            <w:r w:rsidRPr="0086173E">
              <w:rPr>
                <w:rFonts w:ascii="Tahoma" w:hAnsi="Tahoma"/>
                <w:b/>
                <w:noProof/>
                <w:color w:val="000000"/>
              </w:rPr>
              <w:t>rikub laste põhiõigusi</w:t>
            </w:r>
            <w:r w:rsidRPr="0086173E">
              <w:rPr>
                <w:rFonts w:ascii="Tahoma" w:hAnsi="Tahoma"/>
                <w:noProof/>
                <w:color w:val="000000"/>
              </w:rPr>
              <w:t xml:space="preserve">, mis tulenevad hartast. See on </w:t>
            </w:r>
            <w:r w:rsidRPr="0086173E">
              <w:rPr>
                <w:rFonts w:ascii="Tahoma" w:hAnsi="Tahoma"/>
                <w:b/>
                <w:noProof/>
                <w:color w:val="000000"/>
              </w:rPr>
              <w:t>rahvatervise probleem</w:t>
            </w:r>
            <w:r w:rsidRPr="0086173E">
              <w:rPr>
                <w:rFonts w:ascii="Tahoma" w:hAnsi="Tahoma"/>
                <w:noProof/>
                <w:color w:val="000000"/>
              </w:rPr>
              <w:t>, mis suurendab tõsiste vaimse ja füüsilise tervise probleemide riski kogu elu jooksul ning tekitab inimestele, perekondadele ja ühiskonnale majanduslikku koormust. Laste seksuaalse kuritarvitamise juhtumitest teatakse liiga vähe. See on seotud asjaoluga, et paljud ohvrid ei ole suutelised endast teada andma, mis on tingitud nende noorusest ja kuritarvitamise asjaoludest – sageli toimub see perekonnas või muus väliselt usaldusväärses keskkonnas. Laste seksuaalse kuritarvitamise otseülekannete puhul on kuritegude uurimise ja nende eest süüdistuse esitamise võimalused väga piiratud isegi juhul, kui kuriteost teatatakse või see muul viisil avastatakse. Seetõttu tuleb veelgi tugevdada kriminaalõiguslikku reageerimist laste seksuaalsele kuritarvitamisele, et kõrvaldada lüngad, mis on püsinud või tekkinud pärast algse ELi raamistiku vastuvõtmist 2011. aastal. Probleemi saab kokku võtta järgmiselt.</w:t>
            </w:r>
          </w:p>
          <w:p w14:paraId="32A676EE" w14:textId="40BA1C66" w:rsidR="0069183D" w:rsidRPr="0086173E" w:rsidRDefault="0069183D" w:rsidP="0069183D">
            <w:pPr>
              <w:pStyle w:val="ListParagraph"/>
              <w:numPr>
                <w:ilvl w:val="0"/>
                <w:numId w:val="2"/>
              </w:numPr>
              <w:spacing w:after="0" w:line="240" w:lineRule="auto"/>
              <w:jc w:val="both"/>
              <w:rPr>
                <w:rFonts w:ascii="Tahoma" w:hAnsi="Tahoma" w:cs="Tahoma"/>
                <w:bCs/>
                <w:noProof/>
                <w:color w:val="000000"/>
              </w:rPr>
            </w:pPr>
            <w:r w:rsidRPr="0086173E">
              <w:rPr>
                <w:rFonts w:ascii="Tahoma" w:hAnsi="Tahoma"/>
                <w:noProof/>
                <w:color w:val="000000"/>
              </w:rPr>
              <w:t xml:space="preserve">Lapsed </w:t>
            </w:r>
            <w:r w:rsidRPr="0086173E">
              <w:rPr>
                <w:rFonts w:ascii="Tahoma" w:hAnsi="Tahoma"/>
                <w:b/>
                <w:noProof/>
                <w:color w:val="000000"/>
              </w:rPr>
              <w:t>kasutavad internetti rohkem</w:t>
            </w:r>
            <w:r w:rsidRPr="0086173E">
              <w:rPr>
                <w:rFonts w:ascii="Tahoma" w:hAnsi="Tahoma"/>
                <w:noProof/>
                <w:color w:val="000000"/>
              </w:rPr>
              <w:t xml:space="preserve"> ja tehnoloogia areng, näiteks voogedastuse lai levik ja virtuaalmaailmad, loob uusi võimalusi laste kuritarvitamiseks, sest lastele lähenetakse sageli internetis või laste seksuaalset kuritarvitamist kantakse üle reaalajas justkui teenust, mida saab tellida.</w:t>
            </w:r>
          </w:p>
          <w:p w14:paraId="164DC990" w14:textId="3E07D9C2" w:rsidR="00E7706C" w:rsidRPr="0086173E" w:rsidRDefault="0069183D" w:rsidP="0069183D">
            <w:pPr>
              <w:pStyle w:val="ListParagraph"/>
              <w:numPr>
                <w:ilvl w:val="0"/>
                <w:numId w:val="2"/>
              </w:numPr>
              <w:spacing w:after="0" w:line="240" w:lineRule="auto"/>
              <w:jc w:val="both"/>
              <w:rPr>
                <w:rFonts w:ascii="Tahoma" w:hAnsi="Tahoma" w:cs="Tahoma"/>
                <w:bCs/>
                <w:noProof/>
                <w:color w:val="000000"/>
              </w:rPr>
            </w:pPr>
            <w:r w:rsidRPr="0086173E">
              <w:rPr>
                <w:rFonts w:ascii="Tahoma" w:hAnsi="Tahoma"/>
                <w:noProof/>
                <w:color w:val="000000"/>
              </w:rPr>
              <w:t xml:space="preserve">Liikmesriikides reguleerivad laste seksuaalse kuritarvitamise ja ärakasutamise uurimist ja selle eest süüdistuse esitamist </w:t>
            </w:r>
            <w:r w:rsidRPr="0086173E">
              <w:rPr>
                <w:rFonts w:ascii="Tahoma" w:hAnsi="Tahoma"/>
                <w:b/>
                <w:noProof/>
                <w:color w:val="000000"/>
              </w:rPr>
              <w:t>erinevad õigusraamistikud</w:t>
            </w:r>
            <w:r w:rsidRPr="0086173E">
              <w:rPr>
                <w:rFonts w:ascii="Tahoma" w:hAnsi="Tahoma"/>
                <w:noProof/>
                <w:color w:val="000000"/>
              </w:rPr>
              <w:t>, mis ei võimalda selle kuritegevuse liigi vastu tulemuslikult võidelda, eriti arvestades, et suur osa sellest toimub internetis. See tekitab õiguskaitseasutustele probleeme, kuna muudab kurjategijate tuvastamise ja tõendite kogumise keeruliseks.</w:t>
            </w:r>
          </w:p>
          <w:p w14:paraId="372D6453" w14:textId="1A8BC89D" w:rsidR="0069183D" w:rsidRPr="0086173E" w:rsidRDefault="00E7706C" w:rsidP="00E7706C">
            <w:pPr>
              <w:jc w:val="both"/>
              <w:rPr>
                <w:rFonts w:ascii="Tahoma" w:hAnsi="Tahoma" w:cs="Tahoma"/>
                <w:bCs/>
                <w:noProof/>
                <w:color w:val="000000"/>
              </w:rPr>
            </w:pPr>
            <w:r w:rsidRPr="0086173E">
              <w:rPr>
                <w:rFonts w:ascii="Tahoma" w:hAnsi="Tahoma"/>
                <w:noProof/>
                <w:color w:val="000000"/>
              </w:rPr>
              <w:t>Praktikas on kahe eespool nimetatud suundumuse kombinatsiooni tagajärjeks see, et kurjategijad jäävad valdavalt karistamata raskete kuritegude eest, millel on lapsohvritele eluaegne mõju.</w:t>
            </w:r>
          </w:p>
          <w:p w14:paraId="185D1350" w14:textId="0DD4F850" w:rsidR="00FA2EB7" w:rsidRPr="0086173E" w:rsidRDefault="0069183D" w:rsidP="0069183D">
            <w:pPr>
              <w:pStyle w:val="ListParagraph"/>
              <w:numPr>
                <w:ilvl w:val="0"/>
                <w:numId w:val="2"/>
              </w:numPr>
              <w:spacing w:after="0" w:line="240" w:lineRule="auto"/>
              <w:jc w:val="both"/>
              <w:rPr>
                <w:rFonts w:ascii="Tahoma" w:hAnsi="Tahoma" w:cs="Tahoma"/>
                <w:bCs/>
                <w:noProof/>
                <w:color w:val="000000"/>
              </w:rPr>
            </w:pPr>
            <w:r w:rsidRPr="0086173E">
              <w:rPr>
                <w:rFonts w:ascii="Tahoma" w:hAnsi="Tahoma"/>
                <w:noProof/>
                <w:color w:val="000000"/>
              </w:rPr>
              <w:t xml:space="preserve">Pingutused </w:t>
            </w:r>
            <w:r w:rsidRPr="0086173E">
              <w:rPr>
                <w:rFonts w:ascii="Tahoma" w:hAnsi="Tahoma"/>
                <w:b/>
                <w:noProof/>
                <w:color w:val="000000"/>
              </w:rPr>
              <w:t>laste seksuaalse kuritarvitamise ärahoidmiseks</w:t>
            </w:r>
            <w:r w:rsidRPr="0086173E">
              <w:rPr>
                <w:rFonts w:ascii="Tahoma" w:hAnsi="Tahoma"/>
                <w:noProof/>
                <w:color w:val="000000"/>
              </w:rPr>
              <w:t xml:space="preserve"> ja </w:t>
            </w:r>
            <w:r w:rsidRPr="0086173E">
              <w:rPr>
                <w:rFonts w:ascii="Tahoma" w:hAnsi="Tahoma"/>
                <w:b/>
                <w:noProof/>
                <w:color w:val="000000"/>
              </w:rPr>
              <w:t>ohvrite abistamiseks</w:t>
            </w:r>
            <w:r w:rsidRPr="0086173E">
              <w:rPr>
                <w:rFonts w:ascii="Tahoma" w:hAnsi="Tahoma"/>
                <w:noProof/>
                <w:color w:val="000000"/>
              </w:rPr>
              <w:t xml:space="preserve"> on senini </w:t>
            </w:r>
            <w:r w:rsidRPr="0086173E">
              <w:rPr>
                <w:rFonts w:ascii="Tahoma" w:hAnsi="Tahoma"/>
                <w:b/>
                <w:noProof/>
                <w:color w:val="000000"/>
              </w:rPr>
              <w:t>piiratud</w:t>
            </w:r>
            <w:r w:rsidRPr="0086173E">
              <w:rPr>
                <w:rFonts w:ascii="Tahoma" w:hAnsi="Tahoma"/>
                <w:noProof/>
                <w:color w:val="000000"/>
              </w:rPr>
              <w:t>, nende tulemuslikkus on ebaselge ja puudub koordinatsioon asjaomaste sidusrühmade vahel.</w:t>
            </w:r>
          </w:p>
        </w:tc>
      </w:tr>
      <w:tr w:rsidR="00FA2EB7" w:rsidRPr="0086173E" w14:paraId="185D1353" w14:textId="77777777" w:rsidTr="00FA2EB7">
        <w:tc>
          <w:tcPr>
            <w:tcW w:w="10065" w:type="dxa"/>
            <w:tcBorders>
              <w:bottom w:val="single" w:sz="4" w:space="0" w:color="auto"/>
            </w:tcBorders>
            <w:shd w:val="clear" w:color="auto" w:fill="E6E6E6"/>
          </w:tcPr>
          <w:p w14:paraId="185D1352" w14:textId="51BFFE31" w:rsidR="00FA2EB7" w:rsidRPr="0086173E" w:rsidRDefault="00FA2EB7" w:rsidP="009E1E0E">
            <w:pPr>
              <w:pStyle w:val="Default"/>
              <w:keepNext/>
              <w:jc w:val="both"/>
              <w:rPr>
                <w:rFonts w:ascii="Tahoma" w:hAnsi="Tahoma" w:cs="Tahoma"/>
                <w:noProof/>
                <w:sz w:val="20"/>
                <w:szCs w:val="20"/>
              </w:rPr>
            </w:pPr>
            <w:r w:rsidRPr="0086173E">
              <w:rPr>
                <w:rFonts w:ascii="Tahoma" w:hAnsi="Tahoma"/>
                <w:b/>
                <w:noProof/>
                <w:sz w:val="20"/>
              </w:rPr>
              <w:t xml:space="preserve">Mida selle algatusega loodetakse saavutada? </w:t>
            </w:r>
          </w:p>
        </w:tc>
      </w:tr>
      <w:tr w:rsidR="00FA2EB7" w:rsidRPr="0086173E" w14:paraId="185D1356" w14:textId="77777777" w:rsidTr="009C428F">
        <w:trPr>
          <w:trHeight w:val="3282"/>
        </w:trPr>
        <w:tc>
          <w:tcPr>
            <w:tcW w:w="10065" w:type="dxa"/>
            <w:tcBorders>
              <w:bottom w:val="single" w:sz="4" w:space="0" w:color="auto"/>
            </w:tcBorders>
            <w:shd w:val="clear" w:color="auto" w:fill="auto"/>
          </w:tcPr>
          <w:p w14:paraId="185D1355" w14:textId="0E4C314F" w:rsidR="00FA2EB7" w:rsidRPr="0086173E" w:rsidRDefault="000F6DFE" w:rsidP="0069183D">
            <w:pPr>
              <w:pStyle w:val="TableText"/>
              <w:framePr w:hSpace="0" w:wrap="auto" w:vAnchor="margin" w:hAnchor="text" w:xAlign="left" w:yAlign="inline"/>
              <w:suppressAutoHyphens/>
              <w:jc w:val="both"/>
              <w:rPr>
                <w:rFonts w:ascii="Tahoma" w:eastAsia="Times New Roman" w:hAnsi="Tahoma" w:cs="Tahoma"/>
                <w:noProof/>
              </w:rPr>
            </w:pPr>
            <w:r w:rsidRPr="0086173E">
              <w:rPr>
                <w:rFonts w:ascii="Tahoma" w:hAnsi="Tahoma"/>
                <w:noProof/>
              </w:rPr>
              <w:t xml:space="preserve">2022. aasta mais esitatud määruse ettepanekuga, millega kehtestatakse eeskirjad laste seksuaalse väärkohtlemise ennetamiseks ja tõkestamiseks (COM(2022) 209), soovib komisjon reguleerida internetipõhiste teenuste osutajate rolli ja lisaks sellele on tarvis täiendada kehtivat kriminaalõigusraamistikku, et tagada selle tulemuslikkus. Üldeesmärk on </w:t>
            </w:r>
            <w:r w:rsidRPr="0086173E">
              <w:rPr>
                <w:rFonts w:ascii="Tahoma" w:hAnsi="Tahoma"/>
                <w:b/>
                <w:noProof/>
              </w:rPr>
              <w:t>parandada laste seksuaalse kuritarvitamise ohvrite tuvastamist, kaitset ja toetamist</w:t>
            </w:r>
            <w:r w:rsidRPr="0086173E">
              <w:rPr>
                <w:rFonts w:ascii="Tahoma" w:hAnsi="Tahoma"/>
                <w:noProof/>
              </w:rPr>
              <w:t xml:space="preserve">, tagada </w:t>
            </w:r>
            <w:r w:rsidRPr="0086173E">
              <w:rPr>
                <w:rFonts w:ascii="Tahoma" w:hAnsi="Tahoma"/>
                <w:b/>
                <w:noProof/>
              </w:rPr>
              <w:t>tulemuslik ennetustöö</w:t>
            </w:r>
            <w:r w:rsidRPr="0086173E">
              <w:rPr>
                <w:rFonts w:ascii="Tahoma" w:hAnsi="Tahoma"/>
                <w:noProof/>
              </w:rPr>
              <w:t xml:space="preserve"> ja </w:t>
            </w:r>
            <w:r w:rsidRPr="0086173E">
              <w:rPr>
                <w:rFonts w:ascii="Tahoma" w:hAnsi="Tahoma"/>
                <w:b/>
                <w:noProof/>
              </w:rPr>
              <w:t>hõlbustada kuritegude uurimist</w:t>
            </w:r>
            <w:r w:rsidRPr="0086173E">
              <w:rPr>
                <w:rFonts w:ascii="Tahoma" w:hAnsi="Tahoma"/>
                <w:noProof/>
              </w:rPr>
              <w:t>. Erieesmärgid on järgmised: 1) tagada, et kriminaliseeritakse kõik internetis toimuvad laste seksuaalse kuritarvitamise ja ärakasutamise vormid; 2) tagada, et liikmesriikide õigusnormid, mis reguleerivad selle kuriteoliigi uurimist ja kuritegude eest süüdistuse esitamist, võimaldaksid tulemuslikult tõkestada laste seksuaalset kuritarvitamist ja ärakasutamist; ning 3) selleks et parandada ennetustööd ning ohvrite kaitset, toetamist ja abistamist, näha ette, et liikmesriigid koguksid süstemaatiliselt statistikat laste seksuaalse kuritarvitamise kohta ning tagaksid parema koordineerimise liikmesriikide vahel ja riigi tasandil kõigi asjaosaliste vahel. Ettepanekuga ajakohastatakse ka kehtivate normide sõnastust ja asendatakse termin „lasteporno“ terminiga „laste seksuaalset kuritarvitamist kujutav materjal“, et viia tekst kooskõlla rahvusvaheliselt kokkulepitud standarditega ja vältida olukorda, kus sellist materjali seostatakse täiskasvanute pornograafiaga, mis on seaduslik, ja mis võib avaldada laste seksuaalselt kuritarvitamist kujutava materjali käsitusele soovimatut õiguspärastavat mõju.</w:t>
            </w:r>
          </w:p>
        </w:tc>
      </w:tr>
      <w:tr w:rsidR="00FA2EB7" w:rsidRPr="0086173E" w14:paraId="185D1358" w14:textId="77777777" w:rsidTr="00FA2EB7">
        <w:tc>
          <w:tcPr>
            <w:tcW w:w="10065" w:type="dxa"/>
            <w:tcBorders>
              <w:bottom w:val="single" w:sz="4" w:space="0" w:color="auto"/>
            </w:tcBorders>
            <w:shd w:val="clear" w:color="auto" w:fill="E6E6E6"/>
          </w:tcPr>
          <w:p w14:paraId="185D1357" w14:textId="77777777" w:rsidR="00FA2EB7" w:rsidRPr="0086173E" w:rsidRDefault="00FA2EB7" w:rsidP="009E1E0E">
            <w:pPr>
              <w:pStyle w:val="Default"/>
              <w:jc w:val="both"/>
              <w:rPr>
                <w:rFonts w:ascii="Tahoma" w:hAnsi="Tahoma" w:cs="Tahoma"/>
                <w:noProof/>
                <w:sz w:val="20"/>
                <w:szCs w:val="20"/>
              </w:rPr>
            </w:pPr>
            <w:r w:rsidRPr="0086173E">
              <w:rPr>
                <w:rFonts w:ascii="Tahoma" w:hAnsi="Tahoma"/>
                <w:b/>
                <w:noProof/>
                <w:sz w:val="20"/>
              </w:rPr>
              <w:t xml:space="preserve">Milline on ELi tasandi meetmete lisaväärtus (subsidiaarsus)? </w:t>
            </w:r>
          </w:p>
        </w:tc>
      </w:tr>
      <w:tr w:rsidR="00FA2EB7" w:rsidRPr="0086173E" w14:paraId="185D135E" w14:textId="77777777" w:rsidTr="008F566F">
        <w:trPr>
          <w:trHeight w:val="1423"/>
        </w:trPr>
        <w:tc>
          <w:tcPr>
            <w:tcW w:w="10065" w:type="dxa"/>
            <w:tcBorders>
              <w:bottom w:val="single" w:sz="4" w:space="0" w:color="auto"/>
            </w:tcBorders>
            <w:shd w:val="clear" w:color="auto" w:fill="auto"/>
          </w:tcPr>
          <w:p w14:paraId="185D135D" w14:textId="2458E6B3" w:rsidR="00FA2EB7" w:rsidRPr="0086173E" w:rsidRDefault="008F566F" w:rsidP="008F566F">
            <w:pPr>
              <w:pStyle w:val="TableText"/>
              <w:framePr w:hSpace="0" w:wrap="auto" w:vAnchor="margin" w:hAnchor="text" w:xAlign="left" w:yAlign="inline"/>
              <w:suppressAutoHyphens/>
              <w:jc w:val="both"/>
              <w:rPr>
                <w:rFonts w:ascii="Tahoma" w:hAnsi="Tahoma" w:cs="Tahoma"/>
                <w:noProof/>
              </w:rPr>
            </w:pPr>
            <w:r w:rsidRPr="0086173E">
              <w:rPr>
                <w:rFonts w:ascii="Tahoma" w:hAnsi="Tahoma"/>
                <w:noProof/>
              </w:rPr>
              <w:t>Kehtivas normistikus ilmnenud lüngad on suures osas seotud internetis toimuva tegevusega, mis on oma olemuselt piiriülene, eelkõige näiteks laste kuritarvitamise otseülekannete või veebipõhise peibutamise puhul. Kui puuduvad ühised õigusnormid, on liikmesriikidel raskusi tulemuslikult: i) hoida oma territooriumil ära laste seksuaalse kuritarvitamisega seotud süütegude toimepanemist; ii) uurida laste seksuaalse kuritarvitamise kuritegusid, mis on piiriülesed, ja esitada nende eest süüdistusi ning iii) ohvreid kindlaks teha ja neile abi pakkuda.</w:t>
            </w:r>
          </w:p>
        </w:tc>
      </w:tr>
    </w:tbl>
    <w:p w14:paraId="7BE68282" w14:textId="77777777" w:rsidR="009C428F" w:rsidRPr="0086173E" w:rsidRDefault="009C428F">
      <w:pPr>
        <w:rPr>
          <w:noProof/>
        </w:rPr>
      </w:pPr>
      <w:r w:rsidRPr="0086173E">
        <w:rPr>
          <w:noProof/>
        </w:rPr>
        <w:br w:type="page"/>
      </w:r>
    </w:p>
    <w:tbl>
      <w:tblPr>
        <w:tblStyle w:val="TableGrid"/>
        <w:tblW w:w="10065" w:type="dxa"/>
        <w:tblInd w:w="-318" w:type="dxa"/>
        <w:tblLook w:val="01E0" w:firstRow="1" w:lastRow="1" w:firstColumn="1" w:lastColumn="1" w:noHBand="0" w:noVBand="0"/>
      </w:tblPr>
      <w:tblGrid>
        <w:gridCol w:w="10065"/>
      </w:tblGrid>
      <w:tr w:rsidR="00FA2EB7" w:rsidRPr="0086173E" w14:paraId="185D1360" w14:textId="77777777" w:rsidTr="00FA2EB7">
        <w:tc>
          <w:tcPr>
            <w:tcW w:w="10065" w:type="dxa"/>
            <w:tcBorders>
              <w:bottom w:val="single" w:sz="4" w:space="0" w:color="auto"/>
            </w:tcBorders>
            <w:shd w:val="clear" w:color="auto" w:fill="CCCCCC"/>
          </w:tcPr>
          <w:p w14:paraId="185D135F" w14:textId="7AE69B73" w:rsidR="00FA2EB7" w:rsidRPr="0086173E" w:rsidRDefault="00FA2EB7" w:rsidP="009E1E0E">
            <w:pPr>
              <w:spacing w:before="60" w:after="60"/>
              <w:rPr>
                <w:rFonts w:ascii="Tahoma" w:hAnsi="Tahoma" w:cs="Tahoma"/>
                <w:b/>
                <w:noProof/>
              </w:rPr>
            </w:pPr>
            <w:r w:rsidRPr="0086173E">
              <w:rPr>
                <w:rFonts w:ascii="Tahoma" w:hAnsi="Tahoma"/>
                <w:b/>
                <w:noProof/>
              </w:rPr>
              <w:t>B. Lahendused</w:t>
            </w:r>
          </w:p>
        </w:tc>
      </w:tr>
      <w:tr w:rsidR="00FA2EB7" w:rsidRPr="0086173E" w14:paraId="185D1362" w14:textId="77777777" w:rsidTr="00FA2EB7">
        <w:tc>
          <w:tcPr>
            <w:tcW w:w="10065" w:type="dxa"/>
            <w:tcBorders>
              <w:bottom w:val="single" w:sz="4" w:space="0" w:color="auto"/>
            </w:tcBorders>
            <w:shd w:val="clear" w:color="auto" w:fill="E6E6E6"/>
          </w:tcPr>
          <w:p w14:paraId="185D1361" w14:textId="77777777" w:rsidR="00FA2EB7" w:rsidRPr="0086173E" w:rsidRDefault="00FA2EB7" w:rsidP="009E1E0E">
            <w:pPr>
              <w:pStyle w:val="Default"/>
              <w:jc w:val="both"/>
              <w:rPr>
                <w:rFonts w:ascii="Tahoma" w:hAnsi="Tahoma" w:cs="Tahoma"/>
                <w:noProof/>
                <w:sz w:val="20"/>
                <w:szCs w:val="20"/>
              </w:rPr>
            </w:pPr>
            <w:r w:rsidRPr="0086173E">
              <w:rPr>
                <w:rFonts w:ascii="Tahoma" w:hAnsi="Tahoma"/>
                <w:b/>
                <w:noProof/>
                <w:sz w:val="20"/>
              </w:rPr>
              <w:t xml:space="preserve">Millised on eri poliitikavariandid nende eesmärkide saavutamiseks? Kas on olemas eelistatud variant? Kui ei ole, siis miks? </w:t>
            </w:r>
          </w:p>
        </w:tc>
      </w:tr>
      <w:tr w:rsidR="00FA2EB7" w:rsidRPr="0086173E" w14:paraId="185D1368" w14:textId="77777777" w:rsidTr="009C428F">
        <w:trPr>
          <w:trHeight w:val="1976"/>
        </w:trPr>
        <w:tc>
          <w:tcPr>
            <w:tcW w:w="10065" w:type="dxa"/>
            <w:tcBorders>
              <w:bottom w:val="single" w:sz="4" w:space="0" w:color="auto"/>
            </w:tcBorders>
            <w:shd w:val="clear" w:color="auto" w:fill="auto"/>
          </w:tcPr>
          <w:p w14:paraId="0B12FC2E" w14:textId="0F931FD6" w:rsidR="000F6DFE" w:rsidRPr="0086173E" w:rsidRDefault="000F6DFE" w:rsidP="000F6DFE">
            <w:pPr>
              <w:pStyle w:val="Heading3"/>
              <w:numPr>
                <w:ilvl w:val="0"/>
                <w:numId w:val="0"/>
              </w:numPr>
              <w:spacing w:before="0" w:after="0"/>
              <w:ind w:left="993" w:hanging="993"/>
              <w:jc w:val="left"/>
              <w:rPr>
                <w:rFonts w:ascii="Tahoma" w:hAnsi="Tahoma" w:cs="Tahoma"/>
                <w:bCs w:val="0"/>
                <w:i w:val="0"/>
                <w:iCs/>
                <w:noProof/>
                <w:sz w:val="20"/>
              </w:rPr>
            </w:pPr>
            <w:bookmarkStart w:id="1" w:name="_Toc485620419"/>
            <w:r w:rsidRPr="0086173E">
              <w:rPr>
                <w:rFonts w:ascii="Tahoma" w:hAnsi="Tahoma"/>
                <w:b/>
                <w:i w:val="0"/>
                <w:noProof/>
                <w:sz w:val="20"/>
              </w:rPr>
              <w:t>Variant A:</w:t>
            </w:r>
            <w:r w:rsidRPr="0086173E">
              <w:rPr>
                <w:rFonts w:ascii="Tahoma" w:hAnsi="Tahoma"/>
                <w:i w:val="0"/>
                <w:noProof/>
                <w:sz w:val="20"/>
              </w:rPr>
              <w:t xml:space="preserve"> õigusnormide sihipärased muudatused, et kõrvaldada kehtivast tekstist ebaselgus, tagada sidusus uute õigusaktidega ning parandada kättesaadava teabe kvantiteeti ja kvaliteeti.</w:t>
            </w:r>
          </w:p>
          <w:p w14:paraId="72613844" w14:textId="1B62D268" w:rsidR="000F6DFE" w:rsidRPr="0086173E" w:rsidRDefault="000F6DFE" w:rsidP="000F6DFE">
            <w:pPr>
              <w:pStyle w:val="Heading3"/>
              <w:numPr>
                <w:ilvl w:val="0"/>
                <w:numId w:val="0"/>
              </w:numPr>
              <w:spacing w:before="0" w:after="0"/>
              <w:ind w:left="993" w:hanging="993"/>
              <w:jc w:val="left"/>
              <w:rPr>
                <w:rFonts w:ascii="Tahoma" w:hAnsi="Tahoma" w:cs="Tahoma"/>
                <w:bCs w:val="0"/>
                <w:i w:val="0"/>
                <w:iCs/>
                <w:noProof/>
                <w:sz w:val="20"/>
              </w:rPr>
            </w:pPr>
            <w:r w:rsidRPr="0086173E">
              <w:rPr>
                <w:rFonts w:ascii="Tahoma" w:hAnsi="Tahoma"/>
                <w:b/>
                <w:i w:val="0"/>
                <w:noProof/>
                <w:sz w:val="20"/>
              </w:rPr>
              <w:t>Variant B:</w:t>
            </w:r>
            <w:r w:rsidRPr="0086173E">
              <w:rPr>
                <w:rFonts w:ascii="Tahoma" w:hAnsi="Tahoma"/>
                <w:i w:val="0"/>
                <w:noProof/>
                <w:sz w:val="20"/>
              </w:rPr>
              <w:t xml:space="preserve"> variant A pluss seadusandlikud muudatused kuritegude määratlustes, et võtta arvesse praegust ja eeldatavat tehnoloogia arengut.</w:t>
            </w:r>
          </w:p>
          <w:p w14:paraId="185D1367" w14:textId="4E0307FC" w:rsidR="00FA2EB7" w:rsidRPr="0086173E" w:rsidRDefault="000F6DFE" w:rsidP="000F6DFE">
            <w:pPr>
              <w:pStyle w:val="Heading3"/>
              <w:numPr>
                <w:ilvl w:val="0"/>
                <w:numId w:val="0"/>
              </w:numPr>
              <w:spacing w:before="0" w:after="0"/>
              <w:ind w:left="993" w:hanging="993"/>
              <w:jc w:val="left"/>
              <w:rPr>
                <w:rFonts w:ascii="Tahoma" w:hAnsi="Tahoma" w:cs="Tahoma"/>
                <w:noProof/>
              </w:rPr>
            </w:pPr>
            <w:r w:rsidRPr="0086173E">
              <w:rPr>
                <w:rFonts w:ascii="Tahoma" w:hAnsi="Tahoma"/>
                <w:b/>
                <w:i w:val="0"/>
                <w:noProof/>
                <w:sz w:val="20"/>
              </w:rPr>
              <w:t xml:space="preserve">Variant C: </w:t>
            </w:r>
            <w:r w:rsidRPr="0086173E">
              <w:rPr>
                <w:rFonts w:ascii="Tahoma" w:hAnsi="Tahoma"/>
                <w:i w:val="0"/>
                <w:noProof/>
                <w:sz w:val="20"/>
              </w:rPr>
              <w:t xml:space="preserve">variant B pluss seadusandlikud muudatused, et tagada tulemuslikum ennetustöö, ohvrite abistamine ning kuritegude uurimine ja nende eest süüdistuse esitamine, võttes arvesse selle kuriteoliigi piiriülest mõõdet. </w:t>
            </w:r>
            <w:r w:rsidRPr="0086173E">
              <w:rPr>
                <w:rFonts w:ascii="Tahoma" w:hAnsi="Tahoma"/>
                <w:b/>
                <w:i w:val="0"/>
                <w:noProof/>
                <w:sz w:val="20"/>
              </w:rPr>
              <w:t>See on eelistatud poliitikavariant.</w:t>
            </w:r>
            <w:bookmarkEnd w:id="1"/>
          </w:p>
        </w:tc>
      </w:tr>
      <w:tr w:rsidR="00FA2EB7" w:rsidRPr="0086173E" w14:paraId="185D136A" w14:textId="77777777" w:rsidTr="00FA2EB7">
        <w:tc>
          <w:tcPr>
            <w:tcW w:w="10065" w:type="dxa"/>
            <w:shd w:val="clear" w:color="auto" w:fill="E6E6E6"/>
          </w:tcPr>
          <w:p w14:paraId="185D1369" w14:textId="49056617" w:rsidR="00FA2EB7" w:rsidRPr="0086173E" w:rsidRDefault="00FA2EB7" w:rsidP="009E1E0E">
            <w:pPr>
              <w:pStyle w:val="Default"/>
              <w:jc w:val="both"/>
              <w:rPr>
                <w:rFonts w:ascii="Tahoma" w:hAnsi="Tahoma" w:cs="Tahoma"/>
                <w:b/>
                <w:bCs/>
                <w:noProof/>
                <w:sz w:val="20"/>
                <w:szCs w:val="20"/>
              </w:rPr>
            </w:pPr>
            <w:r w:rsidRPr="0086173E">
              <w:rPr>
                <w:rFonts w:ascii="Tahoma" w:hAnsi="Tahoma"/>
                <w:b/>
                <w:noProof/>
                <w:sz w:val="20"/>
              </w:rPr>
              <w:t xml:space="preserve">Millised on erinevate sidusrühmade seisukohad? Kes millist varianti toetab? </w:t>
            </w:r>
          </w:p>
        </w:tc>
      </w:tr>
      <w:tr w:rsidR="00FA2EB7" w:rsidRPr="0086173E" w14:paraId="185D136E" w14:textId="77777777" w:rsidTr="008F0DCD">
        <w:trPr>
          <w:trHeight w:val="2702"/>
        </w:trPr>
        <w:tc>
          <w:tcPr>
            <w:tcW w:w="10065" w:type="dxa"/>
            <w:shd w:val="clear" w:color="auto" w:fill="auto"/>
          </w:tcPr>
          <w:p w14:paraId="185D136D" w14:textId="30E995E0" w:rsidR="00FA2EB7" w:rsidRPr="0086173E" w:rsidRDefault="00AF24FE" w:rsidP="009E1E0E">
            <w:pPr>
              <w:spacing w:line="252" w:lineRule="auto"/>
              <w:jc w:val="both"/>
              <w:rPr>
                <w:rFonts w:ascii="Tahoma" w:hAnsi="Tahoma" w:cs="Tahoma"/>
                <w:noProof/>
              </w:rPr>
            </w:pPr>
            <w:r w:rsidRPr="0086173E">
              <w:rPr>
                <w:rFonts w:ascii="Tahoma" w:hAnsi="Tahoma"/>
                <w:noProof/>
              </w:rPr>
              <w:t xml:space="preserve">Sidusrühmad on väljendanud soovi, et komisjon õigusraamistiku läbi vaataks. Nende väitel mõjutavad lüngad kriminaliseerimises lapsi seoses uute suundumustega, mis on saanud võimalikuks tänu tehnoloogia arengule või mida see areng hõlbustab, samuti seetõttu, et nii lapsed kui ka nende ahistajad kasutavad internetti rohkem, eriti pärast COVID-19 pandeemiat. Eelkõige on märgitud, et selliste kuritegude uurimise ja nende eest süüdistuse esitamise ning ohvrite tuvastamisega seotud probleemid vajavad tulemuslikumat lähenemisviisi. Sidusrühmad juhtisid tähelepanu ka vajadusele võtta paremini arvesse laste seksuaalse kuritarvitamise ja ärakasutamisega seotud süütegude eripärasid, sealhulgas probleeme, millega puutuvad kokku ohvrid süütegudest teatamisel, ja asjaolu, et kuriteost võib mööduda kaua aega, enne kui ohver on suuteline sellest rääkima, samuti vajadusele sihipärase ennetustöö ja ohvriabi järele ning küsimusele, kuidas lahendada reisivate seksuaalkurjategijate põhjustatud probleeme. Üldiselt toetasid sidusrühmad raamistiku sihipärast ajakohastamist, eelkõige selleks, et tegeleda sellise nähtusega nagu laste seksuaalse kuritarvitamise otseülekanded veebis. </w:t>
            </w:r>
          </w:p>
        </w:tc>
      </w:tr>
      <w:tr w:rsidR="00FA2EB7" w:rsidRPr="0086173E" w14:paraId="185D1370" w14:textId="77777777" w:rsidTr="00FA2EB7">
        <w:tc>
          <w:tcPr>
            <w:tcW w:w="10065" w:type="dxa"/>
            <w:tcBorders>
              <w:bottom w:val="single" w:sz="4" w:space="0" w:color="auto"/>
            </w:tcBorders>
            <w:shd w:val="clear" w:color="auto" w:fill="CCCCCC"/>
          </w:tcPr>
          <w:p w14:paraId="185D136F" w14:textId="77777777" w:rsidR="00FA2EB7" w:rsidRPr="0086173E" w:rsidRDefault="00FA2EB7" w:rsidP="009E1E0E">
            <w:pPr>
              <w:spacing w:before="60" w:after="60"/>
              <w:rPr>
                <w:rFonts w:ascii="Tahoma" w:hAnsi="Tahoma" w:cs="Tahoma"/>
                <w:b/>
                <w:noProof/>
              </w:rPr>
            </w:pPr>
            <w:r w:rsidRPr="0086173E">
              <w:rPr>
                <w:rFonts w:ascii="Tahoma" w:hAnsi="Tahoma"/>
                <w:b/>
                <w:noProof/>
              </w:rPr>
              <w:t>C. Eelistatud poliitikavariandi mõju</w:t>
            </w:r>
          </w:p>
        </w:tc>
      </w:tr>
      <w:tr w:rsidR="00FA2EB7" w:rsidRPr="0086173E" w14:paraId="185D1372" w14:textId="77777777" w:rsidTr="00FA2EB7">
        <w:tc>
          <w:tcPr>
            <w:tcW w:w="10065" w:type="dxa"/>
            <w:tcBorders>
              <w:bottom w:val="single" w:sz="4" w:space="0" w:color="auto"/>
            </w:tcBorders>
            <w:shd w:val="clear" w:color="auto" w:fill="E6E6E6"/>
          </w:tcPr>
          <w:p w14:paraId="185D1371" w14:textId="77777777" w:rsidR="00FA2EB7" w:rsidRPr="0086173E" w:rsidRDefault="00FA2EB7" w:rsidP="009E1E0E">
            <w:pPr>
              <w:pStyle w:val="Default"/>
              <w:jc w:val="both"/>
              <w:rPr>
                <w:rFonts w:ascii="Tahoma" w:hAnsi="Tahoma" w:cs="Tahoma"/>
                <w:noProof/>
                <w:color w:val="auto"/>
                <w:sz w:val="20"/>
                <w:szCs w:val="20"/>
              </w:rPr>
            </w:pPr>
            <w:r w:rsidRPr="0086173E">
              <w:rPr>
                <w:rFonts w:ascii="Tahoma" w:hAnsi="Tahoma"/>
                <w:b/>
                <w:noProof/>
                <w:color w:val="auto"/>
                <w:sz w:val="20"/>
              </w:rPr>
              <w:t xml:space="preserve">Millised on eelistatud poliitikavariandi (kui see on olemas, vastasel korral peamiste poliitikavariantide) eelised? </w:t>
            </w:r>
          </w:p>
        </w:tc>
      </w:tr>
      <w:tr w:rsidR="00FA2EB7" w:rsidRPr="0086173E" w14:paraId="185D1376" w14:textId="77777777" w:rsidTr="00FA2EB7">
        <w:trPr>
          <w:trHeight w:val="1612"/>
        </w:trPr>
        <w:tc>
          <w:tcPr>
            <w:tcW w:w="10065" w:type="dxa"/>
            <w:tcBorders>
              <w:bottom w:val="single" w:sz="4" w:space="0" w:color="auto"/>
            </w:tcBorders>
            <w:shd w:val="clear" w:color="auto" w:fill="auto"/>
          </w:tcPr>
          <w:p w14:paraId="185D1373" w14:textId="451CEC87" w:rsidR="00FA2EB7" w:rsidRPr="0086173E" w:rsidRDefault="00FA2EB7" w:rsidP="009E1E0E">
            <w:pPr>
              <w:jc w:val="both"/>
              <w:rPr>
                <w:rFonts w:ascii="Tahoma" w:hAnsi="Tahoma" w:cs="Tahoma"/>
                <w:noProof/>
              </w:rPr>
            </w:pPr>
            <w:r w:rsidRPr="0086173E">
              <w:rPr>
                <w:rFonts w:ascii="Tahoma" w:hAnsi="Tahoma"/>
                <w:noProof/>
              </w:rPr>
              <w:t xml:space="preserve">Eeldatakse, et algatus aitab </w:t>
            </w:r>
            <w:r w:rsidRPr="0086173E">
              <w:rPr>
                <w:rFonts w:ascii="Tahoma" w:hAnsi="Tahoma"/>
                <w:b/>
                <w:noProof/>
              </w:rPr>
              <w:t>parandada laste seksuaalse kuritarvitamise ohvrite tuvastamist, kaitset ja toetamist</w:t>
            </w:r>
            <w:r w:rsidRPr="0086173E">
              <w:rPr>
                <w:rFonts w:ascii="Tahoma" w:hAnsi="Tahoma"/>
                <w:noProof/>
              </w:rPr>
              <w:t xml:space="preserve">, tagada </w:t>
            </w:r>
            <w:r w:rsidRPr="0086173E">
              <w:rPr>
                <w:rFonts w:ascii="Tahoma" w:hAnsi="Tahoma"/>
                <w:b/>
                <w:noProof/>
              </w:rPr>
              <w:t>tulemuslikuma ennetustöö</w:t>
            </w:r>
            <w:r w:rsidRPr="0086173E">
              <w:rPr>
                <w:rFonts w:ascii="Tahoma" w:hAnsi="Tahoma"/>
                <w:noProof/>
              </w:rPr>
              <w:t xml:space="preserve"> ning </w:t>
            </w:r>
            <w:r w:rsidRPr="0086173E">
              <w:rPr>
                <w:rFonts w:ascii="Tahoma" w:hAnsi="Tahoma"/>
                <w:b/>
                <w:noProof/>
              </w:rPr>
              <w:t>hõlbustab kuritegude uurimist</w:t>
            </w:r>
            <w:r w:rsidRPr="0086173E">
              <w:rPr>
                <w:rFonts w:ascii="Tahoma" w:hAnsi="Tahoma"/>
                <w:noProof/>
              </w:rPr>
              <w:t>. Praegust olukorda, kus laste seksuaalse kuritarvitamise otseülekandeid korraldavad kurjategijad jäävad sageli karistuseta, saaks algatuse abil muuta, kuna ettepanekuga tehakse õiguskaitseasutustele kättesaadavaks tulemuslikumad uurimisvahendid ja kohandatakse kriminaalõigusraamistikku. Ettepaneku eesmärk on tagada, et eraldi kriminaliseeritakse tegu, kui õigusrikkuja tellib lapse seksuaalse kuritarvitamise, et ta saaks seda veebis vaadata, (olenemata sellest, kes last tegelikult kuritarvitab) ning et katsed kaasata last seksuaalsesse kuritarvitamisse, ahvatledes teda internetikanalite, näiteks vestluste või mänguplatvormide kaudu, kriminaliseeritakse samamoodi. Algatusega võimaldatakse, võttes arvesse kuritarvitamise tagajärjel tekkivat püsivat hirmu ja traumat, mis ei lase kuriteost teatada, laste seksuaalse kuritarvitamise üleelanud inimestel pikema aja jooksul kaebusi esitada ja kahju hüvitamist nõuda, mis avaldaks positiivset mõju nende võimele oma õigusi kaitsta ja oma heaolu taastada. Riikides luuakse jõupingutuste koordineerimiseks riiklikud ametiasutused, mis tagaks tervikliku riikliku lähenemisviisi laste seksuaalsele kuritarvitamisele kui nähtusele, mis ei ole üksnes karistusõiguslik probleem, vaid ka rahvatervise probleem. Mõnes liikmesriigis on sedalaadi asutused näidanud häid tulemusi teadlikkuse tõstmisel, ennetustöös, aidates kuritarvitamise ohvrite ja üleelanute häält paremini kuuldavaks teha ning neid tulemuslikumalt toetada.</w:t>
            </w:r>
          </w:p>
          <w:p w14:paraId="185D1375" w14:textId="5C578A10" w:rsidR="00FA2EB7" w:rsidRPr="0086173E" w:rsidRDefault="00FA2EB7" w:rsidP="009E1E0E">
            <w:pPr>
              <w:jc w:val="both"/>
              <w:rPr>
                <w:rFonts w:ascii="Tahoma" w:hAnsi="Tahoma" w:cs="Tahoma"/>
                <w:noProof/>
              </w:rPr>
            </w:pPr>
          </w:p>
        </w:tc>
      </w:tr>
      <w:tr w:rsidR="00FA2EB7" w:rsidRPr="0086173E" w14:paraId="185D1378" w14:textId="77777777" w:rsidTr="00FA2EB7">
        <w:tc>
          <w:tcPr>
            <w:tcW w:w="10065" w:type="dxa"/>
            <w:tcBorders>
              <w:bottom w:val="single" w:sz="4" w:space="0" w:color="auto"/>
            </w:tcBorders>
            <w:shd w:val="clear" w:color="auto" w:fill="E6E6E6"/>
          </w:tcPr>
          <w:p w14:paraId="185D1377" w14:textId="77777777" w:rsidR="00FA2EB7" w:rsidRPr="0086173E" w:rsidRDefault="00FA2EB7" w:rsidP="009E1E0E">
            <w:pPr>
              <w:pStyle w:val="Default"/>
              <w:jc w:val="both"/>
              <w:rPr>
                <w:rFonts w:ascii="Tahoma" w:hAnsi="Tahoma" w:cs="Tahoma"/>
                <w:noProof/>
                <w:sz w:val="20"/>
                <w:szCs w:val="20"/>
              </w:rPr>
            </w:pPr>
            <w:r w:rsidRPr="0086173E">
              <w:rPr>
                <w:rFonts w:ascii="Tahoma" w:hAnsi="Tahoma"/>
                <w:b/>
                <w:noProof/>
                <w:sz w:val="20"/>
              </w:rPr>
              <w:t xml:space="preserve">Millised on eelistatud poliitikavariandi (kui see on olemas, vastasel korral peamiste poliitikavariantide) kulud? </w:t>
            </w:r>
          </w:p>
        </w:tc>
      </w:tr>
      <w:tr w:rsidR="00FA2EB7" w:rsidRPr="0086173E" w14:paraId="185D137C" w14:textId="77777777" w:rsidTr="008F0DCD">
        <w:trPr>
          <w:trHeight w:val="1834"/>
        </w:trPr>
        <w:tc>
          <w:tcPr>
            <w:tcW w:w="10065" w:type="dxa"/>
            <w:tcBorders>
              <w:bottom w:val="single" w:sz="4" w:space="0" w:color="auto"/>
            </w:tcBorders>
            <w:shd w:val="clear" w:color="auto" w:fill="auto"/>
          </w:tcPr>
          <w:p w14:paraId="185D137B" w14:textId="0F8F91A0" w:rsidR="00FA2EB7" w:rsidRPr="0086173E" w:rsidRDefault="00236BC8" w:rsidP="00236BC8">
            <w:pPr>
              <w:jc w:val="both"/>
              <w:rPr>
                <w:rFonts w:ascii="Tahoma" w:hAnsi="Tahoma" w:cs="Tahoma"/>
                <w:iCs/>
                <w:noProof/>
              </w:rPr>
            </w:pPr>
            <w:r w:rsidRPr="0086173E">
              <w:rPr>
                <w:rFonts w:ascii="Tahoma" w:hAnsi="Tahoma"/>
                <w:noProof/>
              </w:rPr>
              <w:t>Kulud jäävad peamiselt liikmesriikide haldusasutuste kanda. Eelistatud poliitikavariandiga kaasneb liikmesriikide jaoks piiratud koormus, mille tasakaalustab meetmete positiivne mõju laste seksuaalse kuritarvitamise ja ärakasutamise tõkestamisele ja sellevastasele võitlusele ning ohvrite kaitsmisele. Eelistatud variant seisneb peamiselt kehtivate sätete tugevdamises ja laiendamises, mitte uute kohustuste kehtestamises. Mõned liikmesriigid on juba kehtestanud meetmed, et laiendada kriminaalõiguse normide kohaldamisala kooskõlas uute ettepanekutega, ning teinud kättesaadavaks täiendavad uurimisvahendid, mis vähendavad nende regulatiivset koormust. Nõue luua koordineerimiseks riiklik asutus tekitaks piiratud regulatiivse ja halduskoormuse liikmesriikidele, kellel ei ole veel sellist süsteemi.</w:t>
            </w:r>
          </w:p>
        </w:tc>
      </w:tr>
      <w:tr w:rsidR="00FA2EB7" w:rsidRPr="0086173E" w14:paraId="185D137E" w14:textId="77777777" w:rsidTr="00FA2EB7">
        <w:tc>
          <w:tcPr>
            <w:tcW w:w="10065" w:type="dxa"/>
            <w:tcBorders>
              <w:bottom w:val="single" w:sz="4" w:space="0" w:color="auto"/>
            </w:tcBorders>
            <w:shd w:val="clear" w:color="auto" w:fill="E6E6E6"/>
          </w:tcPr>
          <w:p w14:paraId="185D137D" w14:textId="77777777" w:rsidR="00FA2EB7" w:rsidRPr="0086173E" w:rsidRDefault="00FA2EB7" w:rsidP="009E1E0E">
            <w:pPr>
              <w:pStyle w:val="Default"/>
              <w:keepNext/>
              <w:jc w:val="both"/>
              <w:rPr>
                <w:rFonts w:ascii="Tahoma" w:hAnsi="Tahoma" w:cs="Tahoma"/>
                <w:noProof/>
                <w:sz w:val="20"/>
                <w:szCs w:val="20"/>
              </w:rPr>
            </w:pPr>
            <w:r w:rsidRPr="0086173E">
              <w:rPr>
                <w:rFonts w:ascii="Tahoma" w:hAnsi="Tahoma"/>
                <w:b/>
                <w:noProof/>
                <w:sz w:val="20"/>
              </w:rPr>
              <w:t xml:space="preserve">Milline on mõju VKEdele ja konkurentsivõimele? </w:t>
            </w:r>
          </w:p>
        </w:tc>
      </w:tr>
      <w:tr w:rsidR="00FA2EB7" w:rsidRPr="0086173E" w14:paraId="185D1380" w14:textId="77777777" w:rsidTr="008F0DCD">
        <w:trPr>
          <w:trHeight w:val="293"/>
        </w:trPr>
        <w:tc>
          <w:tcPr>
            <w:tcW w:w="10065" w:type="dxa"/>
            <w:tcBorders>
              <w:bottom w:val="single" w:sz="4" w:space="0" w:color="auto"/>
            </w:tcBorders>
            <w:shd w:val="clear" w:color="auto" w:fill="auto"/>
          </w:tcPr>
          <w:p w14:paraId="185D137F" w14:textId="5FDCB50C" w:rsidR="00FA2EB7" w:rsidRPr="0086173E" w:rsidRDefault="00FA2EB7" w:rsidP="009E1E0E">
            <w:pPr>
              <w:jc w:val="both"/>
              <w:rPr>
                <w:rFonts w:ascii="Tahoma" w:hAnsi="Tahoma" w:cs="Tahoma"/>
                <w:noProof/>
              </w:rPr>
            </w:pPr>
            <w:r w:rsidRPr="0086173E">
              <w:rPr>
                <w:rFonts w:ascii="Tahoma" w:hAnsi="Tahoma"/>
                <w:noProof/>
              </w:rPr>
              <w:t>VKEdele ja konkurentsivõimele ei avalda ettepanek otsest ega kaudset mõju.</w:t>
            </w:r>
          </w:p>
        </w:tc>
      </w:tr>
      <w:tr w:rsidR="00FA2EB7" w:rsidRPr="0086173E" w14:paraId="185D1382" w14:textId="77777777" w:rsidTr="00FA2EB7">
        <w:tc>
          <w:tcPr>
            <w:tcW w:w="10065" w:type="dxa"/>
            <w:tcBorders>
              <w:bottom w:val="single" w:sz="4" w:space="0" w:color="auto"/>
            </w:tcBorders>
            <w:shd w:val="clear" w:color="auto" w:fill="E6E6E6"/>
          </w:tcPr>
          <w:p w14:paraId="185D1381" w14:textId="77777777" w:rsidR="00FA2EB7" w:rsidRPr="0086173E" w:rsidRDefault="00FA2EB7" w:rsidP="009E1E0E">
            <w:pPr>
              <w:pStyle w:val="Default"/>
              <w:jc w:val="both"/>
              <w:rPr>
                <w:rFonts w:ascii="Tahoma" w:hAnsi="Tahoma" w:cs="Tahoma"/>
                <w:noProof/>
                <w:sz w:val="20"/>
                <w:szCs w:val="20"/>
              </w:rPr>
            </w:pPr>
            <w:r w:rsidRPr="0086173E">
              <w:rPr>
                <w:rFonts w:ascii="Tahoma" w:hAnsi="Tahoma"/>
                <w:b/>
                <w:noProof/>
                <w:sz w:val="20"/>
              </w:rPr>
              <w:t xml:space="preserve">Kas on ette näha märkimisväärset mõju riigieelarvetele ja ametiasutustele? </w:t>
            </w:r>
          </w:p>
        </w:tc>
      </w:tr>
      <w:tr w:rsidR="00FA2EB7" w:rsidRPr="0086173E" w14:paraId="185D1385" w14:textId="77777777" w:rsidTr="009C428F">
        <w:trPr>
          <w:trHeight w:val="717"/>
        </w:trPr>
        <w:tc>
          <w:tcPr>
            <w:tcW w:w="10065" w:type="dxa"/>
            <w:shd w:val="clear" w:color="auto" w:fill="auto"/>
          </w:tcPr>
          <w:p w14:paraId="185D1384" w14:textId="2CE0827C" w:rsidR="00FA2EB7" w:rsidRPr="0086173E" w:rsidRDefault="00AF24FE" w:rsidP="009E1E0E">
            <w:pPr>
              <w:jc w:val="both"/>
              <w:rPr>
                <w:rFonts w:ascii="Tahoma" w:hAnsi="Tahoma" w:cs="Tahoma"/>
                <w:noProof/>
              </w:rPr>
            </w:pPr>
            <w:r w:rsidRPr="0086173E">
              <w:rPr>
                <w:rFonts w:ascii="Tahoma" w:hAnsi="Tahoma"/>
                <w:noProof/>
              </w:rPr>
              <w:t>Liikmesriikide eelarvetele ja haldusasutustele avaldub peamiselt nelja liiki mõju, mille ulatus on eeldatavasti piiratud. Esiteks peavad valitsused investeerima vahendeid, et teha vajalikud muudatused riiklikus õigusraamistikus. Teiseks, kuna kättesaadavaks tehakse rohkem uurimisvahendeid, peaks suurenema uuritavate juhtumite arv ja uurimiseks vajaminevate ressursside hulk, kuid teisest küljest suurendaks see tõenäoliselt ka uurimise tõhusust ja tulemuslikkust ning vähendaks seega õiguskaitseasutuste üldist töökoormust. Kolmandaks avaldab laste seksuaalse kuritarvitamise vastaste pingutuste koordineerimiseks mõeldud riikliku ametiasutuse loomine ja ülalpidamine püsivat mõju nende liikmesriikide eelarvele, kus sellist asutust veel ei ole. Lisaks võib kavandatav statistika kogumine minna kaugemale sellest, mida riikides juba tehakse, kuid see on kooskõlas kehtivate normidega Euroopa Parlamendi ja nõukogu 14. juuli 2021. aasta määruses (EL) 2021/1232 ajutise erandi kohta direktiivi 2002/58/EÜ teatavatest sätetest seoses tehnoloogiaga, mida numbrivaba isikutevahelise side teenuste osutajad kasutavad isikuandmete ja muude andmete töötlemiseks, et võidelda veebis toimuva laste seksuaalse kuritarvitamise vastu</w:t>
            </w:r>
            <w:r w:rsidRPr="0086173E">
              <w:rPr>
                <w:rStyle w:val="FootnoteReference"/>
                <w:rFonts w:ascii="Tahoma" w:hAnsi="Tahoma" w:cs="Tahoma"/>
                <w:noProof/>
              </w:rPr>
              <w:footnoteReference w:id="1"/>
            </w:r>
            <w:r w:rsidRPr="0086173E">
              <w:rPr>
                <w:rFonts w:ascii="Tahoma" w:hAnsi="Tahoma"/>
                <w:noProof/>
              </w:rPr>
              <w:t>.</w:t>
            </w:r>
          </w:p>
        </w:tc>
      </w:tr>
      <w:tr w:rsidR="00FA2EB7" w:rsidRPr="0086173E" w14:paraId="185D1387" w14:textId="77777777" w:rsidTr="00FA2EB7">
        <w:tc>
          <w:tcPr>
            <w:tcW w:w="10065" w:type="dxa"/>
            <w:tcBorders>
              <w:bottom w:val="single" w:sz="4" w:space="0" w:color="auto"/>
            </w:tcBorders>
            <w:shd w:val="clear" w:color="auto" w:fill="E6E6E6"/>
          </w:tcPr>
          <w:p w14:paraId="185D1386" w14:textId="77777777" w:rsidR="00FA2EB7" w:rsidRPr="0086173E" w:rsidRDefault="00FA2EB7" w:rsidP="009E1E0E">
            <w:pPr>
              <w:pStyle w:val="Default"/>
              <w:jc w:val="both"/>
              <w:rPr>
                <w:rFonts w:ascii="Tahoma" w:hAnsi="Tahoma" w:cs="Tahoma"/>
                <w:noProof/>
                <w:sz w:val="20"/>
                <w:szCs w:val="20"/>
              </w:rPr>
            </w:pPr>
            <w:r w:rsidRPr="0086173E">
              <w:rPr>
                <w:rFonts w:ascii="Tahoma" w:hAnsi="Tahoma"/>
                <w:b/>
                <w:noProof/>
                <w:sz w:val="20"/>
              </w:rPr>
              <w:t xml:space="preserve">Kas on oodata muud olulist mõju? </w:t>
            </w:r>
          </w:p>
        </w:tc>
      </w:tr>
      <w:tr w:rsidR="00FA2EB7" w:rsidRPr="0086173E" w14:paraId="185D1389" w14:textId="77777777" w:rsidTr="009C428F">
        <w:trPr>
          <w:trHeight w:val="1014"/>
        </w:trPr>
        <w:tc>
          <w:tcPr>
            <w:tcW w:w="10065" w:type="dxa"/>
            <w:tcBorders>
              <w:bottom w:val="single" w:sz="4" w:space="0" w:color="auto"/>
            </w:tcBorders>
            <w:shd w:val="clear" w:color="auto" w:fill="auto"/>
          </w:tcPr>
          <w:p w14:paraId="185D1388" w14:textId="54CCE3F8" w:rsidR="00FA2EB7" w:rsidRPr="0086173E" w:rsidRDefault="00FA2EB7" w:rsidP="009E1E0E">
            <w:pPr>
              <w:jc w:val="both"/>
              <w:rPr>
                <w:rFonts w:ascii="Tahoma" w:hAnsi="Tahoma" w:cs="Tahoma"/>
                <w:noProof/>
              </w:rPr>
            </w:pPr>
            <w:r w:rsidRPr="0086173E">
              <w:rPr>
                <w:rFonts w:ascii="Tahoma" w:hAnsi="Tahoma"/>
                <w:noProof/>
              </w:rPr>
              <w:t xml:space="preserve">Eelistatud variandi peamine mõju on seotud laste ning laste seksuaalse kuritarvitamise üleelanute heaolu ja õiguste kaitsmisega internetis ja väljaspool internetti. Lisaks eeldatakse, et kuna ettepanekuga laiendatakse ohvrite õigust esitada süüdistus ja nõuda kahju hüvitamist, avaldab see märkimisväärset positiivset mõju laste seksuaalse kuritarvitamise ohvrite ja üleelanute võimele oma õigusi kaitsta. </w:t>
            </w:r>
          </w:p>
        </w:tc>
      </w:tr>
      <w:tr w:rsidR="00FA2EB7" w:rsidRPr="0086173E" w14:paraId="185D138B" w14:textId="77777777" w:rsidTr="00FA2EB7">
        <w:tc>
          <w:tcPr>
            <w:tcW w:w="10065" w:type="dxa"/>
            <w:tcBorders>
              <w:bottom w:val="single" w:sz="4" w:space="0" w:color="auto"/>
            </w:tcBorders>
            <w:shd w:val="clear" w:color="auto" w:fill="E6E6E6"/>
          </w:tcPr>
          <w:p w14:paraId="185D138A" w14:textId="77777777" w:rsidR="00FA2EB7" w:rsidRPr="0086173E" w:rsidRDefault="00FA2EB7" w:rsidP="009E1E0E">
            <w:pPr>
              <w:pStyle w:val="Default"/>
              <w:jc w:val="both"/>
              <w:rPr>
                <w:rFonts w:ascii="Tahoma" w:hAnsi="Tahoma" w:cs="Tahoma"/>
                <w:noProof/>
                <w:sz w:val="20"/>
                <w:szCs w:val="20"/>
              </w:rPr>
            </w:pPr>
            <w:r w:rsidRPr="0086173E">
              <w:rPr>
                <w:rFonts w:ascii="Tahoma" w:hAnsi="Tahoma"/>
                <w:b/>
                <w:noProof/>
                <w:sz w:val="20"/>
              </w:rPr>
              <w:t xml:space="preserve">Proportsionaalsus? </w:t>
            </w:r>
          </w:p>
        </w:tc>
      </w:tr>
      <w:tr w:rsidR="00FA2EB7" w:rsidRPr="0086173E" w14:paraId="185D138D" w14:textId="77777777" w:rsidTr="009C428F">
        <w:trPr>
          <w:trHeight w:val="1584"/>
        </w:trPr>
        <w:tc>
          <w:tcPr>
            <w:tcW w:w="10065" w:type="dxa"/>
            <w:shd w:val="clear" w:color="auto" w:fill="auto"/>
          </w:tcPr>
          <w:p w14:paraId="185D138C" w14:textId="010B8799" w:rsidR="00FA2EB7" w:rsidRPr="0086173E" w:rsidRDefault="0035697F" w:rsidP="009E1E0E">
            <w:pPr>
              <w:jc w:val="both"/>
              <w:rPr>
                <w:rFonts w:ascii="Tahoma" w:hAnsi="Tahoma" w:cs="Tahoma"/>
                <w:noProof/>
              </w:rPr>
            </w:pPr>
            <w:r w:rsidRPr="0086173E">
              <w:rPr>
                <w:rFonts w:ascii="Tahoma" w:hAnsi="Tahoma"/>
                <w:noProof/>
              </w:rPr>
              <w:t>Käesoleva ettepanekuga ette nähtud muudatused direktiivis 2011/93/EL on väikese mahuga ja sihipärased ning nende eesmärk on tulemuslikult kõrvaldada peamised puudused, mida on täheldatud direktiivi rakendamisel ja hindamisel. Direktiivi ajakohastamisest tuleneda võivat täiendavat halduskoormust peetakse proportsionaalseks, pidades silmas seda liiki kuritegude ärahoidmisest ja algstaadiumis avastamisest tulenevat pikaajalist kasu, sealhulgas kulude kokkuhoidu, nii ohvrite kui ka kogu ühiskonna jaoks.</w:t>
            </w:r>
            <w:r w:rsidRPr="0086173E">
              <w:rPr>
                <w:noProof/>
                <w:sz w:val="24"/>
              </w:rPr>
              <w:t xml:space="preserve"> </w:t>
            </w:r>
            <w:r w:rsidRPr="0086173E">
              <w:rPr>
                <w:rFonts w:ascii="Tahoma" w:hAnsi="Tahoma"/>
                <w:noProof/>
              </w:rPr>
              <w:t>Seega piirdub ettepanek sellega, mis on kirjeldatud eesmärkide saavutamiseks vajalik.</w:t>
            </w:r>
          </w:p>
        </w:tc>
      </w:tr>
      <w:tr w:rsidR="00FA2EB7" w:rsidRPr="0086173E" w14:paraId="185D138F" w14:textId="77777777" w:rsidTr="00FA2EB7">
        <w:tc>
          <w:tcPr>
            <w:tcW w:w="10065" w:type="dxa"/>
            <w:tcBorders>
              <w:bottom w:val="single" w:sz="4" w:space="0" w:color="auto"/>
            </w:tcBorders>
            <w:shd w:val="clear" w:color="auto" w:fill="C0C0C0"/>
          </w:tcPr>
          <w:p w14:paraId="185D138E" w14:textId="325DB81F" w:rsidR="00FA2EB7" w:rsidRPr="0086173E" w:rsidRDefault="00FA2EB7" w:rsidP="009E1E0E">
            <w:pPr>
              <w:spacing w:before="60" w:after="60"/>
              <w:rPr>
                <w:rFonts w:ascii="Tahoma" w:hAnsi="Tahoma" w:cs="Tahoma"/>
                <w:b/>
                <w:noProof/>
              </w:rPr>
            </w:pPr>
            <w:r w:rsidRPr="0086173E">
              <w:rPr>
                <w:rFonts w:ascii="Tahoma" w:hAnsi="Tahoma"/>
                <w:b/>
                <w:noProof/>
              </w:rPr>
              <w:t>D. Järelmeetmed</w:t>
            </w:r>
          </w:p>
        </w:tc>
      </w:tr>
      <w:tr w:rsidR="00FA2EB7" w:rsidRPr="0086173E" w14:paraId="185D1391" w14:textId="77777777" w:rsidTr="00FA2EB7">
        <w:tc>
          <w:tcPr>
            <w:tcW w:w="10065" w:type="dxa"/>
            <w:tcBorders>
              <w:bottom w:val="single" w:sz="4" w:space="0" w:color="auto"/>
            </w:tcBorders>
            <w:shd w:val="clear" w:color="auto" w:fill="E6E6E6"/>
          </w:tcPr>
          <w:p w14:paraId="185D1390" w14:textId="77777777" w:rsidR="00FA2EB7" w:rsidRPr="0086173E" w:rsidRDefault="00FA2EB7" w:rsidP="009E1E0E">
            <w:pPr>
              <w:pStyle w:val="Default"/>
              <w:jc w:val="both"/>
              <w:rPr>
                <w:rFonts w:ascii="Tahoma" w:hAnsi="Tahoma" w:cs="Tahoma"/>
                <w:noProof/>
                <w:sz w:val="20"/>
                <w:szCs w:val="20"/>
              </w:rPr>
            </w:pPr>
            <w:r w:rsidRPr="0086173E">
              <w:rPr>
                <w:rFonts w:ascii="Tahoma" w:hAnsi="Tahoma"/>
                <w:b/>
                <w:noProof/>
                <w:sz w:val="20"/>
              </w:rPr>
              <w:t xml:space="preserve">Millal poliitika läbi vaadatakse? </w:t>
            </w:r>
          </w:p>
        </w:tc>
      </w:tr>
      <w:tr w:rsidR="00FA2EB7" w:rsidRPr="0086173E" w14:paraId="185D1395" w14:textId="77777777" w:rsidTr="009C428F">
        <w:trPr>
          <w:trHeight w:val="1205"/>
        </w:trPr>
        <w:tc>
          <w:tcPr>
            <w:tcW w:w="10065" w:type="dxa"/>
            <w:tcBorders>
              <w:bottom w:val="single" w:sz="4" w:space="0" w:color="auto"/>
            </w:tcBorders>
            <w:shd w:val="clear" w:color="auto" w:fill="auto"/>
          </w:tcPr>
          <w:p w14:paraId="557D8702" w14:textId="2AC650A3" w:rsidR="00FA2EB7" w:rsidRPr="0086173E" w:rsidRDefault="00FA2EB7" w:rsidP="009E1E0E">
            <w:pPr>
              <w:jc w:val="both"/>
              <w:rPr>
                <w:rFonts w:ascii="Tahoma" w:hAnsi="Tahoma" w:cs="Tahoma"/>
                <w:noProof/>
              </w:rPr>
            </w:pPr>
            <w:r w:rsidRPr="0086173E">
              <w:rPr>
                <w:rFonts w:ascii="Tahoma" w:hAnsi="Tahoma"/>
                <w:noProof/>
              </w:rPr>
              <w:t>Eelistatud variandi konkreetset mõju, st tegelikke edusamme laste seksuaalse kuritarvitamise tõkestamisel internetis ja väljaspool internetti, jälgitakse ja hinnatakse kolme erieesmärgi alusel. Ettepanek sisaldab meetmeid asjakohase statistika kogumiseks, et oleks võimalik seda mõju täpselt hinnata. Selle põhjal esitab komisjon iga viie aasta järel korrapäraselt rakendamisaruande, millele lisatakse vajaduse korral muudatusettepanekud.</w:t>
            </w:r>
          </w:p>
          <w:p w14:paraId="185D1394" w14:textId="19044FFE" w:rsidR="009C428F" w:rsidRPr="0086173E" w:rsidRDefault="009C428F" w:rsidP="009E1E0E">
            <w:pPr>
              <w:jc w:val="both"/>
              <w:rPr>
                <w:rFonts w:ascii="Tahoma" w:hAnsi="Tahoma" w:cs="Tahoma"/>
                <w:noProof/>
              </w:rPr>
            </w:pPr>
          </w:p>
        </w:tc>
      </w:tr>
    </w:tbl>
    <w:p w14:paraId="185D1396" w14:textId="77777777" w:rsidR="00C6021C" w:rsidRPr="0086173E" w:rsidRDefault="00C6021C">
      <w:pPr>
        <w:rPr>
          <w:noProof/>
        </w:rPr>
      </w:pPr>
    </w:p>
    <w:sectPr w:rsidR="00C6021C" w:rsidRPr="0086173E" w:rsidSect="00FA2EB7">
      <w:headerReference w:type="even" r:id="rId18"/>
      <w:headerReference w:type="default" r:id="rId19"/>
      <w:footerReference w:type="even" r:id="rId20"/>
      <w:footerReference w:type="default" r:id="rId21"/>
      <w:headerReference w:type="first" r:id="rId22"/>
      <w:footerReference w:type="first" r:id="rId23"/>
      <w:pgSz w:w="11906" w:h="16838"/>
      <w:pgMar w:top="851" w:right="424"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782E" w14:textId="77777777" w:rsidR="00694824" w:rsidRPr="00B55CD2" w:rsidRDefault="00694824" w:rsidP="009F0757">
      <w:pPr>
        <w:spacing w:after="0" w:line="240" w:lineRule="auto"/>
      </w:pPr>
      <w:r>
        <w:separator/>
      </w:r>
    </w:p>
  </w:endnote>
  <w:endnote w:type="continuationSeparator" w:id="0">
    <w:p w14:paraId="7AC8E515" w14:textId="77777777" w:rsidR="00694824" w:rsidRPr="00B55CD2" w:rsidRDefault="00694824" w:rsidP="009F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51C2" w14:textId="3C999A5F" w:rsidR="002B6F12" w:rsidRPr="002B6F12" w:rsidRDefault="002B6F12" w:rsidP="002B6F12">
    <w:pPr>
      <w:pStyle w:val="FooterCoverPage"/>
      <w:rPr>
        <w:rFonts w:ascii="Arial" w:hAnsi="Arial" w:cs="Arial"/>
        <w:b/>
        <w:sz w:val="48"/>
      </w:rPr>
    </w:pPr>
    <w:r w:rsidRPr="002B6F12">
      <w:rPr>
        <w:rFonts w:ascii="Arial" w:hAnsi="Arial" w:cs="Arial"/>
        <w:b/>
        <w:sz w:val="48"/>
      </w:rPr>
      <w:t>ET</w:t>
    </w:r>
    <w:r w:rsidRPr="002B6F12">
      <w:rPr>
        <w:rFonts w:ascii="Arial" w:hAnsi="Arial" w:cs="Arial"/>
        <w:b/>
        <w:sz w:val="48"/>
      </w:rPr>
      <w:tab/>
    </w:r>
    <w:r w:rsidRPr="002B6F12">
      <w:rPr>
        <w:rFonts w:ascii="Arial" w:hAnsi="Arial" w:cs="Arial"/>
        <w:b/>
        <w:sz w:val="48"/>
      </w:rPr>
      <w:tab/>
    </w:r>
    <w:r w:rsidRPr="002B6F12">
      <w:tab/>
    </w:r>
    <w:proofErr w:type="spellStart"/>
    <w:r w:rsidRPr="002B6F12">
      <w:rPr>
        <w:rFonts w:ascii="Arial" w:hAnsi="Arial" w:cs="Arial"/>
        <w:b/>
        <w:sz w:val="48"/>
      </w:rPr>
      <w:t>ET</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7BC3" w14:textId="6325C07A" w:rsidR="002B6F12" w:rsidRPr="002B6F12" w:rsidRDefault="002B6F12" w:rsidP="002B6F12">
    <w:pPr>
      <w:pStyle w:val="FooterCoverPage"/>
      <w:rPr>
        <w:rFonts w:ascii="Arial" w:hAnsi="Arial" w:cs="Arial"/>
        <w:b/>
        <w:sz w:val="48"/>
      </w:rPr>
    </w:pPr>
    <w:r w:rsidRPr="002B6F12">
      <w:rPr>
        <w:rFonts w:ascii="Arial" w:hAnsi="Arial" w:cs="Arial"/>
        <w:b/>
        <w:sz w:val="48"/>
      </w:rPr>
      <w:t>ET</w:t>
    </w:r>
    <w:r w:rsidRPr="002B6F12">
      <w:rPr>
        <w:rFonts w:ascii="Arial" w:hAnsi="Arial" w:cs="Arial"/>
        <w:b/>
        <w:sz w:val="48"/>
      </w:rPr>
      <w:tab/>
    </w:r>
    <w:r w:rsidRPr="002B6F12">
      <w:rPr>
        <w:rFonts w:ascii="Arial" w:hAnsi="Arial" w:cs="Arial"/>
        <w:b/>
        <w:sz w:val="48"/>
      </w:rPr>
      <w:tab/>
    </w:r>
    <w:r w:rsidRPr="002B6F12">
      <w:tab/>
    </w:r>
    <w:proofErr w:type="spellStart"/>
    <w:r w:rsidRPr="002B6F12">
      <w:rPr>
        <w:rFonts w:ascii="Arial" w:hAnsi="Arial" w:cs="Arial"/>
        <w:b/>
        <w:sz w:val="48"/>
      </w:rPr>
      <w:t>ET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C4EB" w14:textId="77777777" w:rsidR="002B6F12" w:rsidRPr="002B6F12" w:rsidRDefault="002B6F12" w:rsidP="002B6F1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13A4" w14:textId="77777777" w:rsidR="009F0757" w:rsidRPr="00B55CD2" w:rsidRDefault="009F07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13A5" w14:textId="77777777" w:rsidR="009F0757" w:rsidRPr="00B55CD2" w:rsidRDefault="009F07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13A7" w14:textId="77777777" w:rsidR="009F0757" w:rsidRPr="00B55CD2" w:rsidRDefault="009F0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D6A5" w14:textId="77777777" w:rsidR="00694824" w:rsidRPr="00B55CD2" w:rsidRDefault="00694824" w:rsidP="009F0757">
      <w:pPr>
        <w:spacing w:after="0" w:line="240" w:lineRule="auto"/>
      </w:pPr>
      <w:r>
        <w:separator/>
      </w:r>
    </w:p>
  </w:footnote>
  <w:footnote w:type="continuationSeparator" w:id="0">
    <w:p w14:paraId="62580AC8" w14:textId="77777777" w:rsidR="00694824" w:rsidRPr="00B55CD2" w:rsidRDefault="00694824" w:rsidP="009F0757">
      <w:pPr>
        <w:spacing w:after="0" w:line="240" w:lineRule="auto"/>
      </w:pPr>
      <w:r>
        <w:continuationSeparator/>
      </w:r>
    </w:p>
  </w:footnote>
  <w:footnote w:id="1">
    <w:p w14:paraId="7F0AFD4B" w14:textId="2A67D99E" w:rsidR="0035697F" w:rsidRPr="00B55CD2" w:rsidRDefault="0035697F">
      <w:pPr>
        <w:pStyle w:val="FootnoteText"/>
      </w:pPr>
      <w:r>
        <w:rPr>
          <w:rStyle w:val="FootnoteReference"/>
        </w:rPr>
        <w:footnoteRef/>
      </w:r>
      <w:r>
        <w:t xml:space="preserve"> ELT L 274, 30.7.2021, lk 41–51.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8AD0" w14:textId="77777777" w:rsidR="002B6F12" w:rsidRPr="002B6F12" w:rsidRDefault="002B6F12" w:rsidP="002B6F12">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DC0E" w14:textId="77777777" w:rsidR="002B6F12" w:rsidRPr="002B6F12" w:rsidRDefault="002B6F12" w:rsidP="002B6F1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F452" w14:textId="77777777" w:rsidR="002B6F12" w:rsidRPr="002B6F12" w:rsidRDefault="002B6F12" w:rsidP="002B6F1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13A2" w14:textId="77777777" w:rsidR="009F0757" w:rsidRPr="00B55CD2" w:rsidRDefault="009F07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13A3" w14:textId="77777777" w:rsidR="009F0757" w:rsidRPr="00B55CD2" w:rsidRDefault="009F07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13A6" w14:textId="77777777" w:rsidR="009F0757" w:rsidRPr="00B55CD2" w:rsidRDefault="009F0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7A51"/>
    <w:multiLevelType w:val="hybridMultilevel"/>
    <w:tmpl w:val="51F80234"/>
    <w:lvl w:ilvl="0" w:tplc="706AFE7A">
      <w:start w:val="3"/>
      <w:numFmt w:val="bullet"/>
      <w:lvlText w:val="-"/>
      <w:lvlJc w:val="left"/>
      <w:pPr>
        <w:ind w:left="720" w:hanging="360"/>
      </w:pPr>
      <w:rPr>
        <w:rFonts w:ascii="Calibri" w:eastAsia="Arial Unicode MS"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6A54453"/>
    <w:multiLevelType w:val="hybridMultilevel"/>
    <w:tmpl w:val="CDB2A08E"/>
    <w:lvl w:ilvl="0" w:tplc="2F70301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27013"/>
    <w:multiLevelType w:val="hybridMultilevel"/>
    <w:tmpl w:val="B36825A8"/>
    <w:lvl w:ilvl="0" w:tplc="3872C94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0747F56"/>
    <w:multiLevelType w:val="hybridMultilevel"/>
    <w:tmpl w:val="372ACCB0"/>
    <w:lvl w:ilvl="0" w:tplc="EB12D8DE">
      <w:numFmt w:val="bullet"/>
      <w:lvlText w:val="-"/>
      <w:lvlJc w:val="left"/>
      <w:pPr>
        <w:ind w:left="1080" w:hanging="72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A12FA4"/>
    <w:multiLevelType w:val="multilevel"/>
    <w:tmpl w:val="5F407CF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rPr>
        <w:b w:val="0"/>
        <w:i w:val="0"/>
      </w:r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E5D3FBA"/>
    <w:multiLevelType w:val="hybridMultilevel"/>
    <w:tmpl w:val="2742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160081">
    <w:abstractNumId w:val="4"/>
  </w:num>
  <w:num w:numId="2" w16cid:durableId="777142912">
    <w:abstractNumId w:val="2"/>
  </w:num>
  <w:num w:numId="3" w16cid:durableId="683023070">
    <w:abstractNumId w:val="5"/>
  </w:num>
  <w:num w:numId="4" w16cid:durableId="1410542913">
    <w:abstractNumId w:val="1"/>
  </w:num>
  <w:num w:numId="5" w16cid:durableId="386728712">
    <w:abstractNumId w:val="3"/>
  </w:num>
  <w:num w:numId="6" w16cid:durableId="351885459">
    <w:abstractNumId w:val="0"/>
  </w:num>
  <w:num w:numId="7" w16cid:durableId="590158771">
    <w:abstractNumId w:val="4"/>
  </w:num>
  <w:num w:numId="8" w16cid:durableId="748427985">
    <w:abstractNumId w:val="4"/>
  </w:num>
  <w:num w:numId="9" w16cid:durableId="1633168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DocStatus" w:val="Green"/>
    <w:docVar w:name="LW_ACCOMPAGNANT.CP" w:val="Lisatud dokumendile:"/>
    <w:docVar w:name="LW_CORRIGENDUM" w:val="&lt;UNUSED&gt;"/>
    <w:docVar w:name="LW_COVERPAGE_EXISTS" w:val="True"/>
    <w:docVar w:name="LW_COVERPAGE_GUID" w:val="75A746CF-9089-40BE-89FA-BD75E3BBC168"/>
    <w:docVar w:name="LW_COVERPAGE_TYPE" w:val="1"/>
    <w:docVar w:name="LW_CROSSREFERENCE" w:val="{COM(2024) 60 final} - {SEC(2024) 57 final} - {SWD(2024) 32 final} - {SWD(2024) 33 final}"/>
    <w:docVar w:name="LW_DocType" w:val="NORMAL"/>
    <w:docVar w:name="LW_EMISSION" w:val="6.2.2024"/>
    <w:docVar w:name="LW_EMISSION_ISODATE" w:val="2024-02-06"/>
    <w:docVar w:name="LW_EMISSION_LOCATION" w:val="STR"/>
    <w:docVar w:name="LW_EMISSION_PREFIX" w:val="Strasbourg, "/>
    <w:docVar w:name="LW_EMISSION_SUFFIX" w:val=" "/>
    <w:docVar w:name="LW_ID_DOCTYPE_NONLW" w:val="CP-027"/>
    <w:docVar w:name="LW_LANGUE" w:val="ET"/>
    <w:docVar w:name="LW_LEVEL_OF_SENSITIVITY" w:val="Standard treatment"/>
    <w:docVar w:name="LW_NOM.INST" w:val="EUROOPA KOMISJON"/>
    <w:docVar w:name="LW_NOM.INST_JOINTDOC" w:val="&lt;EMPTY&gt;"/>
    <w:docVar w:name="LW_OBJETACTEPRINCIPAL.CP" w:val="mis käsitleb laste seksuaalse kuritarvitamise ja ärakasutamise ning laste seksuaalset kuritarvitamist kujutava materjali vastast võitlust ja mis asendab nõukogu raamotsuse 2004/68/JSK (uuesti sõnastatud)"/>
    <w:docVar w:name="LW_PART_NBR" w:val="1"/>
    <w:docVar w:name="LW_PART_NBR_TOTAL" w:val="1"/>
    <w:docVar w:name="LW_REF.INST.NEW" w:val="SWD"/>
    <w:docVar w:name="LW_REF.INST.NEW_ADOPTED" w:val="final"/>
    <w:docVar w:name="LW_REF.INST.NEW_TEXT" w:val="(2024) 3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KOMISJONI TALITUSTE TÖÖDOKUMENT_x000b__x000b_MÕJU HINDAMISE ARUANDE KOMMENTEERITUD KOKKUVÕTE_x000b_"/>
    <w:docVar w:name="LW_TYPEACTEPRINCIPAL.CP" w:val="Ettepanek: Euroopa Parlamendi ja nõukogu direktiiv,"/>
    <w:docVar w:name="LwApiVersions" w:val="LW4CoDe 1.24.5.0; LW 9.0, Build 20240221"/>
    <w:docVar w:name="Stamp" w:val="\\dossiers.dgt.cec.eu.int\dossiers\HOME\HOME-2024-00025\HOME-2024-00025-00-01-EN-EDT-00.202401081729246835809.DOCX"/>
  </w:docVars>
  <w:rsids>
    <w:rsidRoot w:val="009F0757"/>
    <w:rsid w:val="000F6DFE"/>
    <w:rsid w:val="00184335"/>
    <w:rsid w:val="001C2484"/>
    <w:rsid w:val="00236BC8"/>
    <w:rsid w:val="00244324"/>
    <w:rsid w:val="002B6F12"/>
    <w:rsid w:val="0035697F"/>
    <w:rsid w:val="003754FC"/>
    <w:rsid w:val="003B0629"/>
    <w:rsid w:val="00425583"/>
    <w:rsid w:val="00436100"/>
    <w:rsid w:val="005F39D0"/>
    <w:rsid w:val="00635CB0"/>
    <w:rsid w:val="00667F97"/>
    <w:rsid w:val="0069183D"/>
    <w:rsid w:val="00694824"/>
    <w:rsid w:val="006E2C8B"/>
    <w:rsid w:val="00701AE7"/>
    <w:rsid w:val="007157DC"/>
    <w:rsid w:val="007E72A3"/>
    <w:rsid w:val="007F3D3C"/>
    <w:rsid w:val="00803B72"/>
    <w:rsid w:val="0086173E"/>
    <w:rsid w:val="008A11D6"/>
    <w:rsid w:val="008A3927"/>
    <w:rsid w:val="008B2F81"/>
    <w:rsid w:val="008F0DCD"/>
    <w:rsid w:val="008F566F"/>
    <w:rsid w:val="008F6F28"/>
    <w:rsid w:val="00932CA4"/>
    <w:rsid w:val="00941C14"/>
    <w:rsid w:val="009C428F"/>
    <w:rsid w:val="009D0156"/>
    <w:rsid w:val="009F0757"/>
    <w:rsid w:val="00A63E8F"/>
    <w:rsid w:val="00AF24FE"/>
    <w:rsid w:val="00B5113C"/>
    <w:rsid w:val="00B55CD2"/>
    <w:rsid w:val="00BB1E8F"/>
    <w:rsid w:val="00BE2606"/>
    <w:rsid w:val="00C6021C"/>
    <w:rsid w:val="00C80C7B"/>
    <w:rsid w:val="00D37C84"/>
    <w:rsid w:val="00D80C80"/>
    <w:rsid w:val="00DF2190"/>
    <w:rsid w:val="00E7706C"/>
    <w:rsid w:val="00FA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5D1341"/>
  <w15:chartTrackingRefBased/>
  <w15:docId w15:val="{B87E1528-3E9A-4F90-81B8-F0B0CC42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EB7"/>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unhideWhenUsed/>
    <w:qFormat/>
    <w:rsid w:val="00FA2EB7"/>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unhideWhenUsed/>
    <w:qFormat/>
    <w:rsid w:val="00FA2EB7"/>
    <w:pPr>
      <w:keepNext/>
      <w:numPr>
        <w:ilvl w:val="2"/>
        <w:numId w:val="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Normal"/>
    <w:link w:val="Heading4Char"/>
    <w:uiPriority w:val="9"/>
    <w:unhideWhenUsed/>
    <w:qFormat/>
    <w:rsid w:val="00FA2EB7"/>
    <w:pPr>
      <w:keepNext/>
      <w:numPr>
        <w:ilvl w:val="3"/>
        <w:numId w:val="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9F0757"/>
    <w:rPr>
      <w:color w:val="0000FF"/>
      <w:shd w:val="clear" w:color="auto" w:fill="auto"/>
    </w:rPr>
  </w:style>
  <w:style w:type="paragraph" w:customStyle="1" w:styleId="Pagedecouverture">
    <w:name w:val="Page de couverture"/>
    <w:basedOn w:val="Normal"/>
    <w:next w:val="Normal"/>
    <w:rsid w:val="009F075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9F07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757"/>
  </w:style>
  <w:style w:type="paragraph" w:styleId="Footer">
    <w:name w:val="footer"/>
    <w:basedOn w:val="Normal"/>
    <w:link w:val="FooterChar"/>
    <w:uiPriority w:val="99"/>
    <w:unhideWhenUsed/>
    <w:rsid w:val="009F0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757"/>
  </w:style>
  <w:style w:type="paragraph" w:customStyle="1" w:styleId="FooterCoverPage">
    <w:name w:val="Footer Cover Page"/>
    <w:basedOn w:val="Normal"/>
    <w:link w:val="FooterCoverPageChar"/>
    <w:rsid w:val="009F075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9F0757"/>
    <w:rPr>
      <w:rFonts w:ascii="Times New Roman" w:hAnsi="Times New Roman" w:cs="Times New Roman"/>
      <w:sz w:val="24"/>
    </w:rPr>
  </w:style>
  <w:style w:type="paragraph" w:customStyle="1" w:styleId="FooterSensitivity">
    <w:name w:val="Footer Sensitivity"/>
    <w:basedOn w:val="Normal"/>
    <w:link w:val="FooterSensitivityChar"/>
    <w:rsid w:val="009F075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9F0757"/>
    <w:rPr>
      <w:rFonts w:ascii="Times New Roman" w:hAnsi="Times New Roman" w:cs="Times New Roman"/>
      <w:b/>
      <w:sz w:val="32"/>
    </w:rPr>
  </w:style>
  <w:style w:type="paragraph" w:customStyle="1" w:styleId="HeaderCoverPage">
    <w:name w:val="Header Cover Page"/>
    <w:basedOn w:val="Normal"/>
    <w:link w:val="HeaderCoverPageChar"/>
    <w:rsid w:val="009F075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9F0757"/>
    <w:rPr>
      <w:rFonts w:ascii="Times New Roman" w:hAnsi="Times New Roman" w:cs="Times New Roman"/>
      <w:sz w:val="24"/>
    </w:rPr>
  </w:style>
  <w:style w:type="paragraph" w:customStyle="1" w:styleId="HeaderSensitivity">
    <w:name w:val="Header Sensitivity"/>
    <w:basedOn w:val="Normal"/>
    <w:link w:val="HeaderSensitivityChar"/>
    <w:rsid w:val="009F075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9F0757"/>
    <w:rPr>
      <w:rFonts w:ascii="Times New Roman" w:hAnsi="Times New Roman" w:cs="Times New Roman"/>
      <w:b/>
      <w:sz w:val="32"/>
    </w:rPr>
  </w:style>
  <w:style w:type="paragraph" w:customStyle="1" w:styleId="HeaderSensitivityRight">
    <w:name w:val="Header Sensitivity Right"/>
    <w:basedOn w:val="Normal"/>
    <w:link w:val="HeaderSensitivityRightChar"/>
    <w:rsid w:val="009F075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9F0757"/>
    <w:rPr>
      <w:rFonts w:ascii="Times New Roman" w:hAnsi="Times New Roman" w:cs="Times New Roman"/>
      <w:sz w:val="28"/>
    </w:rPr>
  </w:style>
  <w:style w:type="character" w:customStyle="1" w:styleId="Heading1Char">
    <w:name w:val="Heading 1 Char"/>
    <w:basedOn w:val="DefaultParagraphFont"/>
    <w:link w:val="Heading1"/>
    <w:uiPriority w:val="9"/>
    <w:rsid w:val="00FA2EB7"/>
    <w:rPr>
      <w:rFonts w:ascii="Times New Roman" w:eastAsia="Times New Roman" w:hAnsi="Times New Roman" w:cs="Times New Roman"/>
      <w:b/>
      <w:bCs/>
      <w:smallCaps/>
      <w:sz w:val="24"/>
      <w:szCs w:val="28"/>
      <w:lang w:val="et-EE" w:eastAsia="en-GB"/>
    </w:rPr>
  </w:style>
  <w:style w:type="character" w:customStyle="1" w:styleId="Heading2Char">
    <w:name w:val="Heading 2 Char"/>
    <w:basedOn w:val="DefaultParagraphFont"/>
    <w:link w:val="Heading2"/>
    <w:uiPriority w:val="9"/>
    <w:rsid w:val="00FA2EB7"/>
    <w:rPr>
      <w:rFonts w:ascii="Times New Roman" w:eastAsia="Times New Roman" w:hAnsi="Times New Roman" w:cs="Times New Roman"/>
      <w:b/>
      <w:bCs/>
      <w:sz w:val="24"/>
      <w:szCs w:val="26"/>
      <w:lang w:val="et-EE" w:eastAsia="en-GB"/>
    </w:rPr>
  </w:style>
  <w:style w:type="character" w:customStyle="1" w:styleId="Heading3Char">
    <w:name w:val="Heading 3 Char"/>
    <w:basedOn w:val="DefaultParagraphFont"/>
    <w:link w:val="Heading3"/>
    <w:uiPriority w:val="9"/>
    <w:rsid w:val="00FA2EB7"/>
    <w:rPr>
      <w:rFonts w:ascii="Times New Roman" w:eastAsia="Times New Roman" w:hAnsi="Times New Roman" w:cs="Times New Roman"/>
      <w:bCs/>
      <w:i/>
      <w:sz w:val="24"/>
      <w:lang w:val="et-EE" w:eastAsia="en-GB"/>
    </w:rPr>
  </w:style>
  <w:style w:type="character" w:customStyle="1" w:styleId="Heading4Char">
    <w:name w:val="Heading 4 Char"/>
    <w:basedOn w:val="DefaultParagraphFont"/>
    <w:link w:val="Heading4"/>
    <w:uiPriority w:val="9"/>
    <w:rsid w:val="00FA2EB7"/>
    <w:rPr>
      <w:rFonts w:ascii="Times New Roman" w:eastAsia="Times New Roman" w:hAnsi="Times New Roman" w:cs="Times New Roman"/>
      <w:bCs/>
      <w:iCs/>
      <w:sz w:val="24"/>
      <w:lang w:val="et-EE"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FA2EB7"/>
    <w:pPr>
      <w:spacing w:after="200" w:line="276" w:lineRule="auto"/>
      <w:ind w:left="720"/>
      <w:contextualSpacing/>
    </w:pPr>
  </w:style>
  <w:style w:type="table" w:styleId="TableGrid">
    <w:name w:val="Table Grid"/>
    <w:basedOn w:val="TableNormal"/>
    <w:rsid w:val="00FA2EB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2EB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TableText">
    <w:name w:val="Table Text"/>
    <w:basedOn w:val="Normal"/>
    <w:link w:val="TableTextChar"/>
    <w:qFormat/>
    <w:rsid w:val="00FA2EB7"/>
    <w:pPr>
      <w:framePr w:hSpace="180" w:wrap="around" w:vAnchor="page" w:hAnchor="margin" w:xAlign="center" w:y="2340"/>
      <w:spacing w:after="0" w:line="240" w:lineRule="auto"/>
    </w:pPr>
    <w:rPr>
      <w:rFonts w:ascii="Times New Roman" w:eastAsiaTheme="minorEastAsia" w:hAnsi="Times New Roman" w:cs="Times New Roman"/>
      <w:sz w:val="20"/>
      <w:szCs w:val="20"/>
    </w:rPr>
  </w:style>
  <w:style w:type="character" w:customStyle="1" w:styleId="TableTextChar">
    <w:name w:val="Table Text Char"/>
    <w:basedOn w:val="DefaultParagraphFont"/>
    <w:link w:val="TableText"/>
    <w:rsid w:val="00FA2EB7"/>
    <w:rPr>
      <w:rFonts w:ascii="Times New Roman" w:eastAsiaTheme="minorEastAsia" w:hAnsi="Times New Roman" w:cs="Times New Roman"/>
      <w:sz w:val="20"/>
      <w:szCs w:val="20"/>
      <w:lang w:val="et-E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FA2EB7"/>
    <w:rPr>
      <w:lang w:val="et-EE"/>
    </w:rPr>
  </w:style>
  <w:style w:type="paragraph" w:styleId="BalloonText">
    <w:name w:val="Balloon Text"/>
    <w:basedOn w:val="Normal"/>
    <w:link w:val="BalloonTextChar"/>
    <w:uiPriority w:val="99"/>
    <w:semiHidden/>
    <w:unhideWhenUsed/>
    <w:rsid w:val="006E2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C8B"/>
    <w:rPr>
      <w:rFonts w:ascii="Segoe UI" w:hAnsi="Segoe UI" w:cs="Segoe UI"/>
      <w:sz w:val="18"/>
      <w:szCs w:val="18"/>
    </w:rPr>
  </w:style>
  <w:style w:type="paragraph" w:styleId="Revision">
    <w:name w:val="Revision"/>
    <w:hidden/>
    <w:uiPriority w:val="99"/>
    <w:semiHidden/>
    <w:rsid w:val="007157DC"/>
    <w:pPr>
      <w:spacing w:after="0" w:line="240" w:lineRule="auto"/>
    </w:pPr>
  </w:style>
  <w:style w:type="paragraph" w:styleId="FootnoteText">
    <w:name w:val="footnote text"/>
    <w:basedOn w:val="Normal"/>
    <w:uiPriority w:val="99"/>
    <w:semiHidden/>
    <w:unhideWhenUsed/>
    <w:rsid w:val="0035697F"/>
    <w:pPr>
      <w:spacing w:after="0" w:line="240" w:lineRule="auto"/>
    </w:pPr>
    <w:rPr>
      <w:sz w:val="20"/>
      <w:szCs w:val="20"/>
    </w:rPr>
  </w:style>
  <w:style w:type="character" w:customStyle="1" w:styleId="FootnoteTextChar">
    <w:name w:val="Footnote Text Char"/>
    <w:basedOn w:val="DefaultParagraphFont"/>
    <w:uiPriority w:val="99"/>
    <w:semiHidden/>
    <w:rsid w:val="0035697F"/>
    <w:rPr>
      <w:sz w:val="20"/>
      <w:szCs w:val="20"/>
    </w:rPr>
  </w:style>
  <w:style w:type="character" w:styleId="FootnoteReference">
    <w:name w:val="footnote reference"/>
    <w:basedOn w:val="DefaultParagraphFont"/>
    <w:uiPriority w:val="99"/>
    <w:semiHidden/>
    <w:unhideWhenUsed/>
    <w:rsid w:val="0035697F"/>
    <w:rPr>
      <w:vertAlign w:val="superscript"/>
    </w:rPr>
  </w:style>
  <w:style w:type="character" w:styleId="CommentReference">
    <w:name w:val="annotation reference"/>
    <w:basedOn w:val="DefaultParagraphFont"/>
    <w:uiPriority w:val="99"/>
    <w:semiHidden/>
    <w:unhideWhenUsed/>
    <w:rsid w:val="00436100"/>
    <w:rPr>
      <w:sz w:val="16"/>
      <w:szCs w:val="16"/>
    </w:rPr>
  </w:style>
  <w:style w:type="paragraph" w:styleId="CommentText">
    <w:name w:val="annotation text"/>
    <w:basedOn w:val="Normal"/>
    <w:link w:val="CommentTextChar"/>
    <w:uiPriority w:val="99"/>
    <w:unhideWhenUsed/>
    <w:rsid w:val="00436100"/>
    <w:pPr>
      <w:spacing w:line="240" w:lineRule="auto"/>
    </w:pPr>
    <w:rPr>
      <w:sz w:val="20"/>
      <w:szCs w:val="20"/>
    </w:rPr>
  </w:style>
  <w:style w:type="character" w:customStyle="1" w:styleId="CommentTextChar">
    <w:name w:val="Comment Text Char"/>
    <w:basedOn w:val="DefaultParagraphFont"/>
    <w:link w:val="CommentText"/>
    <w:uiPriority w:val="99"/>
    <w:rsid w:val="00436100"/>
    <w:rPr>
      <w:sz w:val="20"/>
      <w:szCs w:val="20"/>
      <w:lang w:val="et-EE"/>
    </w:rPr>
  </w:style>
  <w:style w:type="paragraph" w:styleId="CommentSubject">
    <w:name w:val="annotation subject"/>
    <w:basedOn w:val="CommentText"/>
    <w:next w:val="CommentText"/>
    <w:link w:val="CommentSubjectChar"/>
    <w:uiPriority w:val="99"/>
    <w:semiHidden/>
    <w:unhideWhenUsed/>
    <w:rsid w:val="00436100"/>
    <w:rPr>
      <w:b/>
      <w:bCs/>
    </w:rPr>
  </w:style>
  <w:style w:type="character" w:customStyle="1" w:styleId="CommentSubjectChar">
    <w:name w:val="Comment Subject Char"/>
    <w:basedOn w:val="CommentTextChar"/>
    <w:link w:val="CommentSubject"/>
    <w:uiPriority w:val="99"/>
    <w:semiHidden/>
    <w:rsid w:val="00436100"/>
    <w:rPr>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31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4E7197DF979D5409D8D15FF8FABB58E" ma:contentTypeVersion="0" ma:contentTypeDescription="Create a new document in this library." ma:contentTypeScope="" ma:versionID="fe3026989086f7d38e598e095a8efcc7">
  <xsd:schema xmlns:xsd="http://www.w3.org/2001/XMLSchema" xmlns:xs="http://www.w3.org/2001/XMLSchema" xmlns:p="http://schemas.microsoft.com/office/2006/metadata/properties" xmlns:ns2="http://schemas.microsoft.com/sharepoint/v3/fields" xmlns:ns3="f538a633-be56-42ab-ba4f-a30d03d61d31" targetNamespace="http://schemas.microsoft.com/office/2006/metadata/properties" ma:root="true" ma:fieldsID="fcbb4f47cab5561703b23df2fa833b18" ns2:_="" ns3:_="">
    <xsd:import namespace="http://schemas.microsoft.com/sharepoint/v3/fields"/>
    <xsd:import namespace="f538a633-be56-42ab-ba4f-a30d03d61d3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538a633-be56-42ab-ba4f-a30d03d61d3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f538a633-be56-42ab-ba4f-a30d03d61d31">Not Started</EC_Collab_Status>
    <EC_Collab_Reference xmlns="f538a633-be56-42ab-ba4f-a30d03d61d31" xsi:nil="true"/>
    <EC_Collab_DocumentLanguage xmlns="f538a633-be56-42ab-ba4f-a30d03d61d31">EN</EC_Collab_DocumentLanguag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59440-B687-4FB1-B7B0-BC6FC22D9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538a633-be56-42ab-ba4f-a30d03d6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80C60-917A-4BF9-B579-21C76D683287}">
  <ds:schemaRefs>
    <ds:schemaRef ds:uri="http://schemas.microsoft.com/office/2006/metadata/properties"/>
    <ds:schemaRef ds:uri="http://schemas.microsoft.com/office/infopath/2007/PartnerControls"/>
    <ds:schemaRef ds:uri="http://schemas.microsoft.com/sharepoint/v3/fields"/>
    <ds:schemaRef ds:uri="f538a633-be56-42ab-ba4f-a30d03d61d31"/>
  </ds:schemaRefs>
</ds:datastoreItem>
</file>

<file path=customXml/itemProps3.xml><?xml version="1.0" encoding="utf-8"?>
<ds:datastoreItem xmlns:ds="http://schemas.openxmlformats.org/officeDocument/2006/customXml" ds:itemID="{BC357CAA-7AAF-4F81-80A1-EFAAD18E25D3}">
  <ds:schemaRefs>
    <ds:schemaRef ds:uri="http://schemas.microsoft.com/sharepoint/v3/contenttype/forms"/>
  </ds:schemaRefs>
</ds:datastoreItem>
</file>

<file path=customXml/itemProps4.xml><?xml version="1.0" encoding="utf-8"?>
<ds:datastoreItem xmlns:ds="http://schemas.openxmlformats.org/officeDocument/2006/customXml" ds:itemID="{E118E533-2B7B-4F7C-90F0-A66D5FB9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1437</Words>
  <Characters>11026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2024-03-21T19:38:00Z</dcterms:created>
  <dcterms:modified xsi:type="dcterms:W3CDTF">2024-03-25T08:35:00Z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9.0, Build 20230317</vt:lpwstr>
  </property>
  <property fmtid="{D5CDD505-2E9C-101B-9397-08002B2CF9AE}" pid="8" name="Created using">
    <vt:lpwstr>LW 7.0, Build 20190717</vt:lpwstr>
  </property>
  <property fmtid="{D5CDD505-2E9C-101B-9397-08002B2CF9AE}" pid="9" name="ContentTypeId">
    <vt:lpwstr>0x010100258AA79CEB83498886A3A086811232500014E7197DF979D5409D8D15FF8FABB58E</vt:lpwstr>
  </property>
  <property fmtid="{D5CDD505-2E9C-101B-9397-08002B2CF9AE}" pid="10" name="MSIP_Label_6bd9ddd1-4d20-43f6-abfa-fc3c07406f94_Enabled">
    <vt:lpwstr>true</vt:lpwstr>
  </property>
  <property fmtid="{D5CDD505-2E9C-101B-9397-08002B2CF9AE}" pid="11" name="MSIP_Label_6bd9ddd1-4d20-43f6-abfa-fc3c07406f94_SetDate">
    <vt:lpwstr>2023-12-15T07:56:32Z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57db5447-596c-425f-9f5d-1fadfe5b5a93</vt:lpwstr>
  </property>
  <property fmtid="{D5CDD505-2E9C-101B-9397-08002B2CF9AE}" pid="16" name="MSIP_Label_6bd9ddd1-4d20-43f6-abfa-fc3c07406f94_ContentBits">
    <vt:lpwstr>0</vt:lpwstr>
  </property>
  <property name="OP_sanitized" fmtid="{D5CDD505-2E9C-101B-9397-08002B2CF9AE}" pid="17">
    <vt:lpwstr>True</vt:lpwstr>
  </property>
</Properties>
</file>