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94D57" w14:textId="7699F344" w:rsidR="00F3612F" w:rsidRPr="00850E90" w:rsidRDefault="00B04518" w:rsidP="00B04518">
      <w:pPr>
        <w:pStyle w:val="Pagedecouverture"/>
        <w:rPr>
          <w:noProof/>
        </w:rPr>
      </w:pPr>
      <w:r>
        <w:rPr>
          <w:noProof/>
        </w:rPr>
        <w:pict w14:anchorId="040572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DF983F10-4A50-4E92-8931-BEDA40E9E0E5" style="width:455.25pt;height:383.25pt">
            <v:imagedata r:id="rId11" o:title=""/>
          </v:shape>
        </w:pict>
      </w:r>
    </w:p>
    <w:p w14:paraId="0778CBD0" w14:textId="77777777" w:rsidR="007B5C08" w:rsidRPr="00850E90" w:rsidRDefault="007B5C08" w:rsidP="007B5C08">
      <w:pPr>
        <w:rPr>
          <w:noProof/>
        </w:rPr>
        <w:sectPr w:rsidR="007B5C08" w:rsidRPr="00850E90" w:rsidSect="00B04518">
          <w:footerReference w:type="default" r:id="rId12"/>
          <w:pgSz w:w="11907" w:h="16839"/>
          <w:pgMar w:top="1134" w:right="1417" w:bottom="1134" w:left="1417" w:header="709" w:footer="709" w:gutter="0"/>
          <w:pgNumType w:start="0"/>
          <w:cols w:space="720"/>
          <w:docGrid w:linePitch="326"/>
        </w:sectPr>
      </w:pPr>
    </w:p>
    <w:p w14:paraId="402FAFCC" w14:textId="77777777" w:rsidR="00F3612F" w:rsidRPr="00850E90" w:rsidRDefault="00F3612F" w:rsidP="00D942B1">
      <w:pPr>
        <w:pStyle w:val="Exposdesmotifstitre"/>
        <w:rPr>
          <w:noProof/>
        </w:rPr>
      </w:pPr>
      <w:bookmarkStart w:id="0" w:name="_GoBack"/>
      <w:bookmarkEnd w:id="0"/>
      <w:r w:rsidRPr="00850E90">
        <w:rPr>
          <w:noProof/>
        </w:rPr>
        <w:lastRenderedPageBreak/>
        <w:t>SELETUSKIRI</w:t>
      </w:r>
    </w:p>
    <w:p w14:paraId="0077F8A9" w14:textId="77777777" w:rsidR="00F3612F" w:rsidRPr="00850E90" w:rsidRDefault="00F3612F" w:rsidP="00D942B1">
      <w:pPr>
        <w:widowControl w:val="0"/>
        <w:shd w:val="clear" w:color="auto" w:fill="FFFFFF"/>
        <w:autoSpaceDE w:val="0"/>
        <w:autoSpaceDN w:val="0"/>
        <w:adjustRightInd w:val="0"/>
        <w:spacing w:before="230" w:after="0" w:line="269" w:lineRule="exact"/>
        <w:ind w:right="86"/>
        <w:rPr>
          <w:noProof/>
          <w:color w:val="008000"/>
        </w:rPr>
      </w:pPr>
    </w:p>
    <w:p w14:paraId="158B0CD1" w14:textId="77777777" w:rsidR="00F3612F" w:rsidRPr="00850E90" w:rsidRDefault="00F3612F" w:rsidP="00D942B1">
      <w:pPr>
        <w:pStyle w:val="ManualHeading1"/>
        <w:rPr>
          <w:noProof/>
        </w:rPr>
      </w:pPr>
      <w:r w:rsidRPr="00850E90">
        <w:rPr>
          <w:noProof/>
        </w:rPr>
        <w:t>1.</w:t>
      </w:r>
      <w:r w:rsidRPr="00850E90">
        <w:rPr>
          <w:noProof/>
        </w:rPr>
        <w:tab/>
        <w:t>ETTEPANEKU TAUST</w:t>
      </w:r>
    </w:p>
    <w:p w14:paraId="127761DB" w14:textId="77777777" w:rsidR="00F3612F" w:rsidRPr="00850E90" w:rsidRDefault="00F3612F" w:rsidP="00D942B1">
      <w:pPr>
        <w:pStyle w:val="ManualHeading2"/>
        <w:rPr>
          <w:rFonts w:eastAsia="Arial Unicode MS"/>
          <w:noProof/>
        </w:rPr>
      </w:pPr>
      <w:r w:rsidRPr="00850E90">
        <w:rPr>
          <w:noProof/>
          <w:color w:val="000000"/>
          <w:u w:color="000000"/>
          <w:bdr w:val="nil"/>
        </w:rPr>
        <w:t>•</w:t>
      </w:r>
      <w:r w:rsidRPr="00850E90">
        <w:rPr>
          <w:noProof/>
        </w:rPr>
        <w:tab/>
        <w:t>Ettepaneku põhjused ja eesmärgid</w:t>
      </w:r>
    </w:p>
    <w:p w14:paraId="08F1C8D2" w14:textId="36953108" w:rsidR="0090337C" w:rsidRPr="00850E90" w:rsidRDefault="0069547A" w:rsidP="0069547A">
      <w:pPr>
        <w:spacing w:before="0" w:after="240"/>
        <w:rPr>
          <w:rFonts w:eastAsia="Times New Roman"/>
          <w:noProof/>
          <w:szCs w:val="20"/>
        </w:rPr>
      </w:pPr>
      <w:r w:rsidRPr="00850E90">
        <w:rPr>
          <w:noProof/>
        </w:rPr>
        <w:t>Euroopa Ühenduse ja Venemaa Föderatsiooni vaheline leping Euroopa Liidu ja Venemaa Föderatsiooni kodanikele viisade väljastamise lihtsustamise kohta</w:t>
      </w:r>
      <w:r w:rsidRPr="00850E90">
        <w:rPr>
          <w:rStyle w:val="FootnoteReference"/>
          <w:rFonts w:eastAsia="Times New Roman"/>
          <w:noProof/>
          <w:szCs w:val="20"/>
        </w:rPr>
        <w:footnoteReference w:id="2"/>
      </w:r>
      <w:r w:rsidRPr="00850E90">
        <w:rPr>
          <w:noProof/>
        </w:rPr>
        <w:t xml:space="preserve"> (edaspidi „viisalihtsustusleping“) jõustus 1. juunil 2007. Viisalihtsustuslepingu eesmärk on lihtsustada vastastikku Euroopa Liidu ja Venemaa Föderatsiooni kodanikele niisuguste viisade väljastamist, mis annavad neile õiguse viibida riigis 180 päeva jooksul maksimaalselt 90 päeva. Euroopa Liit on sõlminud viisalihtsustuslepinguid ainult piiratud arvu valitud kolmandate riikidega. Sellised lepingud peavad andma tunnistust vastastikusest partnerlusest ELi ja asjaomase riigi vahel ning põhinema vastastikku ühiste väärtuste järgimisel.</w:t>
      </w:r>
    </w:p>
    <w:p w14:paraId="3EB1C93D" w14:textId="0C35216A" w:rsidR="00FB623B" w:rsidRPr="00850E90" w:rsidRDefault="00FB623B" w:rsidP="0069547A">
      <w:pPr>
        <w:spacing w:before="0" w:after="240"/>
        <w:rPr>
          <w:rFonts w:eastAsia="Times New Roman"/>
          <w:noProof/>
          <w:szCs w:val="20"/>
        </w:rPr>
      </w:pPr>
      <w:r w:rsidRPr="00850E90">
        <w:rPr>
          <w:noProof/>
        </w:rPr>
        <w:t>2011. aastal alustati läbirääkimisi viisalihtsustuslepingu läbivaatamiseks, et võtta arvesse muudatusi ELi õigusraamistikus ja viisalihtsustuslepingu rakendamisel saadud kogemusi. Samal ajal alustati dialoogi teemal „Ühised sammud viisanõude kaotamiseks“. Mõlemad protsessid külmutati seetõttu, et Venemaa annekteeris 2014. aastal ebaseaduslikult Krimmi Autonoomse Vabariigi ja Sevastopoli linna</w:t>
      </w:r>
      <w:r w:rsidRPr="00850E90">
        <w:rPr>
          <w:rStyle w:val="FootnoteReference"/>
          <w:rFonts w:eastAsia="Times New Roman"/>
          <w:noProof/>
          <w:szCs w:val="20"/>
        </w:rPr>
        <w:footnoteReference w:id="3"/>
      </w:r>
      <w:r w:rsidR="00B475A3">
        <w:rPr>
          <w:noProof/>
        </w:rPr>
        <w:t>.</w:t>
      </w:r>
    </w:p>
    <w:p w14:paraId="4581FA0C" w14:textId="267049F9" w:rsidR="00434A03" w:rsidRPr="00850E90" w:rsidRDefault="00E63309" w:rsidP="00183C6A">
      <w:pPr>
        <w:rPr>
          <w:noProof/>
        </w:rPr>
      </w:pPr>
      <w:r w:rsidRPr="00850E90">
        <w:rPr>
          <w:noProof/>
        </w:rPr>
        <w:t>Vastuseks sellele 2014. aastal toimunud ebaseaduslikule anneksioonile ja jätkuvatele destabiliseerivatele sammudele Ida-Ukrainas on Euroopa Liit kehtestanud i) Minski kokkulepete ebatäieliku täitmisega seotud majandussanktsioonid Venemaa tegevuse vastu, mis destabiliseerib olukorda Ukrainas; ii) sanktsioonid tegevuse vastu, mis õõnestab või ohustab Ukraina territoriaalset terviklikkust, suveräänsust ja sõltumatust; iii) sanktsioonid vastuseks Krimmi Autonoomse Vabariigi ja Sevastopoli linna ebaseaduslikule annekteerimise</w:t>
      </w:r>
      <w:r w:rsidR="00B475A3">
        <w:rPr>
          <w:noProof/>
        </w:rPr>
        <w:t>le Venemaa Föderatsiooni poolt.</w:t>
      </w:r>
    </w:p>
    <w:p w14:paraId="26626817" w14:textId="31834F8F" w:rsidR="00E63309" w:rsidRPr="00850E90" w:rsidRDefault="00E63309" w:rsidP="00183C6A">
      <w:pPr>
        <w:rPr>
          <w:noProof/>
        </w:rPr>
      </w:pPr>
      <w:r w:rsidRPr="00850E90">
        <w:rPr>
          <w:noProof/>
        </w:rPr>
        <w:t>Venemaa Föderatsiooni otsus tunnustada Ukraina Donetski ja Luhanski oblastite väljaspool valitsuse kontrolli olevaid alasid sõltumatute üksustena, otsus saata nendele aladele Venemaa väed ning õigustamatu ja provotseerimata sõjaline agressioon tema territoriaalse terviklikkuse, suveräänsuse ja sõltumatuse vastu kujutavad endast rahvusvahelise õiguse ja rahvusvaheliste lepingute, sealhulgas ÜRO põhikirja, Helsingi lõppakti, Pariisi harta ja Budapesti memorandumi rasket rikk</w:t>
      </w:r>
      <w:r w:rsidR="00B475A3">
        <w:rPr>
          <w:noProof/>
        </w:rPr>
        <w:t>umist.</w:t>
      </w:r>
    </w:p>
    <w:p w14:paraId="28400A02" w14:textId="77777777" w:rsidR="00E63309" w:rsidRPr="00850E90" w:rsidRDefault="00E63309" w:rsidP="00183C6A">
      <w:pPr>
        <w:rPr>
          <w:noProof/>
        </w:rPr>
      </w:pPr>
      <w:r w:rsidRPr="00850E90">
        <w:rPr>
          <w:noProof/>
        </w:rPr>
        <w:t>Minski kokkulepetele allakirjutanuna on Venemaal selge ja otsene kohustus püüda leida rahumeelne lahendus. Otsusega tunnustada Ida-Ukrainas väljaspool valitsuse kontrolli olevaid piirkondi sõltumatute üksustena rikkus Venemaa selgelt Minski kokkuleppeid, mis näevad ette, et kontroll nende alade üle läheb täielikult tagasi Ukraina valitsusele.</w:t>
      </w:r>
    </w:p>
    <w:p w14:paraId="3BCCA56D" w14:textId="24C88E0C" w:rsidR="00DF4CFF" w:rsidRPr="00850E90" w:rsidRDefault="00DF4CFF" w:rsidP="00183C6A">
      <w:pPr>
        <w:rPr>
          <w:noProof/>
        </w:rPr>
      </w:pPr>
      <w:r w:rsidRPr="00850E90">
        <w:rPr>
          <w:noProof/>
        </w:rPr>
        <w:t>23. veebruaril 2022 leppis EL ühehäälselt kokku esimeses sanktsioonide paketis, mis tekitas Venemaale vastuseks tema tegevusele lisakulusid. Paketti kuulusid individuaalsed sanktsioonid, finantspiirangud ja majandussuhete piirangud ELi ning Ukraina Donetski ja Luhanski oblasti väljaspool valitsuse kontrolli olevate alade vahel.</w:t>
      </w:r>
    </w:p>
    <w:p w14:paraId="34F31101" w14:textId="0802F85C" w:rsidR="00191ECE" w:rsidRPr="00850E90" w:rsidRDefault="00191ECE" w:rsidP="00183C6A">
      <w:pPr>
        <w:rPr>
          <w:noProof/>
        </w:rPr>
      </w:pPr>
      <w:r w:rsidRPr="00850E90">
        <w:rPr>
          <w:noProof/>
        </w:rPr>
        <w:t>24. veebruaril 2022 mõistis Euroopa Ülemkogu Venemaa provotseerimata ja õigustamatu sõjalise agressiooni Ukraina vastu kõige karmimalt hukka ning väljendas koos oma rahvusvaheliste partneritega liidu täielikku solidaarsust Ukrainaga ja ukraina rahvaga. Oma ebaseadusliku sõjalise agressiooniga on Venemaa sestsaadik jätkanud rahvusvahelise õiguse rasket rikkumist, pannud Ukraina elanikkonna suhtes toime metsikusi ning õõnestanud Euroopa ja kogu maailma julgeolekut ja stabiilsust. Lisaks nõudis Euroopa Ülemkogu, et Venemaa lõpetaks viivitamata oma sõjalise tegevuse, viiks tingimusteta kõik väed ja sõjalise varustuse kogu Ukraina territooriumilt välja ning austaks täielikult Ukraina territoriaalset terviklikkust, suveräänsust ja sõltumatust tema rahvusvaheliselt tunnustatud piirides.</w:t>
      </w:r>
      <w:r w:rsidRPr="00850E90">
        <w:rPr>
          <w:rStyle w:val="FootnoteReference"/>
          <w:noProof/>
        </w:rPr>
        <w:t xml:space="preserve"> </w:t>
      </w:r>
      <w:r w:rsidRPr="00850E90">
        <w:rPr>
          <w:rStyle w:val="FootnoteReference"/>
          <w:noProof/>
        </w:rPr>
        <w:footnoteReference w:id="4"/>
      </w:r>
    </w:p>
    <w:p w14:paraId="6BE01500" w14:textId="77777777" w:rsidR="00456107" w:rsidRPr="00850E90" w:rsidRDefault="00456107" w:rsidP="009772AE">
      <w:pPr>
        <w:rPr>
          <w:noProof/>
        </w:rPr>
      </w:pPr>
      <w:r w:rsidRPr="00850E90">
        <w:rPr>
          <w:noProof/>
        </w:rPr>
        <w:t>Sestsaadik on liit reageerinud täiendavate sanktsioonipakettidega, sealhulgas on külmutatud varasid ja üksikisikutele on kehtestatud reisikeelde. Liit on kehtestanud piiravad meetmed ka finants-, energia-, transpordi- ja tehnoloogiasektori suhtes. Samuti on ta võtnud lisameetmeid, sealhulgas eelkõige peatanud osaliselt viisalihtsustuslepingu kohaldamise</w:t>
      </w:r>
      <w:r w:rsidRPr="00850E90">
        <w:rPr>
          <w:rStyle w:val="FootnoteReference"/>
          <w:noProof/>
        </w:rPr>
        <w:footnoteReference w:id="5"/>
      </w:r>
      <w:r w:rsidRPr="00850E90">
        <w:rPr>
          <w:noProof/>
        </w:rPr>
        <w:t>. Selle meetmega peatati lihtsustamine seoses dokumentaalsete tõendite, viisatasu, mitmekordsete viisade väljastamise ja viisataotluste menetlemise kestusega. See oli suunatud Venemaa diplomaatiliste passide omanikele, valitsusametnikele, äriinimestele ja äriorganisatsioonide esindajatele.</w:t>
      </w:r>
    </w:p>
    <w:p w14:paraId="0E927F57" w14:textId="4D402F50" w:rsidR="00F22D4E" w:rsidRPr="00850E90" w:rsidRDefault="00F22D4E" w:rsidP="00183C6A">
      <w:pPr>
        <w:rPr>
          <w:noProof/>
        </w:rPr>
      </w:pPr>
      <w:r w:rsidRPr="00850E90">
        <w:rPr>
          <w:noProof/>
        </w:rPr>
        <w:t>Alates Venemaa täieulatusliku Ukraina-vastase agressiooni algusest on olukord tunduvalt halvenenud, põhjustatud on traagilisi humanitaartagajärgi tsiviilelanikkonnale ja taristule ning Venemaa on veelgi laiendanud oma täielikku või osalist okupatsiooni Ukraina ida- ja lõunapoolsetes piirkondades. Miljonid ukrainlased on olnud sunnitud põgenema – kõik maismaapiiride kaudu, kuna lennuteed ei ole olnud kättesaadavad. Ulatusliku sissetungi otsese tagajärjena on Ukraina piiri naaberriikidesse ületavate inimeste arv pidevalt kasvanud. ÜRO Pagulaste Ülemvoliniku Ameti andmetel ületas see 23. augustil 11 miljonit inimest, kellest ligikaudu 10 miljonit sisenes ELi.</w:t>
      </w:r>
    </w:p>
    <w:p w14:paraId="252BD418" w14:textId="5D4E0748" w:rsidR="00DC0689" w:rsidRPr="00850E90" w:rsidRDefault="00DC0689" w:rsidP="00183C6A">
      <w:pPr>
        <w:rPr>
          <w:noProof/>
        </w:rPr>
      </w:pPr>
      <w:r w:rsidRPr="00850E90">
        <w:rPr>
          <w:noProof/>
        </w:rPr>
        <w:t>31. augustil toimunud välisministrite mitteametlikul kohtumisel pidasid liikmesriigid vajalikuks viisalihtsustusleping täielikult peatada, et oluliselt vähendada ELi liikmesriikide poolt Venemaa kodanikele antavate uute viisade arvu ja hoida ära võimalust, et Venemaa kodanikud hakkavad ot</w:t>
      </w:r>
      <w:r w:rsidR="00B475A3">
        <w:rPr>
          <w:noProof/>
        </w:rPr>
        <w:t>sima soodsamat viisakohtlemist.</w:t>
      </w:r>
    </w:p>
    <w:p w14:paraId="1D746BFF" w14:textId="1E5CBA2D" w:rsidR="00D24567" w:rsidRPr="00850E90" w:rsidRDefault="00E77952" w:rsidP="00D24567">
      <w:pPr>
        <w:rPr>
          <w:noProof/>
          <w:color w:val="1F497D"/>
          <w:sz w:val="22"/>
        </w:rPr>
      </w:pPr>
      <w:r w:rsidRPr="00850E90">
        <w:rPr>
          <w:noProof/>
        </w:rPr>
        <w:t>Venemaad, kes peab niisugust agressioonisõda, ei saa EL pidada viisalihtsustuslepingu vastaspooleks seni, kuni too jätkab hävitavat välispoliitikat ja sõjalist agressiooni ELi kandidaatriigi vastu ning näitab üles täielikku hoolimatust rahvusvahelise reeglitepõhise korra vastu.</w:t>
      </w:r>
    </w:p>
    <w:p w14:paraId="165FCFDC" w14:textId="77777777" w:rsidR="00C03E52" w:rsidRPr="00850E90" w:rsidRDefault="00C03E52" w:rsidP="0069547A">
      <w:pPr>
        <w:rPr>
          <w:noProof/>
        </w:rPr>
      </w:pPr>
    </w:p>
    <w:p w14:paraId="74B5E391" w14:textId="77777777" w:rsidR="000241BB" w:rsidRPr="00850E90" w:rsidRDefault="0069547A" w:rsidP="000241BB">
      <w:pPr>
        <w:rPr>
          <w:noProof/>
        </w:rPr>
      </w:pPr>
      <w:r w:rsidRPr="00850E90">
        <w:rPr>
          <w:b/>
          <w:noProof/>
        </w:rPr>
        <w:t>2.</w:t>
      </w:r>
      <w:r w:rsidRPr="00850E90">
        <w:rPr>
          <w:noProof/>
        </w:rPr>
        <w:tab/>
      </w:r>
      <w:r w:rsidRPr="00850E90">
        <w:rPr>
          <w:b/>
          <w:noProof/>
        </w:rPr>
        <w:t>KAVANDATUD MEETMED</w:t>
      </w:r>
    </w:p>
    <w:p w14:paraId="00E817CF" w14:textId="5AC8EFD3" w:rsidR="0069547A" w:rsidRPr="00850E90" w:rsidRDefault="00BE7D0E" w:rsidP="00CC4D75">
      <w:pPr>
        <w:rPr>
          <w:noProof/>
        </w:rPr>
      </w:pPr>
      <w:r w:rsidRPr="00850E90">
        <w:rPr>
          <w:noProof/>
        </w:rPr>
        <w:t>Sõjaline agressioon Euroopa Liiduga piirneva riigi vastu õigustab meetmeid Euroopa Liidu ja selle liikmesriikide olul</w:t>
      </w:r>
      <w:r w:rsidR="00B475A3">
        <w:rPr>
          <w:noProof/>
        </w:rPr>
        <w:t>iste julgeolekuhuvide kaitseks.</w:t>
      </w:r>
    </w:p>
    <w:p w14:paraId="62E6037D" w14:textId="008EA7E1" w:rsidR="00165246" w:rsidRPr="00850E90" w:rsidRDefault="00BE7D0E" w:rsidP="00CC4D75">
      <w:pPr>
        <w:rPr>
          <w:noProof/>
        </w:rPr>
      </w:pPr>
      <w:r w:rsidRPr="00850E90">
        <w:rPr>
          <w:noProof/>
        </w:rPr>
        <w:t>Venemaa Föderatsioon ei ole mitte ainult ohustanud suhteid Euroopa Liidu ja selle liikmesriikidega, vaid on rikkunud ka Minski kokkuleppeid, õõnestades oma rahvusvaheliste kohustuste vastaselt Ukraina territoriaalset terviklikkus</w:t>
      </w:r>
      <w:r w:rsidR="00B475A3">
        <w:rPr>
          <w:noProof/>
        </w:rPr>
        <w:t>t, suveräänsust ja sõltumatust.</w:t>
      </w:r>
    </w:p>
    <w:p w14:paraId="2D20C175" w14:textId="3E7B6FCE" w:rsidR="00905803" w:rsidRPr="00850E90" w:rsidRDefault="00905803" w:rsidP="00CC4D75">
      <w:pPr>
        <w:rPr>
          <w:noProof/>
        </w:rPr>
      </w:pPr>
      <w:r w:rsidRPr="00850E90">
        <w:rPr>
          <w:noProof/>
        </w:rPr>
        <w:t>Lisaks ajab Venemaa Föderatsioon proaktiivselt poliitikat, millega ta kohustab Ukraina kodanikke Venemaa sõjaväe poolt okupeeritud Ukraina piirkondades kasutama Venemaa rahvusvahelisi passe, rikkudes seega Ukraina territoriaalset terviklikkust, suveräänsust ja sõltumatust.</w:t>
      </w:r>
    </w:p>
    <w:p w14:paraId="5CAA6BC9" w14:textId="44A155F1" w:rsidR="00E22BE8" w:rsidRPr="00850E90" w:rsidRDefault="00E22BE8" w:rsidP="00E22BE8">
      <w:pPr>
        <w:rPr>
          <w:noProof/>
        </w:rPr>
      </w:pPr>
      <w:r w:rsidRPr="00850E90">
        <w:rPr>
          <w:noProof/>
        </w:rPr>
        <w:t>Viisalihtsustuslepingu artikli 15 lõike 5 kohaselt võib kumbki lepinguosaline avaliku korra, riigi julgeoleku või rahvatervise kaitse huvides selle lepingu täitmise täielikult või osaliselt peatada. Kõik need kriteeriumid on Venemaa sissetung Ukrainasse ohtu seadnud. Venemaa-poolne rahvusvahelise reeglitepõhise korra jäme eiramine kujutab endast suurt ohtu avalikule korrale. Samuti on olemas konkreetsed riskid, näiteks kui ringi liiguvad okupeeritud Ukraina piirkondade elanikud, kes on Venemaa režiimile lähedased ja kellele võidakse väljastada Venemaa Föderatsiooni rahvusvaheline pass. See sõjaline agressioon soodustab organiseeritud kuritegevuse esiletõusu ja ebaseaduslike relvade ringlust ning seab seega ohtu liidu julgeolekuhuvid ja liikmesriikide riikliku julgeoleku. Suurenenud riskid, mis on seotud Zaporižžja tuumajaama kasutamisega sõjaväebaasina Venemaa Föderatsiooni poolt, kujutavad endast suurt ohtu inimeludele.</w:t>
      </w:r>
    </w:p>
    <w:p w14:paraId="10F5E666" w14:textId="0E357F59" w:rsidR="00180C2C" w:rsidRPr="00850E90" w:rsidRDefault="00BE7D0E" w:rsidP="001448BC">
      <w:pPr>
        <w:rPr>
          <w:noProof/>
        </w:rPr>
      </w:pPr>
      <w:r w:rsidRPr="00850E90">
        <w:rPr>
          <w:noProof/>
        </w:rPr>
        <w:t>Üldisemalt on otsus tungida Ukrainasse ja jätkata sõjalist agressiooni vastuolus usalduslike suhetega ELi ja Venemaa Föderatsiooni vahel. Viisalihtsustuslepingud on sõlmitud ainult piiratud arvu valitud kolmandate riikidega ning need tulenevad ELi ja antud riigi vahelisest vastastikusest partnerlusest. Riigil, kes peab provotseerimata ja õigustamatut agressioonisõda, ei peaks enam olema õigust saada osa viisalihtsustusest. Seetõttu on õigustatud viisalihtsustuslepingu täielik peatamine kõigi Venemaa</w:t>
      </w:r>
      <w:r w:rsidR="00B475A3">
        <w:rPr>
          <w:noProof/>
        </w:rPr>
        <w:t xml:space="preserve"> Föderatsiooni kodanike suhtes.</w:t>
      </w:r>
    </w:p>
    <w:p w14:paraId="44948B81" w14:textId="017A5F54" w:rsidR="004A1DF1" w:rsidRPr="00850E90" w:rsidRDefault="00670BC2" w:rsidP="001448BC">
      <w:pPr>
        <w:rPr>
          <w:noProof/>
        </w:rPr>
      </w:pPr>
      <w:r w:rsidRPr="00850E90">
        <w:rPr>
          <w:noProof/>
        </w:rPr>
        <w:t>Peatamine mõjutab ka selliseid reisijate kategooriaid nagu ajakirjanikud, õpilased, üliõpilased ja teadlased, kelle suhtes peatatud viisalihtsustuslepingu soodustused enam ei kehti. Arvestades, kui tähtsad on sellised reisijakategooriad ELi jaoks ja kui tähtis on inimestevaheliste kontaktide jätkumine, käsitletakse seda küsimust tulevastes suunistes, mille komisjon võtab vastu üldiste Venemaa</w:t>
      </w:r>
      <w:r w:rsidR="00B475A3">
        <w:rPr>
          <w:noProof/>
        </w:rPr>
        <w:t>ga seotud viisaküsimuste kohta.</w:t>
      </w:r>
    </w:p>
    <w:p w14:paraId="11B8B366" w14:textId="77777777" w:rsidR="0069547A" w:rsidRPr="001C151D" w:rsidRDefault="0069547A" w:rsidP="0069547A">
      <w:r w:rsidRPr="00850E90">
        <w:rPr>
          <w:noProof/>
        </w:rPr>
        <w:t xml:space="preserve">Kui nõukogu otsus jõustub, peatatakse viisalihtsustuslepingus sätestatud eeskirjade kohaldamine. Sellest tulenevalt kohaldatakse nende sätete asemel viisaeeskirja üldeeskirju. </w:t>
      </w:r>
    </w:p>
    <w:p w14:paraId="75C71A3B" w14:textId="2E0CEAB0" w:rsidR="0069547A" w:rsidRPr="00850E90" w:rsidRDefault="004A11F3" w:rsidP="0069547A">
      <w:pPr>
        <w:pStyle w:val="ManualHeading1"/>
        <w:rPr>
          <w:noProof/>
        </w:rPr>
      </w:pPr>
      <w:r w:rsidRPr="00850E90">
        <w:rPr>
          <w:noProof/>
        </w:rPr>
        <w:t>3.</w:t>
      </w:r>
      <w:r w:rsidRPr="00850E90">
        <w:rPr>
          <w:noProof/>
        </w:rPr>
        <w:tab/>
        <w:t>ÕIGUSLIK ALUS, SUBSIDIAARSUS JA PROPORTSIONAALSUS</w:t>
      </w:r>
    </w:p>
    <w:p w14:paraId="724642E4" w14:textId="77777777" w:rsidR="0069547A" w:rsidRPr="00850E90" w:rsidRDefault="0069547A" w:rsidP="0069547A">
      <w:pPr>
        <w:pStyle w:val="ManualHeading2"/>
        <w:rPr>
          <w:rFonts w:eastAsia="Arial Unicode MS"/>
          <w:noProof/>
          <w:bdr w:val="none" w:sz="0" w:space="0" w:color="auto" w:frame="1"/>
        </w:rPr>
      </w:pPr>
      <w:r w:rsidRPr="00850E90">
        <w:rPr>
          <w:noProof/>
          <w:bdr w:val="none" w:sz="0" w:space="0" w:color="auto" w:frame="1"/>
        </w:rPr>
        <w:t>•</w:t>
      </w:r>
      <w:r w:rsidRPr="00850E90">
        <w:rPr>
          <w:noProof/>
        </w:rPr>
        <w:tab/>
      </w:r>
      <w:r w:rsidRPr="00850E90">
        <w:rPr>
          <w:noProof/>
          <w:bdr w:val="none" w:sz="0" w:space="0" w:color="auto" w:frame="1"/>
        </w:rPr>
        <w:t>Õiguslik alus</w:t>
      </w:r>
    </w:p>
    <w:p w14:paraId="79600133" w14:textId="476AA6D7" w:rsidR="00485DF9" w:rsidRPr="00850E90" w:rsidRDefault="0069547A" w:rsidP="00485DF9">
      <w:pPr>
        <w:pStyle w:val="Text1"/>
        <w:ind w:left="0"/>
        <w:rPr>
          <w:noProof/>
        </w:rPr>
      </w:pPr>
      <w:r w:rsidRPr="00850E90">
        <w:rPr>
          <w:noProof/>
        </w:rPr>
        <w:t>Uus materiaalõiguslik alus on Euroopa Liidu toimimise lepi</w:t>
      </w:r>
      <w:r w:rsidR="00B475A3">
        <w:rPr>
          <w:noProof/>
        </w:rPr>
        <w:t>ngu artikli 77 lõike 2 punkt a.</w:t>
      </w:r>
    </w:p>
    <w:p w14:paraId="0C810F9B" w14:textId="731AF3DD" w:rsidR="0069547A" w:rsidRPr="00850E90" w:rsidRDefault="0069547A" w:rsidP="0069547A">
      <w:pPr>
        <w:pStyle w:val="Text1"/>
        <w:ind w:left="0"/>
        <w:rPr>
          <w:noProof/>
          <w:lang w:eastAsia="en-GB"/>
        </w:rPr>
      </w:pPr>
    </w:p>
    <w:p w14:paraId="4E405AA4" w14:textId="1EDD73B4" w:rsidR="0069547A" w:rsidRPr="00850E90" w:rsidRDefault="0069547A" w:rsidP="0069547A">
      <w:pPr>
        <w:pStyle w:val="Text1"/>
        <w:ind w:left="0"/>
        <w:rPr>
          <w:noProof/>
        </w:rPr>
      </w:pPr>
      <w:r w:rsidRPr="00850E90">
        <w:rPr>
          <w:noProof/>
        </w:rPr>
        <w:t>Lisaks sellele on viisalihtsustuslepingu artikli 15 lõikes 5 sätestatud: „</w:t>
      </w:r>
      <w:r w:rsidRPr="00850E90">
        <w:rPr>
          <w:i/>
          <w:noProof/>
        </w:rPr>
        <w:t>Kumbki lepinguosaline võib käesoleva lepingu täitmise täielikult või osaliselt peatada avaliku korra, riigi julgeoleku või rahvatervise kaitse huvides. Peatamise otsusest teatatakse teisele lepinguosalisele hiljemalt 48 tundi enne selle jõustu</w:t>
      </w:r>
      <w:r w:rsidR="00B475A3">
        <w:rPr>
          <w:i/>
          <w:noProof/>
        </w:rPr>
        <w:t>mist.</w:t>
      </w:r>
      <w:r w:rsidRPr="00850E90">
        <w:rPr>
          <w:i/>
          <w:noProof/>
        </w:rPr>
        <w:t xml:space="preserve"> Käesoleva lepingu kohaldamise peatanud lepinguosaline teatab viivitamata teisele lepinguosalisele, kui käesoleva lepingu peatamise alus</w:t>
      </w:r>
      <w:r w:rsidR="00B475A3">
        <w:rPr>
          <w:i/>
          <w:noProof/>
        </w:rPr>
        <w:t>eks olnud põhjused on kadunud.“</w:t>
      </w:r>
    </w:p>
    <w:p w14:paraId="1E3E04A9" w14:textId="60042BB3" w:rsidR="0069547A" w:rsidRPr="00850E90" w:rsidRDefault="0069547A" w:rsidP="0069547A">
      <w:pPr>
        <w:pStyle w:val="ManualHeading2"/>
        <w:rPr>
          <w:rFonts w:eastAsia="Arial Unicode MS"/>
          <w:noProof/>
          <w:bdr w:val="none" w:sz="0" w:space="0" w:color="auto" w:frame="1"/>
        </w:rPr>
      </w:pPr>
      <w:r w:rsidRPr="00850E90">
        <w:rPr>
          <w:noProof/>
          <w:bdr w:val="none" w:sz="0" w:space="0" w:color="auto" w:frame="1"/>
        </w:rPr>
        <w:t>•</w:t>
      </w:r>
      <w:r w:rsidRPr="00850E90">
        <w:rPr>
          <w:noProof/>
        </w:rPr>
        <w:tab/>
      </w:r>
      <w:r w:rsidRPr="00850E90">
        <w:rPr>
          <w:noProof/>
          <w:bdr w:val="none" w:sz="0" w:space="0" w:color="auto" w:frame="1"/>
        </w:rPr>
        <w:t>Subsidiaarsus (ainupädevuss</w:t>
      </w:r>
      <w:r w:rsidR="00B475A3">
        <w:rPr>
          <w:noProof/>
          <w:bdr w:val="none" w:sz="0" w:space="0" w:color="auto" w:frame="1"/>
        </w:rPr>
        <w:t>e mittekuuluva valdkonna puhul)</w:t>
      </w:r>
    </w:p>
    <w:p w14:paraId="1FEF358A" w14:textId="1859EB6B" w:rsidR="0069547A" w:rsidRPr="00850E90" w:rsidRDefault="00485DF9" w:rsidP="0069547A">
      <w:pPr>
        <w:spacing w:before="0" w:after="240"/>
        <w:rPr>
          <w:noProof/>
          <w:color w:val="008000"/>
        </w:rPr>
      </w:pPr>
      <w:r w:rsidRPr="00850E90">
        <w:rPr>
          <w:noProof/>
        </w:rPr>
        <w:t>Ei kohaldata.</w:t>
      </w:r>
    </w:p>
    <w:p w14:paraId="36E5BCC2" w14:textId="77777777" w:rsidR="0069547A" w:rsidRPr="00850E90" w:rsidRDefault="0069547A" w:rsidP="0069547A">
      <w:pPr>
        <w:pStyle w:val="ManualHeading2"/>
        <w:rPr>
          <w:rFonts w:eastAsia="Arial Unicode MS"/>
          <w:noProof/>
          <w:bdr w:val="none" w:sz="0" w:space="0" w:color="auto" w:frame="1"/>
        </w:rPr>
      </w:pPr>
      <w:r w:rsidRPr="00850E90">
        <w:rPr>
          <w:noProof/>
          <w:bdr w:val="none" w:sz="0" w:space="0" w:color="auto" w:frame="1"/>
        </w:rPr>
        <w:t>•</w:t>
      </w:r>
      <w:r w:rsidRPr="00850E90">
        <w:rPr>
          <w:noProof/>
        </w:rPr>
        <w:tab/>
      </w:r>
      <w:r w:rsidRPr="00850E90">
        <w:rPr>
          <w:noProof/>
          <w:bdr w:val="none" w:sz="0" w:space="0" w:color="auto" w:frame="1"/>
        </w:rPr>
        <w:t>Proportsionaalsus</w:t>
      </w:r>
    </w:p>
    <w:p w14:paraId="26873F36" w14:textId="77777777" w:rsidR="0069547A" w:rsidRPr="00850E90" w:rsidRDefault="0069547A" w:rsidP="0069547A">
      <w:pPr>
        <w:spacing w:before="0" w:after="240"/>
        <w:rPr>
          <w:rFonts w:eastAsia="Arial Unicode MS"/>
          <w:noProof/>
        </w:rPr>
      </w:pPr>
      <w:r w:rsidRPr="00850E90">
        <w:rPr>
          <w:noProof/>
        </w:rPr>
        <w:t xml:space="preserve">Käesolev ettepanek on proportsionaalne vajadusega kaitsta liidu ja liikmesriikide julgeolekut ning reageerida Venemaa provotseerimata ja õigustamatule sõjalisele agressioonile Ukraina vastu. </w:t>
      </w:r>
      <w:bookmarkStart w:id="1" w:name="_Hlk112675283"/>
      <w:bookmarkEnd w:id="1"/>
      <w:r w:rsidRPr="00850E90">
        <w:rPr>
          <w:noProof/>
        </w:rPr>
        <w:t>Võttes arvesse, et tingituna Venemaa Föderatsiooni sõjalisest tegevusest on julgeolekuolukord Ukrainas halvenenud ja et see tegevus põhjustab Euroopa Liidule suuremat ohtu, on viisalihtsustuslepingu täielik peatamine proportsionaalne.</w:t>
      </w:r>
    </w:p>
    <w:p w14:paraId="2D90C133" w14:textId="1D01B3C1" w:rsidR="0069547A" w:rsidRPr="00850E90" w:rsidRDefault="004A11F3" w:rsidP="0069547A">
      <w:pPr>
        <w:pStyle w:val="ManualHeading1"/>
        <w:rPr>
          <w:noProof/>
        </w:rPr>
      </w:pPr>
      <w:r w:rsidRPr="00850E90">
        <w:rPr>
          <w:noProof/>
        </w:rPr>
        <w:t>4.</w:t>
      </w:r>
      <w:r w:rsidRPr="00850E90">
        <w:rPr>
          <w:noProof/>
        </w:rPr>
        <w:tab/>
        <w:t>JÄRELHINDAMISE, SIDUSRÜHMADEGA KONSULTEERIMISE JA MÕJU HINDAMISE TULEMUSED</w:t>
      </w:r>
    </w:p>
    <w:p w14:paraId="25509F6A" w14:textId="606F13FB" w:rsidR="0069547A" w:rsidRPr="00850E90" w:rsidRDefault="009772AE" w:rsidP="0069547A">
      <w:pPr>
        <w:pStyle w:val="Text1"/>
        <w:ind w:left="0"/>
        <w:rPr>
          <w:noProof/>
        </w:rPr>
      </w:pPr>
      <w:r w:rsidRPr="00850E90">
        <w:rPr>
          <w:noProof/>
        </w:rPr>
        <w:t>Liikmesriigid arutasid viisalihtsustuslepingu täielikku peatamist viisatöörühma 13. juuli 2022. aasta koosolekul. Samuti väljendasid liikmesriigid oma seisukohti peatamise kohta 31. augustil 2022 toimunud välisministrite mitteametlikul kohtumisel (Gymnichi kohtumine) ning jõudsid lepingu täieliku peatamise suhtes poliitilisele kokkuleppele.</w:t>
      </w:r>
    </w:p>
    <w:p w14:paraId="21006FD7" w14:textId="2215F201" w:rsidR="0069547A" w:rsidRPr="00850E90" w:rsidRDefault="004A11F3" w:rsidP="0069547A">
      <w:pPr>
        <w:pStyle w:val="ManualHeading1"/>
        <w:rPr>
          <w:noProof/>
        </w:rPr>
      </w:pPr>
      <w:r w:rsidRPr="00850E90">
        <w:rPr>
          <w:noProof/>
        </w:rPr>
        <w:t>5.</w:t>
      </w:r>
      <w:r w:rsidRPr="00850E90">
        <w:rPr>
          <w:noProof/>
        </w:rPr>
        <w:tab/>
        <w:t>MÕJU EELARVELE</w:t>
      </w:r>
    </w:p>
    <w:p w14:paraId="28CF45C7" w14:textId="77777777" w:rsidR="0069547A" w:rsidRPr="00850E90" w:rsidRDefault="0069547A" w:rsidP="0069547A">
      <w:pPr>
        <w:pStyle w:val="Text1"/>
        <w:ind w:left="0"/>
        <w:rPr>
          <w:noProof/>
        </w:rPr>
      </w:pPr>
      <w:r w:rsidRPr="00850E90">
        <w:rPr>
          <w:noProof/>
        </w:rPr>
        <w:t>Ettepanekuga ei kaasne ELi eelarvele lisakulusid.</w:t>
      </w:r>
    </w:p>
    <w:p w14:paraId="32B49F63" w14:textId="02879107" w:rsidR="0069547A" w:rsidRPr="00850E90" w:rsidRDefault="004A11F3" w:rsidP="0069547A">
      <w:pPr>
        <w:pStyle w:val="ManualHeading1"/>
        <w:rPr>
          <w:noProof/>
        </w:rPr>
      </w:pPr>
      <w:r w:rsidRPr="00850E90">
        <w:rPr>
          <w:noProof/>
        </w:rPr>
        <w:t>6.</w:t>
      </w:r>
      <w:r w:rsidRPr="00850E90">
        <w:rPr>
          <w:noProof/>
        </w:rPr>
        <w:tab/>
        <w:t>MUU TEAVE</w:t>
      </w:r>
    </w:p>
    <w:p w14:paraId="5653665D" w14:textId="77777777" w:rsidR="0069547A" w:rsidRPr="00850E90" w:rsidRDefault="0069547A" w:rsidP="0069547A">
      <w:pPr>
        <w:pStyle w:val="ManualHeading2"/>
        <w:rPr>
          <w:rFonts w:eastAsia="Arial Unicode MS"/>
          <w:noProof/>
          <w:bdr w:val="none" w:sz="0" w:space="0" w:color="auto" w:frame="1"/>
        </w:rPr>
      </w:pPr>
      <w:r w:rsidRPr="00850E90">
        <w:rPr>
          <w:noProof/>
          <w:bdr w:val="none" w:sz="0" w:space="0" w:color="auto" w:frame="1"/>
        </w:rPr>
        <w:t>•</w:t>
      </w:r>
      <w:r w:rsidRPr="00850E90">
        <w:rPr>
          <w:noProof/>
        </w:rPr>
        <w:tab/>
      </w:r>
      <w:r w:rsidRPr="00850E90">
        <w:rPr>
          <w:noProof/>
          <w:bdr w:val="none" w:sz="0" w:space="0" w:color="auto" w:frame="1"/>
        </w:rPr>
        <w:t>Rakenduskavad ning järelevalve, hindamise ja aruandluse kord</w:t>
      </w:r>
    </w:p>
    <w:p w14:paraId="588AEFFA" w14:textId="61E161C1" w:rsidR="00415758" w:rsidRPr="00850E90" w:rsidRDefault="00415758" w:rsidP="00183C6A">
      <w:pPr>
        <w:spacing w:before="0" w:after="240"/>
        <w:rPr>
          <w:noProof/>
        </w:rPr>
      </w:pPr>
      <w:r w:rsidRPr="00850E90">
        <w:rPr>
          <w:noProof/>
        </w:rPr>
        <w:t>Komisjon jälgib meetme rakendamist, eelkõi</w:t>
      </w:r>
      <w:r w:rsidR="00B475A3">
        <w:rPr>
          <w:noProof/>
        </w:rPr>
        <w:t>ge Schengeni hindamiste raames.</w:t>
      </w:r>
    </w:p>
    <w:p w14:paraId="65251CC4" w14:textId="77777777" w:rsidR="0069547A" w:rsidRPr="00850E90" w:rsidRDefault="0069547A" w:rsidP="0069547A">
      <w:pPr>
        <w:pStyle w:val="ManualHeading2"/>
        <w:rPr>
          <w:noProof/>
          <w:bdr w:val="none" w:sz="0" w:space="0" w:color="auto" w:frame="1"/>
        </w:rPr>
      </w:pPr>
      <w:r w:rsidRPr="00850E90">
        <w:rPr>
          <w:noProof/>
          <w:bdr w:val="none" w:sz="0" w:space="0" w:color="auto" w:frame="1"/>
        </w:rPr>
        <w:t>•</w:t>
      </w:r>
      <w:r w:rsidRPr="00850E90">
        <w:rPr>
          <w:noProof/>
        </w:rPr>
        <w:tab/>
      </w:r>
      <w:r w:rsidRPr="00850E90">
        <w:rPr>
          <w:noProof/>
          <w:bdr w:val="none" w:sz="0" w:space="0" w:color="auto" w:frame="1"/>
        </w:rPr>
        <w:t>Ettepaneku sätete üksikasjalik selgitus</w:t>
      </w:r>
    </w:p>
    <w:p w14:paraId="5BCD67F7" w14:textId="5E05B3C6" w:rsidR="0069547A" w:rsidRPr="00850E90" w:rsidRDefault="008C1A6F" w:rsidP="00183C6A">
      <w:pPr>
        <w:spacing w:before="0" w:after="240"/>
        <w:rPr>
          <w:noProof/>
        </w:rPr>
      </w:pPr>
      <w:r w:rsidRPr="00850E90">
        <w:rPr>
          <w:noProof/>
        </w:rPr>
        <w:t>Ettepaneku eesmärk on täielikult peatada viisalihtsustuslepinguga ette nähtud lihtsustused Venemaa kodanikele. See puudutab dokumentaalseid tõendeid, mille taotleja peab enne reisi esitama, viisatasu suurust, mitmekordsete viisade andmist ja viisataotluste menetlemise kestust. Nende eri elementidega seotud lihtsustuste kohaldamine lõpetatakse ja Venemaa kodanike suhtes kohaldatakse viisaeeskirja standardeeskirju seoses järgmisega: viisatasu (viisaeeskirja artikkel 16), viisataotluste menetlemise maksimaalne kestus (artikkel 23), mitmekordsete viisade väljastamine (artikli 24 lõige 2) ja taotleja poolt enne reisi esitatavad dokumentaalsed tõendid (artikkel 14)</w:t>
      </w:r>
      <w:r w:rsidRPr="00850E90">
        <w:rPr>
          <w:rStyle w:val="FootnoteReference"/>
          <w:noProof/>
        </w:rPr>
        <w:footnoteReference w:id="6"/>
      </w:r>
      <w:r w:rsidRPr="00850E90">
        <w:rPr>
          <w:noProof/>
        </w:rPr>
        <w:t>.</w:t>
      </w:r>
    </w:p>
    <w:p w14:paraId="721A439F" w14:textId="77777777" w:rsidR="0069547A" w:rsidRPr="001C151D" w:rsidRDefault="0069547A" w:rsidP="0069547A">
      <w:pPr>
        <w:spacing w:before="0" w:after="240"/>
      </w:pPr>
      <w:r w:rsidRPr="00850E90">
        <w:rPr>
          <w:noProof/>
        </w:rPr>
        <w:t xml:space="preserve"> </w:t>
      </w:r>
    </w:p>
    <w:p w14:paraId="74A1233E" w14:textId="77777777" w:rsidR="0069547A" w:rsidRPr="00850E90" w:rsidRDefault="0069547A" w:rsidP="0069547A">
      <w:pPr>
        <w:spacing w:before="0" w:after="0"/>
        <w:jc w:val="left"/>
        <w:rPr>
          <w:noProof/>
        </w:rPr>
        <w:sectPr w:rsidR="0069547A" w:rsidRPr="00850E90" w:rsidSect="00B04518">
          <w:footerReference w:type="default" r:id="rId13"/>
          <w:footerReference w:type="first" r:id="rId14"/>
          <w:pgSz w:w="11907" w:h="16839"/>
          <w:pgMar w:top="1134" w:right="1417" w:bottom="1134" w:left="1417" w:header="709" w:footer="709" w:gutter="0"/>
          <w:cols w:space="720"/>
          <w:docGrid w:linePitch="326"/>
        </w:sectPr>
      </w:pPr>
    </w:p>
    <w:p w14:paraId="4EB7F689" w14:textId="31A8A043" w:rsidR="003C65E3" w:rsidRDefault="003C65E3" w:rsidP="003C65E3">
      <w:pPr>
        <w:pStyle w:val="Rfrenceinterinstitutionnelle"/>
        <w:rPr>
          <w:noProof/>
        </w:rPr>
      </w:pPr>
      <w:r w:rsidRPr="003C65E3">
        <w:t>2022/0273 (NLE)</w:t>
      </w:r>
    </w:p>
    <w:p w14:paraId="64D204B9" w14:textId="58584E12" w:rsidR="0069547A" w:rsidRPr="00850E90" w:rsidRDefault="00850E90" w:rsidP="00850E90">
      <w:pPr>
        <w:pStyle w:val="Statut"/>
        <w:rPr>
          <w:noProof/>
        </w:rPr>
      </w:pPr>
      <w:r w:rsidRPr="00850E90">
        <w:rPr>
          <w:noProof/>
        </w:rPr>
        <w:t>Ettepanek:</w:t>
      </w:r>
    </w:p>
    <w:p w14:paraId="680C0924" w14:textId="45A8AEF0" w:rsidR="0069547A" w:rsidRPr="00850E90" w:rsidRDefault="00850E90" w:rsidP="00850E90">
      <w:pPr>
        <w:pStyle w:val="Typedudocument"/>
        <w:rPr>
          <w:noProof/>
        </w:rPr>
      </w:pPr>
      <w:r w:rsidRPr="00850E90">
        <w:rPr>
          <w:noProof/>
        </w:rPr>
        <w:t>NÕUKOGU OTSUS</w:t>
      </w:r>
    </w:p>
    <w:p w14:paraId="30C7A569" w14:textId="6A4D8E6A" w:rsidR="0069547A" w:rsidRPr="00850E90" w:rsidRDefault="00850E90" w:rsidP="00850E90">
      <w:pPr>
        <w:pStyle w:val="Titreobjet"/>
        <w:rPr>
          <w:noProof/>
        </w:rPr>
      </w:pPr>
      <w:r w:rsidRPr="00850E90">
        <w:rPr>
          <w:noProof/>
        </w:rPr>
        <w:t xml:space="preserve">Euroopa Ühenduse ja Venemaa Föderatsiooni vahelise Euroopa Liidu ja Venemaa Föderatsiooni kodanikele viisade väljastamise lihtsustamise lepingu täitmise täieliku peatamise kohta </w:t>
      </w:r>
      <w:r w:rsidRPr="00850E90">
        <w:rPr>
          <w:noProof/>
        </w:rPr>
        <w:br/>
      </w:r>
    </w:p>
    <w:p w14:paraId="7621863B" w14:textId="77777777" w:rsidR="0069547A" w:rsidRPr="00850E90" w:rsidRDefault="0069547A" w:rsidP="0069547A">
      <w:pPr>
        <w:pStyle w:val="Institutionquiagit"/>
        <w:rPr>
          <w:noProof/>
        </w:rPr>
      </w:pPr>
      <w:r w:rsidRPr="00850E90">
        <w:rPr>
          <w:noProof/>
        </w:rPr>
        <w:t>EUROOPA LIIDU NÕUKOGU,</w:t>
      </w:r>
    </w:p>
    <w:p w14:paraId="7F278482" w14:textId="77777777" w:rsidR="0069547A" w:rsidRPr="00850E90" w:rsidRDefault="0069547A" w:rsidP="0069547A">
      <w:pPr>
        <w:rPr>
          <w:noProof/>
        </w:rPr>
      </w:pPr>
      <w:r w:rsidRPr="00850E90">
        <w:rPr>
          <w:noProof/>
        </w:rPr>
        <w:t>võttes arvesse Euroopa Liidu toimimise lepingut, eriti selle artikli 77 lõike 2 punkti a ja artikli 218 lõiget 9,</w:t>
      </w:r>
    </w:p>
    <w:p w14:paraId="2A1371D4" w14:textId="77777777" w:rsidR="00941A78" w:rsidRPr="00850E90" w:rsidRDefault="00941A78" w:rsidP="0069547A">
      <w:pPr>
        <w:rPr>
          <w:noProof/>
        </w:rPr>
      </w:pPr>
    </w:p>
    <w:p w14:paraId="47029C92" w14:textId="77777777" w:rsidR="0069547A" w:rsidRPr="00850E90" w:rsidRDefault="0069547A" w:rsidP="0069547A">
      <w:pPr>
        <w:rPr>
          <w:noProof/>
        </w:rPr>
      </w:pPr>
      <w:r w:rsidRPr="00850E90">
        <w:rPr>
          <w:noProof/>
        </w:rPr>
        <w:t>võttes arvesse Euroopa Komisjoni ettepanekut</w:t>
      </w:r>
    </w:p>
    <w:p w14:paraId="4A3D5C9D" w14:textId="77777777" w:rsidR="0069547A" w:rsidRPr="00850E90" w:rsidRDefault="0069547A" w:rsidP="0069547A">
      <w:pPr>
        <w:rPr>
          <w:noProof/>
        </w:rPr>
      </w:pPr>
    </w:p>
    <w:p w14:paraId="2F16C921" w14:textId="77777777" w:rsidR="0069547A" w:rsidRPr="00850E90" w:rsidRDefault="0069547A" w:rsidP="0069547A">
      <w:pPr>
        <w:rPr>
          <w:noProof/>
        </w:rPr>
      </w:pPr>
      <w:r w:rsidRPr="00850E90">
        <w:rPr>
          <w:noProof/>
        </w:rPr>
        <w:t>ning arvestades järgmist:</w:t>
      </w:r>
    </w:p>
    <w:p w14:paraId="182EC584" w14:textId="4D057F92" w:rsidR="0069547A" w:rsidRPr="00850E90" w:rsidRDefault="003A1A47" w:rsidP="003A1A47">
      <w:pPr>
        <w:pStyle w:val="ManualConsidrant"/>
        <w:rPr>
          <w:noProof/>
        </w:rPr>
      </w:pPr>
      <w:r w:rsidRPr="003A1A47">
        <w:t>(1)</w:t>
      </w:r>
      <w:r w:rsidRPr="003A1A47">
        <w:tab/>
      </w:r>
      <w:r w:rsidR="0096383B" w:rsidRPr="00850E90">
        <w:rPr>
          <w:noProof/>
        </w:rPr>
        <w:t>Euroopa Ühenduse ja Venemaa Föderatsiooni vaheline leping Euroopa Liidu ja Venemaa Föderatsiooni kodanikele viisade väljastamise lihtsustamise kohta</w:t>
      </w:r>
      <w:r w:rsidR="0096383B" w:rsidRPr="00850E90">
        <w:rPr>
          <w:rStyle w:val="FootnoteReference"/>
          <w:noProof/>
        </w:rPr>
        <w:footnoteReference w:id="7"/>
      </w:r>
      <w:r w:rsidR="0096383B" w:rsidRPr="00850E90">
        <w:rPr>
          <w:noProof/>
        </w:rPr>
        <w:t xml:space="preserve"> (edaspidi „leping“) jõustus 1. juunil 2007 samal ajal Euroopa Ühenduse ja Venemaa Föderatsiooni vahelise tagasivõtulepinguga</w:t>
      </w:r>
      <w:r w:rsidR="0096383B" w:rsidRPr="00850E90">
        <w:rPr>
          <w:rStyle w:val="FootnoteReference"/>
          <w:noProof/>
        </w:rPr>
        <w:footnoteReference w:id="8"/>
      </w:r>
      <w:r w:rsidR="00B475A3">
        <w:rPr>
          <w:noProof/>
        </w:rPr>
        <w:t>.</w:t>
      </w:r>
    </w:p>
    <w:p w14:paraId="555C1A37" w14:textId="74070987" w:rsidR="0069547A" w:rsidRPr="00850E90" w:rsidRDefault="003A1A47" w:rsidP="003A1A47">
      <w:pPr>
        <w:pStyle w:val="ManualConsidrant"/>
        <w:rPr>
          <w:noProof/>
        </w:rPr>
      </w:pPr>
      <w:r w:rsidRPr="003A1A47">
        <w:t>(2)</w:t>
      </w:r>
      <w:r w:rsidRPr="003A1A47">
        <w:tab/>
      </w:r>
      <w:r w:rsidR="0096383B" w:rsidRPr="00850E90">
        <w:rPr>
          <w:noProof/>
        </w:rPr>
        <w:t>Lepingu eesmärk on lihtsustada vastastikku Euroopa Liidu ja Venemaa Föderatsiooni kodanikele niisuguste viisade väljastamist, mis annavad neile õiguse viibida riigis 180 päeva jooksul maksimaalselt 90 päeva. Viisalihtsustuslepingu preambulis on toonitatud soovi edendada inimestevahelist suhtlemist kui majandus-, humanitaar-, kultuuri-, teadus- ja muude suhete p</w:t>
      </w:r>
      <w:r w:rsidR="00B475A3">
        <w:rPr>
          <w:noProof/>
        </w:rPr>
        <w:t>üsiva arengu olulist tingimust.</w:t>
      </w:r>
    </w:p>
    <w:p w14:paraId="496691D6" w14:textId="2C8E8EBF" w:rsidR="0069547A" w:rsidRPr="00850E90" w:rsidRDefault="003A1A47" w:rsidP="003A1A47">
      <w:pPr>
        <w:pStyle w:val="ManualConsidrant"/>
        <w:rPr>
          <w:noProof/>
        </w:rPr>
      </w:pPr>
      <w:r w:rsidRPr="003A1A47">
        <w:t>(3)</w:t>
      </w:r>
      <w:r w:rsidRPr="003A1A47">
        <w:tab/>
      </w:r>
      <w:r w:rsidR="00A90A96" w:rsidRPr="00850E90">
        <w:rPr>
          <w:noProof/>
        </w:rPr>
        <w:t>Lepingu artikli 15 lõike 5 kohaselt võib kumbki lepinguosaline „käesoleva lepingu täitmise täielikult või osaliselt peatada avaliku korra, riigi julgeoleku või rahvatervise kaitse huvides.“ Peatamise otsusest teatatakse teisele lepinguosalisele hiljemalt 48 tundi enne selle jõustumist. Käesoleva lepingu kohaldamise peatanud lepinguosaline teatab viivitamata teisele lepinguosalisele, kui käesoleva lepingu peatamise alu</w:t>
      </w:r>
      <w:r w:rsidR="00B475A3">
        <w:rPr>
          <w:noProof/>
        </w:rPr>
        <w:t>seks olnud põhjused on kadunud.</w:t>
      </w:r>
    </w:p>
    <w:p w14:paraId="7EF5A11F" w14:textId="7A9E78D5" w:rsidR="0069547A" w:rsidRPr="00850E90" w:rsidRDefault="003A1A47" w:rsidP="003A1A47">
      <w:pPr>
        <w:pStyle w:val="ManualConsidrant"/>
        <w:rPr>
          <w:noProof/>
        </w:rPr>
      </w:pPr>
      <w:r w:rsidRPr="003A1A47">
        <w:t>(4)</w:t>
      </w:r>
      <w:r w:rsidRPr="003A1A47">
        <w:tab/>
      </w:r>
      <w:r w:rsidR="009D7C0A" w:rsidRPr="00850E90">
        <w:rPr>
          <w:noProof/>
        </w:rPr>
        <w:t>Vastuseks Krimmi Autonoomse Vabariigi ja Sevastopoli linna ebaseaduslikule anneksioonile 2014. aastal Venemaa Föderatsiooni poolt ja tema jätkuvatele destabiliseerivatele sammudele Ida-Ukrainas on Euroopa Liit juba kehtestanud Minski kokkulepete ebatäieliku täitmisega seotud majandussanktsioonid Venemaa tegevuse vastu, mis destabiliseerib olukorda Ukrainas, sanktsioonid tegevuse vastu, mis õõnestab või ohustab Ukraina territoriaalset terviklikkust, suveräänsust ja sõltumatust, ning sanktsioonid vastuseks Krimmi Autonoomse Vabariigi ja Sevastopoli linna ebaseaduslikule annekteerimise</w:t>
      </w:r>
      <w:r w:rsidR="00B475A3">
        <w:rPr>
          <w:noProof/>
        </w:rPr>
        <w:t>le Venemaa Föderatsiooni poolt.</w:t>
      </w:r>
    </w:p>
    <w:p w14:paraId="30330F0F" w14:textId="08031DE4" w:rsidR="00683752" w:rsidRPr="00850E90" w:rsidRDefault="003A1A47" w:rsidP="003A1A47">
      <w:pPr>
        <w:pStyle w:val="ManualConsidrant"/>
        <w:rPr>
          <w:noProof/>
        </w:rPr>
      </w:pPr>
      <w:r w:rsidRPr="003A1A47">
        <w:t>(5)</w:t>
      </w:r>
      <w:r w:rsidRPr="003A1A47">
        <w:tab/>
      </w:r>
      <w:r w:rsidR="00683752" w:rsidRPr="00850E90">
        <w:rPr>
          <w:noProof/>
        </w:rPr>
        <w:t>Minski kokkulepetele allakirjutanuna on Venemaa Föderatsioonil olnud selge ja otsene kohustus püüda leida konfliktile nende põhimõtete alusel rahumeelne lahendus. Otsusega tunnustada Ida-Ukrainas valitsuse kontrolli alt väljas olevaid piirkondi sõltumatute üksustena on Venemaa Föderatsioon selgelt rikkunud Minski kokkuleppeid, mis näevad ette, et kontroll nende alade üle läheb täielikult tagasi Ukraina valitsusele.</w:t>
      </w:r>
    </w:p>
    <w:p w14:paraId="31D58266" w14:textId="302B4BAE" w:rsidR="00683752" w:rsidRPr="00850E90" w:rsidRDefault="003A1A47" w:rsidP="003A1A47">
      <w:pPr>
        <w:pStyle w:val="ManualConsidrant"/>
        <w:rPr>
          <w:noProof/>
        </w:rPr>
      </w:pPr>
      <w:r w:rsidRPr="003A1A47">
        <w:t>(6)</w:t>
      </w:r>
      <w:r w:rsidRPr="003A1A47">
        <w:tab/>
      </w:r>
      <w:r w:rsidR="00683752" w:rsidRPr="00850E90">
        <w:rPr>
          <w:noProof/>
        </w:rPr>
        <w:t>Venemaa Föderatsiooni otsus tunnustada Ukraina Donetski ja Luhanski oblastite väljaspool valitsuse kontrolli olevaid alasid sõltumatute üksustena ning sellele järgnenud otsus saata Venemaa väed Ukrainasse õõnestavad veelgi Ukraina territoriaalset terviklikkust, suveräänsust ja sõltumatust ning kujutavad endast rahvusvahelise õiguse ja rahvusvaheliste lepingute, sealhulgas ÜRO põhikirja, Helsingi lõppakti, Pariisi harta ja Budapest</w:t>
      </w:r>
      <w:r w:rsidR="00B475A3">
        <w:rPr>
          <w:noProof/>
        </w:rPr>
        <w:t>i memorandumi rasket rikkumist.</w:t>
      </w:r>
    </w:p>
    <w:p w14:paraId="66F855A0" w14:textId="44454315" w:rsidR="00F231C2" w:rsidRPr="00850E90" w:rsidRDefault="003A1A47" w:rsidP="003A1A47">
      <w:pPr>
        <w:pStyle w:val="ManualConsidrant"/>
        <w:rPr>
          <w:noProof/>
        </w:rPr>
      </w:pPr>
      <w:r w:rsidRPr="003A1A47">
        <w:t>(7)</w:t>
      </w:r>
      <w:r w:rsidRPr="003A1A47">
        <w:tab/>
      </w:r>
      <w:r w:rsidR="00F231C2" w:rsidRPr="00850E90">
        <w:rPr>
          <w:noProof/>
        </w:rPr>
        <w:t>Alates Venemaa provotseerimata ja õigustamatu Ukraina-vastase agressiooni algusest 24. veebruaril 2022 on olukord halvenenud ning Venemaa on oma täielikku või osalist okupatsiooni Ukraina ida- ja lõunapoolsetes piirkondades laiendanud. Ühtlasi kasutab Venemaa Ukraina suurimat tuumaelektrijaama Zaporižžjas sõjaväebaasina ning see tekitab ulatusliku tuumaintsidendi riski, mille mõju võib kanduda naaberriikidesse, sealhulgas liikmesriikidesse.</w:t>
      </w:r>
    </w:p>
    <w:p w14:paraId="5FF9BB68" w14:textId="70994DA9" w:rsidR="00D3079F" w:rsidRPr="00850E90" w:rsidRDefault="003A1A47" w:rsidP="003A1A47">
      <w:pPr>
        <w:pStyle w:val="ManualConsidrant"/>
        <w:rPr>
          <w:noProof/>
        </w:rPr>
      </w:pPr>
      <w:r w:rsidRPr="003A1A47">
        <w:t>(8)</w:t>
      </w:r>
      <w:r w:rsidRPr="003A1A47">
        <w:tab/>
      </w:r>
      <w:r w:rsidR="00D3079F" w:rsidRPr="00850E90">
        <w:rPr>
          <w:noProof/>
        </w:rPr>
        <w:t>24. veebruaril 2022 mõistis Euroopa Ülemkogu Venemaa provotseerimata ja õigustamatu sõjalise agressiooni Ukraina vastu kõige karmimalt hukka ning väljendas koos oma rahvusvaheliste partneritega täielikku solidaarsust Ukrainaga ja ukraina rahvaga. Oma ebaseadusliku sõjalise tegevusega rikub Venemaa rängalt rahvusvahelist õigust ning õõnestab Euroopa ja kogu maailma julgeolekut ja stabiilsust. Seejärel võttis liit 25. veebruaril vastu täiendavad piiravad meetmed, millega peatati vastuseks Venemaa provotseerimata ja õigustamatule sõjalisele agressioonile osaliselt lepingu kohaldamine</w:t>
      </w:r>
      <w:r w:rsidR="00D3079F" w:rsidRPr="00850E90">
        <w:rPr>
          <w:rStyle w:val="FootnoteReference"/>
          <w:noProof/>
        </w:rPr>
        <w:footnoteReference w:id="9"/>
      </w:r>
      <w:r w:rsidR="00D3079F" w:rsidRPr="00850E90">
        <w:rPr>
          <w:noProof/>
        </w:rPr>
        <w:t>.</w:t>
      </w:r>
    </w:p>
    <w:p w14:paraId="0A976E49" w14:textId="5BE80F21" w:rsidR="00670BC2" w:rsidRPr="00850E90" w:rsidRDefault="003A1A47" w:rsidP="003A1A47">
      <w:pPr>
        <w:pStyle w:val="ManualConsidrant"/>
        <w:rPr>
          <w:noProof/>
        </w:rPr>
      </w:pPr>
      <w:r w:rsidRPr="003A1A47">
        <w:t>(9)</w:t>
      </w:r>
      <w:r w:rsidRPr="003A1A47">
        <w:tab/>
      </w:r>
      <w:r w:rsidR="00485D09" w:rsidRPr="00850E90">
        <w:rPr>
          <w:noProof/>
        </w:rPr>
        <w:t>Sõjaline agressioon, mis leiab aset Euroopa Liiduga piirnevas riigis, nagu see on toimunud Ukrainas, ja mille puhul on kehtestatud piiravad meetmed, õigustab meetmeid, mille mõte on kaitsta Euroopa Liidu ja selle liikmesriikide olulisi julgeolekuhuve.</w:t>
      </w:r>
    </w:p>
    <w:p w14:paraId="6E6E9067" w14:textId="4E20D068" w:rsidR="00D24567" w:rsidRPr="00850E90" w:rsidRDefault="003A1A47" w:rsidP="003A1A47">
      <w:pPr>
        <w:pStyle w:val="ManualConsidrant"/>
        <w:rPr>
          <w:noProof/>
        </w:rPr>
      </w:pPr>
      <w:r w:rsidRPr="003A1A47">
        <w:t>(10)</w:t>
      </w:r>
      <w:r w:rsidRPr="003A1A47">
        <w:tab/>
      </w:r>
      <w:r w:rsidR="00D24567" w:rsidRPr="00850E90">
        <w:rPr>
          <w:noProof/>
        </w:rPr>
        <w:t>Venemaa Föderatsioon on rikkunud ka Minski kokkuleppeid, õõnestades Ukraina territoriaalset terviklikkust, suveräänsust ja sõltumatust. See on vastuolus Venemaa Föderatsiooni rahvusvaheliste kohustustega.</w:t>
      </w:r>
    </w:p>
    <w:p w14:paraId="22A6ADDD" w14:textId="3E2C8CC2" w:rsidR="00D24567" w:rsidRPr="00850E90" w:rsidRDefault="003A1A47" w:rsidP="003A1A47">
      <w:pPr>
        <w:pStyle w:val="ManualConsidrant"/>
        <w:rPr>
          <w:noProof/>
        </w:rPr>
      </w:pPr>
      <w:r w:rsidRPr="003A1A47">
        <w:t>(11)</w:t>
      </w:r>
      <w:r w:rsidRPr="003A1A47">
        <w:tab/>
      </w:r>
      <w:r w:rsidR="00670BC2" w:rsidRPr="00850E90">
        <w:rPr>
          <w:noProof/>
        </w:rPr>
        <w:t xml:space="preserve">Venemaa Föderatsiooni sõjategevus Ukrainas on suurendanud ohtu liikmesriikide avalikule korrale, riiklikule </w:t>
      </w:r>
      <w:r w:rsidR="00B475A3">
        <w:rPr>
          <w:noProof/>
        </w:rPr>
        <w:t>julgeolekule ja rahvatervisele.</w:t>
      </w:r>
    </w:p>
    <w:p w14:paraId="6F68C73B" w14:textId="3AE3547A" w:rsidR="0069547A" w:rsidRPr="00850E90" w:rsidRDefault="003A1A47" w:rsidP="003A1A47">
      <w:pPr>
        <w:pStyle w:val="ManualConsidrant"/>
        <w:rPr>
          <w:noProof/>
        </w:rPr>
      </w:pPr>
      <w:r w:rsidRPr="003A1A47">
        <w:t>(12)</w:t>
      </w:r>
      <w:r w:rsidRPr="003A1A47">
        <w:tab/>
      </w:r>
      <w:r w:rsidR="0069547A" w:rsidRPr="00850E90">
        <w:rPr>
          <w:noProof/>
        </w:rPr>
        <w:t>Seetõttu leiab nõukogu, et võttes arvesse halvenevat olukorda, mille on põhjustanud Venemaa sõjaline agressioon Ukraina vastu, tuleks lepingu nende sätete kohaldamine, millega nähakse ette lihtsustused Venemaa Föderatsiooni kodanikele, kes taotlevad lühiajal</w:t>
      </w:r>
      <w:r w:rsidR="00B475A3">
        <w:rPr>
          <w:noProof/>
        </w:rPr>
        <w:t>ist viisat, täielikult peatada.</w:t>
      </w:r>
    </w:p>
    <w:p w14:paraId="21B01B5F" w14:textId="2AB69E4A" w:rsidR="00392EDD" w:rsidRPr="00850E90" w:rsidRDefault="003A1A47" w:rsidP="003A1A47">
      <w:pPr>
        <w:pStyle w:val="ManualConsidrant"/>
        <w:rPr>
          <w:noProof/>
        </w:rPr>
      </w:pPr>
      <w:r w:rsidRPr="003A1A47">
        <w:t>(13)</w:t>
      </w:r>
      <w:r w:rsidRPr="003A1A47">
        <w:tab/>
      </w:r>
      <w:r w:rsidR="00392EDD" w:rsidRPr="00850E90">
        <w:rPr>
          <w:noProof/>
        </w:rPr>
        <w:t xml:space="preserve">Käesolev otsus kujutab endast nende Schengeni </w:t>
      </w:r>
      <w:r w:rsidR="00392EDD" w:rsidRPr="00850E90">
        <w:rPr>
          <w:i/>
          <w:noProof/>
        </w:rPr>
        <w:t>acquis</w:t>
      </w:r>
      <w:r w:rsidR="00392EDD" w:rsidRPr="00850E90">
        <w:rPr>
          <w:noProof/>
        </w:rPr>
        <w:t>’ sätete edasiarendamist, milles Iirimaa vastavalt nõukogu otsusele 2002/192/EÜ ei osale; seetõttu ei osale Iirimaa käesoleva otsuse vastuvõtmisel, see ei ole tema suhtes siduv ega kohaldatav.</w:t>
      </w:r>
    </w:p>
    <w:p w14:paraId="7C16C594" w14:textId="5814A2CE" w:rsidR="0069547A" w:rsidRPr="00850E90" w:rsidRDefault="003A1A47" w:rsidP="003A1A47">
      <w:pPr>
        <w:pStyle w:val="ManualConsidrant"/>
        <w:rPr>
          <w:noProof/>
        </w:rPr>
      </w:pPr>
      <w:r w:rsidRPr="003A1A47">
        <w:t>(14)</w:t>
      </w:r>
      <w:r w:rsidRPr="003A1A47">
        <w:tab/>
      </w:r>
      <w:r w:rsidR="00392EDD" w:rsidRPr="00850E90">
        <w:rPr>
          <w:noProof/>
        </w:rPr>
        <w:t>Euroopa Liidu lepingule ja Euroopa Liidu toimimise lepingule lisatud protokolli nr 22 (Taani seisukoha kohta) artiklite 1 ja 2 kohaselt ei osale Taani käesoleva otsuse vastuvõtmisel ning see ei ole tema suhtes siduv ega kohaldatav,</w:t>
      </w:r>
    </w:p>
    <w:p w14:paraId="10A6B634" w14:textId="77777777" w:rsidR="00552A56" w:rsidRPr="00850E90" w:rsidRDefault="00552A56" w:rsidP="00933131">
      <w:pPr>
        <w:rPr>
          <w:noProof/>
        </w:rPr>
      </w:pPr>
    </w:p>
    <w:p w14:paraId="66A8B10B" w14:textId="735F86A3" w:rsidR="0069547A" w:rsidRPr="00850E90" w:rsidRDefault="0069547A" w:rsidP="0069547A">
      <w:pPr>
        <w:pStyle w:val="Formuledadoption"/>
        <w:rPr>
          <w:noProof/>
        </w:rPr>
      </w:pPr>
      <w:r w:rsidRPr="00850E90">
        <w:rPr>
          <w:noProof/>
        </w:rPr>
        <w:t>ON</w:t>
      </w:r>
      <w:r w:rsidR="00B475A3">
        <w:rPr>
          <w:noProof/>
        </w:rPr>
        <w:t xml:space="preserve"> VASTU VÕTNUD KÄESOLEVA OTSUSE:</w:t>
      </w:r>
    </w:p>
    <w:p w14:paraId="709CF020" w14:textId="77777777" w:rsidR="0069547A" w:rsidRPr="00850E90" w:rsidRDefault="0069547A" w:rsidP="0069547A">
      <w:pPr>
        <w:pStyle w:val="Titrearticle"/>
        <w:rPr>
          <w:noProof/>
        </w:rPr>
      </w:pPr>
      <w:r w:rsidRPr="00850E90">
        <w:rPr>
          <w:noProof/>
        </w:rPr>
        <w:t>Artikkel 1</w:t>
      </w:r>
    </w:p>
    <w:p w14:paraId="4FB4E280" w14:textId="03BCE54F" w:rsidR="00BE0DA3" w:rsidRPr="00850E90" w:rsidRDefault="0069547A" w:rsidP="00BE0DA3">
      <w:pPr>
        <w:rPr>
          <w:noProof/>
        </w:rPr>
      </w:pPr>
      <w:r w:rsidRPr="00850E90">
        <w:rPr>
          <w:noProof/>
        </w:rPr>
        <w:t>Lepingu sätete kohaldamine Venemaa Föderatsiooni kodanike suhtes p</w:t>
      </w:r>
      <w:r w:rsidR="00B475A3">
        <w:rPr>
          <w:noProof/>
        </w:rPr>
        <w:t>eatatakse tervikuna.</w:t>
      </w:r>
    </w:p>
    <w:p w14:paraId="69623179" w14:textId="77777777" w:rsidR="00322A11" w:rsidRPr="00850E90" w:rsidRDefault="00322A11" w:rsidP="00590D5C">
      <w:pPr>
        <w:rPr>
          <w:noProof/>
        </w:rPr>
      </w:pPr>
    </w:p>
    <w:p w14:paraId="7710DB27" w14:textId="77777777" w:rsidR="0069547A" w:rsidRPr="00850E90" w:rsidRDefault="0069547A" w:rsidP="0069547A">
      <w:pPr>
        <w:pStyle w:val="Titrearticle"/>
        <w:keepNext w:val="0"/>
        <w:rPr>
          <w:noProof/>
        </w:rPr>
      </w:pPr>
      <w:r w:rsidRPr="00850E90">
        <w:rPr>
          <w:noProof/>
        </w:rPr>
        <w:t>Artikkel 2</w:t>
      </w:r>
    </w:p>
    <w:p w14:paraId="5CB44C18" w14:textId="5201C3BB" w:rsidR="00687AE3" w:rsidRPr="00850E90" w:rsidRDefault="00320F25" w:rsidP="00040BFE">
      <w:pPr>
        <w:rPr>
          <w:noProof/>
        </w:rPr>
      </w:pPr>
      <w:r w:rsidRPr="00850E90">
        <w:rPr>
          <w:noProof/>
        </w:rPr>
        <w:t>Nõukogu otsus (EL) 2022/333 asendatakse käesoleva otsusega.</w:t>
      </w:r>
    </w:p>
    <w:p w14:paraId="0BD82856" w14:textId="77777777" w:rsidR="00040BFE" w:rsidRPr="00850E90" w:rsidRDefault="00040BFE" w:rsidP="00040BFE">
      <w:pPr>
        <w:rPr>
          <w:noProof/>
        </w:rPr>
      </w:pPr>
      <w:r w:rsidRPr="00850E90">
        <w:rPr>
          <w:noProof/>
        </w:rPr>
        <w:t xml:space="preserve">Käesolev otsus jõustub teisel päeval pärast selle avaldamist </w:t>
      </w:r>
      <w:r w:rsidRPr="00850E90">
        <w:rPr>
          <w:i/>
          <w:noProof/>
        </w:rPr>
        <w:t>Euroopa Liidu Teatajas</w:t>
      </w:r>
      <w:r w:rsidRPr="00850E90">
        <w:rPr>
          <w:noProof/>
        </w:rPr>
        <w:t xml:space="preserve"> ja Venemaa Föderatsiooni teavitamist.</w:t>
      </w:r>
    </w:p>
    <w:p w14:paraId="7E902921" w14:textId="6D6B029A" w:rsidR="00040BFE" w:rsidRPr="00850E90" w:rsidRDefault="00F93B97" w:rsidP="00B878BB">
      <w:pPr>
        <w:pStyle w:val="Fait"/>
        <w:rPr>
          <w:noProof/>
        </w:rPr>
      </w:pPr>
      <w:r w:rsidRPr="00F93B97">
        <w:t>Brüssel,</w:t>
      </w:r>
    </w:p>
    <w:p w14:paraId="7B86D889" w14:textId="77777777" w:rsidR="00F3612F" w:rsidRPr="00850E90" w:rsidRDefault="00F3612F" w:rsidP="00B878BB">
      <w:pPr>
        <w:pStyle w:val="Institutionquisigne"/>
        <w:rPr>
          <w:noProof/>
        </w:rPr>
      </w:pPr>
      <w:r w:rsidRPr="00850E90">
        <w:rPr>
          <w:noProof/>
        </w:rPr>
        <w:tab/>
        <w:t>Nõukogu nimel</w:t>
      </w:r>
    </w:p>
    <w:p w14:paraId="7F2E0237" w14:textId="77777777" w:rsidR="00F3612F" w:rsidRPr="00850E90" w:rsidRDefault="00F3612F" w:rsidP="00351994">
      <w:pPr>
        <w:pStyle w:val="Personnequisigne"/>
        <w:rPr>
          <w:noProof/>
        </w:rPr>
      </w:pPr>
      <w:r w:rsidRPr="00850E90">
        <w:rPr>
          <w:noProof/>
        </w:rPr>
        <w:tab/>
        <w:t>eesistuja</w:t>
      </w:r>
    </w:p>
    <w:sectPr w:rsidR="00F3612F" w:rsidRPr="00850E90" w:rsidSect="00B04518">
      <w:pgSz w:w="11907"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F1AAE" w14:textId="77777777" w:rsidR="00EA715D" w:rsidRDefault="00EA715D" w:rsidP="00F3612F">
      <w:pPr>
        <w:spacing w:before="0" w:after="0"/>
      </w:pPr>
      <w:r>
        <w:separator/>
      </w:r>
    </w:p>
  </w:endnote>
  <w:endnote w:type="continuationSeparator" w:id="0">
    <w:p w14:paraId="5591B899" w14:textId="77777777" w:rsidR="00EA715D" w:rsidRDefault="00EA715D" w:rsidP="00F3612F">
      <w:pPr>
        <w:spacing w:before="0" w:after="0"/>
      </w:pPr>
      <w:r>
        <w:continuationSeparator/>
      </w:r>
    </w:p>
  </w:endnote>
  <w:endnote w:type="continuationNotice" w:id="1">
    <w:p w14:paraId="54F8AC1C" w14:textId="77777777" w:rsidR="00EA715D" w:rsidRDefault="00EA715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E2A6C" w14:textId="019E7B99" w:rsidR="00850E90" w:rsidRPr="00B04518" w:rsidRDefault="00B04518" w:rsidP="00B04518">
    <w:pPr>
      <w:pStyle w:val="Footer"/>
      <w:rPr>
        <w:rFonts w:ascii="Arial" w:hAnsi="Arial" w:cs="Arial"/>
        <w:b/>
        <w:sz w:val="48"/>
      </w:rPr>
    </w:pPr>
    <w:r w:rsidRPr="00B04518">
      <w:rPr>
        <w:rFonts w:ascii="Arial" w:hAnsi="Arial" w:cs="Arial"/>
        <w:b/>
        <w:sz w:val="48"/>
      </w:rPr>
      <w:t>ET</w:t>
    </w:r>
    <w:r w:rsidRPr="00B04518">
      <w:rPr>
        <w:rFonts w:ascii="Arial" w:hAnsi="Arial" w:cs="Arial"/>
        <w:b/>
        <w:sz w:val="48"/>
      </w:rPr>
      <w:tab/>
    </w:r>
    <w:r w:rsidRPr="00B04518">
      <w:rPr>
        <w:rFonts w:ascii="Arial" w:hAnsi="Arial" w:cs="Arial"/>
        <w:b/>
        <w:sz w:val="48"/>
      </w:rPr>
      <w:tab/>
    </w:r>
    <w:r w:rsidRPr="00B04518">
      <w:tab/>
    </w:r>
    <w:r w:rsidRPr="00B04518">
      <w:rPr>
        <w:rFonts w:ascii="Arial" w:hAnsi="Arial" w:cs="Arial"/>
        <w:b/>
        <w:sz w:val="48"/>
      </w:rPr>
      <w:t>ET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171A2" w14:textId="656054F9" w:rsidR="00B04518" w:rsidRPr="00B04518" w:rsidRDefault="00B04518" w:rsidP="00B04518">
    <w:pPr>
      <w:pStyle w:val="Footer"/>
      <w:rPr>
        <w:rFonts w:ascii="Arial" w:hAnsi="Arial" w:cs="Arial"/>
        <w:b/>
        <w:sz w:val="48"/>
      </w:rPr>
    </w:pPr>
    <w:r w:rsidRPr="00B04518">
      <w:rPr>
        <w:rFonts w:ascii="Arial" w:hAnsi="Arial" w:cs="Arial"/>
        <w:b/>
        <w:sz w:val="48"/>
      </w:rPr>
      <w:t>ET</w:t>
    </w:r>
    <w:r w:rsidRPr="00B04518">
      <w:rPr>
        <w:rFonts w:ascii="Arial" w:hAnsi="Arial" w:cs="Arial"/>
        <w:b/>
        <w:sz w:val="48"/>
      </w:rPr>
      <w:tab/>
    </w:r>
    <w:r>
      <w:fldChar w:fldCharType="begin"/>
    </w:r>
    <w:r>
      <w:instrText xml:space="preserve"> PAGE  \* MERGEFORMAT </w:instrText>
    </w:r>
    <w:r>
      <w:fldChar w:fldCharType="separate"/>
    </w:r>
    <w:r w:rsidR="00B878BB">
      <w:rPr>
        <w:noProof/>
      </w:rPr>
      <w:t>7</w:t>
    </w:r>
    <w:r>
      <w:fldChar w:fldCharType="end"/>
    </w:r>
    <w:r>
      <w:tab/>
    </w:r>
    <w:r w:rsidRPr="00B04518">
      <w:tab/>
    </w:r>
    <w:r w:rsidRPr="00B04518">
      <w:rPr>
        <w:rFonts w:ascii="Arial" w:hAnsi="Arial" w:cs="Arial"/>
        <w:b/>
        <w:sz w:val="48"/>
      </w:rPr>
      <w:t>ET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D884A" w14:textId="77777777" w:rsidR="00B04518" w:rsidRPr="00B04518" w:rsidRDefault="00B04518" w:rsidP="00B04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78D94" w14:textId="77777777" w:rsidR="00EA715D" w:rsidRDefault="00EA715D" w:rsidP="00F3612F">
      <w:pPr>
        <w:spacing w:before="0" w:after="0"/>
      </w:pPr>
      <w:r>
        <w:separator/>
      </w:r>
    </w:p>
  </w:footnote>
  <w:footnote w:type="continuationSeparator" w:id="0">
    <w:p w14:paraId="6005C12C" w14:textId="77777777" w:rsidR="00EA715D" w:rsidRDefault="00EA715D" w:rsidP="00F3612F">
      <w:pPr>
        <w:spacing w:before="0" w:after="0"/>
      </w:pPr>
      <w:r>
        <w:continuationSeparator/>
      </w:r>
    </w:p>
  </w:footnote>
  <w:footnote w:type="continuationNotice" w:id="1">
    <w:p w14:paraId="797F49BD" w14:textId="77777777" w:rsidR="00EA715D" w:rsidRDefault="00EA715D">
      <w:pPr>
        <w:spacing w:before="0" w:after="0"/>
      </w:pPr>
    </w:p>
  </w:footnote>
  <w:footnote w:id="2">
    <w:p w14:paraId="39DE577C" w14:textId="77777777" w:rsidR="00361C1D" w:rsidRDefault="00361C1D" w:rsidP="007B5C08">
      <w:pPr>
        <w:pStyle w:val="FootnoteText"/>
        <w:ind w:left="0" w:firstLine="0"/>
      </w:pPr>
      <w:r>
        <w:rPr>
          <w:rStyle w:val="FootnoteReference"/>
        </w:rPr>
        <w:footnoteRef/>
      </w:r>
      <w:r>
        <w:tab/>
        <w:t>Euroopa Ühenduse ja Venemaa Föderatsiooni vaheline Euroopa Liidu ja Venemaa Föderatsiooni kodanikele viisade väljastamise lihtsustamise leping (ELT L 129, 17.5.2007).</w:t>
      </w:r>
    </w:p>
  </w:footnote>
  <w:footnote w:id="3">
    <w:p w14:paraId="21CEF402" w14:textId="686D5710" w:rsidR="00361C1D" w:rsidRPr="00FB623B" w:rsidRDefault="00361C1D" w:rsidP="007B5C08">
      <w:pPr>
        <w:pStyle w:val="FootnoteText"/>
        <w:ind w:left="0" w:firstLine="0"/>
      </w:pPr>
      <w:r>
        <w:rPr>
          <w:rStyle w:val="FootnoteReference"/>
        </w:rPr>
        <w:footnoteRef/>
      </w:r>
      <w:r>
        <w:tab/>
        <w:t>Nõukogu järeldused Ukraina kohta, välisasjade nõukogu is</w:t>
      </w:r>
      <w:r w:rsidR="00B475A3">
        <w:t>tung Brüsselis 3. märtsil 2014.</w:t>
      </w:r>
    </w:p>
  </w:footnote>
  <w:footnote w:id="4">
    <w:p w14:paraId="1B73C0E7" w14:textId="574DD01C" w:rsidR="00D12AF4" w:rsidRPr="00DF1395" w:rsidRDefault="00D12AF4" w:rsidP="00D12AF4">
      <w:pPr>
        <w:pStyle w:val="FootnoteText"/>
      </w:pPr>
      <w:r>
        <w:rPr>
          <w:rStyle w:val="FootnoteReference"/>
        </w:rPr>
        <w:footnoteRef/>
      </w:r>
      <w:r>
        <w:tab/>
        <w:t>Euroopa Ülemkogu järeldused, 24. veebruar 2022.</w:t>
      </w:r>
    </w:p>
  </w:footnote>
  <w:footnote w:id="5">
    <w:p w14:paraId="42BC1F08" w14:textId="16903B33" w:rsidR="00AA4F73" w:rsidRPr="001448BC" w:rsidRDefault="00AA4F73">
      <w:pPr>
        <w:pStyle w:val="FootnoteText"/>
      </w:pPr>
      <w:r>
        <w:rPr>
          <w:rStyle w:val="FootnoteReference"/>
        </w:rPr>
        <w:footnoteRef/>
      </w:r>
      <w:r>
        <w:tab/>
        <w:t>Nõukogu otsus (EL) 2022/333.</w:t>
      </w:r>
    </w:p>
  </w:footnote>
  <w:footnote w:id="6">
    <w:p w14:paraId="3949E2A9" w14:textId="79546C00" w:rsidR="00FA1EF1" w:rsidRPr="00752236" w:rsidRDefault="00FA1EF1" w:rsidP="00FA1EF1">
      <w:pPr>
        <w:pStyle w:val="FootnoteText"/>
        <w:ind w:left="0" w:firstLine="0"/>
      </w:pPr>
      <w:r>
        <w:rPr>
          <w:rStyle w:val="FootnoteReference"/>
        </w:rPr>
        <w:footnoteRef/>
      </w:r>
      <w:r>
        <w:tab/>
        <w:t>Komisjoni 6. juuni 2016. aasta rakendusotsus C(2016) 3347 final, millega kehtestatakse Iraanis, Iraagis ja Venemaa Föderatsioonis viisataotlejatelt nõutavate täiendavate dokumentide loetelu.</w:t>
      </w:r>
    </w:p>
    <w:p w14:paraId="0448240F" w14:textId="229A5114" w:rsidR="00FA1EF1" w:rsidRPr="00B475A3" w:rsidRDefault="00FA1EF1">
      <w:pPr>
        <w:pStyle w:val="FootnoteText"/>
      </w:pPr>
    </w:p>
  </w:footnote>
  <w:footnote w:id="7">
    <w:p w14:paraId="45FF49D3" w14:textId="77777777" w:rsidR="00E7198D" w:rsidRPr="0096383B" w:rsidRDefault="00E7198D" w:rsidP="007B5C08">
      <w:pPr>
        <w:pStyle w:val="FootnoteText"/>
        <w:ind w:left="0" w:firstLine="0"/>
      </w:pPr>
      <w:r>
        <w:rPr>
          <w:rStyle w:val="FootnoteReference"/>
        </w:rPr>
        <w:footnoteRef/>
      </w:r>
      <w:r>
        <w:tab/>
        <w:t>ELT L 129, 16.11.2007.</w:t>
      </w:r>
    </w:p>
  </w:footnote>
  <w:footnote w:id="8">
    <w:p w14:paraId="6DC00E46" w14:textId="77777777" w:rsidR="00361C1D" w:rsidRPr="0096383B" w:rsidRDefault="00361C1D" w:rsidP="007B5C08">
      <w:pPr>
        <w:pStyle w:val="FootnoteText"/>
        <w:ind w:left="0" w:firstLine="0"/>
      </w:pPr>
      <w:r>
        <w:rPr>
          <w:rStyle w:val="FootnoteReference"/>
        </w:rPr>
        <w:footnoteRef/>
      </w:r>
      <w:r>
        <w:tab/>
        <w:t>Euroopa Ühenduse ja Venemaa Föderatsiooni vaheline tagasivõtuleping (ELT L 129, 17.5.2007).</w:t>
      </w:r>
    </w:p>
  </w:footnote>
  <w:footnote w:id="9">
    <w:p w14:paraId="7BF07F79" w14:textId="65476061" w:rsidR="00836CF7" w:rsidRPr="00D06C54" w:rsidRDefault="00836CF7">
      <w:pPr>
        <w:pStyle w:val="FootnoteText"/>
      </w:pPr>
      <w:r>
        <w:rPr>
          <w:rStyle w:val="FootnoteReference"/>
        </w:rPr>
        <w:footnoteRef/>
      </w:r>
      <w:r>
        <w:tab/>
        <w:t>Nõukogu otsus (EL) 2022/333.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3"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6"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7"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1"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4"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6"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2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19"/>
  </w:num>
  <w:num w:numId="3">
    <w:abstractNumId w:val="7"/>
  </w:num>
  <w:num w:numId="4">
    <w:abstractNumId w:val="16"/>
  </w:num>
  <w:num w:numId="5">
    <w:abstractNumId w:val="15"/>
  </w:num>
  <w:num w:numId="6">
    <w:abstractNumId w:val="26"/>
  </w:num>
  <w:num w:numId="7">
    <w:abstractNumId w:val="23"/>
  </w:num>
  <w:num w:numId="8">
    <w:abstractNumId w:val="27"/>
  </w:num>
  <w:num w:numId="9">
    <w:abstractNumId w:val="28"/>
  </w:num>
  <w:num w:numId="10">
    <w:abstractNumId w:val="1"/>
  </w:num>
  <w:num w:numId="11">
    <w:abstractNumId w:val="9"/>
  </w:num>
  <w:num w:numId="12">
    <w:abstractNumId w:val="2"/>
  </w:num>
  <w:num w:numId="13">
    <w:abstractNumId w:val="10"/>
  </w:num>
  <w:num w:numId="14">
    <w:abstractNumId w:val="8"/>
  </w:num>
  <w:num w:numId="15">
    <w:abstractNumId w:val="17"/>
  </w:num>
  <w:num w:numId="16">
    <w:abstractNumId w:val="29"/>
    <w:lvlOverride w:ilvl="0">
      <w:startOverride w:val="1"/>
    </w:lvlOverride>
  </w:num>
  <w:num w:numId="17">
    <w:abstractNumId w:val="22"/>
  </w:num>
  <w:num w:numId="18">
    <w:abstractNumId w:val="11"/>
  </w:num>
  <w:num w:numId="19">
    <w:abstractNumId w:val="25"/>
  </w:num>
  <w:num w:numId="20">
    <w:abstractNumId w:val="6"/>
  </w:num>
  <w:num w:numId="21">
    <w:abstractNumId w:val="12"/>
  </w:num>
  <w:num w:numId="22">
    <w:abstractNumId w:val="13"/>
  </w:num>
  <w:num w:numId="23">
    <w:abstractNumId w:val="4"/>
  </w:num>
  <w:num w:numId="24">
    <w:abstractNumId w:val="24"/>
  </w:num>
  <w:num w:numId="25">
    <w:abstractNumId w:val="3"/>
  </w:num>
  <w:num w:numId="26">
    <w:abstractNumId w:val="14"/>
  </w:num>
  <w:num w:numId="27">
    <w:abstractNumId w:val="20"/>
  </w:num>
  <w:num w:numId="28">
    <w:abstractNumId w:val="21"/>
  </w:num>
  <w:num w:numId="29">
    <w:abstractNumId w:val="5"/>
  </w:num>
  <w:num w:numId="30">
    <w:abstractNumId w:val="18"/>
  </w:num>
  <w:num w:numId="31">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en-IE" w:vendorID="64" w:dllVersion="6" w:nlCheck="1" w:checkStyle="1"/>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BE" w:vendorID="64" w:dllVersion="0" w:nlCheck="1" w:checkStyle="0"/>
  <w:activeWritingStyle w:appName="MSWord" w:lang="fr-FR" w:vendorID="64" w:dllVersion="0" w:nlCheck="1" w:checkStyle="0"/>
  <w:activeWritingStyle w:appName="MSWord" w:lang="en-GB" w:vendorID="64" w:dllVersion="131078" w:nlCheck="1" w:checkStyle="1"/>
  <w:attachedTemplate r:id="rId1"/>
  <w:revisionView w:markup="0"/>
  <w:defaultTabStop w:val="720"/>
  <w:hyphenationZone w:val="425"/>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2-09-07 11:02:25"/>
    <w:docVar w:name="DQCResult_Distribution" w:val="0;0"/>
    <w:docVar w:name="DQCResult_DocumentContent" w:val="0;0"/>
    <w:docVar w:name="DQCResult_DocumentSize" w:val="0;0"/>
    <w:docVar w:name="DQCResult_InvalidFootnotes" w:val="0;0"/>
    <w:docVar w:name="DQCResult_LinkedStyles" w:val="0;0"/>
    <w:docVar w:name="DQCResult_ModifiedMarkers" w:val="0;0"/>
    <w:docVar w:name="DQCResult_ModifiedNumbering" w:val="0;0"/>
    <w:docVar w:name="DQCResult_Objects" w:val="0;0"/>
    <w:docVar w:name="DQCResult_StructureCheck" w:val="0;0"/>
    <w:docVar w:name="DQCResult_UnknownFonts" w:val="0;0"/>
    <w:docVar w:name="DQCStatus" w:val="Green"/>
    <w:docVar w:name="DQCVersion" w:val="3"/>
    <w:docVar w:name="DQCWithWarnings" w:val="0"/>
    <w:docVar w:name="LW_CORRIGENDUM" w:val="&lt;UNUSED&gt;"/>
    <w:docVar w:name="LW_COVERPAGE_EXISTS" w:val="True"/>
    <w:docVar w:name="LW_COVERPAGE_GUID" w:val="DF983F10-4A50-4E92-8931-BEDA40E9E0E5"/>
    <w:docVar w:name="LW_COVERPAGE_TYPE" w:val="1"/>
    <w:docVar w:name="LW_CROSSREFERENCE" w:val="&lt;UNUSED&gt;"/>
    <w:docVar w:name="LW_DocType" w:val="COM"/>
    <w:docVar w:name="LW_EMISSION" w:val="6.9.2022"/>
    <w:docVar w:name="LW_EMISSION_ISODATE" w:val="2022-09-06"/>
    <w:docVar w:name="LW_EMISSION_LOCATION" w:val="BRX"/>
    <w:docVar w:name="LW_EMISSION_PREFIX" w:val="Brüssel,"/>
    <w:docVar w:name="LW_EMISSION_SUFFIX" w:val=" "/>
    <w:docVar w:name="LW_ID_DOCMODEL" w:val="SJ-019"/>
    <w:docVar w:name="LW_ID_DOCSIGNATURE" w:val="SJ-019"/>
    <w:docVar w:name="LW_ID_DOCSTRUCTURE" w:val="COM/PL/ORG"/>
    <w:docVar w:name="LW_ID_DOCTYPE" w:val="SJ-019"/>
    <w:docVar w:name="LW_ID_EXP.MOTIFS.NEW" w:val="EM_PL_"/>
    <w:docVar w:name="LW_ID_STATUT" w:val="SJ-019"/>
    <w:docVar w:name="LW_INTERETEEE.CP" w:val="&lt;UNUSED&gt;"/>
    <w:docVar w:name="LW_LANGUE" w:val="ET"/>
    <w:docVar w:name="LW_LEVEL_OF_SENSITIVITY" w:val="Standard treatment"/>
    <w:docVar w:name="LW_NOM.INST" w:val="EUROOPA KOMISJON"/>
    <w:docVar w:name="LW_NOM.INST_JOINTDOC" w:val="&lt;EMPTY&gt;"/>
    <w:docVar w:name="LW_PART_NBR" w:val="1"/>
    <w:docVar w:name="LW_PART_NBR_TOTAL" w:val="1"/>
    <w:docVar w:name="LW_REF.II.NEW.CP" w:val="NLE"/>
    <w:docVar w:name="LW_REF.II.NEW.CP_NUMBER" w:val="0273"/>
    <w:docVar w:name="LW_REF.II.NEW.CP_YEAR" w:val="2022"/>
    <w:docVar w:name="LW_REF.INST.NEW" w:val="COM"/>
    <w:docVar w:name="LW_REF.INST.NEW_ADOPTED" w:val="final"/>
    <w:docVar w:name="LW_REF.INST.NEW_TEXT" w:val="(2022) 66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Ettepanek:"/>
    <w:docVar w:name="LW_SUPERTITRE" w:val="&lt;UNUSED&gt;"/>
    <w:docVar w:name="LW_TITRE.OBJ.CP" w:val="Euroopa Ühenduse ja Venemaa Föderatsiooni vahelise Euroopa Liidu ja Venemaa Föderatsiooni kodanikele viisade väljastamise lihtsustamise lepingu täitmise täieliku peatamise kohta _x000b_"/>
    <w:docVar w:name="LW_TYPE.DOC.CP" w:val="NÕUKOGU OTSUS"/>
    <w:docVar w:name="LwApiVersions" w:val="LW4CoDe 1.23.2.0; LW 8.0, Build 20211117"/>
  </w:docVars>
  <w:rsids>
    <w:rsidRoot w:val="00F3612F"/>
    <w:rsid w:val="000032BF"/>
    <w:rsid w:val="00004248"/>
    <w:rsid w:val="00004925"/>
    <w:rsid w:val="00007C9C"/>
    <w:rsid w:val="000122ED"/>
    <w:rsid w:val="000241BB"/>
    <w:rsid w:val="000303DC"/>
    <w:rsid w:val="00040BFE"/>
    <w:rsid w:val="000433DD"/>
    <w:rsid w:val="00043C71"/>
    <w:rsid w:val="00047D29"/>
    <w:rsid w:val="000532EE"/>
    <w:rsid w:val="000651FB"/>
    <w:rsid w:val="00075519"/>
    <w:rsid w:val="000804D4"/>
    <w:rsid w:val="00081201"/>
    <w:rsid w:val="00094B28"/>
    <w:rsid w:val="000A0F9A"/>
    <w:rsid w:val="000A369F"/>
    <w:rsid w:val="000A7517"/>
    <w:rsid w:val="000B34B0"/>
    <w:rsid w:val="000C0A58"/>
    <w:rsid w:val="000C2EA2"/>
    <w:rsid w:val="000C3645"/>
    <w:rsid w:val="000C5BF7"/>
    <w:rsid w:val="000D16D1"/>
    <w:rsid w:val="000D3743"/>
    <w:rsid w:val="000E0933"/>
    <w:rsid w:val="000E198E"/>
    <w:rsid w:val="000E75CC"/>
    <w:rsid w:val="000F0EC2"/>
    <w:rsid w:val="000F2260"/>
    <w:rsid w:val="00104B87"/>
    <w:rsid w:val="0010502F"/>
    <w:rsid w:val="0011017E"/>
    <w:rsid w:val="00111183"/>
    <w:rsid w:val="00111413"/>
    <w:rsid w:val="001222A2"/>
    <w:rsid w:val="00123067"/>
    <w:rsid w:val="0012533B"/>
    <w:rsid w:val="00137419"/>
    <w:rsid w:val="00141D99"/>
    <w:rsid w:val="001448BC"/>
    <w:rsid w:val="00150094"/>
    <w:rsid w:val="00152C03"/>
    <w:rsid w:val="001575A4"/>
    <w:rsid w:val="00165246"/>
    <w:rsid w:val="0017253A"/>
    <w:rsid w:val="00180921"/>
    <w:rsid w:val="00180C2C"/>
    <w:rsid w:val="00182E7B"/>
    <w:rsid w:val="00183C6A"/>
    <w:rsid w:val="00191960"/>
    <w:rsid w:val="00191ECE"/>
    <w:rsid w:val="001964D5"/>
    <w:rsid w:val="001A1691"/>
    <w:rsid w:val="001A3376"/>
    <w:rsid w:val="001A3E2E"/>
    <w:rsid w:val="001A6991"/>
    <w:rsid w:val="001A7699"/>
    <w:rsid w:val="001A7B11"/>
    <w:rsid w:val="001B0687"/>
    <w:rsid w:val="001B1016"/>
    <w:rsid w:val="001C151D"/>
    <w:rsid w:val="001C2816"/>
    <w:rsid w:val="001C7BDA"/>
    <w:rsid w:val="001D5952"/>
    <w:rsid w:val="001F4DAE"/>
    <w:rsid w:val="002043EF"/>
    <w:rsid w:val="00204DAB"/>
    <w:rsid w:val="00212B05"/>
    <w:rsid w:val="0023014D"/>
    <w:rsid w:val="00232E98"/>
    <w:rsid w:val="00241BDD"/>
    <w:rsid w:val="002437BA"/>
    <w:rsid w:val="0025221B"/>
    <w:rsid w:val="00252CC6"/>
    <w:rsid w:val="002655AD"/>
    <w:rsid w:val="00274B77"/>
    <w:rsid w:val="00291CFC"/>
    <w:rsid w:val="00296CE0"/>
    <w:rsid w:val="00296FFD"/>
    <w:rsid w:val="002B1220"/>
    <w:rsid w:val="002B4E3F"/>
    <w:rsid w:val="002B5987"/>
    <w:rsid w:val="002D0A70"/>
    <w:rsid w:val="002D2EF8"/>
    <w:rsid w:val="002E536E"/>
    <w:rsid w:val="002F01BF"/>
    <w:rsid w:val="00303B6D"/>
    <w:rsid w:val="00316322"/>
    <w:rsid w:val="00320F25"/>
    <w:rsid w:val="00322A11"/>
    <w:rsid w:val="00337668"/>
    <w:rsid w:val="00345DE3"/>
    <w:rsid w:val="00351994"/>
    <w:rsid w:val="00357D26"/>
    <w:rsid w:val="00361C1D"/>
    <w:rsid w:val="0037045B"/>
    <w:rsid w:val="00371743"/>
    <w:rsid w:val="003730C1"/>
    <w:rsid w:val="00376881"/>
    <w:rsid w:val="0039047E"/>
    <w:rsid w:val="00392EDD"/>
    <w:rsid w:val="003953E1"/>
    <w:rsid w:val="00395468"/>
    <w:rsid w:val="003A1A47"/>
    <w:rsid w:val="003A2BCD"/>
    <w:rsid w:val="003A6245"/>
    <w:rsid w:val="003A66E8"/>
    <w:rsid w:val="003B0425"/>
    <w:rsid w:val="003B5C7B"/>
    <w:rsid w:val="003C5581"/>
    <w:rsid w:val="003C65E3"/>
    <w:rsid w:val="003C7DE2"/>
    <w:rsid w:val="003D43C0"/>
    <w:rsid w:val="003E5625"/>
    <w:rsid w:val="003E6A9B"/>
    <w:rsid w:val="00403DBC"/>
    <w:rsid w:val="00406C5D"/>
    <w:rsid w:val="00406E4A"/>
    <w:rsid w:val="00414865"/>
    <w:rsid w:val="00415758"/>
    <w:rsid w:val="004165C9"/>
    <w:rsid w:val="00421E49"/>
    <w:rsid w:val="00424EF3"/>
    <w:rsid w:val="004275BC"/>
    <w:rsid w:val="00434A03"/>
    <w:rsid w:val="00436A7D"/>
    <w:rsid w:val="00450A04"/>
    <w:rsid w:val="00453A19"/>
    <w:rsid w:val="00456107"/>
    <w:rsid w:val="00461C5C"/>
    <w:rsid w:val="00464C47"/>
    <w:rsid w:val="00473B4E"/>
    <w:rsid w:val="00485D09"/>
    <w:rsid w:val="00485DF9"/>
    <w:rsid w:val="00491DF9"/>
    <w:rsid w:val="00496328"/>
    <w:rsid w:val="004A11F3"/>
    <w:rsid w:val="004A1DF1"/>
    <w:rsid w:val="004A31B4"/>
    <w:rsid w:val="004B1ED2"/>
    <w:rsid w:val="004B50B0"/>
    <w:rsid w:val="004B7121"/>
    <w:rsid w:val="004C3F68"/>
    <w:rsid w:val="004D31E0"/>
    <w:rsid w:val="004E023C"/>
    <w:rsid w:val="004F4A43"/>
    <w:rsid w:val="00507751"/>
    <w:rsid w:val="005129CE"/>
    <w:rsid w:val="00515FFE"/>
    <w:rsid w:val="005253B2"/>
    <w:rsid w:val="0053357C"/>
    <w:rsid w:val="00545366"/>
    <w:rsid w:val="00552A56"/>
    <w:rsid w:val="00554812"/>
    <w:rsid w:val="00564EB4"/>
    <w:rsid w:val="00566243"/>
    <w:rsid w:val="00567881"/>
    <w:rsid w:val="0057796A"/>
    <w:rsid w:val="00580522"/>
    <w:rsid w:val="00590D5C"/>
    <w:rsid w:val="00591197"/>
    <w:rsid w:val="005A12D9"/>
    <w:rsid w:val="005B1D5E"/>
    <w:rsid w:val="005B6F2A"/>
    <w:rsid w:val="005D0083"/>
    <w:rsid w:val="005D114E"/>
    <w:rsid w:val="005D15EA"/>
    <w:rsid w:val="005F1B7A"/>
    <w:rsid w:val="005F7CD4"/>
    <w:rsid w:val="006015C5"/>
    <w:rsid w:val="006032C2"/>
    <w:rsid w:val="006055CE"/>
    <w:rsid w:val="00614E36"/>
    <w:rsid w:val="00615600"/>
    <w:rsid w:val="00616D92"/>
    <w:rsid w:val="00620420"/>
    <w:rsid w:val="00631625"/>
    <w:rsid w:val="006368AB"/>
    <w:rsid w:val="00637BAD"/>
    <w:rsid w:val="00650D1F"/>
    <w:rsid w:val="006527CF"/>
    <w:rsid w:val="006560A5"/>
    <w:rsid w:val="00670BC2"/>
    <w:rsid w:val="00675B78"/>
    <w:rsid w:val="00683752"/>
    <w:rsid w:val="00687AE3"/>
    <w:rsid w:val="006909D1"/>
    <w:rsid w:val="0069547A"/>
    <w:rsid w:val="006B0B45"/>
    <w:rsid w:val="006C00A9"/>
    <w:rsid w:val="006D64A5"/>
    <w:rsid w:val="006D663F"/>
    <w:rsid w:val="006E1875"/>
    <w:rsid w:val="006E2AB0"/>
    <w:rsid w:val="006E41CC"/>
    <w:rsid w:val="006F707D"/>
    <w:rsid w:val="006F743E"/>
    <w:rsid w:val="00700204"/>
    <w:rsid w:val="0070128F"/>
    <w:rsid w:val="00703630"/>
    <w:rsid w:val="007060C3"/>
    <w:rsid w:val="00707C24"/>
    <w:rsid w:val="007113E6"/>
    <w:rsid w:val="007124CF"/>
    <w:rsid w:val="00712D8A"/>
    <w:rsid w:val="0071485E"/>
    <w:rsid w:val="00722707"/>
    <w:rsid w:val="007261A2"/>
    <w:rsid w:val="00730763"/>
    <w:rsid w:val="007361D1"/>
    <w:rsid w:val="00743A40"/>
    <w:rsid w:val="00746A97"/>
    <w:rsid w:val="00746FFA"/>
    <w:rsid w:val="00752236"/>
    <w:rsid w:val="00752669"/>
    <w:rsid w:val="007612FD"/>
    <w:rsid w:val="00761455"/>
    <w:rsid w:val="00765044"/>
    <w:rsid w:val="00774EF6"/>
    <w:rsid w:val="00777381"/>
    <w:rsid w:val="00782F45"/>
    <w:rsid w:val="007963D5"/>
    <w:rsid w:val="0079657B"/>
    <w:rsid w:val="00797972"/>
    <w:rsid w:val="007A02FF"/>
    <w:rsid w:val="007A3F79"/>
    <w:rsid w:val="007A5A53"/>
    <w:rsid w:val="007B0B27"/>
    <w:rsid w:val="007B54B6"/>
    <w:rsid w:val="007B568A"/>
    <w:rsid w:val="007B5BB3"/>
    <w:rsid w:val="007B5C08"/>
    <w:rsid w:val="007C06F6"/>
    <w:rsid w:val="007C565B"/>
    <w:rsid w:val="007D1E5F"/>
    <w:rsid w:val="007D6796"/>
    <w:rsid w:val="007D6E80"/>
    <w:rsid w:val="007E4230"/>
    <w:rsid w:val="007F7A79"/>
    <w:rsid w:val="00806AE8"/>
    <w:rsid w:val="00811B4D"/>
    <w:rsid w:val="00816367"/>
    <w:rsid w:val="00831999"/>
    <w:rsid w:val="00836CF7"/>
    <w:rsid w:val="008449A8"/>
    <w:rsid w:val="00850E90"/>
    <w:rsid w:val="008525BF"/>
    <w:rsid w:val="0085296C"/>
    <w:rsid w:val="00855666"/>
    <w:rsid w:val="00857D38"/>
    <w:rsid w:val="00864188"/>
    <w:rsid w:val="008668AF"/>
    <w:rsid w:val="00873F1C"/>
    <w:rsid w:val="00882828"/>
    <w:rsid w:val="00883287"/>
    <w:rsid w:val="00887926"/>
    <w:rsid w:val="00893BCE"/>
    <w:rsid w:val="008947BA"/>
    <w:rsid w:val="008A4211"/>
    <w:rsid w:val="008A4D6E"/>
    <w:rsid w:val="008A7644"/>
    <w:rsid w:val="008B1E63"/>
    <w:rsid w:val="008C1A6F"/>
    <w:rsid w:val="008C3BC2"/>
    <w:rsid w:val="008C561A"/>
    <w:rsid w:val="008F4202"/>
    <w:rsid w:val="008F796A"/>
    <w:rsid w:val="0090337C"/>
    <w:rsid w:val="00904ADE"/>
    <w:rsid w:val="00905803"/>
    <w:rsid w:val="00910957"/>
    <w:rsid w:val="00910EE5"/>
    <w:rsid w:val="0091384D"/>
    <w:rsid w:val="00914184"/>
    <w:rsid w:val="0091728B"/>
    <w:rsid w:val="00921C49"/>
    <w:rsid w:val="00922595"/>
    <w:rsid w:val="00933131"/>
    <w:rsid w:val="00936EC1"/>
    <w:rsid w:val="00941A78"/>
    <w:rsid w:val="00950E82"/>
    <w:rsid w:val="00954269"/>
    <w:rsid w:val="00962775"/>
    <w:rsid w:val="00963657"/>
    <w:rsid w:val="0096383B"/>
    <w:rsid w:val="0097199E"/>
    <w:rsid w:val="00972B75"/>
    <w:rsid w:val="00976E3E"/>
    <w:rsid w:val="009772AE"/>
    <w:rsid w:val="009817A9"/>
    <w:rsid w:val="00986B33"/>
    <w:rsid w:val="00987AD5"/>
    <w:rsid w:val="00987DE8"/>
    <w:rsid w:val="00995D9A"/>
    <w:rsid w:val="009A5FD1"/>
    <w:rsid w:val="009B4EEE"/>
    <w:rsid w:val="009B55F1"/>
    <w:rsid w:val="009B7138"/>
    <w:rsid w:val="009B7723"/>
    <w:rsid w:val="009C235B"/>
    <w:rsid w:val="009D0164"/>
    <w:rsid w:val="009D7C0A"/>
    <w:rsid w:val="009F19A1"/>
    <w:rsid w:val="00A00C35"/>
    <w:rsid w:val="00A02B1B"/>
    <w:rsid w:val="00A070AE"/>
    <w:rsid w:val="00A1043C"/>
    <w:rsid w:val="00A13ACC"/>
    <w:rsid w:val="00A223DF"/>
    <w:rsid w:val="00A22969"/>
    <w:rsid w:val="00A22C9E"/>
    <w:rsid w:val="00A3482E"/>
    <w:rsid w:val="00A363C6"/>
    <w:rsid w:val="00A44AC9"/>
    <w:rsid w:val="00A4685A"/>
    <w:rsid w:val="00A47975"/>
    <w:rsid w:val="00A54A78"/>
    <w:rsid w:val="00A61677"/>
    <w:rsid w:val="00A70A57"/>
    <w:rsid w:val="00A82526"/>
    <w:rsid w:val="00A849D0"/>
    <w:rsid w:val="00A84AA7"/>
    <w:rsid w:val="00A868D4"/>
    <w:rsid w:val="00A90A96"/>
    <w:rsid w:val="00A912B0"/>
    <w:rsid w:val="00A9442E"/>
    <w:rsid w:val="00AA4F73"/>
    <w:rsid w:val="00AA52C8"/>
    <w:rsid w:val="00AB2440"/>
    <w:rsid w:val="00AB3E89"/>
    <w:rsid w:val="00AB6A42"/>
    <w:rsid w:val="00AC3CE2"/>
    <w:rsid w:val="00AC6BA6"/>
    <w:rsid w:val="00AE07E9"/>
    <w:rsid w:val="00AE090B"/>
    <w:rsid w:val="00AF24CB"/>
    <w:rsid w:val="00AF6329"/>
    <w:rsid w:val="00AF644F"/>
    <w:rsid w:val="00AF7FF9"/>
    <w:rsid w:val="00B04518"/>
    <w:rsid w:val="00B17346"/>
    <w:rsid w:val="00B2354B"/>
    <w:rsid w:val="00B23F3A"/>
    <w:rsid w:val="00B3222C"/>
    <w:rsid w:val="00B34EC9"/>
    <w:rsid w:val="00B4686D"/>
    <w:rsid w:val="00B475A3"/>
    <w:rsid w:val="00B574AA"/>
    <w:rsid w:val="00B6235D"/>
    <w:rsid w:val="00B7712F"/>
    <w:rsid w:val="00B81A65"/>
    <w:rsid w:val="00B81B97"/>
    <w:rsid w:val="00B878BB"/>
    <w:rsid w:val="00B910E8"/>
    <w:rsid w:val="00B91FD6"/>
    <w:rsid w:val="00BB00EB"/>
    <w:rsid w:val="00BB56C3"/>
    <w:rsid w:val="00BB5D1F"/>
    <w:rsid w:val="00BD730D"/>
    <w:rsid w:val="00BE0DA3"/>
    <w:rsid w:val="00BE246D"/>
    <w:rsid w:val="00BE44C5"/>
    <w:rsid w:val="00BE7D0E"/>
    <w:rsid w:val="00BF17AA"/>
    <w:rsid w:val="00BF342D"/>
    <w:rsid w:val="00C03E52"/>
    <w:rsid w:val="00C133BA"/>
    <w:rsid w:val="00C148A7"/>
    <w:rsid w:val="00C2130C"/>
    <w:rsid w:val="00C24556"/>
    <w:rsid w:val="00C26158"/>
    <w:rsid w:val="00C27180"/>
    <w:rsid w:val="00C33079"/>
    <w:rsid w:val="00C36DB8"/>
    <w:rsid w:val="00C41C56"/>
    <w:rsid w:val="00C42447"/>
    <w:rsid w:val="00C46B40"/>
    <w:rsid w:val="00C5582E"/>
    <w:rsid w:val="00C603E6"/>
    <w:rsid w:val="00C72195"/>
    <w:rsid w:val="00C72EC4"/>
    <w:rsid w:val="00C74B66"/>
    <w:rsid w:val="00C74B6F"/>
    <w:rsid w:val="00C759C9"/>
    <w:rsid w:val="00C764E8"/>
    <w:rsid w:val="00C80648"/>
    <w:rsid w:val="00C936A5"/>
    <w:rsid w:val="00C96DB5"/>
    <w:rsid w:val="00CA3F09"/>
    <w:rsid w:val="00CA543E"/>
    <w:rsid w:val="00CA6B23"/>
    <w:rsid w:val="00CB0E24"/>
    <w:rsid w:val="00CB1346"/>
    <w:rsid w:val="00CB2EB4"/>
    <w:rsid w:val="00CB4F45"/>
    <w:rsid w:val="00CC4D75"/>
    <w:rsid w:val="00CD2A1E"/>
    <w:rsid w:val="00CE5635"/>
    <w:rsid w:val="00CF62E0"/>
    <w:rsid w:val="00D0005E"/>
    <w:rsid w:val="00D0355C"/>
    <w:rsid w:val="00D03CE6"/>
    <w:rsid w:val="00D06C54"/>
    <w:rsid w:val="00D12AF4"/>
    <w:rsid w:val="00D24567"/>
    <w:rsid w:val="00D27880"/>
    <w:rsid w:val="00D3079F"/>
    <w:rsid w:val="00D43049"/>
    <w:rsid w:val="00D44D1B"/>
    <w:rsid w:val="00D55D4E"/>
    <w:rsid w:val="00D563CC"/>
    <w:rsid w:val="00D56466"/>
    <w:rsid w:val="00D623EB"/>
    <w:rsid w:val="00D62E4A"/>
    <w:rsid w:val="00D77825"/>
    <w:rsid w:val="00D8424C"/>
    <w:rsid w:val="00D93654"/>
    <w:rsid w:val="00D93D1C"/>
    <w:rsid w:val="00D942B1"/>
    <w:rsid w:val="00DA52F3"/>
    <w:rsid w:val="00DA7B1A"/>
    <w:rsid w:val="00DB099C"/>
    <w:rsid w:val="00DB18F9"/>
    <w:rsid w:val="00DB36EC"/>
    <w:rsid w:val="00DB5DCA"/>
    <w:rsid w:val="00DC0689"/>
    <w:rsid w:val="00DC24F0"/>
    <w:rsid w:val="00DC6870"/>
    <w:rsid w:val="00DD776B"/>
    <w:rsid w:val="00DE3DFD"/>
    <w:rsid w:val="00DE602B"/>
    <w:rsid w:val="00DE71A0"/>
    <w:rsid w:val="00DF4CFF"/>
    <w:rsid w:val="00DF7A80"/>
    <w:rsid w:val="00E0108A"/>
    <w:rsid w:val="00E137BD"/>
    <w:rsid w:val="00E22BE8"/>
    <w:rsid w:val="00E31590"/>
    <w:rsid w:val="00E318A5"/>
    <w:rsid w:val="00E3553D"/>
    <w:rsid w:val="00E40CF9"/>
    <w:rsid w:val="00E5300A"/>
    <w:rsid w:val="00E62DE9"/>
    <w:rsid w:val="00E63309"/>
    <w:rsid w:val="00E7090C"/>
    <w:rsid w:val="00E70DD9"/>
    <w:rsid w:val="00E7198D"/>
    <w:rsid w:val="00E76ACB"/>
    <w:rsid w:val="00E77952"/>
    <w:rsid w:val="00E868BC"/>
    <w:rsid w:val="00E97A61"/>
    <w:rsid w:val="00EA34A2"/>
    <w:rsid w:val="00EA5CB2"/>
    <w:rsid w:val="00EA5EDD"/>
    <w:rsid w:val="00EA715D"/>
    <w:rsid w:val="00EB5010"/>
    <w:rsid w:val="00EB6C53"/>
    <w:rsid w:val="00EC19CC"/>
    <w:rsid w:val="00ED35FA"/>
    <w:rsid w:val="00ED39FC"/>
    <w:rsid w:val="00EE484D"/>
    <w:rsid w:val="00EE5184"/>
    <w:rsid w:val="00EE5E03"/>
    <w:rsid w:val="00F0093A"/>
    <w:rsid w:val="00F06788"/>
    <w:rsid w:val="00F20062"/>
    <w:rsid w:val="00F22D4E"/>
    <w:rsid w:val="00F231C2"/>
    <w:rsid w:val="00F34257"/>
    <w:rsid w:val="00F3612F"/>
    <w:rsid w:val="00F40E64"/>
    <w:rsid w:val="00F504E8"/>
    <w:rsid w:val="00F65FAA"/>
    <w:rsid w:val="00F6711E"/>
    <w:rsid w:val="00F67E31"/>
    <w:rsid w:val="00F77FB9"/>
    <w:rsid w:val="00F8507A"/>
    <w:rsid w:val="00F85FB4"/>
    <w:rsid w:val="00F86EF2"/>
    <w:rsid w:val="00F8700E"/>
    <w:rsid w:val="00F93B97"/>
    <w:rsid w:val="00FA1BB3"/>
    <w:rsid w:val="00FA1EF1"/>
    <w:rsid w:val="00FA3625"/>
    <w:rsid w:val="00FB18DC"/>
    <w:rsid w:val="00FB2A57"/>
    <w:rsid w:val="00FB4160"/>
    <w:rsid w:val="00FB4E77"/>
    <w:rsid w:val="00FB5FF2"/>
    <w:rsid w:val="00FB623B"/>
    <w:rsid w:val="00FC2FD4"/>
    <w:rsid w:val="00FC3639"/>
    <w:rsid w:val="00FC67E2"/>
    <w:rsid w:val="00FC6F31"/>
    <w:rsid w:val="00FD1698"/>
    <w:rsid w:val="00FD2D2D"/>
    <w:rsid w:val="00FD5A8D"/>
    <w:rsid w:val="00FE61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11C1ADF"/>
  <w15:docId w15:val="{AC4B7603-1580-4BB5-B320-64C8EDB4E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t-EE"/>
    </w:rPr>
  </w:style>
  <w:style w:type="paragraph" w:styleId="Heading1">
    <w:name w:val="heading 1"/>
    <w:basedOn w:val="Normal"/>
    <w:next w:val="Text1"/>
    <w:link w:val="Heading1Char"/>
    <w:uiPriority w:val="9"/>
    <w:qFormat/>
    <w:rsid w:val="00517205"/>
    <w:pPr>
      <w:keepNext/>
      <w:numPr>
        <w:numId w:val="2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517205"/>
    <w:pPr>
      <w:keepNext/>
      <w:numPr>
        <w:ilvl w:val="1"/>
        <w:numId w:val="2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517205"/>
    <w:pPr>
      <w:keepNext/>
      <w:numPr>
        <w:ilvl w:val="2"/>
        <w:numId w:val="24"/>
      </w:numPr>
      <w:outlineLvl w:val="2"/>
    </w:pPr>
    <w:rPr>
      <w:rFonts w:eastAsiaTheme="majorEastAsia"/>
      <w:bCs/>
      <w:i/>
    </w:rPr>
  </w:style>
  <w:style w:type="paragraph" w:styleId="Heading4">
    <w:name w:val="heading 4"/>
    <w:basedOn w:val="Normal"/>
    <w:next w:val="Text1"/>
    <w:link w:val="Heading4Char"/>
    <w:uiPriority w:val="9"/>
    <w:semiHidden/>
    <w:unhideWhenUsed/>
    <w:qFormat/>
    <w:rsid w:val="00517205"/>
    <w:pPr>
      <w:keepNext/>
      <w:numPr>
        <w:ilvl w:val="3"/>
        <w:numId w:val="24"/>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17205"/>
    <w:pPr>
      <w:keepNext/>
      <w:numPr>
        <w:ilvl w:val="4"/>
        <w:numId w:val="24"/>
      </w:numPr>
      <w:outlineLvl w:val="4"/>
    </w:pPr>
    <w:rPr>
      <w:rFonts w:eastAsiaTheme="majorEastAsia"/>
    </w:rPr>
  </w:style>
  <w:style w:type="paragraph" w:styleId="Heading6">
    <w:name w:val="heading 6"/>
    <w:basedOn w:val="Normal"/>
    <w:next w:val="Text2"/>
    <w:link w:val="Heading6Char"/>
    <w:uiPriority w:val="9"/>
    <w:semiHidden/>
    <w:unhideWhenUsed/>
    <w:qFormat/>
    <w:rsid w:val="00517205"/>
    <w:pPr>
      <w:keepNext/>
      <w:numPr>
        <w:ilvl w:val="5"/>
        <w:numId w:val="24"/>
      </w:numPr>
      <w:outlineLvl w:val="5"/>
    </w:pPr>
    <w:rPr>
      <w:rFonts w:eastAsiaTheme="majorEastAsia"/>
      <w:iCs/>
    </w:rPr>
  </w:style>
  <w:style w:type="paragraph" w:styleId="Heading7">
    <w:name w:val="heading 7"/>
    <w:basedOn w:val="Normal"/>
    <w:next w:val="Text2"/>
    <w:link w:val="Heading7Char"/>
    <w:uiPriority w:val="9"/>
    <w:semiHidden/>
    <w:unhideWhenUsed/>
    <w:qFormat/>
    <w:rsid w:val="00517205"/>
    <w:pPr>
      <w:keepNext/>
      <w:numPr>
        <w:ilvl w:val="6"/>
        <w:numId w:val="24"/>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rsid w:val="00F3612F"/>
    <w:pPr>
      <w:numPr>
        <w:numId w:val="2"/>
      </w:numPr>
    </w:pPr>
    <w:rPr>
      <w:rFonts w:eastAsia="Times New Roman"/>
      <w:lang w:eastAsia="de-DE"/>
    </w:rPr>
  </w:style>
  <w:style w:type="paragraph" w:styleId="ListNumber">
    <w:name w:val="List Number"/>
    <w:basedOn w:val="Normal"/>
    <w:rsid w:val="00F3612F"/>
    <w:pPr>
      <w:numPr>
        <w:numId w:val="6"/>
      </w:numPr>
    </w:pPr>
    <w:rPr>
      <w:rFonts w:eastAsia="Times New Roman"/>
      <w:lang w:eastAsia="de-DE"/>
    </w:rPr>
  </w:style>
  <w:style w:type="paragraph" w:customStyle="1" w:styleId="ListBullet1">
    <w:name w:val="List Bullet 1"/>
    <w:basedOn w:val="Normal"/>
    <w:rsid w:val="00F3612F"/>
    <w:pPr>
      <w:numPr>
        <w:numId w:val="1"/>
      </w:numPr>
    </w:pPr>
    <w:rPr>
      <w:rFonts w:eastAsia="Times New Roman"/>
      <w:lang w:eastAsia="de-DE"/>
    </w:rPr>
  </w:style>
  <w:style w:type="paragraph" w:customStyle="1" w:styleId="ListDash">
    <w:name w:val="List Dash"/>
    <w:basedOn w:val="Normal"/>
    <w:rsid w:val="00F3612F"/>
    <w:pPr>
      <w:numPr>
        <w:numId w:val="3"/>
      </w:numPr>
    </w:pPr>
    <w:rPr>
      <w:rFonts w:eastAsia="Times New Roman"/>
      <w:lang w:eastAsia="de-DE"/>
    </w:rPr>
  </w:style>
  <w:style w:type="paragraph" w:customStyle="1" w:styleId="ListDash1">
    <w:name w:val="List Dash 1"/>
    <w:basedOn w:val="Normal"/>
    <w:rsid w:val="00F3612F"/>
    <w:pPr>
      <w:numPr>
        <w:numId w:val="4"/>
      </w:numPr>
    </w:pPr>
    <w:rPr>
      <w:rFonts w:eastAsia="Times New Roman"/>
      <w:lang w:eastAsia="de-DE"/>
    </w:rPr>
  </w:style>
  <w:style w:type="paragraph" w:customStyle="1" w:styleId="ListDash2">
    <w:name w:val="List Dash 2"/>
    <w:basedOn w:val="Normal"/>
    <w:rsid w:val="00F3612F"/>
    <w:pPr>
      <w:numPr>
        <w:numId w:val="5"/>
      </w:numPr>
    </w:pPr>
    <w:rPr>
      <w:rFonts w:eastAsia="Times New Roman"/>
      <w:lang w:eastAsia="de-DE"/>
    </w:rPr>
  </w:style>
  <w:style w:type="paragraph" w:customStyle="1" w:styleId="ListNumberLevel2">
    <w:name w:val="List Number (Level 2)"/>
    <w:basedOn w:val="Normal"/>
    <w:rsid w:val="00F3612F"/>
    <w:pPr>
      <w:numPr>
        <w:ilvl w:val="1"/>
        <w:numId w:val="6"/>
      </w:numPr>
    </w:pPr>
    <w:rPr>
      <w:rFonts w:eastAsia="Times New Roman"/>
      <w:lang w:eastAsia="de-DE"/>
    </w:rPr>
  </w:style>
  <w:style w:type="paragraph" w:customStyle="1" w:styleId="ListNumberLevel3">
    <w:name w:val="List Number (Level 3)"/>
    <w:basedOn w:val="Normal"/>
    <w:rsid w:val="00F3612F"/>
    <w:pPr>
      <w:numPr>
        <w:ilvl w:val="2"/>
        <w:numId w:val="6"/>
      </w:numPr>
    </w:pPr>
    <w:rPr>
      <w:rFonts w:eastAsia="Times New Roman"/>
      <w:lang w:eastAsia="de-DE"/>
    </w:rPr>
  </w:style>
  <w:style w:type="paragraph" w:customStyle="1" w:styleId="ListNumberLevel4">
    <w:name w:val="List Number (Level 4)"/>
    <w:basedOn w:val="Normal"/>
    <w:rsid w:val="00F3612F"/>
    <w:pPr>
      <w:numPr>
        <w:ilvl w:val="3"/>
        <w:numId w:val="6"/>
      </w:numPr>
    </w:pPr>
    <w:rPr>
      <w:rFonts w:eastAsia="Times New Roman"/>
      <w:lang w:eastAsia="de-DE"/>
    </w:rPr>
  </w:style>
  <w:style w:type="table" w:styleId="TableGrid">
    <w:name w:val="Table Grid"/>
    <w:basedOn w:val="TableNormal"/>
    <w:rsid w:val="00F3612F"/>
    <w:pPr>
      <w:spacing w:before="120" w:after="120" w:line="240" w:lineRule="auto"/>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3612F"/>
    <w:rPr>
      <w:color w:val="0000FF"/>
      <w:u w:val="single"/>
    </w:rPr>
  </w:style>
  <w:style w:type="paragraph" w:styleId="ListBullet">
    <w:name w:val="List Bullet"/>
    <w:basedOn w:val="Normal"/>
    <w:rsid w:val="00F3612F"/>
    <w:pPr>
      <w:numPr>
        <w:numId w:val="7"/>
      </w:numPr>
    </w:pPr>
    <w:rPr>
      <w:rFonts w:eastAsia="Times New Roman"/>
      <w:lang w:eastAsia="en-GB"/>
    </w:rPr>
  </w:style>
  <w:style w:type="paragraph" w:styleId="ListBullet2">
    <w:name w:val="List Bullet 2"/>
    <w:basedOn w:val="Normal"/>
    <w:rsid w:val="00F3612F"/>
    <w:pPr>
      <w:numPr>
        <w:numId w:val="8"/>
      </w:numPr>
    </w:pPr>
    <w:rPr>
      <w:rFonts w:eastAsia="Times New Roman"/>
      <w:lang w:eastAsia="en-GB"/>
    </w:rPr>
  </w:style>
  <w:style w:type="paragraph" w:styleId="ListBullet3">
    <w:name w:val="List Bullet 3"/>
    <w:basedOn w:val="Normal"/>
    <w:rsid w:val="00F3612F"/>
    <w:pPr>
      <w:numPr>
        <w:numId w:val="9"/>
      </w:numPr>
    </w:pPr>
    <w:rPr>
      <w:rFonts w:eastAsia="Times New Roman"/>
      <w:lang w:eastAsia="en-GB"/>
    </w:rPr>
  </w:style>
  <w:style w:type="paragraph" w:styleId="ListNumber2">
    <w:name w:val="List Number 2"/>
    <w:basedOn w:val="Normal"/>
    <w:rsid w:val="00F3612F"/>
    <w:pPr>
      <w:numPr>
        <w:numId w:val="13"/>
      </w:numPr>
    </w:pPr>
    <w:rPr>
      <w:rFonts w:eastAsia="Times New Roman"/>
      <w:lang w:eastAsia="en-GB"/>
    </w:rPr>
  </w:style>
  <w:style w:type="paragraph" w:styleId="ListNumber3">
    <w:name w:val="List Number 3"/>
    <w:basedOn w:val="Normal"/>
    <w:rsid w:val="00F3612F"/>
    <w:pPr>
      <w:numPr>
        <w:numId w:val="14"/>
      </w:numPr>
    </w:pPr>
    <w:rPr>
      <w:rFonts w:eastAsia="Times New Roman"/>
      <w:lang w:eastAsia="en-GB"/>
    </w:rPr>
  </w:style>
  <w:style w:type="paragraph" w:styleId="ListNumber4">
    <w:name w:val="List Number 4"/>
    <w:basedOn w:val="Normal"/>
    <w:rsid w:val="00F3612F"/>
    <w:pPr>
      <w:numPr>
        <w:numId w:val="15"/>
      </w:numPr>
    </w:pPr>
    <w:rPr>
      <w:rFonts w:eastAsia="Times New Roman"/>
      <w:lang w:eastAsia="en-GB"/>
    </w:rPr>
  </w:style>
  <w:style w:type="paragraph" w:customStyle="1" w:styleId="ListDash3">
    <w:name w:val="List Dash 3"/>
    <w:basedOn w:val="Normal"/>
    <w:rsid w:val="00F3612F"/>
    <w:pPr>
      <w:numPr>
        <w:numId w:val="10"/>
      </w:numPr>
    </w:pPr>
    <w:rPr>
      <w:rFonts w:eastAsia="Times New Roman"/>
      <w:lang w:eastAsia="en-GB"/>
    </w:rPr>
  </w:style>
  <w:style w:type="paragraph" w:customStyle="1" w:styleId="ListDash4">
    <w:name w:val="List Dash 4"/>
    <w:basedOn w:val="Normal"/>
    <w:rsid w:val="00F3612F"/>
    <w:pPr>
      <w:numPr>
        <w:numId w:val="11"/>
      </w:numPr>
    </w:pPr>
    <w:rPr>
      <w:rFonts w:eastAsia="Times New Roman"/>
      <w:lang w:eastAsia="en-GB"/>
    </w:rPr>
  </w:style>
  <w:style w:type="paragraph" w:customStyle="1" w:styleId="ListNumber1">
    <w:name w:val="List Number 1"/>
    <w:basedOn w:val="Text1"/>
    <w:rsid w:val="00F3612F"/>
    <w:pPr>
      <w:numPr>
        <w:numId w:val="12"/>
      </w:numPr>
    </w:pPr>
    <w:rPr>
      <w:rFonts w:eastAsia="Times New Roman"/>
      <w:lang w:eastAsia="en-GB"/>
    </w:rPr>
  </w:style>
  <w:style w:type="paragraph" w:customStyle="1" w:styleId="ListNumber1Level2">
    <w:name w:val="List Number 1 (Level 2)"/>
    <w:basedOn w:val="Text1"/>
    <w:rsid w:val="00F3612F"/>
    <w:pPr>
      <w:numPr>
        <w:ilvl w:val="1"/>
        <w:numId w:val="12"/>
      </w:numPr>
    </w:pPr>
    <w:rPr>
      <w:rFonts w:eastAsia="Times New Roman"/>
      <w:lang w:eastAsia="en-GB"/>
    </w:rPr>
  </w:style>
  <w:style w:type="paragraph" w:customStyle="1" w:styleId="ListNumber2Level2">
    <w:name w:val="List Number 2 (Level 2)"/>
    <w:basedOn w:val="Text2"/>
    <w:rsid w:val="00F3612F"/>
    <w:pPr>
      <w:numPr>
        <w:ilvl w:val="1"/>
        <w:numId w:val="13"/>
      </w:numPr>
    </w:pPr>
    <w:rPr>
      <w:rFonts w:eastAsia="Times New Roman"/>
      <w:lang w:eastAsia="en-GB"/>
    </w:rPr>
  </w:style>
  <w:style w:type="paragraph" w:customStyle="1" w:styleId="ListNumber3Level2">
    <w:name w:val="List Number 3 (Level 2)"/>
    <w:basedOn w:val="Text3"/>
    <w:rsid w:val="00F3612F"/>
    <w:pPr>
      <w:numPr>
        <w:ilvl w:val="1"/>
        <w:numId w:val="14"/>
      </w:numPr>
    </w:pPr>
    <w:rPr>
      <w:rFonts w:eastAsia="Times New Roman"/>
      <w:lang w:eastAsia="en-GB"/>
    </w:rPr>
  </w:style>
  <w:style w:type="paragraph" w:customStyle="1" w:styleId="ListNumber4Level2">
    <w:name w:val="List Number 4 (Level 2)"/>
    <w:basedOn w:val="Text4"/>
    <w:rsid w:val="00F3612F"/>
    <w:pPr>
      <w:numPr>
        <w:ilvl w:val="1"/>
        <w:numId w:val="15"/>
      </w:numPr>
    </w:pPr>
    <w:rPr>
      <w:rFonts w:eastAsia="Times New Roman"/>
      <w:lang w:eastAsia="en-GB"/>
    </w:rPr>
  </w:style>
  <w:style w:type="paragraph" w:customStyle="1" w:styleId="ListNumber1Level3">
    <w:name w:val="List Number 1 (Level 3)"/>
    <w:basedOn w:val="Text1"/>
    <w:rsid w:val="00F3612F"/>
    <w:pPr>
      <w:numPr>
        <w:ilvl w:val="2"/>
        <w:numId w:val="12"/>
      </w:numPr>
    </w:pPr>
    <w:rPr>
      <w:rFonts w:eastAsia="Times New Roman"/>
      <w:lang w:eastAsia="en-GB"/>
    </w:rPr>
  </w:style>
  <w:style w:type="paragraph" w:customStyle="1" w:styleId="ListNumber2Level3">
    <w:name w:val="List Number 2 (Level 3)"/>
    <w:basedOn w:val="Text2"/>
    <w:rsid w:val="00F3612F"/>
    <w:pPr>
      <w:numPr>
        <w:ilvl w:val="2"/>
        <w:numId w:val="13"/>
      </w:numPr>
    </w:pPr>
    <w:rPr>
      <w:rFonts w:eastAsia="Times New Roman"/>
      <w:lang w:eastAsia="en-GB"/>
    </w:rPr>
  </w:style>
  <w:style w:type="paragraph" w:customStyle="1" w:styleId="ListNumber3Level3">
    <w:name w:val="List Number 3 (Level 3)"/>
    <w:basedOn w:val="Text3"/>
    <w:rsid w:val="00F3612F"/>
    <w:pPr>
      <w:numPr>
        <w:ilvl w:val="2"/>
        <w:numId w:val="14"/>
      </w:numPr>
    </w:pPr>
    <w:rPr>
      <w:rFonts w:eastAsia="Times New Roman"/>
      <w:lang w:eastAsia="en-GB"/>
    </w:rPr>
  </w:style>
  <w:style w:type="paragraph" w:customStyle="1" w:styleId="ListNumber4Level3">
    <w:name w:val="List Number 4 (Level 3)"/>
    <w:basedOn w:val="Text4"/>
    <w:rsid w:val="00F3612F"/>
    <w:pPr>
      <w:numPr>
        <w:ilvl w:val="2"/>
        <w:numId w:val="15"/>
      </w:numPr>
    </w:pPr>
    <w:rPr>
      <w:rFonts w:eastAsia="Times New Roman"/>
      <w:lang w:eastAsia="en-GB"/>
    </w:rPr>
  </w:style>
  <w:style w:type="paragraph" w:customStyle="1" w:styleId="ListNumber1Level4">
    <w:name w:val="List Number 1 (Level 4)"/>
    <w:basedOn w:val="Text1"/>
    <w:rsid w:val="00F3612F"/>
    <w:pPr>
      <w:numPr>
        <w:ilvl w:val="3"/>
        <w:numId w:val="12"/>
      </w:numPr>
    </w:pPr>
    <w:rPr>
      <w:rFonts w:eastAsia="Times New Roman"/>
      <w:lang w:eastAsia="en-GB"/>
    </w:rPr>
  </w:style>
  <w:style w:type="paragraph" w:customStyle="1" w:styleId="ListNumber2Level4">
    <w:name w:val="List Number 2 (Level 4)"/>
    <w:basedOn w:val="Text2"/>
    <w:rsid w:val="00F3612F"/>
    <w:pPr>
      <w:numPr>
        <w:ilvl w:val="3"/>
        <w:numId w:val="13"/>
      </w:numPr>
    </w:pPr>
    <w:rPr>
      <w:rFonts w:eastAsia="Times New Roman"/>
      <w:lang w:eastAsia="en-GB"/>
    </w:rPr>
  </w:style>
  <w:style w:type="paragraph" w:customStyle="1" w:styleId="ListNumber3Level4">
    <w:name w:val="List Number 3 (Level 4)"/>
    <w:basedOn w:val="Text3"/>
    <w:rsid w:val="00F3612F"/>
    <w:pPr>
      <w:numPr>
        <w:ilvl w:val="3"/>
        <w:numId w:val="14"/>
      </w:numPr>
    </w:pPr>
    <w:rPr>
      <w:rFonts w:eastAsia="Times New Roman"/>
      <w:lang w:eastAsia="en-GB"/>
    </w:rPr>
  </w:style>
  <w:style w:type="paragraph" w:customStyle="1" w:styleId="ListNumber4Level4">
    <w:name w:val="List Number 4 (Level 4)"/>
    <w:basedOn w:val="Text4"/>
    <w:rsid w:val="00F3612F"/>
    <w:pPr>
      <w:numPr>
        <w:ilvl w:val="3"/>
        <w:numId w:val="15"/>
      </w:numPr>
    </w:pPr>
    <w:rPr>
      <w:rFonts w:eastAsia="Times New Roman"/>
      <w:lang w:eastAsia="en-GB"/>
    </w:rPr>
  </w:style>
  <w:style w:type="paragraph" w:customStyle="1" w:styleId="Annexetitreacte">
    <w:name w:val="Annexe titre (acte)"/>
    <w:basedOn w:val="Normal"/>
    <w:next w:val="Normal"/>
    <w:rsid w:val="00F3612F"/>
    <w:pPr>
      <w:jc w:val="center"/>
    </w:pPr>
    <w:rPr>
      <w:rFonts w:eastAsia="Times New Roman"/>
      <w:b/>
      <w:u w:val="single"/>
      <w:lang w:eastAsia="en-GB"/>
    </w:rPr>
  </w:style>
  <w:style w:type="paragraph" w:customStyle="1" w:styleId="Annexetitreexposglobal">
    <w:name w:val="Annexe titre (exposé global)"/>
    <w:basedOn w:val="Normal"/>
    <w:next w:val="Normal"/>
    <w:rsid w:val="00F3612F"/>
    <w:pPr>
      <w:jc w:val="center"/>
    </w:pPr>
    <w:rPr>
      <w:rFonts w:eastAsia="Times New Roman"/>
      <w:b/>
      <w:u w:val="single"/>
      <w:lang w:eastAsia="en-GB"/>
    </w:rPr>
  </w:style>
  <w:style w:type="paragraph" w:customStyle="1" w:styleId="Annexetitrefichefinacte">
    <w:name w:val="Annexe titre (fiche fin. acte)"/>
    <w:basedOn w:val="Normal"/>
    <w:next w:val="Normal"/>
    <w:rsid w:val="00F3612F"/>
    <w:pPr>
      <w:jc w:val="center"/>
    </w:pPr>
    <w:rPr>
      <w:rFonts w:eastAsia="Times New Roman"/>
      <w:b/>
      <w:u w:val="single"/>
      <w:lang w:eastAsia="en-GB"/>
    </w:rPr>
  </w:style>
  <w:style w:type="paragraph" w:customStyle="1" w:styleId="Annexetitrefichefinglobale">
    <w:name w:val="Annexe titre (fiche fin. globale)"/>
    <w:basedOn w:val="Normal"/>
    <w:next w:val="Normal"/>
    <w:rsid w:val="00F3612F"/>
    <w:pPr>
      <w:jc w:val="center"/>
    </w:pPr>
    <w:rPr>
      <w:rFonts w:eastAsia="Times New Roman"/>
      <w:b/>
      <w:u w:val="single"/>
      <w:lang w:eastAsia="en-GB"/>
    </w:rPr>
  </w:style>
  <w:style w:type="paragraph" w:customStyle="1" w:styleId="Annexetitreglobale">
    <w:name w:val="Annexe titre (globale)"/>
    <w:basedOn w:val="Normal"/>
    <w:next w:val="Normal"/>
    <w:rsid w:val="00F3612F"/>
    <w:pPr>
      <w:jc w:val="center"/>
    </w:pPr>
    <w:rPr>
      <w:rFonts w:eastAsia="Times New Roman"/>
      <w:b/>
      <w:u w:val="single"/>
      <w:lang w:eastAsia="en-GB"/>
    </w:rPr>
  </w:style>
  <w:style w:type="paragraph" w:customStyle="1" w:styleId="Exposdesmotifstitreglobal">
    <w:name w:val="Exposé des motifs titre (global)"/>
    <w:basedOn w:val="Normal"/>
    <w:next w:val="Normal"/>
    <w:rsid w:val="00F3612F"/>
    <w:pPr>
      <w:jc w:val="center"/>
    </w:pPr>
    <w:rPr>
      <w:rFonts w:eastAsia="Times New Roman"/>
      <w:b/>
      <w:u w:val="single"/>
      <w:lang w:eastAsia="en-GB"/>
    </w:rPr>
  </w:style>
  <w:style w:type="paragraph" w:customStyle="1" w:styleId="Langueoriginale">
    <w:name w:val="Langue originale"/>
    <w:basedOn w:val="Normal"/>
    <w:rsid w:val="00F3612F"/>
    <w:pPr>
      <w:spacing w:before="360"/>
      <w:jc w:val="center"/>
    </w:pPr>
    <w:rPr>
      <w:rFonts w:eastAsia="Times New Roman"/>
      <w:caps/>
      <w:lang w:eastAsia="en-GB"/>
    </w:rPr>
  </w:style>
  <w:style w:type="paragraph" w:customStyle="1" w:styleId="Phrasefinale">
    <w:name w:val="Phrase finale"/>
    <w:basedOn w:val="Normal"/>
    <w:next w:val="Normal"/>
    <w:rsid w:val="00F3612F"/>
    <w:pPr>
      <w:spacing w:before="360" w:after="0"/>
      <w:jc w:val="center"/>
    </w:pPr>
    <w:rPr>
      <w:rFonts w:eastAsia="Times New Roman"/>
      <w:lang w:eastAsia="en-GB"/>
    </w:rPr>
  </w:style>
  <w:style w:type="paragraph" w:customStyle="1" w:styleId="Prliminairetitre">
    <w:name w:val="Préliminaire titre"/>
    <w:basedOn w:val="Normal"/>
    <w:next w:val="Normal"/>
    <w:rsid w:val="00F3612F"/>
    <w:pPr>
      <w:spacing w:before="360" w:after="360"/>
      <w:jc w:val="center"/>
    </w:pPr>
    <w:rPr>
      <w:rFonts w:eastAsia="Times New Roman"/>
      <w:b/>
      <w:lang w:eastAsia="en-GB"/>
    </w:rPr>
  </w:style>
  <w:style w:type="paragraph" w:customStyle="1" w:styleId="Prliminairetype">
    <w:name w:val="Préliminaire type"/>
    <w:basedOn w:val="Normal"/>
    <w:next w:val="Normal"/>
    <w:rsid w:val="00F3612F"/>
    <w:pPr>
      <w:spacing w:before="360" w:after="0"/>
      <w:jc w:val="center"/>
    </w:pPr>
    <w:rPr>
      <w:rFonts w:eastAsia="Times New Roman"/>
      <w:b/>
      <w:lang w:eastAsia="en-GB"/>
    </w:rPr>
  </w:style>
  <w:style w:type="paragraph" w:customStyle="1" w:styleId="Rfrenceinstitutionelle">
    <w:name w:val="Référence institutionelle"/>
    <w:basedOn w:val="Normal"/>
    <w:next w:val="Statut"/>
    <w:rsid w:val="00F3612F"/>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rsid w:val="00F3612F"/>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rsid w:val="00F3612F"/>
    <w:pPr>
      <w:spacing w:before="0" w:after="0"/>
      <w:ind w:left="5103"/>
      <w:jc w:val="left"/>
    </w:pPr>
    <w:rPr>
      <w:rFonts w:eastAsia="Times New Roman"/>
      <w:lang w:eastAsia="en-GB"/>
    </w:rPr>
  </w:style>
  <w:style w:type="paragraph" w:customStyle="1" w:styleId="Sous-titreobjetprliminaire">
    <w:name w:val="Sous-titre objet (préliminaire)"/>
    <w:basedOn w:val="Normal"/>
    <w:rsid w:val="00F3612F"/>
    <w:pPr>
      <w:spacing w:before="0" w:after="0"/>
      <w:jc w:val="center"/>
    </w:pPr>
    <w:rPr>
      <w:rFonts w:eastAsia="Times New Roman"/>
      <w:b/>
      <w:lang w:eastAsia="en-GB"/>
    </w:rPr>
  </w:style>
  <w:style w:type="paragraph" w:customStyle="1" w:styleId="Statutprliminaire">
    <w:name w:val="Statut (préliminaire)"/>
    <w:basedOn w:val="Normal"/>
    <w:next w:val="Normal"/>
    <w:rsid w:val="00F3612F"/>
    <w:pPr>
      <w:spacing w:before="360" w:after="0"/>
      <w:jc w:val="center"/>
    </w:pPr>
    <w:rPr>
      <w:rFonts w:eastAsia="Times New Roman"/>
      <w:lang w:eastAsia="en-GB"/>
    </w:rPr>
  </w:style>
  <w:style w:type="paragraph" w:customStyle="1" w:styleId="Titreobjetprliminaire">
    <w:name w:val="Titre objet (préliminaire)"/>
    <w:basedOn w:val="Normal"/>
    <w:next w:val="Normal"/>
    <w:rsid w:val="00F3612F"/>
    <w:pPr>
      <w:spacing w:before="360" w:after="360"/>
      <w:jc w:val="center"/>
    </w:pPr>
    <w:rPr>
      <w:rFonts w:eastAsia="Times New Roman"/>
      <w:b/>
      <w:lang w:eastAsia="en-GB"/>
    </w:rPr>
  </w:style>
  <w:style w:type="paragraph" w:customStyle="1" w:styleId="Typedudocumentprliminaire">
    <w:name w:val="Type du document (préliminaire)"/>
    <w:basedOn w:val="Normal"/>
    <w:next w:val="Normal"/>
    <w:rsid w:val="00F3612F"/>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rsid w:val="00F3612F"/>
    <w:pPr>
      <w:jc w:val="center"/>
    </w:pPr>
    <w:rPr>
      <w:rFonts w:eastAsia="Times New Roman"/>
      <w:b/>
      <w:u w:val="single"/>
      <w:lang w:eastAsia="en-GB"/>
    </w:rPr>
  </w:style>
  <w:style w:type="paragraph" w:customStyle="1" w:styleId="Fichefinancirestandardtitreacte">
    <w:name w:val="Fiche financière (standard) titre (acte)"/>
    <w:basedOn w:val="Normal"/>
    <w:next w:val="Normal"/>
    <w:rsid w:val="00F3612F"/>
    <w:pPr>
      <w:jc w:val="center"/>
    </w:pPr>
    <w:rPr>
      <w:rFonts w:eastAsia="Times New Roman"/>
      <w:b/>
      <w:u w:val="single"/>
      <w:lang w:eastAsia="en-GB"/>
    </w:rPr>
  </w:style>
  <w:style w:type="paragraph" w:customStyle="1" w:styleId="Fichefinanciretravailtitre">
    <w:name w:val="Fiche financière (travail) titre"/>
    <w:basedOn w:val="Normal"/>
    <w:next w:val="Normal"/>
    <w:rsid w:val="00F3612F"/>
    <w:pPr>
      <w:jc w:val="center"/>
    </w:pPr>
    <w:rPr>
      <w:rFonts w:eastAsia="Times New Roman"/>
      <w:b/>
      <w:u w:val="single"/>
      <w:lang w:eastAsia="en-GB"/>
    </w:rPr>
  </w:style>
  <w:style w:type="paragraph" w:customStyle="1" w:styleId="Fichefinanciretravailtitreacte">
    <w:name w:val="Fiche financière (travail) titre (acte)"/>
    <w:basedOn w:val="Normal"/>
    <w:next w:val="Normal"/>
    <w:rsid w:val="00F3612F"/>
    <w:pPr>
      <w:jc w:val="center"/>
    </w:pPr>
    <w:rPr>
      <w:rFonts w:eastAsia="Times New Roman"/>
      <w:b/>
      <w:u w:val="single"/>
      <w:lang w:eastAsia="en-GB"/>
    </w:rPr>
  </w:style>
  <w:style w:type="paragraph" w:customStyle="1" w:styleId="Fichefinancireattributiontitre">
    <w:name w:val="Fiche financière (attribution) titre"/>
    <w:basedOn w:val="Normal"/>
    <w:next w:val="Normal"/>
    <w:rsid w:val="00F3612F"/>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rsid w:val="00F3612F"/>
    <w:pPr>
      <w:jc w:val="center"/>
    </w:pPr>
    <w:rPr>
      <w:rFonts w:eastAsia="Times New Roman"/>
      <w:b/>
      <w:u w:val="single"/>
      <w:lang w:eastAsia="en-GB"/>
    </w:rPr>
  </w:style>
  <w:style w:type="character" w:styleId="CommentReference">
    <w:name w:val="annotation reference"/>
    <w:rsid w:val="00F3612F"/>
    <w:rPr>
      <w:rFonts w:cs="Times New Roman"/>
      <w:sz w:val="16"/>
      <w:szCs w:val="16"/>
    </w:rPr>
  </w:style>
  <w:style w:type="paragraph" w:styleId="CommentText">
    <w:name w:val="annotation text"/>
    <w:basedOn w:val="Normal"/>
    <w:link w:val="CommentTextChar"/>
    <w:rsid w:val="00F3612F"/>
    <w:rPr>
      <w:rFonts w:eastAsia="Times New Roman"/>
      <w:sz w:val="20"/>
      <w:szCs w:val="20"/>
      <w:lang w:eastAsia="en-GB"/>
    </w:rPr>
  </w:style>
  <w:style w:type="character" w:customStyle="1" w:styleId="CommentTextChar">
    <w:name w:val="Comment Text Char"/>
    <w:basedOn w:val="DefaultParagraphFont"/>
    <w:link w:val="CommentText"/>
    <w:rsid w:val="00F3612F"/>
    <w:rPr>
      <w:rFonts w:ascii="Times New Roman" w:eastAsia="Times New Roman" w:hAnsi="Times New Roman" w:cs="Times New Roman"/>
      <w:sz w:val="20"/>
      <w:szCs w:val="20"/>
      <w:lang w:val="et-EE" w:eastAsia="en-GB"/>
    </w:rPr>
  </w:style>
  <w:style w:type="paragraph" w:styleId="CommentSubject">
    <w:name w:val="annotation subject"/>
    <w:basedOn w:val="CommentText"/>
    <w:next w:val="CommentText"/>
    <w:link w:val="CommentSubjectChar"/>
    <w:rsid w:val="00F3612F"/>
    <w:rPr>
      <w:b/>
      <w:bCs/>
    </w:rPr>
  </w:style>
  <w:style w:type="character" w:customStyle="1" w:styleId="CommentSubjectChar">
    <w:name w:val="Comment Subject Char"/>
    <w:basedOn w:val="CommentTextChar"/>
    <w:link w:val="CommentSubject"/>
    <w:rsid w:val="00F3612F"/>
    <w:rPr>
      <w:rFonts w:ascii="Times New Roman" w:eastAsia="Times New Roman" w:hAnsi="Times New Roman" w:cs="Times New Roman"/>
      <w:b/>
      <w:bCs/>
      <w:sz w:val="20"/>
      <w:szCs w:val="20"/>
      <w:lang w:val="et-EE" w:eastAsia="en-GB"/>
    </w:rPr>
  </w:style>
  <w:style w:type="paragraph" w:styleId="BalloonText">
    <w:name w:val="Balloon Text"/>
    <w:basedOn w:val="Normal"/>
    <w:link w:val="BalloonTextChar"/>
    <w:rsid w:val="00F3612F"/>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F3612F"/>
    <w:rPr>
      <w:rFonts w:ascii="Tahoma" w:eastAsia="Times New Roman" w:hAnsi="Tahoma" w:cs="Tahoma"/>
      <w:sz w:val="16"/>
      <w:szCs w:val="16"/>
      <w:lang w:val="et-EE" w:eastAsia="en-GB"/>
    </w:rPr>
  </w:style>
  <w:style w:type="paragraph" w:styleId="Caption">
    <w:name w:val="caption"/>
    <w:basedOn w:val="Normal"/>
    <w:next w:val="Normal"/>
    <w:qFormat/>
    <w:rsid w:val="00F3612F"/>
    <w:rPr>
      <w:rFonts w:eastAsia="Times New Roman"/>
      <w:b/>
      <w:bCs/>
      <w:sz w:val="20"/>
      <w:szCs w:val="20"/>
      <w:lang w:eastAsia="en-GB"/>
    </w:rPr>
  </w:style>
  <w:style w:type="paragraph" w:styleId="TableofFigures">
    <w:name w:val="table of figures"/>
    <w:basedOn w:val="Normal"/>
    <w:next w:val="Normal"/>
    <w:rsid w:val="00F3612F"/>
    <w:rPr>
      <w:rFonts w:eastAsia="Times New Roman"/>
      <w:lang w:eastAsia="en-GB"/>
    </w:rPr>
  </w:style>
  <w:style w:type="character" w:styleId="PageNumber">
    <w:name w:val="page number"/>
    <w:rsid w:val="00F3612F"/>
  </w:style>
  <w:style w:type="character" w:customStyle="1" w:styleId="tw4winMark">
    <w:name w:val="tw4winMark"/>
    <w:rsid w:val="00F3612F"/>
    <w:rPr>
      <w:vanish/>
      <w:color w:val="800080"/>
      <w:vertAlign w:val="subscript"/>
    </w:rPr>
  </w:style>
  <w:style w:type="character" w:styleId="FollowedHyperlink">
    <w:name w:val="FollowedHyperlink"/>
    <w:rsid w:val="00F3612F"/>
    <w:rPr>
      <w:color w:val="800080"/>
      <w:u w:val="single"/>
    </w:rPr>
  </w:style>
  <w:style w:type="paragraph" w:customStyle="1" w:styleId="Sous-titreobjet">
    <w:name w:val="Sous-titre objet"/>
    <w:basedOn w:val="Normal"/>
    <w:rsid w:val="00F3612F"/>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F3612F"/>
  </w:style>
  <w:style w:type="paragraph" w:styleId="Revision">
    <w:name w:val="Revision"/>
    <w:hidden/>
    <w:uiPriority w:val="99"/>
    <w:semiHidden/>
    <w:rsid w:val="00F3612F"/>
    <w:rPr>
      <w:rFonts w:ascii="Calibri" w:eastAsia="Calibri" w:hAnsi="Calibri" w:cs="Times New Roman"/>
      <w:sz w:val="24"/>
      <w:lang w:eastAsia="en-GB"/>
    </w:rPr>
  </w:style>
  <w:style w:type="paragraph" w:customStyle="1" w:styleId="FooterCoverPage">
    <w:name w:val="Footer Cover Page"/>
    <w:basedOn w:val="Normal"/>
    <w:link w:val="FooterCoverPageChar"/>
    <w:rsid w:val="00F3612F"/>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F3612F"/>
    <w:rPr>
      <w:rFonts w:ascii="Times New Roman" w:hAnsi="Times New Roman" w:cs="Times New Roman"/>
      <w:b/>
      <w:sz w:val="28"/>
      <w:lang w:val="et-EE"/>
    </w:rPr>
  </w:style>
  <w:style w:type="character" w:customStyle="1" w:styleId="FooterCoverPageChar">
    <w:name w:val="Footer Cover Page Char"/>
    <w:link w:val="FooterCoverPage"/>
    <w:rsid w:val="00F3612F"/>
    <w:rPr>
      <w:rFonts w:ascii="Times New Roman" w:eastAsia="Calibri" w:hAnsi="Times New Roman" w:cs="Times New Roman"/>
      <w:sz w:val="24"/>
      <w:lang w:val="et-EE" w:eastAsia="en-GB"/>
    </w:rPr>
  </w:style>
  <w:style w:type="paragraph" w:customStyle="1" w:styleId="HeaderCoverPage">
    <w:name w:val="Header Cover Page"/>
    <w:basedOn w:val="Normal"/>
    <w:link w:val="HeaderCoverPageChar"/>
    <w:rsid w:val="00F3612F"/>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F3612F"/>
    <w:rPr>
      <w:rFonts w:ascii="Times New Roman" w:eastAsia="Calibri" w:hAnsi="Times New Roman" w:cs="Times New Roman"/>
      <w:sz w:val="24"/>
      <w:lang w:val="et-EE" w:eastAsia="en-GB"/>
    </w:rPr>
  </w:style>
  <w:style w:type="paragraph" w:styleId="ListParagraph">
    <w:name w:val="List Paragraph"/>
    <w:basedOn w:val="Normal"/>
    <w:uiPriority w:val="34"/>
    <w:qFormat/>
    <w:rsid w:val="0069547A"/>
    <w:pPr>
      <w:ind w:left="720"/>
      <w:contextualSpacing/>
    </w:pPr>
  </w:style>
  <w:style w:type="paragraph" w:styleId="Header">
    <w:name w:val="header"/>
    <w:basedOn w:val="Normal"/>
    <w:link w:val="HeaderChar"/>
    <w:uiPriority w:val="99"/>
    <w:unhideWhenUsed/>
    <w:rsid w:val="00B04518"/>
    <w:pPr>
      <w:tabs>
        <w:tab w:val="center" w:pos="4535"/>
        <w:tab w:val="right" w:pos="9071"/>
      </w:tabs>
      <w:spacing w:before="0"/>
    </w:pPr>
  </w:style>
  <w:style w:type="character" w:customStyle="1" w:styleId="HeaderChar">
    <w:name w:val="Header Char"/>
    <w:basedOn w:val="DefaultParagraphFont"/>
    <w:link w:val="Header"/>
    <w:uiPriority w:val="99"/>
    <w:rsid w:val="00B04518"/>
    <w:rPr>
      <w:rFonts w:ascii="Times New Roman" w:hAnsi="Times New Roman" w:cs="Times New Roman"/>
      <w:sz w:val="24"/>
      <w:lang w:val="et-EE"/>
    </w:rPr>
  </w:style>
  <w:style w:type="paragraph" w:styleId="Footer">
    <w:name w:val="footer"/>
    <w:basedOn w:val="Normal"/>
    <w:link w:val="FooterChar"/>
    <w:uiPriority w:val="99"/>
    <w:unhideWhenUsed/>
    <w:rsid w:val="00B04518"/>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B04518"/>
    <w:rPr>
      <w:rFonts w:ascii="Times New Roman" w:hAnsi="Times New Roman" w:cs="Times New Roman"/>
      <w:sz w:val="24"/>
      <w:lang w:val="et-EE"/>
    </w:rPr>
  </w:style>
  <w:style w:type="paragraph" w:styleId="FootnoteText">
    <w:name w:val="footnote text"/>
    <w:basedOn w:val="Normal"/>
    <w:link w:val="FootnoteTextChar"/>
    <w:uiPriority w:val="99"/>
    <w:semiHidden/>
    <w:unhideWhenUsed/>
    <w:rsid w:val="00517205"/>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517205"/>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517205"/>
    <w:rPr>
      <w:rFonts w:ascii="Times New Roman" w:eastAsiaTheme="majorEastAsia" w:hAnsi="Times New Roman" w:cs="Times New Roman"/>
      <w:b/>
      <w:bCs/>
      <w:smallCaps/>
      <w:sz w:val="24"/>
      <w:szCs w:val="28"/>
      <w:lang w:val="et-EE"/>
    </w:rPr>
  </w:style>
  <w:style w:type="character" w:customStyle="1" w:styleId="Heading2Char">
    <w:name w:val="Heading 2 Char"/>
    <w:basedOn w:val="DefaultParagraphFont"/>
    <w:link w:val="Heading2"/>
    <w:uiPriority w:val="9"/>
    <w:semiHidden/>
    <w:rsid w:val="00517205"/>
    <w:rPr>
      <w:rFonts w:ascii="Times New Roman" w:eastAsiaTheme="majorEastAsia" w:hAnsi="Times New Roman" w:cs="Times New Roman"/>
      <w:b/>
      <w:bCs/>
      <w:sz w:val="24"/>
      <w:szCs w:val="26"/>
      <w:lang w:val="et-EE"/>
    </w:rPr>
  </w:style>
  <w:style w:type="character" w:customStyle="1" w:styleId="Heading3Char">
    <w:name w:val="Heading 3 Char"/>
    <w:basedOn w:val="DefaultParagraphFont"/>
    <w:link w:val="Heading3"/>
    <w:uiPriority w:val="9"/>
    <w:semiHidden/>
    <w:rsid w:val="00517205"/>
    <w:rPr>
      <w:rFonts w:ascii="Times New Roman" w:eastAsiaTheme="majorEastAsia" w:hAnsi="Times New Roman" w:cs="Times New Roman"/>
      <w:bCs/>
      <w:i/>
      <w:sz w:val="24"/>
      <w:lang w:val="et-EE"/>
    </w:rPr>
  </w:style>
  <w:style w:type="character" w:customStyle="1" w:styleId="Heading4Char">
    <w:name w:val="Heading 4 Char"/>
    <w:basedOn w:val="DefaultParagraphFont"/>
    <w:link w:val="Heading4"/>
    <w:uiPriority w:val="9"/>
    <w:semiHidden/>
    <w:rsid w:val="00517205"/>
    <w:rPr>
      <w:rFonts w:ascii="Times New Roman" w:eastAsiaTheme="majorEastAsia" w:hAnsi="Times New Roman" w:cs="Times New Roman"/>
      <w:bCs/>
      <w:iCs/>
      <w:sz w:val="24"/>
      <w:lang w:val="et-EE"/>
    </w:rPr>
  </w:style>
  <w:style w:type="character" w:customStyle="1" w:styleId="Heading5Char">
    <w:name w:val="Heading 5 Char"/>
    <w:basedOn w:val="DefaultParagraphFont"/>
    <w:link w:val="Heading5"/>
    <w:uiPriority w:val="9"/>
    <w:semiHidden/>
    <w:rsid w:val="00517205"/>
    <w:rPr>
      <w:rFonts w:ascii="Times New Roman" w:eastAsiaTheme="majorEastAsia" w:hAnsi="Times New Roman" w:cs="Times New Roman"/>
      <w:sz w:val="24"/>
      <w:lang w:val="et-EE"/>
    </w:rPr>
  </w:style>
  <w:style w:type="character" w:customStyle="1" w:styleId="Heading6Char">
    <w:name w:val="Heading 6 Char"/>
    <w:basedOn w:val="DefaultParagraphFont"/>
    <w:link w:val="Heading6"/>
    <w:uiPriority w:val="9"/>
    <w:semiHidden/>
    <w:rsid w:val="00517205"/>
    <w:rPr>
      <w:rFonts w:ascii="Times New Roman" w:eastAsiaTheme="majorEastAsia" w:hAnsi="Times New Roman" w:cs="Times New Roman"/>
      <w:iCs/>
      <w:sz w:val="24"/>
      <w:lang w:val="et-EE"/>
    </w:rPr>
  </w:style>
  <w:style w:type="character" w:customStyle="1" w:styleId="Heading7Char">
    <w:name w:val="Heading 7 Char"/>
    <w:basedOn w:val="DefaultParagraphFont"/>
    <w:link w:val="Heading7"/>
    <w:uiPriority w:val="9"/>
    <w:semiHidden/>
    <w:rsid w:val="00517205"/>
    <w:rPr>
      <w:rFonts w:ascii="Times New Roman" w:eastAsiaTheme="majorEastAsia" w:hAnsi="Times New Roman" w:cs="Times New Roman"/>
      <w:iCs/>
      <w:sz w:val="24"/>
      <w:lang w:val="et-EE"/>
    </w:rPr>
  </w:style>
  <w:style w:type="paragraph" w:styleId="TOCHeading">
    <w:name w:val="TOC Heading"/>
    <w:basedOn w:val="Normal"/>
    <w:next w:val="Normal"/>
    <w:uiPriority w:val="39"/>
    <w:semiHidden/>
    <w:unhideWhenUsed/>
    <w:qFormat/>
    <w:rsid w:val="00517205"/>
    <w:pPr>
      <w:spacing w:after="240"/>
      <w:jc w:val="center"/>
    </w:pPr>
    <w:rPr>
      <w:b/>
      <w:sz w:val="28"/>
    </w:rPr>
  </w:style>
  <w:style w:type="paragraph" w:styleId="TOC1">
    <w:name w:val="toc 1"/>
    <w:basedOn w:val="Normal"/>
    <w:next w:val="Normal"/>
    <w:uiPriority w:val="39"/>
    <w:semiHidden/>
    <w:unhideWhenUsed/>
    <w:rsid w:val="00517205"/>
    <w:pPr>
      <w:tabs>
        <w:tab w:val="right" w:leader="dot" w:pos="9071"/>
      </w:tabs>
      <w:spacing w:before="60"/>
      <w:ind w:left="850" w:hanging="850"/>
      <w:jc w:val="left"/>
    </w:pPr>
  </w:style>
  <w:style w:type="paragraph" w:styleId="TOC2">
    <w:name w:val="toc 2"/>
    <w:basedOn w:val="Normal"/>
    <w:next w:val="Normal"/>
    <w:uiPriority w:val="39"/>
    <w:semiHidden/>
    <w:unhideWhenUsed/>
    <w:rsid w:val="00517205"/>
    <w:pPr>
      <w:tabs>
        <w:tab w:val="right" w:leader="dot" w:pos="9071"/>
      </w:tabs>
      <w:spacing w:before="60"/>
      <w:ind w:left="850" w:hanging="850"/>
      <w:jc w:val="left"/>
    </w:pPr>
  </w:style>
  <w:style w:type="paragraph" w:styleId="TOC3">
    <w:name w:val="toc 3"/>
    <w:basedOn w:val="Normal"/>
    <w:next w:val="Normal"/>
    <w:uiPriority w:val="39"/>
    <w:semiHidden/>
    <w:unhideWhenUsed/>
    <w:rsid w:val="00517205"/>
    <w:pPr>
      <w:tabs>
        <w:tab w:val="right" w:leader="dot" w:pos="9071"/>
      </w:tabs>
      <w:spacing w:before="60"/>
      <w:ind w:left="850" w:hanging="850"/>
      <w:jc w:val="left"/>
    </w:pPr>
  </w:style>
  <w:style w:type="paragraph" w:styleId="TOC4">
    <w:name w:val="toc 4"/>
    <w:basedOn w:val="Normal"/>
    <w:next w:val="Normal"/>
    <w:uiPriority w:val="39"/>
    <w:semiHidden/>
    <w:unhideWhenUsed/>
    <w:rsid w:val="00517205"/>
    <w:pPr>
      <w:tabs>
        <w:tab w:val="right" w:leader="dot" w:pos="9071"/>
      </w:tabs>
      <w:spacing w:before="60"/>
      <w:ind w:left="850" w:hanging="850"/>
      <w:jc w:val="left"/>
    </w:pPr>
  </w:style>
  <w:style w:type="paragraph" w:styleId="TOC5">
    <w:name w:val="toc 5"/>
    <w:basedOn w:val="Normal"/>
    <w:next w:val="Normal"/>
    <w:uiPriority w:val="39"/>
    <w:semiHidden/>
    <w:unhideWhenUsed/>
    <w:rsid w:val="00517205"/>
    <w:pPr>
      <w:tabs>
        <w:tab w:val="right" w:leader="dot" w:pos="9071"/>
      </w:tabs>
      <w:spacing w:before="300"/>
      <w:jc w:val="left"/>
    </w:pPr>
  </w:style>
  <w:style w:type="paragraph" w:styleId="TOC6">
    <w:name w:val="toc 6"/>
    <w:basedOn w:val="Normal"/>
    <w:next w:val="Normal"/>
    <w:uiPriority w:val="39"/>
    <w:semiHidden/>
    <w:unhideWhenUsed/>
    <w:rsid w:val="00517205"/>
    <w:pPr>
      <w:tabs>
        <w:tab w:val="right" w:leader="dot" w:pos="9071"/>
      </w:tabs>
      <w:spacing w:before="240"/>
      <w:jc w:val="left"/>
    </w:pPr>
  </w:style>
  <w:style w:type="paragraph" w:styleId="TOC7">
    <w:name w:val="toc 7"/>
    <w:basedOn w:val="Normal"/>
    <w:next w:val="Normal"/>
    <w:uiPriority w:val="39"/>
    <w:semiHidden/>
    <w:unhideWhenUsed/>
    <w:rsid w:val="00517205"/>
    <w:pPr>
      <w:tabs>
        <w:tab w:val="right" w:leader="dot" w:pos="9071"/>
      </w:tabs>
      <w:spacing w:before="180"/>
      <w:jc w:val="left"/>
    </w:pPr>
  </w:style>
  <w:style w:type="paragraph" w:styleId="TOC8">
    <w:name w:val="toc 8"/>
    <w:basedOn w:val="Normal"/>
    <w:next w:val="Normal"/>
    <w:uiPriority w:val="39"/>
    <w:semiHidden/>
    <w:unhideWhenUsed/>
    <w:rsid w:val="00517205"/>
    <w:pPr>
      <w:tabs>
        <w:tab w:val="right" w:leader="dot" w:pos="9071"/>
      </w:tabs>
      <w:jc w:val="left"/>
    </w:pPr>
  </w:style>
  <w:style w:type="paragraph" w:styleId="TOC9">
    <w:name w:val="toc 9"/>
    <w:basedOn w:val="Normal"/>
    <w:next w:val="Normal"/>
    <w:uiPriority w:val="39"/>
    <w:semiHidden/>
    <w:unhideWhenUsed/>
    <w:rsid w:val="00517205"/>
    <w:pPr>
      <w:tabs>
        <w:tab w:val="right" w:leader="dot" w:pos="9071"/>
      </w:tabs>
      <w:ind w:left="1417" w:hanging="1417"/>
      <w:jc w:val="left"/>
    </w:pPr>
  </w:style>
  <w:style w:type="paragraph" w:customStyle="1" w:styleId="HeaderLandscape">
    <w:name w:val="HeaderLandscape"/>
    <w:basedOn w:val="Normal"/>
    <w:rsid w:val="00B04518"/>
    <w:pPr>
      <w:tabs>
        <w:tab w:val="center" w:pos="7285"/>
        <w:tab w:val="right" w:pos="14003"/>
      </w:tabs>
      <w:spacing w:before="0"/>
    </w:pPr>
  </w:style>
  <w:style w:type="paragraph" w:customStyle="1" w:styleId="FooterLandscape">
    <w:name w:val="FooterLandscape"/>
    <w:basedOn w:val="Normal"/>
    <w:rsid w:val="00B04518"/>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517205"/>
    <w:rPr>
      <w:shd w:val="clear" w:color="auto" w:fill="auto"/>
      <w:vertAlign w:val="superscript"/>
    </w:rPr>
  </w:style>
  <w:style w:type="paragraph" w:customStyle="1" w:styleId="HeaderSensitivity">
    <w:name w:val="Header Sensitivity"/>
    <w:basedOn w:val="Normal"/>
    <w:rsid w:val="00B04518"/>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B04518"/>
    <w:pPr>
      <w:spacing w:before="0"/>
      <w:jc w:val="right"/>
    </w:pPr>
    <w:rPr>
      <w:sz w:val="28"/>
    </w:rPr>
  </w:style>
  <w:style w:type="paragraph" w:customStyle="1" w:styleId="FooterSensitivity">
    <w:name w:val="Footer Sensitivity"/>
    <w:basedOn w:val="Normal"/>
    <w:rsid w:val="00B04518"/>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517205"/>
    <w:pPr>
      <w:ind w:left="850"/>
    </w:pPr>
  </w:style>
  <w:style w:type="paragraph" w:customStyle="1" w:styleId="Text2">
    <w:name w:val="Text 2"/>
    <w:basedOn w:val="Normal"/>
    <w:rsid w:val="00517205"/>
    <w:pPr>
      <w:ind w:left="1417"/>
    </w:pPr>
  </w:style>
  <w:style w:type="paragraph" w:customStyle="1" w:styleId="Text3">
    <w:name w:val="Text 3"/>
    <w:basedOn w:val="Normal"/>
    <w:rsid w:val="00517205"/>
    <w:pPr>
      <w:ind w:left="1984"/>
    </w:pPr>
  </w:style>
  <w:style w:type="paragraph" w:customStyle="1" w:styleId="Text4">
    <w:name w:val="Text 4"/>
    <w:basedOn w:val="Normal"/>
    <w:rsid w:val="00517205"/>
    <w:pPr>
      <w:ind w:left="2551"/>
    </w:pPr>
  </w:style>
  <w:style w:type="paragraph" w:customStyle="1" w:styleId="Text5">
    <w:name w:val="Text 5"/>
    <w:basedOn w:val="Normal"/>
    <w:rsid w:val="00517205"/>
    <w:pPr>
      <w:ind w:left="3118"/>
    </w:pPr>
  </w:style>
  <w:style w:type="paragraph" w:customStyle="1" w:styleId="Text6">
    <w:name w:val="Text 6"/>
    <w:basedOn w:val="Normal"/>
    <w:rsid w:val="00517205"/>
    <w:pPr>
      <w:ind w:left="3685"/>
    </w:pPr>
  </w:style>
  <w:style w:type="paragraph" w:customStyle="1" w:styleId="NormalCentered">
    <w:name w:val="Normal Centered"/>
    <w:basedOn w:val="Normal"/>
    <w:rsid w:val="00517205"/>
    <w:pPr>
      <w:jc w:val="center"/>
    </w:pPr>
  </w:style>
  <w:style w:type="paragraph" w:customStyle="1" w:styleId="NormalLeft">
    <w:name w:val="Normal Left"/>
    <w:basedOn w:val="Normal"/>
    <w:rsid w:val="00517205"/>
    <w:pPr>
      <w:jc w:val="left"/>
    </w:pPr>
  </w:style>
  <w:style w:type="paragraph" w:customStyle="1" w:styleId="NormalRight">
    <w:name w:val="Normal Right"/>
    <w:basedOn w:val="Normal"/>
    <w:rsid w:val="00517205"/>
    <w:pPr>
      <w:jc w:val="right"/>
    </w:pPr>
  </w:style>
  <w:style w:type="paragraph" w:customStyle="1" w:styleId="QuotedText">
    <w:name w:val="Quoted Text"/>
    <w:basedOn w:val="Normal"/>
    <w:rsid w:val="00517205"/>
    <w:pPr>
      <w:ind w:left="1417"/>
    </w:pPr>
  </w:style>
  <w:style w:type="paragraph" w:customStyle="1" w:styleId="Point0">
    <w:name w:val="Point 0"/>
    <w:basedOn w:val="Normal"/>
    <w:rsid w:val="00517205"/>
    <w:pPr>
      <w:ind w:left="850" w:hanging="850"/>
    </w:pPr>
  </w:style>
  <w:style w:type="paragraph" w:customStyle="1" w:styleId="Point1">
    <w:name w:val="Point 1"/>
    <w:basedOn w:val="Normal"/>
    <w:rsid w:val="00517205"/>
    <w:pPr>
      <w:ind w:left="1417" w:hanging="567"/>
    </w:pPr>
  </w:style>
  <w:style w:type="paragraph" w:customStyle="1" w:styleId="Point2">
    <w:name w:val="Point 2"/>
    <w:basedOn w:val="Normal"/>
    <w:rsid w:val="00517205"/>
    <w:pPr>
      <w:ind w:left="1984" w:hanging="567"/>
    </w:pPr>
  </w:style>
  <w:style w:type="paragraph" w:customStyle="1" w:styleId="Point3">
    <w:name w:val="Point 3"/>
    <w:basedOn w:val="Normal"/>
    <w:rsid w:val="00517205"/>
    <w:pPr>
      <w:ind w:left="2551" w:hanging="567"/>
    </w:pPr>
  </w:style>
  <w:style w:type="paragraph" w:customStyle="1" w:styleId="Point4">
    <w:name w:val="Point 4"/>
    <w:basedOn w:val="Normal"/>
    <w:rsid w:val="00517205"/>
    <w:pPr>
      <w:ind w:left="3118" w:hanging="567"/>
    </w:pPr>
  </w:style>
  <w:style w:type="paragraph" w:customStyle="1" w:styleId="Point5">
    <w:name w:val="Point 5"/>
    <w:basedOn w:val="Normal"/>
    <w:rsid w:val="00517205"/>
    <w:pPr>
      <w:ind w:left="3685" w:hanging="567"/>
    </w:pPr>
  </w:style>
  <w:style w:type="paragraph" w:customStyle="1" w:styleId="Tiret0">
    <w:name w:val="Tiret 0"/>
    <w:basedOn w:val="Point0"/>
    <w:rsid w:val="00517205"/>
    <w:pPr>
      <w:numPr>
        <w:numId w:val="17"/>
      </w:numPr>
    </w:pPr>
  </w:style>
  <w:style w:type="paragraph" w:customStyle="1" w:styleId="Tiret1">
    <w:name w:val="Tiret 1"/>
    <w:basedOn w:val="Point1"/>
    <w:rsid w:val="00517205"/>
    <w:pPr>
      <w:numPr>
        <w:numId w:val="18"/>
      </w:numPr>
    </w:pPr>
  </w:style>
  <w:style w:type="paragraph" w:customStyle="1" w:styleId="Tiret2">
    <w:name w:val="Tiret 2"/>
    <w:basedOn w:val="Point2"/>
    <w:rsid w:val="00517205"/>
    <w:pPr>
      <w:numPr>
        <w:numId w:val="19"/>
      </w:numPr>
    </w:pPr>
  </w:style>
  <w:style w:type="paragraph" w:customStyle="1" w:styleId="Tiret3">
    <w:name w:val="Tiret 3"/>
    <w:basedOn w:val="Point3"/>
    <w:rsid w:val="00517205"/>
    <w:pPr>
      <w:numPr>
        <w:numId w:val="20"/>
      </w:numPr>
    </w:pPr>
  </w:style>
  <w:style w:type="paragraph" w:customStyle="1" w:styleId="Tiret4">
    <w:name w:val="Tiret 4"/>
    <w:basedOn w:val="Point4"/>
    <w:rsid w:val="00517205"/>
    <w:pPr>
      <w:numPr>
        <w:numId w:val="21"/>
      </w:numPr>
    </w:pPr>
  </w:style>
  <w:style w:type="paragraph" w:customStyle="1" w:styleId="Tiret5">
    <w:name w:val="Tiret 5"/>
    <w:basedOn w:val="Point5"/>
    <w:rsid w:val="00517205"/>
    <w:pPr>
      <w:numPr>
        <w:numId w:val="22"/>
      </w:numPr>
    </w:pPr>
  </w:style>
  <w:style w:type="paragraph" w:customStyle="1" w:styleId="PointDouble0">
    <w:name w:val="PointDouble 0"/>
    <w:basedOn w:val="Normal"/>
    <w:rsid w:val="00517205"/>
    <w:pPr>
      <w:tabs>
        <w:tab w:val="left" w:pos="850"/>
      </w:tabs>
      <w:ind w:left="1417" w:hanging="1417"/>
    </w:pPr>
  </w:style>
  <w:style w:type="paragraph" w:customStyle="1" w:styleId="PointDouble1">
    <w:name w:val="PointDouble 1"/>
    <w:basedOn w:val="Normal"/>
    <w:rsid w:val="00517205"/>
    <w:pPr>
      <w:tabs>
        <w:tab w:val="left" w:pos="1417"/>
      </w:tabs>
      <w:ind w:left="1984" w:hanging="1134"/>
    </w:pPr>
  </w:style>
  <w:style w:type="paragraph" w:customStyle="1" w:styleId="PointDouble2">
    <w:name w:val="PointDouble 2"/>
    <w:basedOn w:val="Normal"/>
    <w:rsid w:val="00517205"/>
    <w:pPr>
      <w:tabs>
        <w:tab w:val="left" w:pos="1984"/>
      </w:tabs>
      <w:ind w:left="2551" w:hanging="1134"/>
    </w:pPr>
  </w:style>
  <w:style w:type="paragraph" w:customStyle="1" w:styleId="PointDouble3">
    <w:name w:val="PointDouble 3"/>
    <w:basedOn w:val="Normal"/>
    <w:rsid w:val="00517205"/>
    <w:pPr>
      <w:tabs>
        <w:tab w:val="left" w:pos="2551"/>
      </w:tabs>
      <w:ind w:left="3118" w:hanging="1134"/>
    </w:pPr>
  </w:style>
  <w:style w:type="paragraph" w:customStyle="1" w:styleId="PointDouble4">
    <w:name w:val="PointDouble 4"/>
    <w:basedOn w:val="Normal"/>
    <w:rsid w:val="00517205"/>
    <w:pPr>
      <w:tabs>
        <w:tab w:val="left" w:pos="3118"/>
      </w:tabs>
      <w:ind w:left="3685" w:hanging="1134"/>
    </w:pPr>
  </w:style>
  <w:style w:type="paragraph" w:customStyle="1" w:styleId="PointTriple0">
    <w:name w:val="PointTriple 0"/>
    <w:basedOn w:val="Normal"/>
    <w:rsid w:val="00517205"/>
    <w:pPr>
      <w:tabs>
        <w:tab w:val="left" w:pos="850"/>
        <w:tab w:val="left" w:pos="1417"/>
      </w:tabs>
      <w:ind w:left="1984" w:hanging="1984"/>
    </w:pPr>
  </w:style>
  <w:style w:type="paragraph" w:customStyle="1" w:styleId="PointTriple1">
    <w:name w:val="PointTriple 1"/>
    <w:basedOn w:val="Normal"/>
    <w:rsid w:val="00517205"/>
    <w:pPr>
      <w:tabs>
        <w:tab w:val="left" w:pos="1417"/>
        <w:tab w:val="left" w:pos="1984"/>
      </w:tabs>
      <w:ind w:left="2551" w:hanging="1701"/>
    </w:pPr>
  </w:style>
  <w:style w:type="paragraph" w:customStyle="1" w:styleId="PointTriple2">
    <w:name w:val="PointTriple 2"/>
    <w:basedOn w:val="Normal"/>
    <w:rsid w:val="00517205"/>
    <w:pPr>
      <w:tabs>
        <w:tab w:val="left" w:pos="1984"/>
        <w:tab w:val="left" w:pos="2551"/>
      </w:tabs>
      <w:ind w:left="3118" w:hanging="1701"/>
    </w:pPr>
  </w:style>
  <w:style w:type="paragraph" w:customStyle="1" w:styleId="PointTriple3">
    <w:name w:val="PointTriple 3"/>
    <w:basedOn w:val="Normal"/>
    <w:rsid w:val="00517205"/>
    <w:pPr>
      <w:tabs>
        <w:tab w:val="left" w:pos="2551"/>
        <w:tab w:val="left" w:pos="3118"/>
      </w:tabs>
      <w:ind w:left="3685" w:hanging="1701"/>
    </w:pPr>
  </w:style>
  <w:style w:type="paragraph" w:customStyle="1" w:styleId="PointTriple4">
    <w:name w:val="PointTriple 4"/>
    <w:basedOn w:val="Normal"/>
    <w:rsid w:val="00517205"/>
    <w:pPr>
      <w:tabs>
        <w:tab w:val="left" w:pos="3118"/>
        <w:tab w:val="left" w:pos="3685"/>
      </w:tabs>
      <w:ind w:left="4252" w:hanging="1701"/>
    </w:pPr>
  </w:style>
  <w:style w:type="paragraph" w:customStyle="1" w:styleId="NumPar1">
    <w:name w:val="NumPar 1"/>
    <w:basedOn w:val="Normal"/>
    <w:next w:val="Text1"/>
    <w:rsid w:val="00517205"/>
    <w:pPr>
      <w:numPr>
        <w:numId w:val="23"/>
      </w:numPr>
    </w:pPr>
  </w:style>
  <w:style w:type="paragraph" w:customStyle="1" w:styleId="NumPar2">
    <w:name w:val="NumPar 2"/>
    <w:basedOn w:val="Normal"/>
    <w:next w:val="Text1"/>
    <w:rsid w:val="00517205"/>
    <w:pPr>
      <w:numPr>
        <w:ilvl w:val="1"/>
        <w:numId w:val="23"/>
      </w:numPr>
    </w:pPr>
  </w:style>
  <w:style w:type="paragraph" w:customStyle="1" w:styleId="NumPar3">
    <w:name w:val="NumPar 3"/>
    <w:basedOn w:val="Normal"/>
    <w:next w:val="Text1"/>
    <w:rsid w:val="00517205"/>
    <w:pPr>
      <w:numPr>
        <w:ilvl w:val="2"/>
        <w:numId w:val="23"/>
      </w:numPr>
    </w:pPr>
  </w:style>
  <w:style w:type="paragraph" w:customStyle="1" w:styleId="NumPar4">
    <w:name w:val="NumPar 4"/>
    <w:basedOn w:val="Normal"/>
    <w:next w:val="Text1"/>
    <w:rsid w:val="00517205"/>
    <w:pPr>
      <w:numPr>
        <w:ilvl w:val="3"/>
        <w:numId w:val="23"/>
      </w:numPr>
    </w:pPr>
  </w:style>
  <w:style w:type="paragraph" w:customStyle="1" w:styleId="NumPar5">
    <w:name w:val="NumPar 5"/>
    <w:basedOn w:val="Normal"/>
    <w:next w:val="Text2"/>
    <w:rsid w:val="00517205"/>
    <w:pPr>
      <w:numPr>
        <w:ilvl w:val="4"/>
        <w:numId w:val="23"/>
      </w:numPr>
    </w:pPr>
  </w:style>
  <w:style w:type="paragraph" w:customStyle="1" w:styleId="NumPar6">
    <w:name w:val="NumPar 6"/>
    <w:basedOn w:val="Normal"/>
    <w:next w:val="Text2"/>
    <w:rsid w:val="00517205"/>
    <w:pPr>
      <w:numPr>
        <w:ilvl w:val="5"/>
        <w:numId w:val="23"/>
      </w:numPr>
    </w:pPr>
  </w:style>
  <w:style w:type="paragraph" w:customStyle="1" w:styleId="NumPar7">
    <w:name w:val="NumPar 7"/>
    <w:basedOn w:val="Normal"/>
    <w:next w:val="Text2"/>
    <w:rsid w:val="00517205"/>
    <w:pPr>
      <w:numPr>
        <w:ilvl w:val="6"/>
        <w:numId w:val="23"/>
      </w:numPr>
    </w:pPr>
  </w:style>
  <w:style w:type="paragraph" w:customStyle="1" w:styleId="ManualNumPar1">
    <w:name w:val="Manual NumPar 1"/>
    <w:basedOn w:val="Normal"/>
    <w:next w:val="Text1"/>
    <w:rsid w:val="00517205"/>
    <w:pPr>
      <w:ind w:left="850" w:hanging="850"/>
    </w:pPr>
  </w:style>
  <w:style w:type="paragraph" w:customStyle="1" w:styleId="ManualNumPar2">
    <w:name w:val="Manual NumPar 2"/>
    <w:basedOn w:val="Normal"/>
    <w:next w:val="Text1"/>
    <w:rsid w:val="00517205"/>
    <w:pPr>
      <w:ind w:left="850" w:hanging="850"/>
    </w:pPr>
  </w:style>
  <w:style w:type="paragraph" w:customStyle="1" w:styleId="ManualNumPar3">
    <w:name w:val="Manual NumPar 3"/>
    <w:basedOn w:val="Normal"/>
    <w:next w:val="Text1"/>
    <w:rsid w:val="00517205"/>
    <w:pPr>
      <w:ind w:left="850" w:hanging="850"/>
    </w:pPr>
  </w:style>
  <w:style w:type="paragraph" w:customStyle="1" w:styleId="ManualNumPar4">
    <w:name w:val="Manual NumPar 4"/>
    <w:basedOn w:val="Normal"/>
    <w:next w:val="Text1"/>
    <w:rsid w:val="00517205"/>
    <w:pPr>
      <w:ind w:left="850" w:hanging="850"/>
    </w:pPr>
  </w:style>
  <w:style w:type="paragraph" w:customStyle="1" w:styleId="ManualNumPar5">
    <w:name w:val="Manual NumPar 5"/>
    <w:basedOn w:val="Normal"/>
    <w:next w:val="Text2"/>
    <w:rsid w:val="00517205"/>
    <w:pPr>
      <w:ind w:left="1417" w:hanging="1417"/>
    </w:pPr>
  </w:style>
  <w:style w:type="paragraph" w:customStyle="1" w:styleId="ManualNumPar6">
    <w:name w:val="Manual NumPar 6"/>
    <w:basedOn w:val="Normal"/>
    <w:next w:val="Text2"/>
    <w:rsid w:val="00517205"/>
    <w:pPr>
      <w:ind w:left="1417" w:hanging="1417"/>
    </w:pPr>
  </w:style>
  <w:style w:type="paragraph" w:customStyle="1" w:styleId="ManualNumPar7">
    <w:name w:val="Manual NumPar 7"/>
    <w:basedOn w:val="Normal"/>
    <w:next w:val="Text2"/>
    <w:rsid w:val="00517205"/>
    <w:pPr>
      <w:ind w:left="1417" w:hanging="1417"/>
    </w:pPr>
  </w:style>
  <w:style w:type="paragraph" w:customStyle="1" w:styleId="QuotedNumPar">
    <w:name w:val="Quoted NumPar"/>
    <w:basedOn w:val="Normal"/>
    <w:rsid w:val="00517205"/>
    <w:pPr>
      <w:ind w:left="1417" w:hanging="567"/>
    </w:pPr>
  </w:style>
  <w:style w:type="paragraph" w:customStyle="1" w:styleId="ManualHeading1">
    <w:name w:val="Manual Heading 1"/>
    <w:basedOn w:val="Normal"/>
    <w:next w:val="Text1"/>
    <w:rsid w:val="00517205"/>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517205"/>
    <w:pPr>
      <w:keepNext/>
      <w:tabs>
        <w:tab w:val="left" w:pos="850"/>
      </w:tabs>
      <w:ind w:left="850" w:hanging="850"/>
      <w:outlineLvl w:val="1"/>
    </w:pPr>
    <w:rPr>
      <w:b/>
    </w:rPr>
  </w:style>
  <w:style w:type="paragraph" w:customStyle="1" w:styleId="ManualHeading3">
    <w:name w:val="Manual Heading 3"/>
    <w:basedOn w:val="Normal"/>
    <w:next w:val="Text1"/>
    <w:rsid w:val="00517205"/>
    <w:pPr>
      <w:keepNext/>
      <w:tabs>
        <w:tab w:val="left" w:pos="850"/>
      </w:tabs>
      <w:ind w:left="850" w:hanging="850"/>
      <w:outlineLvl w:val="2"/>
    </w:pPr>
    <w:rPr>
      <w:i/>
    </w:rPr>
  </w:style>
  <w:style w:type="paragraph" w:customStyle="1" w:styleId="ManualHeading4">
    <w:name w:val="Manual Heading 4"/>
    <w:basedOn w:val="Normal"/>
    <w:next w:val="Text1"/>
    <w:rsid w:val="00517205"/>
    <w:pPr>
      <w:keepNext/>
      <w:tabs>
        <w:tab w:val="left" w:pos="850"/>
      </w:tabs>
      <w:ind w:left="850" w:hanging="850"/>
      <w:outlineLvl w:val="3"/>
    </w:pPr>
  </w:style>
  <w:style w:type="paragraph" w:customStyle="1" w:styleId="ManualHeading5">
    <w:name w:val="Manual Heading 5"/>
    <w:basedOn w:val="Normal"/>
    <w:next w:val="Text2"/>
    <w:rsid w:val="00517205"/>
    <w:pPr>
      <w:keepNext/>
      <w:tabs>
        <w:tab w:val="left" w:pos="1417"/>
      </w:tabs>
      <w:ind w:left="1417" w:hanging="1417"/>
      <w:outlineLvl w:val="4"/>
    </w:pPr>
  </w:style>
  <w:style w:type="paragraph" w:customStyle="1" w:styleId="ManualHeading6">
    <w:name w:val="Manual Heading 6"/>
    <w:basedOn w:val="Normal"/>
    <w:next w:val="Text2"/>
    <w:rsid w:val="00517205"/>
    <w:pPr>
      <w:keepNext/>
      <w:tabs>
        <w:tab w:val="left" w:pos="1417"/>
      </w:tabs>
      <w:ind w:left="1417" w:hanging="1417"/>
      <w:outlineLvl w:val="5"/>
    </w:pPr>
  </w:style>
  <w:style w:type="paragraph" w:customStyle="1" w:styleId="ManualHeading7">
    <w:name w:val="Manual Heading 7"/>
    <w:basedOn w:val="Normal"/>
    <w:next w:val="Text2"/>
    <w:rsid w:val="00517205"/>
    <w:pPr>
      <w:keepNext/>
      <w:tabs>
        <w:tab w:val="left" w:pos="1417"/>
      </w:tabs>
      <w:ind w:left="1417" w:hanging="1417"/>
      <w:outlineLvl w:val="6"/>
    </w:pPr>
  </w:style>
  <w:style w:type="paragraph" w:customStyle="1" w:styleId="ChapterTitle">
    <w:name w:val="ChapterTitle"/>
    <w:basedOn w:val="Normal"/>
    <w:next w:val="Normal"/>
    <w:rsid w:val="00517205"/>
    <w:pPr>
      <w:keepNext/>
      <w:spacing w:after="360"/>
      <w:jc w:val="center"/>
    </w:pPr>
    <w:rPr>
      <w:b/>
      <w:sz w:val="32"/>
    </w:rPr>
  </w:style>
  <w:style w:type="paragraph" w:customStyle="1" w:styleId="PartTitle">
    <w:name w:val="PartTitle"/>
    <w:basedOn w:val="Normal"/>
    <w:next w:val="ChapterTitle"/>
    <w:rsid w:val="00517205"/>
    <w:pPr>
      <w:keepNext/>
      <w:pageBreakBefore/>
      <w:spacing w:after="360"/>
      <w:jc w:val="center"/>
    </w:pPr>
    <w:rPr>
      <w:b/>
      <w:sz w:val="36"/>
    </w:rPr>
  </w:style>
  <w:style w:type="paragraph" w:customStyle="1" w:styleId="SectionTitle">
    <w:name w:val="SectionTitle"/>
    <w:basedOn w:val="Normal"/>
    <w:next w:val="Heading1"/>
    <w:rsid w:val="00517205"/>
    <w:pPr>
      <w:keepNext/>
      <w:spacing w:after="360"/>
      <w:jc w:val="center"/>
    </w:pPr>
    <w:rPr>
      <w:b/>
      <w:smallCaps/>
      <w:sz w:val="28"/>
    </w:rPr>
  </w:style>
  <w:style w:type="paragraph" w:customStyle="1" w:styleId="TableTitle">
    <w:name w:val="Table Title"/>
    <w:basedOn w:val="Normal"/>
    <w:next w:val="Normal"/>
    <w:rsid w:val="00517205"/>
    <w:pPr>
      <w:jc w:val="center"/>
    </w:pPr>
    <w:rPr>
      <w:b/>
    </w:rPr>
  </w:style>
  <w:style w:type="character" w:customStyle="1" w:styleId="Marker">
    <w:name w:val="Marker"/>
    <w:basedOn w:val="DefaultParagraphFont"/>
    <w:rsid w:val="001C151D"/>
    <w:rPr>
      <w:color w:val="0000FF"/>
      <w:shd w:val="clear" w:color="auto" w:fill="auto"/>
    </w:rPr>
  </w:style>
  <w:style w:type="character" w:customStyle="1" w:styleId="Marker1">
    <w:name w:val="Marker1"/>
    <w:basedOn w:val="DefaultParagraphFont"/>
    <w:rsid w:val="00517205"/>
    <w:rPr>
      <w:color w:val="008000"/>
      <w:shd w:val="clear" w:color="auto" w:fill="auto"/>
    </w:rPr>
  </w:style>
  <w:style w:type="character" w:customStyle="1" w:styleId="Marker2">
    <w:name w:val="Marker2"/>
    <w:basedOn w:val="DefaultParagraphFont"/>
    <w:rsid w:val="00517205"/>
    <w:rPr>
      <w:color w:val="FF0000"/>
      <w:shd w:val="clear" w:color="auto" w:fill="auto"/>
    </w:rPr>
  </w:style>
  <w:style w:type="paragraph" w:customStyle="1" w:styleId="Point0number">
    <w:name w:val="Point 0 (number)"/>
    <w:basedOn w:val="Normal"/>
    <w:rsid w:val="00517205"/>
    <w:pPr>
      <w:numPr>
        <w:numId w:val="25"/>
      </w:numPr>
    </w:pPr>
  </w:style>
  <w:style w:type="paragraph" w:customStyle="1" w:styleId="Point1number">
    <w:name w:val="Point 1 (number)"/>
    <w:basedOn w:val="Normal"/>
    <w:rsid w:val="00517205"/>
    <w:pPr>
      <w:numPr>
        <w:ilvl w:val="2"/>
        <w:numId w:val="25"/>
      </w:numPr>
    </w:pPr>
  </w:style>
  <w:style w:type="paragraph" w:customStyle="1" w:styleId="Point2number">
    <w:name w:val="Point 2 (number)"/>
    <w:basedOn w:val="Normal"/>
    <w:rsid w:val="00517205"/>
    <w:pPr>
      <w:numPr>
        <w:ilvl w:val="4"/>
        <w:numId w:val="25"/>
      </w:numPr>
    </w:pPr>
  </w:style>
  <w:style w:type="paragraph" w:customStyle="1" w:styleId="Point3number">
    <w:name w:val="Point 3 (number)"/>
    <w:basedOn w:val="Normal"/>
    <w:rsid w:val="00517205"/>
    <w:pPr>
      <w:numPr>
        <w:ilvl w:val="6"/>
        <w:numId w:val="25"/>
      </w:numPr>
    </w:pPr>
  </w:style>
  <w:style w:type="paragraph" w:customStyle="1" w:styleId="Point0letter">
    <w:name w:val="Point 0 (letter)"/>
    <w:basedOn w:val="Normal"/>
    <w:rsid w:val="00517205"/>
    <w:pPr>
      <w:numPr>
        <w:ilvl w:val="1"/>
        <w:numId w:val="25"/>
      </w:numPr>
    </w:pPr>
  </w:style>
  <w:style w:type="paragraph" w:customStyle="1" w:styleId="Point1letter">
    <w:name w:val="Point 1 (letter)"/>
    <w:basedOn w:val="Normal"/>
    <w:rsid w:val="00517205"/>
    <w:pPr>
      <w:numPr>
        <w:ilvl w:val="3"/>
        <w:numId w:val="25"/>
      </w:numPr>
    </w:pPr>
  </w:style>
  <w:style w:type="paragraph" w:customStyle="1" w:styleId="Point2letter">
    <w:name w:val="Point 2 (letter)"/>
    <w:basedOn w:val="Normal"/>
    <w:rsid w:val="00517205"/>
    <w:pPr>
      <w:numPr>
        <w:ilvl w:val="5"/>
        <w:numId w:val="25"/>
      </w:numPr>
    </w:pPr>
  </w:style>
  <w:style w:type="paragraph" w:customStyle="1" w:styleId="Point3letter">
    <w:name w:val="Point 3 (letter)"/>
    <w:basedOn w:val="Normal"/>
    <w:rsid w:val="00517205"/>
    <w:pPr>
      <w:numPr>
        <w:ilvl w:val="7"/>
        <w:numId w:val="25"/>
      </w:numPr>
    </w:pPr>
  </w:style>
  <w:style w:type="paragraph" w:customStyle="1" w:styleId="Point4letter">
    <w:name w:val="Point 4 (letter)"/>
    <w:basedOn w:val="Normal"/>
    <w:rsid w:val="00517205"/>
    <w:pPr>
      <w:numPr>
        <w:ilvl w:val="8"/>
        <w:numId w:val="25"/>
      </w:numPr>
    </w:pPr>
  </w:style>
  <w:style w:type="paragraph" w:customStyle="1" w:styleId="Bullet0">
    <w:name w:val="Bullet 0"/>
    <w:basedOn w:val="Normal"/>
    <w:rsid w:val="00517205"/>
    <w:pPr>
      <w:numPr>
        <w:numId w:val="26"/>
      </w:numPr>
    </w:pPr>
  </w:style>
  <w:style w:type="paragraph" w:customStyle="1" w:styleId="Bullet1">
    <w:name w:val="Bullet 1"/>
    <w:basedOn w:val="Normal"/>
    <w:rsid w:val="00517205"/>
    <w:pPr>
      <w:numPr>
        <w:numId w:val="27"/>
      </w:numPr>
    </w:pPr>
  </w:style>
  <w:style w:type="paragraph" w:customStyle="1" w:styleId="Bullet2">
    <w:name w:val="Bullet 2"/>
    <w:basedOn w:val="Normal"/>
    <w:rsid w:val="00517205"/>
    <w:pPr>
      <w:numPr>
        <w:numId w:val="28"/>
      </w:numPr>
    </w:pPr>
  </w:style>
  <w:style w:type="paragraph" w:customStyle="1" w:styleId="Bullet3">
    <w:name w:val="Bullet 3"/>
    <w:basedOn w:val="Normal"/>
    <w:rsid w:val="00517205"/>
    <w:pPr>
      <w:numPr>
        <w:numId w:val="29"/>
      </w:numPr>
    </w:pPr>
  </w:style>
  <w:style w:type="paragraph" w:customStyle="1" w:styleId="Bullet4">
    <w:name w:val="Bullet 4"/>
    <w:basedOn w:val="Normal"/>
    <w:rsid w:val="00517205"/>
    <w:pPr>
      <w:numPr>
        <w:numId w:val="30"/>
      </w:numPr>
    </w:pPr>
  </w:style>
  <w:style w:type="paragraph" w:customStyle="1" w:styleId="Langue">
    <w:name w:val="Langue"/>
    <w:basedOn w:val="Normal"/>
    <w:next w:val="Rfrenceinterne"/>
    <w:rsid w:val="00517205"/>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517205"/>
    <w:pPr>
      <w:spacing w:before="0" w:after="0"/>
      <w:jc w:val="left"/>
    </w:pPr>
    <w:rPr>
      <w:rFonts w:ascii="Arial" w:hAnsi="Arial" w:cs="Arial"/>
    </w:rPr>
  </w:style>
  <w:style w:type="paragraph" w:customStyle="1" w:styleId="Emission">
    <w:name w:val="Emission"/>
    <w:basedOn w:val="Normal"/>
    <w:next w:val="Rfrenceinstitutionnelle"/>
    <w:rsid w:val="00517205"/>
    <w:pPr>
      <w:spacing w:before="0" w:after="0"/>
      <w:ind w:left="5103"/>
      <w:jc w:val="left"/>
    </w:pPr>
  </w:style>
  <w:style w:type="paragraph" w:customStyle="1" w:styleId="Rfrenceinstitutionnelle">
    <w:name w:val="Référence institutionnelle"/>
    <w:basedOn w:val="Normal"/>
    <w:next w:val="Confidentialit"/>
    <w:rsid w:val="00517205"/>
    <w:pPr>
      <w:spacing w:before="0" w:after="240"/>
      <w:ind w:left="5103"/>
      <w:jc w:val="left"/>
    </w:pPr>
  </w:style>
  <w:style w:type="paragraph" w:customStyle="1" w:styleId="Pagedecouverture">
    <w:name w:val="Page de couverture"/>
    <w:basedOn w:val="Normal"/>
    <w:next w:val="Normal"/>
    <w:rsid w:val="00517205"/>
    <w:pPr>
      <w:spacing w:before="0" w:after="0"/>
    </w:pPr>
  </w:style>
  <w:style w:type="paragraph" w:customStyle="1" w:styleId="Declassification">
    <w:name w:val="Declassification"/>
    <w:basedOn w:val="Normal"/>
    <w:next w:val="Normal"/>
    <w:rsid w:val="00517205"/>
    <w:pPr>
      <w:spacing w:before="0" w:after="0"/>
    </w:pPr>
  </w:style>
  <w:style w:type="paragraph" w:customStyle="1" w:styleId="Disclaimer">
    <w:name w:val="Disclaimer"/>
    <w:basedOn w:val="Normal"/>
    <w:rsid w:val="0051720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517205"/>
    <w:pPr>
      <w:spacing w:before="0" w:after="0" w:line="276" w:lineRule="auto"/>
      <w:ind w:left="5103"/>
      <w:jc w:val="left"/>
    </w:pPr>
    <w:rPr>
      <w:sz w:val="28"/>
    </w:rPr>
  </w:style>
  <w:style w:type="paragraph" w:customStyle="1" w:styleId="DateMarking">
    <w:name w:val="DateMarking"/>
    <w:basedOn w:val="Normal"/>
    <w:rsid w:val="00517205"/>
    <w:pPr>
      <w:spacing w:before="0" w:after="0" w:line="276" w:lineRule="auto"/>
      <w:ind w:left="5103"/>
      <w:jc w:val="left"/>
    </w:pPr>
    <w:rPr>
      <w:i/>
      <w:sz w:val="28"/>
    </w:rPr>
  </w:style>
  <w:style w:type="paragraph" w:customStyle="1" w:styleId="ReleasableTo">
    <w:name w:val="ReleasableTo"/>
    <w:basedOn w:val="Normal"/>
    <w:rsid w:val="00517205"/>
    <w:pPr>
      <w:spacing w:before="0" w:after="0" w:line="276" w:lineRule="auto"/>
      <w:ind w:left="5103"/>
      <w:jc w:val="left"/>
    </w:pPr>
    <w:rPr>
      <w:i/>
      <w:sz w:val="28"/>
    </w:rPr>
  </w:style>
  <w:style w:type="paragraph" w:customStyle="1" w:styleId="Annexetitreexpos">
    <w:name w:val="Annexe titre (exposé)"/>
    <w:basedOn w:val="Normal"/>
    <w:next w:val="Normal"/>
    <w:rsid w:val="00517205"/>
    <w:pPr>
      <w:jc w:val="center"/>
    </w:pPr>
    <w:rPr>
      <w:b/>
      <w:u w:val="single"/>
    </w:rPr>
  </w:style>
  <w:style w:type="paragraph" w:customStyle="1" w:styleId="Annexetitre">
    <w:name w:val="Annexe titre"/>
    <w:basedOn w:val="Normal"/>
    <w:next w:val="Normal"/>
    <w:rsid w:val="00517205"/>
    <w:pPr>
      <w:jc w:val="center"/>
    </w:pPr>
    <w:rPr>
      <w:b/>
      <w:u w:val="single"/>
    </w:rPr>
  </w:style>
  <w:style w:type="paragraph" w:customStyle="1" w:styleId="Annexetitrefichefinancire">
    <w:name w:val="Annexe titre (fiche financière)"/>
    <w:basedOn w:val="Normal"/>
    <w:next w:val="Normal"/>
    <w:rsid w:val="00517205"/>
    <w:pPr>
      <w:jc w:val="center"/>
    </w:pPr>
    <w:rPr>
      <w:b/>
      <w:u w:val="single"/>
    </w:rPr>
  </w:style>
  <w:style w:type="paragraph" w:customStyle="1" w:styleId="Applicationdirecte">
    <w:name w:val="Application directe"/>
    <w:basedOn w:val="Normal"/>
    <w:next w:val="Fait"/>
    <w:rsid w:val="00517205"/>
    <w:pPr>
      <w:spacing w:before="480"/>
    </w:pPr>
  </w:style>
  <w:style w:type="paragraph" w:customStyle="1" w:styleId="Avertissementtitre">
    <w:name w:val="Avertissement titre"/>
    <w:basedOn w:val="Normal"/>
    <w:next w:val="Normal"/>
    <w:rsid w:val="00517205"/>
    <w:pPr>
      <w:keepNext/>
      <w:spacing w:before="480"/>
    </w:pPr>
    <w:rPr>
      <w:u w:val="single"/>
    </w:rPr>
  </w:style>
  <w:style w:type="paragraph" w:customStyle="1" w:styleId="Confidence">
    <w:name w:val="Confidence"/>
    <w:basedOn w:val="Normal"/>
    <w:next w:val="Normal"/>
    <w:rsid w:val="00517205"/>
    <w:pPr>
      <w:spacing w:before="360"/>
      <w:jc w:val="center"/>
    </w:pPr>
  </w:style>
  <w:style w:type="paragraph" w:customStyle="1" w:styleId="Confidentialit">
    <w:name w:val="Confidentialité"/>
    <w:basedOn w:val="Normal"/>
    <w:next w:val="TypedudocumentPagedecouverture"/>
    <w:rsid w:val="00517205"/>
    <w:pPr>
      <w:spacing w:before="240" w:after="240"/>
      <w:ind w:left="5103"/>
      <w:jc w:val="left"/>
    </w:pPr>
    <w:rPr>
      <w:i/>
      <w:sz w:val="32"/>
    </w:rPr>
  </w:style>
  <w:style w:type="paragraph" w:customStyle="1" w:styleId="Considrant">
    <w:name w:val="Considérant"/>
    <w:basedOn w:val="Normal"/>
    <w:rsid w:val="00517205"/>
    <w:pPr>
      <w:numPr>
        <w:numId w:val="31"/>
      </w:numPr>
    </w:pPr>
  </w:style>
  <w:style w:type="paragraph" w:customStyle="1" w:styleId="Corrigendum">
    <w:name w:val="Corrigendum"/>
    <w:basedOn w:val="Normal"/>
    <w:next w:val="Normal"/>
    <w:rsid w:val="00517205"/>
    <w:pPr>
      <w:spacing w:before="0" w:after="240"/>
      <w:jc w:val="left"/>
    </w:pPr>
  </w:style>
  <w:style w:type="paragraph" w:customStyle="1" w:styleId="Datedadoption">
    <w:name w:val="Date d'adoption"/>
    <w:basedOn w:val="Normal"/>
    <w:next w:val="Titreobjet"/>
    <w:rsid w:val="00517205"/>
    <w:pPr>
      <w:spacing w:before="360" w:after="0"/>
      <w:jc w:val="center"/>
    </w:pPr>
    <w:rPr>
      <w:b/>
    </w:rPr>
  </w:style>
  <w:style w:type="paragraph" w:customStyle="1" w:styleId="Exposdesmotifstitre">
    <w:name w:val="Exposé des motifs titre"/>
    <w:basedOn w:val="Normal"/>
    <w:next w:val="Normal"/>
    <w:rsid w:val="00517205"/>
    <w:pPr>
      <w:jc w:val="center"/>
    </w:pPr>
    <w:rPr>
      <w:b/>
      <w:u w:val="single"/>
    </w:rPr>
  </w:style>
  <w:style w:type="paragraph" w:customStyle="1" w:styleId="Fait">
    <w:name w:val="Fait à"/>
    <w:basedOn w:val="Normal"/>
    <w:next w:val="Institutionquisigne"/>
    <w:rsid w:val="00517205"/>
    <w:pPr>
      <w:keepNext/>
      <w:spacing w:after="0"/>
    </w:pPr>
  </w:style>
  <w:style w:type="paragraph" w:customStyle="1" w:styleId="Formuledadoption">
    <w:name w:val="Formule d'adoption"/>
    <w:basedOn w:val="Normal"/>
    <w:next w:val="Titrearticle"/>
    <w:rsid w:val="00517205"/>
    <w:pPr>
      <w:keepNext/>
    </w:pPr>
  </w:style>
  <w:style w:type="paragraph" w:customStyle="1" w:styleId="Institutionquiagit">
    <w:name w:val="Institution qui agit"/>
    <w:basedOn w:val="Normal"/>
    <w:next w:val="Normal"/>
    <w:rsid w:val="00517205"/>
    <w:pPr>
      <w:keepNext/>
      <w:spacing w:before="600"/>
    </w:pPr>
  </w:style>
  <w:style w:type="paragraph" w:customStyle="1" w:styleId="Institutionquisigne">
    <w:name w:val="Institution qui signe"/>
    <w:basedOn w:val="Normal"/>
    <w:next w:val="Personnequisigne"/>
    <w:rsid w:val="00517205"/>
    <w:pPr>
      <w:keepNext/>
      <w:tabs>
        <w:tab w:val="left" w:pos="4252"/>
      </w:tabs>
      <w:spacing w:before="720" w:after="0"/>
    </w:pPr>
    <w:rPr>
      <w:i/>
    </w:rPr>
  </w:style>
  <w:style w:type="paragraph" w:customStyle="1" w:styleId="ManualConsidrant">
    <w:name w:val="Manual Considérant"/>
    <w:basedOn w:val="Normal"/>
    <w:rsid w:val="00517205"/>
    <w:pPr>
      <w:ind w:left="709" w:hanging="709"/>
    </w:pPr>
  </w:style>
  <w:style w:type="paragraph" w:customStyle="1" w:styleId="Personnequisigne">
    <w:name w:val="Personne qui signe"/>
    <w:basedOn w:val="Normal"/>
    <w:next w:val="Institutionquisigne"/>
    <w:rsid w:val="00517205"/>
    <w:pPr>
      <w:tabs>
        <w:tab w:val="left" w:pos="4252"/>
      </w:tabs>
      <w:spacing w:before="0" w:after="0"/>
      <w:jc w:val="left"/>
    </w:pPr>
    <w:rPr>
      <w:i/>
    </w:rPr>
  </w:style>
  <w:style w:type="paragraph" w:customStyle="1" w:styleId="Rfrenceinterinstitutionnelle">
    <w:name w:val="Référence interinstitutionnelle"/>
    <w:basedOn w:val="Normal"/>
    <w:next w:val="Statut"/>
    <w:rsid w:val="00517205"/>
    <w:pPr>
      <w:spacing w:before="0" w:after="0"/>
      <w:ind w:left="5103"/>
      <w:jc w:val="left"/>
    </w:pPr>
  </w:style>
  <w:style w:type="paragraph" w:customStyle="1" w:styleId="Rfrenceinterne">
    <w:name w:val="Référence interne"/>
    <w:basedOn w:val="Normal"/>
    <w:next w:val="Rfrenceinterinstitutionnelle"/>
    <w:rsid w:val="00517205"/>
    <w:pPr>
      <w:spacing w:before="0" w:after="0"/>
      <w:ind w:left="5103"/>
      <w:jc w:val="left"/>
    </w:pPr>
  </w:style>
  <w:style w:type="paragraph" w:customStyle="1" w:styleId="Statut">
    <w:name w:val="Statut"/>
    <w:basedOn w:val="Normal"/>
    <w:next w:val="Typedudocument"/>
    <w:rsid w:val="00517205"/>
    <w:pPr>
      <w:spacing w:before="360" w:after="0"/>
      <w:jc w:val="center"/>
    </w:pPr>
  </w:style>
  <w:style w:type="paragraph" w:customStyle="1" w:styleId="Titrearticle">
    <w:name w:val="Titre article"/>
    <w:basedOn w:val="Normal"/>
    <w:next w:val="Normal"/>
    <w:rsid w:val="00517205"/>
    <w:pPr>
      <w:keepNext/>
      <w:spacing w:before="360"/>
      <w:jc w:val="center"/>
    </w:pPr>
    <w:rPr>
      <w:i/>
    </w:rPr>
  </w:style>
  <w:style w:type="paragraph" w:customStyle="1" w:styleId="Titreobjet">
    <w:name w:val="Titre objet"/>
    <w:basedOn w:val="Normal"/>
    <w:next w:val="IntrtEEE"/>
    <w:rsid w:val="00517205"/>
    <w:pPr>
      <w:spacing w:before="360" w:after="360"/>
      <w:jc w:val="center"/>
    </w:pPr>
    <w:rPr>
      <w:b/>
    </w:rPr>
  </w:style>
  <w:style w:type="paragraph" w:customStyle="1" w:styleId="Typedudocument">
    <w:name w:val="Type du document"/>
    <w:basedOn w:val="Normal"/>
    <w:next w:val="Titreobjet"/>
    <w:rsid w:val="00517205"/>
    <w:pPr>
      <w:spacing w:before="360" w:after="0"/>
      <w:jc w:val="center"/>
    </w:pPr>
    <w:rPr>
      <w:b/>
    </w:rPr>
  </w:style>
  <w:style w:type="character" w:customStyle="1" w:styleId="Added">
    <w:name w:val="Added"/>
    <w:basedOn w:val="DefaultParagraphFont"/>
    <w:rsid w:val="00517205"/>
    <w:rPr>
      <w:b/>
      <w:u w:val="single"/>
      <w:shd w:val="clear" w:color="auto" w:fill="auto"/>
    </w:rPr>
  </w:style>
  <w:style w:type="character" w:customStyle="1" w:styleId="Deleted">
    <w:name w:val="Deleted"/>
    <w:basedOn w:val="DefaultParagraphFont"/>
    <w:rsid w:val="00517205"/>
    <w:rPr>
      <w:strike/>
      <w:dstrike w:val="0"/>
      <w:shd w:val="clear" w:color="auto" w:fill="auto"/>
    </w:rPr>
  </w:style>
  <w:style w:type="paragraph" w:customStyle="1" w:styleId="Address">
    <w:name w:val="Address"/>
    <w:basedOn w:val="Normal"/>
    <w:next w:val="Normal"/>
    <w:rsid w:val="00517205"/>
    <w:pPr>
      <w:keepLines/>
      <w:spacing w:line="360" w:lineRule="auto"/>
      <w:ind w:left="3402"/>
      <w:jc w:val="left"/>
    </w:pPr>
  </w:style>
  <w:style w:type="paragraph" w:customStyle="1" w:styleId="Objetexterne">
    <w:name w:val="Objet externe"/>
    <w:basedOn w:val="Normal"/>
    <w:next w:val="Normal"/>
    <w:rsid w:val="00517205"/>
    <w:rPr>
      <w:i/>
      <w:caps/>
    </w:rPr>
  </w:style>
  <w:style w:type="paragraph" w:customStyle="1" w:styleId="Supertitre">
    <w:name w:val="Supertitre"/>
    <w:basedOn w:val="Normal"/>
    <w:next w:val="Normal"/>
    <w:rsid w:val="00517205"/>
    <w:pPr>
      <w:spacing w:before="0" w:after="600"/>
      <w:jc w:val="center"/>
    </w:pPr>
    <w:rPr>
      <w:b/>
    </w:rPr>
  </w:style>
  <w:style w:type="paragraph" w:customStyle="1" w:styleId="Languesfaisantfoi">
    <w:name w:val="Langues faisant foi"/>
    <w:basedOn w:val="Normal"/>
    <w:next w:val="Normal"/>
    <w:rsid w:val="00517205"/>
    <w:pPr>
      <w:spacing w:before="360" w:after="0"/>
      <w:jc w:val="center"/>
    </w:pPr>
  </w:style>
  <w:style w:type="paragraph" w:customStyle="1" w:styleId="Rfrencecroise">
    <w:name w:val="Référence croisée"/>
    <w:basedOn w:val="Normal"/>
    <w:rsid w:val="00517205"/>
    <w:pPr>
      <w:spacing w:before="0" w:after="0"/>
      <w:jc w:val="center"/>
    </w:pPr>
  </w:style>
  <w:style w:type="paragraph" w:customStyle="1" w:styleId="Fichefinanciretitre">
    <w:name w:val="Fiche financière titre"/>
    <w:basedOn w:val="Normal"/>
    <w:next w:val="Normal"/>
    <w:rsid w:val="00517205"/>
    <w:pPr>
      <w:jc w:val="center"/>
    </w:pPr>
    <w:rPr>
      <w:b/>
      <w:u w:val="single"/>
    </w:rPr>
  </w:style>
  <w:style w:type="paragraph" w:customStyle="1" w:styleId="DatedadoptionPagedecouverture">
    <w:name w:val="Date d'adoption (Page de couverture)"/>
    <w:basedOn w:val="Datedadoption"/>
    <w:next w:val="TitreobjetPagedecouverture"/>
    <w:rsid w:val="00517205"/>
  </w:style>
  <w:style w:type="paragraph" w:customStyle="1" w:styleId="RfrenceinterinstitutionnellePagedecouverture">
    <w:name w:val="Référence interinstitutionnelle (Page de couverture)"/>
    <w:basedOn w:val="Rfrenceinterinstitutionnelle"/>
    <w:next w:val="Confidentialit"/>
    <w:rsid w:val="00517205"/>
  </w:style>
  <w:style w:type="paragraph" w:customStyle="1" w:styleId="StatutPagedecouverture">
    <w:name w:val="Statut (Page de couverture)"/>
    <w:basedOn w:val="Statut"/>
    <w:next w:val="TypedudocumentPagedecouverture"/>
    <w:rsid w:val="00517205"/>
  </w:style>
  <w:style w:type="paragraph" w:customStyle="1" w:styleId="TitreobjetPagedecouverture">
    <w:name w:val="Titre objet (Page de couverture)"/>
    <w:basedOn w:val="Titreobjet"/>
    <w:next w:val="IntrtEEEPagedecouverture"/>
    <w:rsid w:val="00517205"/>
  </w:style>
  <w:style w:type="paragraph" w:customStyle="1" w:styleId="TypedudocumentPagedecouverture">
    <w:name w:val="Type du document (Page de couverture)"/>
    <w:basedOn w:val="Typedudocument"/>
    <w:next w:val="TitreobjetPagedecouverture"/>
    <w:rsid w:val="00517205"/>
  </w:style>
  <w:style w:type="paragraph" w:customStyle="1" w:styleId="Volume">
    <w:name w:val="Volume"/>
    <w:basedOn w:val="Normal"/>
    <w:next w:val="Confidentialit"/>
    <w:rsid w:val="00517205"/>
    <w:pPr>
      <w:spacing w:before="0" w:after="240"/>
      <w:ind w:left="5103"/>
      <w:jc w:val="left"/>
    </w:pPr>
  </w:style>
  <w:style w:type="paragraph" w:customStyle="1" w:styleId="IntrtEEE">
    <w:name w:val="Intérêt EEE"/>
    <w:basedOn w:val="Languesfaisantfoi"/>
    <w:next w:val="Normal"/>
    <w:rsid w:val="00517205"/>
    <w:pPr>
      <w:spacing w:after="240"/>
    </w:pPr>
  </w:style>
  <w:style w:type="paragraph" w:customStyle="1" w:styleId="Accompagnant">
    <w:name w:val="Accompagnant"/>
    <w:basedOn w:val="Normal"/>
    <w:next w:val="Typeacteprincipal"/>
    <w:rsid w:val="00517205"/>
    <w:pPr>
      <w:spacing w:before="0" w:after="240"/>
      <w:jc w:val="center"/>
    </w:pPr>
    <w:rPr>
      <w:b/>
      <w:i/>
    </w:rPr>
  </w:style>
  <w:style w:type="paragraph" w:customStyle="1" w:styleId="Typeacteprincipal">
    <w:name w:val="Type acte principal"/>
    <w:basedOn w:val="Normal"/>
    <w:next w:val="Objetacteprincipal"/>
    <w:rsid w:val="00517205"/>
    <w:pPr>
      <w:spacing w:before="0" w:after="240"/>
      <w:jc w:val="center"/>
    </w:pPr>
    <w:rPr>
      <w:b/>
    </w:rPr>
  </w:style>
  <w:style w:type="paragraph" w:customStyle="1" w:styleId="Objetacteprincipal">
    <w:name w:val="Objet acte principal"/>
    <w:basedOn w:val="Normal"/>
    <w:next w:val="Titrearticle"/>
    <w:rsid w:val="00517205"/>
    <w:pPr>
      <w:spacing w:before="0" w:after="360"/>
      <w:jc w:val="center"/>
    </w:pPr>
    <w:rPr>
      <w:b/>
    </w:rPr>
  </w:style>
  <w:style w:type="paragraph" w:customStyle="1" w:styleId="IntrtEEEPagedecouverture">
    <w:name w:val="Intérêt EEE (Page de couverture)"/>
    <w:basedOn w:val="IntrtEEE"/>
    <w:next w:val="Rfrencecroise"/>
    <w:rsid w:val="00517205"/>
  </w:style>
  <w:style w:type="paragraph" w:customStyle="1" w:styleId="AccompagnantPagedecouverture">
    <w:name w:val="Accompagnant (Page de couverture)"/>
    <w:basedOn w:val="Accompagnant"/>
    <w:next w:val="TypeacteprincipalPagedecouverture"/>
    <w:rsid w:val="00517205"/>
  </w:style>
  <w:style w:type="paragraph" w:customStyle="1" w:styleId="TypeacteprincipalPagedecouverture">
    <w:name w:val="Type acte principal (Page de couverture)"/>
    <w:basedOn w:val="Typeacteprincipal"/>
    <w:next w:val="ObjetacteprincipalPagedecouverture"/>
    <w:rsid w:val="00517205"/>
  </w:style>
  <w:style w:type="paragraph" w:customStyle="1" w:styleId="ObjetacteprincipalPagedecouverture">
    <w:name w:val="Objet acte principal (Page de couverture)"/>
    <w:basedOn w:val="Objetacteprincipal"/>
    <w:next w:val="Rfrencecroise"/>
    <w:rsid w:val="00517205"/>
  </w:style>
  <w:style w:type="paragraph" w:customStyle="1" w:styleId="LanguesfaisantfoiPagedecouverture">
    <w:name w:val="Langues faisant foi (Page de couverture)"/>
    <w:basedOn w:val="Normal"/>
    <w:next w:val="Normal"/>
    <w:rsid w:val="00517205"/>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603756">
      <w:bodyDiv w:val="1"/>
      <w:marLeft w:val="0"/>
      <w:marRight w:val="0"/>
      <w:marTop w:val="0"/>
      <w:marBottom w:val="0"/>
      <w:divBdr>
        <w:top w:val="none" w:sz="0" w:space="0" w:color="auto"/>
        <w:left w:val="none" w:sz="0" w:space="0" w:color="auto"/>
        <w:bottom w:val="none" w:sz="0" w:space="0" w:color="auto"/>
        <w:right w:val="none" w:sz="0" w:space="0" w:color="auto"/>
      </w:divBdr>
    </w:div>
    <w:div w:id="658312259">
      <w:bodyDiv w:val="1"/>
      <w:marLeft w:val="0"/>
      <w:marRight w:val="0"/>
      <w:marTop w:val="0"/>
      <w:marBottom w:val="0"/>
      <w:divBdr>
        <w:top w:val="none" w:sz="0" w:space="0" w:color="auto"/>
        <w:left w:val="none" w:sz="0" w:space="0" w:color="auto"/>
        <w:bottom w:val="none" w:sz="0" w:space="0" w:color="auto"/>
        <w:right w:val="none" w:sz="0" w:space="0" w:color="auto"/>
      </w:divBdr>
    </w:div>
    <w:div w:id="686835779">
      <w:bodyDiv w:val="1"/>
      <w:marLeft w:val="0"/>
      <w:marRight w:val="0"/>
      <w:marTop w:val="0"/>
      <w:marBottom w:val="0"/>
      <w:divBdr>
        <w:top w:val="none" w:sz="0" w:space="0" w:color="auto"/>
        <w:left w:val="none" w:sz="0" w:space="0" w:color="auto"/>
        <w:bottom w:val="none" w:sz="0" w:space="0" w:color="auto"/>
        <w:right w:val="none" w:sz="0" w:space="0" w:color="auto"/>
      </w:divBdr>
    </w:div>
    <w:div w:id="714040997">
      <w:bodyDiv w:val="1"/>
      <w:marLeft w:val="0"/>
      <w:marRight w:val="0"/>
      <w:marTop w:val="0"/>
      <w:marBottom w:val="0"/>
      <w:divBdr>
        <w:top w:val="none" w:sz="0" w:space="0" w:color="auto"/>
        <w:left w:val="none" w:sz="0" w:space="0" w:color="auto"/>
        <w:bottom w:val="none" w:sz="0" w:space="0" w:color="auto"/>
        <w:right w:val="none" w:sz="0" w:space="0" w:color="auto"/>
      </w:divBdr>
    </w:div>
    <w:div w:id="940455610">
      <w:bodyDiv w:val="1"/>
      <w:marLeft w:val="0"/>
      <w:marRight w:val="0"/>
      <w:marTop w:val="0"/>
      <w:marBottom w:val="0"/>
      <w:divBdr>
        <w:top w:val="none" w:sz="0" w:space="0" w:color="auto"/>
        <w:left w:val="none" w:sz="0" w:space="0" w:color="auto"/>
        <w:bottom w:val="none" w:sz="0" w:space="0" w:color="auto"/>
        <w:right w:val="none" w:sz="0" w:space="0" w:color="auto"/>
      </w:divBdr>
    </w:div>
    <w:div w:id="1065296835">
      <w:bodyDiv w:val="1"/>
      <w:marLeft w:val="0"/>
      <w:marRight w:val="0"/>
      <w:marTop w:val="0"/>
      <w:marBottom w:val="0"/>
      <w:divBdr>
        <w:top w:val="none" w:sz="0" w:space="0" w:color="auto"/>
        <w:left w:val="none" w:sz="0" w:space="0" w:color="auto"/>
        <w:bottom w:val="none" w:sz="0" w:space="0" w:color="auto"/>
        <w:right w:val="none" w:sz="0" w:space="0" w:color="auto"/>
      </w:divBdr>
    </w:div>
    <w:div w:id="1187131758">
      <w:bodyDiv w:val="1"/>
      <w:marLeft w:val="0"/>
      <w:marRight w:val="0"/>
      <w:marTop w:val="0"/>
      <w:marBottom w:val="0"/>
      <w:divBdr>
        <w:top w:val="none" w:sz="0" w:space="0" w:color="auto"/>
        <w:left w:val="none" w:sz="0" w:space="0" w:color="auto"/>
        <w:bottom w:val="none" w:sz="0" w:space="0" w:color="auto"/>
        <w:right w:val="none" w:sz="0" w:space="0" w:color="auto"/>
      </w:divBdr>
    </w:div>
    <w:div w:id="1213351572">
      <w:bodyDiv w:val="1"/>
      <w:marLeft w:val="0"/>
      <w:marRight w:val="0"/>
      <w:marTop w:val="0"/>
      <w:marBottom w:val="0"/>
      <w:divBdr>
        <w:top w:val="none" w:sz="0" w:space="0" w:color="auto"/>
        <w:left w:val="none" w:sz="0" w:space="0" w:color="auto"/>
        <w:bottom w:val="none" w:sz="0" w:space="0" w:color="auto"/>
        <w:right w:val="none" w:sz="0" w:space="0" w:color="auto"/>
      </w:divBdr>
    </w:div>
    <w:div w:id="1222255057">
      <w:bodyDiv w:val="1"/>
      <w:marLeft w:val="0"/>
      <w:marRight w:val="0"/>
      <w:marTop w:val="0"/>
      <w:marBottom w:val="0"/>
      <w:divBdr>
        <w:top w:val="none" w:sz="0" w:space="0" w:color="auto"/>
        <w:left w:val="none" w:sz="0" w:space="0" w:color="auto"/>
        <w:bottom w:val="none" w:sz="0" w:space="0" w:color="auto"/>
        <w:right w:val="none" w:sz="0" w:space="0" w:color="auto"/>
      </w:divBdr>
    </w:div>
    <w:div w:id="127475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6EF9D13EB5B09F479C3B8323D523042B" ma:contentTypeVersion="3" ma:contentTypeDescription="Create a new document in this library." ma:contentTypeScope="" ma:versionID="7894ad8daead64fa987f84de761d8f1f">
  <xsd:schema xmlns:xsd="http://www.w3.org/2001/XMLSchema" xmlns:xs="http://www.w3.org/2001/XMLSchema" xmlns:p="http://schemas.microsoft.com/office/2006/metadata/properties" xmlns:ns2="http://schemas.microsoft.com/sharepoint/v3/fields" xmlns:ns3="17730c43-1c7a-490c-8af6-e0e078c4a587" xmlns:ns4="5844f193-b267-46d7-afe9-1f837dd55ee2" targetNamespace="http://schemas.microsoft.com/office/2006/metadata/properties" ma:root="true" ma:fieldsID="234d4add1c35cf14fdb9ed3443d065cb" ns2:_="" ns3:_="" ns4:_="">
    <xsd:import namespace="http://schemas.microsoft.com/sharepoint/v3/fields"/>
    <xsd:import namespace="17730c43-1c7a-490c-8af6-e0e078c4a587"/>
    <xsd:import namespace="5844f193-b267-46d7-afe9-1f837dd55ee2"/>
    <xsd:element name="properties">
      <xsd:complexType>
        <xsd:sequence>
          <xsd:element name="documentManagement">
            <xsd:complexType>
              <xsd:all>
                <xsd:element ref="ns3:EC_Collab_Reference" minOccurs="0"/>
                <xsd:element ref="ns2:_Status" minOccurs="0"/>
                <xsd:element ref="ns3:EC_Collab_DocumentLanguage"/>
                <xsd:element ref="ns3:EC_Collab_Status"/>
                <xsd:element ref="ns3:Sort_x0020_order_x0020_no"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7730c43-1c7a-490c-8af6-e0e078c4a587"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Sort_x0020_order_x0020_no" ma:index="16" nillable="true" ma:displayName="Sort order no" ma:decimals="2" ma:internalName="Sort_x0020_order_x0020_no">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844f193-b267-46d7-afe9-1f837dd55ee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C_Collab_DocumentLanguage xmlns="17730c43-1c7a-490c-8af6-e0e078c4a587">EN</EC_Collab_DocumentLanguage>
    <EC_Collab_Status xmlns="17730c43-1c7a-490c-8af6-e0e078c4a587">Not Started</EC_Collab_Status>
    <Sort_x0020_order_x0020_no xmlns="17730c43-1c7a-490c-8af6-e0e078c4a587" xsi:nil="true"/>
    <_Status xmlns="http://schemas.microsoft.com/sharepoint/v3/fields">Not Started</_Status>
    <EC_Collab_Reference xmlns="17730c43-1c7a-490c-8af6-e0e078c4a58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C3AE2-63DF-4F16-8917-4CCD38108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7730c43-1c7a-490c-8af6-e0e078c4a587"/>
    <ds:schemaRef ds:uri="5844f193-b267-46d7-afe9-1f837dd55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DFA87-1A49-4148-8E69-12641D161067}">
  <ds:schemaRefs>
    <ds:schemaRef ds:uri="http://schemas.microsoft.com/sharepoint/v3/contenttype/forms"/>
  </ds:schemaRefs>
</ds:datastoreItem>
</file>

<file path=customXml/itemProps3.xml><?xml version="1.0" encoding="utf-8"?>
<ds:datastoreItem xmlns:ds="http://schemas.openxmlformats.org/officeDocument/2006/customXml" ds:itemID="{2C4F1965-6595-4CF7-AAAB-C8E27A9CD5C8}">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3/fields"/>
    <ds:schemaRef ds:uri="5844f193-b267-46d7-afe9-1f837dd55ee2"/>
    <ds:schemaRef ds:uri="17730c43-1c7a-490c-8af6-e0e078c4a587"/>
    <ds:schemaRef ds:uri="http://www.w3.org/XML/1998/namespace"/>
    <ds:schemaRef ds:uri="http://purl.org/dc/dcmitype/"/>
  </ds:schemaRefs>
</ds:datastoreItem>
</file>

<file path=customXml/itemProps4.xml><?xml version="1.0" encoding="utf-8"?>
<ds:datastoreItem xmlns:ds="http://schemas.openxmlformats.org/officeDocument/2006/customXml" ds:itemID="{97875352-728B-4BC3-ACED-F9B87AD2B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10</TotalTime>
  <Pages>8</Pages>
  <Words>1923</Words>
  <Characters>14847</Characters>
  <Application>Microsoft Office Word</Application>
  <DocSecurity>0</DocSecurity>
  <Lines>243</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51</cp:revision>
  <cp:lastPrinted>2022-08-31T13:16:00Z</cp:lastPrinted>
  <dcterms:created xsi:type="dcterms:W3CDTF">2022-09-05T16:21:00Z</dcterms:created>
  <dcterms:modified xsi:type="dcterms:W3CDTF">2022-09-07T09:02:00Z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8.0.1, Build 20220429</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SJ-019</vt:lpwstr>
  </property>
  <property fmtid="{D5CDD505-2E9C-101B-9397-08002B2CF9AE}" pid="10" name="MSIP_Label_6bd9ddd1-4d20-43f6-abfa-fc3c07406f94_Enabled">
    <vt:lpwstr>true</vt:lpwstr>
  </property>
  <property fmtid="{D5CDD505-2E9C-101B-9397-08002B2CF9AE}" pid="11" name="MSIP_Label_6bd9ddd1-4d20-43f6-abfa-fc3c07406f94_SetDate">
    <vt:lpwstr>2022-08-29T06:58:09Z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f8c12f23-b5f8-4207-9a26-1719cf88870a</vt:lpwstr>
  </property>
  <property fmtid="{D5CDD505-2E9C-101B-9397-08002B2CF9AE}" pid="16" name="MSIP_Label_6bd9ddd1-4d20-43f6-abfa-fc3c07406f94_ContentBits">
    <vt:lpwstr>0</vt:lpwstr>
  </property>
  <property fmtid="{D5CDD505-2E9C-101B-9397-08002B2CF9AE}" pid="17" name="ContentTypeId">
    <vt:lpwstr>0x010100258AA79CEB83498886A3A08681123250006EF9D13EB5B09F479C3B8323D523042B</vt:lpwstr>
  </property>
  <property fmtid="{D5CDD505-2E9C-101B-9397-08002B2CF9AE}" pid="18" name="DQCStatus">
    <vt:lpwstr>Green (DQC version 03)</vt:lpwstr>
  </property>
  <property name="OP_sanitized" fmtid="{D5CDD505-2E9C-101B-9397-08002B2CF9AE}" pid="19">
    <vt:lpwstr>True</vt:lpwstr>
  </property>
</Properties>
</file>