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13E183DD-65EB-44FC-9097-5150B93C59B4" style="width:450.75pt;height:338.2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widowControl w:val="0"/>
        <w:shd w:val="clear" w:color="auto" w:fill="FFFFFF"/>
        <w:autoSpaceDE w:val="0"/>
        <w:autoSpaceDN w:val="0"/>
        <w:adjustRightInd w:val="0"/>
        <w:spacing w:before="230" w:after="0" w:line="269" w:lineRule="exact"/>
        <w:rPr>
          <w:noProof/>
        </w:rPr>
      </w:pPr>
      <w:r>
        <w:rPr>
          <w:noProof/>
        </w:rPr>
        <w:t>Nõukogu võttis 19. detsembril 2019 vastu otsuse,</w:t>
      </w:r>
      <w:r>
        <w:rPr>
          <w:rStyle w:val="FootnoteReference"/>
          <w:noProof/>
        </w:rPr>
        <w:footnoteReference w:id="2"/>
      </w:r>
      <w:r>
        <w:rPr>
          <w:noProof/>
        </w:rPr>
        <w:t xml:space="preserve"> millega muudeti läbirääkimisjuhiseid läbirääkimiste pidamiseks majanduspartnerluslepingute sõlmimiseks Aafrika, Kariibi mere ja Vaikse ookeani (AKV) riikide ja piirkondadega niivõrd, kuivõrd need kuuluvad liidu pädevusse (edaspidi „2019. aasta läbirääkimisjuhised“). Nende läbirääkimisjuhistega uuendati varasemaid laialdasi volitusi ja läbirääkimisjuhiseid, mille nõukogu oli välja andnud 12. juunil 2002 (9930/072).</w:t>
      </w:r>
    </w:p>
    <w:p>
      <w:pPr>
        <w:widowControl w:val="0"/>
        <w:shd w:val="clear" w:color="auto" w:fill="FFFFFF"/>
        <w:autoSpaceDE w:val="0"/>
        <w:autoSpaceDN w:val="0"/>
        <w:adjustRightInd w:val="0"/>
        <w:spacing w:before="230" w:after="0" w:line="269" w:lineRule="exact"/>
        <w:rPr>
          <w:noProof/>
        </w:rPr>
      </w:pPr>
      <w:r>
        <w:rPr>
          <w:noProof/>
        </w:rPr>
        <w:t>Muudetud läbirääkimisjuhiste punkti 6.2 esimeses lõigus on sätestatud: „</w:t>
      </w:r>
      <w:r>
        <w:rPr>
          <w:i/>
          <w:noProof/>
        </w:rPr>
        <w:t>Investeeringud. Kooskõlas eesmärgiga „vähendada vaesust ja see lõpuks kaotada kooskõlas kestliku arengu eesmärgiga“ (ning võttes arvesse Cotonou lepingu artikleid 1, 29, 75–78 ja II lisa ning sellele järgneva lepingu (kui seda hakatakse kohaldama) asjakohaseid sätteid) lepivad lepinguosalised kokku raamistiku loomises, mis hõlbustab, tõhustab ja stimuleerib nendevahelisi vastastikku kasulikke kestlikke investeeringuid, võttes arvesse mitmepoolseid algatusi investeeringute hõlbustamise valdkonnas. Kõnealune raamistik põhineb diskrimineerimiskeelu, avatuse, läbipaistvuse ja stabiilsuse põhimõtetel. Lepinguosalised edendavad atraktiivse ja stabiilse investeerimiskeskkonna arengut, toetades investorite jaoks stabiilseid ja läbipaistvaid reegleid, ning püüavad parandada finantsalast kaasatust ja juurdepääsu rahastamisele.</w:t>
      </w:r>
      <w:r>
        <w:rPr>
          <w:noProof/>
        </w:rPr>
        <w:t>“</w:t>
      </w:r>
    </w:p>
    <w:p>
      <w:pPr>
        <w:widowControl w:val="0"/>
        <w:shd w:val="clear" w:color="auto" w:fill="FFFFFF"/>
        <w:autoSpaceDE w:val="0"/>
        <w:autoSpaceDN w:val="0"/>
        <w:adjustRightInd w:val="0"/>
        <w:spacing w:before="230" w:after="0" w:line="269" w:lineRule="exact"/>
        <w:rPr>
          <w:noProof/>
        </w:rPr>
      </w:pPr>
      <w:r>
        <w:rPr>
          <w:noProof/>
        </w:rPr>
        <w:t>Angola ei ole veel ELi ja SADC majanduspartnerluslepingu riikide vahelise majanduspartnerluslepingu osaline</w:t>
      </w:r>
      <w:r>
        <w:rPr>
          <w:rStyle w:val="FootnoteReference"/>
          <w:noProof/>
        </w:rPr>
        <w:footnoteReference w:id="3"/>
      </w:r>
      <w:r>
        <w:rPr>
          <w:noProof/>
        </w:rPr>
        <w:t xml:space="preserve"> ja nimetatud leping ei sisalda sätteid investeeringute hõlbustamise kohta.</w:t>
      </w:r>
    </w:p>
    <w:p>
      <w:pPr>
        <w:widowControl w:val="0"/>
        <w:shd w:val="clear" w:color="auto" w:fill="FFFFFF"/>
        <w:autoSpaceDE w:val="0"/>
        <w:autoSpaceDN w:val="0"/>
        <w:adjustRightInd w:val="0"/>
        <w:spacing w:before="230" w:after="0" w:line="269" w:lineRule="exact"/>
        <w:rPr>
          <w:noProof/>
        </w:rPr>
      </w:pPr>
      <w:r>
        <w:rPr>
          <w:noProof/>
        </w:rPr>
        <w:t>Euroopa Komisjoni juhtiv asepresident Valdis Dombrovskis ning Angola kaubandus- ja tööstusminister Victor Fernandes tegid 8. septembril 2020. aastal ühisavalduse,</w:t>
      </w:r>
      <w:r>
        <w:rPr>
          <w:rStyle w:val="FootnoteReference"/>
          <w:noProof/>
        </w:rPr>
        <w:footnoteReference w:id="4"/>
      </w:r>
      <w:r>
        <w:rPr>
          <w:noProof/>
        </w:rPr>
        <w:t xml:space="preserve"> milles nad kinnitasid kavatsust alustada lisaks majanduspartnerluslepingule ka ettevalmistavaid arutelusid ELi ja Angola investeerimislepingu üle, mis tuleks sõlmida investeerimise hõlbustamiseks.</w:t>
      </w:r>
    </w:p>
    <w:p>
      <w:pPr>
        <w:widowControl w:val="0"/>
        <w:shd w:val="clear" w:color="auto" w:fill="FFFFFF"/>
        <w:autoSpaceDE w:val="0"/>
        <w:autoSpaceDN w:val="0"/>
        <w:adjustRightInd w:val="0"/>
        <w:spacing w:before="230" w:after="0" w:line="269" w:lineRule="exact"/>
        <w:rPr>
          <w:noProof/>
        </w:rPr>
      </w:pPr>
      <w:r>
        <w:rPr>
          <w:noProof/>
        </w:rPr>
        <w:t>Kehtivate, 2019. aastal uuendatud läbirääkimisjuhiste kohaselt volitab nõukogu komisjoni pidama AKV riikide ja piirkondadega läbirääkimisi majanduspartnerluslepingute sõlmimiseks mitmesugustel teemadel, sealhulgas investeeringute hõlbustamise üle</w:t>
      </w:r>
      <w:r>
        <w:rPr>
          <w:rStyle w:val="FootnoteReference"/>
          <w:noProof/>
        </w:rPr>
        <w:footnoteReference w:id="5"/>
      </w:r>
      <w:r>
        <w:rPr>
          <w:noProof/>
        </w:rPr>
        <w:t xml:space="preserve">. Kuna Angola on valmis kõnealust küsimust käsitleva lepingu üle ELiga läbirääkimisi pidama, siis eeltoodut arvesse võttes soovitab komisjon </w:t>
      </w:r>
      <w:r>
        <w:rPr>
          <w:b/>
          <w:noProof/>
        </w:rPr>
        <w:t>alustada Angolaga läbirääkimisi investeeringute hõlbustamise lepingu</w:t>
      </w:r>
      <w:r>
        <w:rPr>
          <w:noProof/>
        </w:rPr>
        <w:t xml:space="preserve"> üle.</w:t>
      </w:r>
      <w:r>
        <w:rPr>
          <w:b/>
          <w:noProof/>
        </w:rPr>
        <w:t xml:space="preserve"> </w:t>
      </w:r>
      <w:r>
        <w:rPr>
          <w:noProof/>
        </w:rPr>
        <w:t xml:space="preserve">Et tagada sidusus ja järjepidevus teiste AKV riikidega investeeringute hõlbustamise küsimustes peetavate läbirääkimistega, peaksid läbirääkimised Angolaga lähtuma </w:t>
      </w:r>
      <w:r>
        <w:rPr>
          <w:b/>
          <w:bCs/>
          <w:noProof/>
        </w:rPr>
        <w:t>2019. aasta investeeringute hõlbustamise läbirääkimisjuhistest</w:t>
      </w:r>
      <w:r>
        <w:rPr>
          <w:noProof/>
        </w:rPr>
        <w:t xml:space="preserve"> (punkti </w:t>
      </w:r>
      <w:r>
        <w:rPr>
          <w:noProof/>
        </w:rPr>
        <w:lastRenderedPageBreak/>
        <w:t>6.2 esimene lõik).</w:t>
      </w:r>
    </w:p>
    <w:p>
      <w:pPr>
        <w:widowControl w:val="0"/>
        <w:shd w:val="clear" w:color="auto" w:fill="FFFFFF"/>
        <w:autoSpaceDE w:val="0"/>
        <w:autoSpaceDN w:val="0"/>
        <w:adjustRightInd w:val="0"/>
        <w:spacing w:before="230" w:after="0" w:line="269" w:lineRule="exact"/>
        <w:rPr>
          <w:noProof/>
        </w:rPr>
      </w:pPr>
      <w:r>
        <w:rPr>
          <w:noProof/>
        </w:rPr>
        <w:t>Käesoleva lepingu üldine eesmärk on parandada investeerimiskliimat ning hõlbustada lepinguosaliste vahelist investeeringute kaasamist ja säilitamist vastavalt välismaiste otseinvesteeringute tänapäevastele lihtsustatud eeskirjadele, meetmetele ja menetlustele. Nii edendaks leping kestlikku arengut, majanduskasvu ja töökohtade loomist ning tugevdaks ELi ja Angola kahepoolseid investeerimissuhteid. Samuti oleks leping kindel platvorm Angola majanduse mitmekesistamiseks ja selle lõimimiseks maailmamajandusse.</w:t>
      </w:r>
    </w:p>
    <w:p>
      <w:pPr>
        <w:pStyle w:val="ManualHeading2"/>
        <w:rPr>
          <w:rFonts w:eastAsia="Arial Unicode MS"/>
          <w:noProof/>
          <w:color w:val="000000"/>
          <w:u w:color="000000"/>
          <w:bdr w:val="nil"/>
        </w:rPr>
      </w:pPr>
      <w:r>
        <w:rPr>
          <w:noProof/>
          <w:color w:val="000000"/>
          <w:u w:color="000000"/>
          <w:bdr w:val="nil"/>
        </w:rPr>
        <w:t>•</w:t>
      </w:r>
      <w:r>
        <w:rPr>
          <w:noProof/>
        </w:rPr>
        <w:tab/>
        <w:t>Kooskõla poliitikavaldkonnas praegu kehtivate õigusnormidega</w:t>
      </w:r>
    </w:p>
    <w:p>
      <w:pPr>
        <w:widowControl w:val="0"/>
        <w:shd w:val="clear" w:color="auto" w:fill="FFFFFF"/>
        <w:autoSpaceDE w:val="0"/>
        <w:autoSpaceDN w:val="0"/>
        <w:adjustRightInd w:val="0"/>
        <w:spacing w:before="230" w:after="0" w:line="269" w:lineRule="exact"/>
        <w:rPr>
          <w:noProof/>
        </w:rPr>
      </w:pPr>
      <w:r>
        <w:rPr>
          <w:noProof/>
        </w:rPr>
        <w:t>Eesmärgid on kooskõlas Euroopa Liidu lepinguga, milles on sätestatud, et Euroopa Liidul tuleks ergutada kõikide riikide integreerimist maailmamajandusse muu hulgas rahvusvahelise kaubanduse tõkete järkjärgulise kaotamise kaudu</w:t>
      </w:r>
      <w:r>
        <w:rPr>
          <w:rStyle w:val="FootnoteReference"/>
          <w:noProof/>
        </w:rPr>
        <w:footnoteReference w:id="6"/>
      </w:r>
      <w:r>
        <w:rPr>
          <w:noProof/>
        </w:rPr>
        <w:t>.</w:t>
      </w:r>
    </w:p>
    <w:p>
      <w:pPr>
        <w:widowControl w:val="0"/>
        <w:shd w:val="clear" w:color="auto" w:fill="FFFFFF"/>
        <w:autoSpaceDE w:val="0"/>
        <w:autoSpaceDN w:val="0"/>
        <w:adjustRightInd w:val="0"/>
        <w:spacing w:before="230" w:after="0" w:line="269" w:lineRule="exact"/>
        <w:rPr>
          <w:noProof/>
        </w:rPr>
      </w:pPr>
      <w:r>
        <w:rPr>
          <w:noProof/>
        </w:rPr>
        <w:t>Eesmärgid on ka täielikult kooskõlas Cotonou lepingu ja selle järglaslepingu eesmärkide ja üldpõhimõtetega.</w:t>
      </w:r>
    </w:p>
    <w:p>
      <w:pPr>
        <w:widowControl w:val="0"/>
        <w:shd w:val="clear" w:color="auto" w:fill="FFFFFF"/>
        <w:autoSpaceDE w:val="0"/>
        <w:autoSpaceDN w:val="0"/>
        <w:adjustRightInd w:val="0"/>
        <w:spacing w:before="230" w:after="0" w:line="269" w:lineRule="exact"/>
        <w:rPr>
          <w:i/>
          <w:noProof/>
        </w:rPr>
      </w:pPr>
      <w:r>
        <w:rPr>
          <w:noProof/>
        </w:rPr>
        <w:t>Käesolev ettepanek on kooskõlas ELi igakülgse Aafrika-strateegiaga,</w:t>
      </w:r>
      <w:r>
        <w:rPr>
          <w:rStyle w:val="FootnoteReference"/>
          <w:noProof/>
        </w:rPr>
        <w:footnoteReference w:id="7"/>
      </w:r>
      <w:r>
        <w:rPr>
          <w:noProof/>
        </w:rPr>
        <w:t xml:space="preserve"> mille kohaselt peaks EL töötama välja ambitsioonikama korra, et hõlbustada, meelitada ligi ja toetada investeeringuid Aafrikas.</w:t>
      </w:r>
    </w:p>
    <w:p>
      <w:pPr>
        <w:widowControl w:val="0"/>
        <w:shd w:val="clear" w:color="auto" w:fill="FFFFFF"/>
        <w:autoSpaceDE w:val="0"/>
        <w:autoSpaceDN w:val="0"/>
        <w:adjustRightInd w:val="0"/>
        <w:spacing w:before="230" w:after="0" w:line="269" w:lineRule="exact"/>
        <w:rPr>
          <w:noProof/>
        </w:rPr>
      </w:pPr>
      <w:r>
        <w:rPr>
          <w:noProof/>
        </w:rPr>
        <w:t>Ettepanek täiendab ka praegu Maailma Kaubandusorganisatsiooni raames arengu soodustamise nimel investeeringute hõlbustamiseks peetavaid läbirääkimisi.</w:t>
      </w:r>
    </w:p>
    <w:p>
      <w:pPr>
        <w:pStyle w:val="ManualHeading2"/>
        <w:rPr>
          <w:rFonts w:eastAsia="Arial Unicode MS"/>
          <w:noProof/>
        </w:rPr>
      </w:pPr>
      <w:r>
        <w:rPr>
          <w:noProof/>
          <w:color w:val="000000"/>
          <w:u w:color="000000"/>
          <w:bdr w:val="nil"/>
        </w:rPr>
        <w:t>•</w:t>
      </w:r>
      <w:r>
        <w:rPr>
          <w:noProof/>
        </w:rPr>
        <w:tab/>
        <w:t>Kooskõla muude liidu tegevuspõhimõtetega</w:t>
      </w:r>
    </w:p>
    <w:p>
      <w:pPr>
        <w:pBdr>
          <w:top w:val="nil"/>
          <w:left w:val="nil"/>
          <w:bottom w:val="nil"/>
          <w:right w:val="nil"/>
          <w:between w:val="nil"/>
          <w:bar w:val="nil"/>
        </w:pBdr>
        <w:spacing w:before="0" w:after="240"/>
        <w:rPr>
          <w:rFonts w:eastAsia="Arial Unicode MS"/>
          <w:noProof/>
        </w:rPr>
      </w:pPr>
      <w:r>
        <w:rPr>
          <w:noProof/>
        </w:rPr>
        <w:t>Eesmärgid on kooskõlas muude ELi poliitikavaldkondadega, eelkõige ELi arengupoliitikaga.</w:t>
      </w: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u w:color="000000"/>
          <w:bdr w:val="nil"/>
        </w:rPr>
        <w:t>•</w:t>
      </w:r>
      <w:r>
        <w:rPr>
          <w:noProof/>
        </w:rPr>
        <w:tab/>
      </w:r>
      <w:r>
        <w:rPr>
          <w:noProof/>
          <w:u w:color="000000"/>
          <w:bdr w:val="nil"/>
        </w:rPr>
        <w:t>Õiguslik alus</w:t>
      </w:r>
    </w:p>
    <w:p>
      <w:pPr>
        <w:pBdr>
          <w:top w:val="nil"/>
          <w:left w:val="nil"/>
          <w:bottom w:val="nil"/>
          <w:right w:val="nil"/>
          <w:between w:val="nil"/>
          <w:bar w:val="nil"/>
        </w:pBdr>
        <w:spacing w:before="0" w:after="240"/>
        <w:rPr>
          <w:rFonts w:eastAsia="Arial Unicode MS"/>
          <w:noProof/>
        </w:rPr>
      </w:pPr>
      <w:r>
        <w:rPr>
          <w:noProof/>
        </w:rPr>
        <w:t>Käesoleva õigusakti menetlusõiguslik alus on Euroopa Liidu toimimise lepingu artikli 218 lõiked 3 ja 4. Rahvusvahelise lepingu üle läbirääkimisi pidada soovitades ei osuta komisjon materiaalõiguslikule alusele.</w:t>
      </w:r>
    </w:p>
    <w:p>
      <w:pPr>
        <w:pStyle w:val="ManualHeading2"/>
        <w:rPr>
          <w:rFonts w:eastAsia="Arial Unicode MS"/>
          <w:noProof/>
          <w:u w:color="000000"/>
          <w:bdr w:val="nil"/>
        </w:rPr>
      </w:pPr>
      <w:r>
        <w:rPr>
          <w:noProof/>
          <w:u w:color="000000"/>
          <w:bdr w:val="nil"/>
        </w:rPr>
        <w:t>•</w:t>
      </w:r>
      <w:r>
        <w:rPr>
          <w:noProof/>
        </w:rPr>
        <w:tab/>
      </w:r>
      <w:r>
        <w:rPr>
          <w:noProof/>
          <w:u w:color="000000"/>
          <w:bdr w:val="nil"/>
        </w:rPr>
        <w:t>Subsidiaarsus (ainupädevusse mittekuuluva valdkonna puhul)</w:t>
      </w:r>
    </w:p>
    <w:p>
      <w:pPr>
        <w:pBdr>
          <w:top w:val="nil"/>
          <w:left w:val="nil"/>
          <w:bottom w:val="nil"/>
          <w:right w:val="nil"/>
          <w:between w:val="nil"/>
          <w:bar w:val="nil"/>
        </w:pBdr>
        <w:spacing w:before="0" w:after="240"/>
        <w:rPr>
          <w:noProof/>
        </w:rPr>
      </w:pPr>
      <w:r>
        <w:rPr>
          <w:noProof/>
        </w:rPr>
        <w:t>Kavandatavad läbirääkimised on peamiselt ühise kaubanduspoliitika teemalised. ELi lepingu artikli 5 lõike 3 kohaselt ei kohaldata subsidiaarsuse põhimõtet valdkondades, mis kuuluvad ELi ainupädevusse. Ühine kaubanduspoliitika on Euroopa Liidu toimimise lepingu artiklis 3 loetletud valdkonnana, mis kuulub liidu ainupädevusse. See poliitika hõlmab kaubanduslepingute üle läbirääkimiste pidamist muu hulgas ELi toimimise lepingu artikli 207 kohaselt.</w:t>
      </w:r>
    </w:p>
    <w:p>
      <w:pPr>
        <w:pBdr>
          <w:top w:val="nil"/>
          <w:left w:val="nil"/>
          <w:bottom w:val="nil"/>
          <w:right w:val="nil"/>
          <w:between w:val="nil"/>
          <w:bar w:val="nil"/>
        </w:pBdr>
        <w:spacing w:before="0" w:after="240"/>
        <w:rPr>
          <w:noProof/>
        </w:rPr>
      </w:pPr>
      <w:r>
        <w:rPr>
          <w:noProof/>
        </w:rPr>
        <w:t>Komisjoni soovitus on kooskõlas proportsionaalsuse põhimõttega, kuna rahvusvaheline leping on peamine vahend, mille abil koos rahvusvahelise õiguse subjekti, näiteks välisriigiga, võetakse vastastikusi õigusi ja kohustusi.</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Valitud vahend</w:t>
      </w:r>
    </w:p>
    <w:p>
      <w:pPr>
        <w:pBdr>
          <w:top w:val="nil"/>
          <w:left w:val="nil"/>
          <w:bottom w:val="nil"/>
          <w:right w:val="nil"/>
          <w:between w:val="nil"/>
          <w:bar w:val="nil"/>
        </w:pBdr>
        <w:spacing w:before="0" w:after="240"/>
        <w:rPr>
          <w:rFonts w:eastAsia="Arial Unicode MS"/>
          <w:noProof/>
        </w:rPr>
      </w:pPr>
      <w:r>
        <w:rPr>
          <w:noProof/>
        </w:rPr>
        <w:t>Euroopa Liidu Nõukogu otsus.</w:t>
      </w:r>
    </w:p>
    <w:p>
      <w:pPr>
        <w:pStyle w:val="ManualHeading1"/>
        <w:rPr>
          <w:noProof/>
        </w:rPr>
      </w:pPr>
      <w:r>
        <w:rPr>
          <w:noProof/>
        </w:rPr>
        <w:t>3.</w:t>
      </w:r>
      <w:r>
        <w:rPr>
          <w:noProof/>
        </w:rPr>
        <w:tab/>
        <w:t>JÄRELHINDAMISE, SIDUSRÜHMADEGA KONSULTEERIMISE JA MÕJU HINDAMISE TULEMUSED</w:t>
      </w:r>
    </w:p>
    <w:p>
      <w:pPr>
        <w:pStyle w:val="ManualHeading2"/>
        <w:rPr>
          <w:rFonts w:eastAsia="Arial Unicode MS"/>
          <w:noProof/>
          <w:u w:color="000000"/>
          <w:bdr w:val="nil"/>
        </w:rPr>
      </w:pPr>
      <w:r>
        <w:rPr>
          <w:noProof/>
          <w:u w:color="000000"/>
          <w:bdr w:val="nil"/>
        </w:rPr>
        <w:t>•</w:t>
      </w:r>
      <w:r>
        <w:rPr>
          <w:noProof/>
        </w:rPr>
        <w:tab/>
      </w:r>
      <w:r>
        <w:rPr>
          <w:noProof/>
          <w:u w:color="000000"/>
          <w:bdr w:val="nil"/>
        </w:rPr>
        <w:t>Praegu kehtivate õigusaktide järelhindamine või toimivuse kontroll</w:t>
      </w:r>
    </w:p>
    <w:p>
      <w:pPr>
        <w:pBdr>
          <w:top w:val="nil"/>
          <w:left w:val="nil"/>
          <w:bottom w:val="nil"/>
          <w:right w:val="nil"/>
          <w:between w:val="nil"/>
          <w:bar w:val="nil"/>
        </w:pBdr>
        <w:spacing w:before="0" w:after="240"/>
        <w:rPr>
          <w:rFonts w:eastAsia="Arial Unicode MS"/>
          <w:noProof/>
        </w:rPr>
      </w:pPr>
      <w:r>
        <w:rPr>
          <w:noProof/>
        </w:rPr>
        <w:t>Ei kohaldata.</w:t>
      </w:r>
    </w:p>
    <w:p>
      <w:pPr>
        <w:pStyle w:val="ManualHeading2"/>
        <w:rPr>
          <w:rFonts w:eastAsia="Arial Unicode MS"/>
          <w:noProof/>
          <w:u w:color="000000"/>
          <w:bdr w:val="nil"/>
        </w:rPr>
      </w:pPr>
      <w:r>
        <w:rPr>
          <w:noProof/>
          <w:u w:color="000000"/>
          <w:bdr w:val="nil"/>
        </w:rPr>
        <w:t>•</w:t>
      </w:r>
      <w:r>
        <w:rPr>
          <w:noProof/>
        </w:rPr>
        <w:tab/>
      </w:r>
      <w:r>
        <w:rPr>
          <w:noProof/>
          <w:u w:color="000000"/>
          <w:bdr w:val="nil"/>
        </w:rPr>
        <w:t>Konsulteerimine sidusrühmadega</w:t>
      </w:r>
    </w:p>
    <w:p>
      <w:pPr>
        <w:pBdr>
          <w:top w:val="nil"/>
          <w:left w:val="nil"/>
          <w:bottom w:val="nil"/>
          <w:right w:val="nil"/>
          <w:between w:val="nil"/>
          <w:bar w:val="nil"/>
        </w:pBdr>
        <w:spacing w:before="0" w:after="240"/>
        <w:rPr>
          <w:noProof/>
        </w:rPr>
      </w:pPr>
      <w:r>
        <w:rPr>
          <w:noProof/>
        </w:rPr>
        <w:t>Komisjon korraldas 2020. aasta juunist novembrini toimunud avaliku konsultatsiooni,</w:t>
      </w:r>
      <w:r>
        <w:rPr>
          <w:rStyle w:val="FootnoteReference"/>
          <w:noProof/>
        </w:rPr>
        <w:footnoteReference w:id="8"/>
      </w:r>
      <w:r>
        <w:rPr>
          <w:noProof/>
        </w:rPr>
        <w:t xml:space="preserve"> et saada Euroopa Parlamendilt, liikmesriikidelt, sidusrühmadelt ja kodanikuühiskonna organisatsioonidelt teavet, mida on vaja Euroopa Liidu kaubanduspoliitika läbivaatamiseks, sealhulgas ELi kaubandus- ja investeerimissuhete tugevdamiseks naaberriikide ja Aafrikaga.</w:t>
      </w:r>
    </w:p>
    <w:p>
      <w:pPr>
        <w:pBdr>
          <w:top w:val="nil"/>
          <w:left w:val="nil"/>
          <w:bottom w:val="nil"/>
          <w:right w:val="nil"/>
          <w:between w:val="nil"/>
          <w:bar w:val="nil"/>
        </w:pBdr>
        <w:spacing w:before="0" w:after="240"/>
        <w:rPr>
          <w:noProof/>
        </w:rPr>
      </w:pPr>
      <w:r>
        <w:rPr>
          <w:noProof/>
        </w:rPr>
        <w:t>Komisjon konsulteerib korrapäraselt sidusrühmadega, muu hulgas kaubanduslepingute eksperdirühmas</w:t>
      </w:r>
      <w:r>
        <w:rPr>
          <w:rStyle w:val="FootnoteReference"/>
          <w:noProof/>
        </w:rPr>
        <w:footnoteReference w:id="9"/>
      </w:r>
      <w:r>
        <w:rPr>
          <w:noProof/>
        </w:rPr>
        <w:t xml:space="preserve"> ja kodanikuühiskonna dialoogi</w:t>
      </w:r>
      <w:r>
        <w:rPr>
          <w:rStyle w:val="FootnoteReference"/>
          <w:noProof/>
        </w:rPr>
        <w:footnoteReference w:id="10"/>
      </w:r>
      <w:r>
        <w:rPr>
          <w:noProof/>
        </w:rPr>
        <w:t xml:space="preserve"> raames.</w:t>
      </w:r>
    </w:p>
    <w:p>
      <w:pPr>
        <w:pStyle w:val="ManualHeading2"/>
        <w:rPr>
          <w:rFonts w:eastAsia="Arial Unicode MS"/>
          <w:noProof/>
          <w:u w:color="000000"/>
          <w:bdr w:val="nil"/>
        </w:rPr>
      </w:pPr>
      <w:r>
        <w:rPr>
          <w:noProof/>
          <w:u w:color="000000"/>
          <w:bdr w:val="nil"/>
        </w:rPr>
        <w:t>•</w:t>
      </w:r>
      <w:r>
        <w:rPr>
          <w:noProof/>
        </w:rPr>
        <w:tab/>
      </w:r>
      <w:r>
        <w:rPr>
          <w:noProof/>
          <w:u w:color="000000"/>
          <w:bdr w:val="nil"/>
        </w:rPr>
        <w:t>Eksperdiarvamuste kogumine ja kasutamine</w:t>
      </w:r>
    </w:p>
    <w:p>
      <w:pPr>
        <w:pBdr>
          <w:top w:val="nil"/>
          <w:left w:val="nil"/>
          <w:bottom w:val="nil"/>
          <w:right w:val="nil"/>
          <w:between w:val="nil"/>
          <w:bar w:val="nil"/>
        </w:pBdr>
        <w:spacing w:before="0" w:after="240"/>
        <w:rPr>
          <w:noProof/>
          <w:color w:val="1A1A1A"/>
          <w:szCs w:val="24"/>
        </w:rPr>
      </w:pPr>
      <w:r>
        <w:rPr>
          <w:noProof/>
          <w:color w:val="1A1A1A"/>
          <w:szCs w:val="24"/>
        </w:rPr>
        <w:t xml:space="preserve">Ettepanek tugineb välisekspertide teabele, mis koguti Euroopa Komisjoni tellitud ja Maailmapanga teostatud projekti tulemusel. </w:t>
      </w:r>
      <w:r>
        <w:rPr>
          <w:noProof/>
        </w:rPr>
        <w:t>Projekti aruannete kohaselt osutasid investorid</w:t>
      </w:r>
      <w:r>
        <w:rPr>
          <w:rStyle w:val="FootnoteReference"/>
          <w:noProof/>
          <w:szCs w:val="24"/>
        </w:rPr>
        <w:footnoteReference w:id="11"/>
      </w:r>
      <w:r>
        <w:rPr>
          <w:noProof/>
        </w:rPr>
        <w:t xml:space="preserve"> </w:t>
      </w:r>
      <w:r>
        <w:rPr>
          <w:noProof/>
          <w:color w:val="1A1A1A"/>
          <w:szCs w:val="24"/>
        </w:rPr>
        <w:t>sellistele</w:t>
      </w:r>
      <w:r>
        <w:rPr>
          <w:noProof/>
        </w:rPr>
        <w:t xml:space="preserve"> arengumaadesse tehtavaid investeerimisotsuseid mõjutavatele teguritele nagu läbipaistvuse ja prognoositavuse puudumine riigiasutustega suhtlemisel, seaduste ja eeskirjade ootamatu muutmine ning viivitused valitsuse lubade ja heakskiitude saamisel.</w:t>
      </w:r>
      <w:r>
        <w:rPr>
          <w:noProof/>
          <w:color w:val="1A1A1A"/>
          <w:szCs w:val="24"/>
        </w:rPr>
        <w:t xml:space="preserve"> Ettepanek hõlmabki neid valdkondi.</w:t>
      </w:r>
    </w:p>
    <w:p>
      <w:pPr>
        <w:pStyle w:val="ManualHeading2"/>
        <w:rPr>
          <w:rFonts w:eastAsia="Arial Unicode MS"/>
          <w:noProof/>
          <w:u w:color="000000"/>
          <w:bdr w:val="nil"/>
        </w:rPr>
      </w:pPr>
      <w:r>
        <w:rPr>
          <w:noProof/>
          <w:u w:color="000000"/>
          <w:bdr w:val="nil"/>
        </w:rPr>
        <w:t>•</w:t>
      </w:r>
      <w:r>
        <w:rPr>
          <w:noProof/>
        </w:rPr>
        <w:tab/>
      </w:r>
      <w:r>
        <w:rPr>
          <w:noProof/>
          <w:u w:color="000000"/>
          <w:bdr w:val="nil"/>
        </w:rPr>
        <w:t>Mõju hindamine</w:t>
      </w:r>
    </w:p>
    <w:p>
      <w:pPr>
        <w:pBdr>
          <w:top w:val="nil"/>
          <w:left w:val="nil"/>
          <w:bottom w:val="nil"/>
          <w:right w:val="nil"/>
          <w:between w:val="nil"/>
          <w:bar w:val="nil"/>
        </w:pBdr>
        <w:spacing w:before="0" w:after="240"/>
        <w:rPr>
          <w:noProof/>
        </w:rPr>
      </w:pPr>
      <w:r>
        <w:rPr>
          <w:noProof/>
        </w:rPr>
        <w:t>Nõukogu otsus 2019. aasta läbirääkimisjuhiste kohta kehtib ka AKV riikide ja piirkondadega investeeringute hõlbustamiseks peetavate läbirääkimiste suhtes. Käesolev otsus tehakse vastavalt kehtivale korrale ja võrreldes nõukogu otsusega puudub sellel täiendav mõju 2019. aasta läbirääkimisjuhistele.</w:t>
      </w:r>
    </w:p>
    <w:p>
      <w:pPr>
        <w:pStyle w:val="ManualHeading2"/>
        <w:rPr>
          <w:rFonts w:eastAsia="Arial Unicode MS"/>
          <w:noProof/>
          <w:u w:color="000000"/>
          <w:bdr w:val="nil"/>
        </w:rPr>
      </w:pPr>
      <w:r>
        <w:rPr>
          <w:noProof/>
          <w:u w:color="000000"/>
          <w:bdr w:val="nil"/>
        </w:rPr>
        <w:t>•</w:t>
      </w:r>
      <w:r>
        <w:rPr>
          <w:noProof/>
        </w:rPr>
        <w:tab/>
      </w:r>
      <w:r>
        <w:rPr>
          <w:noProof/>
          <w:u w:color="000000"/>
          <w:bdr w:val="nil"/>
        </w:rPr>
        <w:t>Õigusnormide toimivus ja lihtsustamine</w:t>
      </w:r>
    </w:p>
    <w:p>
      <w:pPr>
        <w:pBdr>
          <w:top w:val="nil"/>
          <w:left w:val="nil"/>
          <w:bottom w:val="nil"/>
          <w:right w:val="nil"/>
          <w:between w:val="nil"/>
          <w:bar w:val="nil"/>
        </w:pBdr>
        <w:spacing w:before="0" w:after="240"/>
        <w:rPr>
          <w:noProof/>
        </w:rPr>
      </w:pPr>
      <w:r>
        <w:rPr>
          <w:noProof/>
        </w:rPr>
        <w:t>Ei kohaldata.</w:t>
      </w:r>
    </w:p>
    <w:p>
      <w:pPr>
        <w:pStyle w:val="ManualHeading2"/>
        <w:rPr>
          <w:rFonts w:eastAsia="Arial Unicode MS"/>
          <w:noProof/>
          <w:u w:color="000000"/>
          <w:bdr w:val="nil"/>
        </w:rPr>
      </w:pPr>
      <w:r>
        <w:rPr>
          <w:noProof/>
          <w:u w:color="000000"/>
          <w:bdr w:val="nil"/>
        </w:rPr>
        <w:t>•</w:t>
      </w:r>
      <w:r>
        <w:rPr>
          <w:noProof/>
        </w:rPr>
        <w:tab/>
      </w:r>
      <w:r>
        <w:rPr>
          <w:noProof/>
          <w:u w:color="000000"/>
          <w:bdr w:val="nil"/>
        </w:rPr>
        <w:t>Põhiõigused</w:t>
      </w:r>
    </w:p>
    <w:p>
      <w:pPr>
        <w:pBdr>
          <w:top w:val="nil"/>
          <w:left w:val="nil"/>
          <w:bottom w:val="nil"/>
          <w:right w:val="nil"/>
          <w:between w:val="nil"/>
          <w:bar w:val="nil"/>
        </w:pBdr>
        <w:spacing w:before="0" w:after="240"/>
        <w:rPr>
          <w:rFonts w:eastAsia="Arial Unicode MS"/>
          <w:noProof/>
        </w:rPr>
      </w:pPr>
      <w:r>
        <w:rPr>
          <w:noProof/>
        </w:rPr>
        <w:t>Algatus on täielikult kooskõlas Euroopa Liidu põhiõiguste hartaga.</w:t>
      </w:r>
    </w:p>
    <w:p>
      <w:pPr>
        <w:pStyle w:val="ManualHeading1"/>
        <w:rPr>
          <w:noProof/>
        </w:rPr>
      </w:pPr>
      <w:r>
        <w:rPr>
          <w:noProof/>
        </w:rPr>
        <w:t>4.</w:t>
      </w:r>
      <w:r>
        <w:rPr>
          <w:noProof/>
        </w:rPr>
        <w:tab/>
        <w:t>MÕJU EELARVELE</w:t>
      </w:r>
    </w:p>
    <w:p>
      <w:pPr>
        <w:pBdr>
          <w:top w:val="nil"/>
          <w:left w:val="nil"/>
          <w:bottom w:val="nil"/>
          <w:right w:val="nil"/>
          <w:between w:val="nil"/>
          <w:bar w:val="nil"/>
        </w:pBdr>
        <w:spacing w:before="0" w:after="240"/>
        <w:rPr>
          <w:rFonts w:eastAsia="Arial Unicode MS"/>
          <w:noProof/>
        </w:rPr>
      </w:pPr>
      <w:r>
        <w:rPr>
          <w:noProof/>
        </w:rPr>
        <w:t>Algatus ei mõjuta eelarvet.</w:t>
      </w:r>
    </w:p>
    <w:p>
      <w:pPr>
        <w:pStyle w:val="ManualHeading1"/>
        <w:rPr>
          <w:noProof/>
        </w:rPr>
      </w:pPr>
      <w:r>
        <w:rPr>
          <w:noProof/>
        </w:rPr>
        <w:lastRenderedPageBreak/>
        <w:t>5.</w:t>
      </w:r>
      <w:r>
        <w:rPr>
          <w:noProof/>
        </w:rPr>
        <w:tab/>
        <w:t>MUU TEAVE</w:t>
      </w:r>
    </w:p>
    <w:p>
      <w:pPr>
        <w:pStyle w:val="ManualHeading2"/>
        <w:rPr>
          <w:rFonts w:eastAsia="Arial Unicode MS"/>
          <w:noProof/>
          <w:u w:color="000000"/>
          <w:bdr w:val="nil"/>
        </w:rPr>
      </w:pPr>
      <w:r>
        <w:rPr>
          <w:noProof/>
          <w:u w:color="000000"/>
          <w:bdr w:val="nil"/>
        </w:rPr>
        <w:t>•</w:t>
      </w:r>
      <w:r>
        <w:rPr>
          <w:noProof/>
        </w:rPr>
        <w:tab/>
      </w:r>
      <w:r>
        <w:rPr>
          <w:noProof/>
          <w:u w:color="000000"/>
          <w:bdr w:val="nil"/>
        </w:rPr>
        <w:t>Rakenduskavad ning järelevalve, hindamine ja aruandlus</w:t>
      </w:r>
    </w:p>
    <w:p>
      <w:pPr>
        <w:pBdr>
          <w:top w:val="nil"/>
          <w:left w:val="nil"/>
          <w:bottom w:val="nil"/>
          <w:right w:val="nil"/>
          <w:between w:val="nil"/>
          <w:bar w:val="nil"/>
        </w:pBdr>
        <w:spacing w:before="0" w:after="240"/>
        <w:rPr>
          <w:rFonts w:eastAsia="Arial Unicode MS"/>
          <w:noProof/>
        </w:rPr>
      </w:pPr>
      <w:r>
        <w:rPr>
          <w:noProof/>
        </w:rPr>
        <w:t>Ei kohaldata.</w:t>
      </w:r>
    </w:p>
    <w:p>
      <w:pPr>
        <w:pStyle w:val="ManualHeading2"/>
        <w:rPr>
          <w:rFonts w:eastAsia="Arial Unicode MS"/>
          <w:noProof/>
          <w:u w:color="000000"/>
          <w:bdr w:val="nil"/>
        </w:rPr>
      </w:pPr>
      <w:r>
        <w:rPr>
          <w:noProof/>
          <w:u w:color="000000"/>
          <w:bdr w:val="nil"/>
        </w:rPr>
        <w:t>•</w:t>
      </w:r>
      <w:r>
        <w:rPr>
          <w:noProof/>
        </w:rPr>
        <w:tab/>
      </w:r>
      <w:r>
        <w:rPr>
          <w:noProof/>
          <w:u w:color="000000"/>
          <w:bdr w:val="nil"/>
        </w:rPr>
        <w:t>Selgitavad dokumendid (direktiivide puhul)</w:t>
      </w:r>
    </w:p>
    <w:p>
      <w:pPr>
        <w:pBdr>
          <w:top w:val="nil"/>
          <w:left w:val="nil"/>
          <w:bottom w:val="nil"/>
          <w:right w:val="nil"/>
          <w:between w:val="nil"/>
          <w:bar w:val="nil"/>
        </w:pBdr>
        <w:spacing w:before="0" w:after="240"/>
        <w:rPr>
          <w:rFonts w:eastAsia="Arial Unicode MS"/>
          <w:noProof/>
        </w:rPr>
      </w:pPr>
      <w:r>
        <w:rPr>
          <w:noProof/>
        </w:rPr>
        <w:t>Ei kohaldata.</w:t>
      </w:r>
    </w:p>
    <w:p>
      <w:pPr>
        <w:pStyle w:val="ManualHeading2"/>
        <w:rPr>
          <w:rFonts w:eastAsia="Arial Unicode MS"/>
          <w:noProof/>
          <w:u w:color="000000"/>
          <w:bdr w:val="nil"/>
        </w:rPr>
      </w:pPr>
      <w:r>
        <w:rPr>
          <w:noProof/>
          <w:u w:color="000000"/>
          <w:bdr w:val="nil"/>
        </w:rPr>
        <w:t>•</w:t>
      </w:r>
      <w:r>
        <w:rPr>
          <w:noProof/>
        </w:rPr>
        <w:tab/>
      </w:r>
      <w:r>
        <w:rPr>
          <w:noProof/>
          <w:u w:color="000000"/>
          <w:bdr w:val="nil"/>
        </w:rPr>
        <w:t>Menetluslikud aspektid</w:t>
      </w:r>
    </w:p>
    <w:p>
      <w:pPr>
        <w:rPr>
          <w:noProof/>
        </w:rPr>
      </w:pPr>
      <w:r>
        <w:rPr>
          <w:noProof/>
        </w:rPr>
        <w:t>ELi nimel peab läbirääkimisi komisjon. Kooskõlas ELi toimimise lepingu artikli 218 lõikega 4 soovitatakse, et Euroopa Liidu Nõukogu määraks komitee, kellega läbirääkimiste käigus tuleb konsulteerida.</w:t>
      </w:r>
    </w:p>
    <w:p>
      <w:pPr>
        <w:rPr>
          <w:noProof/>
        </w:rPr>
      </w:pPr>
      <w:r>
        <w:rPr>
          <w:noProof/>
        </w:rPr>
        <w:t>Vastavalt Euroopa Liidu toimimise lepingu artikli 218 lõikele 10 tuleb Euroopa Parlamenti kõigil menetluse etappidel teavitada.</w:t>
      </w:r>
    </w:p>
    <w:p>
      <w:pPr>
        <w:rPr>
          <w:noProof/>
        </w:rPr>
      </w:pPr>
      <w:r>
        <w:rPr>
          <w:noProof/>
        </w:rPr>
        <w:t>Komisjon avaldab käesoleva soovituse ja selle lisa kohe pärast nende vastuvõtmist.</w:t>
      </w:r>
    </w:p>
    <w:p>
      <w:pPr>
        <w:rPr>
          <w:noProof/>
        </w:rPr>
      </w:pPr>
      <w:r>
        <w:rPr>
          <w:noProof/>
        </w:rPr>
        <w:t>Komisjon soovitab loa avalikustada kohe pärast nõukogus vastuvõtmist.</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Statut"/>
        <w:rPr>
          <w:noProof/>
        </w:rPr>
      </w:pPr>
      <w:r>
        <w:rPr>
          <w:noProof/>
        </w:rPr>
        <w:lastRenderedPageBreak/>
        <w:t>Soovitus:</w:t>
      </w:r>
    </w:p>
    <w:p>
      <w:pPr>
        <w:pStyle w:val="Typedudocument"/>
        <w:rPr>
          <w:noProof/>
        </w:rPr>
      </w:pPr>
      <w:r>
        <w:rPr>
          <w:noProof/>
        </w:rPr>
        <w:t>NÕUKOGU OTSUS,</w:t>
      </w:r>
    </w:p>
    <w:p>
      <w:pPr>
        <w:pStyle w:val="Titreobjet"/>
        <w:rPr>
          <w:noProof/>
        </w:rPr>
      </w:pPr>
      <w:r>
        <w:rPr>
          <w:noProof/>
        </w:rPr>
        <w:t>millega antakse luba alustada läbirääkimisi Euroopa Liidu ja Angola Vabariigi vahelise investeeringute hõlbustamise lepingu üle</w:t>
      </w:r>
    </w:p>
    <w:p>
      <w:pPr>
        <w:pStyle w:val="Institutionquiagit"/>
        <w:rPr>
          <w:noProof/>
        </w:rPr>
      </w:pPr>
      <w:r>
        <w:rPr>
          <w:noProof/>
        </w:rPr>
        <w:t>EUROOPA LIIDU NÕUKOGU,</w:t>
      </w:r>
    </w:p>
    <w:p>
      <w:pPr>
        <w:rPr>
          <w:noProof/>
        </w:rPr>
      </w:pPr>
      <w:r>
        <w:rPr>
          <w:noProof/>
        </w:rPr>
        <w:t>võttes arvesse Euroopa Liidu toimimise lepingut, eriti selle artikli 218 lõikeid 3 ja 4,</w:t>
      </w:r>
    </w:p>
    <w:p>
      <w:pPr>
        <w:rPr>
          <w:noProof/>
        </w:rPr>
      </w:pPr>
      <w:r>
        <w:rPr>
          <w:noProof/>
        </w:rPr>
        <w:t>võttes arvesse Euroopa Komisjoni soovitust</w:t>
      </w:r>
    </w:p>
    <w:p>
      <w:pPr>
        <w:rPr>
          <w:noProof/>
        </w:rPr>
      </w:pPr>
      <w:r>
        <w:rPr>
          <w:noProof/>
        </w:rPr>
        <w:t>ning arvestades järgmist:</w:t>
      </w:r>
    </w:p>
    <w:p>
      <w:pPr>
        <w:pStyle w:val="ManualConsidrant"/>
        <w:rPr>
          <w:noProof/>
        </w:rPr>
      </w:pPr>
      <w:r>
        <w:rPr>
          <w:noProof/>
        </w:rPr>
        <w:t>(1)</w:t>
      </w:r>
      <w:r>
        <w:rPr>
          <w:noProof/>
        </w:rPr>
        <w:tab/>
        <w:t>Tuleks alustada läbirääkimisi Angolaga investeeringute hõlbustamise lepingu sõlmimiseks.</w:t>
      </w:r>
    </w:p>
    <w:p>
      <w:pPr>
        <w:pStyle w:val="ManualConsidrant"/>
        <w:rPr>
          <w:noProof/>
        </w:rPr>
      </w:pPr>
      <w:r>
        <w:rPr>
          <w:noProof/>
        </w:rPr>
        <w:t>(2)</w:t>
      </w:r>
      <w:r>
        <w:rPr>
          <w:noProof/>
        </w:rPr>
        <w:tab/>
        <w:t>Nõukogu otsusega (EL) 2020/13</w:t>
      </w:r>
      <w:r>
        <w:rPr>
          <w:rStyle w:val="FootnoteReference"/>
          <w:noProof/>
        </w:rPr>
        <w:footnoteReference w:id="12"/>
      </w:r>
      <w:r>
        <w:rPr>
          <w:noProof/>
        </w:rPr>
        <w:t xml:space="preserve"> muudeti läbirääkimisjuhiseid läbirääkimiste pidamiseks majanduspartnerluslepingute sõlmimiseks Aafrika, Kariibi mere ja Vaikse ookeani (AKV) riikide ja piirkondadega niivõrd, kuivõrd need kuuluvad liidu pädevusse.</w:t>
      </w:r>
    </w:p>
    <w:p>
      <w:pPr>
        <w:pStyle w:val="ManualConsidrant"/>
        <w:rPr>
          <w:noProof/>
        </w:rPr>
      </w:pPr>
      <w:r>
        <w:rPr>
          <w:noProof/>
        </w:rPr>
        <w:t>(3)</w:t>
      </w:r>
      <w:r>
        <w:rPr>
          <w:noProof/>
        </w:rPr>
        <w:tab/>
        <w:t>Et tagada nende sidusus ja järjepidevus teiste AKV riikidega investeeringute hõlbustamise küsimustes peetavate läbirääkimistega, peaksid läbirääkimised Angolaga lähtuma otsuses (EL) 2020/13 esitatud investeeringute hõlbustamise läbirääkimisjuhistest,</w:t>
      </w:r>
    </w:p>
    <w:p>
      <w:pPr>
        <w:pStyle w:val="Formuledadoption"/>
        <w:rPr>
          <w:noProof/>
        </w:rPr>
      </w:pPr>
      <w:r>
        <w:rPr>
          <w:noProof/>
        </w:rPr>
        <w:t>ON VASTU VÕTNUD KÄESOLEVA OTSUSE:</w:t>
      </w:r>
    </w:p>
    <w:p>
      <w:pPr>
        <w:pStyle w:val="Titrearticle"/>
        <w:rPr>
          <w:noProof/>
        </w:rPr>
      </w:pPr>
      <w:r>
        <w:rPr>
          <w:noProof/>
        </w:rPr>
        <w:t>Artikkel 1</w:t>
      </w:r>
    </w:p>
    <w:p>
      <w:pPr>
        <w:rPr>
          <w:noProof/>
        </w:rPr>
      </w:pPr>
      <w:r>
        <w:rPr>
          <w:noProof/>
        </w:rPr>
        <w:t>Komisjonile antakse luba pidada liidu nimel Angola Vabariigiga läbirääkimisi investeeringute hõlbustamise lepingu üle.</w:t>
      </w:r>
    </w:p>
    <w:p>
      <w:pPr>
        <w:pStyle w:val="Titrearticle"/>
        <w:rPr>
          <w:noProof/>
        </w:rPr>
      </w:pPr>
      <w:r>
        <w:rPr>
          <w:noProof/>
        </w:rPr>
        <w:t>Artikkel 2</w:t>
      </w:r>
    </w:p>
    <w:p>
      <w:pPr>
        <w:rPr>
          <w:noProof/>
        </w:rPr>
      </w:pPr>
      <w:r>
        <w:rPr>
          <w:noProof/>
        </w:rPr>
        <w:t xml:space="preserve">Läbirääkimisjuhised on esitatud otsuse (EL) 2020/13 </w:t>
      </w:r>
      <w:r>
        <w:rPr>
          <w:i/>
          <w:iCs/>
          <w:noProof/>
        </w:rPr>
        <w:t>addendum</w:t>
      </w:r>
      <w:r>
        <w:rPr>
          <w:noProof/>
        </w:rPr>
        <w:t>’i punkti 6.2 esimeses lõigus.</w:t>
      </w:r>
    </w:p>
    <w:p>
      <w:pPr>
        <w:pStyle w:val="Titrearticle"/>
        <w:rPr>
          <w:noProof/>
        </w:rPr>
      </w:pPr>
      <w:r>
        <w:rPr>
          <w:noProof/>
        </w:rPr>
        <w:t>Artikkel 3</w:t>
      </w:r>
    </w:p>
    <w:p>
      <w:pPr>
        <w:rPr>
          <w:noProof/>
        </w:rPr>
      </w:pPr>
      <w:r>
        <w:rPr>
          <w:noProof/>
        </w:rPr>
        <w:t>Läbirääkimiste käigus konsulteeritakse [</w:t>
      </w:r>
      <w:r>
        <w:rPr>
          <w:i/>
          <w:noProof/>
        </w:rPr>
        <w:t>erikomiteega, mille nime lisab nõukogu</w:t>
      </w:r>
      <w:r>
        <w:rPr>
          <w:noProof/>
        </w:rPr>
        <w:t>].</w:t>
      </w:r>
    </w:p>
    <w:p>
      <w:pPr>
        <w:pStyle w:val="Titrearticle"/>
        <w:rPr>
          <w:noProof/>
        </w:rPr>
      </w:pPr>
      <w:r>
        <w:rPr>
          <w:noProof/>
        </w:rPr>
        <w:lastRenderedPageBreak/>
        <w:t>Artikkel 4</w:t>
      </w:r>
    </w:p>
    <w:p>
      <w:pPr>
        <w:keepNext/>
        <w:keepLines/>
        <w:rPr>
          <w:noProof/>
        </w:rPr>
      </w:pPr>
      <w:r>
        <w:rPr>
          <w:noProof/>
        </w:rPr>
        <w:t>Käesolev otsus on adresseeritud komisjonile.</w:t>
      </w:r>
    </w:p>
    <w:p>
      <w:pPr>
        <w:pStyle w:val="Fait"/>
        <w:rPr>
          <w:noProof/>
        </w:rPr>
      </w:pPr>
      <w:r>
        <w:rPr>
          <w:noProof/>
        </w:rPr>
        <w:t>Brüssel,</w:t>
      </w:r>
    </w:p>
    <w:p>
      <w:pPr>
        <w:pStyle w:val="Institutionquisigne"/>
        <w:rPr>
          <w:noProof/>
        </w:rPr>
      </w:pPr>
      <w:r>
        <w:rPr>
          <w:noProof/>
        </w:rPr>
        <w:tab/>
        <w:t>Nõukogu nimel</w:t>
      </w:r>
    </w:p>
    <w:p>
      <w:pPr>
        <w:pStyle w:val="Personnequisigne"/>
        <w:rPr>
          <w:noProof/>
        </w:rPr>
      </w:pPr>
      <w:r>
        <w:rPr>
          <w:noProof/>
        </w:rPr>
        <w:tab/>
        <w:t>eesistuja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Nõukogu 19. detsembri 2019. aasta otsus (EL) 2020/13, millega muudetakse läbirääkimisjuhiseid läbirääkimiste pidamiseks majanduspartnerluslepingute sõlmimiseks Aafrika, Kariibi mere ja Vaikse ookeani riikide ja piirkondadega sel määral, mil need kuuluvad liidu pädevusse (ELT L 6, 10.1.2020, lk 101–111).</w:t>
      </w:r>
    </w:p>
  </w:footnote>
  <w:footnote w:id="3">
    <w:p>
      <w:pPr>
        <w:pStyle w:val="FootnoteText"/>
      </w:pPr>
      <w:r>
        <w:rPr>
          <w:rStyle w:val="FootnoteReference"/>
        </w:rPr>
        <w:footnoteRef/>
      </w:r>
      <w:r>
        <w:tab/>
        <w:t>Angola on juba alustanud ELi ja SADC majanduspartnerluslepingu riikide (praegu Botswana, Eswatini, Lesotho, Mosambiik, Namiibia ja Lõuna-Aafrika) vahelise majanduspartnerluslepinguga ühinemise protsessi.</w:t>
      </w:r>
    </w:p>
  </w:footnote>
  <w:footnote w:id="4">
    <w:p>
      <w:pPr>
        <w:pStyle w:val="FootnoteText"/>
      </w:pPr>
      <w:r>
        <w:rPr>
          <w:rStyle w:val="FootnoteReference"/>
        </w:rPr>
        <w:footnoteRef/>
      </w:r>
      <w:r>
        <w:tab/>
        <w:t>https://eeas.europa.eu/headquarters/headquarters-homepage/84859/5th-angola-eu-ministerial-meeting-joint-way-forward_en</w:t>
      </w:r>
    </w:p>
  </w:footnote>
  <w:footnote w:id="5">
    <w:p>
      <w:pPr>
        <w:pStyle w:val="FootnoteText"/>
      </w:pPr>
      <w:r>
        <w:rPr>
          <w:rStyle w:val="FootnoteReference"/>
        </w:rPr>
        <w:footnoteRef/>
      </w:r>
      <w:r>
        <w:tab/>
        <w:t>Nii näiteks käivad praegu läbirääkimised viie Ida- ja Lõuna-Aafrika riigiga senise majanduspartnerluslepingu süvendamiseks.</w:t>
      </w:r>
    </w:p>
  </w:footnote>
  <w:footnote w:id="6">
    <w:p>
      <w:pPr>
        <w:pStyle w:val="FootnoteText"/>
      </w:pPr>
      <w:r>
        <w:rPr>
          <w:rStyle w:val="FootnoteReference"/>
        </w:rPr>
        <w:footnoteRef/>
      </w:r>
      <w:r>
        <w:tab/>
        <w:t>ELi lepingu artikli 21 lõike 2 punkt e.</w:t>
      </w:r>
    </w:p>
  </w:footnote>
  <w:footnote w:id="7">
    <w:p>
      <w:pPr>
        <w:pStyle w:val="FootnoteText"/>
      </w:pPr>
      <w:r>
        <w:rPr>
          <w:rStyle w:val="FootnoteReference"/>
        </w:rPr>
        <w:footnoteRef/>
      </w:r>
      <w:r>
        <w:tab/>
        <w:t xml:space="preserve">2020. aasta ühisteatis „Tervikliku Aafrika strateegia suunas“ </w:t>
      </w:r>
      <w:hyperlink r:id="rId1" w:history="1">
        <w:r>
          <w:rPr>
            <w:rStyle w:val="Hyperlink"/>
          </w:rPr>
          <w:t>https://ec.europa.eu/international-partnerships/system/files/communication-eu-africa-strategy-join-2020-4-final_en.pdf</w:t>
        </w:r>
      </w:hyperlink>
      <w:r>
        <w:t xml:space="preserve"> </w:t>
      </w:r>
    </w:p>
  </w:footnote>
  <w:footnote w:id="8">
    <w:p>
      <w:pPr>
        <w:pStyle w:val="FootnoteText"/>
      </w:pPr>
      <w:r>
        <w:rPr>
          <w:rStyle w:val="FootnoteReference"/>
        </w:rPr>
        <w:footnoteRef/>
      </w:r>
      <w:r>
        <w:tab/>
        <w:t>https://trade.ec.europa.eu/consultations/index.cfm?consul_id=266</w:t>
      </w:r>
    </w:p>
  </w:footnote>
  <w:footnote w:id="9">
    <w:p>
      <w:pPr>
        <w:pStyle w:val="FootnoteText"/>
      </w:pPr>
      <w:r>
        <w:rPr>
          <w:rStyle w:val="FootnoteReference"/>
        </w:rPr>
        <w:footnoteRef/>
      </w:r>
      <w:r>
        <w:tab/>
      </w:r>
      <w:hyperlink r:id="rId2" w:history="1">
        <w:r>
          <w:rPr>
            <w:rStyle w:val="Hyperlink"/>
          </w:rPr>
          <w:t>http://ec.europa.eu/trade/trade-policy-and-you/expert-groups/</w:t>
        </w:r>
      </w:hyperlink>
      <w:r>
        <w:t xml:space="preserve"> </w:t>
      </w:r>
    </w:p>
  </w:footnote>
  <w:footnote w:id="10">
    <w:p>
      <w:pPr>
        <w:pStyle w:val="FootnoteText"/>
      </w:pPr>
      <w:r>
        <w:rPr>
          <w:rStyle w:val="FootnoteReference"/>
        </w:rPr>
        <w:footnoteRef/>
      </w:r>
      <w:r>
        <w:tab/>
      </w:r>
      <w:hyperlink r:id="rId3" w:history="1">
        <w:r>
          <w:rPr>
            <w:rStyle w:val="Hyperlink"/>
          </w:rPr>
          <w:t>http://trade.ec.europa.eu/civilsoc/meetdetails.cfm?meet=11531</w:t>
        </w:r>
      </w:hyperlink>
      <w:r>
        <w:t xml:space="preserve"> </w:t>
      </w:r>
    </w:p>
  </w:footnote>
  <w:footnote w:id="11">
    <w:p>
      <w:pPr>
        <w:pStyle w:val="FootnoteText"/>
        <w:jc w:val="left"/>
      </w:pPr>
      <w:r>
        <w:rPr>
          <w:rStyle w:val="FootnoteReference"/>
        </w:rPr>
        <w:footnoteRef/>
      </w:r>
      <w:r>
        <w:tab/>
        <w:t>Vt Maailmpanga aruanne „</w:t>
      </w:r>
      <w:r>
        <w:rPr>
          <w:i/>
        </w:rPr>
        <w:t>Retention and Expansion of Foreign Direct Investment, Political Risk and Policy Responses</w:t>
      </w:r>
      <w:r>
        <w:t>“</w:t>
      </w:r>
      <w:r>
        <w:rPr>
          <w:i/>
        </w:rPr>
        <w:t xml:space="preserve"> </w:t>
      </w:r>
      <w:hyperlink r:id="rId4" w:history="1">
        <w:r>
          <w:rPr>
            <w:rStyle w:val="Hyperlink"/>
          </w:rPr>
          <w:t>http://documents1.worldbank.org/curated/en/387801576142339003/pdf/Political-Risk-and-Policy-Responses.pdf</w:t>
        </w:r>
      </w:hyperlink>
      <w:r>
        <w:t xml:space="preserve"> </w:t>
      </w:r>
    </w:p>
  </w:footnote>
  <w:footnote w:id="12">
    <w:p>
      <w:pPr>
        <w:pStyle w:val="FootnoteText"/>
      </w:pPr>
      <w:r>
        <w:rPr>
          <w:rStyle w:val="FootnoteReference"/>
        </w:rPr>
        <w:footnoteRef/>
      </w:r>
      <w:r>
        <w:tab/>
        <w:t>Nõukogu 19. detsembri 2019. aasta otsus (EL) 2020/13, millega muudetakse läbirääkimisjuhiseid läbirääkimiste pidamiseks majanduspartnerluslepingute sõlmimiseks Aafrika, Kariibi mere ja Vaikse ookeani riikide ja piirkondadega sel määral, mil need kuuluvad liidu pädevusse (ELT L 6, 10.1.2020, lk 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78843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D4EDAE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3962B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25AC87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ECA57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F68DC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7782326"/>
    <w:lvl w:ilvl="0">
      <w:start w:val="1"/>
      <w:numFmt w:val="decimal"/>
      <w:pStyle w:val="ListNumber"/>
      <w:lvlText w:val="%1."/>
      <w:lvlJc w:val="left"/>
      <w:pPr>
        <w:tabs>
          <w:tab w:val="num" w:pos="360"/>
        </w:tabs>
        <w:ind w:left="360" w:hanging="360"/>
      </w:pPr>
    </w:lvl>
  </w:abstractNum>
  <w:abstractNum w:abstractNumId="7">
    <w:nsid w:val="FFFFFF89"/>
    <w:multiLevelType w:val="singleLevel"/>
    <w:tmpl w:val="C6FEA14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15 15:32: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3E183DD-65EB-44FC-9097-5150B93C59B4"/>
    <w:docVar w:name="LW_COVERPAGE_TYPE" w:val="1"/>
    <w:docVar w:name="LW_CROSSREFERENCE" w:val="&lt;UNUSED&gt;"/>
    <w:docVar w:name="LW_DocType" w:val="COM"/>
    <w:docVar w:name="LW_EMISSION" w:val="23.3.2021"/>
    <w:docVar w:name="LW_EMISSION_ISODATE" w:val="2021-03-23"/>
    <w:docVar w:name="LW_EMISSION_LOCATION" w:val="BRX"/>
    <w:docVar w:name="LW_EMISSION_PREFIX" w:val="Brüssel,"/>
    <w:docVar w:name="LW_EMISSION_SUFFIX" w:val=" "/>
    <w:docVar w:name="LW_ID_DOCMODEL" w:val="SG-001"/>
    <w:docVar w:name="LW_ID_DOCSIGNATURE" w:val="SG-001"/>
    <w:docVar w:name="LW_ID_DOCSTRUCTURE" w:val="COM/PL/ORG/NOEEA"/>
    <w:docVar w:name="LW_ID_DOCTYPE" w:val="SG-001"/>
    <w:docVar w:name="LW_ID_EXP.MOTIFS.NEW" w:val="EM_PL_"/>
    <w:docVar w:name="LW_ID_STATUT" w:val="SG-001"/>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1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Soovitus:"/>
    <w:docVar w:name="LW_SUPERTITRE" w:val="&lt;UNUSED&gt;"/>
    <w:docVar w:name="LW_TITRE.OBJ.CP" w:val="millega antakse luba alustada läbirääkimisi Euroopa Liidu ja Angola Vabariigi vahelise investeeringute hõlbustamise lepingu üle"/>
    <w:docVar w:name="LW_TYPE.DOC.CP" w:val="NÕUKOGU OTS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civilsoc/meetdetails.cfm?meet=11531" TargetMode="External"/><Relationship Id="rId2" Type="http://schemas.openxmlformats.org/officeDocument/2006/relationships/hyperlink" Target="http://ec.europa.eu/trade/trade-policy-and-you/expert-groups/" TargetMode="External"/><Relationship Id="rId1" Type="http://schemas.openxmlformats.org/officeDocument/2006/relationships/hyperlink" Target="https://ec.europa.eu/international-partnerships/system/files/communication-eu-africa-strategy-join-2020-4-final_en.pdf" TargetMode="External"/><Relationship Id="rId4" Type="http://schemas.openxmlformats.org/officeDocument/2006/relationships/hyperlink" Target="http://documents1.worldbank.org/curated/en/387801576142339003/pdf/Political-Risk-and-Policy-Respons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7</Pages>
  <Words>973</Words>
  <Characters>7868</Characters>
  <Application>Microsoft Office Word</Application>
  <DocSecurity>0</DocSecurity>
  <Lines>148</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2021-03-12T11:44:00Z</dcterms:created>
  <dcterms:modified xsi:type="dcterms:W3CDTF">2021-03-15T14:32:00Z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DQCStatus">
    <vt:lpwstr>Green (DQC version 03)</vt:lpwstr>
  </property>
  <property name="OP_sanitized" fmtid="{D5CDD505-2E9C-101B-9397-08002B2CF9AE}" pid="11">
    <vt:lpwstr>True</vt:lpwstr>
  </property>
</Properties>
</file>