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76C92" w14:textId="1DD4A32D" w:rsidR="00ED4DC3" w:rsidRPr="00AF4C3F" w:rsidRDefault="00107C15" w:rsidP="00107C15">
      <w:pPr>
        <w:pStyle w:val="Pagedecouverture"/>
      </w:pPr>
      <w:r>
        <w:pict w14:anchorId="4E0F5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4800A44-E003-458E-B56F-5F55836E1386" style="width:456pt;height:430.5pt">
            <v:imagedata r:id="rId8" o:title=""/>
          </v:shape>
        </w:pict>
      </w:r>
    </w:p>
    <w:p w14:paraId="5D2D09AF" w14:textId="77777777" w:rsidR="00ED4DC3" w:rsidRPr="00AF4C3F" w:rsidRDefault="00ED4DC3" w:rsidP="00ED4DC3">
      <w:pPr>
        <w:sectPr w:rsidR="00ED4DC3" w:rsidRPr="00AF4C3F" w:rsidSect="00107C15">
          <w:headerReference w:type="even" r:id="rId9"/>
          <w:headerReference w:type="default" r:id="rId10"/>
          <w:footerReference w:type="even" r:id="rId11"/>
          <w:footerReference w:type="default" r:id="rId12"/>
          <w:headerReference w:type="first" r:id="rId13"/>
          <w:footerReference w:type="first" r:id="rId14"/>
          <w:pgSz w:w="11907" w:h="16839" w:code="9"/>
          <w:pgMar w:top="1134" w:right="1417" w:bottom="1134" w:left="1417" w:header="709" w:footer="709" w:gutter="0"/>
          <w:pgNumType w:start="0"/>
          <w:cols w:space="720"/>
          <w:docGrid w:linePitch="360"/>
        </w:sectPr>
      </w:pPr>
    </w:p>
    <w:p w14:paraId="23D966F4" w14:textId="77777777" w:rsidR="008B1655" w:rsidRPr="00AF4C3F" w:rsidRDefault="008B1655" w:rsidP="008B1655">
      <w:pPr>
        <w:pStyle w:val="Exposdesmotifstitre"/>
      </w:pPr>
      <w:r w:rsidRPr="00AF4C3F">
        <w:lastRenderedPageBreak/>
        <w:t>SELETUSKIRI</w:t>
      </w:r>
    </w:p>
    <w:p w14:paraId="664F5317" w14:textId="77777777" w:rsidR="008B1655" w:rsidRPr="00AF4C3F" w:rsidRDefault="008B1655" w:rsidP="008B1655">
      <w:pPr>
        <w:pStyle w:val="ManualHeading1"/>
      </w:pPr>
      <w:r w:rsidRPr="00AF4C3F">
        <w:t>1.</w:t>
      </w:r>
      <w:r w:rsidRPr="00AF4C3F">
        <w:tab/>
        <w:t>ETTEPANEKU TAUST</w:t>
      </w:r>
    </w:p>
    <w:p w14:paraId="0C3378E4" w14:textId="77777777" w:rsidR="008B1655" w:rsidRPr="00AF4C3F" w:rsidRDefault="008B1655" w:rsidP="008B1655">
      <w:pPr>
        <w:pStyle w:val="ManualHeading2"/>
        <w:rPr>
          <w:rFonts w:eastAsia="Arial Unicode MS"/>
        </w:rPr>
      </w:pPr>
      <w:r w:rsidRPr="00AF4C3F">
        <w:rPr>
          <w:color w:val="000000"/>
          <w:u w:color="000000"/>
          <w:bdr w:val="nil"/>
        </w:rPr>
        <w:t>•</w:t>
      </w:r>
      <w:r w:rsidRPr="00AF4C3F">
        <w:tab/>
        <w:t>Ettepaneku põhjused ja eesmärgid</w:t>
      </w:r>
    </w:p>
    <w:p w14:paraId="2DB18D02" w14:textId="77777777" w:rsidR="008B1655" w:rsidRPr="00AF4C3F" w:rsidRDefault="008B1655" w:rsidP="008B1655">
      <w:r w:rsidRPr="00AF4C3F">
        <w:t xml:space="preserve">10. veebruaril 2015 võttis nõukogu vastu rakendusotsuse (EL) 2015/215 andmekaitset käsitlevate Schengeni </w:t>
      </w:r>
      <w:r w:rsidR="00AF4C3F">
        <w:rPr>
          <w:i/>
        </w:rPr>
        <w:t>acqui</w:t>
      </w:r>
      <w:r w:rsidR="009E43F3">
        <w:rPr>
          <w:i/>
        </w:rPr>
        <w:t>s</w:t>
      </w:r>
      <w:r w:rsidR="00AF4C3F">
        <w:t>’</w:t>
      </w:r>
      <w:r w:rsidRPr="00AF4C3F">
        <w:t xml:space="preserve"> sätete jõustamise ning Schengeni infosüsteemi käsitlevate Schengeni </w:t>
      </w:r>
      <w:r w:rsidRPr="00AF4C3F">
        <w:rPr>
          <w:i/>
        </w:rPr>
        <w:t>acquis</w:t>
      </w:r>
      <w:r w:rsidR="009E43F3">
        <w:t>’</w:t>
      </w:r>
      <w:r w:rsidRPr="00AF4C3F">
        <w:t xml:space="preserve"> sätete ajutise jõustamise kohta Suurbritannia ja Põhja-Iiri Ühendkuningriigi suhtes</w:t>
      </w:r>
      <w:r w:rsidRPr="00AF4C3F">
        <w:rPr>
          <w:rStyle w:val="FootnoteReference"/>
        </w:rPr>
        <w:footnoteReference w:id="1"/>
      </w:r>
      <w:r w:rsidRPr="00AF4C3F">
        <w:t xml:space="preserve">. Selle rakendusotsuse artikli 2 lõikes 3 on sätestatud, et pärast vajalike Schengeni hindamiste lõpuleviimist peaks nõukogu uurima olukorda, et võtta vastu teine rakendusotsus, millega määratakse kindlaks kuupäev, mis ajaks Ühendkuningriik peab SISi toimimist käsitlevad sätted lõplikult jõustama. </w:t>
      </w:r>
    </w:p>
    <w:p w14:paraId="0F7B58D3" w14:textId="77777777" w:rsidR="008B1655" w:rsidRPr="00AF4C3F" w:rsidRDefault="008B1655" w:rsidP="008B1655">
      <w:pPr>
        <w:rPr>
          <w:i/>
        </w:rPr>
      </w:pPr>
      <w:r w:rsidRPr="00AF4C3F">
        <w:t xml:space="preserve">Sel eesmärgil toimus esimene Schengeni hindamiskülastus Ühendkuningriiki 7.–13. juunil 2015. Hindamiskomitee järeldas pärast külastust, et Ühendkuningriik on rakendanud SISi käsitlevad Schengeni </w:t>
      </w:r>
      <w:r w:rsidRPr="00AF4C3F">
        <w:rPr>
          <w:i/>
        </w:rPr>
        <w:t>acquis</w:t>
      </w:r>
      <w:r w:rsidR="00542081">
        <w:t>’</w:t>
      </w:r>
      <w:r w:rsidRPr="00AF4C3F">
        <w:t xml:space="preserve"> sätted ainult osaliselt ja et hindamise lõpuleviimiseks tuleb teha veel üks külastus, enne kui saab vastu võtta teise rakendusotsuse, millega määratakse kindlaks kuupäev, millal Ühendkuningriik jõustab SISi käsitlevad sätted lõplikult.</w:t>
      </w:r>
    </w:p>
    <w:p w14:paraId="0A0B5AFE" w14:textId="77777777" w:rsidR="008B1655" w:rsidRPr="00AF4C3F" w:rsidRDefault="008B1655" w:rsidP="008B1655">
      <w:r w:rsidRPr="00AF4C3F">
        <w:t>8. ja 9. oktoobri 2015. aasta istungil võttis nõukogu teadmiseks olukorra seoses teise rakendusotsuse vastuvõtmisega (I/A-punkti märkus 12246/15). Nõukogu nõustus oma 4. detsembri 2015. aasta järeldustes hindamiskomitee hinnanguga, sealhulgas vajadusega teha veel üks külastus, enne kui on võimalik vastu võtta otsus SISi käsitlevate sätete täieliku kohaldamise kohta</w:t>
      </w:r>
      <w:r w:rsidRPr="00AF4C3F">
        <w:rPr>
          <w:rStyle w:val="FootnoteReference"/>
        </w:rPr>
        <w:footnoteReference w:id="2"/>
      </w:r>
      <w:r w:rsidRPr="00AF4C3F">
        <w:t xml:space="preserve">. </w:t>
      </w:r>
    </w:p>
    <w:p w14:paraId="70AE688F" w14:textId="77777777" w:rsidR="008B1655" w:rsidRPr="00AF4C3F" w:rsidRDefault="008B1655" w:rsidP="008B1655">
      <w:pPr>
        <w:spacing w:before="0" w:after="0"/>
      </w:pPr>
      <w:r w:rsidRPr="00AF4C3F">
        <w:t>Samuti märkis nõukogu oma järeldustes,</w:t>
      </w:r>
      <w:r w:rsidRPr="00AF4C3F">
        <w:rPr>
          <w:rStyle w:val="FootnoteReference"/>
        </w:rPr>
        <w:footnoteReference w:id="3"/>
      </w:r>
      <w:r w:rsidRPr="00AF4C3F">
        <w:t xml:space="preserve"> et kuna tema volitused viia läbi Schengeni hindamisi lõpevad 1. jaanuaril 2016, peaks edasine hindamisprotsess toimuma uue hindamismehhanismi raamistikus vastavalt 7. oktoobri 2013. aasta määrusele (EL) nr 1053/2013,</w:t>
      </w:r>
      <w:r w:rsidRPr="00AF4C3F">
        <w:rPr>
          <w:rStyle w:val="FootnoteReference"/>
        </w:rPr>
        <w:footnoteReference w:id="4"/>
      </w:r>
      <w:r w:rsidRPr="00AF4C3F">
        <w:t xml:space="preserve"> millega kehtestatakse hindamis- ja järelevalvemehhanism Schengeni </w:t>
      </w:r>
      <w:r w:rsidRPr="00AF4C3F">
        <w:rPr>
          <w:i/>
        </w:rPr>
        <w:t>acquis</w:t>
      </w:r>
      <w:r w:rsidR="00542081">
        <w:t>’</w:t>
      </w:r>
      <w:r w:rsidRPr="00AF4C3F">
        <w:t xml:space="preserve"> kohaldamise kontrollimiseks. Seetõttu kutsus nõukogu komisjoni üles korraldama soovitatud uue külastuse uue Schengeni hindamismehhanismi kohaselt komisjoni juhtimisel. </w:t>
      </w:r>
    </w:p>
    <w:p w14:paraId="6DEE2F2E" w14:textId="77777777" w:rsidR="008B1655" w:rsidRPr="00AF4C3F" w:rsidRDefault="008B1655" w:rsidP="008B1655">
      <w:pPr>
        <w:spacing w:before="0" w:after="0"/>
      </w:pPr>
    </w:p>
    <w:p w14:paraId="6594F404" w14:textId="77777777" w:rsidR="008B1655" w:rsidRPr="00AF4C3F" w:rsidRDefault="008B1655" w:rsidP="008B1655">
      <w:pPr>
        <w:spacing w:before="0" w:after="0"/>
      </w:pPr>
      <w:r w:rsidRPr="00AF4C3F">
        <w:t>Kooskõlas määrusega (EL) nr 1053/2013 on komisjon kehtestanud 2017. aasta hindamisprogrammi,</w:t>
      </w:r>
      <w:r w:rsidRPr="00AF4C3F">
        <w:rPr>
          <w:rStyle w:val="FootnoteReference"/>
        </w:rPr>
        <w:footnoteReference w:id="5"/>
      </w:r>
      <w:r w:rsidRPr="00AF4C3F">
        <w:t xml:space="preserve"> mis sisaldab hinnatavatesse liikmesriikidesse korraldatavate kohapealsete kontrollkäikude üksikasjalikke kavasid, hinnatavaid valdkondi ja külastatavaid kohti ning millega nähakse ette Ühendkuningriigi hindamine.</w:t>
      </w:r>
    </w:p>
    <w:p w14:paraId="1E62247B" w14:textId="77777777" w:rsidR="008B1655" w:rsidRPr="00AF4C3F" w:rsidRDefault="008B1655" w:rsidP="008B1655">
      <w:r w:rsidRPr="00AF4C3F">
        <w:t xml:space="preserve">Selle iga-aastase hindamisprogrammi põhjal tegi liikmesriikide ja komisjoni ekspertidest koosnev rühm 5.–10. novembril 2017 uue hindamiskülastuse, et hinnata, kuidas </w:t>
      </w:r>
      <w:r w:rsidRPr="00AF4C3F">
        <w:lastRenderedPageBreak/>
        <w:t>Ühendkuningriik kohaldab SISi. Rühma tehtud järeldused ja antud hinnangud, sealhulgas head tavad ja hindamisel leitud puudused, on esitatud hindamisaruandes</w:t>
      </w:r>
      <w:r w:rsidRPr="00AF4C3F">
        <w:rPr>
          <w:rStyle w:val="FootnoteReference"/>
        </w:rPr>
        <w:footnoteReference w:id="6"/>
      </w:r>
      <w:r w:rsidRPr="00AF4C3F">
        <w:t xml:space="preserve">. </w:t>
      </w:r>
    </w:p>
    <w:p w14:paraId="361E5328" w14:textId="77777777" w:rsidR="008B1655" w:rsidRPr="00AF4C3F" w:rsidRDefault="008B1655" w:rsidP="008B1655">
      <w:r w:rsidRPr="00AF4C3F">
        <w:t>Schengeni küsimuste (Schengeni hindamise) töörühm arutas hindamistulemusi oma 19. juuni 2018. aasta kohtumisel. Komisjon tutvustas aruande peamisi järeldusi, toonitades, et 2015. aasta aruandes esitatud rikkumisi ei ole kõrvaldatud. Komisjon tegi järelduse, et aruandes tehti kindlaks väga tõsised puudused, ja küsis nõukogult aruande järelmeetmete kohta nõu. Schengeni küsimuste töörühm leppis oma 3. septembri 2018. aasta kohtumisel kokku, et hindamismenetlust tuleks jätkata.</w:t>
      </w:r>
    </w:p>
    <w:p w14:paraId="44690284" w14:textId="77777777" w:rsidR="008B1655" w:rsidRPr="00AF4C3F" w:rsidRDefault="008B1655" w:rsidP="008B1655">
      <w:r w:rsidRPr="00AF4C3F">
        <w:t>Selle põhjal tegi töörühm COREPERile ettepaneku esitada soovitus, et nõukogu kutsuks komisjoni üles esitama nõukogule ettepaneku võtta vastu soovitused parandusmeetmete kohta, mille eesmärk on kõrvaldada hindamise käigus leitud väga tõsised puudused. 18. septembril 2018 kutsus üldasjade nõukogu komisjoni üles esitama ettepanekut soovituste kohta (11845/18).</w:t>
      </w:r>
    </w:p>
    <w:p w14:paraId="0B926BC1" w14:textId="77777777" w:rsidR="008B1655" w:rsidRPr="00AF4C3F" w:rsidRDefault="008B1655" w:rsidP="008B1655">
      <w:r w:rsidRPr="00AF4C3F">
        <w:t>29. märtsil 2017 esitas Ühendkuningriik teate oma kavatsuse kohta Euroopa Liidu (EL) lepingu artikli 50 alusel liidust välja astuda. ELi lepingu artikli 50 lõike 3 kohaselt lõpeb aluslepingute kohaldamine Ühendkuningriigi suhtes kuupäevast, mil jõustub väljaastumisleping, või selle lepingu puudumise korral kaks aastat pärast nimetatud teate esitamist, välja arvatud juhul, kui Euroopa Ülemkogu kokkuleppel Ühendkuningriigiga otsustab ühehäälselt seda tähtaega pikendada. Olles leppinud kokku esimeses pikenduses 22. märtsil 2019 ja teises pikenduses 11. aprillil 2019, võttis Euroopa Ülemkogu 29. oktoobril 2019 vastu otsuse (EL) 2019/1810</w:t>
      </w:r>
      <w:r w:rsidR="00542081">
        <w:t>;</w:t>
      </w:r>
      <w:r w:rsidRPr="00AF4C3F">
        <w:rPr>
          <w:rStyle w:val="FootnoteReference"/>
        </w:rPr>
        <w:footnoteReference w:id="7"/>
      </w:r>
      <w:r w:rsidRPr="00AF4C3F">
        <w:t xml:space="preserve"> milles ta Ühendkuningriigi uue palve peale nõustus pikendama ELi lepingu artikli 50 lõikes 3 sätestatud tähtaega 31. jaanuarini 2020.</w:t>
      </w:r>
    </w:p>
    <w:p w14:paraId="0B3C90E0" w14:textId="77777777" w:rsidR="008B1655" w:rsidRPr="00AF4C3F" w:rsidRDefault="008B1655" w:rsidP="008B1655">
      <w:r w:rsidRPr="00AF4C3F">
        <w:t>ELi lepingu artikli 50 kohaselt on Euroopa Liit leppinud Ühendkuningriigiga kokku lepingus, milles sätestatakse riigi väljaastumise kord, võttes arvesse riigi ja liidu tulevaste suhete raamistikku (edaspidi „väljaastumisleping“). 11. jaanuaril 2019 võttis nõukogu vastu otsuse (EL) 2019/274 väljaastumislepingu allkirjastamise kohta</w:t>
      </w:r>
      <w:r w:rsidRPr="00AF4C3F">
        <w:rPr>
          <w:rStyle w:val="FootnoteReference"/>
        </w:rPr>
        <w:footnoteReference w:id="8"/>
      </w:r>
      <w:r w:rsidRPr="00AF4C3F">
        <w:t>. Pärast liidu ja Ühendkuningriigi läbirääkijate vahel septembris ja oktoobris 2019 toimunud täiendavaid läbirääkimisi jõuti kokkuleppele väljaastumislepingu muudetud tekstis, mille Euroopa Ülemkogu 17. oktoobril 2019 kinnitas. 21. oktoobril 2019 võttis nõukogu vastu otsuse (EL) 2019/1750 muudetud väljaastumislepingu allkirjastamise kohta</w:t>
      </w:r>
      <w:r w:rsidRPr="00AF4C3F">
        <w:rPr>
          <w:rStyle w:val="FootnoteReference"/>
        </w:rPr>
        <w:footnoteReference w:id="9"/>
      </w:r>
      <w:r w:rsidRPr="00AF4C3F">
        <w:t>. Väljaastumislepingu</w:t>
      </w:r>
      <w:r w:rsidRPr="00AF4C3F">
        <w:rPr>
          <w:rStyle w:val="FootnoteReference"/>
        </w:rPr>
        <w:footnoteReference w:id="10"/>
      </w:r>
      <w:r w:rsidRPr="00AF4C3F">
        <w:t xml:space="preserve"> neljandas osas on ette nähtud üleminekuperiood, mis algab väljaastumislepingu jõustumise kuupäeval ja lõpeb 31. detsembril 2020. Kui väljaastumislepingus ei ole sätestatud teisiti, jätkub üleminekuperioodil liidu õiguse kohaldamine Ühendkuningriigis ja Ühendkuningriigi suhtes. Selles olukorras püütaksegi käesoleva ettepanekuga, mis käsitleb nõukogu rakendusotsust, millega esitatakse </w:t>
      </w:r>
      <w:r w:rsidRPr="00AF4C3F">
        <w:lastRenderedPageBreak/>
        <w:t xml:space="preserve">soovitus, tagada, et Ühendkuningriik võtaks vajalikud parandusmeetmed, millega kõrvaldatakse hindamise käigus leitud väga tõsised puudused. </w:t>
      </w:r>
    </w:p>
    <w:p w14:paraId="2D8E98F9" w14:textId="77777777" w:rsidR="008B1655" w:rsidRPr="00AF4C3F" w:rsidRDefault="008B1655" w:rsidP="008728D6">
      <w:pPr>
        <w:spacing w:line="360" w:lineRule="auto"/>
        <w:jc w:val="left"/>
        <w:rPr>
          <w:noProof/>
        </w:rPr>
      </w:pPr>
      <w:r w:rsidRPr="00AF4C3F">
        <w:t xml:space="preserve">Igal juhul kohaldatakse käesolevat otsust üksnes seni, kuni Ühendkuningriigis ja Ühendkuningriigi suhtes kohaldatakse liidu õigust. </w:t>
      </w:r>
    </w:p>
    <w:p w14:paraId="528F59C1" w14:textId="77777777" w:rsidR="008B1655" w:rsidRPr="00AF4C3F" w:rsidRDefault="008B1655" w:rsidP="008B1655">
      <w:pPr>
        <w:pStyle w:val="ManualHeading2"/>
        <w:rPr>
          <w:rFonts w:eastAsia="Arial Unicode MS"/>
          <w:color w:val="000000"/>
          <w:u w:color="000000"/>
          <w:bdr w:val="nil"/>
        </w:rPr>
      </w:pPr>
      <w:r w:rsidRPr="00AF4C3F">
        <w:rPr>
          <w:color w:val="000000"/>
          <w:u w:color="000000"/>
          <w:bdr w:val="nil"/>
        </w:rPr>
        <w:t>•</w:t>
      </w:r>
      <w:r w:rsidRPr="00AF4C3F">
        <w:tab/>
        <w:t>Kooskõla poliitikavaldkonnas praegu kehtivate õigusnormidega</w:t>
      </w:r>
    </w:p>
    <w:p w14:paraId="60731E06" w14:textId="77777777" w:rsidR="008B1655" w:rsidRPr="00AF4C3F" w:rsidRDefault="008B1655" w:rsidP="008B1655">
      <w:r w:rsidRPr="00AF4C3F">
        <w:t>Soovituste eesmärk on rakendada poliitikavaldkonnas praegu kehtivad õigusnormid.</w:t>
      </w:r>
    </w:p>
    <w:p w14:paraId="3B53AF03" w14:textId="77777777" w:rsidR="008B1655" w:rsidRPr="00AF4C3F" w:rsidRDefault="008B1655" w:rsidP="008B1655">
      <w:pPr>
        <w:pStyle w:val="ManualHeading2"/>
        <w:rPr>
          <w:rFonts w:eastAsia="Arial Unicode MS"/>
        </w:rPr>
      </w:pPr>
      <w:r w:rsidRPr="00AF4C3F">
        <w:rPr>
          <w:color w:val="000000"/>
          <w:u w:color="000000"/>
          <w:bdr w:val="nil"/>
        </w:rPr>
        <w:t>•</w:t>
      </w:r>
      <w:r w:rsidRPr="00AF4C3F">
        <w:tab/>
        <w:t>Kooskõla muude liidu tegevuspõhimõtetega</w:t>
      </w:r>
    </w:p>
    <w:p w14:paraId="146DCFF9" w14:textId="77777777" w:rsidR="008B1655" w:rsidRPr="00AF4C3F" w:rsidRDefault="008B1655" w:rsidP="008B1655">
      <w:pPr>
        <w:pBdr>
          <w:top w:val="nil"/>
          <w:left w:val="nil"/>
          <w:bottom w:val="nil"/>
          <w:right w:val="nil"/>
          <w:between w:val="nil"/>
          <w:bar w:val="nil"/>
        </w:pBdr>
        <w:spacing w:before="0" w:after="240"/>
        <w:rPr>
          <w:rFonts w:eastAsia="Arial Unicode MS"/>
        </w:rPr>
      </w:pPr>
      <w:r w:rsidRPr="00AF4C3F">
        <w:t xml:space="preserve">Soovitustel võib olla seos liidu andmekaitsepoliitikaga ning politsei- ja õigusalase koostöö tegevuspõhimõtetega. </w:t>
      </w:r>
    </w:p>
    <w:p w14:paraId="53D03AAE" w14:textId="77777777" w:rsidR="008B1655" w:rsidRPr="00AF4C3F" w:rsidRDefault="008B1655" w:rsidP="008B1655">
      <w:pPr>
        <w:pStyle w:val="ManualHeading1"/>
      </w:pPr>
      <w:r w:rsidRPr="00AF4C3F">
        <w:t>2.</w:t>
      </w:r>
      <w:r w:rsidRPr="00AF4C3F">
        <w:tab/>
        <w:t>ÕIGUSLIK ALUS, SUBSIDIAARSUS JA PROPORTSIONAALSUS</w:t>
      </w:r>
    </w:p>
    <w:p w14:paraId="7667FA07" w14:textId="77777777" w:rsidR="008B1655" w:rsidRPr="00AF4C3F" w:rsidRDefault="008B1655" w:rsidP="008B1655">
      <w:pPr>
        <w:pStyle w:val="ManualHeading2"/>
        <w:rPr>
          <w:rFonts w:eastAsia="Arial Unicode MS"/>
          <w:u w:color="000000"/>
          <w:bdr w:val="nil"/>
        </w:rPr>
      </w:pPr>
      <w:r w:rsidRPr="00AF4C3F">
        <w:t>•</w:t>
      </w:r>
      <w:r w:rsidRPr="00AF4C3F">
        <w:tab/>
        <w:t>Õiguslik alus</w:t>
      </w:r>
    </w:p>
    <w:p w14:paraId="0DEFD010" w14:textId="77777777" w:rsidR="008B1655" w:rsidRPr="00AF4C3F" w:rsidRDefault="008B1655" w:rsidP="008B1655">
      <w:r w:rsidRPr="00AF4C3F">
        <w:t xml:space="preserve">Nõukogu 7. oktoobri 2013. aasta määrus (EL) nr 1053/2013, millega kehtestatakse hindamis- ja järelevalvemehhanism Schengeni </w:t>
      </w:r>
      <w:r w:rsidRPr="00AF4C3F">
        <w:rPr>
          <w:i/>
        </w:rPr>
        <w:t>acquis</w:t>
      </w:r>
      <w:r w:rsidR="00254144">
        <w:t>’</w:t>
      </w:r>
      <w:r w:rsidRPr="00AF4C3F">
        <w:t xml:space="preserve"> kohaldamise kontrollimiseks. </w:t>
      </w:r>
    </w:p>
    <w:p w14:paraId="440DB07B" w14:textId="77777777" w:rsidR="008B1655" w:rsidRPr="00AF4C3F" w:rsidRDefault="008B1655" w:rsidP="008B1655">
      <w:pPr>
        <w:pStyle w:val="ManualHeading2"/>
        <w:rPr>
          <w:rFonts w:eastAsia="Arial Unicode MS"/>
          <w:u w:color="000000"/>
          <w:bdr w:val="nil"/>
        </w:rPr>
      </w:pPr>
      <w:r w:rsidRPr="00AF4C3F">
        <w:t>•</w:t>
      </w:r>
      <w:r w:rsidRPr="00AF4C3F">
        <w:tab/>
        <w:t xml:space="preserve">Subsidiaarsus (ainupädevusse mittekuuluva valdkonna puhul) </w:t>
      </w:r>
    </w:p>
    <w:p w14:paraId="5C384123" w14:textId="77777777" w:rsidR="008B1655" w:rsidRPr="00AF4C3F" w:rsidRDefault="008B1655" w:rsidP="008B1655">
      <w:r w:rsidRPr="00AF4C3F">
        <w:t>Nõukogu määruse (EL) nr 1053/2013 artikli 15 lõikes 2 on sõnaselgelt ette nähtud, et komisjon esitab nõukogule ettepaneku võtta vastu soovitused hindamise käigus leitud puuduste kõrvaldamiseks võetavate parandusmeetmete kohta. Selleks et tugevdada liikmesriikide vastastikust usaldust ja tagada liidu tasandil parem koordineerimine, millega kindlustatakse, et liikmesriigid kohaldavad Schengeni eeskirju tulemuslikult, on vaja võtta liidu tasandi meetmeid.</w:t>
      </w:r>
    </w:p>
    <w:p w14:paraId="7527CF7A" w14:textId="77777777" w:rsidR="008B1655" w:rsidRPr="00AF4C3F" w:rsidRDefault="008B1655" w:rsidP="008B1655">
      <w:pPr>
        <w:pStyle w:val="ManualHeading2"/>
        <w:rPr>
          <w:rFonts w:eastAsia="Arial Unicode MS"/>
          <w:u w:color="000000"/>
          <w:bdr w:val="nil"/>
        </w:rPr>
      </w:pPr>
      <w:r w:rsidRPr="00AF4C3F">
        <w:t>•</w:t>
      </w:r>
      <w:r w:rsidRPr="00AF4C3F">
        <w:tab/>
        <w:t>Proportsionaalsus</w:t>
      </w:r>
    </w:p>
    <w:p w14:paraId="134F6D84" w14:textId="77777777" w:rsidR="008B1655" w:rsidRPr="00AF4C3F" w:rsidRDefault="008B1655" w:rsidP="008B1655">
      <w:r w:rsidRPr="00AF4C3F">
        <w:t>Nõukogu määruse (EL) nr 1053/2013 artikli 15 lõige 2 peegeldab nõukogule antud erivolitusi vabadusel, turvalisusel ja õigusel rajaneva ala piires toimuva liidu poliitika rakendamise vastastikusel hindamisel.</w:t>
      </w:r>
    </w:p>
    <w:p w14:paraId="69290D89" w14:textId="77777777" w:rsidR="008B1655" w:rsidRPr="00AF4C3F" w:rsidRDefault="008B1655" w:rsidP="008B1655">
      <w:pPr>
        <w:pStyle w:val="ManualHeading1"/>
      </w:pPr>
      <w:r w:rsidRPr="00AF4C3F">
        <w:t>3.</w:t>
      </w:r>
      <w:r w:rsidRPr="00AF4C3F">
        <w:tab/>
        <w:t>JÄRELHINDAMISE, SIDUSRÜHMADEGA KONSULTEERIMISE JA MÕJU HINDAMISE TULEMUSED</w:t>
      </w:r>
    </w:p>
    <w:p w14:paraId="66F91D87" w14:textId="77777777" w:rsidR="008B1655" w:rsidRPr="00AF4C3F" w:rsidRDefault="008B1655" w:rsidP="008B1655">
      <w:pPr>
        <w:pStyle w:val="ManualHeading2"/>
        <w:rPr>
          <w:rFonts w:eastAsia="Arial Unicode MS"/>
          <w:u w:color="000000"/>
          <w:bdr w:val="nil"/>
        </w:rPr>
      </w:pPr>
      <w:r w:rsidRPr="00AF4C3F">
        <w:t>•</w:t>
      </w:r>
      <w:r w:rsidRPr="00AF4C3F">
        <w:tab/>
        <w:t>Praegu kehtivate õigusaktide järelhindamine või toimivuse kontroll</w:t>
      </w:r>
    </w:p>
    <w:p w14:paraId="7DEEBF4C" w14:textId="77777777" w:rsidR="008B1655" w:rsidRPr="00AF4C3F" w:rsidRDefault="008B1655" w:rsidP="008B1655">
      <w:pPr>
        <w:pBdr>
          <w:top w:val="nil"/>
          <w:left w:val="nil"/>
          <w:bottom w:val="nil"/>
          <w:right w:val="nil"/>
          <w:between w:val="nil"/>
          <w:bar w:val="nil"/>
        </w:pBdr>
        <w:spacing w:before="0" w:after="240"/>
        <w:rPr>
          <w:rFonts w:eastAsia="Arial Unicode MS"/>
        </w:rPr>
      </w:pPr>
      <w:r w:rsidRPr="00AF4C3F">
        <w:t>Ei kohaldata</w:t>
      </w:r>
    </w:p>
    <w:p w14:paraId="4B2DBF18" w14:textId="77777777" w:rsidR="008B1655" w:rsidRPr="00AF4C3F" w:rsidRDefault="008B1655" w:rsidP="008B1655">
      <w:pPr>
        <w:pStyle w:val="ManualHeading2"/>
        <w:rPr>
          <w:rFonts w:eastAsia="Arial Unicode MS"/>
          <w:u w:color="000000"/>
          <w:bdr w:val="nil"/>
        </w:rPr>
      </w:pPr>
      <w:r w:rsidRPr="00AF4C3F">
        <w:t>•</w:t>
      </w:r>
      <w:r w:rsidRPr="00AF4C3F">
        <w:tab/>
        <w:t>Konsulteerimine sidusrühmadega</w:t>
      </w:r>
    </w:p>
    <w:p w14:paraId="3508D88E" w14:textId="77777777" w:rsidR="008B1655" w:rsidRPr="00AF4C3F" w:rsidRDefault="008B1655" w:rsidP="008B1655">
      <w:pPr>
        <w:pBdr>
          <w:top w:val="nil"/>
          <w:left w:val="nil"/>
          <w:bottom w:val="nil"/>
          <w:right w:val="nil"/>
          <w:between w:val="nil"/>
          <w:bar w:val="nil"/>
        </w:pBdr>
        <w:spacing w:before="0" w:after="240"/>
        <w:rPr>
          <w:rFonts w:eastAsia="Arial Unicode MS"/>
        </w:rPr>
      </w:pPr>
      <w:r w:rsidRPr="00AF4C3F">
        <w:t>Kooskõlas nõukogu määruse (EL) nr 1053/2013 artikli 14 lõikega 5 ja artikli 21 lõikega 2 kiitsid liikmesriigid 12. aprillil 2018 Schengeni komitee kohtumisel hindamisaruande heaks.</w:t>
      </w:r>
    </w:p>
    <w:p w14:paraId="2F689B73" w14:textId="77777777" w:rsidR="008B1655" w:rsidRPr="00AF4C3F" w:rsidRDefault="008B1655" w:rsidP="008B1655">
      <w:pPr>
        <w:pStyle w:val="ManualHeading2"/>
        <w:rPr>
          <w:rFonts w:eastAsia="Arial Unicode MS"/>
          <w:u w:color="000000"/>
          <w:bdr w:val="nil"/>
        </w:rPr>
      </w:pPr>
      <w:r w:rsidRPr="00AF4C3F">
        <w:t>•</w:t>
      </w:r>
      <w:r w:rsidRPr="00AF4C3F">
        <w:tab/>
        <w:t>Eksperdiarvamuste kogumine ja kasutamine</w:t>
      </w:r>
    </w:p>
    <w:p w14:paraId="5B2058C7" w14:textId="77777777" w:rsidR="008B1655" w:rsidRPr="00AF4C3F" w:rsidRDefault="008B1655" w:rsidP="008B1655">
      <w:pPr>
        <w:pBdr>
          <w:top w:val="nil"/>
          <w:left w:val="nil"/>
          <w:bottom w:val="nil"/>
          <w:right w:val="nil"/>
          <w:between w:val="nil"/>
          <w:bar w:val="nil"/>
        </w:pBdr>
        <w:spacing w:before="0" w:after="240"/>
        <w:rPr>
          <w:rFonts w:eastAsia="Arial Unicode MS"/>
        </w:rPr>
      </w:pPr>
      <w:r w:rsidRPr="00AF4C3F">
        <w:t>Ei kohaldata</w:t>
      </w:r>
    </w:p>
    <w:p w14:paraId="02FAA782" w14:textId="77777777" w:rsidR="008B1655" w:rsidRPr="00AF4C3F" w:rsidRDefault="008B1655" w:rsidP="008B1655">
      <w:pPr>
        <w:pStyle w:val="ManualHeading2"/>
        <w:rPr>
          <w:rFonts w:eastAsia="Arial Unicode MS"/>
          <w:u w:color="000000"/>
          <w:bdr w:val="nil"/>
        </w:rPr>
      </w:pPr>
      <w:r w:rsidRPr="00AF4C3F">
        <w:lastRenderedPageBreak/>
        <w:t>•</w:t>
      </w:r>
      <w:r w:rsidRPr="00AF4C3F">
        <w:tab/>
        <w:t>Mõjuhinnang</w:t>
      </w:r>
    </w:p>
    <w:p w14:paraId="64F8D834" w14:textId="77777777" w:rsidR="008B1655" w:rsidRPr="00AF4C3F" w:rsidRDefault="008B1655" w:rsidP="008B1655">
      <w:pPr>
        <w:pBdr>
          <w:top w:val="nil"/>
          <w:left w:val="nil"/>
          <w:bottom w:val="nil"/>
          <w:right w:val="nil"/>
          <w:between w:val="nil"/>
          <w:bar w:val="nil"/>
        </w:pBdr>
        <w:spacing w:before="0" w:after="240"/>
        <w:rPr>
          <w:rFonts w:eastAsia="Arial Unicode MS"/>
        </w:rPr>
      </w:pPr>
      <w:r w:rsidRPr="00AF4C3F">
        <w:t>Ei kohaldata</w:t>
      </w:r>
    </w:p>
    <w:p w14:paraId="398B22A7" w14:textId="77777777" w:rsidR="008B1655" w:rsidRPr="00AF4C3F" w:rsidRDefault="008B1655" w:rsidP="008B1655">
      <w:pPr>
        <w:pStyle w:val="ManualHeading2"/>
        <w:rPr>
          <w:rFonts w:eastAsia="Arial Unicode MS"/>
          <w:u w:color="000000"/>
          <w:bdr w:val="nil"/>
        </w:rPr>
      </w:pPr>
      <w:r w:rsidRPr="00AF4C3F">
        <w:t>•</w:t>
      </w:r>
      <w:r w:rsidRPr="00AF4C3F">
        <w:tab/>
        <w:t>Õigusnormide toimivus ja lihtsustamine</w:t>
      </w:r>
    </w:p>
    <w:p w14:paraId="29BD3065" w14:textId="77777777" w:rsidR="008B1655" w:rsidRPr="00AF4C3F" w:rsidRDefault="008B1655" w:rsidP="008B1655">
      <w:pPr>
        <w:pBdr>
          <w:top w:val="nil"/>
          <w:left w:val="nil"/>
          <w:bottom w:val="nil"/>
          <w:right w:val="nil"/>
          <w:between w:val="nil"/>
          <w:bar w:val="nil"/>
        </w:pBdr>
        <w:spacing w:before="0" w:after="240"/>
        <w:rPr>
          <w:rFonts w:eastAsia="Arial Unicode MS"/>
        </w:rPr>
      </w:pPr>
      <w:r w:rsidRPr="00AF4C3F">
        <w:t>Ei kohaldata</w:t>
      </w:r>
    </w:p>
    <w:p w14:paraId="59F6505B" w14:textId="77777777" w:rsidR="008B1655" w:rsidRPr="00AF4C3F" w:rsidRDefault="008B1655" w:rsidP="008B1655">
      <w:pPr>
        <w:pStyle w:val="ManualHeading2"/>
        <w:rPr>
          <w:rFonts w:eastAsia="Arial Unicode MS"/>
          <w:u w:color="000000"/>
          <w:bdr w:val="nil"/>
        </w:rPr>
      </w:pPr>
      <w:r w:rsidRPr="00AF4C3F">
        <w:t>•</w:t>
      </w:r>
      <w:r w:rsidRPr="00AF4C3F">
        <w:tab/>
        <w:t>Põhiõigused</w:t>
      </w:r>
    </w:p>
    <w:p w14:paraId="59759FB4" w14:textId="77777777" w:rsidR="008B1655" w:rsidRPr="00AF4C3F" w:rsidRDefault="008B1655" w:rsidP="008B1655">
      <w:pPr>
        <w:pBdr>
          <w:top w:val="nil"/>
          <w:left w:val="nil"/>
          <w:bottom w:val="nil"/>
          <w:right w:val="nil"/>
          <w:between w:val="nil"/>
          <w:bar w:val="nil"/>
        </w:pBdr>
        <w:spacing w:before="0" w:after="240"/>
        <w:rPr>
          <w:rFonts w:eastAsia="Arial Unicode MS"/>
        </w:rPr>
      </w:pPr>
      <w:r w:rsidRPr="00AF4C3F">
        <w:t xml:space="preserve">Hindamisprotsessi käigus võeti arvesse põhiõiguste kaitset Schengeni </w:t>
      </w:r>
      <w:r w:rsidRPr="00AF4C3F">
        <w:rPr>
          <w:i/>
        </w:rPr>
        <w:t>acquis</w:t>
      </w:r>
      <w:r w:rsidR="00254144">
        <w:t>’</w:t>
      </w:r>
      <w:r w:rsidRPr="00AF4C3F">
        <w:t xml:space="preserve"> kohaldamisel.</w:t>
      </w:r>
    </w:p>
    <w:p w14:paraId="107CA4C5" w14:textId="77777777" w:rsidR="008B1655" w:rsidRPr="00AF4C3F" w:rsidRDefault="008B1655" w:rsidP="008B1655">
      <w:pPr>
        <w:pStyle w:val="ManualHeading1"/>
      </w:pPr>
      <w:r w:rsidRPr="00AF4C3F">
        <w:t>4.</w:t>
      </w:r>
      <w:r w:rsidRPr="00AF4C3F">
        <w:tab/>
        <w:t>MÕJU EELARVELE</w:t>
      </w:r>
    </w:p>
    <w:p w14:paraId="18C9CE05" w14:textId="77777777" w:rsidR="008B1655" w:rsidRPr="00AF4C3F" w:rsidRDefault="008B1655" w:rsidP="008B1655">
      <w:pPr>
        <w:pBdr>
          <w:top w:val="nil"/>
          <w:left w:val="nil"/>
          <w:bottom w:val="nil"/>
          <w:right w:val="nil"/>
          <w:between w:val="nil"/>
          <w:bar w:val="nil"/>
        </w:pBdr>
        <w:spacing w:before="0" w:after="240"/>
        <w:rPr>
          <w:rFonts w:eastAsia="Arial Unicode MS"/>
        </w:rPr>
      </w:pPr>
      <w:r w:rsidRPr="00AF4C3F">
        <w:t>Ei kohaldata</w:t>
      </w:r>
    </w:p>
    <w:p w14:paraId="10F14EFD" w14:textId="77777777" w:rsidR="008B1655" w:rsidRPr="00AF4C3F" w:rsidRDefault="008B1655" w:rsidP="008B1655">
      <w:pPr>
        <w:pStyle w:val="ManualHeading1"/>
      </w:pPr>
      <w:r w:rsidRPr="00AF4C3F">
        <w:t>5.</w:t>
      </w:r>
      <w:r w:rsidRPr="00AF4C3F">
        <w:tab/>
        <w:t>MUU TEAVE</w:t>
      </w:r>
    </w:p>
    <w:p w14:paraId="14700A18" w14:textId="77777777" w:rsidR="008B1655" w:rsidRPr="00AF4C3F" w:rsidRDefault="008B1655" w:rsidP="008B1655">
      <w:pPr>
        <w:pStyle w:val="ManualHeading2"/>
        <w:rPr>
          <w:rFonts w:eastAsia="Arial Unicode MS"/>
          <w:b w:val="0"/>
          <w:u w:color="000000"/>
          <w:bdr w:val="nil"/>
        </w:rPr>
      </w:pPr>
      <w:r w:rsidRPr="00AF4C3F">
        <w:rPr>
          <w:b w:val="0"/>
          <w:u w:color="000000"/>
          <w:bdr w:val="nil"/>
        </w:rPr>
        <w:t>Ei kohaldata</w:t>
      </w:r>
    </w:p>
    <w:p w14:paraId="293FE774" w14:textId="77777777" w:rsidR="008B1655" w:rsidRPr="00AF4C3F" w:rsidRDefault="008B1655" w:rsidP="008B1655">
      <w:pPr>
        <w:sectPr w:rsidR="008B1655" w:rsidRPr="00AF4C3F" w:rsidSect="00107C15">
          <w:footerReference w:type="default" r:id="rId15"/>
          <w:footerReference w:type="first" r:id="rId16"/>
          <w:pgSz w:w="11907" w:h="16839"/>
          <w:pgMar w:top="1134" w:right="1417" w:bottom="1134" w:left="1417" w:header="709" w:footer="709" w:gutter="0"/>
          <w:cols w:space="708"/>
          <w:docGrid w:linePitch="360"/>
        </w:sectPr>
      </w:pPr>
    </w:p>
    <w:p w14:paraId="139F117A" w14:textId="106761F7" w:rsidR="001459CB" w:rsidRDefault="00107C15" w:rsidP="00107C15">
      <w:pPr>
        <w:pStyle w:val="Rfrenceinterinstitutionnelle"/>
      </w:pPr>
      <w:r w:rsidRPr="00107C15">
        <w:lastRenderedPageBreak/>
        <w:t>2020/10 (NLE)</w:t>
      </w:r>
    </w:p>
    <w:p w14:paraId="586E41F9" w14:textId="70FC5C94" w:rsidR="008B1655" w:rsidRPr="00AF4C3F" w:rsidRDefault="00107C15" w:rsidP="00107C15">
      <w:pPr>
        <w:pStyle w:val="Statut"/>
      </w:pPr>
      <w:r w:rsidRPr="00107C15">
        <w:t>Ettepanek:</w:t>
      </w:r>
    </w:p>
    <w:p w14:paraId="18E5C055" w14:textId="563C78EE" w:rsidR="008B1655" w:rsidRPr="00AF4C3F" w:rsidRDefault="00107C15" w:rsidP="00107C15">
      <w:pPr>
        <w:pStyle w:val="Typedudocument"/>
      </w:pPr>
      <w:r w:rsidRPr="00107C15">
        <w:t>NÕUKOGU RAKENDUSOTSUS,</w:t>
      </w:r>
    </w:p>
    <w:p w14:paraId="41102C4F" w14:textId="437071F9" w:rsidR="008B1655" w:rsidRPr="00AF4C3F" w:rsidRDefault="00107C15" w:rsidP="00107C15">
      <w:pPr>
        <w:pStyle w:val="Titreobjet"/>
      </w:pPr>
      <w:r w:rsidRPr="00107C15">
        <w:t xml:space="preserve">millega esitatakse soovitus, mis käsitleb 2017. aastal Ühendkuningriigis Schengeni infosüsteemi valdkonnas Schengeni </w:t>
      </w:r>
      <w:r w:rsidRPr="00107C15">
        <w:rPr>
          <w:i/>
        </w:rPr>
        <w:t>acquis</w:t>
      </w:r>
      <w:r w:rsidRPr="00107C15">
        <w:t>’ kohaldamise hindamise käigus leitud tõsiste puuduste kõrvaldamist</w:t>
      </w:r>
    </w:p>
    <w:p w14:paraId="2480ABB7" w14:textId="77777777" w:rsidR="008B1655" w:rsidRPr="00AF4C3F" w:rsidRDefault="008B1655" w:rsidP="008B1655">
      <w:pPr>
        <w:pStyle w:val="Institutionquiagit"/>
      </w:pPr>
      <w:r w:rsidRPr="00AF4C3F">
        <w:t>EUROOPA LIIDU NÕUKOGU,</w:t>
      </w:r>
    </w:p>
    <w:p w14:paraId="77485D39" w14:textId="77777777" w:rsidR="008B1655" w:rsidRPr="00AF4C3F" w:rsidRDefault="008B1655" w:rsidP="008B1655">
      <w:r w:rsidRPr="00AF4C3F">
        <w:t>võttes arvesse Euroopa Liidu toimimise lepingut,</w:t>
      </w:r>
    </w:p>
    <w:p w14:paraId="2E2D5A6E" w14:textId="77777777" w:rsidR="008B1655" w:rsidRPr="00AF4C3F" w:rsidRDefault="008B1655" w:rsidP="008B1655">
      <w:r w:rsidRPr="00AF4C3F">
        <w:t xml:space="preserve">võttes arvesse nõukogu 7. oktoobri 2013. aasta määrust (EL) nr 1053/2013, millega kehtestatakse hindamis- ja järelevalvemehhanism Schengeni </w:t>
      </w:r>
      <w:r w:rsidRPr="00AF4C3F">
        <w:rPr>
          <w:i/>
        </w:rPr>
        <w:t>acquis</w:t>
      </w:r>
      <w:r w:rsidR="00254144">
        <w:t>’</w:t>
      </w:r>
      <w:r w:rsidRPr="00AF4C3F">
        <w:t xml:space="preserve"> kohaldamise kontrollimiseks ja tunnistatakse kehtetuks täitevkomitee 16. septembri 1998. aasta otsus, millega luuakse Schengeni hindamis- ja rakendamiskomitee,</w:t>
      </w:r>
      <w:r w:rsidRPr="00AF4C3F">
        <w:rPr>
          <w:rStyle w:val="FootnoteReference"/>
        </w:rPr>
        <w:footnoteReference w:id="11"/>
      </w:r>
      <w:r w:rsidRPr="00AF4C3F">
        <w:t xml:space="preserve"> eriti selle artikli 1 lõike 1 punkti a ja artikli 15 lõiget 3,</w:t>
      </w:r>
    </w:p>
    <w:p w14:paraId="1CF2F838" w14:textId="77777777" w:rsidR="008B1655" w:rsidRPr="00AF4C3F" w:rsidRDefault="008B1655" w:rsidP="008B1655">
      <w:r w:rsidRPr="00AF4C3F">
        <w:t>võttes arvesse Euroopa Komisjoni ettepanekut</w:t>
      </w:r>
    </w:p>
    <w:p w14:paraId="3029300C" w14:textId="77777777" w:rsidR="008B1655" w:rsidRPr="00AF4C3F" w:rsidRDefault="008B1655" w:rsidP="008B1655">
      <w:r w:rsidRPr="00AF4C3F">
        <w:t>ning arvestades järgmist:</w:t>
      </w:r>
    </w:p>
    <w:p w14:paraId="3724FC93" w14:textId="77777777" w:rsidR="008B1655" w:rsidRPr="00AF4C3F" w:rsidRDefault="008B1655" w:rsidP="002C67EF">
      <w:pPr>
        <w:pStyle w:val="Considrant"/>
        <w:numPr>
          <w:ilvl w:val="0"/>
          <w:numId w:val="1"/>
        </w:numPr>
      </w:pPr>
      <w:r w:rsidRPr="00AF4C3F">
        <w:t xml:space="preserve">Käesoleva soovituse eesmärk on soovitada Ühendkuningriigile parandusmeetmeid Schengeni infosüsteemi (SIS) valdkonnas 2017. aastal korraldatud hindamisel leitud puuduste kõrvaldamiseks. Pärast hindamist võeti komisjoni rakendusotsusega C(2018) 2250 (final) vastu aruanne, mis sisaldab järeldusi ja hinnanguid ning milles on esitatud head tavad ja hindamise käigus leitud puudused. </w:t>
      </w:r>
    </w:p>
    <w:p w14:paraId="20FA606E" w14:textId="77777777" w:rsidR="008B1655" w:rsidRPr="00AF4C3F" w:rsidRDefault="008B1655" w:rsidP="002C67EF">
      <w:pPr>
        <w:pStyle w:val="Considrant"/>
        <w:widowControl w:val="0"/>
        <w:numPr>
          <w:ilvl w:val="0"/>
          <w:numId w:val="1"/>
        </w:numPr>
        <w:spacing w:before="0"/>
      </w:pPr>
      <w:r w:rsidRPr="00AF4C3F">
        <w:t>Headeks tavadeks peetakse statistilise aruandluse vahendeid ja SISi andmeid käsitlevate üksikasjalike statistiliste aruannete kättesaadavust ning ka siseministeeriumi (</w:t>
      </w:r>
      <w:r w:rsidRPr="00AF4C3F">
        <w:rPr>
          <w:i/>
        </w:rPr>
        <w:t>Home Office</w:t>
      </w:r>
      <w:r w:rsidRPr="00AF4C3F">
        <w:t>) algatatud vastastikuse hindamise programmi, mis hõlmab külastusi (hindamisi), et kontrollida, kuidas iga jõuametkond SISi kasutab.</w:t>
      </w:r>
    </w:p>
    <w:p w14:paraId="40522B4F" w14:textId="77777777" w:rsidR="008B1655" w:rsidRPr="00AF4C3F" w:rsidRDefault="008B1655" w:rsidP="002C67EF">
      <w:pPr>
        <w:pStyle w:val="Considrant"/>
        <w:numPr>
          <w:ilvl w:val="0"/>
          <w:numId w:val="1"/>
        </w:numPr>
      </w:pPr>
      <w:r w:rsidRPr="00AF4C3F">
        <w:t xml:space="preserve">Arvestades Schengeni </w:t>
      </w:r>
      <w:r w:rsidRPr="00AF4C3F">
        <w:rPr>
          <w:i/>
        </w:rPr>
        <w:t>acquis</w:t>
      </w:r>
      <w:r w:rsidR="00254144">
        <w:t>’</w:t>
      </w:r>
      <w:r w:rsidRPr="00AF4C3F">
        <w:t xml:space="preserve"> järgimise tähtsust, tuleks eelkõige rakendada soovitused 1–25. On oluline kõrvaldada need väga tõsised puudused viivitamata.</w:t>
      </w:r>
    </w:p>
    <w:p w14:paraId="2B545D40" w14:textId="77777777" w:rsidR="008B1655" w:rsidRPr="00AF4C3F" w:rsidRDefault="008B1655" w:rsidP="002C67EF">
      <w:pPr>
        <w:pStyle w:val="Considrant"/>
        <w:numPr>
          <w:ilvl w:val="0"/>
          <w:numId w:val="1"/>
        </w:numPr>
        <w:spacing w:before="0" w:after="0"/>
        <w:rPr>
          <w:szCs w:val="24"/>
        </w:rPr>
      </w:pPr>
      <w:r w:rsidRPr="00AF4C3F">
        <w:t xml:space="preserve">29. märtsil 2017 esitas Suurbritannia ja Põhja-Iiri Ühendkuningriik (edaspidi „Ühendkuningriik“) teate oma kavatsuse kohta Euroopa Liidu lepingu (ELi leping) artikli 50 alusel liidust välja astuda. ELi lepingu artikli 50 lõike 3 kohaselt lõpeb aluslepingute kohaldamine Ühendkuningriigi suhtes kuupäevast, mil jõustub väljaastumisleping, või selle lepingu puudumise korral kaks aastat pärast nimetatud teate esitamist, välja arvatud juhul, kui Euroopa Ülemkogu kokkuleppel Ühendkuningriigiga otsustab ühehäälselt seda tähtaega pikendada. Olles leppinud kokku esimeses pikenduses 22. märtsil 2019 ja teises pikenduses 11. aprillil 2019, </w:t>
      </w:r>
      <w:r w:rsidRPr="00AF4C3F">
        <w:lastRenderedPageBreak/>
        <w:t>võttis Euroopa Ülemkogu 29. oktoobril 2019 vastu otsuse (EL) 2019/1810</w:t>
      </w:r>
      <w:r w:rsidR="00AF4C3F">
        <w:t>;</w:t>
      </w:r>
      <w:r w:rsidRPr="00AF4C3F">
        <w:rPr>
          <w:rStyle w:val="FootnoteReference"/>
          <w:noProof/>
        </w:rPr>
        <w:footnoteReference w:id="12"/>
      </w:r>
      <w:r w:rsidRPr="00AF4C3F">
        <w:t xml:space="preserve"> milles ta Ühendkuningriigi uue palve peale nõustus pikendama ELi lepingu artikli 50 lõikes 3 sätestatud tähtaega 31. jaanuarini 2020. </w:t>
      </w:r>
    </w:p>
    <w:p w14:paraId="5E8A3B23" w14:textId="77777777" w:rsidR="008B1655" w:rsidRPr="00AF4C3F" w:rsidRDefault="008B1655" w:rsidP="002C67EF">
      <w:pPr>
        <w:pStyle w:val="Considrant"/>
        <w:numPr>
          <w:ilvl w:val="0"/>
          <w:numId w:val="1"/>
        </w:numPr>
      </w:pPr>
      <w:r w:rsidRPr="00AF4C3F">
        <w:t xml:space="preserve">ELi lepingu artikli 50 kohaselt on Euroopa Liit leppinud Ühendkuningriigiga kokku lepingus, milles sätestatakse riigi väljaastumise kord, võttes arvesse riigi ja liidu tulevaste suhete raamistikku (edaspidi „väljaastumisleping“). 11. jaanuaril 2019 võttis nõukogu vastu otsuse (EL) 2019/274 väljaastumislepingu allkirjastamise kohta. Pärast liidu ja Ühendkuningriigi läbirääkijate vahel septembris ja oktoobris 2019 toimunud täiendavaid läbirääkimisi jõuti kokkuleppele väljaastumislepingu muudetud tekstis, mille Euroopa Ülemkogu 17. oktoobril 2019 kinnitas. 21. oktoobril 2019 võttis nõukogu vastu otsuse (EL) 2019/1750 muudetud väljaastumislepingu allkirjastamise kohta. Väljaastumislepingu neljandas osas on ette nähtud üleminekuperiood, mis algab väljaastumislepingu jõustumise kuupäeval ja lõpeb 31. detsembril 2020. Kui väljaastumislepingus ei ole sätestatud teisiti, jätkub üleminekuperioodil liidu õiguse kohaldamine Ühendkuningriigis ja Ühendkuningriigi suhtes. </w:t>
      </w:r>
    </w:p>
    <w:p w14:paraId="780B9437" w14:textId="77777777" w:rsidR="008B1655" w:rsidRPr="00AF4C3F" w:rsidRDefault="008B1655" w:rsidP="008728D6">
      <w:pPr>
        <w:pStyle w:val="Considrant"/>
        <w:numPr>
          <w:ilvl w:val="0"/>
          <w:numId w:val="1"/>
        </w:numPr>
        <w:rPr>
          <w:noProof/>
        </w:rPr>
      </w:pPr>
      <w:r w:rsidRPr="00AF4C3F">
        <w:t xml:space="preserve">Käesolevat otsust kohaldatakse üksnes seni, kuni Ühendkuningriigis ja Ühendkuningriigi suhtes kohaldatakse liidu õigust. </w:t>
      </w:r>
    </w:p>
    <w:p w14:paraId="6F41EE66" w14:textId="77777777" w:rsidR="008B1655" w:rsidRPr="00AF4C3F" w:rsidRDefault="008B1655" w:rsidP="002C67EF">
      <w:pPr>
        <w:pStyle w:val="Considrant"/>
        <w:numPr>
          <w:ilvl w:val="0"/>
          <w:numId w:val="1"/>
        </w:numPr>
      </w:pPr>
      <w:r w:rsidRPr="00AF4C3F">
        <w:t xml:space="preserve">Käesolev otsus tuleks edastada Euroopa Parlamendile ja liikmesriikide parlamentidele. Ühe kuu jooksul alates otsuse vastuvõtmisest peaks Ühendkuningriik koostama määruse (EL) nr 1053/2013 artikli 16 lõike 1 kohaselt tegevuskava, kus loetletakse kõik soovitused hindamisaruandes nimetatud puuduste kõrvaldamiseks, ning esitama selle tegevuskava komisjonile ja nõukogule, </w:t>
      </w:r>
    </w:p>
    <w:p w14:paraId="4F63B8F6" w14:textId="77777777" w:rsidR="008B1655" w:rsidRPr="00AF4C3F" w:rsidRDefault="008B1655" w:rsidP="008B1655">
      <w:pPr>
        <w:pStyle w:val="Formuledadoption"/>
      </w:pPr>
      <w:r w:rsidRPr="00AF4C3F">
        <w:t xml:space="preserve">SOOVITAB JÄRGMIST: </w:t>
      </w:r>
    </w:p>
    <w:p w14:paraId="3FBBA396" w14:textId="77777777" w:rsidR="008B1655" w:rsidRPr="00AF4C3F" w:rsidRDefault="008B1655" w:rsidP="008B1655">
      <w:pPr>
        <w:pStyle w:val="Titrearticle"/>
        <w:jc w:val="both"/>
        <w:rPr>
          <w:i w:val="0"/>
        </w:rPr>
      </w:pPr>
      <w:r w:rsidRPr="00AF4C3F">
        <w:rPr>
          <w:i w:val="0"/>
        </w:rPr>
        <w:t>Ühendkuningriik peaks:</w:t>
      </w:r>
    </w:p>
    <w:p w14:paraId="1C7F92C0" w14:textId="77777777" w:rsidR="008B1655" w:rsidRPr="00AF4C3F" w:rsidRDefault="008B1655" w:rsidP="002C67EF">
      <w:pPr>
        <w:pStyle w:val="Point0number"/>
        <w:numPr>
          <w:ilvl w:val="0"/>
          <w:numId w:val="2"/>
        </w:numPr>
      </w:pPr>
      <w:r w:rsidRPr="00AF4C3F">
        <w:t>tagama, et tulemuste samaväärsuse ja andmete turvalisuse sätteid kohaldatakse täiel määral kõigi tema täielike ja osaliste tehniliste koopiate suhtes kooskõlas nõukogu otsuse 2007/533/JSK</w:t>
      </w:r>
      <w:r w:rsidRPr="00AF4C3F">
        <w:rPr>
          <w:rStyle w:val="FootnoteReference"/>
        </w:rPr>
        <w:footnoteReference w:id="13"/>
      </w:r>
      <w:r w:rsidRPr="00AF4C3F">
        <w:t xml:space="preserve"> artikli 9 lõikega 2, artikli 10 lõikega 1 ja artikli 46 lõigetega 2–4;</w:t>
      </w:r>
    </w:p>
    <w:p w14:paraId="652DA0BF" w14:textId="77777777" w:rsidR="008B1655" w:rsidRPr="00AF4C3F" w:rsidRDefault="008B1655" w:rsidP="008B1655">
      <w:pPr>
        <w:pStyle w:val="Point0number"/>
      </w:pPr>
      <w:r w:rsidRPr="00AF4C3F">
        <w:t>lõpetama SISi andmete ebaseadusliku kopeerimise hoiatuste registrisse (</w:t>
      </w:r>
      <w:r w:rsidRPr="00AF4C3F">
        <w:rPr>
          <w:i/>
        </w:rPr>
        <w:t>Warning Index</w:t>
      </w:r>
      <w:r w:rsidRPr="00AF4C3F">
        <w:t xml:space="preserve"> – andmebaas, mida kasutab Ühendkuningriigi piirivalve esimese ja teise astme kontrollide käigus) ja tagama, et SISi andmete haldamine selles andmebaasis on kooskõlas nõukogu otsuse 2007/533/JSK artikli 10 lõike 1 punktiga c ja artikli 46 lõigetega 2–4;</w:t>
      </w:r>
    </w:p>
    <w:p w14:paraId="227CA6CA" w14:textId="77777777" w:rsidR="008B1655" w:rsidRPr="00AF4C3F" w:rsidRDefault="008B1655" w:rsidP="008B1655">
      <w:pPr>
        <w:pStyle w:val="Point0number"/>
      </w:pPr>
      <w:r w:rsidRPr="00AF4C3F">
        <w:t>lõpetama SISi andmete ebaseadusliku kopeerimise hoiatuste registri koopiasse, mida säilitatakse varusülearvutites;</w:t>
      </w:r>
    </w:p>
    <w:p w14:paraId="23176056" w14:textId="77777777" w:rsidR="008B1655" w:rsidRPr="00AF4C3F" w:rsidRDefault="008B1655" w:rsidP="008B1655">
      <w:pPr>
        <w:pStyle w:val="Point0number"/>
      </w:pPr>
      <w:r w:rsidRPr="00AF4C3F">
        <w:t xml:space="preserve">tagama, et hoiatuste register kuvab SISi hoiatusteadete kohta meetme, mis tuleb võtta, terves selle ulatuses, rikkumise liigi, fotod, Euroopa vahistamismääruste ja </w:t>
      </w:r>
      <w:r w:rsidRPr="00AF4C3F">
        <w:lastRenderedPageBreak/>
        <w:t>sõrmejälgede olemasolu, identiteedi liigi ja varjunimed, sidemed, laiendi „kuritarvitatud identiteet“ ja kõik hoiatusmärgised;</w:t>
      </w:r>
    </w:p>
    <w:p w14:paraId="52D78B9F" w14:textId="77777777" w:rsidR="008B1655" w:rsidRPr="00AF4C3F" w:rsidRDefault="008B1655" w:rsidP="008B1655">
      <w:pPr>
        <w:pStyle w:val="Point0number"/>
      </w:pPr>
      <w:r w:rsidRPr="00AF4C3F">
        <w:t xml:space="preserve">täielikult sünkroniseerima kõik oma täielikud ja osalised tehnilised koopiad ja hoiatuste registri keskse SISi andmebaasiga (CS-SIS) vastavalt nõukogu otsuse 2007/533/JSK artikli 9 lõikele 2, mida tõlgendatakse koostoimes artikli 46 lõikega 2, et sinna ei jääks mitte ühtegi hoiatusteadet, mille selle esitanud liikmesriik on kustutanud; </w:t>
      </w:r>
    </w:p>
    <w:p w14:paraId="32143E6F" w14:textId="77777777" w:rsidR="008B1655" w:rsidRPr="00AF4C3F" w:rsidRDefault="008B1655" w:rsidP="008B1655">
      <w:pPr>
        <w:pStyle w:val="Point0number"/>
      </w:pPr>
      <w:r w:rsidRPr="00AF4C3F">
        <w:t xml:space="preserve">kontrollima nõukogu </w:t>
      </w:r>
      <w:r w:rsidRPr="00AF4C3F">
        <w:rPr>
          <w:rStyle w:val="Strong"/>
          <w:b w:val="0"/>
        </w:rPr>
        <w:t>otsuse 2007/533/JSK</w:t>
      </w:r>
      <w:r w:rsidRPr="00AF4C3F">
        <w:t xml:space="preserve"> artikli 9 lõike 2 kohaselt, mida tõlgendatakse koostoimes artikli 46 lõikega 2, kõikide oma täielike ja osaliste tehniliste koopiate kõikide andmete kooskõla;</w:t>
      </w:r>
    </w:p>
    <w:p w14:paraId="4DAC02D6" w14:textId="77777777" w:rsidR="008B1655" w:rsidRPr="00AF4C3F" w:rsidRDefault="008B1655" w:rsidP="008B1655">
      <w:pPr>
        <w:pStyle w:val="Point0number"/>
      </w:pPr>
      <w:r w:rsidRPr="00AF4C3F">
        <w:t>lõpetama selliste nõukogu otsuse 2007/533/JSK artikli 36 kohaselt esitatud hoiatusteadete, millele on meetmena lisatud „võtke viivitamata SIRENEga ühendust“, muutmise hoiatuste registris diskreetse kontrolli või erikontrolli eesmärgil sisestatud hoiatusteadeteks ilma meetmeta „võtke viivitamata SIRENEga ühendust</w:t>
      </w:r>
      <w:r w:rsidR="00B60F60">
        <w:t>“;</w:t>
      </w:r>
    </w:p>
    <w:p w14:paraId="5AF5B5C4" w14:textId="77777777" w:rsidR="008B1655" w:rsidRPr="00AF4C3F" w:rsidRDefault="008B1655" w:rsidP="008B1655">
      <w:pPr>
        <w:pStyle w:val="Point0number"/>
      </w:pPr>
      <w:r w:rsidRPr="00AF4C3F">
        <w:t xml:space="preserve">tagama, et SISi tehniline koopia Semaphore (rakendus, mida kasutatakse reisijaid käsitleva eelteabe töötlemiseks) sisaldab kõiki SISi hoiatusteadete kategooriaid, mitte ainult artikli 26 kohaseid vahi alla võtmist käsitlevaid hoiatusteateid, millele ei ole lisatud märkust, vastavalt nõukogu otsuse 2007/533/JSK artikli 9 lõikele 2, mida tõlgendatakse koostoimes artikli 46 lõikega 2; </w:t>
      </w:r>
    </w:p>
    <w:p w14:paraId="1F4AFADE" w14:textId="77777777" w:rsidR="008B1655" w:rsidRPr="00AF4C3F" w:rsidRDefault="008B1655" w:rsidP="008B1655">
      <w:pPr>
        <w:pStyle w:val="Point0number"/>
      </w:pPr>
      <w:r w:rsidRPr="00AF4C3F">
        <w:t>muutma siseriiklikku põhimõtet, mis näeb ette Schengeni lepinguga ühinenud riikide poolt vahi alla võtmise eesmärgil sisestatud hoiatusteadetele (väljaandmistaotlustele) süstemaatilise märkuse lisamise;</w:t>
      </w:r>
    </w:p>
    <w:p w14:paraId="1A86E83F" w14:textId="77777777" w:rsidR="008B1655" w:rsidRPr="00AF4C3F" w:rsidRDefault="008B1655" w:rsidP="008B1655">
      <w:pPr>
        <w:pStyle w:val="Point0number"/>
      </w:pPr>
      <w:r w:rsidRPr="00AF4C3F">
        <w:t>lõpetama politsei riikliku infosüsteemi (</w:t>
      </w:r>
      <w:r w:rsidRPr="00AF4C3F">
        <w:rPr>
          <w:i/>
        </w:rPr>
        <w:t>Police National Computer</w:t>
      </w:r>
      <w:r w:rsidRPr="00AF4C3F">
        <w:t xml:space="preserve">) SISi tehnilises koopias kõikide vahi alla võtmise eesmärgil sisestatud märkusega hoiatusteadete muutmise hoiatusteadeteks, mis käsitlevad isikut, keda otsitakse eesmärgil, et ta abistaks kohtumenetluses; </w:t>
      </w:r>
    </w:p>
    <w:p w14:paraId="44888B4F" w14:textId="77777777" w:rsidR="008B1655" w:rsidRPr="00AF4C3F" w:rsidRDefault="008B1655" w:rsidP="008B1655">
      <w:pPr>
        <w:pStyle w:val="Point0number"/>
      </w:pPr>
      <w:r w:rsidRPr="00AF4C3F">
        <w:t xml:space="preserve">kohaldama õigesti nõukogu </w:t>
      </w:r>
      <w:r w:rsidRPr="00AF4C3F">
        <w:rPr>
          <w:rStyle w:val="Strong"/>
          <w:b w:val="0"/>
        </w:rPr>
        <w:t>otsuse 2007/533/JSK</w:t>
      </w:r>
      <w:r w:rsidRPr="00AF4C3F">
        <w:t xml:space="preserve"> artikli 24 sätteid vahi alla võtmiseks hoiatusteatele märkuse lisamise kohta, oodates ära, kuni hoiatusteate sisestanud liikmesriigi SIRENE büroo on märkuse lisanud;</w:t>
      </w:r>
    </w:p>
    <w:p w14:paraId="4555280C" w14:textId="77777777" w:rsidR="008B1655" w:rsidRPr="00AF4C3F" w:rsidRDefault="008B1655" w:rsidP="008B1655">
      <w:pPr>
        <w:pStyle w:val="Point0number"/>
      </w:pPr>
      <w:r w:rsidRPr="00AF4C3F">
        <w:t>võtma oma SIRENE büroos kasutusele menetluse, et jälgida ja kontrollida, kas hoiatusteate esitanud liikmesriik on sellele lisanud nõukogu otsuse 2007/533/JSK artikli 24 lõike 1 kohaselt nõutud märkuse;</w:t>
      </w:r>
    </w:p>
    <w:p w14:paraId="6EEE1FBC" w14:textId="77777777" w:rsidR="008B1655" w:rsidRPr="00AF4C3F" w:rsidRDefault="008B1655" w:rsidP="008B1655">
      <w:pPr>
        <w:pStyle w:val="Point0number"/>
      </w:pPr>
      <w:r w:rsidRPr="00AF4C3F">
        <w:t>võtma kasutusele tehnilised vahendid, kohustuslikud menetlused või suunised, et lõppkasutajad saaksid lisada SISi hoiatusteadetele fotosid ja sõrmejälgi, kui need on kättesaadavad, kooskõlas nõukogu otsuse 2007/533/JSK artikli 20 lõike 3 punktiga f ja artikli 23 lõikega 2;</w:t>
      </w:r>
    </w:p>
    <w:p w14:paraId="40446529" w14:textId="77777777" w:rsidR="008B1655" w:rsidRPr="00AF4C3F" w:rsidRDefault="008B1655" w:rsidP="008B1655">
      <w:pPr>
        <w:pStyle w:val="Point0number"/>
      </w:pPr>
      <w:r w:rsidRPr="00AF4C3F">
        <w:t>tegema vahi alla võtmise eesmärgil sisestatud hoiatusteated lõppkasutajale kohe kättesaadavaks, ootamata ära nende kinnitamist SIRENE büroo poolt;</w:t>
      </w:r>
    </w:p>
    <w:p w14:paraId="1AE9A519" w14:textId="77777777" w:rsidR="008B1655" w:rsidRPr="00AF4C3F" w:rsidRDefault="008B1655" w:rsidP="008B1655">
      <w:pPr>
        <w:pStyle w:val="Point0number"/>
      </w:pPr>
      <w:r w:rsidRPr="00AF4C3F">
        <w:t>tegema nõukogu otsuse 2007/533/JSK artikli 36 lõike 2 ja artikli 36 lõike 3 kohaselt diskreetse kontrolli või erikontrolli eesmärgil sisestatud hoiatusteated koos meetmega „võtke viivitamata SIRENEga ühendust“ lõppkasutajale kohe kättesaadavaks, ootamata ära nende kinnitamist SIRENE büroo poolt;</w:t>
      </w:r>
    </w:p>
    <w:p w14:paraId="106F6356" w14:textId="77777777" w:rsidR="008B1655" w:rsidRPr="00AF4C3F" w:rsidRDefault="008B1655" w:rsidP="008B1655">
      <w:pPr>
        <w:pStyle w:val="Point0number"/>
      </w:pPr>
      <w:r w:rsidRPr="00AF4C3F">
        <w:lastRenderedPageBreak/>
        <w:t>arendama edasi politsei riikliku infosüsteemi rakendust, et selles saaks kuvada binaarseid andmeid, nagu fotod, ning esitada viiteid Euroopa vahistamismääruste ja sõrmejälgede olemasolule;</w:t>
      </w:r>
    </w:p>
    <w:p w14:paraId="1C429703" w14:textId="77777777" w:rsidR="008B1655" w:rsidRPr="00AF4C3F" w:rsidRDefault="008B1655" w:rsidP="008B1655">
      <w:pPr>
        <w:pStyle w:val="Point0number"/>
      </w:pPr>
      <w:r w:rsidRPr="00AF4C3F">
        <w:t>arendama edasi politsei riikliku infosüsteemi rakendust, et selles saaks kuvada laiendi „kuritarvitatud identiteet“;</w:t>
      </w:r>
    </w:p>
    <w:p w14:paraId="41A80D7B" w14:textId="77777777" w:rsidR="008B1655" w:rsidRPr="00AF4C3F" w:rsidRDefault="008B1655" w:rsidP="008B1655">
      <w:pPr>
        <w:pStyle w:val="Point0number"/>
      </w:pPr>
      <w:r w:rsidRPr="00AF4C3F">
        <w:t xml:space="preserve">täielikult sünkroniseerima politsei riiklikus infosüsteemis oleva SISi tehnilise koopia CS-SISiga, et sinna ei jääks hoiatusteateid, mille hoiatusteate esitanud liikmesriik on kustutanud; </w:t>
      </w:r>
    </w:p>
    <w:p w14:paraId="6719F4C8" w14:textId="77777777" w:rsidR="008B1655" w:rsidRPr="00AF4C3F" w:rsidRDefault="008B1655" w:rsidP="008B1655">
      <w:pPr>
        <w:pStyle w:val="Point0number"/>
      </w:pPr>
      <w:r w:rsidRPr="00AF4C3F">
        <w:t>muutma politsei riikliku infosüsteemi rakenduses varjunimega seotud andmete kuvamist nii, et isikusamasuse tuvastamise tulemuseks ei oleks püsivalt „kindlaks tehtud foto, sõrmejälgede või DNA põhjal“;</w:t>
      </w:r>
    </w:p>
    <w:p w14:paraId="69D09956" w14:textId="77777777" w:rsidR="008B1655" w:rsidRPr="00AF4C3F" w:rsidRDefault="008B1655" w:rsidP="008B1655">
      <w:pPr>
        <w:pStyle w:val="Point0number"/>
      </w:pPr>
      <w:r w:rsidRPr="00AF4C3F">
        <w:t>arendama edasi SIRENE juhtumite haldamise süsteemi (CIMS), et selles saaks alati kuvada ohvri ja identiteedi kuritarvitaja foto;</w:t>
      </w:r>
    </w:p>
    <w:p w14:paraId="02975BAD" w14:textId="77777777" w:rsidR="008B1655" w:rsidRPr="00AF4C3F" w:rsidRDefault="008B1655" w:rsidP="008B1655">
      <w:pPr>
        <w:pStyle w:val="Point0number"/>
      </w:pPr>
      <w:r w:rsidRPr="00AF4C3F">
        <w:t xml:space="preserve">tagama, et on olemas SIRENE SISi tehniline varukoopia, sest tehniline koopia on lõppkasutaja jaoks SISi biomeetriliste andmete ainus allikas; </w:t>
      </w:r>
    </w:p>
    <w:p w14:paraId="03A4B0C0" w14:textId="77777777" w:rsidR="008B1655" w:rsidRPr="00AF4C3F" w:rsidRDefault="008B1655" w:rsidP="008B1655">
      <w:pPr>
        <w:pStyle w:val="Point0number"/>
      </w:pPr>
      <w:r w:rsidRPr="00AF4C3F">
        <w:t>võtma kõik vajalikud meetmed tagamaks, et kooskõlas otsuse 2007/533/JSK artikliga 39 ja SIRENE käsiraamatu</w:t>
      </w:r>
      <w:r w:rsidRPr="00AF4C3F">
        <w:rPr>
          <w:rStyle w:val="FootnoteReference"/>
        </w:rPr>
        <w:footnoteReference w:id="14"/>
      </w:r>
      <w:r w:rsidRPr="00AF4C3F">
        <w:t xml:space="preserve"> 2. liitega peavad Ühendkuningriigi ametnikud süstemaatiliselt kinni esemed, mille suhtes kohaldatakse artiklit 38;</w:t>
      </w:r>
    </w:p>
    <w:p w14:paraId="601D725E" w14:textId="77777777" w:rsidR="008B1655" w:rsidRPr="00AF4C3F" w:rsidRDefault="008B1655" w:rsidP="008B1655">
      <w:pPr>
        <w:pStyle w:val="Point0number"/>
      </w:pPr>
      <w:r w:rsidRPr="00AF4C3F">
        <w:t xml:space="preserve">võtma meetmeid, et kooskõlas nõukogu </w:t>
      </w:r>
      <w:r w:rsidRPr="00AF4C3F">
        <w:rPr>
          <w:rStyle w:val="Strong"/>
          <w:b w:val="0"/>
        </w:rPr>
        <w:t>otsuse 2007/533/JSK</w:t>
      </w:r>
      <w:r w:rsidRPr="00AF4C3F">
        <w:t xml:space="preserve"> artiklitega 10 ja 40 ei saaks Ühendkuningriigi sadamates esimese astme kontrolli ajal arvutiekraanil kuvatavat teavet lugeda asjakohase loata isikud;</w:t>
      </w:r>
    </w:p>
    <w:p w14:paraId="64B96EF5" w14:textId="77777777" w:rsidR="008B1655" w:rsidRPr="00AF4C3F" w:rsidRDefault="008B1655" w:rsidP="008B1655">
      <w:pPr>
        <w:pStyle w:val="Point0number"/>
        <w:rPr>
          <w:rStyle w:val="Strong"/>
          <w:b w:val="0"/>
          <w:bCs w:val="0"/>
        </w:rPr>
      </w:pPr>
      <w:r w:rsidRPr="00AF4C3F">
        <w:t>kehtestama riiklikus piiriseire keskuses (</w:t>
      </w:r>
      <w:r w:rsidRPr="00AF4C3F">
        <w:rPr>
          <w:i/>
        </w:rPr>
        <w:t>National Border Targeting Centre</w:t>
      </w:r>
      <w:r w:rsidRPr="00AF4C3F">
        <w:t>) nõukogu</w:t>
      </w:r>
      <w:r w:rsidRPr="00AF4C3F">
        <w:rPr>
          <w:rStyle w:val="Strong"/>
          <w:b w:val="0"/>
        </w:rPr>
        <w:t xml:space="preserve"> otsuse 2007/533/JSK</w:t>
      </w:r>
      <w:r w:rsidRPr="00AF4C3F">
        <w:t xml:space="preserve"> artiklis 10 sätestatud turvameetmete kohaselt keerulise salasõna nõude;</w:t>
      </w:r>
    </w:p>
    <w:p w14:paraId="38E2905C" w14:textId="77777777" w:rsidR="008B1655" w:rsidRPr="00AF4C3F" w:rsidRDefault="008B1655" w:rsidP="008B1655">
      <w:pPr>
        <w:pStyle w:val="Point0number"/>
      </w:pPr>
      <w:r w:rsidRPr="00AF4C3F">
        <w:t xml:space="preserve">tagama, et kooskõlas nõukogu </w:t>
      </w:r>
      <w:r w:rsidRPr="00AF4C3F">
        <w:rPr>
          <w:rStyle w:val="Strong"/>
          <w:b w:val="0"/>
        </w:rPr>
        <w:t>otsuse 2007/533/JSK</w:t>
      </w:r>
      <w:r w:rsidRPr="00AF4C3F">
        <w:t xml:space="preserve"> artikli 9 lõikega 2, mida tõlgendatakse koostoimes artikli 46 lõikega 2 ja artikliga 40, on Ühendkuningriigi piiripunktides juurdepääs kõikidele SISi hoiatusteadete kategooriatele, eelkõige </w:t>
      </w:r>
      <w:r w:rsidR="00AF4C3F" w:rsidRPr="00AF4C3F">
        <w:t>hoiatusteadetele</w:t>
      </w:r>
      <w:r w:rsidRPr="00AF4C3F">
        <w:t xml:space="preserve"> kaotatud / varastatud / kehtetuks tunnistatud reisidokumentide kohta, ning kõikidele teatavasse kategooriasse kuuluvatele hoiatusteadetele;</w:t>
      </w:r>
    </w:p>
    <w:p w14:paraId="66C8EDB7" w14:textId="77777777" w:rsidR="008B1655" w:rsidRPr="00AF4C3F" w:rsidRDefault="008B1655" w:rsidP="008B1655">
      <w:pPr>
        <w:pStyle w:val="Point0number"/>
      </w:pPr>
      <w:r w:rsidRPr="00AF4C3F">
        <w:t>parandama SIRENE büroo poolt lõppkasutajale edastatava teabe kvaliteeti, eelkõige juhul, kui on tegemist kuritarvitatud identiteeti käsitleva teabega;</w:t>
      </w:r>
    </w:p>
    <w:p w14:paraId="45546C95" w14:textId="77777777" w:rsidR="008B1655" w:rsidRPr="00AF4C3F" w:rsidRDefault="008B1655" w:rsidP="008B1655">
      <w:pPr>
        <w:pStyle w:val="Point0number"/>
      </w:pPr>
      <w:r w:rsidRPr="00AF4C3F">
        <w:t>suurendama SIRENE büroo kaasatust SISi protsessides, nagu selge teabe edastamine lõppkasutajatele ja nende koolitamine SISiga seotud teemadel;</w:t>
      </w:r>
    </w:p>
    <w:p w14:paraId="52D66792" w14:textId="77777777" w:rsidR="008B1655" w:rsidRPr="00AF4C3F" w:rsidRDefault="008B1655" w:rsidP="008B1655">
      <w:pPr>
        <w:pStyle w:val="Point0number"/>
      </w:pPr>
      <w:r w:rsidRPr="00AF4C3F">
        <w:t>suurendama SIRENE büroo kaasatust vastastikuse hindamise programmis;</w:t>
      </w:r>
    </w:p>
    <w:p w14:paraId="065024E8" w14:textId="77777777" w:rsidR="008B1655" w:rsidRPr="00AF4C3F" w:rsidRDefault="008B1655" w:rsidP="008B1655">
      <w:pPr>
        <w:pStyle w:val="Point0number"/>
      </w:pPr>
      <w:r w:rsidRPr="00AF4C3F">
        <w:t>arendama edasi CIMS-rakendust, et see suudaks tagada igapäevase töövoo juhtimise piisava automatiseerituse, otsida ja töödelda juhtumeid, mille nimi sisaldab erimärke, ning lisada ja esile tõsta märgise „kuritarvitatud identiteet“ automaatselt;</w:t>
      </w:r>
    </w:p>
    <w:p w14:paraId="4BA49C17" w14:textId="77777777" w:rsidR="008B1655" w:rsidRPr="00AF4C3F" w:rsidRDefault="008B1655" w:rsidP="008B1655">
      <w:pPr>
        <w:pStyle w:val="Point0number"/>
      </w:pPr>
      <w:r w:rsidRPr="00AF4C3F">
        <w:lastRenderedPageBreak/>
        <w:t>võimaldama kõikidele SIRENE töötajatele spetsiaalse otsetee, et nad saaksid teha CIMS-rakenduses tööstusseadmete otsinguid;</w:t>
      </w:r>
    </w:p>
    <w:p w14:paraId="050506F6" w14:textId="77777777" w:rsidR="008B1655" w:rsidRPr="00AF4C3F" w:rsidRDefault="008B1655" w:rsidP="008B1655">
      <w:pPr>
        <w:pStyle w:val="Point0number"/>
      </w:pPr>
      <w:r w:rsidRPr="00AF4C3F">
        <w:t>arendama edasi politsei riikliku infosüsteemi rakendust, et see suudaks hoiatusteate kuvamisel eristada artikli 36 lõiget 2 artikli 36 lõikest 3, eesmärgiga muuta meede „võtke viivitamata SIRENEga ühendust“ paremini nähtavaks, avada seotud hoiatusteade otse ja tõsta esile lingid isikut käsitlevatele hoiatusteadetele;</w:t>
      </w:r>
    </w:p>
    <w:p w14:paraId="2CE8AE5C" w14:textId="77777777" w:rsidR="008B1655" w:rsidRPr="00AF4C3F" w:rsidRDefault="008B1655" w:rsidP="008B1655">
      <w:pPr>
        <w:pStyle w:val="Point0number"/>
      </w:pPr>
      <w:r w:rsidRPr="00AF4C3F">
        <w:t>arendama edasi politsei riikliku infosüsteemi rakendust ja muutma isikusamasuse tuvastamise tulemuse „kindlaks tehtud foto, sõrmejälgede või DNA põhjal“ vastendust ning viima selle vastavusse SISis kasutatava mõistega „kindlaks tehtud identiteet“;</w:t>
      </w:r>
    </w:p>
    <w:p w14:paraId="7575D297" w14:textId="77777777" w:rsidR="008B1655" w:rsidRPr="00AF4C3F" w:rsidRDefault="008B1655" w:rsidP="008B1655">
      <w:pPr>
        <w:pStyle w:val="Point0number"/>
      </w:pPr>
      <w:r w:rsidRPr="00AF4C3F">
        <w:t>parandama SISi päringutabamusest teatamise korda ja vältima viivitusi, mille põhjuseks on iga päev ja iga kell tegutsevate luureüksuste kaudu liikuv teabevoo lisakiht; eelkõige tuleks tagada, et lõppkasutajad saavad SIRENE bürooga otse ühendust võtta, kui hoiatusteate juurde on märgitud meede „võtke viivitamata SIRENEga ühendust“;</w:t>
      </w:r>
    </w:p>
    <w:p w14:paraId="441CDC86" w14:textId="77777777" w:rsidR="008B1655" w:rsidRPr="00AF4C3F" w:rsidRDefault="008B1655" w:rsidP="008B1655">
      <w:pPr>
        <w:pStyle w:val="Point0number"/>
      </w:pPr>
      <w:r w:rsidRPr="00AF4C3F">
        <w:t>pakkuma lõppkasutajatele rohkem koolitust kuritarvitatud identiteedi, linkimisfunktsioonide, SIRENE büroolt piltide ja muu binaarse teabe saamise võimaluste, SISi uute meetmete, nagu „võtke viivitamata SIRENEga ühendust“, ning kehtetuks tunnistatud dokumentide kohta.</w:t>
      </w:r>
    </w:p>
    <w:p w14:paraId="2244C94A" w14:textId="77777777" w:rsidR="008B1655" w:rsidRPr="00AF4C3F" w:rsidRDefault="008B1655" w:rsidP="008B1655">
      <w:pPr>
        <w:widowControl w:val="0"/>
        <w:spacing w:before="0" w:after="0"/>
        <w:ind w:left="720"/>
      </w:pPr>
    </w:p>
    <w:p w14:paraId="43EACFBC" w14:textId="77777777" w:rsidR="008B1655" w:rsidRPr="00AF4C3F" w:rsidRDefault="008B1655" w:rsidP="008B1655">
      <w:pPr>
        <w:pStyle w:val="ListParagraph"/>
        <w:jc w:val="both"/>
      </w:pPr>
    </w:p>
    <w:p w14:paraId="22302D73" w14:textId="3E011874" w:rsidR="008B1655" w:rsidRPr="00AF4C3F" w:rsidRDefault="00107C15" w:rsidP="00107C15">
      <w:pPr>
        <w:pStyle w:val="Fait"/>
      </w:pPr>
      <w:r w:rsidRPr="00107C15">
        <w:t>Brüssel,</w:t>
      </w:r>
    </w:p>
    <w:p w14:paraId="2D4C5990" w14:textId="77777777" w:rsidR="008B1655" w:rsidRPr="00AF4C3F" w:rsidRDefault="008B1655" w:rsidP="008B1655">
      <w:pPr>
        <w:pStyle w:val="Institutionquisigne"/>
      </w:pPr>
      <w:r w:rsidRPr="00AF4C3F">
        <w:tab/>
        <w:t>Nõukogu nimel</w:t>
      </w:r>
    </w:p>
    <w:p w14:paraId="6514B969" w14:textId="77777777" w:rsidR="00ED4DC3" w:rsidRPr="00AF4C3F" w:rsidRDefault="008B1655" w:rsidP="008B1655">
      <w:pPr>
        <w:pStyle w:val="Personnequisigne"/>
      </w:pPr>
      <w:r w:rsidRPr="00AF4C3F">
        <w:tab/>
        <w:t>eesistuja</w:t>
      </w:r>
    </w:p>
    <w:sectPr w:rsidR="00ED4DC3" w:rsidRPr="00AF4C3F" w:rsidSect="00107C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9723" w14:textId="77777777" w:rsidR="00AF4C3F" w:rsidRDefault="00AF4C3F" w:rsidP="00ED4DC3">
      <w:pPr>
        <w:spacing w:before="0" w:after="0"/>
      </w:pPr>
      <w:r>
        <w:separator/>
      </w:r>
    </w:p>
  </w:endnote>
  <w:endnote w:type="continuationSeparator" w:id="0">
    <w:p w14:paraId="2CAB00D9" w14:textId="77777777" w:rsidR="00AF4C3F" w:rsidRDefault="00AF4C3F" w:rsidP="00ED4D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0E7F" w14:textId="77777777" w:rsidR="00107C15" w:rsidRDefault="00107C15" w:rsidP="00107C15">
    <w:pPr>
      <w:pStyle w:val="Footer"/>
      <w:rPr>
        <w:rFonts w:ascii="Arial" w:hAnsi="Arial" w:cs="Arial"/>
        <w:b/>
        <w:sz w:val="48"/>
      </w:rPr>
    </w:pPr>
    <w:r w:rsidRPr="00107C15">
      <w:rPr>
        <w:rFonts w:ascii="Arial" w:hAnsi="Arial" w:cs="Arial"/>
        <w:b/>
        <w:sz w:val="48"/>
      </w:rPr>
      <w:t>ET</w:t>
    </w:r>
    <w:r w:rsidRPr="00107C15">
      <w:rPr>
        <w:rFonts w:ascii="Arial" w:hAnsi="Arial" w:cs="Arial"/>
        <w:b/>
        <w:sz w:val="48"/>
      </w:rPr>
      <w:tab/>
    </w:r>
    <w:r w:rsidRPr="00107C15">
      <w:rPr>
        <w:rFonts w:ascii="Arial" w:hAnsi="Arial" w:cs="Arial"/>
        <w:b/>
        <w:sz w:val="48"/>
      </w:rPr>
      <w:tab/>
    </w:r>
    <w:r w:rsidRPr="00107C15">
      <w:tab/>
    </w:r>
    <w:r w:rsidRPr="00107C15">
      <w:rPr>
        <w:rFonts w:ascii="Arial" w:hAnsi="Arial" w:cs="Arial"/>
        <w:b/>
        <w:sz w:val="48"/>
      </w:rPr>
      <w:t>ET</w:t>
    </w:r>
  </w:p>
  <w:p w14:paraId="4AFE8BAD" w14:textId="7DC0B3F7" w:rsidR="00107C15" w:rsidRPr="00107C15" w:rsidRDefault="00107C15" w:rsidP="00107C15">
    <w:pPr>
      <w:pStyle w:val="FooterSensitivity"/>
    </w:pPr>
    <w:fldSimple w:instr=" DOCVARIABLE &quot;LW_SENSITIVITY_FOOTER&quot; \* MERGEFORMAT ">
      <w:r w:rsidRPr="00107C15">
        <w:rPr>
          <w:dstrike/>
        </w:rPr>
        <w:t>RESTREINT UE/EU RESTRICTED</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ADBD" w14:textId="77777777" w:rsidR="00107C15" w:rsidRDefault="00107C15" w:rsidP="00107C15">
    <w:pPr>
      <w:pStyle w:val="Footer"/>
      <w:rPr>
        <w:rFonts w:ascii="Arial" w:hAnsi="Arial" w:cs="Arial"/>
        <w:b/>
        <w:sz w:val="48"/>
      </w:rPr>
    </w:pPr>
    <w:r w:rsidRPr="00107C15">
      <w:rPr>
        <w:rFonts w:ascii="Arial" w:hAnsi="Arial" w:cs="Arial"/>
        <w:b/>
        <w:sz w:val="48"/>
      </w:rPr>
      <w:t>ET</w:t>
    </w:r>
    <w:r w:rsidRPr="00107C15">
      <w:rPr>
        <w:rFonts w:ascii="Arial" w:hAnsi="Arial" w:cs="Arial"/>
        <w:b/>
        <w:sz w:val="48"/>
      </w:rPr>
      <w:tab/>
    </w:r>
    <w:r w:rsidRPr="00107C15">
      <w:rPr>
        <w:rFonts w:ascii="Arial" w:hAnsi="Arial" w:cs="Arial"/>
        <w:b/>
        <w:sz w:val="48"/>
      </w:rPr>
      <w:tab/>
    </w:r>
    <w:r w:rsidRPr="00107C15">
      <w:tab/>
    </w:r>
    <w:r w:rsidRPr="00107C15">
      <w:rPr>
        <w:rFonts w:ascii="Arial" w:hAnsi="Arial" w:cs="Arial"/>
        <w:b/>
        <w:sz w:val="48"/>
      </w:rPr>
      <w:t>ET</w:t>
    </w:r>
  </w:p>
  <w:p w14:paraId="18C4A4ED" w14:textId="2F08B0CD" w:rsidR="00A74ED5" w:rsidRPr="00107C15" w:rsidRDefault="00107C15" w:rsidP="00107C15">
    <w:pPr>
      <w:pStyle w:val="FooterSensitivity"/>
    </w:pPr>
    <w:fldSimple w:instr=" DOCVARIABLE &quot;LW_SENSITIVITY_FOOTER&quot; \* MERGEFORMAT ">
      <w:r w:rsidRPr="00107C15">
        <w:rPr>
          <w:dstrike/>
        </w:rPr>
        <w:t>RESTREINT UE/EU RESTRICTED</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93B4" w14:textId="77777777" w:rsidR="00107C15" w:rsidRPr="00107C15" w:rsidRDefault="00107C15" w:rsidP="00107C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1DDC" w14:textId="77777777" w:rsidR="00107C15" w:rsidRDefault="00107C15" w:rsidP="00107C15">
    <w:pPr>
      <w:pStyle w:val="Footer"/>
      <w:rPr>
        <w:rFonts w:ascii="Arial" w:hAnsi="Arial" w:cs="Arial"/>
        <w:b/>
        <w:sz w:val="48"/>
      </w:rPr>
    </w:pPr>
    <w:r w:rsidRPr="00107C15">
      <w:rPr>
        <w:rFonts w:ascii="Arial" w:hAnsi="Arial" w:cs="Arial"/>
        <w:b/>
        <w:sz w:val="48"/>
      </w:rPr>
      <w:t>ET</w:t>
    </w:r>
    <w:r w:rsidRPr="00107C15">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rsidRPr="00107C15">
      <w:tab/>
    </w:r>
    <w:r w:rsidRPr="00107C15">
      <w:rPr>
        <w:rFonts w:ascii="Arial" w:hAnsi="Arial" w:cs="Arial"/>
        <w:b/>
        <w:sz w:val="48"/>
      </w:rPr>
      <w:t>ET</w:t>
    </w:r>
  </w:p>
  <w:p w14:paraId="314865F5" w14:textId="190475FD" w:rsidR="00A74ED5" w:rsidRPr="00107C15" w:rsidRDefault="00107C15" w:rsidP="00107C15">
    <w:pPr>
      <w:pStyle w:val="FooterSensitivity"/>
    </w:pPr>
    <w:fldSimple w:instr=" DOCVARIABLE &quot;LW_SENSITIVITY_FOOTER&quot; \* MERGEFORMAT ">
      <w:r w:rsidRPr="00107C15">
        <w:rPr>
          <w:dstrike/>
        </w:rPr>
        <w:t>RESTREINT UE/EU RESTRICTED</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9D49" w14:textId="77777777" w:rsidR="00107C15" w:rsidRPr="00107C15" w:rsidRDefault="00107C15" w:rsidP="00107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45E51" w14:textId="77777777" w:rsidR="00AF4C3F" w:rsidRDefault="00AF4C3F" w:rsidP="00ED4DC3">
      <w:pPr>
        <w:spacing w:before="0" w:after="0"/>
      </w:pPr>
      <w:r>
        <w:separator/>
      </w:r>
    </w:p>
  </w:footnote>
  <w:footnote w:type="continuationSeparator" w:id="0">
    <w:p w14:paraId="275503DE" w14:textId="77777777" w:rsidR="00AF4C3F" w:rsidRDefault="00AF4C3F" w:rsidP="00ED4DC3">
      <w:pPr>
        <w:spacing w:before="0" w:after="0"/>
      </w:pPr>
      <w:r>
        <w:continuationSeparator/>
      </w:r>
    </w:p>
  </w:footnote>
  <w:footnote w:id="1">
    <w:p w14:paraId="602161FA" w14:textId="77777777" w:rsidR="00AF4C3F" w:rsidRDefault="00AF4C3F" w:rsidP="008B1655">
      <w:pPr>
        <w:pStyle w:val="FootnoteText"/>
      </w:pPr>
      <w:r>
        <w:rPr>
          <w:rStyle w:val="FootnoteReference"/>
        </w:rPr>
        <w:footnoteRef/>
      </w:r>
      <w:r>
        <w:tab/>
        <w:t>ELT L 36, 12.2.2015, lk 8.</w:t>
      </w:r>
    </w:p>
  </w:footnote>
  <w:footnote w:id="2">
    <w:p w14:paraId="7BB89E24" w14:textId="77777777" w:rsidR="00AF4C3F" w:rsidRDefault="00AF4C3F" w:rsidP="008B1655">
      <w:pPr>
        <w:pStyle w:val="FootnoteText"/>
        <w:ind w:left="740"/>
      </w:pPr>
      <w:r>
        <w:rPr>
          <w:rStyle w:val="FootnoteReference"/>
        </w:rPr>
        <w:footnoteRef/>
      </w:r>
      <w:r>
        <w:tab/>
        <w:t xml:space="preserve">Nõukogu järeldused Schengeni </w:t>
      </w:r>
      <w:r>
        <w:rPr>
          <w:i/>
        </w:rPr>
        <w:t>acquis</w:t>
      </w:r>
      <w:r w:rsidR="00542081">
        <w:t>’</w:t>
      </w:r>
      <w:r>
        <w:t xml:space="preserve"> nõuetekohase kohaldamise kohta politseikoostöö valdkonnas ja Schengeni infosüsteemi käsitlevate Schengeni </w:t>
      </w:r>
      <w:r>
        <w:rPr>
          <w:i/>
        </w:rPr>
        <w:t>acquis</w:t>
      </w:r>
      <w:r w:rsidR="00542081">
        <w:t>’</w:t>
      </w:r>
      <w:r>
        <w:t xml:space="preserve"> asjaomaste sätete rakendamiseks valmisoleku hindamismenetluse lõpuleviimise kohta (dokument nr 13378/1/15 REV 1 SCH-EVAL 41 SIRIS 75 COMIX 516 EU RESTRICTED). Vastu võetud 3.–4. detsembril 2015.</w:t>
      </w:r>
    </w:p>
  </w:footnote>
  <w:footnote w:id="3">
    <w:p w14:paraId="7497C19D" w14:textId="77777777" w:rsidR="00AF4C3F" w:rsidRDefault="00AF4C3F" w:rsidP="008B1655">
      <w:pPr>
        <w:pStyle w:val="FootnoteText"/>
      </w:pPr>
      <w:r>
        <w:rPr>
          <w:rStyle w:val="FootnoteReference"/>
        </w:rPr>
        <w:footnoteRef/>
      </w:r>
      <w:r>
        <w:tab/>
        <w:t xml:space="preserve">Sealsamas, punkt 11. </w:t>
      </w:r>
    </w:p>
  </w:footnote>
  <w:footnote w:id="4">
    <w:p w14:paraId="7CEB8BA8" w14:textId="77777777" w:rsidR="00AF4C3F" w:rsidRDefault="00AF4C3F" w:rsidP="008B1655">
      <w:pPr>
        <w:pStyle w:val="FootnoteText"/>
      </w:pPr>
      <w:r>
        <w:rPr>
          <w:rStyle w:val="FootnoteReference"/>
        </w:rPr>
        <w:footnoteRef/>
      </w:r>
      <w:r>
        <w:tab/>
        <w:t>ELT L 295, 6.11.2013, lk 27.</w:t>
      </w:r>
    </w:p>
  </w:footnote>
  <w:footnote w:id="5">
    <w:p w14:paraId="7359B453" w14:textId="77777777" w:rsidR="00AF4C3F" w:rsidRPr="00781768" w:rsidRDefault="00AF4C3F" w:rsidP="008B1655">
      <w:pPr>
        <w:pStyle w:val="FootnoteText"/>
      </w:pPr>
      <w:r>
        <w:rPr>
          <w:rStyle w:val="FootnoteReference"/>
        </w:rPr>
        <w:footnoteRef/>
      </w:r>
      <w:r>
        <w:tab/>
        <w:t xml:space="preserve">Komisjoni 21. novembri 2016. aasta rakendusotsus C(2016) 7387, millega kehtestatakse 2017. aastaks iga-aastase hindamisprogrammi esimene osa vastavalt nõukogu 7. oktoobri 2013. aasta määruse (EL) nr 1053/2013 (millega kehtestatakse hindamis- ja järelevalvemehhanism Schengeni </w:t>
      </w:r>
      <w:r>
        <w:rPr>
          <w:i/>
        </w:rPr>
        <w:t>acquis</w:t>
      </w:r>
      <w:r w:rsidR="00542081">
        <w:t>’</w:t>
      </w:r>
      <w:r>
        <w:t xml:space="preserve"> kohaldamise kontrollimiseks) artiklile 6.</w:t>
      </w:r>
    </w:p>
  </w:footnote>
  <w:footnote w:id="6">
    <w:p w14:paraId="5367BD93" w14:textId="77777777" w:rsidR="00AF4C3F" w:rsidRPr="00C368B0" w:rsidRDefault="00AF4C3F" w:rsidP="008B1655">
      <w:pPr>
        <w:pStyle w:val="FootnoteText"/>
      </w:pPr>
      <w:r>
        <w:rPr>
          <w:rStyle w:val="FootnoteReference"/>
        </w:rPr>
        <w:footnoteRef/>
      </w:r>
      <w:r>
        <w:tab/>
        <w:t>C(2018) 2250.</w:t>
      </w:r>
    </w:p>
  </w:footnote>
  <w:footnote w:id="7">
    <w:p w14:paraId="4DE0A01F" w14:textId="77777777" w:rsidR="00AF4C3F" w:rsidRPr="00107C15" w:rsidRDefault="00AF4C3F" w:rsidP="008B1655">
      <w:pPr>
        <w:pStyle w:val="FootnoteText"/>
      </w:pPr>
      <w:r>
        <w:rPr>
          <w:rStyle w:val="FootnoteReference"/>
        </w:rPr>
        <w:footnoteRef/>
      </w:r>
      <w:r>
        <w:tab/>
        <w:t>Euroopa Ülemkogu 29. oktoobri 2019. aasta otsus (EL) 2019/1810, tehtud kokkuleppel Ühendkuningriigiga, millega pikendatakse ELi lepingu artikli 50 lõike 3 kohast tähtaega (ELT L 278I, 30.10.2019, lk 1).</w:t>
      </w:r>
    </w:p>
  </w:footnote>
  <w:footnote w:id="8">
    <w:p w14:paraId="3D6B986F" w14:textId="77777777" w:rsidR="00AF4C3F" w:rsidRPr="00107C15" w:rsidRDefault="00AF4C3F" w:rsidP="008B1655">
      <w:pPr>
        <w:pStyle w:val="FootnoteText"/>
      </w:pPr>
      <w:r>
        <w:rPr>
          <w:rStyle w:val="FootnoteReference"/>
        </w:rPr>
        <w:footnoteRef/>
      </w:r>
      <w:r>
        <w:tab/>
        <w:t>Nõukogu 11. jaanuari 2019. aasta otsus (EL) 2019/274 Suurbritannia ja Põhja-Iiri Ühendkuningriigi Euroopa Liidust ja Euroopa Aatomienergiaühendusest väljaastumise lepingu Euroopa Liidu ja Euroopa Aatomienergiaühenduse nimel allkirjastamise kohta (ELT L 47 I, 19.2.2019, lk 1).</w:t>
      </w:r>
    </w:p>
  </w:footnote>
  <w:footnote w:id="9">
    <w:p w14:paraId="63C3A5A0" w14:textId="77777777" w:rsidR="00AF4C3F" w:rsidRDefault="00AF4C3F" w:rsidP="008B1655">
      <w:pPr>
        <w:pStyle w:val="FootnoteText"/>
      </w:pPr>
      <w:r>
        <w:rPr>
          <w:rStyle w:val="FootnoteReference"/>
        </w:rPr>
        <w:footnoteRef/>
      </w:r>
      <w:r>
        <w:tab/>
        <w:t>Nõukogu 21. oktoobri 2019. aasta otsus (EL) 2019/274, millega muudetakse nõukogu otsust (EL) 2019/274 Suurbritannia ja Põhja-Iiri Ühendkuningriigi Euroopa Liidust ja Euroopa Aatomienergiaühendusest väljaastumise lepingu Euroopa Liidu ja Euroopa Aatomienergiaühenduse nimel allkirjastamise kohta (ELT L 274 I, 28.10.2019, lk 1).</w:t>
      </w:r>
    </w:p>
  </w:footnote>
  <w:footnote w:id="10">
    <w:p w14:paraId="63B5DA04" w14:textId="77777777" w:rsidR="00AF4C3F" w:rsidRPr="00107C15" w:rsidRDefault="00AF4C3F" w:rsidP="008B1655">
      <w:pPr>
        <w:pStyle w:val="FootnoteText"/>
      </w:pPr>
      <w:r>
        <w:rPr>
          <w:rStyle w:val="FootnoteReference"/>
        </w:rPr>
        <w:footnoteRef/>
      </w:r>
      <w:r>
        <w:tab/>
        <w:t>Suurbritannia ja Põhja-Iiri Ühendkuningriigi Euroopa Liidust ja Euroopa Aatomienergiaühendusest väljaastumise leping (ELT C 384 I 12.11.2019, lk 1).</w:t>
      </w:r>
    </w:p>
  </w:footnote>
  <w:footnote w:id="11">
    <w:p w14:paraId="5279C510" w14:textId="77777777" w:rsidR="00AF4C3F" w:rsidRDefault="00AF4C3F" w:rsidP="008B1655">
      <w:pPr>
        <w:pStyle w:val="FootnoteText"/>
      </w:pPr>
      <w:r>
        <w:rPr>
          <w:rStyle w:val="FootnoteReference"/>
        </w:rPr>
        <w:footnoteRef/>
      </w:r>
      <w:r>
        <w:tab/>
        <w:t>ELT L 295, 6.11.2013, lk 27.</w:t>
      </w:r>
    </w:p>
  </w:footnote>
  <w:footnote w:id="12">
    <w:p w14:paraId="2489C916" w14:textId="77777777" w:rsidR="00AF4C3F" w:rsidRPr="00107C15" w:rsidRDefault="00AF4C3F" w:rsidP="008B1655">
      <w:pPr>
        <w:pStyle w:val="FootnoteText"/>
      </w:pPr>
      <w:r>
        <w:rPr>
          <w:rStyle w:val="FootnoteReference"/>
        </w:rPr>
        <w:footnoteRef/>
      </w:r>
      <w:r>
        <w:tab/>
        <w:t>Euroopa Ülemkogu 29. oktoobri 2019. aasta otsus (EL) 2019/1810, tehtud kokkuleppel Ühendkuningriigiga, millega pikendatakse ELi lepingu artikli 50 lõike 3 kohast tähtaega (ELT L 278I, 30.10.2019, lk 1).</w:t>
      </w:r>
    </w:p>
  </w:footnote>
  <w:footnote w:id="13">
    <w:p w14:paraId="54F41567" w14:textId="77777777" w:rsidR="00AF4C3F" w:rsidRPr="00C017F4" w:rsidRDefault="00AF4C3F" w:rsidP="008B1655">
      <w:pPr>
        <w:pStyle w:val="FootnoteText"/>
      </w:pPr>
      <w:r>
        <w:rPr>
          <w:rStyle w:val="FootnoteReference"/>
        </w:rPr>
        <w:footnoteRef/>
      </w:r>
      <w:r>
        <w:tab/>
        <w:t>Nõukogu 12. juuni 2007. aasta otsus 2007/533/JSK, mis käsitleb teise põlvkonna Schengeni infosüsteemi (SIS II) loomist, toimimist ja kasutamist (ELT L 205, 7.8.2007, lk 63).</w:t>
      </w:r>
    </w:p>
  </w:footnote>
  <w:footnote w:id="14">
    <w:p w14:paraId="32E5E40A" w14:textId="77777777" w:rsidR="00AF4C3F" w:rsidRDefault="00AF4C3F" w:rsidP="008B1655">
      <w:pPr>
        <w:pStyle w:val="FootnoteText"/>
      </w:pPr>
      <w:r>
        <w:rPr>
          <w:rStyle w:val="FootnoteReference"/>
        </w:rPr>
        <w:footnoteRef/>
      </w:r>
      <w:r>
        <w:tab/>
        <w:t>Komisjoni 31. augusti 2017. aasta rakendusotsus (EL) 2017/1528, millega asendatakse rakendusotsuse 2013/115/EL (milles käsitletakse teise põlvkonna Schengeni infosüsteemi (SIS II) SIRENE käsiraamatut ja muid rakendusmeetmeid) lisa (teatavaks tehtud numbri C(2017) 5893 all) (ELT L 231, 7.9.2017, lk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FA48" w14:textId="57CA5037" w:rsidR="00107C15" w:rsidRPr="00107C15" w:rsidRDefault="00107C15" w:rsidP="00107C15">
    <w:pPr>
      <w:pStyle w:val="HeaderSensitivity"/>
    </w:pPr>
    <w:fldSimple w:instr=" DOCVARIABLE &quot;LW_SENSITIVITY_HEADER&quot; \* MERGEFORMAT ">
      <w:r w:rsidRPr="00107C15">
        <w:rPr>
          <w:dstrike/>
        </w:rPr>
        <w:t>RESTREINT UE/EU RESTRICTED</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DB0C" w14:textId="3A946929" w:rsidR="00A74ED5" w:rsidRPr="00107C15" w:rsidRDefault="00107C15" w:rsidP="00107C15">
    <w:pPr>
      <w:pStyle w:val="HeaderSensitivity"/>
    </w:pPr>
    <w:fldSimple w:instr=" DOCVARIABLE &quot;LW_SENSITIVITY_HEADER&quot; \* MERGEFORMAT ">
      <w:r w:rsidRPr="00107C15">
        <w:rPr>
          <w:dstrike/>
        </w:rPr>
        <w:t>RESTREINT UE/EU RESTRICTED</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32E4" w14:textId="77777777" w:rsidR="00107C15" w:rsidRPr="00107C15" w:rsidRDefault="00107C15" w:rsidP="00107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F5492E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CDC0F3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2BCFA9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C0EC5B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FCCEE6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876AA7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144B9D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AA0709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380472554">
    <w:abstractNumId w:val="22"/>
    <w:lvlOverride w:ilvl="0">
      <w:startOverride w:val="1"/>
    </w:lvlOverride>
  </w:num>
  <w:num w:numId="2" w16cid:durableId="8776619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482626">
    <w:abstractNumId w:val="7"/>
  </w:num>
  <w:num w:numId="4" w16cid:durableId="164177001">
    <w:abstractNumId w:val="5"/>
  </w:num>
  <w:num w:numId="5" w16cid:durableId="1208227134">
    <w:abstractNumId w:val="4"/>
  </w:num>
  <w:num w:numId="6" w16cid:durableId="687759580">
    <w:abstractNumId w:val="3"/>
  </w:num>
  <w:num w:numId="7" w16cid:durableId="1223830135">
    <w:abstractNumId w:val="6"/>
  </w:num>
  <w:num w:numId="8" w16cid:durableId="2123844162">
    <w:abstractNumId w:val="2"/>
  </w:num>
  <w:num w:numId="9" w16cid:durableId="1307274072">
    <w:abstractNumId w:val="1"/>
  </w:num>
  <w:num w:numId="10" w16cid:durableId="2115323472">
    <w:abstractNumId w:val="0"/>
  </w:num>
  <w:num w:numId="11" w16cid:durableId="154761521">
    <w:abstractNumId w:val="19"/>
  </w:num>
  <w:num w:numId="12" w16cid:durableId="321934768">
    <w:abstractNumId w:val="12"/>
  </w:num>
  <w:num w:numId="13" w16cid:durableId="438255276">
    <w:abstractNumId w:val="21"/>
  </w:num>
  <w:num w:numId="14" w16cid:durableId="1866357425">
    <w:abstractNumId w:val="11"/>
  </w:num>
  <w:num w:numId="15" w16cid:durableId="1686206568">
    <w:abstractNumId w:val="13"/>
  </w:num>
  <w:num w:numId="16" w16cid:durableId="1620598958">
    <w:abstractNumId w:val="9"/>
  </w:num>
  <w:num w:numId="17" w16cid:durableId="655304571">
    <w:abstractNumId w:val="20"/>
  </w:num>
  <w:num w:numId="18" w16cid:durableId="98917714">
    <w:abstractNumId w:val="8"/>
  </w:num>
  <w:num w:numId="19" w16cid:durableId="1965115800">
    <w:abstractNumId w:val="15"/>
  </w:num>
  <w:num w:numId="20" w16cid:durableId="400979270">
    <w:abstractNumId w:val="17"/>
  </w:num>
  <w:num w:numId="21" w16cid:durableId="1562523589">
    <w:abstractNumId w:val="18"/>
  </w:num>
  <w:num w:numId="22" w16cid:durableId="1829399157">
    <w:abstractNumId w:val="10"/>
  </w:num>
  <w:num w:numId="23" w16cid:durableId="851457796">
    <w:abstractNumId w:val="16"/>
  </w:num>
  <w:num w:numId="24" w16cid:durableId="546990871">
    <w:abstractNumId w:val="22"/>
  </w:num>
  <w:num w:numId="25" w16cid:durableId="2142647964">
    <w:abstractNumId w:val="20"/>
  </w:num>
  <w:num w:numId="26" w16cid:durableId="1278175996">
    <w:abstractNumId w:val="20"/>
  </w:num>
  <w:num w:numId="27" w16cid:durableId="352850964">
    <w:abstractNumId w:val="20"/>
  </w:num>
  <w:num w:numId="28" w16cid:durableId="2005667343">
    <w:abstractNumId w:val="14"/>
  </w:num>
  <w:num w:numId="29" w16cid:durableId="82923911">
    <w:abstractNumId w:val="9"/>
  </w:num>
  <w:num w:numId="30" w16cid:durableId="1973752961">
    <w:abstractNumId w:val="9"/>
  </w:num>
  <w:num w:numId="31" w16cid:durableId="147910371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isplayBackgroundShape/>
  <w:attachedTemplate r:id="rId1"/>
  <w:doNotTrackMoves/>
  <w:defaultTabStop w:val="720"/>
  <w:characterSpacingControl w:val="doNotCompress"/>
  <w:hdrShapeDefaults>
    <o:shapedefaults v:ext="edit" spidmax="2867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DQCDateTime" w:val="2020-01-15 11:33:2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1"/>
    <w:docVar w:name="DQCStatus" w:val="Yellow"/>
    <w:docVar w:name="DQCVersion" w:val="3"/>
    <w:docVar w:name="DQCWithWarnings" w:val="0"/>
    <w:docVar w:name="LW_CORRIGENDUM" w:val="&lt;UNUSED&gt;"/>
    <w:docVar w:name="LW_COVERPAGE_EXISTS" w:val="True"/>
    <w:docVar w:name="LW_COVERPAGE_GUID" w:val="D4800A44-E003-458E-B56F-5F55836E1386"/>
    <w:docVar w:name="LW_COVERPAGE_TYPE" w:val="1"/>
    <w:docVar w:name="LW_CROSSREFERENCE" w:val="&lt;UNUSED&gt;"/>
    <w:docVar w:name="LW_DocType" w:val="COM"/>
    <w:docVar w:name="LW_EMISSION" w:val="27.1.2020"/>
    <w:docVar w:name="LW_EMISSION_ISODATE" w:val="2020-01-27"/>
    <w:docVar w:name="LW_EMISSION_LOCATION" w:val="BRX"/>
    <w:docVar w:name="LW_EMISSION_PREFIX" w:val="Brüssel,"/>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ET"/>
    <w:docVar w:name="LW_LEVEL_OF_SENSITIVITY" w:val="EU RESTRICTED"/>
    <w:docVar w:name="LW_NOM.INST" w:val="EUROOPA KOMISJON"/>
    <w:docVar w:name="LW_NOM.INST_JOINTDOC" w:val="&lt;EMPTY&gt;"/>
    <w:docVar w:name="LW_PART_NBR" w:val="1"/>
    <w:docVar w:name="LW_PART_NBR_TOTAL" w:val="1"/>
    <w:docVar w:name="LW_REF.II.NEW.CP" w:val="NLE"/>
    <w:docVar w:name="LW_REF.II.NEW.CP_NUMBER" w:val="10"/>
    <w:docVar w:name="LW_REF.II.NEW.CP_YEAR" w:val="2020"/>
    <w:docVar w:name="LW_REF.INST.NEW" w:val="COM"/>
    <w:docVar w:name="LW_REF.INST.NEW_ADOPTED" w:val="final"/>
    <w:docVar w:name="LW_REF.INST.NEW_TEXT" w:val="(2019) 46"/>
    <w:docVar w:name="LW_REF.INTERNE" w:val="&lt;UNUSED&gt;"/>
    <w:docVar w:name="LW_SENSITIVITY" w:val="&lt;?xml version=&quot;1.0&quot; encoding=&quot;utf-8&quot;?&gt;_x000d__x000a_&lt;SensitivityLevel xmlns:xsd=&quot;http://www.w3.org/2001/XMLSchema&quot; xmlns:xsi=&quot;http://www.w3.org/2001/XMLSchema-instance&quot; id=&quot;eurestricted&quot;&gt;_x000d__x000a_  &lt;nicename EN=&quot;RESTREINT UE/EU RESTRICTED&quot; FR=&quot;RESTREINT UE/EU RESTRICTED&quot; /&gt;_x000d__x000a_  &lt;documentProperty&gt;EU RESTRICTED&lt;/documentProperty&gt;_x000d__x000a_  &lt;markingConfig isAvailable=&quot;true&quot; isMandatory=&quot;false&quot; sensitiveMarkingMandatory=&quot;false&quot; specialMarkingMandatory=&quot;true&quot; isOptionDisplayInHeaderAvailable=&quot;fals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true&quot; institutionListSee=&quot;DefaultInstitutions&quot; /&gt;_x000d__x000a_  &lt;chosenReleasableTo xsi:nil=&quot;true&quot; /&gt;_x000d__x000a_  &lt;detached xsi:nil=&quot;true&quot; /&gt;_x000d__x000a_  &lt;declassify restrictedToSg=&quot;false&quot; showOnDocCreation=&quot;false&quot; introSee=&quot;DeclassIntro&quot;&gt;_x000d__x000a_    &lt;declassificationIntroText&gt;This document was downgraded/declassified&lt;/declassificationIntroText&gt;_x000d__x000a_    &lt;dateLabel&gt;Date&lt;/dateLabel&gt;_x000d__x000a_    &lt;date&gt;2023-04-18&lt;/date&gt;_x000d__x000a_    &lt;byLabel&gt;By&lt;/byLabel&gt;_x000d__x000a_    &lt;by&gt;OEL Matthias&lt;/by&gt;_x000d__x000a_    &lt;authority&gt;HOME.B&lt;/authority&gt;_x000d__x000a_    &lt;authorityLabel&gt;Authority&lt;/authorityLabel&gt;_x000d__x000a_  &lt;/declassify&gt;_x000d__x000a_  &lt;headerTexts see=&quot;EuRestricted&quot; alignRight=&quot;false&quot; onCoverPage=&quot;true&quot;&gt;_x000d__x000a_    &lt;currentText&gt;RESTREINT UE/EU RESTRICTED&lt;/currentText&gt;_x000d__x000a_  &lt;/headerTexts&gt;_x000d__x000a_  &lt;footerTexts see=&quot;EuRestricted&quot;&gt;_x000d__x000a_    &lt;currentText&gt;RESTREINT UE/EU RESTRICTED&lt;/currentText&gt;_x000d__x000a_  &lt;/footerTexts&gt;_x000d__x000a_  &lt;isRestricted&gt;true&lt;/isRestricted&gt;_x000d__x000a_&lt;/SensitivityLevel&gt;"/>
    <w:docVar w:name="LW_SENSITIVITY_FOOTER" w:val="RESTREINT UE/EU RESTRICTED"/>
    <w:docVar w:name="LW_SENSITIVITY_HEADER" w:val="RESTREINT UE/EU RESTRICTED"/>
    <w:docVar w:name="LW_STATUT.CP" w:val="Ettepanek:"/>
    <w:docVar w:name="LW_SUPERTITRE" w:val="&lt;UNUSED&gt;"/>
    <w:docVar w:name="LW_TITRE.OBJ.CP" w:val="millega esitatakse soovitus, mis käsitleb 2017. aastal Ühendkuningriigis Schengeni infosüsteemi valdkonnas Schengeni &lt;FMT:Italic&gt;acquis&lt;/FMT&gt;\u8217? kohaldamise hindamise käigus leitud tõsiste puuduste kõrvaldamist"/>
    <w:docVar w:name="LW_TYPE.DOC.CP" w:val="NÕUKOGU RAKENDUSOTSUS,"/>
  </w:docVars>
  <w:rsids>
    <w:rsidRoot w:val="00ED4DC3"/>
    <w:rsid w:val="000D3B73"/>
    <w:rsid w:val="00107C15"/>
    <w:rsid w:val="001459CB"/>
    <w:rsid w:val="00171635"/>
    <w:rsid w:val="00254144"/>
    <w:rsid w:val="002C67EF"/>
    <w:rsid w:val="0034445E"/>
    <w:rsid w:val="003C33DE"/>
    <w:rsid w:val="003D7D76"/>
    <w:rsid w:val="003F3AE8"/>
    <w:rsid w:val="00410755"/>
    <w:rsid w:val="00497A39"/>
    <w:rsid w:val="004F3C4D"/>
    <w:rsid w:val="00506B71"/>
    <w:rsid w:val="0051363E"/>
    <w:rsid w:val="00542081"/>
    <w:rsid w:val="0058211F"/>
    <w:rsid w:val="00673264"/>
    <w:rsid w:val="00715D61"/>
    <w:rsid w:val="00771E85"/>
    <w:rsid w:val="00791B3C"/>
    <w:rsid w:val="007D53B6"/>
    <w:rsid w:val="00835B24"/>
    <w:rsid w:val="00854A50"/>
    <w:rsid w:val="008728D6"/>
    <w:rsid w:val="008B1655"/>
    <w:rsid w:val="008F41BD"/>
    <w:rsid w:val="009E43F3"/>
    <w:rsid w:val="00A74ED5"/>
    <w:rsid w:val="00AD6632"/>
    <w:rsid w:val="00AF4C3F"/>
    <w:rsid w:val="00B04DCA"/>
    <w:rsid w:val="00B13142"/>
    <w:rsid w:val="00B44CFD"/>
    <w:rsid w:val="00B60F60"/>
    <w:rsid w:val="00B63448"/>
    <w:rsid w:val="00BF01A9"/>
    <w:rsid w:val="00C120E1"/>
    <w:rsid w:val="00C442D8"/>
    <w:rsid w:val="00C901AD"/>
    <w:rsid w:val="00E97FF6"/>
    <w:rsid w:val="00EA4F08"/>
    <w:rsid w:val="00ED4DC3"/>
    <w:rsid w:val="00F8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18ED6A"/>
  <w15:docId w15:val="{0046AA43-8CCB-4A91-8919-9155541C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sz w:val="24"/>
      <w:lang w:val="et-EE"/>
    </w:rPr>
  </w:style>
  <w:style w:type="paragraph" w:styleId="Heading1">
    <w:name w:val="heading 1"/>
    <w:basedOn w:val="Normal"/>
    <w:next w:val="Text1"/>
    <w:link w:val="Heading1Char"/>
    <w:uiPriority w:val="9"/>
    <w:qFormat/>
    <w:rsid w:val="007D53B6"/>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107C15"/>
    <w:pPr>
      <w:keepNext/>
      <w:numPr>
        <w:ilvl w:val="4"/>
        <w:numId w:val="27"/>
      </w:numPr>
      <w:outlineLvl w:val="4"/>
    </w:pPr>
    <w:rPr>
      <w:rFonts w:eastAsia="Times New Roman"/>
    </w:rPr>
  </w:style>
  <w:style w:type="paragraph" w:styleId="Heading6">
    <w:name w:val="heading 6"/>
    <w:basedOn w:val="Normal"/>
    <w:next w:val="Text2"/>
    <w:link w:val="Heading6Char"/>
    <w:uiPriority w:val="9"/>
    <w:semiHidden/>
    <w:unhideWhenUsed/>
    <w:qFormat/>
    <w:rsid w:val="00107C15"/>
    <w:pPr>
      <w:keepNext/>
      <w:numPr>
        <w:ilvl w:val="5"/>
        <w:numId w:val="27"/>
      </w:numPr>
      <w:outlineLvl w:val="5"/>
    </w:pPr>
    <w:rPr>
      <w:rFonts w:eastAsia="Times New Roman"/>
      <w:iCs/>
    </w:rPr>
  </w:style>
  <w:style w:type="paragraph" w:styleId="Heading7">
    <w:name w:val="heading 7"/>
    <w:basedOn w:val="Normal"/>
    <w:next w:val="Text2"/>
    <w:link w:val="Heading7Char"/>
    <w:uiPriority w:val="9"/>
    <w:semiHidden/>
    <w:unhideWhenUsed/>
    <w:qFormat/>
    <w:rsid w:val="00107C15"/>
    <w:pPr>
      <w:keepNext/>
      <w:numPr>
        <w:ilvl w:val="6"/>
        <w:numId w:val="27"/>
      </w:numPr>
      <w:outlineLvl w:val="6"/>
    </w:pPr>
    <w:rPr>
      <w:rFonts w:eastAsia="Times New Roman"/>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655"/>
    <w:pPr>
      <w:spacing w:before="0" w:after="0"/>
      <w:ind w:left="720"/>
      <w:jc w:val="left"/>
    </w:pPr>
    <w:rPr>
      <w:szCs w:val="24"/>
    </w:rPr>
  </w:style>
  <w:style w:type="character" w:styleId="Strong">
    <w:name w:val="Strong"/>
    <w:uiPriority w:val="22"/>
    <w:qFormat/>
    <w:rsid w:val="008B1655"/>
    <w:rPr>
      <w:b/>
      <w:bCs/>
    </w:rPr>
  </w:style>
  <w:style w:type="paragraph" w:customStyle="1" w:styleId="FooterSensitivity">
    <w:name w:val="Footer Sensitivity"/>
    <w:basedOn w:val="Normal"/>
    <w:rsid w:val="00107C15"/>
    <w:pPr>
      <w:pBdr>
        <w:top w:val="single" w:sz="4" w:space="1" w:color="auto"/>
        <w:left w:val="single" w:sz="4" w:space="4" w:color="auto"/>
        <w:bottom w:val="single" w:sz="4" w:space="1" w:color="auto"/>
        <w:right w:val="single" w:sz="4" w:space="4" w:color="auto"/>
      </w:pBdr>
      <w:spacing w:before="360" w:after="0"/>
      <w:ind w:left="113" w:right="113"/>
      <w:jc w:val="center"/>
    </w:pPr>
    <w:rPr>
      <w:rFonts w:eastAsiaTheme="minorHAnsi"/>
      <w:b/>
      <w:sz w:val="32"/>
    </w:rPr>
  </w:style>
  <w:style w:type="paragraph" w:styleId="Caption">
    <w:name w:val="caption"/>
    <w:basedOn w:val="Normal"/>
    <w:next w:val="Normal"/>
    <w:uiPriority w:val="35"/>
    <w:semiHidden/>
    <w:unhideWhenUsed/>
    <w:qFormat/>
    <w:rsid w:val="00506B71"/>
    <w:rPr>
      <w:b/>
      <w:bCs/>
      <w:sz w:val="20"/>
      <w:szCs w:val="20"/>
    </w:rPr>
  </w:style>
  <w:style w:type="paragraph" w:styleId="TableofFigures">
    <w:name w:val="table of figures"/>
    <w:basedOn w:val="Normal"/>
    <w:next w:val="Normal"/>
    <w:uiPriority w:val="99"/>
    <w:semiHidden/>
    <w:unhideWhenUsed/>
    <w:rsid w:val="00506B71"/>
  </w:style>
  <w:style w:type="paragraph" w:styleId="ListBullet">
    <w:name w:val="List Bullet"/>
    <w:basedOn w:val="Normal"/>
    <w:uiPriority w:val="99"/>
    <w:semiHidden/>
    <w:unhideWhenUsed/>
    <w:rsid w:val="00506B71"/>
    <w:pPr>
      <w:numPr>
        <w:numId w:val="3"/>
      </w:numPr>
      <w:contextualSpacing/>
    </w:pPr>
  </w:style>
  <w:style w:type="paragraph" w:styleId="ListBullet2">
    <w:name w:val="List Bullet 2"/>
    <w:basedOn w:val="Normal"/>
    <w:uiPriority w:val="99"/>
    <w:semiHidden/>
    <w:unhideWhenUsed/>
    <w:rsid w:val="00506B71"/>
    <w:pPr>
      <w:numPr>
        <w:numId w:val="4"/>
      </w:numPr>
      <w:contextualSpacing/>
    </w:pPr>
  </w:style>
  <w:style w:type="paragraph" w:styleId="ListBullet3">
    <w:name w:val="List Bullet 3"/>
    <w:basedOn w:val="Normal"/>
    <w:uiPriority w:val="99"/>
    <w:semiHidden/>
    <w:unhideWhenUsed/>
    <w:rsid w:val="00506B71"/>
    <w:pPr>
      <w:numPr>
        <w:numId w:val="5"/>
      </w:numPr>
      <w:contextualSpacing/>
    </w:pPr>
  </w:style>
  <w:style w:type="paragraph" w:styleId="ListBullet4">
    <w:name w:val="List Bullet 4"/>
    <w:basedOn w:val="Normal"/>
    <w:uiPriority w:val="99"/>
    <w:semiHidden/>
    <w:unhideWhenUsed/>
    <w:rsid w:val="00506B71"/>
    <w:pPr>
      <w:numPr>
        <w:numId w:val="6"/>
      </w:numPr>
      <w:contextualSpacing/>
    </w:pPr>
  </w:style>
  <w:style w:type="paragraph" w:styleId="ListNumber">
    <w:name w:val="List Number"/>
    <w:basedOn w:val="Normal"/>
    <w:uiPriority w:val="99"/>
    <w:semiHidden/>
    <w:unhideWhenUsed/>
    <w:rsid w:val="00506B71"/>
    <w:pPr>
      <w:numPr>
        <w:numId w:val="7"/>
      </w:numPr>
      <w:contextualSpacing/>
    </w:pPr>
  </w:style>
  <w:style w:type="paragraph" w:styleId="ListNumber2">
    <w:name w:val="List Number 2"/>
    <w:basedOn w:val="Normal"/>
    <w:uiPriority w:val="99"/>
    <w:semiHidden/>
    <w:unhideWhenUsed/>
    <w:rsid w:val="00506B71"/>
    <w:pPr>
      <w:numPr>
        <w:numId w:val="8"/>
      </w:numPr>
      <w:contextualSpacing/>
    </w:pPr>
  </w:style>
  <w:style w:type="paragraph" w:styleId="ListNumber3">
    <w:name w:val="List Number 3"/>
    <w:basedOn w:val="Normal"/>
    <w:uiPriority w:val="99"/>
    <w:semiHidden/>
    <w:unhideWhenUsed/>
    <w:rsid w:val="00506B71"/>
    <w:pPr>
      <w:numPr>
        <w:numId w:val="9"/>
      </w:numPr>
      <w:contextualSpacing/>
    </w:pPr>
  </w:style>
  <w:style w:type="paragraph" w:styleId="ListNumber4">
    <w:name w:val="List Number 4"/>
    <w:basedOn w:val="Normal"/>
    <w:uiPriority w:val="99"/>
    <w:semiHidden/>
    <w:unhideWhenUsed/>
    <w:rsid w:val="00506B71"/>
    <w:pPr>
      <w:numPr>
        <w:numId w:val="10"/>
      </w:numPr>
      <w:contextualSpacing/>
    </w:pPr>
  </w:style>
  <w:style w:type="character" w:styleId="CommentReference">
    <w:name w:val="annotation reference"/>
    <w:uiPriority w:val="99"/>
    <w:semiHidden/>
    <w:unhideWhenUsed/>
    <w:rsid w:val="003F3AE8"/>
    <w:rPr>
      <w:sz w:val="16"/>
      <w:szCs w:val="16"/>
    </w:rPr>
  </w:style>
  <w:style w:type="paragraph" w:styleId="CommentText">
    <w:name w:val="annotation text"/>
    <w:basedOn w:val="Normal"/>
    <w:link w:val="CommentTextChar"/>
    <w:uiPriority w:val="99"/>
    <w:semiHidden/>
    <w:unhideWhenUsed/>
    <w:rsid w:val="003F3AE8"/>
    <w:rPr>
      <w:sz w:val="20"/>
      <w:szCs w:val="20"/>
    </w:rPr>
  </w:style>
  <w:style w:type="character" w:customStyle="1" w:styleId="CommentTextChar">
    <w:name w:val="Comment Text Char"/>
    <w:link w:val="CommentText"/>
    <w:uiPriority w:val="99"/>
    <w:semiHidden/>
    <w:rsid w:val="003F3AE8"/>
    <w:rPr>
      <w:rFonts w:ascii="Times New Roman" w:hAnsi="Times New Roman"/>
      <w:sz w:val="20"/>
      <w:szCs w:val="20"/>
      <w:lang w:val="et-EE"/>
    </w:rPr>
  </w:style>
  <w:style w:type="paragraph" w:styleId="CommentSubject">
    <w:name w:val="annotation subject"/>
    <w:basedOn w:val="CommentText"/>
    <w:next w:val="CommentText"/>
    <w:link w:val="CommentSubjectChar"/>
    <w:uiPriority w:val="99"/>
    <w:semiHidden/>
    <w:unhideWhenUsed/>
    <w:rsid w:val="003F3AE8"/>
    <w:rPr>
      <w:b/>
      <w:bCs/>
    </w:rPr>
  </w:style>
  <w:style w:type="character" w:customStyle="1" w:styleId="CommentSubjectChar">
    <w:name w:val="Comment Subject Char"/>
    <w:link w:val="CommentSubject"/>
    <w:uiPriority w:val="99"/>
    <w:semiHidden/>
    <w:rsid w:val="003F3AE8"/>
    <w:rPr>
      <w:rFonts w:ascii="Times New Roman" w:hAnsi="Times New Roman"/>
      <w:b/>
      <w:bCs/>
      <w:sz w:val="20"/>
      <w:szCs w:val="20"/>
      <w:lang w:val="et-EE"/>
    </w:rPr>
  </w:style>
  <w:style w:type="character" w:styleId="Hyperlink">
    <w:name w:val="Hyperlink"/>
    <w:uiPriority w:val="99"/>
    <w:unhideWhenUsed/>
    <w:rsid w:val="003F3AE8"/>
    <w:rPr>
      <w:color w:val="0000FF"/>
      <w:u w:val="single"/>
    </w:rPr>
  </w:style>
  <w:style w:type="paragraph" w:styleId="BalloonText">
    <w:name w:val="Balloon Text"/>
    <w:basedOn w:val="Normal"/>
    <w:link w:val="BalloonTextChar"/>
    <w:uiPriority w:val="99"/>
    <w:semiHidden/>
    <w:unhideWhenUsed/>
    <w:rsid w:val="003F3AE8"/>
    <w:pPr>
      <w:spacing w:before="0" w:after="0"/>
    </w:pPr>
    <w:rPr>
      <w:rFonts w:ascii="Tahoma" w:hAnsi="Tahoma" w:cs="Tahoma"/>
      <w:sz w:val="16"/>
      <w:szCs w:val="16"/>
    </w:rPr>
  </w:style>
  <w:style w:type="character" w:customStyle="1" w:styleId="BalloonTextChar">
    <w:name w:val="Balloon Text Char"/>
    <w:link w:val="BalloonText"/>
    <w:uiPriority w:val="99"/>
    <w:semiHidden/>
    <w:rsid w:val="003F3AE8"/>
    <w:rPr>
      <w:rFonts w:ascii="Tahoma" w:hAnsi="Tahoma" w:cs="Tahoma"/>
      <w:sz w:val="16"/>
      <w:szCs w:val="16"/>
      <w:lang w:val="et-EE"/>
    </w:rPr>
  </w:style>
  <w:style w:type="paragraph" w:styleId="Header">
    <w:name w:val="header"/>
    <w:basedOn w:val="Normal"/>
    <w:link w:val="HeaderChar"/>
    <w:uiPriority w:val="99"/>
    <w:unhideWhenUsed/>
    <w:rsid w:val="00107C15"/>
    <w:pPr>
      <w:tabs>
        <w:tab w:val="center" w:pos="4535"/>
        <w:tab w:val="right" w:pos="9071"/>
      </w:tabs>
      <w:spacing w:before="0"/>
    </w:pPr>
  </w:style>
  <w:style w:type="character" w:customStyle="1" w:styleId="HeaderChar">
    <w:name w:val="Header Char"/>
    <w:link w:val="Header"/>
    <w:uiPriority w:val="99"/>
    <w:rsid w:val="00107C15"/>
    <w:rPr>
      <w:rFonts w:ascii="Times New Roman" w:hAnsi="Times New Roman"/>
      <w:sz w:val="24"/>
      <w:lang w:val="et-EE"/>
    </w:rPr>
  </w:style>
  <w:style w:type="paragraph" w:styleId="Footer">
    <w:name w:val="footer"/>
    <w:basedOn w:val="Normal"/>
    <w:link w:val="FooterChar"/>
    <w:uiPriority w:val="99"/>
    <w:unhideWhenUsed/>
    <w:rsid w:val="00107C15"/>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107C15"/>
    <w:rPr>
      <w:rFonts w:ascii="Times New Roman" w:hAnsi="Times New Roman"/>
      <w:sz w:val="24"/>
      <w:lang w:val="et-EE"/>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b/>
      <w:bCs/>
      <w:smallCaps/>
      <w:sz w:val="24"/>
      <w:szCs w:val="28"/>
      <w:lang w:val="et-EE"/>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b/>
      <w:bCs/>
      <w:sz w:val="24"/>
      <w:szCs w:val="26"/>
      <w:lang w:val="et-EE"/>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bCs/>
      <w:i/>
      <w:sz w:val="24"/>
      <w:lang w:val="et-EE"/>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bCs/>
      <w:iCs/>
      <w:sz w:val="24"/>
      <w:lang w:val="et-EE"/>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107C15"/>
    <w:pPr>
      <w:tabs>
        <w:tab w:val="right" w:leader="dot" w:pos="9071"/>
      </w:tabs>
      <w:ind w:left="1417" w:hanging="1417"/>
      <w:jc w:val="left"/>
    </w:pPr>
    <w:rPr>
      <w:rFonts w:eastAsiaTheme="minorHAnsi"/>
    </w:rPr>
  </w:style>
  <w:style w:type="paragraph" w:customStyle="1" w:styleId="HeaderLandscape">
    <w:name w:val="HeaderLandscape"/>
    <w:basedOn w:val="Normal"/>
    <w:rsid w:val="00107C15"/>
    <w:pPr>
      <w:tabs>
        <w:tab w:val="center" w:pos="7285"/>
        <w:tab w:val="right" w:pos="14003"/>
      </w:tabs>
      <w:spacing w:before="0"/>
    </w:pPr>
    <w:rPr>
      <w:rFonts w:eastAsiaTheme="minorHAnsi"/>
    </w:rPr>
  </w:style>
  <w:style w:type="paragraph" w:customStyle="1" w:styleId="FooterLandscape">
    <w:name w:val="FooterLandscape"/>
    <w:basedOn w:val="Normal"/>
    <w:rsid w:val="00107C15"/>
    <w:pPr>
      <w:tabs>
        <w:tab w:val="center" w:pos="7285"/>
        <w:tab w:val="center" w:pos="10913"/>
        <w:tab w:val="right" w:pos="15137"/>
      </w:tabs>
      <w:spacing w:before="360" w:after="0"/>
      <w:ind w:left="-567" w:right="-567"/>
      <w:jc w:val="left"/>
    </w:pPr>
    <w:rPr>
      <w:rFonts w:eastAsiaTheme="minorHAnsi"/>
    </w:r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1"/>
      </w:numPr>
    </w:pPr>
  </w:style>
  <w:style w:type="paragraph" w:customStyle="1" w:styleId="Tiret1">
    <w:name w:val="Tiret 1"/>
    <w:basedOn w:val="Point1"/>
    <w:rsid w:val="007D53B6"/>
    <w:pPr>
      <w:numPr>
        <w:numId w:val="12"/>
      </w:numPr>
    </w:pPr>
  </w:style>
  <w:style w:type="paragraph" w:customStyle="1" w:styleId="Tiret2">
    <w:name w:val="Tiret 2"/>
    <w:basedOn w:val="Point2"/>
    <w:rsid w:val="007D53B6"/>
    <w:pPr>
      <w:numPr>
        <w:numId w:val="13"/>
      </w:numPr>
    </w:pPr>
  </w:style>
  <w:style w:type="paragraph" w:customStyle="1" w:styleId="Tiret3">
    <w:name w:val="Tiret 3"/>
    <w:basedOn w:val="Point3"/>
    <w:rsid w:val="007D53B6"/>
    <w:pPr>
      <w:numPr>
        <w:numId w:val="14"/>
      </w:numPr>
    </w:pPr>
  </w:style>
  <w:style w:type="paragraph" w:customStyle="1" w:styleId="Tiret4">
    <w:name w:val="Tiret 4"/>
    <w:basedOn w:val="Point4"/>
    <w:rsid w:val="007D53B6"/>
    <w:pPr>
      <w:numPr>
        <w:numId w:val="15"/>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31"/>
      </w:numPr>
    </w:pPr>
  </w:style>
  <w:style w:type="paragraph" w:customStyle="1" w:styleId="NumPar2">
    <w:name w:val="NumPar 2"/>
    <w:basedOn w:val="Normal"/>
    <w:next w:val="Text1"/>
    <w:rsid w:val="007D53B6"/>
    <w:pPr>
      <w:numPr>
        <w:ilvl w:val="1"/>
        <w:numId w:val="31"/>
      </w:numPr>
    </w:pPr>
  </w:style>
  <w:style w:type="paragraph" w:customStyle="1" w:styleId="NumPar3">
    <w:name w:val="NumPar 3"/>
    <w:basedOn w:val="Normal"/>
    <w:next w:val="Text1"/>
    <w:rsid w:val="007D53B6"/>
    <w:pPr>
      <w:numPr>
        <w:ilvl w:val="2"/>
        <w:numId w:val="31"/>
      </w:numPr>
    </w:pPr>
  </w:style>
  <w:style w:type="paragraph" w:customStyle="1" w:styleId="NumPar4">
    <w:name w:val="NumPar 4"/>
    <w:basedOn w:val="Normal"/>
    <w:next w:val="Text1"/>
    <w:rsid w:val="007D53B6"/>
    <w:pPr>
      <w:numPr>
        <w:ilvl w:val="3"/>
        <w:numId w:val="31"/>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18"/>
      </w:numPr>
    </w:pPr>
  </w:style>
  <w:style w:type="paragraph" w:customStyle="1" w:styleId="Point1number">
    <w:name w:val="Point 1 (number)"/>
    <w:basedOn w:val="Normal"/>
    <w:rsid w:val="007D53B6"/>
    <w:pPr>
      <w:numPr>
        <w:ilvl w:val="2"/>
        <w:numId w:val="18"/>
      </w:numPr>
    </w:pPr>
  </w:style>
  <w:style w:type="paragraph" w:customStyle="1" w:styleId="Point2number">
    <w:name w:val="Point 2 (number)"/>
    <w:basedOn w:val="Normal"/>
    <w:rsid w:val="007D53B6"/>
    <w:pPr>
      <w:numPr>
        <w:ilvl w:val="4"/>
        <w:numId w:val="18"/>
      </w:numPr>
    </w:pPr>
  </w:style>
  <w:style w:type="paragraph" w:customStyle="1" w:styleId="Point3number">
    <w:name w:val="Point 3 (number)"/>
    <w:basedOn w:val="Normal"/>
    <w:rsid w:val="007D53B6"/>
    <w:pPr>
      <w:numPr>
        <w:ilvl w:val="6"/>
        <w:numId w:val="18"/>
      </w:numPr>
    </w:pPr>
  </w:style>
  <w:style w:type="paragraph" w:customStyle="1" w:styleId="Point0letter">
    <w:name w:val="Point 0 (letter)"/>
    <w:basedOn w:val="Normal"/>
    <w:rsid w:val="007D53B6"/>
    <w:pPr>
      <w:numPr>
        <w:ilvl w:val="1"/>
        <w:numId w:val="18"/>
      </w:numPr>
    </w:pPr>
  </w:style>
  <w:style w:type="paragraph" w:customStyle="1" w:styleId="Point1letter">
    <w:name w:val="Point 1 (letter)"/>
    <w:basedOn w:val="Normal"/>
    <w:rsid w:val="007D53B6"/>
    <w:pPr>
      <w:numPr>
        <w:ilvl w:val="3"/>
        <w:numId w:val="18"/>
      </w:numPr>
    </w:pPr>
  </w:style>
  <w:style w:type="paragraph" w:customStyle="1" w:styleId="Point2letter">
    <w:name w:val="Point 2 (letter)"/>
    <w:basedOn w:val="Normal"/>
    <w:rsid w:val="007D53B6"/>
    <w:pPr>
      <w:numPr>
        <w:ilvl w:val="5"/>
        <w:numId w:val="18"/>
      </w:numPr>
    </w:pPr>
  </w:style>
  <w:style w:type="paragraph" w:customStyle="1" w:styleId="Point3letter">
    <w:name w:val="Point 3 (letter)"/>
    <w:basedOn w:val="Normal"/>
    <w:rsid w:val="007D53B6"/>
    <w:pPr>
      <w:numPr>
        <w:ilvl w:val="7"/>
        <w:numId w:val="18"/>
      </w:numPr>
    </w:pPr>
  </w:style>
  <w:style w:type="paragraph" w:customStyle="1" w:styleId="Point4letter">
    <w:name w:val="Point 4 (letter)"/>
    <w:basedOn w:val="Normal"/>
    <w:rsid w:val="007D53B6"/>
    <w:pPr>
      <w:numPr>
        <w:ilvl w:val="8"/>
        <w:numId w:val="18"/>
      </w:numPr>
    </w:pPr>
  </w:style>
  <w:style w:type="paragraph" w:customStyle="1" w:styleId="Bullet0">
    <w:name w:val="Bullet 0"/>
    <w:basedOn w:val="Normal"/>
    <w:rsid w:val="007D53B6"/>
    <w:pPr>
      <w:numPr>
        <w:numId w:val="19"/>
      </w:numPr>
    </w:pPr>
  </w:style>
  <w:style w:type="paragraph" w:customStyle="1" w:styleId="Bullet1">
    <w:name w:val="Bullet 1"/>
    <w:basedOn w:val="Normal"/>
    <w:rsid w:val="007D53B6"/>
    <w:pPr>
      <w:numPr>
        <w:numId w:val="20"/>
      </w:numPr>
    </w:pPr>
  </w:style>
  <w:style w:type="paragraph" w:customStyle="1" w:styleId="Bullet2">
    <w:name w:val="Bullet 2"/>
    <w:basedOn w:val="Normal"/>
    <w:rsid w:val="007D53B6"/>
    <w:pPr>
      <w:numPr>
        <w:numId w:val="21"/>
      </w:numPr>
    </w:pPr>
  </w:style>
  <w:style w:type="paragraph" w:customStyle="1" w:styleId="Bullet3">
    <w:name w:val="Bullet 3"/>
    <w:basedOn w:val="Normal"/>
    <w:rsid w:val="007D53B6"/>
    <w:pPr>
      <w:numPr>
        <w:numId w:val="22"/>
      </w:numPr>
    </w:pPr>
  </w:style>
  <w:style w:type="paragraph" w:customStyle="1" w:styleId="Bullet4">
    <w:name w:val="Bullet 4"/>
    <w:basedOn w:val="Normal"/>
    <w:rsid w:val="007D53B6"/>
    <w:pPr>
      <w:numPr>
        <w:numId w:val="23"/>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4"/>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IntrtEEE"/>
    <w:rsid w:val="00107C15"/>
    <w:pPr>
      <w:spacing w:before="360" w:after="360"/>
      <w:jc w:val="center"/>
    </w:pPr>
    <w:rPr>
      <w:rFonts w:eastAsiaTheme="minorHAnsi"/>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IntrtEEEPagedecouverture"/>
    <w:rsid w:val="00107C15"/>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 w:type="paragraph" w:customStyle="1" w:styleId="Declassification">
    <w:name w:val="Declassification"/>
    <w:basedOn w:val="Normal"/>
    <w:next w:val="Normal"/>
    <w:rsid w:val="00107C15"/>
    <w:pPr>
      <w:spacing w:before="0" w:after="0"/>
    </w:pPr>
    <w:rPr>
      <w:rFonts w:eastAsiaTheme="minorHAnsi"/>
    </w:rPr>
  </w:style>
  <w:style w:type="paragraph" w:customStyle="1" w:styleId="HeaderSensitivity">
    <w:name w:val="Header Sensitivity"/>
    <w:basedOn w:val="Normal"/>
    <w:rsid w:val="00107C15"/>
    <w:pPr>
      <w:pBdr>
        <w:top w:val="single" w:sz="4" w:space="1" w:color="auto"/>
        <w:left w:val="single" w:sz="4" w:space="4" w:color="auto"/>
        <w:bottom w:val="single" w:sz="4" w:space="1" w:color="auto"/>
        <w:right w:val="single" w:sz="4" w:space="4" w:color="auto"/>
      </w:pBdr>
      <w:spacing w:before="0"/>
      <w:ind w:left="113" w:right="113"/>
      <w:jc w:val="center"/>
    </w:pPr>
    <w:rPr>
      <w:rFonts w:eastAsiaTheme="minorHAnsi"/>
      <w:b/>
      <w:sz w:val="32"/>
    </w:rPr>
  </w:style>
  <w:style w:type="paragraph" w:customStyle="1" w:styleId="HeaderSensitivityRight">
    <w:name w:val="Header Sensitivity Right"/>
    <w:basedOn w:val="Normal"/>
    <w:rsid w:val="00107C15"/>
    <w:pPr>
      <w:spacing w:before="0"/>
      <w:jc w:val="right"/>
    </w:pPr>
    <w:rPr>
      <w:rFonts w:eastAsiaTheme="minorHAnsi"/>
      <w:sz w:val="28"/>
    </w:rPr>
  </w:style>
  <w:style w:type="paragraph" w:customStyle="1" w:styleId="Disclaimer">
    <w:name w:val="Disclaimer"/>
    <w:basedOn w:val="Normal"/>
    <w:rsid w:val="00107C1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rFonts w:eastAsiaTheme="minorHAnsi"/>
    </w:rPr>
  </w:style>
  <w:style w:type="paragraph" w:customStyle="1" w:styleId="SecurityMarking">
    <w:name w:val="SecurityMarking"/>
    <w:basedOn w:val="Normal"/>
    <w:rsid w:val="00107C15"/>
    <w:pPr>
      <w:spacing w:before="0" w:after="0" w:line="276" w:lineRule="auto"/>
      <w:ind w:left="5103"/>
      <w:jc w:val="left"/>
    </w:pPr>
    <w:rPr>
      <w:rFonts w:eastAsiaTheme="minorHAnsi"/>
      <w:sz w:val="28"/>
    </w:rPr>
  </w:style>
  <w:style w:type="paragraph" w:customStyle="1" w:styleId="DateMarking">
    <w:name w:val="DateMarking"/>
    <w:basedOn w:val="Normal"/>
    <w:rsid w:val="00107C15"/>
    <w:pPr>
      <w:spacing w:before="0" w:after="0" w:line="276" w:lineRule="auto"/>
      <w:ind w:left="5103"/>
      <w:jc w:val="left"/>
    </w:pPr>
    <w:rPr>
      <w:rFonts w:eastAsiaTheme="minorHAnsi"/>
      <w:i/>
      <w:sz w:val="28"/>
    </w:rPr>
  </w:style>
  <w:style w:type="paragraph" w:customStyle="1" w:styleId="ReleasableTo">
    <w:name w:val="ReleasableTo"/>
    <w:basedOn w:val="Normal"/>
    <w:rsid w:val="00107C15"/>
    <w:pPr>
      <w:spacing w:before="0" w:after="0" w:line="276" w:lineRule="auto"/>
      <w:ind w:left="5103"/>
      <w:jc w:val="left"/>
    </w:pPr>
    <w:rPr>
      <w:rFonts w:eastAsiaTheme="minorHAnsi"/>
      <w:i/>
      <w:sz w:val="28"/>
    </w:rPr>
  </w:style>
  <w:style w:type="character" w:customStyle="1" w:styleId="Heading5Char">
    <w:name w:val="Heading 5 Char"/>
    <w:link w:val="Heading5"/>
    <w:uiPriority w:val="9"/>
    <w:semiHidden/>
    <w:rsid w:val="00107C15"/>
    <w:rPr>
      <w:rFonts w:ascii="Times New Roman" w:eastAsia="Times New Roman" w:hAnsi="Times New Roman"/>
      <w:sz w:val="24"/>
      <w:lang w:val="et-EE"/>
    </w:rPr>
  </w:style>
  <w:style w:type="character" w:customStyle="1" w:styleId="Heading6Char">
    <w:name w:val="Heading 6 Char"/>
    <w:link w:val="Heading6"/>
    <w:uiPriority w:val="9"/>
    <w:semiHidden/>
    <w:rsid w:val="00107C15"/>
    <w:rPr>
      <w:rFonts w:ascii="Times New Roman" w:eastAsia="Times New Roman" w:hAnsi="Times New Roman"/>
      <w:iCs/>
      <w:sz w:val="24"/>
      <w:lang w:val="et-EE"/>
    </w:rPr>
  </w:style>
  <w:style w:type="character" w:customStyle="1" w:styleId="Heading7Char">
    <w:name w:val="Heading 7 Char"/>
    <w:link w:val="Heading7"/>
    <w:uiPriority w:val="9"/>
    <w:semiHidden/>
    <w:rsid w:val="00107C15"/>
    <w:rPr>
      <w:rFonts w:ascii="Times New Roman" w:eastAsia="Times New Roman" w:hAnsi="Times New Roman"/>
      <w:iCs/>
      <w:sz w:val="24"/>
      <w:lang w:val="et-EE"/>
    </w:rPr>
  </w:style>
  <w:style w:type="paragraph" w:customStyle="1" w:styleId="ManualHeading5">
    <w:name w:val="Manual Heading 5"/>
    <w:basedOn w:val="Normal"/>
    <w:next w:val="Text2"/>
    <w:rsid w:val="00107C15"/>
    <w:pPr>
      <w:keepNext/>
      <w:tabs>
        <w:tab w:val="left" w:pos="1417"/>
      </w:tabs>
      <w:ind w:left="1417" w:hanging="1417"/>
      <w:outlineLvl w:val="4"/>
    </w:pPr>
    <w:rPr>
      <w:rFonts w:eastAsiaTheme="minorHAnsi"/>
    </w:rPr>
  </w:style>
  <w:style w:type="paragraph" w:customStyle="1" w:styleId="ManualHeading6">
    <w:name w:val="Manual Heading 6"/>
    <w:basedOn w:val="Normal"/>
    <w:next w:val="Text2"/>
    <w:rsid w:val="00107C15"/>
    <w:pPr>
      <w:keepNext/>
      <w:tabs>
        <w:tab w:val="left" w:pos="1417"/>
      </w:tabs>
      <w:ind w:left="1417" w:hanging="1417"/>
      <w:outlineLvl w:val="5"/>
    </w:pPr>
    <w:rPr>
      <w:rFonts w:eastAsiaTheme="minorHAnsi"/>
    </w:rPr>
  </w:style>
  <w:style w:type="paragraph" w:customStyle="1" w:styleId="ManualHeading7">
    <w:name w:val="Manual Heading 7"/>
    <w:basedOn w:val="Normal"/>
    <w:next w:val="Text2"/>
    <w:rsid w:val="00107C15"/>
    <w:pPr>
      <w:keepNext/>
      <w:tabs>
        <w:tab w:val="left" w:pos="1417"/>
      </w:tabs>
      <w:ind w:left="1417" w:hanging="1417"/>
      <w:outlineLvl w:val="6"/>
    </w:pPr>
    <w:rPr>
      <w:rFonts w:eastAsiaTheme="minorHAnsi"/>
    </w:rPr>
  </w:style>
  <w:style w:type="paragraph" w:customStyle="1" w:styleId="Text5">
    <w:name w:val="Text 5"/>
    <w:basedOn w:val="Normal"/>
    <w:rsid w:val="00107C15"/>
    <w:pPr>
      <w:ind w:left="3118"/>
    </w:pPr>
    <w:rPr>
      <w:rFonts w:eastAsiaTheme="minorHAnsi"/>
    </w:rPr>
  </w:style>
  <w:style w:type="paragraph" w:customStyle="1" w:styleId="Text6">
    <w:name w:val="Text 6"/>
    <w:basedOn w:val="Normal"/>
    <w:rsid w:val="00107C15"/>
    <w:pPr>
      <w:ind w:left="3685"/>
    </w:pPr>
    <w:rPr>
      <w:rFonts w:eastAsiaTheme="minorHAnsi"/>
    </w:rPr>
  </w:style>
  <w:style w:type="paragraph" w:customStyle="1" w:styleId="Point5">
    <w:name w:val="Point 5"/>
    <w:basedOn w:val="Normal"/>
    <w:rsid w:val="00107C15"/>
    <w:pPr>
      <w:ind w:left="3685" w:hanging="567"/>
    </w:pPr>
    <w:rPr>
      <w:rFonts w:eastAsiaTheme="minorHAnsi"/>
    </w:rPr>
  </w:style>
  <w:style w:type="paragraph" w:customStyle="1" w:styleId="Tiret5">
    <w:name w:val="Tiret 5"/>
    <w:basedOn w:val="Point5"/>
    <w:rsid w:val="00107C15"/>
    <w:pPr>
      <w:numPr>
        <w:numId w:val="28"/>
      </w:numPr>
    </w:pPr>
  </w:style>
  <w:style w:type="paragraph" w:customStyle="1" w:styleId="NumPar5">
    <w:name w:val="NumPar 5"/>
    <w:basedOn w:val="Normal"/>
    <w:next w:val="Text2"/>
    <w:rsid w:val="00107C15"/>
    <w:pPr>
      <w:numPr>
        <w:ilvl w:val="4"/>
        <w:numId w:val="31"/>
      </w:numPr>
    </w:pPr>
  </w:style>
  <w:style w:type="paragraph" w:customStyle="1" w:styleId="NumPar6">
    <w:name w:val="NumPar 6"/>
    <w:basedOn w:val="Normal"/>
    <w:next w:val="Text2"/>
    <w:rsid w:val="00107C15"/>
    <w:pPr>
      <w:numPr>
        <w:ilvl w:val="5"/>
        <w:numId w:val="31"/>
      </w:numPr>
    </w:pPr>
  </w:style>
  <w:style w:type="paragraph" w:customStyle="1" w:styleId="NumPar7">
    <w:name w:val="NumPar 7"/>
    <w:basedOn w:val="Normal"/>
    <w:next w:val="Text2"/>
    <w:rsid w:val="00107C15"/>
    <w:pPr>
      <w:numPr>
        <w:ilvl w:val="6"/>
        <w:numId w:val="31"/>
      </w:numPr>
    </w:pPr>
  </w:style>
  <w:style w:type="paragraph" w:customStyle="1" w:styleId="ManualNumPar5">
    <w:name w:val="Manual NumPar 5"/>
    <w:basedOn w:val="Normal"/>
    <w:next w:val="Text2"/>
    <w:rsid w:val="00107C15"/>
    <w:pPr>
      <w:ind w:left="1417" w:hanging="1417"/>
    </w:pPr>
    <w:rPr>
      <w:rFonts w:eastAsiaTheme="minorHAnsi"/>
    </w:rPr>
  </w:style>
  <w:style w:type="paragraph" w:customStyle="1" w:styleId="ManualNumPar6">
    <w:name w:val="Manual NumPar 6"/>
    <w:basedOn w:val="Normal"/>
    <w:next w:val="Text2"/>
    <w:rsid w:val="00107C15"/>
    <w:pPr>
      <w:ind w:left="1417" w:hanging="1417"/>
    </w:pPr>
    <w:rPr>
      <w:rFonts w:eastAsiaTheme="minorHAnsi"/>
    </w:rPr>
  </w:style>
  <w:style w:type="paragraph" w:customStyle="1" w:styleId="ManualNumPar7">
    <w:name w:val="Manual NumPar 7"/>
    <w:basedOn w:val="Normal"/>
    <w:next w:val="Text2"/>
    <w:rsid w:val="00107C15"/>
    <w:pPr>
      <w:ind w:left="1417" w:hanging="1417"/>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36AAF-4506-4954-9801-5F5760CB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6</TotalTime>
  <Pages>10</Pages>
  <Words>2305</Words>
  <Characters>16923</Characters>
  <Application>Microsoft Office Word</Application>
  <DocSecurity>0</DocSecurity>
  <Lines>286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2020-01-15T10:31:00Z</dcterms:created>
  <dcterms:modified xsi:type="dcterms:W3CDTF">2023-04-19T09:36:00Z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9.0, Build 20230317</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SJ-020</vt:lpwstr>
  </property>
  <property fmtid="{D5CDD505-2E9C-101B-9397-08002B2CF9AE}" pid="9" name="DQCStatus">
    <vt:lpwstr>Yellow (DQC version 03)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2023-04-19T09:34:57Z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65c63394-0f48-489d-a485-173e0e0c963d</vt:lpwstr>
  </property>
  <property fmtid="{D5CDD505-2E9C-101B-9397-08002B2CF9AE}" pid="16" name="MSIP_Label_6bd9ddd1-4d20-43f6-abfa-fc3c07406f94_ContentBits">
    <vt:lpwstr>0</vt:lpwstr>
  </property>
  <property fmtid="{D5CDD505-2E9C-101B-9397-08002B2CF9AE}" pid="17" name="Level of sensitivity">
    <vt:lpwstr>EU RESTRICTED</vt:lpwstr>
  </property>
  <property name="OP_sanitized" fmtid="{D5CDD505-2E9C-101B-9397-08002B2CF9AE}" pid="18">
    <vt:lpwstr>True</vt:lpwstr>
  </property>
</Properties>
</file>