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B5887479-A408-43CC-BAC5-E0DAC229D524" style="width:450.15pt;height:361.9pt">
            <v:imagedata r:id="rId9" o:title=""/>
          </v:shape>
        </w:pict>
      </w:r>
    </w:p>
    <w:bookmarkEnd w:id="0"/>
    <w:p>
      <w:pPr>
        <w:rPr>
          <w:rFonts w:ascii="Times New Roman" w:hAnsi="Times New Roman" w:cs="Times New Roman"/>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pStyle w:val="Heading1"/>
        <w:numPr>
          <w:ilvl w:val="0"/>
          <w:numId w:val="10"/>
        </w:numPr>
        <w:spacing w:after="240"/>
        <w:ind w:left="714" w:hanging="357"/>
        <w:rPr>
          <w:rFonts w:eastAsia="Times New Roman"/>
          <w:noProof/>
          <w:color w:val="auto"/>
        </w:rPr>
      </w:pPr>
      <w:bookmarkStart w:id="1" w:name="_GoBack"/>
      <w:bookmarkEnd w:id="1"/>
      <w:r>
        <w:rPr>
          <w:noProof/>
          <w:color w:val="auto"/>
        </w:rPr>
        <w:lastRenderedPageBreak/>
        <w:t>Sissejuhatus</w:t>
      </w:r>
    </w:p>
    <w:p>
      <w:pPr>
        <w:spacing w:after="240"/>
        <w:jc w:val="both"/>
        <w:rPr>
          <w:rFonts w:ascii="Times New Roman" w:hAnsi="Times New Roman" w:cs="Times New Roman"/>
          <w:noProof/>
          <w:sz w:val="24"/>
          <w:szCs w:val="24"/>
        </w:rPr>
      </w:pPr>
      <w:r>
        <w:rPr>
          <w:rFonts w:ascii="Times New Roman" w:hAnsi="Times New Roman"/>
          <w:noProof/>
          <w:sz w:val="24"/>
          <w:szCs w:val="24"/>
        </w:rPr>
        <w:t>ELi linnudirektiiv</w:t>
      </w:r>
      <w:r>
        <w:rPr>
          <w:rStyle w:val="FootnoteReference"/>
          <w:rFonts w:ascii="Times New Roman" w:hAnsi="Times New Roman" w:cs="Times New Roman"/>
          <w:noProof/>
          <w:sz w:val="24"/>
          <w:szCs w:val="24"/>
        </w:rPr>
        <w:footnoteReference w:id="1"/>
      </w:r>
      <w:r>
        <w:rPr>
          <w:rFonts w:ascii="Times New Roman" w:hAnsi="Times New Roman"/>
          <w:noProof/>
          <w:sz w:val="24"/>
          <w:szCs w:val="24"/>
        </w:rPr>
        <w:t xml:space="preserve"> ja elupaikade direktiiv</w:t>
      </w:r>
      <w:r>
        <w:rPr>
          <w:rStyle w:val="FootnoteReference"/>
          <w:rFonts w:ascii="Times New Roman" w:hAnsi="Times New Roman" w:cs="Times New Roman"/>
          <w:noProof/>
          <w:sz w:val="24"/>
          <w:szCs w:val="24"/>
        </w:rPr>
        <w:footnoteReference w:id="2"/>
      </w:r>
      <w:r>
        <w:rPr>
          <w:rFonts w:ascii="Times New Roman" w:hAnsi="Times New Roman"/>
          <w:noProof/>
          <w:sz w:val="24"/>
          <w:szCs w:val="24"/>
        </w:rPr>
        <w:t xml:space="preserve"> (edaspidi „loodusdirektiivid“), mis on Natura 2000 kaitsealade võrgustiku aluseks, moodustavad ELi elurikkuse poliitika nurgakivi. Nende eesmärk on tagada ELi tähtsusega liikide ja elupaigatüüpide kaitse, kaitstes kõiki metslinde (üle 460 liigi), esindavaid ja ohustatud elupaiku (233 tüüpi alates mererohuga kaetud aladest kuni mägirohumaadeni) ning veel ligi 1 400 liiki alates väikestest taimedest kuni imetajateni, sealhulgas paljusid märgilise tähtsusega looduslikke liike. Direktiivides nõutakse, et liikmesriigid säilitaksid ja taastaksid nende liikide ja elupaikade soodsa kaitsestaatuse.</w:t>
      </w:r>
    </w:p>
    <w:p>
      <w:pPr>
        <w:spacing w:after="240"/>
        <w:jc w:val="both"/>
        <w:rPr>
          <w:rFonts w:ascii="Times New Roman" w:hAnsi="Times New Roman" w:cs="Times New Roman"/>
          <w:noProof/>
          <w:sz w:val="24"/>
          <w:szCs w:val="24"/>
        </w:rPr>
      </w:pPr>
      <w:r>
        <w:rPr>
          <w:rFonts w:ascii="Times New Roman" w:hAnsi="Times New Roman"/>
          <w:noProof/>
          <w:sz w:val="24"/>
          <w:szCs w:val="24"/>
        </w:rPr>
        <w:t>Et komisjon saaks hinnata edusamme loodusdirektiivide eesmärkide saavutamisel, peavad liikmesriigid esitama komisjonile linnudirektiivi artikli 12 ja elupaikade direktiivi artikli 17 kohaselt iga kuue aasta järel aruande, eelkõige nende direktiivide alusel kaitstavate elupaikade ja liikide kaitsestaatuse ja arengusuundumuste kohta. Käesolev koondaruanne, mis käsitleb kolmandat direktiivide kohast ELi kaitsestaatuse hindamist, on koostatud kõige suurema ja ulatuslikuma Euroopa looduse seisundit käsitleva andmekogumise ja aruandluse tulemusel. Selles dokumenteeritakse elupaikade ja liikide staatus ja suundumused 2013.–2018. aastal vastavalt 28 liikmesriigi esitatud andmetele,</w:t>
      </w:r>
      <w:r>
        <w:rPr>
          <w:rStyle w:val="FootnoteReference"/>
          <w:rFonts w:ascii="Times New Roman" w:hAnsi="Times New Roman" w:cs="Times New Roman"/>
          <w:noProof/>
          <w:sz w:val="24"/>
          <w:szCs w:val="24"/>
        </w:rPr>
        <w:footnoteReference w:id="3"/>
      </w:r>
      <w:r>
        <w:rPr>
          <w:rFonts w:ascii="Times New Roman" w:hAnsi="Times New Roman"/>
          <w:noProof/>
          <w:sz w:val="24"/>
          <w:szCs w:val="24"/>
        </w:rPr>
        <w:t xml:space="preserve"> andes seeläbi ajakohastatud ülevaate ELi looduse seisundist. Selles hinnatakse aja jooksul toimunud muutusi, peamisi survetegureid ning Natura 2000 võrgustiku panust kaitsealuste liikide ja elupaikade kaitsesse. Analüüs põhineb Euroopa Keskkonnaameti üksikasjalikul tehnilisel hinnangul</w:t>
      </w:r>
      <w:r>
        <w:rPr>
          <w:rStyle w:val="FootnoteReference"/>
          <w:rFonts w:ascii="Times New Roman" w:hAnsi="Times New Roman" w:cs="Times New Roman"/>
          <w:noProof/>
          <w:sz w:val="24"/>
          <w:szCs w:val="24"/>
        </w:rPr>
        <w:footnoteReference w:id="4"/>
      </w:r>
      <w:r>
        <w:rPr>
          <w:rFonts w:ascii="Times New Roman" w:hAnsi="Times New Roman"/>
          <w:noProof/>
          <w:sz w:val="24"/>
          <w:szCs w:val="24"/>
        </w:rPr>
        <w:t xml:space="preserve">. </w:t>
      </w:r>
    </w:p>
    <w:p>
      <w:pPr>
        <w:spacing w:after="240"/>
        <w:jc w:val="both"/>
        <w:rPr>
          <w:rFonts w:ascii="Times New Roman" w:hAnsi="Times New Roman" w:cs="Times New Roman"/>
          <w:noProof/>
          <w:sz w:val="24"/>
          <w:szCs w:val="24"/>
        </w:rPr>
      </w:pPr>
    </w:p>
    <w:p>
      <w:pPr>
        <w:pStyle w:val="Heading1"/>
        <w:numPr>
          <w:ilvl w:val="0"/>
          <w:numId w:val="10"/>
        </w:numPr>
        <w:spacing w:after="240"/>
        <w:ind w:left="714" w:hanging="357"/>
        <w:rPr>
          <w:rFonts w:eastAsia="Times New Roman"/>
          <w:noProof/>
          <w:color w:val="auto"/>
        </w:rPr>
      </w:pPr>
      <w:r>
        <w:rPr>
          <w:noProof/>
          <w:color w:val="auto"/>
        </w:rPr>
        <w:t>Elupaikade ja liikide staatus ja suundumused ELis</w:t>
      </w:r>
    </w:p>
    <w:p>
      <w:pPr>
        <w:spacing w:after="240"/>
        <w:jc w:val="both"/>
        <w:rPr>
          <w:rFonts w:ascii="Times New Roman" w:hAnsi="Times New Roman" w:cs="Times New Roman"/>
          <w:noProof/>
          <w:sz w:val="24"/>
          <w:szCs w:val="24"/>
        </w:rPr>
      </w:pPr>
      <w:r>
        <w:rPr>
          <w:rFonts w:ascii="Times New Roman" w:hAnsi="Times New Roman"/>
          <w:noProof/>
          <w:sz w:val="24"/>
          <w:szCs w:val="24"/>
        </w:rPr>
        <w:t>Liikmesriigid esitavad andmed ühtlustatud vormis, et neid saaks sisestada andmebaasidesse, mida Euroopa Keskkonnaamet kasutab ELi tasandi koondhinnangute koostamiseks.</w:t>
      </w:r>
    </w:p>
    <w:p>
      <w:pPr>
        <w:spacing w:after="240"/>
        <w:jc w:val="both"/>
        <w:rPr>
          <w:rFonts w:ascii="Times New Roman" w:hAnsi="Times New Roman" w:cs="Times New Roman"/>
          <w:noProof/>
          <w:sz w:val="24"/>
          <w:szCs w:val="24"/>
        </w:rPr>
      </w:pPr>
      <w:r>
        <w:rPr>
          <w:rFonts w:ascii="Times New Roman" w:hAnsi="Times New Roman"/>
          <w:noProof/>
          <w:sz w:val="24"/>
          <w:szCs w:val="24"/>
        </w:rPr>
        <w:t>Lindude puhul viiakse hindamine ellu ELi tasandil. Elupaikade direktiiviga hõlmatud kaitsealuseid liike ja elupaigatüüpe hinnatakse üheksa biogeograafilise maismaapiirkonna</w:t>
      </w:r>
      <w:r>
        <w:rPr>
          <w:rStyle w:val="FootnoteReference"/>
          <w:rFonts w:ascii="Times New Roman" w:hAnsi="Times New Roman" w:cs="Times New Roman"/>
          <w:noProof/>
          <w:sz w:val="24"/>
          <w:szCs w:val="24"/>
        </w:rPr>
        <w:footnoteReference w:id="5"/>
      </w:r>
      <w:r>
        <w:rPr>
          <w:rFonts w:ascii="Times New Roman" w:hAnsi="Times New Roman"/>
          <w:noProof/>
          <w:sz w:val="24"/>
          <w:szCs w:val="24"/>
        </w:rPr>
        <w:t xml:space="preserve"> ja viie merepiirkonna</w:t>
      </w:r>
      <w:r>
        <w:rPr>
          <w:rStyle w:val="FootnoteReference"/>
          <w:rFonts w:ascii="Times New Roman" w:hAnsi="Times New Roman" w:cs="Times New Roman"/>
          <w:noProof/>
          <w:sz w:val="24"/>
          <w:szCs w:val="24"/>
        </w:rPr>
        <w:footnoteReference w:id="6"/>
      </w:r>
      <w:r>
        <w:rPr>
          <w:rFonts w:ascii="Times New Roman" w:hAnsi="Times New Roman"/>
          <w:noProof/>
          <w:sz w:val="24"/>
          <w:szCs w:val="24"/>
        </w:rPr>
        <w:t xml:space="preserve"> tasandil. Selge ja järjepideva teabevahetuse huvides kasutatakse tulemuste esitamisel fooritulede värvikoode (roheline-kollane-punane), et tähistada head, puudulikku ja halba kaitsestaatust</w:t>
      </w:r>
      <w:r>
        <w:rPr>
          <w:rStyle w:val="FootnoteReference"/>
          <w:rFonts w:ascii="Times New Roman" w:hAnsi="Times New Roman" w:cs="Times New Roman"/>
          <w:noProof/>
          <w:sz w:val="24"/>
          <w:szCs w:val="24"/>
        </w:rPr>
        <w:footnoteReference w:id="7"/>
      </w:r>
      <w:r>
        <w:rPr>
          <w:rFonts w:ascii="Times New Roman" w:hAnsi="Times New Roman"/>
          <w:noProof/>
          <w:sz w:val="24"/>
          <w:szCs w:val="24"/>
        </w:rPr>
        <w:t>. Kogu üldist kaitsestaatust ja suundumusi käsitlev statistika põhineb üksikute elupaikade ja liikide ELi tasandi hindamiste arvul.</w:t>
      </w:r>
    </w:p>
    <w:p>
      <w:pPr>
        <w:spacing w:after="240"/>
        <w:jc w:val="both"/>
        <w:rPr>
          <w:rFonts w:ascii="Times New Roman" w:hAnsi="Times New Roman" w:cs="Times New Roman"/>
          <w:noProof/>
          <w:sz w:val="24"/>
          <w:szCs w:val="24"/>
        </w:rPr>
      </w:pPr>
      <w:r>
        <w:rPr>
          <w:rFonts w:ascii="Times New Roman" w:hAnsi="Times New Roman"/>
          <w:noProof/>
          <w:sz w:val="24"/>
          <w:szCs w:val="24"/>
        </w:rPr>
        <w:t>Kuigi selline riiklike aruandlusandmete koondamine on vajalik ELi ja biogeograafiliste piirkondade tasandi hindamiseks, võib see varjata positiivseid muutusi madalamal (st kohalikul, piirkondlikul või riiklikul) tasandil.</w:t>
      </w:r>
    </w:p>
    <w:p>
      <w:pPr>
        <w:spacing w:before="240" w:after="240"/>
        <w:jc w:val="both"/>
        <w:rPr>
          <w:rFonts w:ascii="Times New Roman" w:hAnsi="Times New Roman" w:cs="Times New Roman"/>
          <w:b/>
          <w:i/>
          <w:noProof/>
          <w:sz w:val="24"/>
          <w:szCs w:val="24"/>
          <w:u w:val="single"/>
        </w:rPr>
      </w:pPr>
      <w:r>
        <w:rPr>
          <w:rFonts w:ascii="Times New Roman" w:hAnsi="Times New Roman"/>
          <w:b/>
          <w:i/>
          <w:noProof/>
          <w:sz w:val="24"/>
          <w:szCs w:val="24"/>
          <w:u w:val="single"/>
        </w:rPr>
        <w:t>2.1 Linnud</w:t>
      </w:r>
    </w:p>
    <w:p>
      <w:pPr>
        <w:spacing w:after="240"/>
        <w:jc w:val="both"/>
        <w:rPr>
          <w:rFonts w:ascii="Times New Roman" w:hAnsi="Times New Roman" w:cs="Times New Roman"/>
          <w:noProof/>
          <w:sz w:val="24"/>
          <w:szCs w:val="24"/>
        </w:rPr>
      </w:pPr>
      <w:r>
        <w:rPr>
          <w:rFonts w:ascii="Times New Roman" w:hAnsi="Times New Roman"/>
          <w:noProof/>
          <w:sz w:val="24"/>
          <w:szCs w:val="24"/>
        </w:rPr>
        <w:t>Linnudirektiiviga kaitstakse kõiki liikmesriikide Euroopa territooriumil looduslikult esinevaid metslinnuliike (üle 460 liigi). Selle I lisas on loetletud 197 (alam)liiki, mille elupaiku tuleb kaitsta erimeetmetega, sealhulgas linnualade määramisega. II lisas on loetletud 86 (alam)liiki, millele võib siseriiklike õigusaktide alusel jahti pidada.</w:t>
      </w:r>
    </w:p>
    <w:p>
      <w:pPr>
        <w:spacing w:after="240"/>
        <w:jc w:val="both"/>
        <w:rPr>
          <w:rFonts w:ascii="Times New Roman" w:hAnsi="Times New Roman" w:cs="Times New Roman"/>
          <w:noProof/>
          <w:sz w:val="24"/>
          <w:szCs w:val="24"/>
        </w:rPr>
      </w:pPr>
    </w:p>
    <w:p>
      <w:pPr>
        <w:spacing w:after="240"/>
        <w:rPr>
          <w:rFonts w:ascii="Times New Roman" w:eastAsia="Calibri" w:hAnsi="Times New Roman" w:cs="Times New Roman"/>
          <w:noProof/>
          <w:sz w:val="24"/>
          <w:szCs w:val="24"/>
        </w:rPr>
      </w:pPr>
      <w:r>
        <w:rPr>
          <w:rFonts w:ascii="Times New Roman" w:hAnsi="Times New Roman"/>
          <w:b/>
          <w:bCs/>
          <w:noProof/>
          <w:sz w:val="24"/>
          <w:szCs w:val="24"/>
        </w:rPr>
        <w:t>Linnud – populatsiooni staatus ELi tasandil</w:t>
      </w:r>
    </w:p>
    <w:tbl>
      <w:tblPr>
        <w:tblStyle w:val="HTG1"/>
        <w:tblpPr w:leftFromText="141" w:rightFromText="141" w:vertAnchor="text" w:horzAnchor="margin" w:tblpY="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tblGrid>
      <w:tr>
        <w:tc>
          <w:tcPr>
            <w:tcW w:w="6516" w:type="dxa"/>
          </w:tcPr>
          <w:p>
            <w:pPr>
              <w:spacing w:after="120"/>
              <w:rPr>
                <w:rFonts w:ascii="Times New Roman" w:hAnsi="Times New Roman" w:cs="Times New Roman"/>
                <w:b/>
                <w:noProof/>
                <w:sz w:val="20"/>
                <w:szCs w:val="20"/>
              </w:rPr>
            </w:pPr>
            <w:r>
              <w:rPr>
                <w:rFonts w:ascii="Times New Roman" w:hAnsi="Times New Roman"/>
                <w:b/>
                <w:noProof/>
                <w:sz w:val="20"/>
                <w:szCs w:val="20"/>
              </w:rPr>
              <w:t>Joonis 1. Linnuliikide populatsiooni staatus ELi tasandil</w:t>
            </w:r>
          </w:p>
        </w:tc>
      </w:tr>
      <w:tr>
        <w:tblPrEx>
          <w:tblCellMar>
            <w:left w:w="70" w:type="dxa"/>
            <w:right w:w="70" w:type="dxa"/>
          </w:tblCellMar>
        </w:tblPrEx>
        <w:trPr>
          <w:trHeight w:val="3299"/>
        </w:trPr>
        <w:tc>
          <w:tcPr>
            <w:tcW w:w="6516" w:type="dxa"/>
            <w:vAlign w:val="center"/>
          </w:tcPr>
          <w:p>
            <w:pPr>
              <w:jc w:val="center"/>
              <w:rPr>
                <w:rFonts w:ascii="Times New Roman" w:hAnsi="Times New Roman" w:cs="Times New Roman"/>
                <w:noProof/>
              </w:rPr>
            </w:pPr>
            <w:r>
              <w:rPr>
                <w:rFonts w:ascii="Times New Roman" w:hAnsi="Times New Roman" w:cs="Times New Roman"/>
                <w:noProof/>
                <w:lang w:val="en-GB" w:eastAsia="en-GB"/>
              </w:rPr>
              <w:drawing>
                <wp:inline distT="0" distB="0" distL="0" distR="0">
                  <wp:extent cx="4142105" cy="25038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2105" cy="2503805"/>
                          </a:xfrm>
                          <a:prstGeom prst="rect">
                            <a:avLst/>
                          </a:prstGeom>
                          <a:noFill/>
                          <a:ln>
                            <a:noFill/>
                          </a:ln>
                        </pic:spPr>
                      </pic:pic>
                    </a:graphicData>
                  </a:graphic>
                </wp:inline>
              </w:drawing>
            </w:r>
          </w:p>
        </w:tc>
      </w:tr>
      <w:tr>
        <w:tc>
          <w:tcPr>
            <w:tcW w:w="6516" w:type="dxa"/>
          </w:tcPr>
          <w:p>
            <w:pPr>
              <w:rPr>
                <w:rFonts w:ascii="Times New Roman" w:eastAsia="Calibri" w:hAnsi="Times New Roman" w:cs="Times New Roman"/>
                <w:noProof/>
                <w:sz w:val="18"/>
                <w:szCs w:val="18"/>
              </w:rPr>
            </w:pPr>
            <w:r>
              <w:rPr>
                <w:rFonts w:ascii="Times New Roman" w:hAnsi="Times New Roman"/>
                <w:b/>
                <w:bCs/>
                <w:noProof/>
                <w:sz w:val="18"/>
                <w:szCs w:val="18"/>
              </w:rPr>
              <w:t>Märkus</w:t>
            </w:r>
            <w:r>
              <w:rPr>
                <w:rFonts w:ascii="Times New Roman" w:hAnsi="Times New Roman"/>
                <w:noProof/>
                <w:sz w:val="18"/>
                <w:szCs w:val="18"/>
              </w:rPr>
              <w:t>: hindamiste koguarv on 463 (üks hinnang liigi kohta).</w:t>
            </w:r>
          </w:p>
        </w:tc>
      </w:tr>
    </w:tbl>
    <w:p>
      <w:pPr>
        <w:spacing w:before="40" w:after="40" w:line="240" w:lineRule="auto"/>
        <w:ind w:left="357"/>
        <w:rPr>
          <w:rFonts w:ascii="Times New Roman" w:hAnsi="Times New Roman" w:cs="Times New Roman"/>
          <w:noProof/>
          <w:sz w:val="20"/>
          <w:szCs w:val="20"/>
        </w:rPr>
      </w:pPr>
    </w:p>
    <w:p>
      <w:pPr>
        <w:spacing w:after="120"/>
        <w:rPr>
          <w:rFonts w:ascii="Times New Roman" w:eastAsia="Calibri" w:hAnsi="Times New Roman" w:cs="Times New Roman"/>
          <w:noProof/>
        </w:rPr>
      </w:pPr>
    </w:p>
    <w:p>
      <w:pPr>
        <w:spacing w:after="120"/>
        <w:jc w:val="both"/>
        <w:rPr>
          <w:rFonts w:ascii="Times New Roman" w:eastAsia="Calibri" w:hAnsi="Times New Roman" w:cs="Times New Roman"/>
          <w:noProof/>
        </w:rPr>
      </w:pPr>
    </w:p>
    <w:p>
      <w:pPr>
        <w:spacing w:after="120"/>
        <w:jc w:val="both"/>
        <w:rPr>
          <w:rFonts w:ascii="Times New Roman" w:eastAsia="Calibri" w:hAnsi="Times New Roman" w:cs="Times New Roman"/>
          <w:noProof/>
        </w:rPr>
      </w:pPr>
    </w:p>
    <w:p>
      <w:pPr>
        <w:spacing w:after="120"/>
        <w:jc w:val="both"/>
        <w:rPr>
          <w:rFonts w:ascii="Times New Roman" w:eastAsia="Calibri" w:hAnsi="Times New Roman" w:cs="Times New Roman"/>
          <w:noProof/>
        </w:rPr>
      </w:pPr>
    </w:p>
    <w:p>
      <w:pPr>
        <w:spacing w:after="120"/>
        <w:jc w:val="both"/>
        <w:rPr>
          <w:rFonts w:ascii="Times New Roman" w:eastAsia="Calibri" w:hAnsi="Times New Roman" w:cs="Times New Roman"/>
          <w:noProof/>
        </w:rPr>
      </w:pPr>
    </w:p>
    <w:p>
      <w:pPr>
        <w:spacing w:after="120"/>
        <w:jc w:val="both"/>
        <w:rPr>
          <w:rFonts w:ascii="Times New Roman" w:eastAsia="Calibri" w:hAnsi="Times New Roman" w:cs="Times New Roman"/>
          <w:noProof/>
        </w:rPr>
      </w:pPr>
    </w:p>
    <w:p>
      <w:pPr>
        <w:spacing w:after="120"/>
        <w:jc w:val="both"/>
        <w:rPr>
          <w:rFonts w:ascii="Times New Roman" w:eastAsia="Calibri" w:hAnsi="Times New Roman" w:cs="Times New Roman"/>
          <w:noProof/>
        </w:rPr>
      </w:pPr>
    </w:p>
    <w:p>
      <w:pPr>
        <w:spacing w:after="120"/>
        <w:jc w:val="both"/>
        <w:rPr>
          <w:rFonts w:ascii="Times New Roman" w:eastAsia="Calibri" w:hAnsi="Times New Roman" w:cs="Times New Roman"/>
          <w:noProof/>
        </w:rPr>
      </w:pPr>
    </w:p>
    <w:p>
      <w:pPr>
        <w:spacing w:after="120"/>
        <w:jc w:val="both"/>
        <w:rPr>
          <w:rFonts w:ascii="Times New Roman" w:eastAsia="Calibri" w:hAnsi="Times New Roman" w:cs="Times New Roman"/>
          <w:noProof/>
        </w:rPr>
      </w:pPr>
    </w:p>
    <w:p>
      <w:pPr>
        <w:spacing w:after="120"/>
        <w:jc w:val="both"/>
        <w:rPr>
          <w:rFonts w:ascii="Times New Roman" w:eastAsia="Calibri" w:hAnsi="Times New Roman" w:cs="Times New Roman"/>
          <w:noProof/>
        </w:rPr>
      </w:pPr>
    </w:p>
    <w:p>
      <w:pPr>
        <w:spacing w:after="120"/>
        <w:jc w:val="both"/>
        <w:rPr>
          <w:rFonts w:ascii="Times New Roman" w:eastAsia="Calibri" w:hAnsi="Times New Roman" w:cs="Times New Roman"/>
          <w:noProof/>
        </w:rPr>
      </w:pPr>
    </w:p>
    <w:p>
      <w:pPr>
        <w:spacing w:before="240" w:after="240"/>
        <w:jc w:val="both"/>
        <w:rPr>
          <w:rFonts w:ascii="Times New Roman" w:eastAsia="Calibri" w:hAnsi="Times New Roman" w:cs="Times New Roman"/>
          <w:noProof/>
          <w:sz w:val="24"/>
          <w:szCs w:val="24"/>
        </w:rPr>
      </w:pPr>
      <w:r>
        <w:rPr>
          <w:rFonts w:ascii="Times New Roman" w:hAnsi="Times New Roman"/>
          <w:noProof/>
          <w:sz w:val="24"/>
          <w:szCs w:val="24"/>
        </w:rPr>
        <w:t>ELi tasandi hindamine näitab, et 47 % puhul kõigist linnuliikidest on populatsiooni staatus hea; see on 5 protsendipunkti vähem kui 2015. aastal (52 %)</w:t>
      </w:r>
      <w:r>
        <w:rPr>
          <w:rStyle w:val="FootnoteReference"/>
          <w:rFonts w:ascii="Times New Roman" w:eastAsia="Calibri" w:hAnsi="Times New Roman" w:cs="Times New Roman"/>
          <w:noProof/>
          <w:sz w:val="24"/>
          <w:szCs w:val="24"/>
        </w:rPr>
        <w:footnoteReference w:id="8"/>
      </w:r>
      <w:r>
        <w:rPr>
          <w:rFonts w:ascii="Times New Roman" w:hAnsi="Times New Roman"/>
          <w:noProof/>
          <w:sz w:val="24"/>
          <w:szCs w:val="24"/>
        </w:rPr>
        <w:t>. Puuduliku ja halva staatusega liikide osakaal on suurenenud 32 %-lt 39 %-ni, samas kui 14 % liikide staatus on usaldusväärsete andmete puudumise tõttu endiselt teadmata (võrreldes 16 %-ga 2015. aastal).</w:t>
      </w:r>
    </w:p>
    <w:p>
      <w:pPr>
        <w:rPr>
          <w:rFonts w:ascii="Times New Roman" w:eastAsia="Calibri" w:hAnsi="Times New Roman" w:cs="Times New Roman"/>
          <w:b/>
          <w:bCs/>
          <w:noProof/>
        </w:rPr>
      </w:pPr>
      <w:r>
        <w:rPr>
          <w:noProof/>
        </w:rPr>
        <w:br w:type="page"/>
      </w:r>
    </w:p>
    <w:p>
      <w:pPr>
        <w:spacing w:after="240"/>
        <w:rPr>
          <w:rFonts w:ascii="Times New Roman" w:eastAsia="Calibri" w:hAnsi="Times New Roman" w:cs="Times New Roman"/>
          <w:b/>
          <w:bCs/>
          <w:noProof/>
          <w:sz w:val="24"/>
          <w:szCs w:val="24"/>
        </w:rPr>
      </w:pPr>
      <w:r>
        <w:rPr>
          <w:rFonts w:ascii="Times New Roman" w:hAnsi="Times New Roman"/>
          <w:b/>
          <w:bCs/>
          <w:noProof/>
          <w:sz w:val="24"/>
          <w:szCs w:val="24"/>
        </w:rPr>
        <w:t>Linnud – populatsiooni suundumused ELi tasandil</w:t>
      </w:r>
    </w:p>
    <w:tbl>
      <w:tblPr>
        <w:tblStyle w:val="TableGrid"/>
        <w:tblpPr w:leftFromText="141" w:rightFromText="141" w:vertAnchor="text" w:horzAnchor="margin" w:tblpY="57"/>
        <w:tblW w:w="9209" w:type="dxa"/>
        <w:tblCellMar>
          <w:left w:w="70" w:type="dxa"/>
          <w:right w:w="70" w:type="dxa"/>
        </w:tblCellMar>
        <w:tblLook w:val="04A0" w:firstRow="1" w:lastRow="0" w:firstColumn="1" w:lastColumn="0" w:noHBand="0" w:noVBand="1"/>
      </w:tblPr>
      <w:tblGrid>
        <w:gridCol w:w="4100"/>
        <w:gridCol w:w="5810"/>
      </w:tblGrid>
      <w:tr>
        <w:trPr>
          <w:trHeight w:val="3392"/>
        </w:trPr>
        <w:tc>
          <w:tcPr>
            <w:tcW w:w="4673" w:type="dxa"/>
            <w:tcBorders>
              <w:top w:val="nil"/>
              <w:left w:val="nil"/>
              <w:bottom w:val="nil"/>
              <w:right w:val="nil"/>
            </w:tcBorders>
          </w:tcPr>
          <w:p>
            <w:pPr>
              <w:pStyle w:val="Caption"/>
              <w:framePr w:hSpace="0" w:wrap="auto" w:vAnchor="margin" w:hAnchor="text" w:yAlign="inline"/>
              <w:rPr>
                <w:noProof/>
              </w:rPr>
            </w:pPr>
            <w:r>
              <w:rPr>
                <w:noProof/>
              </w:rPr>
              <w:t xml:space="preserve">Joonis </w:t>
            </w:r>
            <w:r>
              <w:rPr>
                <w:noProof/>
              </w:rPr>
              <w:fldChar w:fldCharType="begin"/>
            </w:r>
            <w:r>
              <w:rPr>
                <w:noProof/>
              </w:rPr>
              <w:instrText xml:space="preserve"> STYLEREF 1 \s </w:instrText>
            </w:r>
            <w:r>
              <w:rPr>
                <w:noProof/>
              </w:rPr>
              <w:fldChar w:fldCharType="separate"/>
            </w:r>
            <w:r>
              <w:rPr>
                <w:noProof/>
              </w:rPr>
              <w:t>2</w:t>
            </w:r>
            <w:r>
              <w:rPr>
                <w:noProof/>
              </w:rPr>
              <w:fldChar w:fldCharType="end"/>
            </w:r>
            <w:r>
              <w:rPr>
                <w:noProof/>
              </w:rPr>
              <w:t>a. Pesitsevate lindude populatsiooni lühiajalised (12 aasta) suundumused ELi tasandil</w:t>
            </w:r>
          </w:p>
          <w:p>
            <w:pPr>
              <w:spacing w:after="120" w:line="276" w:lineRule="auto"/>
              <w:jc w:val="both"/>
              <w:rPr>
                <w:rStyle w:val="EndnoteReference"/>
                <w:rFonts w:ascii="Times New Roman" w:hAnsi="Times New Roman" w:cs="Times New Roman"/>
                <w:b/>
                <w:bCs/>
                <w:noProof/>
                <w:sz w:val="24"/>
              </w:rPr>
            </w:pPr>
            <w:r>
              <w:rPr>
                <w:noProof/>
                <w:lang w:val="en-GB" w:eastAsia="en-GB"/>
              </w:rPr>
              <w:drawing>
                <wp:inline distT="0" distB="0" distL="0" distR="0">
                  <wp:extent cx="2508597" cy="1881301"/>
                  <wp:effectExtent l="0" t="0" r="635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8597" cy="1881301"/>
                          </a:xfrm>
                          <a:prstGeom prst="rect">
                            <a:avLst/>
                          </a:prstGeom>
                          <a:noFill/>
                        </pic:spPr>
                      </pic:pic>
                    </a:graphicData>
                  </a:graphic>
                </wp:inline>
              </w:drawing>
            </w:r>
          </w:p>
        </w:tc>
        <w:tc>
          <w:tcPr>
            <w:tcW w:w="4536" w:type="dxa"/>
            <w:tcBorders>
              <w:top w:val="nil"/>
              <w:left w:val="nil"/>
              <w:bottom w:val="nil"/>
              <w:right w:val="nil"/>
            </w:tcBorders>
          </w:tcPr>
          <w:p>
            <w:pPr>
              <w:pStyle w:val="Caption"/>
              <w:framePr w:hSpace="0" w:wrap="auto" w:vAnchor="margin" w:hAnchor="text" w:yAlign="inline"/>
              <w:rPr>
                <w:noProof/>
              </w:rPr>
            </w:pPr>
            <w:r>
              <w:rPr>
                <w:noProof/>
              </w:rPr>
              <w:t xml:space="preserve">Joonis </w:t>
            </w:r>
            <w:r>
              <w:rPr>
                <w:noProof/>
              </w:rPr>
              <w:fldChar w:fldCharType="begin"/>
            </w:r>
            <w:r>
              <w:rPr>
                <w:noProof/>
              </w:rPr>
              <w:instrText xml:space="preserve"> STYLEREF 1 \s </w:instrText>
            </w:r>
            <w:r>
              <w:rPr>
                <w:noProof/>
              </w:rPr>
              <w:fldChar w:fldCharType="separate"/>
            </w:r>
            <w:r>
              <w:rPr>
                <w:noProof/>
              </w:rPr>
              <w:t>2</w:t>
            </w:r>
            <w:r>
              <w:rPr>
                <w:noProof/>
              </w:rPr>
              <w:fldChar w:fldCharType="end"/>
            </w:r>
            <w:r>
              <w:rPr>
                <w:noProof/>
              </w:rPr>
              <w:t>b. Pesitsevate lindude populatsiooni pikaajalised (38 aasta) suundumused ELi tasandil</w:t>
            </w:r>
          </w:p>
          <w:p>
            <w:pPr>
              <w:jc w:val="center"/>
              <w:rPr>
                <w:rFonts w:ascii="Times New Roman" w:hAnsi="Times New Roman" w:cs="Times New Roman"/>
                <w:noProof/>
              </w:rPr>
            </w:pPr>
            <w:r>
              <w:rPr>
                <w:rFonts w:ascii="Times New Roman" w:hAnsi="Times New Roman" w:cs="Times New Roman"/>
                <w:noProof/>
                <w:lang w:val="en-GB" w:eastAsia="en-GB"/>
              </w:rPr>
              <w:drawing>
                <wp:inline distT="0" distB="0" distL="0" distR="0">
                  <wp:extent cx="3592195" cy="1916264"/>
                  <wp:effectExtent l="0" t="0" r="8255"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b="11528"/>
                          <a:stretch/>
                        </pic:blipFill>
                        <pic:spPr bwMode="auto">
                          <a:xfrm>
                            <a:off x="0" y="0"/>
                            <a:ext cx="3644755" cy="1944302"/>
                          </a:xfrm>
                          <a:prstGeom prst="rect">
                            <a:avLst/>
                          </a:prstGeom>
                          <a:noFill/>
                          <a:ln>
                            <a:noFill/>
                          </a:ln>
                          <a:extLst>
                            <a:ext uri="{53640926-AAD7-44D8-BBD7-CCE9431645EC}">
                              <a14:shadowObscured xmlns:a14="http://schemas.microsoft.com/office/drawing/2010/main"/>
                            </a:ext>
                          </a:extLst>
                        </pic:spPr>
                      </pic:pic>
                    </a:graphicData>
                  </a:graphic>
                </wp:inline>
              </w:drawing>
            </w:r>
          </w:p>
        </w:tc>
      </w:tr>
      <w:tr>
        <w:tc>
          <w:tcPr>
            <w:tcW w:w="9209" w:type="dxa"/>
            <w:gridSpan w:val="2"/>
            <w:tcBorders>
              <w:top w:val="nil"/>
              <w:left w:val="nil"/>
              <w:bottom w:val="nil"/>
              <w:right w:val="nil"/>
            </w:tcBorders>
          </w:tcPr>
          <w:p>
            <w:pPr>
              <w:pStyle w:val="Caption"/>
              <w:framePr w:hSpace="0" w:wrap="auto" w:vAnchor="margin" w:hAnchor="text" w:yAlign="inline"/>
              <w:rPr>
                <w:noProof/>
              </w:rPr>
            </w:pPr>
            <w:r>
              <w:rPr>
                <w:noProof/>
                <w:lang w:val="en-GB" w:eastAsia="en-GB"/>
              </w:rPr>
              <w:drawing>
                <wp:inline distT="0" distB="0" distL="0" distR="0">
                  <wp:extent cx="5502302" cy="468630"/>
                  <wp:effectExtent l="0" t="0" r="317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t="87892"/>
                          <a:stretch/>
                        </pic:blipFill>
                        <pic:spPr bwMode="auto">
                          <a:xfrm>
                            <a:off x="0" y="0"/>
                            <a:ext cx="5588426" cy="475965"/>
                          </a:xfrm>
                          <a:prstGeom prst="rect">
                            <a:avLst/>
                          </a:prstGeom>
                          <a:noFill/>
                          <a:ln>
                            <a:noFill/>
                          </a:ln>
                          <a:extLst>
                            <a:ext uri="{53640926-AAD7-44D8-BBD7-CCE9431645EC}">
                              <a14:shadowObscured xmlns:a14="http://schemas.microsoft.com/office/drawing/2010/main"/>
                            </a:ext>
                          </a:extLst>
                        </pic:spPr>
                      </pic:pic>
                    </a:graphicData>
                  </a:graphic>
                </wp:inline>
              </w:drawing>
            </w:r>
          </w:p>
        </w:tc>
      </w:tr>
      <w:tr>
        <w:trPr>
          <w:trHeight w:val="567"/>
        </w:trPr>
        <w:tc>
          <w:tcPr>
            <w:tcW w:w="9209" w:type="dxa"/>
            <w:gridSpan w:val="2"/>
            <w:tcBorders>
              <w:top w:val="nil"/>
              <w:left w:val="nil"/>
              <w:bottom w:val="nil"/>
              <w:right w:val="nil"/>
            </w:tcBorders>
          </w:tcPr>
          <w:p>
            <w:pPr>
              <w:spacing w:before="120" w:after="240"/>
              <w:jc w:val="both"/>
              <w:rPr>
                <w:rFonts w:ascii="Times New Roman" w:eastAsia="Calibri" w:hAnsi="Times New Roman" w:cs="Times New Roman"/>
                <w:noProof/>
                <w:sz w:val="18"/>
                <w:szCs w:val="18"/>
              </w:rPr>
            </w:pPr>
            <w:r>
              <w:rPr>
                <w:rFonts w:ascii="Times New Roman" w:hAnsi="Times New Roman"/>
                <w:b/>
                <w:bCs/>
                <w:noProof/>
                <w:sz w:val="18"/>
                <w:szCs w:val="18"/>
              </w:rPr>
              <w:t>Märkus</w:t>
            </w:r>
            <w:r>
              <w:rPr>
                <w:rFonts w:ascii="Times New Roman" w:hAnsi="Times New Roman"/>
                <w:b/>
                <w:noProof/>
                <w:sz w:val="18"/>
                <w:szCs w:val="18"/>
              </w:rPr>
              <w:t>:</w:t>
            </w:r>
            <w:r>
              <w:rPr>
                <w:rFonts w:ascii="Times New Roman" w:hAnsi="Times New Roman"/>
                <w:noProof/>
                <w:sz w:val="18"/>
                <w:szCs w:val="18"/>
              </w:rPr>
              <w:t xml:space="preserve"> statistika põhineb ELi pesitsevate lindude populatsiooni 465 lühiajalisel ja 467 pikaajalisel suundumusel. Sisaldab piiratud arvu alamliikide ja biogeograafiliste populatsioonide suundumusi.</w:t>
            </w:r>
          </w:p>
        </w:tc>
      </w:tr>
    </w:tbl>
    <w:p>
      <w:pPr>
        <w:spacing w:after="240"/>
        <w:jc w:val="both"/>
        <w:rPr>
          <w:rFonts w:ascii="Times New Roman" w:eastAsia="Calibri" w:hAnsi="Times New Roman" w:cs="Times New Roman"/>
          <w:noProof/>
          <w:sz w:val="24"/>
          <w:szCs w:val="24"/>
        </w:rPr>
      </w:pPr>
    </w:p>
    <w:p>
      <w:pPr>
        <w:spacing w:after="240"/>
        <w:jc w:val="both"/>
        <w:rPr>
          <w:rFonts w:ascii="Times New Roman" w:eastAsia="Calibri" w:hAnsi="Times New Roman" w:cs="Times New Roman"/>
          <w:noProof/>
          <w:sz w:val="24"/>
          <w:szCs w:val="24"/>
        </w:rPr>
      </w:pPr>
      <w:r>
        <w:rPr>
          <w:rFonts w:ascii="Times New Roman" w:hAnsi="Times New Roman"/>
          <w:noProof/>
          <w:sz w:val="24"/>
          <w:szCs w:val="24"/>
        </w:rPr>
        <w:t>Liikmesriigid teatasid nii pesitsevate kui ka talvituvate lindude populatsiooni suundumustest</w:t>
      </w:r>
      <w:r>
        <w:rPr>
          <w:rStyle w:val="FootnoteReference"/>
          <w:rFonts w:ascii="Times New Roman" w:eastAsia="Calibri" w:hAnsi="Times New Roman" w:cs="Times New Roman"/>
          <w:noProof/>
          <w:sz w:val="24"/>
          <w:szCs w:val="24"/>
        </w:rPr>
        <w:footnoteReference w:id="9"/>
      </w:r>
      <w:r>
        <w:rPr>
          <w:rFonts w:ascii="Times New Roman" w:hAnsi="Times New Roman"/>
          <w:noProof/>
          <w:sz w:val="24"/>
          <w:szCs w:val="24"/>
        </w:rPr>
        <w:t xml:space="preserve"> lühikese ja pika aja jooksul, st viimase 12 aasta (2007–2018) ja 38 aasta (1980–2018) jooksul.</w:t>
      </w:r>
    </w:p>
    <w:p>
      <w:pPr>
        <w:spacing w:after="120"/>
        <w:jc w:val="both"/>
        <w:rPr>
          <w:rFonts w:ascii="Times New Roman" w:hAnsi="Times New Roman" w:cs="Times New Roman"/>
          <w:noProof/>
          <w:sz w:val="24"/>
          <w:szCs w:val="24"/>
        </w:rPr>
      </w:pPr>
      <w:r>
        <w:rPr>
          <w:rFonts w:ascii="Times New Roman" w:hAnsi="Times New Roman"/>
          <w:noProof/>
          <w:sz w:val="24"/>
          <w:szCs w:val="24"/>
        </w:rPr>
        <w:t>Andmed näitavad, et:</w:t>
      </w:r>
    </w:p>
    <w:p>
      <w:pPr>
        <w:pStyle w:val="ListParagraph"/>
        <w:numPr>
          <w:ilvl w:val="0"/>
          <w:numId w:val="1"/>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lühikesel suundumuste perioodil väheneb ligi kolmandiku (30 %) kõigi hinnatud pesitsevate linnuliikide populatsioon (sama protsent mis 2015. aastal);</w:t>
      </w:r>
    </w:p>
    <w:p>
      <w:pPr>
        <w:pStyle w:val="ListParagraph"/>
        <w:numPr>
          <w:ilvl w:val="0"/>
          <w:numId w:val="1"/>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pesitsevate linnuliikide lühiajalised suundumused näitavad 2015. aastaga võrreldes 5 % võrra vähem liike, mille populatsioon suureneb, ning stabiilse või kõikuva suundumusega liikide osakaalu suurenemist 7 % võrra; teadmata suundumuse osakaal vähenes 2 % võrra;</w:t>
      </w:r>
    </w:p>
    <w:p>
      <w:pPr>
        <w:pStyle w:val="ListParagraph"/>
        <w:numPr>
          <w:ilvl w:val="0"/>
          <w:numId w:val="1"/>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pesitsevate linnuliikide pikaajalised suundumused näitavad pisut rohkem vähenemist kui suurenemist (2008.–2012. aastal oli olukord vastupidine); pesitsevate linnuliikide pika perioodi teadmata suundumuse osakaal vähenes aga 10 protsendipunkti, 30 %-lt 20 %-le, ning</w:t>
      </w:r>
    </w:p>
    <w:p>
      <w:pPr>
        <w:pStyle w:val="ListParagraph"/>
        <w:numPr>
          <w:ilvl w:val="0"/>
          <w:numId w:val="1"/>
        </w:numPr>
        <w:spacing w:after="24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91 talvituva linnuliigi populatsiooni suundumuste puhul on lühiajaline olukord sarnane 2015. aasta olukorraga (45 % populatsioon suureneb, 29 % oma väheneb); 54 % pikaajalistest suundumustest näitavad suurenemist ja 13 % vähenemist (esimeste osakaal on seega vähenenud 9 protsendipunkti, samas kui teise osakaal on peaaegu sama).</w:t>
      </w:r>
    </w:p>
    <w:p>
      <w:pPr>
        <w:rPr>
          <w:rFonts w:ascii="Times New Roman" w:hAnsi="Times New Roman" w:cs="Times New Roman"/>
          <w:b/>
          <w:bCs/>
          <w:noProof/>
          <w:sz w:val="24"/>
          <w:szCs w:val="24"/>
        </w:rPr>
      </w:pPr>
      <w:r>
        <w:rPr>
          <w:noProof/>
        </w:rPr>
        <w:br w:type="page"/>
      </w:r>
    </w:p>
    <w:p>
      <w:pPr>
        <w:spacing w:after="240"/>
        <w:rPr>
          <w:rFonts w:ascii="Times New Roman" w:hAnsi="Times New Roman" w:cs="Times New Roman"/>
          <w:noProof/>
        </w:rPr>
      </w:pPr>
      <w:r>
        <w:rPr>
          <w:rFonts w:ascii="Times New Roman" w:hAnsi="Times New Roman"/>
          <w:b/>
          <w:bCs/>
          <w:noProof/>
          <w:sz w:val="24"/>
          <w:szCs w:val="24"/>
        </w:rPr>
        <w:t>Lindude staatus ja suundumused vastavalt linnudirektiivi loeteludesse kuulumisele</w:t>
      </w:r>
    </w:p>
    <w:tbl>
      <w:tblPr>
        <w:tblStyle w:val="HTG1"/>
        <w:tblpPr w:leftFromText="141" w:rightFromText="141" w:vertAnchor="text" w:horzAnchor="margin" w:tblpY="85"/>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4252"/>
      </w:tblGrid>
      <w:tr>
        <w:trPr>
          <w:trHeight w:val="672"/>
        </w:trPr>
        <w:tc>
          <w:tcPr>
            <w:tcW w:w="4815" w:type="dxa"/>
          </w:tcPr>
          <w:p>
            <w:pPr>
              <w:keepNext/>
              <w:spacing w:after="120"/>
              <w:rPr>
                <w:rFonts w:ascii="Times New Roman" w:eastAsia="ヒラギノ角ゴ Pro W3" w:hAnsi="Times New Roman" w:cs="Times New Roman"/>
                <w:b/>
                <w:noProof/>
                <w:sz w:val="20"/>
                <w:szCs w:val="20"/>
              </w:rPr>
            </w:pPr>
            <w:r>
              <w:rPr>
                <w:rFonts w:ascii="Times New Roman" w:hAnsi="Times New Roman"/>
                <w:b/>
                <w:noProof/>
                <w:sz w:val="20"/>
                <w:szCs w:val="20"/>
              </w:rPr>
              <w:t>Joonis 3 a.</w:t>
            </w:r>
            <w:r>
              <w:rPr>
                <w:rFonts w:ascii="Times New Roman" w:hAnsi="Times New Roman"/>
                <w:b/>
                <w:iCs/>
                <w:noProof/>
                <w:color w:val="000000"/>
                <w:sz w:val="20"/>
                <w:szCs w:val="20"/>
              </w:rPr>
              <w:t xml:space="preserve"> </w:t>
            </w:r>
            <w:r>
              <w:rPr>
                <w:rFonts w:ascii="Times New Roman" w:hAnsi="Times New Roman"/>
                <w:b/>
                <w:noProof/>
                <w:sz w:val="20"/>
                <w:szCs w:val="20"/>
              </w:rPr>
              <w:t>I ja II lisas loetletud, I/II lisas loetlemata ja kõigi linnuliikide populatsiooni staatus ELis</w:t>
            </w:r>
          </w:p>
        </w:tc>
        <w:tc>
          <w:tcPr>
            <w:tcW w:w="4252" w:type="dxa"/>
          </w:tcPr>
          <w:p>
            <w:pPr>
              <w:keepNext/>
              <w:spacing w:after="120"/>
              <w:rPr>
                <w:rFonts w:ascii="Times New Roman" w:eastAsia="ヒラギノ角ゴ Pro W3" w:hAnsi="Times New Roman" w:cs="Times New Roman"/>
                <w:b/>
                <w:noProof/>
                <w:sz w:val="20"/>
                <w:szCs w:val="20"/>
              </w:rPr>
            </w:pPr>
            <w:r>
              <w:rPr>
                <w:rFonts w:ascii="Times New Roman" w:hAnsi="Times New Roman"/>
                <w:b/>
                <w:noProof/>
                <w:sz w:val="20"/>
                <w:szCs w:val="20"/>
              </w:rPr>
              <w:t>Joonis 3b. I ja II lisas loetletud, I/II lisas loetlemata ja kõigi pesitsevate linnuliikide populatsiooni lühiajalised suundumused ELis</w:t>
            </w:r>
          </w:p>
        </w:tc>
      </w:tr>
      <w:tr>
        <w:trPr>
          <w:trHeight w:val="2132"/>
        </w:trPr>
        <w:tc>
          <w:tcPr>
            <w:tcW w:w="4815" w:type="dxa"/>
          </w:tcPr>
          <w:p>
            <w:pPr>
              <w:keepNext/>
              <w:spacing w:after="60"/>
              <w:jc w:val="both"/>
              <w:rPr>
                <w:rFonts w:ascii="Times New Roman" w:eastAsia="ヒラギノ角ゴ Pro W3" w:hAnsi="Times New Roman" w:cs="Times New Roman"/>
                <w:b/>
                <w:noProof/>
                <w:sz w:val="18"/>
                <w:szCs w:val="20"/>
              </w:rPr>
            </w:pPr>
            <w:r>
              <w:rPr>
                <w:rFonts w:ascii="Times New Roman" w:eastAsia="ヒラギノ角ゴ Pro W3" w:hAnsi="Times New Roman" w:cs="Times New Roman"/>
                <w:b/>
                <w:noProof/>
                <w:sz w:val="18"/>
                <w:szCs w:val="20"/>
                <w:lang w:val="en-GB" w:eastAsia="en-GB"/>
              </w:rPr>
              <w:drawing>
                <wp:inline distT="0" distB="0" distL="0" distR="0">
                  <wp:extent cx="2917190" cy="2204085"/>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17190" cy="2204085"/>
                          </a:xfrm>
                          <a:prstGeom prst="rect">
                            <a:avLst/>
                          </a:prstGeom>
                          <a:noFill/>
                          <a:ln>
                            <a:noFill/>
                          </a:ln>
                        </pic:spPr>
                      </pic:pic>
                    </a:graphicData>
                  </a:graphic>
                </wp:inline>
              </w:drawing>
            </w:r>
          </w:p>
        </w:tc>
        <w:tc>
          <w:tcPr>
            <w:tcW w:w="4252" w:type="dxa"/>
          </w:tcPr>
          <w:p>
            <w:pPr>
              <w:keepNext/>
              <w:spacing w:after="60"/>
              <w:jc w:val="both"/>
              <w:rPr>
                <w:rFonts w:ascii="Times New Roman" w:eastAsia="ヒラギノ角ゴ Pro W3" w:hAnsi="Times New Roman" w:cs="Times New Roman"/>
                <w:b/>
                <w:noProof/>
                <w:sz w:val="18"/>
                <w:szCs w:val="20"/>
              </w:rPr>
            </w:pPr>
            <w:r>
              <w:rPr>
                <w:rFonts w:ascii="Times New Roman" w:eastAsia="ヒラギノ角ゴ Pro W3" w:hAnsi="Times New Roman" w:cs="Times New Roman"/>
                <w:b/>
                <w:noProof/>
                <w:sz w:val="18"/>
                <w:szCs w:val="20"/>
                <w:lang w:val="en-GB" w:eastAsia="en-GB"/>
              </w:rPr>
              <w:drawing>
                <wp:inline distT="0" distB="0" distL="0" distR="0">
                  <wp:extent cx="2558415" cy="21609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8415" cy="2160905"/>
                          </a:xfrm>
                          <a:prstGeom prst="rect">
                            <a:avLst/>
                          </a:prstGeom>
                          <a:noFill/>
                          <a:ln>
                            <a:noFill/>
                          </a:ln>
                        </pic:spPr>
                      </pic:pic>
                    </a:graphicData>
                  </a:graphic>
                </wp:inline>
              </w:drawing>
            </w:r>
          </w:p>
        </w:tc>
      </w:tr>
      <w:tr>
        <w:trPr>
          <w:trHeight w:val="526"/>
        </w:trPr>
        <w:tc>
          <w:tcPr>
            <w:tcW w:w="4815" w:type="dxa"/>
          </w:tcPr>
          <w:p>
            <w:pPr>
              <w:spacing w:before="120" w:after="240"/>
              <w:jc w:val="both"/>
              <w:rPr>
                <w:rFonts w:ascii="Times New Roman" w:hAnsi="Times New Roman" w:cs="Times New Roman"/>
                <w:noProof/>
              </w:rPr>
            </w:pPr>
            <w:r>
              <w:rPr>
                <w:rFonts w:ascii="Times New Roman" w:hAnsi="Times New Roman"/>
                <w:b/>
                <w:noProof/>
                <w:sz w:val="18"/>
                <w:szCs w:val="20"/>
              </w:rPr>
              <w:t>Märkus:</w:t>
            </w:r>
            <w:r>
              <w:rPr>
                <w:rFonts w:ascii="Times New Roman" w:hAnsi="Times New Roman"/>
                <w:noProof/>
                <w:sz w:val="18"/>
                <w:szCs w:val="18"/>
              </w:rPr>
              <w:t xml:space="preserve"> hindamiste koguarv on 505.</w:t>
            </w:r>
          </w:p>
        </w:tc>
        <w:tc>
          <w:tcPr>
            <w:tcW w:w="4252" w:type="dxa"/>
          </w:tcPr>
          <w:p>
            <w:pPr>
              <w:spacing w:before="120"/>
              <w:jc w:val="both"/>
              <w:rPr>
                <w:rFonts w:ascii="Times New Roman" w:hAnsi="Times New Roman" w:cs="Times New Roman"/>
                <w:noProof/>
                <w:sz w:val="18"/>
                <w:szCs w:val="20"/>
              </w:rPr>
            </w:pPr>
            <w:r>
              <w:rPr>
                <w:rFonts w:ascii="Times New Roman" w:hAnsi="Times New Roman"/>
                <w:b/>
                <w:noProof/>
                <w:sz w:val="18"/>
                <w:szCs w:val="20"/>
              </w:rPr>
              <w:t>Märkus:</w:t>
            </w:r>
            <w:r>
              <w:rPr>
                <w:rFonts w:ascii="Times New Roman" w:hAnsi="Times New Roman"/>
                <w:noProof/>
                <w:sz w:val="18"/>
                <w:szCs w:val="18"/>
              </w:rPr>
              <w:t xml:space="preserve"> hindamiste koguarv on 465.</w:t>
            </w:r>
          </w:p>
        </w:tc>
      </w:tr>
    </w:tbl>
    <w:p>
      <w:pPr>
        <w:spacing w:after="120"/>
        <w:jc w:val="both"/>
        <w:rPr>
          <w:rFonts w:ascii="Times New Roman" w:hAnsi="Times New Roman" w:cs="Times New Roman"/>
          <w:noProof/>
          <w:sz w:val="24"/>
          <w:szCs w:val="24"/>
        </w:rPr>
      </w:pPr>
    </w:p>
    <w:p>
      <w:pPr>
        <w:spacing w:after="120"/>
        <w:jc w:val="both"/>
        <w:rPr>
          <w:rFonts w:ascii="Times New Roman" w:hAnsi="Times New Roman" w:cs="Times New Roman"/>
          <w:noProof/>
          <w:sz w:val="24"/>
          <w:szCs w:val="24"/>
        </w:rPr>
      </w:pPr>
      <w:r>
        <w:rPr>
          <w:rFonts w:ascii="Times New Roman" w:hAnsi="Times New Roman"/>
          <w:noProof/>
          <w:sz w:val="24"/>
          <w:szCs w:val="24"/>
        </w:rPr>
        <w:t>Linnudirektiivi I ja II lisas loetletud liikide staatuse ja suundumuste analüüs näitab, et:</w:t>
      </w:r>
    </w:p>
    <w:p>
      <w:pPr>
        <w:pStyle w:val="ListParagraph"/>
        <w:numPr>
          <w:ilvl w:val="0"/>
          <w:numId w:val="1"/>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I lisas loetletud turvalise staatusega liikide osakaal vähenes alates 2015. aastast 8 protsendipunkti (48 %-lt 40 %-le), samas kui puuduliku ja halva staatusega liikide osakaal suurenes 6 protsendipunkti (38 %-lt 44 %-ni). See viitab sellele, et mitme I lisas loetletud liigi staatus on halvenenud, hoolimata direktiivis nõutud elupaikade kaitse erimeetmetest. Eriti muret tekitav on asjaolu, et 16 % puhul I lisas loetletud liikidest on staatus endiselt teadmata, mis rõhutab vajadust parandada liikmesriikides nende liikide seiresüsteeme;</w:t>
      </w:r>
    </w:p>
    <w:p>
      <w:pPr>
        <w:pStyle w:val="ListParagraph"/>
        <w:numPr>
          <w:ilvl w:val="0"/>
          <w:numId w:val="1"/>
        </w:numPr>
        <w:spacing w:after="120"/>
        <w:ind w:left="681" w:hanging="397"/>
        <w:contextualSpacing w:val="0"/>
        <w:jc w:val="both"/>
        <w:rPr>
          <w:rFonts w:ascii="Times New Roman" w:eastAsia="Calibri" w:hAnsi="Times New Roman" w:cs="Times New Roman"/>
          <w:noProof/>
          <w:sz w:val="24"/>
          <w:szCs w:val="24"/>
        </w:rPr>
      </w:pPr>
      <w:r>
        <w:rPr>
          <w:rFonts w:ascii="Times New Roman" w:hAnsi="Times New Roman"/>
          <w:noProof/>
          <w:sz w:val="24"/>
          <w:szCs w:val="24"/>
        </w:rPr>
        <w:t>II lisas loetletud hea staatusega (jahitavate) liikide osakaal oli 9 protsendipunkti väiksem kui 2015. aastal (vähenes 55 %-lt 46 %-le), samas kui puuduliku ja halva staatusega liikide osakaal suurenes 9 protsendipunkti (39 %-lt 48 %-ni), ning</w:t>
      </w:r>
    </w:p>
    <w:p>
      <w:pPr>
        <w:pStyle w:val="ListParagraph"/>
        <w:numPr>
          <w:ilvl w:val="0"/>
          <w:numId w:val="1"/>
        </w:numPr>
        <w:spacing w:after="24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pesitsevate lindude populatsiooni lühiajalisi suundumusi silmas pidades on II lisas loetletud liikide vähenemissuundumuste osakaal kõige suurem – umbes 46 %, st kaks korda suurem kui I lisas loetletud liikide puhul (23 %).</w:t>
      </w:r>
    </w:p>
    <w:p>
      <w:pPr>
        <w:spacing w:before="240" w:after="240"/>
        <w:jc w:val="both"/>
        <w:rPr>
          <w:rFonts w:ascii="Times New Roman" w:hAnsi="Times New Roman" w:cs="Times New Roman"/>
          <w:b/>
          <w:i/>
          <w:noProof/>
          <w:sz w:val="24"/>
          <w:szCs w:val="24"/>
          <w:u w:val="single"/>
        </w:rPr>
      </w:pPr>
      <w:r>
        <w:rPr>
          <w:rFonts w:ascii="Times New Roman" w:hAnsi="Times New Roman"/>
          <w:b/>
          <w:i/>
          <w:noProof/>
          <w:sz w:val="24"/>
          <w:szCs w:val="24"/>
          <w:u w:val="single"/>
        </w:rPr>
        <w:t>2.2 Elupaigatüübid</w:t>
      </w:r>
    </w:p>
    <w:p>
      <w:pPr>
        <w:spacing w:after="240"/>
        <w:jc w:val="both"/>
        <w:rPr>
          <w:rFonts w:ascii="Times New Roman" w:hAnsi="Times New Roman" w:cs="Times New Roman"/>
          <w:noProof/>
          <w:color w:val="000000" w:themeColor="text1"/>
          <w:sz w:val="24"/>
          <w:szCs w:val="24"/>
        </w:rPr>
      </w:pPr>
      <w:r>
        <w:rPr>
          <w:rFonts w:ascii="Times New Roman" w:hAnsi="Times New Roman"/>
          <w:noProof/>
          <w:sz w:val="24"/>
          <w:szCs w:val="24"/>
        </w:rPr>
        <w:t>Elupaikade direktiivi I lisas loetletud 233 elupaigatüübist 224 on maismaaelupaigad ja üheksa puhtalt mereelupaigad. Esimeste kohta teatatud pindala moodustab peaaegu kolmandiku EL 28 maismaapindalast ehk 1,3 miljonit km</w:t>
      </w:r>
      <w:r>
        <w:rPr>
          <w:rFonts w:ascii="Times New Roman" w:hAnsi="Times New Roman"/>
          <w:noProof/>
          <w:sz w:val="24"/>
          <w:szCs w:val="24"/>
          <w:vertAlign w:val="superscript"/>
        </w:rPr>
        <w:t>2</w:t>
      </w:r>
      <w:r>
        <w:rPr>
          <w:rFonts w:ascii="Times New Roman" w:hAnsi="Times New Roman"/>
          <w:noProof/>
          <w:sz w:val="24"/>
          <w:szCs w:val="24"/>
        </w:rPr>
        <w:t>. Teisena nimetatud elupaikade pindala hõlmab 0,4 miljonit km</w:t>
      </w:r>
      <w:r>
        <w:rPr>
          <w:rFonts w:ascii="Times New Roman" w:hAnsi="Times New Roman"/>
          <w:noProof/>
          <w:sz w:val="24"/>
          <w:szCs w:val="24"/>
          <w:vertAlign w:val="superscript"/>
        </w:rPr>
        <w:t>2</w:t>
      </w:r>
      <w:r>
        <w:rPr>
          <w:rFonts w:ascii="Times New Roman" w:hAnsi="Times New Roman"/>
          <w:noProof/>
          <w:sz w:val="24"/>
          <w:szCs w:val="24"/>
        </w:rPr>
        <w:t xml:space="preserve"> ELi vetest.</w:t>
      </w:r>
    </w:p>
    <w:p>
      <w:pPr>
        <w:spacing w:after="240"/>
        <w:jc w:val="both"/>
        <w:rPr>
          <w:rFonts w:ascii="Times New Roman" w:hAnsi="Times New Roman" w:cs="Times New Roman"/>
          <w:b/>
          <w:noProof/>
          <w:sz w:val="24"/>
          <w:szCs w:val="24"/>
        </w:rPr>
      </w:pPr>
      <w:r>
        <w:rPr>
          <w:rFonts w:ascii="Times New Roman" w:hAnsi="Times New Roman"/>
          <w:noProof/>
          <w:sz w:val="24"/>
          <w:szCs w:val="24"/>
        </w:rPr>
        <w:t xml:space="preserve">Elupaikade ulatus on väga erinev. Mõni neist hõlmab suuri alasid, kuid teised vaid väga väikesi maalappe. I lisa kõige arvukamad elupaigatüübid on metsaelupaigatüübid (35 % kõigist tüüpidest), millele järgnevad looduslikud ja poollooduslikud rohumaad (14 %). Sellised rühmad nagu parasvöötme nõmmed ja võserikud, jäiklehised võserikud, rabad ja sood ning paljandid moodustavad igaüks ainult ligikaudu 5 % loetletud elupaigatüüpidest. </w:t>
      </w:r>
    </w:p>
    <w:p>
      <w:pPr>
        <w:spacing w:after="240"/>
        <w:jc w:val="both"/>
        <w:rPr>
          <w:rFonts w:ascii="Times New Roman" w:hAnsi="Times New Roman" w:cs="Times New Roman"/>
          <w:b/>
          <w:noProof/>
          <w:sz w:val="24"/>
          <w:szCs w:val="24"/>
        </w:rPr>
      </w:pPr>
      <w:r>
        <w:rPr>
          <w:rFonts w:ascii="Times New Roman" w:hAnsi="Times New Roman"/>
          <w:b/>
          <w:noProof/>
          <w:sz w:val="24"/>
          <w:szCs w:val="24"/>
        </w:rPr>
        <w:t>Elupaikade kaitsestaatus</w:t>
      </w:r>
    </w:p>
    <w:tbl>
      <w:tblPr>
        <w:tblStyle w:val="TableGrid"/>
        <w:tblpPr w:leftFromText="141" w:rightFromText="141" w:vertAnchor="text" w:horzAnchor="margin" w:tblpY="179"/>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6"/>
      </w:tblGrid>
      <w:tr>
        <w:tc>
          <w:tcPr>
            <w:tcW w:w="3681" w:type="dxa"/>
          </w:tcPr>
          <w:p>
            <w:pPr>
              <w:pStyle w:val="Caption"/>
              <w:framePr w:hSpace="0" w:wrap="auto" w:vAnchor="margin" w:hAnchor="text" w:yAlign="inline"/>
              <w:rPr>
                <w:noProof/>
              </w:rPr>
            </w:pPr>
            <w:r>
              <w:rPr>
                <w:noProof/>
              </w:rPr>
              <w:t>Joonis 4a. Elupaikade kaitsestaatus ELi tasandil</w:t>
            </w:r>
          </w:p>
        </w:tc>
        <w:tc>
          <w:tcPr>
            <w:tcW w:w="5386" w:type="dxa"/>
          </w:tcPr>
          <w:p>
            <w:pPr>
              <w:pStyle w:val="Caption"/>
              <w:framePr w:hSpace="0" w:wrap="auto" w:vAnchor="margin" w:hAnchor="text" w:yAlign="inline"/>
              <w:rPr>
                <w:noProof/>
              </w:rPr>
            </w:pPr>
            <w:r>
              <w:rPr>
                <w:noProof/>
              </w:rPr>
              <w:t>Joonis 4b. Kaitsestaatus elupaigarühmade kaupa ELi tasandil</w:t>
            </w:r>
          </w:p>
        </w:tc>
      </w:tr>
      <w:tr>
        <w:tc>
          <w:tcPr>
            <w:tcW w:w="3681" w:type="dxa"/>
            <w:vAlign w:val="center"/>
          </w:tcPr>
          <w:p>
            <w:pPr>
              <w:pStyle w:val="Caption"/>
              <w:framePr w:hSpace="0" w:wrap="auto" w:vAnchor="margin" w:hAnchor="text" w:yAlign="inline"/>
              <w:rPr>
                <w:noProof/>
              </w:rPr>
            </w:pPr>
            <w:r>
              <w:rPr>
                <w:noProof/>
                <w:lang w:val="en-GB" w:eastAsia="en-GB"/>
              </w:rPr>
              <w:drawing>
                <wp:inline distT="0" distB="0" distL="0" distR="0">
                  <wp:extent cx="1511600" cy="1511600"/>
                  <wp:effectExtent l="0" t="0" r="0" b="0"/>
                  <wp:docPr id="9"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1513257" cy="15132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86" w:type="dxa"/>
          </w:tcPr>
          <w:p>
            <w:pPr>
              <w:pStyle w:val="Caption"/>
              <w:framePr w:hSpace="0" w:wrap="auto" w:vAnchor="margin" w:hAnchor="text" w:yAlign="inline"/>
              <w:rPr>
                <w:noProof/>
              </w:rPr>
            </w:pPr>
            <w:r>
              <w:rPr>
                <w:noProof/>
                <w:lang w:val="en-GB" w:eastAsia="en-GB"/>
              </w:rPr>
              <w:drawing>
                <wp:inline distT="0" distB="0" distL="0" distR="0">
                  <wp:extent cx="3143511" cy="1916264"/>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r="8480" b="18726"/>
                          <a:stretch/>
                        </pic:blipFill>
                        <pic:spPr bwMode="auto">
                          <a:xfrm>
                            <a:off x="0" y="0"/>
                            <a:ext cx="3187628" cy="1943158"/>
                          </a:xfrm>
                          <a:prstGeom prst="rect">
                            <a:avLst/>
                          </a:prstGeom>
                          <a:noFill/>
                          <a:ln>
                            <a:noFill/>
                          </a:ln>
                          <a:extLst>
                            <a:ext uri="{53640926-AAD7-44D8-BBD7-CCE9431645EC}">
                              <a14:shadowObscured xmlns:a14="http://schemas.microsoft.com/office/drawing/2010/main"/>
                            </a:ext>
                          </a:extLst>
                        </pic:spPr>
                      </pic:pic>
                    </a:graphicData>
                  </a:graphic>
                </wp:inline>
              </w:drawing>
            </w:r>
          </w:p>
        </w:tc>
      </w:tr>
      <w:tr>
        <w:tc>
          <w:tcPr>
            <w:tcW w:w="9067" w:type="dxa"/>
            <w:gridSpan w:val="2"/>
            <w:vAlign w:val="center"/>
          </w:tcPr>
          <w:p>
            <w:pPr>
              <w:pStyle w:val="Caption"/>
              <w:framePr w:hSpace="0" w:wrap="auto" w:vAnchor="margin" w:hAnchor="text" w:yAlign="inline"/>
              <w:rPr>
                <w:noProof/>
              </w:rPr>
            </w:pPr>
            <w:r>
              <w:rPr>
                <w:noProof/>
                <w:lang w:val="en-GB" w:eastAsia="en-GB"/>
              </w:rPr>
              <w:drawing>
                <wp:inline distT="0" distB="0" distL="0" distR="0">
                  <wp:extent cx="2951928" cy="2540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a:extLst>
                              <a:ext uri="{28A0092B-C50C-407E-A947-70E740481C1C}">
                                <a14:useLocalDpi xmlns:a14="http://schemas.microsoft.com/office/drawing/2010/main" val="0"/>
                              </a:ext>
                            </a:extLst>
                          </a:blip>
                          <a:srcRect l="22780" t="89571" r="17298" b="2591"/>
                          <a:stretch/>
                        </pic:blipFill>
                        <pic:spPr bwMode="auto">
                          <a:xfrm>
                            <a:off x="0" y="0"/>
                            <a:ext cx="3275492" cy="281841"/>
                          </a:xfrm>
                          <a:prstGeom prst="rect">
                            <a:avLst/>
                          </a:prstGeom>
                          <a:noFill/>
                          <a:ln>
                            <a:noFill/>
                          </a:ln>
                          <a:extLst>
                            <a:ext uri="{53640926-AAD7-44D8-BBD7-CCE9431645EC}">
                              <a14:shadowObscured xmlns:a14="http://schemas.microsoft.com/office/drawing/2010/main"/>
                            </a:ext>
                          </a:extLst>
                        </pic:spPr>
                      </pic:pic>
                    </a:graphicData>
                  </a:graphic>
                </wp:inline>
              </w:drawing>
            </w:r>
          </w:p>
        </w:tc>
      </w:tr>
      <w:tr>
        <w:tc>
          <w:tcPr>
            <w:tcW w:w="3681" w:type="dxa"/>
          </w:tcPr>
          <w:p>
            <w:pPr>
              <w:keepNext/>
              <w:jc w:val="both"/>
              <w:rPr>
                <w:rFonts w:ascii="Times New Roman" w:hAnsi="Times New Roman" w:cs="Times New Roman"/>
                <w:iCs/>
                <w:noProof/>
              </w:rPr>
            </w:pPr>
            <w:r>
              <w:rPr>
                <w:rFonts w:ascii="Times New Roman" w:hAnsi="Times New Roman"/>
                <w:b/>
                <w:noProof/>
                <w:sz w:val="18"/>
                <w:szCs w:val="18"/>
              </w:rPr>
              <w:t>Märkus:</w:t>
            </w:r>
            <w:r>
              <w:rPr>
                <w:rFonts w:ascii="Times New Roman" w:hAnsi="Times New Roman"/>
                <w:noProof/>
                <w:sz w:val="18"/>
                <w:szCs w:val="18"/>
              </w:rPr>
              <w:t xml:space="preserve"> statistika põhineb ELi elupaikade hindamiste arvul (818).</w:t>
            </w:r>
          </w:p>
        </w:tc>
        <w:tc>
          <w:tcPr>
            <w:tcW w:w="5386" w:type="dxa"/>
          </w:tcPr>
          <w:p>
            <w:pPr>
              <w:keepNext/>
              <w:spacing w:after="240"/>
              <w:jc w:val="both"/>
              <w:rPr>
                <w:noProof/>
              </w:rPr>
            </w:pPr>
            <w:r>
              <w:rPr>
                <w:rFonts w:ascii="Times New Roman" w:hAnsi="Times New Roman"/>
                <w:b/>
                <w:noProof/>
                <w:sz w:val="18"/>
                <w:szCs w:val="18"/>
              </w:rPr>
              <w:t>Märkus:</w:t>
            </w:r>
            <w:r>
              <w:rPr>
                <w:rFonts w:ascii="Times New Roman" w:hAnsi="Times New Roman"/>
                <w:noProof/>
                <w:sz w:val="18"/>
                <w:szCs w:val="18"/>
              </w:rPr>
              <w:t xml:space="preserve"> hindamiste arv rühma kohta on märgitud sulgudes. Mereelupaigad kuuluvad rannikuelupaikade rühma. Hindamiste koguarv on 818.</w:t>
            </w:r>
          </w:p>
        </w:tc>
      </w:tr>
    </w:tbl>
    <w:p>
      <w:pPr>
        <w:spacing w:after="240"/>
        <w:jc w:val="both"/>
        <w:rPr>
          <w:rFonts w:ascii="Times New Roman" w:hAnsi="Times New Roman" w:cs="Times New Roman"/>
          <w:noProof/>
          <w:sz w:val="24"/>
          <w:szCs w:val="24"/>
        </w:rPr>
      </w:pPr>
    </w:p>
    <w:p>
      <w:pPr>
        <w:spacing w:after="240"/>
        <w:jc w:val="both"/>
        <w:rPr>
          <w:rFonts w:ascii="Times New Roman" w:hAnsi="Times New Roman" w:cs="Times New Roman"/>
          <w:iCs/>
          <w:noProof/>
          <w:sz w:val="24"/>
          <w:szCs w:val="24"/>
        </w:rPr>
      </w:pPr>
      <w:r>
        <w:rPr>
          <w:rFonts w:ascii="Times New Roman" w:hAnsi="Times New Roman"/>
          <w:noProof/>
          <w:sz w:val="24"/>
          <w:szCs w:val="24"/>
        </w:rPr>
        <w:t xml:space="preserve">Elupaikade kaitsestaatus aruandeperioodil ei paranenud. Ainult 15 % elupaikade hinnangutest näitavad head kaitsestaatust; 2015. aastal oli see osakaal 16 %. Enamik hinnangutest näitab ebasoodsat staatust (45 % puudulikud ja 36 % halvad võrreldes 47 % ja 30 %-ga 2015. aastal). Kuigi puudulikku staatust näitavate hinnangute osakaal on vähenenud 2 protsendipunkti ja halba staatust näitavate hinnangute osakaal suurenenud 6 protsendipunkti, ei kajasta enamik muutusi tegelikku olukorra halvenemist kohapeal, vaid hindamismeetodite paranemist ELi või liikmesriikide tasandil.  </w:t>
      </w:r>
    </w:p>
    <w:p>
      <w:pPr>
        <w:spacing w:after="240"/>
        <w:jc w:val="both"/>
        <w:rPr>
          <w:rFonts w:ascii="Times New Roman" w:hAnsi="Times New Roman" w:cs="Times New Roman"/>
          <w:noProof/>
          <w:sz w:val="24"/>
          <w:szCs w:val="24"/>
        </w:rPr>
      </w:pPr>
      <w:r>
        <w:rPr>
          <w:rFonts w:ascii="Times New Roman" w:hAnsi="Times New Roman"/>
          <w:noProof/>
          <w:sz w:val="24"/>
          <w:szCs w:val="24"/>
        </w:rPr>
        <w:t>Üheksast teatatud elupaigarühmast said rannikuelupaigad (mis hõlmavad mereelupaiku) head staatust kinnitavaid hinnanguid kõige vähem. Halva staatuse osakaal oli kõige suurem luidete, rabade ja soode puhul (üle 50 %). Ka rohumaad, kus leidub väga liigirikkaid elupaiku, kuuluvad halva staatuse kõige suurema osakaaluga rühmade hulka (49 %). Eriti halvas seisundis on aktiivset majandamist vajavad rohumaad.</w:t>
      </w:r>
      <w:bookmarkStart w:id="2" w:name="_Toc42152720"/>
    </w:p>
    <w:p>
      <w:pPr>
        <w:spacing w:after="240"/>
        <w:jc w:val="both"/>
        <w:rPr>
          <w:rFonts w:ascii="Times New Roman" w:hAnsi="Times New Roman" w:cs="Times New Roman"/>
          <w:b/>
          <w:noProof/>
          <w:sz w:val="24"/>
          <w:szCs w:val="24"/>
        </w:rPr>
      </w:pPr>
      <w:r>
        <w:rPr>
          <w:rFonts w:ascii="Times New Roman" w:hAnsi="Times New Roman"/>
          <w:noProof/>
          <w:sz w:val="24"/>
          <w:szCs w:val="24"/>
        </w:rPr>
        <w:t>Endiselt valmistavad muret lüngad üheksat mereelupaika puudutavas teabes. Ligikaudu 26 % liikmesriikide mereelupaikadest on teadmata kaitsestaatusega (võrreldes 4 %-ga maismaaelupaikadest).</w:t>
      </w:r>
    </w:p>
    <w:p>
      <w:pPr>
        <w:rPr>
          <w:rFonts w:ascii="Times New Roman" w:hAnsi="Times New Roman" w:cs="Times New Roman"/>
          <w:b/>
          <w:noProof/>
          <w:sz w:val="24"/>
          <w:szCs w:val="24"/>
        </w:rPr>
      </w:pPr>
      <w:r>
        <w:rPr>
          <w:noProof/>
        </w:rPr>
        <w:br w:type="page"/>
      </w:r>
    </w:p>
    <w:p>
      <w:pPr>
        <w:spacing w:after="240" w:line="240" w:lineRule="auto"/>
        <w:jc w:val="both"/>
        <w:rPr>
          <w:rFonts w:ascii="Times New Roman" w:hAnsi="Times New Roman" w:cs="Times New Roman"/>
          <w:b/>
          <w:noProof/>
        </w:rPr>
      </w:pPr>
      <w:r>
        <w:rPr>
          <w:rFonts w:ascii="Times New Roman" w:hAnsi="Times New Roman"/>
          <w:b/>
          <w:noProof/>
          <w:sz w:val="24"/>
          <w:szCs w:val="24"/>
        </w:rPr>
        <w:t>Elupaikade kaitsestaatuse</w:t>
      </w:r>
      <w:bookmarkEnd w:id="2"/>
      <w:r>
        <w:rPr>
          <w:rFonts w:ascii="Times New Roman" w:hAnsi="Times New Roman"/>
          <w:b/>
          <w:noProof/>
          <w:sz w:val="24"/>
          <w:szCs w:val="24"/>
        </w:rPr>
        <w:t xml:space="preserve"> suundumused</w:t>
      </w:r>
    </w:p>
    <w:tbl>
      <w:tblPr>
        <w:tblStyle w:val="HTG2"/>
        <w:tblW w:w="9952" w:type="dxa"/>
        <w:tblInd w:w="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424"/>
        <w:gridCol w:w="5528"/>
      </w:tblGrid>
      <w:tr>
        <w:tc>
          <w:tcPr>
            <w:tcW w:w="4424" w:type="dxa"/>
          </w:tcPr>
          <w:p>
            <w:pPr>
              <w:keepNext/>
              <w:spacing w:after="120"/>
              <w:rPr>
                <w:rFonts w:ascii="Times New Roman" w:hAnsi="Times New Roman" w:cs="Times New Roman"/>
                <w:b/>
                <w:noProof/>
                <w:sz w:val="20"/>
                <w:szCs w:val="20"/>
              </w:rPr>
            </w:pPr>
            <w:r>
              <w:rPr>
                <w:rFonts w:ascii="Times New Roman" w:hAnsi="Times New Roman"/>
                <w:b/>
                <w:noProof/>
                <w:sz w:val="20"/>
                <w:szCs w:val="20"/>
              </w:rPr>
              <w:t>Joonis 5a. Ebasoodsa (st mitte hea) või teadmata staatusega elupaikade kaitsestaatuse suundumused ELi tasandil</w:t>
            </w:r>
          </w:p>
        </w:tc>
        <w:tc>
          <w:tcPr>
            <w:tcW w:w="5528" w:type="dxa"/>
          </w:tcPr>
          <w:p>
            <w:pPr>
              <w:keepNext/>
              <w:spacing w:after="120"/>
              <w:jc w:val="both"/>
              <w:rPr>
                <w:rFonts w:ascii="Times New Roman" w:hAnsi="Times New Roman" w:cs="Times New Roman"/>
                <w:b/>
                <w:noProof/>
                <w:sz w:val="20"/>
                <w:szCs w:val="20"/>
              </w:rPr>
            </w:pPr>
            <w:r>
              <w:rPr>
                <w:rFonts w:ascii="Times New Roman" w:hAnsi="Times New Roman"/>
                <w:b/>
                <w:noProof/>
                <w:sz w:val="20"/>
                <w:szCs w:val="20"/>
              </w:rPr>
              <w:t>Joonis 5b. Ebasoodsa (st mitte hea) või teadmata staatusega elupaikade kaitsestaatuse suundumused ELi tasandil elupaigarühmade kaupa</w:t>
            </w:r>
          </w:p>
        </w:tc>
      </w:tr>
      <w:tr>
        <w:tc>
          <w:tcPr>
            <w:tcW w:w="4424" w:type="dxa"/>
            <w:vAlign w:val="center"/>
          </w:tcPr>
          <w:p>
            <w:pPr>
              <w:keepNext/>
              <w:spacing w:after="120"/>
              <w:jc w:val="center"/>
              <w:rPr>
                <w:rFonts w:ascii="Times New Roman" w:hAnsi="Times New Roman" w:cs="Times New Roman"/>
                <w:noProof/>
              </w:rPr>
            </w:pPr>
          </w:p>
          <w:p>
            <w:pPr>
              <w:keepNext/>
              <w:spacing w:after="120"/>
              <w:jc w:val="center"/>
              <w:rPr>
                <w:rFonts w:ascii="Times New Roman" w:hAnsi="Times New Roman" w:cs="Times New Roman"/>
                <w:noProof/>
              </w:rPr>
            </w:pPr>
            <w:r>
              <w:rPr>
                <w:rFonts w:ascii="Times New Roman" w:hAnsi="Times New Roman"/>
                <w:noProof/>
                <w:lang w:val="en-GB" w:eastAsia="en-GB"/>
              </w:rPr>
              <w:drawing>
                <wp:inline distT="0" distB="0" distL="0" distR="0">
                  <wp:extent cx="1591310" cy="1591310"/>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1310" cy="1591310"/>
                          </a:xfrm>
                          <a:prstGeom prst="rect">
                            <a:avLst/>
                          </a:prstGeom>
                          <a:noFill/>
                        </pic:spPr>
                      </pic:pic>
                    </a:graphicData>
                  </a:graphic>
                </wp:inline>
              </w:drawing>
            </w:r>
          </w:p>
          <w:p>
            <w:pPr>
              <w:keepNext/>
              <w:spacing w:after="120"/>
              <w:jc w:val="center"/>
              <w:rPr>
                <w:rFonts w:ascii="Times New Roman" w:hAnsi="Times New Roman" w:cs="Times New Roman"/>
                <w:noProof/>
              </w:rPr>
            </w:pPr>
          </w:p>
        </w:tc>
        <w:tc>
          <w:tcPr>
            <w:tcW w:w="5528" w:type="dxa"/>
          </w:tcPr>
          <w:p>
            <w:pPr>
              <w:keepNext/>
              <w:spacing w:after="120"/>
              <w:jc w:val="both"/>
              <w:rPr>
                <w:rFonts w:ascii="Times New Roman" w:hAnsi="Times New Roman" w:cs="Times New Roman"/>
                <w:noProof/>
              </w:rPr>
            </w:pPr>
            <w:r>
              <w:rPr>
                <w:rFonts w:ascii="Times New Roman" w:hAnsi="Times New Roman"/>
                <w:noProof/>
                <w:lang w:val="en-GB" w:eastAsia="en-GB"/>
              </w:rPr>
              <w:drawing>
                <wp:inline distT="0" distB="0" distL="0" distR="0">
                  <wp:extent cx="3387256" cy="1867913"/>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a:extLst>
                              <a:ext uri="{28A0092B-C50C-407E-A947-70E740481C1C}">
                                <a14:useLocalDpi xmlns:a14="http://schemas.microsoft.com/office/drawing/2010/main" val="0"/>
                              </a:ext>
                            </a:extLst>
                          </a:blip>
                          <a:srcRect r="3957" b="14013"/>
                          <a:stretch/>
                        </pic:blipFill>
                        <pic:spPr bwMode="auto">
                          <a:xfrm>
                            <a:off x="0" y="0"/>
                            <a:ext cx="3435071" cy="1894281"/>
                          </a:xfrm>
                          <a:prstGeom prst="rect">
                            <a:avLst/>
                          </a:prstGeom>
                          <a:noFill/>
                          <a:ln>
                            <a:noFill/>
                          </a:ln>
                          <a:extLst>
                            <a:ext uri="{53640926-AAD7-44D8-BBD7-CCE9431645EC}">
                              <a14:shadowObscured xmlns:a14="http://schemas.microsoft.com/office/drawing/2010/main"/>
                            </a:ext>
                          </a:extLst>
                        </pic:spPr>
                      </pic:pic>
                    </a:graphicData>
                  </a:graphic>
                </wp:inline>
              </w:drawing>
            </w:r>
          </w:p>
        </w:tc>
      </w:tr>
      <w:tr>
        <w:tc>
          <w:tcPr>
            <w:tcW w:w="9952" w:type="dxa"/>
            <w:gridSpan w:val="2"/>
          </w:tcPr>
          <w:p>
            <w:pPr>
              <w:keepNext/>
              <w:spacing w:after="120"/>
              <w:jc w:val="both"/>
              <w:rPr>
                <w:rFonts w:ascii="Times New Roman" w:hAnsi="Times New Roman" w:cs="Times New Roman"/>
                <w:noProof/>
              </w:rPr>
            </w:pPr>
            <w:r>
              <w:rPr>
                <w:rFonts w:ascii="Times New Roman" w:hAnsi="Times New Roman"/>
                <w:noProof/>
                <w:lang w:val="en-GB" w:eastAsia="en-GB"/>
              </w:rPr>
              <w:drawing>
                <wp:inline distT="0" distB="0" distL="0" distR="0">
                  <wp:extent cx="5231958" cy="309880"/>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7">
                            <a:extLst>
                              <a:ext uri="{28A0092B-C50C-407E-A947-70E740481C1C}">
                                <a14:useLocalDpi xmlns:a14="http://schemas.microsoft.com/office/drawing/2010/main" val="0"/>
                              </a:ext>
                            </a:extLst>
                          </a:blip>
                          <a:srcRect l="6680" t="83222" r="1742" b="3122"/>
                          <a:stretch/>
                        </pic:blipFill>
                        <pic:spPr bwMode="auto">
                          <a:xfrm>
                            <a:off x="0" y="0"/>
                            <a:ext cx="5242989" cy="310533"/>
                          </a:xfrm>
                          <a:prstGeom prst="rect">
                            <a:avLst/>
                          </a:prstGeom>
                          <a:noFill/>
                          <a:ln>
                            <a:noFill/>
                          </a:ln>
                          <a:extLst>
                            <a:ext uri="{53640926-AAD7-44D8-BBD7-CCE9431645EC}">
                              <a14:shadowObscured xmlns:a14="http://schemas.microsoft.com/office/drawing/2010/main"/>
                            </a:ext>
                          </a:extLst>
                        </pic:spPr>
                      </pic:pic>
                    </a:graphicData>
                  </a:graphic>
                </wp:inline>
              </w:drawing>
            </w:r>
          </w:p>
        </w:tc>
      </w:tr>
      <w:tr>
        <w:tc>
          <w:tcPr>
            <w:tcW w:w="4424" w:type="dxa"/>
          </w:tcPr>
          <w:p>
            <w:pPr>
              <w:keepNext/>
              <w:jc w:val="both"/>
              <w:rPr>
                <w:rFonts w:ascii="Times New Roman" w:hAnsi="Times New Roman" w:cs="Times New Roman"/>
                <w:b/>
                <w:noProof/>
                <w:sz w:val="18"/>
                <w:szCs w:val="18"/>
              </w:rPr>
            </w:pPr>
            <w:r>
              <w:rPr>
                <w:rFonts w:ascii="Times New Roman" w:hAnsi="Times New Roman"/>
                <w:b/>
                <w:noProof/>
                <w:sz w:val="18"/>
                <w:szCs w:val="18"/>
              </w:rPr>
              <w:t>Märkus:</w:t>
            </w:r>
            <w:r>
              <w:rPr>
                <w:rFonts w:ascii="Times New Roman" w:hAnsi="Times New Roman"/>
                <w:noProof/>
                <w:sz w:val="18"/>
                <w:szCs w:val="18"/>
              </w:rPr>
              <w:t xml:space="preserve"> kaitsestaatuse suundumused põhinevad ELi elupaikade hindamistel (698).</w:t>
            </w:r>
          </w:p>
        </w:tc>
        <w:tc>
          <w:tcPr>
            <w:tcW w:w="5528" w:type="dxa"/>
          </w:tcPr>
          <w:p>
            <w:pPr>
              <w:keepNext/>
              <w:spacing w:after="240"/>
              <w:jc w:val="both"/>
              <w:rPr>
                <w:rFonts w:ascii="Times New Roman" w:hAnsi="Times New Roman" w:cs="Times New Roman"/>
                <w:noProof/>
              </w:rPr>
            </w:pPr>
            <w:r>
              <w:rPr>
                <w:rFonts w:ascii="Times New Roman" w:hAnsi="Times New Roman"/>
                <w:b/>
                <w:noProof/>
                <w:sz w:val="18"/>
                <w:szCs w:val="18"/>
              </w:rPr>
              <w:t>Märkus:</w:t>
            </w:r>
            <w:r>
              <w:rPr>
                <w:rFonts w:ascii="Times New Roman" w:hAnsi="Times New Roman"/>
                <w:noProof/>
                <w:sz w:val="18"/>
                <w:szCs w:val="18"/>
              </w:rPr>
              <w:t xml:space="preserve"> hindamiste arv on märgitud sulgudes. Hindamiste koguarv on 698.</w:t>
            </w:r>
          </w:p>
        </w:tc>
      </w:tr>
    </w:tbl>
    <w:p>
      <w:pPr>
        <w:spacing w:after="240"/>
        <w:jc w:val="both"/>
        <w:rPr>
          <w:rFonts w:ascii="Times New Roman" w:hAnsi="Times New Roman" w:cs="Times New Roman"/>
          <w:iCs/>
          <w:noProof/>
          <w:sz w:val="24"/>
          <w:szCs w:val="24"/>
        </w:rPr>
      </w:pPr>
    </w:p>
    <w:p>
      <w:pPr>
        <w:spacing w:after="240"/>
        <w:jc w:val="both"/>
        <w:rPr>
          <w:rFonts w:ascii="Times New Roman" w:hAnsi="Times New Roman" w:cs="Times New Roman"/>
          <w:iCs/>
          <w:noProof/>
          <w:sz w:val="24"/>
          <w:szCs w:val="24"/>
        </w:rPr>
      </w:pPr>
      <w:r>
        <w:rPr>
          <w:rFonts w:ascii="Times New Roman" w:hAnsi="Times New Roman"/>
          <w:iCs/>
          <w:noProof/>
          <w:sz w:val="24"/>
          <w:szCs w:val="24"/>
        </w:rPr>
        <w:t>81 % loetletud</w:t>
      </w:r>
      <w:r>
        <w:rPr>
          <w:rFonts w:ascii="Times New Roman" w:hAnsi="Times New Roman"/>
          <w:iCs/>
          <w:noProof/>
        </w:rPr>
        <w:t xml:space="preserve"> </w:t>
      </w:r>
      <w:r>
        <w:rPr>
          <w:rFonts w:ascii="Times New Roman" w:hAnsi="Times New Roman"/>
          <w:iCs/>
          <w:noProof/>
          <w:sz w:val="24"/>
          <w:szCs w:val="24"/>
        </w:rPr>
        <w:t xml:space="preserve">elupaikade staatus on hinnatud ELi tasandil puudulikuks või halvaks. Ainult 9 % olukord paraneb, samas kui 36 % puhul halveneb olukord jätkuvalt. </w:t>
      </w:r>
      <w:r>
        <w:rPr>
          <w:rFonts w:ascii="Times New Roman" w:hAnsi="Times New Roman"/>
          <w:noProof/>
          <w:sz w:val="24"/>
          <w:szCs w:val="24"/>
        </w:rPr>
        <w:t>Halveneva suundumuse osakaal on iga elupaigarühma puhul vähemalt 25 %, kui paljandid välja arvata (15 %). Rabade ja soode ning rohumaade ja luidete elupaikade puhul on halveneva suundumuse osakaal suurim (üle 50 % iga rühma puhul). Rohumaade elupaikade, peamiselt niitude,</w:t>
      </w:r>
      <w:r>
        <w:rPr>
          <w:rStyle w:val="FootnoteReference"/>
          <w:rFonts w:ascii="Times New Roman" w:hAnsi="Times New Roman" w:cs="Times New Roman"/>
          <w:noProof/>
          <w:sz w:val="24"/>
          <w:szCs w:val="24"/>
        </w:rPr>
        <w:footnoteReference w:id="10"/>
      </w:r>
      <w:r>
        <w:rPr>
          <w:rFonts w:ascii="Times New Roman" w:hAnsi="Times New Roman"/>
          <w:noProof/>
          <w:sz w:val="24"/>
          <w:szCs w:val="24"/>
        </w:rPr>
        <w:t xml:space="preserve"> sinihelmikaniitude</w:t>
      </w:r>
      <w:r>
        <w:rPr>
          <w:rStyle w:val="FootnoteReference"/>
          <w:rFonts w:ascii="Times New Roman" w:hAnsi="Times New Roman" w:cs="Times New Roman"/>
          <w:noProof/>
          <w:sz w:val="24"/>
          <w:szCs w:val="24"/>
        </w:rPr>
        <w:footnoteReference w:id="11"/>
      </w:r>
      <w:r>
        <w:rPr>
          <w:rFonts w:ascii="Times New Roman" w:hAnsi="Times New Roman"/>
          <w:noProof/>
          <w:sz w:val="24"/>
          <w:szCs w:val="24"/>
        </w:rPr>
        <w:t xml:space="preserve"> ja mitut liiki poollooduslike kuivade rohumaade</w:t>
      </w:r>
      <w:r>
        <w:rPr>
          <w:rStyle w:val="FootnoteReference"/>
          <w:rFonts w:ascii="Times New Roman" w:hAnsi="Times New Roman" w:cs="Times New Roman"/>
          <w:noProof/>
          <w:sz w:val="24"/>
          <w:szCs w:val="24"/>
        </w:rPr>
        <w:footnoteReference w:id="12"/>
      </w:r>
      <w:r>
        <w:rPr>
          <w:rFonts w:ascii="Times New Roman" w:hAnsi="Times New Roman"/>
          <w:noProof/>
          <w:sz w:val="24"/>
          <w:szCs w:val="24"/>
        </w:rPr>
        <w:t xml:space="preserve"> kaitsestaatus halveneb ning see näitab nende sõltuvust ekstensiivsest karjatamisest, mille osatähtsus endiselt kogu ELis väheneb. Metsaelupaikade hinnangud näitavad kõige suuremat paranemissuundumuse osakaalu (13 %).</w:t>
      </w:r>
    </w:p>
    <w:p>
      <w:pPr>
        <w:spacing w:after="240"/>
        <w:jc w:val="both"/>
        <w:rPr>
          <w:rFonts w:ascii="Times New Roman" w:hAnsi="Times New Roman" w:cs="Times New Roman"/>
          <w:b/>
          <w:i/>
          <w:noProof/>
          <w:sz w:val="24"/>
          <w:szCs w:val="24"/>
          <w:u w:val="single"/>
        </w:rPr>
      </w:pPr>
      <w:r>
        <w:rPr>
          <w:rFonts w:ascii="Times New Roman" w:hAnsi="Times New Roman"/>
          <w:b/>
          <w:i/>
          <w:noProof/>
          <w:sz w:val="24"/>
          <w:szCs w:val="24"/>
          <w:u w:val="single"/>
        </w:rPr>
        <w:t>2.3 Muud kui linnuliigid</w:t>
      </w:r>
    </w:p>
    <w:p>
      <w:pPr>
        <w:spacing w:after="240"/>
        <w:jc w:val="both"/>
        <w:rPr>
          <w:rFonts w:ascii="Times New Roman" w:eastAsia="ヒラギノ角ゴ Pro W3" w:hAnsi="Times New Roman" w:cs="Times New Roman"/>
          <w:iCs/>
          <w:noProof/>
          <w:sz w:val="24"/>
          <w:szCs w:val="24"/>
        </w:rPr>
      </w:pPr>
      <w:r>
        <w:rPr>
          <w:rFonts w:ascii="Times New Roman" w:hAnsi="Times New Roman"/>
          <w:noProof/>
          <w:sz w:val="24"/>
          <w:szCs w:val="24"/>
        </w:rPr>
        <w:t>Elupaikade direktiivi II, IV ja V lisas on loetletud 1 389 Euroopa tähtsusega liiki</w:t>
      </w:r>
      <w:r>
        <w:rPr>
          <w:rStyle w:val="FootnoteReference"/>
          <w:rFonts w:ascii="Times New Roman" w:hAnsi="Times New Roman" w:cs="Times New Roman"/>
          <w:noProof/>
          <w:sz w:val="24"/>
          <w:szCs w:val="24"/>
        </w:rPr>
        <w:footnoteReference w:id="13"/>
      </w:r>
      <w:r>
        <w:rPr>
          <w:rFonts w:ascii="Times New Roman" w:hAnsi="Times New Roman"/>
          <w:noProof/>
          <w:sz w:val="24"/>
          <w:szCs w:val="24"/>
        </w:rPr>
        <w:t>. Mõnes</w:t>
      </w:r>
      <w:r>
        <w:rPr>
          <w:rFonts w:ascii="Times New Roman" w:hAnsi="Times New Roman"/>
          <w:iCs/>
          <w:noProof/>
          <w:sz w:val="24"/>
          <w:szCs w:val="24"/>
        </w:rPr>
        <w:t xml:space="preserve"> suuremas taksonoomilises rühmas, nagu molluskid, lülijalgsed ja soontaimed, on lisades loetletud liikide osakaal väga väike. Kõige paremini esindatud rühm on selgroogsed – loetletud on 85 % kahepaiksetest, 70 % roomajatest, 64 % imetajatest ja 39 % mageveekalade liikidest. Paljud loetlemata liigid, sealhulgas paljud levinumad liigid, saavad kasu direktiivis ette nähtud meetmetest, sealhulgas I lisa kohaste elupaigatüüpide kaitsest.</w:t>
      </w:r>
    </w:p>
    <w:p>
      <w:pPr>
        <w:rPr>
          <w:rFonts w:ascii="Times New Roman" w:eastAsia="ヒラギノ角ゴ Pro W3" w:hAnsi="Times New Roman" w:cs="Times New Roman"/>
          <w:b/>
          <w:iCs/>
          <w:noProof/>
        </w:rPr>
      </w:pPr>
      <w:r>
        <w:rPr>
          <w:rFonts w:ascii="Times New Roman" w:hAnsi="Times New Roman"/>
          <w:b/>
          <w:iCs/>
          <w:noProof/>
          <w:sz w:val="24"/>
          <w:szCs w:val="24"/>
        </w:rPr>
        <w:t>Liikide kaitsestaatus</w:t>
      </w:r>
    </w:p>
    <w:tbl>
      <w:tblPr>
        <w:tblStyle w:val="HTG3"/>
        <w:tblpPr w:leftFromText="142" w:rightFromText="142" w:vertAnchor="text" w:horzAnchor="margin" w:tblpY="38"/>
        <w:tblOverlap w:val="never"/>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4848"/>
      </w:tblGrid>
      <w:tr>
        <w:tc>
          <w:tcPr>
            <w:tcW w:w="4503" w:type="dxa"/>
          </w:tcPr>
          <w:p>
            <w:pPr>
              <w:keepNext/>
              <w:tabs>
                <w:tab w:val="center" w:pos="2370"/>
                <w:tab w:val="right" w:pos="4741"/>
              </w:tabs>
              <w:spacing w:after="120"/>
              <w:ind w:left="-105"/>
              <w:rPr>
                <w:rFonts w:ascii="Times New Roman" w:hAnsi="Times New Roman" w:cs="Times New Roman"/>
                <w:b/>
                <w:noProof/>
                <w:sz w:val="20"/>
                <w:szCs w:val="20"/>
              </w:rPr>
            </w:pPr>
            <w:r>
              <w:rPr>
                <w:rFonts w:ascii="Times New Roman" w:hAnsi="Times New Roman"/>
                <w:b/>
                <w:noProof/>
                <w:sz w:val="20"/>
                <w:szCs w:val="20"/>
              </w:rPr>
              <w:t xml:space="preserve">Joonis 6a. Liikide kaitsestaatus ELi tasandil </w:t>
            </w:r>
          </w:p>
        </w:tc>
        <w:tc>
          <w:tcPr>
            <w:tcW w:w="4848" w:type="dxa"/>
          </w:tcPr>
          <w:p>
            <w:pPr>
              <w:keepNext/>
              <w:tabs>
                <w:tab w:val="center" w:pos="2370"/>
                <w:tab w:val="right" w:pos="4741"/>
              </w:tabs>
              <w:spacing w:after="120"/>
              <w:ind w:left="-105"/>
              <w:rPr>
                <w:rFonts w:ascii="Times New Roman" w:hAnsi="Times New Roman" w:cs="Times New Roman"/>
                <w:b/>
                <w:noProof/>
                <w:sz w:val="20"/>
                <w:szCs w:val="20"/>
              </w:rPr>
            </w:pPr>
            <w:r>
              <w:rPr>
                <w:rFonts w:ascii="Times New Roman" w:hAnsi="Times New Roman"/>
                <w:b/>
                <w:noProof/>
                <w:sz w:val="20"/>
                <w:szCs w:val="20"/>
              </w:rPr>
              <w:t>Joonis 6b. Kaitsestaatus liigirühmade kaupa ELi tasandil</w:t>
            </w:r>
          </w:p>
        </w:tc>
      </w:tr>
      <w:tr>
        <w:trPr>
          <w:trHeight w:val="3011"/>
        </w:trPr>
        <w:tc>
          <w:tcPr>
            <w:tcW w:w="4503" w:type="dxa"/>
            <w:vAlign w:val="center"/>
          </w:tcPr>
          <w:p>
            <w:pPr>
              <w:keepNext/>
              <w:tabs>
                <w:tab w:val="center" w:pos="2370"/>
                <w:tab w:val="right" w:pos="4741"/>
              </w:tabs>
              <w:ind w:left="-105"/>
              <w:jc w:val="center"/>
              <w:rPr>
                <w:rFonts w:ascii="Times New Roman" w:hAnsi="Times New Roman" w:cs="Times New Roman"/>
                <w:noProof/>
              </w:rPr>
            </w:pPr>
            <w:r>
              <w:rPr>
                <w:rFonts w:ascii="Times New Roman" w:hAnsi="Times New Roman"/>
                <w:noProof/>
                <w:lang w:val="en-GB" w:eastAsia="en-GB"/>
              </w:rPr>
              <w:drawing>
                <wp:inline distT="0" distB="0" distL="0" distR="0">
                  <wp:extent cx="1581235" cy="1609725"/>
                  <wp:effectExtent l="0" t="0" r="0" b="0"/>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1587253" cy="1615852"/>
                          </a:xfrm>
                          <a:prstGeom prst="rect">
                            <a:avLst/>
                          </a:prstGeom>
                          <a:noFill/>
                          <a:ln>
                            <a:noFill/>
                          </a:ln>
                          <a:extLst>
                            <a:ext uri="{53640926-AAD7-44D8-BBD7-CCE9431645EC}">
                              <a14:shadowObscured xmlns:a14="http://schemas.microsoft.com/office/drawing/2010/main"/>
                            </a:ext>
                          </a:extLst>
                        </pic:spPr>
                      </pic:pic>
                    </a:graphicData>
                  </a:graphic>
                </wp:inline>
              </w:drawing>
            </w:r>
          </w:p>
          <w:p>
            <w:pPr>
              <w:keepNext/>
              <w:spacing w:after="60"/>
              <w:ind w:left="-105"/>
              <w:jc w:val="center"/>
              <w:rPr>
                <w:rFonts w:ascii="Times New Roman" w:eastAsia="ヒラギノ角ゴ Pro W3" w:hAnsi="Times New Roman" w:cs="Times New Roman"/>
                <w:b/>
                <w:noProof/>
                <w:sz w:val="18"/>
                <w:szCs w:val="20"/>
                <w:lang w:eastAsia="de-DE"/>
              </w:rPr>
            </w:pPr>
          </w:p>
        </w:tc>
        <w:tc>
          <w:tcPr>
            <w:tcW w:w="4848" w:type="dxa"/>
          </w:tcPr>
          <w:p>
            <w:pPr>
              <w:keepNext/>
              <w:tabs>
                <w:tab w:val="center" w:pos="2370"/>
                <w:tab w:val="right" w:pos="4741"/>
              </w:tabs>
              <w:ind w:left="-105"/>
              <w:jc w:val="both"/>
              <w:rPr>
                <w:rFonts w:ascii="Times New Roman" w:hAnsi="Times New Roman" w:cs="Times New Roman"/>
                <w:noProof/>
              </w:rPr>
            </w:pPr>
            <w:r>
              <w:rPr>
                <w:rFonts w:ascii="Times New Roman" w:hAnsi="Times New Roman"/>
                <w:noProof/>
                <w:lang w:val="en-GB" w:eastAsia="en-GB"/>
              </w:rPr>
              <w:drawing>
                <wp:inline distT="0" distB="0" distL="0" distR="0">
                  <wp:extent cx="3100615" cy="1868767"/>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9">
                            <a:extLst>
                              <a:ext uri="{28A0092B-C50C-407E-A947-70E740481C1C}">
                                <a14:useLocalDpi xmlns:a14="http://schemas.microsoft.com/office/drawing/2010/main" val="0"/>
                              </a:ext>
                            </a:extLst>
                          </a:blip>
                          <a:srcRect b="17092"/>
                          <a:stretch/>
                        </pic:blipFill>
                        <pic:spPr bwMode="auto">
                          <a:xfrm>
                            <a:off x="0" y="0"/>
                            <a:ext cx="3110835" cy="1874927"/>
                          </a:xfrm>
                          <a:prstGeom prst="rect">
                            <a:avLst/>
                          </a:prstGeom>
                          <a:noFill/>
                          <a:ln>
                            <a:noFill/>
                          </a:ln>
                          <a:extLst>
                            <a:ext uri="{53640926-AAD7-44D8-BBD7-CCE9431645EC}">
                              <a14:shadowObscured xmlns:a14="http://schemas.microsoft.com/office/drawing/2010/main"/>
                            </a:ext>
                          </a:extLst>
                        </pic:spPr>
                      </pic:pic>
                    </a:graphicData>
                  </a:graphic>
                </wp:inline>
              </w:drawing>
            </w:r>
          </w:p>
          <w:p>
            <w:pPr>
              <w:keepNext/>
              <w:spacing w:after="60"/>
              <w:ind w:left="-105"/>
              <w:jc w:val="both"/>
              <w:rPr>
                <w:rFonts w:ascii="Times New Roman" w:eastAsia="ヒラギノ角ゴ Pro W3" w:hAnsi="Times New Roman" w:cs="Times New Roman"/>
                <w:b/>
                <w:noProof/>
                <w:sz w:val="18"/>
                <w:szCs w:val="20"/>
                <w:lang w:eastAsia="de-DE"/>
              </w:rPr>
            </w:pPr>
          </w:p>
        </w:tc>
      </w:tr>
      <w:tr>
        <w:tc>
          <w:tcPr>
            <w:tcW w:w="9351" w:type="dxa"/>
            <w:gridSpan w:val="2"/>
          </w:tcPr>
          <w:p>
            <w:pPr>
              <w:keepNext/>
              <w:tabs>
                <w:tab w:val="center" w:pos="2370"/>
                <w:tab w:val="right" w:pos="4741"/>
              </w:tabs>
              <w:jc w:val="center"/>
              <w:rPr>
                <w:rFonts w:ascii="Times New Roman" w:hAnsi="Times New Roman" w:cs="Times New Roman"/>
                <w:b/>
                <w:noProof/>
                <w:sz w:val="18"/>
              </w:rPr>
            </w:pPr>
            <w:r>
              <w:rPr>
                <w:rFonts w:ascii="Times New Roman" w:hAnsi="Times New Roman"/>
                <w:b/>
                <w:noProof/>
                <w:sz w:val="18"/>
                <w:szCs w:val="17"/>
                <w:lang w:val="en-GB" w:eastAsia="en-GB"/>
              </w:rPr>
              <w:drawing>
                <wp:inline distT="0" distB="0" distL="0" distR="0">
                  <wp:extent cx="3586038" cy="302149"/>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0">
                            <a:extLst>
                              <a:ext uri="{28A0092B-C50C-407E-A947-70E740481C1C}">
                                <a14:useLocalDpi xmlns:a14="http://schemas.microsoft.com/office/drawing/2010/main" val="0"/>
                              </a:ext>
                            </a:extLst>
                          </a:blip>
                          <a:srcRect l="8992" t="87246" r="9892" b="1718"/>
                          <a:stretch/>
                        </pic:blipFill>
                        <pic:spPr bwMode="auto">
                          <a:xfrm>
                            <a:off x="0" y="0"/>
                            <a:ext cx="3592731" cy="302713"/>
                          </a:xfrm>
                          <a:prstGeom prst="rect">
                            <a:avLst/>
                          </a:prstGeom>
                          <a:noFill/>
                          <a:ln>
                            <a:noFill/>
                          </a:ln>
                          <a:extLst>
                            <a:ext uri="{53640926-AAD7-44D8-BBD7-CCE9431645EC}">
                              <a14:shadowObscured xmlns:a14="http://schemas.microsoft.com/office/drawing/2010/main"/>
                            </a:ext>
                          </a:extLst>
                        </pic:spPr>
                      </pic:pic>
                    </a:graphicData>
                  </a:graphic>
                </wp:inline>
              </w:drawing>
            </w:r>
          </w:p>
        </w:tc>
      </w:tr>
      <w:tr>
        <w:tc>
          <w:tcPr>
            <w:tcW w:w="4503" w:type="dxa"/>
          </w:tcPr>
          <w:p>
            <w:pPr>
              <w:keepNext/>
              <w:tabs>
                <w:tab w:val="center" w:pos="2370"/>
                <w:tab w:val="right" w:pos="4741"/>
              </w:tabs>
              <w:spacing w:before="120"/>
              <w:jc w:val="both"/>
              <w:rPr>
                <w:rFonts w:ascii="Times New Roman" w:hAnsi="Times New Roman" w:cs="Times New Roman"/>
                <w:noProof/>
                <w:sz w:val="18"/>
                <w:szCs w:val="18"/>
              </w:rPr>
            </w:pPr>
            <w:r>
              <w:rPr>
                <w:rFonts w:ascii="Times New Roman" w:hAnsi="Times New Roman"/>
                <w:b/>
                <w:noProof/>
                <w:sz w:val="18"/>
                <w:szCs w:val="18"/>
              </w:rPr>
              <w:t>Märkus:</w:t>
            </w:r>
            <w:r>
              <w:rPr>
                <w:rFonts w:ascii="Times New Roman" w:hAnsi="Times New Roman"/>
                <w:noProof/>
                <w:sz w:val="18"/>
                <w:szCs w:val="18"/>
              </w:rPr>
              <w:t xml:space="preserve"> statistika põhineb ELi liikide hindamiste arvul (2 825). </w:t>
            </w:r>
          </w:p>
        </w:tc>
        <w:tc>
          <w:tcPr>
            <w:tcW w:w="4848" w:type="dxa"/>
          </w:tcPr>
          <w:p>
            <w:pPr>
              <w:keepNext/>
              <w:tabs>
                <w:tab w:val="center" w:pos="2370"/>
                <w:tab w:val="right" w:pos="4741"/>
              </w:tabs>
              <w:spacing w:before="120" w:after="240"/>
              <w:jc w:val="both"/>
              <w:rPr>
                <w:rFonts w:ascii="Times New Roman" w:hAnsi="Times New Roman" w:cs="Times New Roman"/>
                <w:b/>
                <w:noProof/>
                <w:sz w:val="18"/>
              </w:rPr>
            </w:pPr>
            <w:r>
              <w:rPr>
                <w:rFonts w:ascii="Times New Roman" w:hAnsi="Times New Roman"/>
                <w:b/>
                <w:noProof/>
                <w:sz w:val="18"/>
                <w:szCs w:val="18"/>
              </w:rPr>
              <w:t>Märkus:</w:t>
            </w:r>
            <w:r>
              <w:rPr>
                <w:rFonts w:ascii="Times New Roman" w:hAnsi="Times New Roman"/>
                <w:noProof/>
                <w:sz w:val="18"/>
                <w:szCs w:val="18"/>
              </w:rPr>
              <w:t xml:space="preserve"> hindamiste arv rühma kohta on märgitud sulgudes. Hindamiste koguarv on 2 825.</w:t>
            </w:r>
          </w:p>
        </w:tc>
      </w:tr>
    </w:tbl>
    <w:p>
      <w:pPr>
        <w:spacing w:after="240"/>
        <w:jc w:val="both"/>
        <w:rPr>
          <w:rFonts w:ascii="Times New Roman" w:eastAsia="ヒラギノ角ゴ Pro W3" w:hAnsi="Times New Roman" w:cs="Times New Roman"/>
          <w:iCs/>
          <w:noProof/>
        </w:rPr>
      </w:pPr>
    </w:p>
    <w:p>
      <w:pPr>
        <w:spacing w:after="240"/>
        <w:jc w:val="both"/>
        <w:rPr>
          <w:rFonts w:ascii="Times New Roman" w:hAnsi="Times New Roman" w:cs="Times New Roman"/>
          <w:noProof/>
          <w:sz w:val="24"/>
          <w:szCs w:val="24"/>
        </w:rPr>
      </w:pPr>
      <w:r>
        <w:rPr>
          <w:rFonts w:ascii="Times New Roman" w:hAnsi="Times New Roman"/>
          <w:iCs/>
          <w:noProof/>
        </w:rPr>
        <w:t>Üle</w:t>
      </w:r>
      <w:r>
        <w:rPr>
          <w:rFonts w:ascii="Times New Roman" w:hAnsi="Times New Roman"/>
          <w:iCs/>
          <w:noProof/>
          <w:sz w:val="24"/>
          <w:szCs w:val="24"/>
        </w:rPr>
        <w:t xml:space="preserve"> veerandi (27 %) liikide hinnangutest näitab head kaitsestaatust, samas kui 2015. aastal oli see osakaal 23 %. Puudulikku või halba staatust näitab 63 %, mis on sarnane 2015. aasta näitajaga (60 %). </w:t>
      </w:r>
      <w:r>
        <w:rPr>
          <w:rFonts w:ascii="Times New Roman" w:hAnsi="Times New Roman"/>
          <w:noProof/>
          <w:sz w:val="24"/>
          <w:szCs w:val="24"/>
        </w:rPr>
        <w:t xml:space="preserve">Teadmata staatusega liikide osakaal vähenes eelmise aruandeperioodiga võrreldes (17 %-lt 10 %-le), kuid see osakaal on endiselt oluliselt suurem kui elupaikade puhul (4 %). Liikmesriikide tasandil on enamiku mereliikide (59 %) staatus teadmata võrreldes ainult 8 %-ga maismaaliikidest, </w:t>
      </w:r>
      <w:r>
        <w:rPr>
          <w:rFonts w:ascii="Times New Roman" w:hAnsi="Times New Roman"/>
          <w:iCs/>
          <w:noProof/>
          <w:sz w:val="24"/>
          <w:szCs w:val="24"/>
        </w:rPr>
        <w:t>mis viitab sellele, et nende seireks ei eraldata piisavalt ressursse.</w:t>
      </w:r>
    </w:p>
    <w:p>
      <w:pPr>
        <w:spacing w:after="240"/>
        <w:jc w:val="both"/>
        <w:rPr>
          <w:rFonts w:ascii="Times New Roman" w:hAnsi="Times New Roman" w:cs="Times New Roman"/>
          <w:noProof/>
          <w:sz w:val="24"/>
          <w:szCs w:val="24"/>
        </w:rPr>
      </w:pPr>
      <w:r>
        <w:rPr>
          <w:rFonts w:ascii="Times New Roman" w:hAnsi="Times New Roman"/>
          <w:noProof/>
          <w:sz w:val="24"/>
          <w:szCs w:val="24"/>
        </w:rPr>
        <w:t>Liigirühmad, mille puhul on hea staatuse osakaal ELi tasandil kõige suurem, on roomajad ja soontaimed (vastavalt 36 % ja 40 %). Umbes 30 % molluski- ja kalaliikide staatus hinnati halvaks.</w:t>
      </w:r>
    </w:p>
    <w:p>
      <w:pPr>
        <w:rPr>
          <w:rFonts w:ascii="Times New Roman" w:eastAsia="ヒラギノ角ゴ Pro W3" w:hAnsi="Times New Roman" w:cs="Times New Roman"/>
          <w:iCs/>
          <w:noProof/>
          <w:sz w:val="24"/>
          <w:szCs w:val="24"/>
        </w:rPr>
      </w:pPr>
      <w:r>
        <w:rPr>
          <w:noProof/>
        </w:rPr>
        <w:br w:type="page"/>
      </w:r>
    </w:p>
    <w:p>
      <w:pPr>
        <w:spacing w:after="240"/>
        <w:rPr>
          <w:rFonts w:ascii="Times New Roman" w:eastAsia="ヒラギノ角ゴ Pro W3" w:hAnsi="Times New Roman" w:cs="Times New Roman"/>
          <w:b/>
          <w:iCs/>
          <w:noProof/>
          <w:sz w:val="24"/>
          <w:szCs w:val="24"/>
        </w:rPr>
      </w:pPr>
      <w:r>
        <w:rPr>
          <w:rFonts w:ascii="Times New Roman" w:hAnsi="Times New Roman"/>
          <w:b/>
          <w:iCs/>
          <w:noProof/>
          <w:sz w:val="24"/>
          <w:szCs w:val="24"/>
        </w:rPr>
        <w:t>Liikide kaitsestaatuse suundumused</w:t>
      </w:r>
    </w:p>
    <w:tbl>
      <w:tblPr>
        <w:tblStyle w:val="HTG3"/>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4106"/>
        <w:gridCol w:w="5103"/>
      </w:tblGrid>
      <w:tr>
        <w:tc>
          <w:tcPr>
            <w:tcW w:w="4106" w:type="dxa"/>
          </w:tcPr>
          <w:p>
            <w:pPr>
              <w:spacing w:after="120"/>
              <w:jc w:val="both"/>
              <w:rPr>
                <w:rFonts w:ascii="Times New Roman" w:hAnsi="Times New Roman" w:cs="Times New Roman"/>
                <w:b/>
                <w:noProof/>
                <w:sz w:val="20"/>
                <w:szCs w:val="20"/>
              </w:rPr>
            </w:pPr>
            <w:r>
              <w:rPr>
                <w:rFonts w:ascii="Times New Roman" w:hAnsi="Times New Roman"/>
                <w:b/>
                <w:noProof/>
                <w:sz w:val="20"/>
                <w:szCs w:val="20"/>
              </w:rPr>
              <w:t>Joonis 7a. Ebasoodsa (st mitte hea) või teadmata staatusega liikide kaitsestaatuse suundumused ELi tasandil</w:t>
            </w:r>
          </w:p>
        </w:tc>
        <w:tc>
          <w:tcPr>
            <w:tcW w:w="5103" w:type="dxa"/>
          </w:tcPr>
          <w:p>
            <w:pPr>
              <w:spacing w:after="120"/>
              <w:jc w:val="both"/>
              <w:rPr>
                <w:rFonts w:ascii="Times New Roman" w:hAnsi="Times New Roman" w:cs="Times New Roman"/>
                <w:b/>
                <w:noProof/>
                <w:sz w:val="20"/>
                <w:szCs w:val="20"/>
              </w:rPr>
            </w:pPr>
            <w:r>
              <w:rPr>
                <w:rFonts w:ascii="Times New Roman" w:hAnsi="Times New Roman"/>
                <w:b/>
                <w:noProof/>
                <w:sz w:val="20"/>
                <w:szCs w:val="20"/>
              </w:rPr>
              <w:t>Joonis 7b. Ebasoodsa (st mitte hea) või teadmata staatusega liikide kaitsestaatuse suundumused ELi tasandil rühmade kaupa</w:t>
            </w:r>
          </w:p>
        </w:tc>
      </w:tr>
      <w:tr>
        <w:tc>
          <w:tcPr>
            <w:tcW w:w="4106" w:type="dxa"/>
            <w:vAlign w:val="center"/>
          </w:tcPr>
          <w:p>
            <w:pPr>
              <w:keepNext/>
              <w:jc w:val="center"/>
              <w:rPr>
                <w:rFonts w:ascii="Times New Roman" w:hAnsi="Times New Roman" w:cs="Times New Roman"/>
                <w:noProof/>
                <w:lang w:eastAsia="en-GB"/>
              </w:rPr>
            </w:pPr>
          </w:p>
          <w:p>
            <w:pPr>
              <w:keepNext/>
              <w:jc w:val="center"/>
              <w:rPr>
                <w:rFonts w:ascii="Times New Roman" w:hAnsi="Times New Roman" w:cs="Times New Roman"/>
                <w:noProof/>
              </w:rPr>
            </w:pPr>
            <w:r>
              <w:rPr>
                <w:rFonts w:ascii="Times New Roman" w:hAnsi="Times New Roman"/>
                <w:noProof/>
                <w:lang w:val="en-GB" w:eastAsia="en-GB"/>
              </w:rPr>
              <w:drawing>
                <wp:inline distT="0" distB="0" distL="0" distR="0">
                  <wp:extent cx="1542415" cy="154876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42415" cy="1548765"/>
                          </a:xfrm>
                          <a:prstGeom prst="rect">
                            <a:avLst/>
                          </a:prstGeom>
                          <a:noFill/>
                        </pic:spPr>
                      </pic:pic>
                    </a:graphicData>
                  </a:graphic>
                </wp:inline>
              </w:drawing>
            </w:r>
          </w:p>
          <w:p>
            <w:pPr>
              <w:keepNext/>
              <w:jc w:val="center"/>
              <w:rPr>
                <w:rFonts w:ascii="Times New Roman" w:hAnsi="Times New Roman" w:cs="Times New Roman"/>
                <w:noProof/>
              </w:rPr>
            </w:pPr>
          </w:p>
        </w:tc>
        <w:tc>
          <w:tcPr>
            <w:tcW w:w="5103" w:type="dxa"/>
            <w:vAlign w:val="center"/>
          </w:tcPr>
          <w:p>
            <w:pPr>
              <w:keepNext/>
              <w:jc w:val="center"/>
              <w:rPr>
                <w:rFonts w:ascii="Times New Roman" w:hAnsi="Times New Roman" w:cs="Times New Roman"/>
                <w:noProof/>
              </w:rPr>
            </w:pPr>
          </w:p>
          <w:p>
            <w:pPr>
              <w:keepNext/>
              <w:jc w:val="center"/>
              <w:rPr>
                <w:rFonts w:ascii="Times New Roman" w:hAnsi="Times New Roman" w:cs="Times New Roman"/>
                <w:noProof/>
              </w:rPr>
            </w:pPr>
            <w:r>
              <w:rPr>
                <w:rFonts w:ascii="Times New Roman" w:hAnsi="Times New Roman"/>
                <w:noProof/>
                <w:lang w:val="en-GB" w:eastAsia="en-GB"/>
              </w:rPr>
              <w:drawing>
                <wp:inline distT="0" distB="0" distL="0" distR="0">
                  <wp:extent cx="3055683" cy="1709531"/>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2">
                            <a:extLst>
                              <a:ext uri="{28A0092B-C50C-407E-A947-70E740481C1C}">
                                <a14:useLocalDpi xmlns:a14="http://schemas.microsoft.com/office/drawing/2010/main" val="0"/>
                              </a:ext>
                            </a:extLst>
                          </a:blip>
                          <a:srcRect r="6573" b="16870"/>
                          <a:stretch/>
                        </pic:blipFill>
                        <pic:spPr bwMode="auto">
                          <a:xfrm>
                            <a:off x="0" y="0"/>
                            <a:ext cx="3058284" cy="1710986"/>
                          </a:xfrm>
                          <a:prstGeom prst="rect">
                            <a:avLst/>
                          </a:prstGeom>
                          <a:noFill/>
                          <a:ln>
                            <a:noFill/>
                          </a:ln>
                          <a:extLst>
                            <a:ext uri="{53640926-AAD7-44D8-BBD7-CCE9431645EC}">
                              <a14:shadowObscured xmlns:a14="http://schemas.microsoft.com/office/drawing/2010/main"/>
                            </a:ext>
                          </a:extLst>
                        </pic:spPr>
                      </pic:pic>
                    </a:graphicData>
                  </a:graphic>
                </wp:inline>
              </w:drawing>
            </w:r>
          </w:p>
          <w:p>
            <w:pPr>
              <w:keepNext/>
              <w:jc w:val="center"/>
              <w:rPr>
                <w:rFonts w:ascii="Times New Roman" w:hAnsi="Times New Roman" w:cs="Times New Roman"/>
                <w:noProof/>
              </w:rPr>
            </w:pPr>
          </w:p>
        </w:tc>
      </w:tr>
      <w:tr>
        <w:tc>
          <w:tcPr>
            <w:tcW w:w="9209" w:type="dxa"/>
            <w:gridSpan w:val="2"/>
          </w:tcPr>
          <w:p>
            <w:pPr>
              <w:keepNext/>
              <w:jc w:val="both"/>
              <w:rPr>
                <w:rFonts w:ascii="Times New Roman" w:hAnsi="Times New Roman" w:cs="Times New Roman"/>
                <w:noProof/>
              </w:rPr>
            </w:pPr>
            <w:r>
              <w:rPr>
                <w:rFonts w:ascii="Times New Roman" w:hAnsi="Times New Roman"/>
                <w:noProof/>
                <w:lang w:val="en-GB" w:eastAsia="en-GB"/>
              </w:rPr>
              <w:drawing>
                <wp:inline distT="0" distB="0" distL="0" distR="0">
                  <wp:extent cx="5128260" cy="28624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3">
                            <a:extLst>
                              <a:ext uri="{28A0092B-C50C-407E-A947-70E740481C1C}">
                                <a14:useLocalDpi xmlns:a14="http://schemas.microsoft.com/office/drawing/2010/main" val="0"/>
                              </a:ext>
                            </a:extLst>
                          </a:blip>
                          <a:srcRect l="2790" t="90024" r="2393" b="1601"/>
                          <a:stretch/>
                        </pic:blipFill>
                        <pic:spPr bwMode="auto">
                          <a:xfrm>
                            <a:off x="0" y="0"/>
                            <a:ext cx="5141811" cy="287003"/>
                          </a:xfrm>
                          <a:prstGeom prst="rect">
                            <a:avLst/>
                          </a:prstGeom>
                          <a:noFill/>
                          <a:ln>
                            <a:noFill/>
                          </a:ln>
                          <a:extLst>
                            <a:ext uri="{53640926-AAD7-44D8-BBD7-CCE9431645EC}">
                              <a14:shadowObscured xmlns:a14="http://schemas.microsoft.com/office/drawing/2010/main"/>
                            </a:ext>
                          </a:extLst>
                        </pic:spPr>
                      </pic:pic>
                    </a:graphicData>
                  </a:graphic>
                </wp:inline>
              </w:drawing>
            </w:r>
          </w:p>
        </w:tc>
      </w:tr>
      <w:tr>
        <w:tc>
          <w:tcPr>
            <w:tcW w:w="4106" w:type="dxa"/>
          </w:tcPr>
          <w:p>
            <w:pPr>
              <w:keepNext/>
              <w:spacing w:before="120"/>
              <w:jc w:val="both"/>
              <w:rPr>
                <w:rFonts w:ascii="Times New Roman" w:hAnsi="Times New Roman" w:cs="Times New Roman"/>
                <w:b/>
                <w:noProof/>
                <w:sz w:val="18"/>
                <w:szCs w:val="18"/>
              </w:rPr>
            </w:pPr>
            <w:r>
              <w:rPr>
                <w:rFonts w:ascii="Times New Roman" w:hAnsi="Times New Roman"/>
                <w:b/>
                <w:noProof/>
                <w:sz w:val="18"/>
                <w:szCs w:val="18"/>
              </w:rPr>
              <w:t>Märkus:</w:t>
            </w:r>
            <w:r>
              <w:rPr>
                <w:rFonts w:ascii="Times New Roman" w:hAnsi="Times New Roman"/>
                <w:noProof/>
                <w:sz w:val="18"/>
                <w:szCs w:val="18"/>
              </w:rPr>
              <w:t xml:space="preserve"> kaitsestaatuse suundumused põhinevad ELi liikide hindamistel (2 049).</w:t>
            </w:r>
          </w:p>
        </w:tc>
        <w:tc>
          <w:tcPr>
            <w:tcW w:w="5103" w:type="dxa"/>
          </w:tcPr>
          <w:p>
            <w:pPr>
              <w:keepNext/>
              <w:spacing w:before="120" w:after="240"/>
              <w:jc w:val="both"/>
              <w:rPr>
                <w:rFonts w:ascii="Times New Roman" w:hAnsi="Times New Roman" w:cs="Times New Roman"/>
                <w:noProof/>
              </w:rPr>
            </w:pPr>
            <w:r>
              <w:rPr>
                <w:rFonts w:ascii="Times New Roman" w:hAnsi="Times New Roman"/>
                <w:b/>
                <w:noProof/>
                <w:sz w:val="18"/>
                <w:szCs w:val="18"/>
              </w:rPr>
              <w:t>Märkus:</w:t>
            </w:r>
            <w:r>
              <w:rPr>
                <w:rFonts w:ascii="Times New Roman" w:hAnsi="Times New Roman"/>
                <w:noProof/>
                <w:sz w:val="18"/>
                <w:szCs w:val="18"/>
              </w:rPr>
              <w:t xml:space="preserve"> hindamiste arv on märgitud sulgudes. Hindamiste koguarv on 2 049.</w:t>
            </w:r>
          </w:p>
        </w:tc>
      </w:tr>
    </w:tbl>
    <w:p>
      <w:pPr>
        <w:spacing w:after="240"/>
        <w:jc w:val="both"/>
        <w:rPr>
          <w:rFonts w:ascii="Times New Roman" w:hAnsi="Times New Roman" w:cs="Times New Roman"/>
          <w:noProof/>
          <w:sz w:val="24"/>
          <w:szCs w:val="24"/>
        </w:rPr>
      </w:pPr>
    </w:p>
    <w:p>
      <w:pPr>
        <w:spacing w:after="240"/>
        <w:jc w:val="both"/>
        <w:rPr>
          <w:rFonts w:ascii="Times New Roman" w:hAnsi="Times New Roman" w:cs="Times New Roman"/>
          <w:noProof/>
          <w:sz w:val="24"/>
          <w:szCs w:val="24"/>
        </w:rPr>
      </w:pPr>
      <w:r>
        <w:rPr>
          <w:rFonts w:ascii="Times New Roman" w:hAnsi="Times New Roman"/>
          <w:noProof/>
          <w:sz w:val="24"/>
          <w:szCs w:val="24"/>
        </w:rPr>
        <w:t>2 049 liigist, mille kaitsestaatus ELi tasandil on hinnatud puudulikuks või halvaks, on 35 % halveneva suundumusega ja 6 % paraneva suundumusega. 31 % puhul ei ole suundumus teada. Puuduliku või halva staatusega, kuid paraneva suundumusega liikide osakaal jääb alla 5 %, kui välja arvata imetajad, kalad ja soonteta taimed (vastavalt 10 %, 9 % ja 6 %). Kuigi kaladel on paraneva suundumuse osakaal suurem kui muudel liigirühmadel, on neil (koos kahepaiksetega) ka kõige suurem halveneva suundumuse osakaal (ligi 50 %). Tugevat halvenevat suundumust on täheldatud ka muude liigirühmade puhul, nagu rohumaade elupaikade liigid, sh teelehe-mosaiikliblikas (</w:t>
      </w:r>
      <w:r>
        <w:rPr>
          <w:rFonts w:ascii="Times New Roman" w:hAnsi="Times New Roman"/>
          <w:i/>
          <w:noProof/>
          <w:sz w:val="24"/>
          <w:szCs w:val="24"/>
        </w:rPr>
        <w:t>Euphydryas aurinia</w:t>
      </w:r>
      <w:r>
        <w:rPr>
          <w:rFonts w:ascii="Times New Roman" w:hAnsi="Times New Roman"/>
          <w:noProof/>
          <w:sz w:val="24"/>
          <w:szCs w:val="24"/>
        </w:rPr>
        <w:t>) ja sinine lemmjuur (</w:t>
      </w:r>
      <w:r>
        <w:rPr>
          <w:rFonts w:ascii="Times New Roman" w:hAnsi="Times New Roman"/>
          <w:i/>
          <w:noProof/>
          <w:sz w:val="24"/>
          <w:szCs w:val="24"/>
        </w:rPr>
        <w:t>Jurinea cyanoides</w:t>
      </w:r>
      <w:r>
        <w:rPr>
          <w:rFonts w:ascii="Times New Roman" w:hAnsi="Times New Roman"/>
          <w:noProof/>
          <w:sz w:val="24"/>
          <w:szCs w:val="24"/>
        </w:rPr>
        <w:t>).</w:t>
      </w:r>
    </w:p>
    <w:p>
      <w:pPr>
        <w:spacing w:after="240"/>
        <w:jc w:val="both"/>
        <w:rPr>
          <w:rFonts w:ascii="Times New Roman" w:eastAsia="ヒラギノ角ゴ Pro W3" w:hAnsi="Times New Roman" w:cs="Times New Roman"/>
          <w:iCs/>
          <w:noProof/>
          <w:sz w:val="24"/>
          <w:szCs w:val="24"/>
        </w:rPr>
      </w:pPr>
    </w:p>
    <w:p>
      <w:pPr>
        <w:pStyle w:val="Heading1"/>
        <w:numPr>
          <w:ilvl w:val="0"/>
          <w:numId w:val="10"/>
        </w:numPr>
        <w:spacing w:after="240"/>
        <w:ind w:left="714" w:hanging="357"/>
        <w:rPr>
          <w:rFonts w:eastAsia="Times New Roman"/>
          <w:noProof/>
          <w:color w:val="auto"/>
        </w:rPr>
      </w:pPr>
      <w:r>
        <w:rPr>
          <w:noProof/>
          <w:color w:val="auto"/>
        </w:rPr>
        <w:t>Staatuse ja suundumuste muutumine</w:t>
      </w:r>
    </w:p>
    <w:p>
      <w:pPr>
        <w:spacing w:after="240"/>
        <w:jc w:val="both"/>
        <w:rPr>
          <w:rFonts w:ascii="Times New Roman" w:hAnsi="Times New Roman" w:cs="Times New Roman"/>
          <w:b/>
          <w:i/>
          <w:noProof/>
          <w:sz w:val="24"/>
          <w:szCs w:val="24"/>
          <w:u w:val="single"/>
        </w:rPr>
      </w:pPr>
      <w:r>
        <w:rPr>
          <w:rFonts w:ascii="Times New Roman" w:hAnsi="Times New Roman"/>
          <w:b/>
          <w:i/>
          <w:noProof/>
          <w:sz w:val="24"/>
          <w:szCs w:val="24"/>
          <w:u w:val="single"/>
        </w:rPr>
        <w:t>3.1 Edusammud 2020. aasta bioloogilise mitmekesisuse strateegia 1. eesmärgi saavutamisel</w:t>
      </w:r>
    </w:p>
    <w:p>
      <w:pPr>
        <w:spacing w:after="120"/>
        <w:jc w:val="both"/>
        <w:rPr>
          <w:rFonts w:ascii="Times New Roman" w:hAnsi="Times New Roman" w:cs="Times New Roman"/>
          <w:noProof/>
          <w:sz w:val="24"/>
          <w:szCs w:val="24"/>
        </w:rPr>
      </w:pPr>
      <w:r>
        <w:rPr>
          <w:rFonts w:ascii="Times New Roman" w:hAnsi="Times New Roman"/>
          <w:noProof/>
          <w:sz w:val="24"/>
          <w:szCs w:val="24"/>
        </w:rPr>
        <w:t>Tuginedes teabele, mille liikmesriigid hindamiseks esitasid, määrasime kindlaks, mil määral oli 2020. aasta bioloogilise mitmekesisuse strateegia</w:t>
      </w:r>
      <w:r>
        <w:rPr>
          <w:rStyle w:val="FootnoteReference"/>
          <w:rFonts w:ascii="Times New Roman" w:hAnsi="Times New Roman" w:cs="Times New Roman"/>
          <w:noProof/>
          <w:sz w:val="24"/>
          <w:szCs w:val="24"/>
        </w:rPr>
        <w:footnoteReference w:id="14"/>
      </w:r>
      <w:r>
        <w:rPr>
          <w:rFonts w:ascii="Times New Roman" w:hAnsi="Times New Roman"/>
          <w:noProof/>
          <w:sz w:val="24"/>
          <w:szCs w:val="24"/>
        </w:rPr>
        <w:t xml:space="preserve"> 1. eesmärk saavutatud. Eesmärk oli peatada kõigi ELi loodusvaldkonna õigusaktidega reguleeritud liikide ja elupaikade seisundi halvenemine ning parandada seda oluliselt ja mõõdetavalt, et 2020. aastaks (võrreldes 2010. aasta hinnangutega) näitaksid:</w:t>
      </w:r>
    </w:p>
    <w:p>
      <w:pPr>
        <w:numPr>
          <w:ilvl w:val="0"/>
          <w:numId w:val="9"/>
        </w:numPr>
        <w:spacing w:after="120"/>
        <w:ind w:left="681" w:hanging="397"/>
        <w:jc w:val="both"/>
        <w:rPr>
          <w:rFonts w:ascii="Times New Roman" w:hAnsi="Times New Roman" w:cs="Times New Roman"/>
          <w:noProof/>
          <w:sz w:val="24"/>
          <w:szCs w:val="24"/>
        </w:rPr>
      </w:pPr>
      <w:r>
        <w:rPr>
          <w:rFonts w:ascii="Times New Roman" w:hAnsi="Times New Roman"/>
          <w:noProof/>
          <w:sz w:val="24"/>
          <w:szCs w:val="24"/>
        </w:rPr>
        <w:t>100 % rohkem elupaikade hindamisi soodsat või paranevat kaitsestaatust (st 34 % koguarvust);</w:t>
      </w:r>
    </w:p>
    <w:p>
      <w:pPr>
        <w:numPr>
          <w:ilvl w:val="0"/>
          <w:numId w:val="9"/>
        </w:numPr>
        <w:spacing w:after="120"/>
        <w:ind w:left="681" w:hanging="397"/>
        <w:jc w:val="both"/>
        <w:rPr>
          <w:rFonts w:ascii="Times New Roman" w:hAnsi="Times New Roman" w:cs="Times New Roman"/>
          <w:noProof/>
          <w:sz w:val="24"/>
          <w:szCs w:val="24"/>
        </w:rPr>
      </w:pPr>
      <w:r>
        <w:rPr>
          <w:rFonts w:ascii="Times New Roman" w:hAnsi="Times New Roman"/>
          <w:noProof/>
          <w:sz w:val="24"/>
          <w:szCs w:val="24"/>
        </w:rPr>
        <w:t>50 % rohkem elupaikade direktiivi kohaseid liikide hindamisi soodsat või paranevat kaitsestaatust (35 %) ning</w:t>
      </w:r>
    </w:p>
    <w:p>
      <w:pPr>
        <w:numPr>
          <w:ilvl w:val="0"/>
          <w:numId w:val="9"/>
        </w:numPr>
        <w:spacing w:after="240"/>
        <w:ind w:left="681" w:hanging="397"/>
        <w:jc w:val="both"/>
        <w:rPr>
          <w:rFonts w:ascii="Times New Roman" w:hAnsi="Times New Roman" w:cs="Times New Roman"/>
          <w:noProof/>
          <w:sz w:val="24"/>
          <w:szCs w:val="24"/>
        </w:rPr>
      </w:pPr>
      <w:r>
        <w:rPr>
          <w:rFonts w:ascii="Times New Roman" w:hAnsi="Times New Roman"/>
          <w:noProof/>
          <w:sz w:val="24"/>
          <w:szCs w:val="24"/>
        </w:rPr>
        <w:t>50 % rohkem linnudirektiivi kohaseid liikide hindamisi turvalist või paranevat populatsiooni staatust (78 %).</w:t>
      </w:r>
    </w:p>
    <w:p>
      <w:pPr>
        <w:spacing w:after="240"/>
        <w:ind w:left="681"/>
        <w:jc w:val="both"/>
        <w:rPr>
          <w:rFonts w:ascii="Times New Roman" w:hAnsi="Times New Roman" w:cs="Times New Roman"/>
          <w:noProof/>
          <w:sz w:val="24"/>
          <w:szCs w:val="24"/>
        </w:rPr>
      </w:pPr>
    </w:p>
    <w:tbl>
      <w:tblPr>
        <w:tblStyle w:val="HTG6"/>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trPr>
          <w:trHeight w:val="369"/>
        </w:trPr>
        <w:tc>
          <w:tcPr>
            <w:tcW w:w="9209" w:type="dxa"/>
          </w:tcPr>
          <w:p>
            <w:pPr>
              <w:spacing w:after="120"/>
              <w:jc w:val="both"/>
              <w:rPr>
                <w:rFonts w:ascii="Times New Roman" w:hAnsi="Times New Roman" w:cs="Times New Roman"/>
                <w:noProof/>
                <w:sz w:val="20"/>
                <w:szCs w:val="20"/>
              </w:rPr>
            </w:pPr>
            <w:r>
              <w:rPr>
                <w:rFonts w:ascii="Times New Roman" w:hAnsi="Times New Roman"/>
                <w:b/>
                <w:bCs/>
                <w:noProof/>
                <w:sz w:val="20"/>
                <w:szCs w:val="20"/>
              </w:rPr>
              <w:t xml:space="preserve">Joonis 8. Edusammud 1. eesmärgi saavutamisel (% hindamistest) </w:t>
            </w:r>
          </w:p>
        </w:tc>
      </w:tr>
      <w:tr>
        <w:tblPrEx>
          <w:tblCellMar>
            <w:left w:w="70" w:type="dxa"/>
            <w:right w:w="70" w:type="dxa"/>
          </w:tblCellMar>
        </w:tblPrEx>
        <w:trPr>
          <w:trHeight w:val="3443"/>
        </w:trPr>
        <w:tc>
          <w:tcPr>
            <w:tcW w:w="9209" w:type="dxa"/>
            <w:vAlign w:val="center"/>
          </w:tcPr>
          <w:p>
            <w:pPr>
              <w:jc w:val="both"/>
              <w:rPr>
                <w:rFonts w:ascii="Times New Roman" w:hAnsi="Times New Roman" w:cs="Times New Roman"/>
                <w:noProof/>
              </w:rPr>
            </w:pPr>
            <w:r>
              <w:rPr>
                <w:rFonts w:ascii="Times New Roman" w:hAnsi="Times New Roman" w:cs="Times New Roman"/>
                <w:noProof/>
                <w:lang w:val="en-GB" w:eastAsia="en-GB"/>
              </w:rPr>
              <w:drawing>
                <wp:inline distT="0" distB="0" distL="0" distR="0">
                  <wp:extent cx="5826353" cy="2536466"/>
                  <wp:effectExtent l="0" t="0" r="3175" b="0"/>
                  <wp:docPr id="1397633217" name="Picture 1397633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92411" cy="2565224"/>
                          </a:xfrm>
                          <a:prstGeom prst="rect">
                            <a:avLst/>
                          </a:prstGeom>
                          <a:noFill/>
                        </pic:spPr>
                      </pic:pic>
                    </a:graphicData>
                  </a:graphic>
                </wp:inline>
              </w:drawing>
            </w:r>
          </w:p>
        </w:tc>
      </w:tr>
      <w:tr>
        <w:tblPrEx>
          <w:tblCellMar>
            <w:left w:w="70" w:type="dxa"/>
            <w:right w:w="70" w:type="dxa"/>
          </w:tblCellMar>
        </w:tblPrEx>
        <w:trPr>
          <w:trHeight w:val="454"/>
        </w:trPr>
        <w:tc>
          <w:tcPr>
            <w:tcW w:w="9209" w:type="dxa"/>
            <w:vAlign w:val="center"/>
          </w:tcPr>
          <w:p>
            <w:pPr>
              <w:spacing w:after="240"/>
              <w:jc w:val="both"/>
              <w:rPr>
                <w:rFonts w:ascii="Times New Roman" w:hAnsi="Times New Roman" w:cs="Times New Roman"/>
                <w:noProof/>
              </w:rPr>
            </w:pPr>
            <w:r>
              <w:rPr>
                <w:rFonts w:ascii="Times New Roman" w:hAnsi="Times New Roman"/>
                <w:b/>
                <w:noProof/>
                <w:sz w:val="18"/>
                <w:szCs w:val="18"/>
              </w:rPr>
              <w:t>Märkus:</w:t>
            </w:r>
            <w:r>
              <w:rPr>
                <w:rFonts w:ascii="Times New Roman" w:hAnsi="Times New Roman"/>
                <w:noProof/>
              </w:rPr>
              <w:t xml:space="preserve"> </w:t>
            </w:r>
            <w:r>
              <w:rPr>
                <w:rFonts w:ascii="Times New Roman" w:hAnsi="Times New Roman"/>
                <w:noProof/>
                <w:sz w:val="18"/>
              </w:rPr>
              <w:t>iga riba kujutab head või paranevat staatust näitavate hindamiste protsenti.</w:t>
            </w:r>
          </w:p>
        </w:tc>
      </w:tr>
    </w:tbl>
    <w:p>
      <w:pPr>
        <w:spacing w:after="240"/>
        <w:jc w:val="both"/>
        <w:rPr>
          <w:rFonts w:ascii="Times New Roman" w:hAnsi="Times New Roman" w:cs="Times New Roman"/>
          <w:noProof/>
          <w:sz w:val="24"/>
          <w:szCs w:val="24"/>
        </w:rPr>
      </w:pPr>
    </w:p>
    <w:p>
      <w:pPr>
        <w:spacing w:after="240"/>
        <w:jc w:val="both"/>
        <w:rPr>
          <w:rFonts w:ascii="Times New Roman" w:hAnsi="Times New Roman" w:cs="Times New Roman"/>
          <w:noProof/>
          <w:sz w:val="24"/>
          <w:szCs w:val="24"/>
        </w:rPr>
      </w:pPr>
      <w:r>
        <w:rPr>
          <w:rFonts w:ascii="Times New Roman" w:hAnsi="Times New Roman"/>
          <w:noProof/>
          <w:sz w:val="24"/>
          <w:szCs w:val="24"/>
        </w:rPr>
        <w:t>Võrreldes 2010. aasta lähtetasemega oli edasiminek 2020. aasta eesmärkide suunas piiratud, välja arvatud muude kui linnuliikide kategoorias, kus eesmärk peaaegu saavutati. Mõne elupaiga ja liigi olukorra jätkuv halvenemine kaalub üles olukorra paranemise. 2019. aastal esitatud andmed näitavad, et halveneva suundumusega liikide ja elupaikade osakaal on isegi veidi suurenenud: lindude puhul 20 %-lt 23 %-ni, muude kui linnuliikide puhul 22 %-lt 26 %-ni ja elupaikade puhul 30 %-lt 32 %-ni.</w:t>
      </w:r>
    </w:p>
    <w:p>
      <w:pPr>
        <w:spacing w:after="240"/>
        <w:jc w:val="both"/>
        <w:rPr>
          <w:rFonts w:ascii="Times New Roman" w:hAnsi="Times New Roman" w:cs="Times New Roman"/>
          <w:noProof/>
          <w:sz w:val="24"/>
          <w:szCs w:val="24"/>
        </w:rPr>
      </w:pPr>
      <w:r>
        <w:rPr>
          <w:rFonts w:ascii="Times New Roman" w:hAnsi="Times New Roman"/>
          <w:noProof/>
          <w:sz w:val="24"/>
          <w:szCs w:val="24"/>
        </w:rPr>
        <w:t xml:space="preserve">2020. aasta eesmärk saavutada soodne või paranev staatus 34 % elupaikade hinnangute puhul ei ole täidetud (puudu jääb 12 protsendipunkti). Siiski jõudis soodsa või paraneva staatusega muude kui linnuliikide osakaal peaaegu 2020. aasta vahe-eesmärgini 35 % (puudu 2 protsendipunkti). Lindude populatsiooni suundumused annavad vastuolulise pildi: ajavahemikul 2010–2015 suurenes turvalise ja paraneva staatusega liikide arv, kuid ajavahemikul 2015–2020 halvenes olukord mõnevõrra (–3 protsendipunkti), mis tähendab, et 78 % eesmärgist jääb puudu üle 20 protsendipunkti. 2020. aasta bioloogilise mitmekesisuse strateegia 1. eesmärki seega ei saavutatud.  </w:t>
      </w:r>
    </w:p>
    <w:p>
      <w:pPr>
        <w:spacing w:after="240"/>
        <w:jc w:val="both"/>
        <w:rPr>
          <w:rFonts w:ascii="Times New Roman" w:hAnsi="Times New Roman" w:cs="Times New Roman"/>
          <w:b/>
          <w:i/>
          <w:noProof/>
          <w:sz w:val="24"/>
          <w:szCs w:val="24"/>
          <w:u w:val="single"/>
        </w:rPr>
      </w:pPr>
      <w:r>
        <w:rPr>
          <w:rFonts w:ascii="Times New Roman" w:hAnsi="Times New Roman"/>
          <w:b/>
          <w:i/>
          <w:noProof/>
          <w:sz w:val="24"/>
          <w:szCs w:val="24"/>
          <w:u w:val="single"/>
        </w:rPr>
        <w:t>3.2 Olukorra paranemine liikmesriikides</w:t>
      </w:r>
    </w:p>
    <w:p>
      <w:pPr>
        <w:spacing w:after="240"/>
        <w:jc w:val="both"/>
        <w:rPr>
          <w:rFonts w:ascii="Times New Roman" w:hAnsi="Times New Roman" w:cs="Times New Roman"/>
          <w:noProof/>
          <w:sz w:val="24"/>
          <w:szCs w:val="24"/>
        </w:rPr>
      </w:pPr>
      <w:r>
        <w:rPr>
          <w:rFonts w:ascii="Times New Roman" w:hAnsi="Times New Roman"/>
          <w:noProof/>
          <w:sz w:val="24"/>
          <w:szCs w:val="24"/>
        </w:rPr>
        <w:t xml:space="preserve">Kaitsestaatus muutub teatavasti aeglaselt ja ei ole seetõttu väga tundlik lühiajaline näitaja olukorra paranemise kohta. Samuti võivad ELi tasandi hindamised varjata olukorra paranemist üksikutes liikmesriikides. Seetõttu on riigi tasandi suurenevad ja stabiliseeruvad suundumused (mille korral asendub eelmise aruandeperioodi vähenev suundumus käimasoleval aruandeperioodil stabiilsega) positiivsed muutused, mida tuleks lisaks staatuse positiivsetele muutustele arvesse võtta ja analüüsida.  </w:t>
      </w:r>
    </w:p>
    <w:p>
      <w:pPr>
        <w:spacing w:after="24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Keskmiselt 6 % liikmesriikide riiklikest/piirkondlikest </w:t>
      </w:r>
      <w:r>
        <w:rPr>
          <w:rFonts w:ascii="Times New Roman" w:hAnsi="Times New Roman"/>
          <w:noProof/>
          <w:color w:val="000000" w:themeColor="text1"/>
          <w:sz w:val="24"/>
          <w:szCs w:val="24"/>
          <w:u w:val="single"/>
        </w:rPr>
        <w:t>elupaikade</w:t>
      </w:r>
      <w:r>
        <w:rPr>
          <w:rFonts w:ascii="Times New Roman" w:hAnsi="Times New Roman"/>
          <w:noProof/>
          <w:color w:val="000000" w:themeColor="text1"/>
          <w:sz w:val="24"/>
          <w:szCs w:val="24"/>
        </w:rPr>
        <w:t xml:space="preserve"> hindamistest näitab olukorra paranemist, kõige enam metsade ja magevee elupaikade (10 % kõigist rühma hinnangutest), nõmmede ja võserike (7 %), rabade ja soode ning luidete elupaikade puhul (6 %). Üks paraneva rannikuelupaiga näide on Läänemere rannaniidud Soomes.</w:t>
      </w:r>
    </w:p>
    <w:p>
      <w:pPr>
        <w:spacing w:after="240"/>
        <w:jc w:val="both"/>
        <w:rPr>
          <w:rFonts w:ascii="Times New Roman" w:hAnsi="Times New Roman" w:cs="Times New Roman"/>
          <w:noProof/>
          <w:sz w:val="24"/>
          <w:szCs w:val="24"/>
          <w:highlight w:val="yellow"/>
        </w:rPr>
      </w:pPr>
      <w:r>
        <w:rPr>
          <w:rFonts w:ascii="Times New Roman" w:hAnsi="Times New Roman"/>
          <w:iCs/>
          <w:noProof/>
          <w:sz w:val="24"/>
          <w:szCs w:val="24"/>
        </w:rPr>
        <w:t xml:space="preserve">Samamoodi näitab paranemist keskmiselt 6 % kõikidest </w:t>
      </w:r>
      <w:r>
        <w:rPr>
          <w:rFonts w:ascii="Times New Roman" w:hAnsi="Times New Roman"/>
          <w:noProof/>
          <w:color w:val="000000" w:themeColor="text1"/>
          <w:sz w:val="24"/>
          <w:szCs w:val="24"/>
        </w:rPr>
        <w:t xml:space="preserve">riiklikest/piirkondlikest </w:t>
      </w:r>
      <w:r>
        <w:rPr>
          <w:rFonts w:ascii="Times New Roman" w:hAnsi="Times New Roman"/>
          <w:iCs/>
          <w:noProof/>
          <w:sz w:val="24"/>
          <w:szCs w:val="24"/>
        </w:rPr>
        <w:t xml:space="preserve">hinnangutest </w:t>
      </w:r>
      <w:r>
        <w:rPr>
          <w:rFonts w:ascii="Times New Roman" w:hAnsi="Times New Roman"/>
          <w:iCs/>
          <w:noProof/>
          <w:sz w:val="24"/>
          <w:szCs w:val="24"/>
          <w:u w:val="single"/>
        </w:rPr>
        <w:t>muude kui linnuliikide</w:t>
      </w:r>
      <w:r>
        <w:rPr>
          <w:rFonts w:ascii="Times New Roman" w:hAnsi="Times New Roman"/>
          <w:iCs/>
          <w:noProof/>
          <w:sz w:val="24"/>
          <w:szCs w:val="24"/>
        </w:rPr>
        <w:t xml:space="preserve"> kohta. Kõige rohkem on paranenud imetajate olukord (9 % kõigist registreeritud hinnangutest imetajate kohta) ning neile järgnevad kalad (8 %) ja soontaimed (5 %). Sellised imetajad on näiteks koprad (</w:t>
      </w:r>
      <w:r>
        <w:rPr>
          <w:rFonts w:ascii="Times New Roman" w:hAnsi="Times New Roman"/>
          <w:i/>
          <w:iCs/>
          <w:noProof/>
          <w:sz w:val="24"/>
          <w:szCs w:val="24"/>
        </w:rPr>
        <w:t>Castor fiber</w:t>
      </w:r>
      <w:r>
        <w:rPr>
          <w:rFonts w:ascii="Times New Roman" w:hAnsi="Times New Roman"/>
          <w:iCs/>
          <w:noProof/>
          <w:sz w:val="24"/>
          <w:szCs w:val="24"/>
        </w:rPr>
        <w:t>), hallhülged (</w:t>
      </w:r>
      <w:r>
        <w:rPr>
          <w:rFonts w:ascii="Times New Roman" w:hAnsi="Times New Roman"/>
          <w:i/>
          <w:iCs/>
          <w:noProof/>
          <w:sz w:val="24"/>
          <w:szCs w:val="24"/>
        </w:rPr>
        <w:t>Halichoerus grypus</w:t>
      </w:r>
      <w:r>
        <w:rPr>
          <w:rFonts w:ascii="Times New Roman" w:hAnsi="Times New Roman"/>
          <w:iCs/>
          <w:noProof/>
          <w:sz w:val="24"/>
          <w:szCs w:val="24"/>
        </w:rPr>
        <w:t>) ja randalhülged (</w:t>
      </w:r>
      <w:r>
        <w:rPr>
          <w:rFonts w:ascii="Times New Roman" w:hAnsi="Times New Roman"/>
          <w:i/>
          <w:iCs/>
          <w:noProof/>
          <w:sz w:val="24"/>
          <w:szCs w:val="24"/>
        </w:rPr>
        <w:t>Phoca vitulina</w:t>
      </w:r>
      <w:r>
        <w:rPr>
          <w:rFonts w:ascii="Times New Roman" w:hAnsi="Times New Roman"/>
          <w:iCs/>
          <w:noProof/>
          <w:sz w:val="24"/>
          <w:szCs w:val="24"/>
        </w:rPr>
        <w:t>).</w:t>
      </w:r>
    </w:p>
    <w:p>
      <w:pPr>
        <w:kinsoku w:val="0"/>
        <w:overflowPunct w:val="0"/>
        <w:spacing w:after="240"/>
        <w:jc w:val="both"/>
        <w:textAlignment w:val="baseline"/>
        <w:rPr>
          <w:rFonts w:ascii="Times New Roman" w:eastAsia="ヒラギノ角ゴ Pro W3" w:hAnsi="Times New Roman" w:cs="Times New Roman"/>
          <w:iCs/>
          <w:noProof/>
          <w:sz w:val="24"/>
          <w:szCs w:val="24"/>
        </w:rPr>
      </w:pPr>
      <w:r>
        <w:rPr>
          <w:rFonts w:ascii="Times New Roman" w:hAnsi="Times New Roman"/>
          <w:iCs/>
          <w:noProof/>
          <w:sz w:val="24"/>
          <w:szCs w:val="24"/>
          <w:u w:val="single"/>
        </w:rPr>
        <w:t>Lindude</w:t>
      </w:r>
      <w:r>
        <w:rPr>
          <w:rFonts w:ascii="Times New Roman" w:hAnsi="Times New Roman"/>
          <w:iCs/>
          <w:noProof/>
          <w:sz w:val="24"/>
          <w:szCs w:val="24"/>
        </w:rPr>
        <w:t xml:space="preserve"> puhul määratletakse olukorra paranemist riigi tasandil erinevalt, kuna kaitsestaatust ja staatuse suundumusi riigi tasandil ei hinnata. Seetõttu peetakse paranemiseks populatsiooni lühiajalist positiivset suundumust või stabiliseerumist pärast riigi eelmises aruandes kirjeldatud pikaajalist negatiivset suundumust. Olukorra paranemist vastavalt eespool nimetatud kriteeriumidele näitavad kokku 2 148 liikmesriigi aruannet. Üldiselt vastab see 397 linnuliigile (alamliigile), mille olukord paraneb vähemalt ühes liikmesriigis vähemalt ühel käsitletud hooajal. Ligikaudu 44 % kõigist paraneva suundumusega lindudest on rändveelinnud</w:t>
      </w:r>
      <w:r>
        <w:rPr>
          <w:rStyle w:val="FootnoteReference"/>
          <w:rFonts w:ascii="Times New Roman" w:eastAsia="ヒラギノ角ゴ Pro W3" w:hAnsi="Times New Roman" w:cs="Times New Roman"/>
          <w:iCs/>
          <w:noProof/>
          <w:sz w:val="24"/>
          <w:szCs w:val="24"/>
        </w:rPr>
        <w:footnoteReference w:id="15"/>
      </w:r>
      <w:r>
        <w:rPr>
          <w:rFonts w:ascii="Times New Roman" w:hAnsi="Times New Roman"/>
          <w:iCs/>
          <w:noProof/>
          <w:sz w:val="24"/>
          <w:szCs w:val="24"/>
        </w:rPr>
        <w:t xml:space="preserve">. Paljud neist liikidest on liigitatud ka mereliikideks vastavalt ELi merestrateegia raamdirektiivile ja nende osakaal kõigi paraneva olukorraga linnuliikide seas on 33 %. Nii põllu- kui ka metsalinnuliikide osakaal on umbes 9 %. Paraneva olukorraga linnuliigid on näiteks </w:t>
      </w:r>
      <w:r>
        <w:rPr>
          <w:rFonts w:ascii="Times New Roman" w:hAnsi="Times New Roman"/>
          <w:noProof/>
          <w:sz w:val="24"/>
          <w:szCs w:val="24"/>
        </w:rPr>
        <w:t>merikotkas (</w:t>
      </w:r>
      <w:r>
        <w:rPr>
          <w:rFonts w:ascii="Times New Roman" w:hAnsi="Times New Roman"/>
          <w:i/>
          <w:noProof/>
          <w:sz w:val="24"/>
          <w:szCs w:val="24"/>
        </w:rPr>
        <w:t>Haliaeetus albicilla</w:t>
      </w:r>
      <w:r>
        <w:rPr>
          <w:rFonts w:ascii="Times New Roman" w:hAnsi="Times New Roman"/>
          <w:noProof/>
          <w:sz w:val="24"/>
          <w:szCs w:val="24"/>
        </w:rPr>
        <w:t>), sookurg (</w:t>
      </w:r>
      <w:r>
        <w:rPr>
          <w:rFonts w:ascii="Times New Roman" w:hAnsi="Times New Roman"/>
          <w:i/>
          <w:noProof/>
          <w:sz w:val="24"/>
          <w:szCs w:val="24"/>
        </w:rPr>
        <w:t>Grus grus</w:t>
      </w:r>
      <w:r>
        <w:rPr>
          <w:rFonts w:ascii="Times New Roman" w:hAnsi="Times New Roman"/>
          <w:noProof/>
          <w:sz w:val="24"/>
          <w:szCs w:val="24"/>
        </w:rPr>
        <w:t>), puna-harksaba (</w:t>
      </w:r>
      <w:r>
        <w:rPr>
          <w:rFonts w:ascii="Times New Roman" w:hAnsi="Times New Roman"/>
          <w:i/>
          <w:noProof/>
          <w:sz w:val="24"/>
          <w:szCs w:val="24"/>
        </w:rPr>
        <w:t>Milvus milvus)</w:t>
      </w:r>
      <w:r>
        <w:rPr>
          <w:rFonts w:ascii="Times New Roman" w:hAnsi="Times New Roman"/>
          <w:noProof/>
          <w:sz w:val="24"/>
          <w:szCs w:val="24"/>
        </w:rPr>
        <w:t xml:space="preserve"> ja hõbehaigur (</w:t>
      </w:r>
      <w:r>
        <w:rPr>
          <w:rFonts w:ascii="Times New Roman" w:hAnsi="Times New Roman"/>
          <w:i/>
          <w:noProof/>
          <w:sz w:val="24"/>
          <w:szCs w:val="24"/>
        </w:rPr>
        <w:t>Ardea alba</w:t>
      </w:r>
      <w:r>
        <w:rPr>
          <w:rFonts w:ascii="Times New Roman" w:hAnsi="Times New Roman"/>
          <w:noProof/>
          <w:sz w:val="24"/>
          <w:szCs w:val="24"/>
        </w:rPr>
        <w:t>).</w:t>
      </w:r>
    </w:p>
    <w:p>
      <w:pPr>
        <w:spacing w:after="240"/>
        <w:jc w:val="both"/>
        <w:rPr>
          <w:rFonts w:ascii="Times New Roman" w:hAnsi="Times New Roman" w:cs="Times New Roman"/>
          <w:b/>
          <w:i/>
          <w:noProof/>
          <w:sz w:val="24"/>
          <w:szCs w:val="24"/>
          <w:u w:val="single"/>
        </w:rPr>
      </w:pPr>
      <w:r>
        <w:rPr>
          <w:rFonts w:ascii="Times New Roman" w:hAnsi="Times New Roman"/>
          <w:b/>
          <w:i/>
          <w:noProof/>
          <w:sz w:val="24"/>
          <w:szCs w:val="24"/>
          <w:u w:val="single"/>
        </w:rPr>
        <w:t>3.3 Andmekvaliteedi paranemine</w:t>
      </w:r>
    </w:p>
    <w:p>
      <w:pPr>
        <w:spacing w:after="240"/>
        <w:jc w:val="both"/>
        <w:rPr>
          <w:rFonts w:ascii="Times New Roman" w:hAnsi="Times New Roman" w:cs="Times New Roman"/>
          <w:noProof/>
          <w:sz w:val="24"/>
          <w:szCs w:val="24"/>
        </w:rPr>
      </w:pPr>
      <w:r>
        <w:rPr>
          <w:rFonts w:ascii="Times New Roman" w:hAnsi="Times New Roman"/>
          <w:noProof/>
          <w:sz w:val="24"/>
          <w:szCs w:val="24"/>
        </w:rPr>
        <w:t>Kaitsestaatuse paranemise hindamiseks on kõigis liikmesriikides vaja asjakohaseid seiresüsteeme. Paljudel juhtudel pärineb esitatud teave aga osalistest uuringutest, mis on korraldatud muudel eesmärkidel. Muudel juhtudel ei ole liikmesriikidel sobivaid andmeid ja nad toetuvad eksperdihinnangutele. Elupaikade direktiivi elupaikade ja liikide puhul pärineb üle 40 % esitatud teabest osalistest uuringutest ja üle 20 % põhineb ainult eksperdihinnangutel. Lindude puhul pärineb üle 30 % teabest osalistest uuringutest ja üle 15 % põhineb eksperdihinnangutel. Praegune aruandlusvoor näitab, et kehvadest või puudulikest andmetest tulenevad piirangud on endiselt olemas (kuigi liikmesriigiti väga erineval määral ja väiksemas ulatuses kui 2015. aastal). Siiski on siin esitatud andmed verstapostiks looduse seisundi hindamisel ELis ning annavad tugeva aluse aruandluse, hindamise ja rakendamise parandamiseks, et võimalik oleks saavutada ELi elurikkuse strateegia 2030 eesmärgid.</w:t>
      </w:r>
    </w:p>
    <w:p>
      <w:pPr>
        <w:pStyle w:val="Heading1"/>
        <w:numPr>
          <w:ilvl w:val="0"/>
          <w:numId w:val="10"/>
        </w:numPr>
        <w:spacing w:after="240"/>
        <w:ind w:left="714" w:hanging="357"/>
        <w:rPr>
          <w:rFonts w:eastAsia="Times New Roman"/>
          <w:noProof/>
          <w:color w:val="auto"/>
        </w:rPr>
      </w:pPr>
      <w:r>
        <w:rPr>
          <w:noProof/>
          <w:color w:val="auto"/>
        </w:rPr>
        <w:t>Survetegurid ja vastumeetmed</w:t>
      </w:r>
    </w:p>
    <w:p>
      <w:pPr>
        <w:spacing w:after="240" w:line="240" w:lineRule="auto"/>
        <w:jc w:val="both"/>
        <w:rPr>
          <w:rFonts w:ascii="Times New Roman" w:eastAsia="Times New Roman" w:hAnsi="Times New Roman" w:cs="Times New Roman"/>
          <w:b/>
          <w:i/>
          <w:noProof/>
          <w:sz w:val="24"/>
          <w:szCs w:val="24"/>
          <w:u w:val="single"/>
        </w:rPr>
      </w:pPr>
      <w:r>
        <w:rPr>
          <w:rFonts w:ascii="Times New Roman" w:hAnsi="Times New Roman"/>
          <w:b/>
          <w:i/>
          <w:noProof/>
          <w:sz w:val="24"/>
          <w:szCs w:val="24"/>
          <w:u w:val="single"/>
        </w:rPr>
        <w:t>4.1 Survetegurid</w:t>
      </w:r>
    </w:p>
    <w:p>
      <w:pPr>
        <w:spacing w:after="240"/>
        <w:jc w:val="both"/>
        <w:rPr>
          <w:rFonts w:ascii="Times New Roman" w:hAnsi="Times New Roman" w:cs="Times New Roman"/>
          <w:noProof/>
          <w:sz w:val="24"/>
          <w:szCs w:val="24"/>
        </w:rPr>
      </w:pPr>
      <w:r>
        <w:rPr>
          <w:rFonts w:ascii="Times New Roman" w:hAnsi="Times New Roman"/>
          <w:noProof/>
          <w:sz w:val="24"/>
          <w:szCs w:val="24"/>
        </w:rPr>
        <w:t xml:space="preserve">Euroopa on üks tihedamini asustatud piirkondi maailmas. Inimtegevus on sajandite jooksul kujundanud Euroopa maastikke ja toetanud oluliselt piirkonna elurikkust, nt poollooduslikes elupaikades nagu ekstensiivselt haritud niidud ja poollooduslikud kuivad rohumaad. Sellele vaatamata on inimtegevus põhjustanud ka paljude pärismaiste liikide ja elupaigatüüpide seisundi halvenemise ja nende vähenemise, eriti (ja palju kiiremini) viimase 100 aasta jooksul. </w:t>
      </w:r>
    </w:p>
    <w:p>
      <w:pPr>
        <w:spacing w:after="240"/>
        <w:jc w:val="both"/>
        <w:rPr>
          <w:rFonts w:ascii="Times New Roman" w:hAnsi="Times New Roman" w:cs="Times New Roman"/>
          <w:noProof/>
          <w:sz w:val="24"/>
          <w:szCs w:val="24"/>
        </w:rPr>
      </w:pPr>
      <w:r>
        <w:rPr>
          <w:rFonts w:ascii="Times New Roman" w:hAnsi="Times New Roman"/>
          <w:noProof/>
          <w:sz w:val="24"/>
          <w:szCs w:val="24"/>
        </w:rPr>
        <w:t>Liikmesriigid teatasid liikide kadumise ja elupaikade seisundi halvenemise peamistest põhjustest iga liigi ja elupaiga puhul. Kokku esitasid nad 67 000 kirjet, kasutades 15 kategooriasse (alates A „Põllumajandus“ kuni X „Muu“) kuuluva 203 individuaalse surveteguri loetelu.</w:t>
      </w:r>
    </w:p>
    <w:p>
      <w:pPr>
        <w:spacing w:after="240"/>
        <w:jc w:val="both"/>
        <w:rPr>
          <w:rFonts w:ascii="Times New Roman" w:hAnsi="Times New Roman" w:cs="Times New Roman"/>
          <w:noProof/>
          <w:sz w:val="24"/>
          <w:szCs w:val="24"/>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31"/>
      </w:tblGrid>
      <w:tr>
        <w:tc>
          <w:tcPr>
            <w:tcW w:w="10031" w:type="dxa"/>
          </w:tcPr>
          <w:p>
            <w:pPr>
              <w:spacing w:after="120"/>
              <w:jc w:val="both"/>
              <w:rPr>
                <w:rFonts w:ascii="Times New Roman" w:hAnsi="Times New Roman" w:cs="Times New Roman"/>
                <w:b/>
                <w:noProof/>
                <w:sz w:val="20"/>
                <w:szCs w:val="20"/>
              </w:rPr>
            </w:pPr>
            <w:r>
              <w:rPr>
                <w:rFonts w:ascii="Times New Roman" w:hAnsi="Times New Roman"/>
                <w:b/>
                <w:noProof/>
                <w:sz w:val="20"/>
                <w:szCs w:val="20"/>
              </w:rPr>
              <w:t>Joonis 9. 1. tasandi survetegurite kategooriate jaotus elupaikade, muude kui linnuliikide ja lindude vahel</w:t>
            </w:r>
            <w:r>
              <w:rPr>
                <w:rFonts w:ascii="Times New Roman" w:hAnsi="Times New Roman"/>
                <w:noProof/>
                <w:sz w:val="20"/>
                <w:szCs w:val="20"/>
              </w:rPr>
              <w:t xml:space="preserve"> </w:t>
            </w:r>
          </w:p>
        </w:tc>
      </w:tr>
      <w:tr>
        <w:tc>
          <w:tcPr>
            <w:tcW w:w="10031" w:type="dxa"/>
          </w:tcPr>
          <w:p>
            <w:pPr>
              <w:spacing w:before="120" w:after="120"/>
              <w:ind w:left="33"/>
              <w:jc w:val="both"/>
              <w:rPr>
                <w:rFonts w:ascii="Times New Roman" w:hAnsi="Times New Roman" w:cs="Times New Roman"/>
                <w:noProof/>
              </w:rPr>
            </w:pPr>
            <w:r>
              <w:rPr>
                <w:rFonts w:ascii="Times New Roman" w:hAnsi="Times New Roman" w:cs="Times New Roman"/>
                <w:noProof/>
                <w:lang w:val="en-GB" w:eastAsia="en-GB"/>
              </w:rPr>
              <w:drawing>
                <wp:inline distT="0" distB="0" distL="0" distR="0">
                  <wp:extent cx="5414010" cy="4378380"/>
                  <wp:effectExtent l="0" t="0" r="0" b="3175"/>
                  <wp:docPr id="1397633219" name="Picture 1397633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
                            <a:extLst>
                              <a:ext uri="{28A0092B-C50C-407E-A947-70E740481C1C}">
                                <a14:useLocalDpi xmlns:a14="http://schemas.microsoft.com/office/drawing/2010/main" val="0"/>
                              </a:ext>
                            </a:extLst>
                          </a:blip>
                          <a:srcRect t="3335"/>
                          <a:stretch/>
                        </pic:blipFill>
                        <pic:spPr bwMode="auto">
                          <a:xfrm>
                            <a:off x="0" y="0"/>
                            <a:ext cx="5414010" cy="4378380"/>
                          </a:xfrm>
                          <a:prstGeom prst="rect">
                            <a:avLst/>
                          </a:prstGeom>
                          <a:noFill/>
                          <a:ln>
                            <a:noFill/>
                          </a:ln>
                          <a:extLst>
                            <a:ext uri="{53640926-AAD7-44D8-BBD7-CCE9431645EC}">
                              <a14:shadowObscured xmlns:a14="http://schemas.microsoft.com/office/drawing/2010/main"/>
                            </a:ext>
                          </a:extLst>
                        </pic:spPr>
                      </pic:pic>
                    </a:graphicData>
                  </a:graphic>
                </wp:inline>
              </w:drawing>
            </w:r>
          </w:p>
        </w:tc>
      </w:tr>
      <w:tr>
        <w:tc>
          <w:tcPr>
            <w:tcW w:w="10031" w:type="dxa"/>
          </w:tcPr>
          <w:p>
            <w:pPr>
              <w:ind w:left="360"/>
              <w:jc w:val="both"/>
              <w:rPr>
                <w:rFonts w:ascii="Times New Roman" w:hAnsi="Times New Roman" w:cs="Times New Roman"/>
                <w:noProof/>
              </w:rPr>
            </w:pPr>
          </w:p>
        </w:tc>
      </w:tr>
    </w:tbl>
    <w:p>
      <w:pPr>
        <w:spacing w:after="240"/>
        <w:jc w:val="both"/>
        <w:rPr>
          <w:rFonts w:ascii="Times New Roman" w:hAnsi="Times New Roman" w:cs="Times New Roman"/>
          <w:noProof/>
          <w:sz w:val="24"/>
          <w:szCs w:val="24"/>
        </w:rPr>
      </w:pPr>
      <w:r>
        <w:rPr>
          <w:rFonts w:ascii="Times New Roman" w:hAnsi="Times New Roman"/>
          <w:iCs/>
          <w:noProof/>
          <w:sz w:val="24"/>
          <w:szCs w:val="24"/>
        </w:rPr>
        <w:t xml:space="preserve">Kõige sagedamini tuleneb nii elupaikadele kui ka liikidele avalduv surve </w:t>
      </w:r>
      <w:r>
        <w:rPr>
          <w:rFonts w:ascii="Times New Roman" w:hAnsi="Times New Roman"/>
          <w:iCs/>
          <w:noProof/>
          <w:sz w:val="24"/>
          <w:szCs w:val="24"/>
          <w:u w:val="single"/>
        </w:rPr>
        <w:t>põllumajandusest</w:t>
      </w:r>
      <w:r>
        <w:rPr>
          <w:rFonts w:ascii="Times New Roman" w:hAnsi="Times New Roman"/>
          <w:iCs/>
          <w:noProof/>
          <w:sz w:val="24"/>
          <w:szCs w:val="24"/>
        </w:rPr>
        <w:t xml:space="preserve">, mis kajastab põllumajandusmaa kasutamise suhtelist ulatust ja muutusi põllumajandustavades (ekstensiivse põllumajanduse intensiivistamine ja hülgamine). Ekstensiivse põllumajandusega luuakse ja säilitatakse poollooduslikke elupaiku, kus on mitmekesine loomastik ja taimestik. Alates 1950. aastatest on aga intensiivsem ja spetsialiseeritum põllumajandus üha enam süvendanud elurikkuse jätkuvat vähenemist. </w:t>
      </w:r>
      <w:r>
        <w:rPr>
          <w:rFonts w:ascii="Times New Roman" w:hAnsi="Times New Roman"/>
          <w:noProof/>
          <w:sz w:val="24"/>
          <w:szCs w:val="24"/>
        </w:rPr>
        <w:t>Kõige rängem on mõju olnud rohumaadele, magevee-elupaikadele, nõmmedele ja võserikele ning rabadele ja soodele. Eriti ohustatud on põllumajandusest sõltuvad poollooduslikud elupaigad,</w:t>
      </w:r>
      <w:r>
        <w:rPr>
          <w:rStyle w:val="FootnoteReference"/>
          <w:rFonts w:ascii="Times New Roman" w:hAnsi="Times New Roman" w:cs="Times New Roman"/>
          <w:noProof/>
          <w:sz w:val="24"/>
          <w:szCs w:val="24"/>
        </w:rPr>
        <w:footnoteReference w:id="16"/>
      </w:r>
      <w:r>
        <w:rPr>
          <w:rFonts w:ascii="Times New Roman" w:hAnsi="Times New Roman"/>
          <w:noProof/>
          <w:sz w:val="24"/>
          <w:szCs w:val="24"/>
        </w:rPr>
        <w:t xml:space="preserve"> näiteks rohumaad, ning nende kaitsestaatus on oluliselt halvem kui muudel elupaigatüüpidel, mis ei sõltu põllumajandusest (45 % on hinnatud halvaks võrreldes 31 %-ga muudest elupaikadest). Võrreldes 2015. aastaga näitavad põllumajanduslike elupaikade hindamised kaitsestaatuse üldist halvenemist: hea staatusega elupaikade osakaal vähenes 14 %-lt 12 %-le ja halva staatusega elupaikade osakaal suurenes 39 %-lt 45 %-ni. Ainult 8 % põllumajanduslike elupaikade staatus paraneb, samas kui 45 % staatus halveneb. Mõjutatud on ka paljud linnu-, roomaja-, molluski-, kahepaiksete, lülijalgsete ja soontaimede liigid ning põllumajandusmaa elurikkus väheneb endiselt.</w:t>
      </w:r>
    </w:p>
    <w:p>
      <w:pPr>
        <w:jc w:val="both"/>
        <w:rPr>
          <w:rFonts w:ascii="Times New Roman" w:hAnsi="Times New Roman" w:cs="Times New Roman"/>
          <w:noProof/>
          <w:sz w:val="24"/>
          <w:szCs w:val="24"/>
          <w:u w:val="single"/>
        </w:rPr>
      </w:pPr>
      <w:r>
        <w:rPr>
          <w:rFonts w:ascii="Times New Roman" w:hAnsi="Times New Roman"/>
          <w:noProof/>
          <w:sz w:val="24"/>
          <w:szCs w:val="24"/>
        </w:rPr>
        <w:t xml:space="preserve">Üldiselt on </w:t>
      </w:r>
      <w:r>
        <w:rPr>
          <w:rFonts w:ascii="Times New Roman" w:hAnsi="Times New Roman"/>
          <w:noProof/>
          <w:sz w:val="24"/>
          <w:szCs w:val="24"/>
          <w:u w:val="single"/>
        </w:rPr>
        <w:t>veerežiimide muutmine</w:t>
      </w:r>
      <w:r>
        <w:rPr>
          <w:rFonts w:ascii="Times New Roman" w:hAnsi="Times New Roman"/>
          <w:noProof/>
          <w:sz w:val="24"/>
          <w:szCs w:val="24"/>
        </w:rPr>
        <w:t xml:space="preserve"> </w:t>
      </w:r>
      <w:r>
        <w:rPr>
          <w:rFonts w:ascii="Times New Roman" w:hAnsi="Times New Roman"/>
          <w:iCs/>
          <w:noProof/>
          <w:sz w:val="24"/>
          <w:szCs w:val="24"/>
        </w:rPr>
        <w:t xml:space="preserve">(sealhulgas kategooriasse K „Veerežiimide muutmine“ kuuluv mitmeotstarbeline muutmine ja teiste kategooriatega (nt kategooria A „Põllumajandus“) seotud hüdroloogilised muutused) kategooriate lõikes </w:t>
      </w:r>
      <w:r>
        <w:rPr>
          <w:rFonts w:ascii="Times New Roman" w:hAnsi="Times New Roman"/>
          <w:noProof/>
          <w:sz w:val="24"/>
          <w:szCs w:val="24"/>
        </w:rPr>
        <w:t xml:space="preserve">teine kõige sagemini teatatud survetegur, millele järgnevad </w:t>
      </w:r>
      <w:r>
        <w:rPr>
          <w:rFonts w:ascii="Times New Roman" w:hAnsi="Times New Roman"/>
          <w:noProof/>
          <w:sz w:val="24"/>
          <w:szCs w:val="24"/>
          <w:u w:val="single"/>
        </w:rPr>
        <w:t>linnastumine</w:t>
      </w:r>
      <w:r>
        <w:rPr>
          <w:rFonts w:ascii="Times New Roman" w:hAnsi="Times New Roman"/>
          <w:noProof/>
          <w:sz w:val="24"/>
          <w:szCs w:val="24"/>
        </w:rPr>
        <w:t xml:space="preserve"> ja </w:t>
      </w:r>
      <w:r>
        <w:rPr>
          <w:rFonts w:ascii="Times New Roman" w:hAnsi="Times New Roman"/>
          <w:noProof/>
          <w:sz w:val="24"/>
          <w:szCs w:val="24"/>
          <w:u w:val="single"/>
        </w:rPr>
        <w:t>saaste</w:t>
      </w:r>
      <w:r>
        <w:rPr>
          <w:rFonts w:ascii="Times New Roman" w:hAnsi="Times New Roman"/>
          <w:noProof/>
          <w:sz w:val="24"/>
          <w:szCs w:val="24"/>
        </w:rPr>
        <w:t>:</w:t>
      </w:r>
    </w:p>
    <w:p>
      <w:pPr>
        <w:pStyle w:val="ListParagraph"/>
        <w:numPr>
          <w:ilvl w:val="0"/>
          <w:numId w:val="1"/>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u w:val="single"/>
        </w:rPr>
        <w:t>veerežiimi muutmisega</w:t>
      </w:r>
      <w:r>
        <w:rPr>
          <w:rFonts w:ascii="Times New Roman" w:hAnsi="Times New Roman"/>
          <w:noProof/>
          <w:sz w:val="24"/>
          <w:szCs w:val="24"/>
        </w:rPr>
        <w:t xml:space="preserve"> seotud surve tuleneb mitmest allikast. Näiteks põllumajanduslik kuivendustegevus ja hüdroelektrijaamad tingivad 14 % ja 13 % kogu hüdroloogiaga seotud survest. Ei ole üllatav, et selle kategooria survetegurid mõjutavad eelkõige magevee-elupaiku ja kalaliike, aga ka süsinikurikkaid ökosüsteeme, näiteks rabasid ja soid;</w:t>
      </w:r>
    </w:p>
    <w:p>
      <w:pPr>
        <w:pStyle w:val="ListParagraph"/>
        <w:numPr>
          <w:ilvl w:val="0"/>
          <w:numId w:val="1"/>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 xml:space="preserve">peamised </w:t>
      </w:r>
      <w:r>
        <w:rPr>
          <w:rFonts w:ascii="Times New Roman" w:hAnsi="Times New Roman"/>
          <w:noProof/>
          <w:sz w:val="24"/>
          <w:szCs w:val="24"/>
          <w:u w:val="single"/>
        </w:rPr>
        <w:t>linnastumisega</w:t>
      </w:r>
      <w:r>
        <w:rPr>
          <w:rFonts w:ascii="Times New Roman" w:hAnsi="Times New Roman"/>
          <w:noProof/>
          <w:sz w:val="24"/>
          <w:szCs w:val="24"/>
        </w:rPr>
        <w:t xml:space="preserve"> seotud survetegurid on sport, turism ja vabaajategevused ning need mõjutavad eelkõige mere- ja rannikuelupaiku. Loodusliku ja poolloodusliku maa muutmine elamurajoonideks, asustus- või puhkealadeks mõjutab peamiselt rohumaade elupaiku ja metsi ning</w:t>
      </w:r>
    </w:p>
    <w:p>
      <w:pPr>
        <w:pStyle w:val="ListParagraph"/>
        <w:numPr>
          <w:ilvl w:val="0"/>
          <w:numId w:val="1"/>
        </w:numPr>
        <w:spacing w:after="240"/>
        <w:ind w:left="681" w:hanging="397"/>
        <w:contextualSpacing w:val="0"/>
        <w:jc w:val="both"/>
        <w:rPr>
          <w:rFonts w:ascii="Times New Roman" w:hAnsi="Times New Roman" w:cs="Times New Roman"/>
          <w:noProof/>
          <w:sz w:val="24"/>
          <w:szCs w:val="24"/>
        </w:rPr>
      </w:pPr>
      <w:r>
        <w:rPr>
          <w:rFonts w:ascii="Times New Roman" w:hAnsi="Times New Roman"/>
          <w:noProof/>
          <w:sz w:val="24"/>
          <w:szCs w:val="24"/>
          <w:u w:val="single"/>
        </w:rPr>
        <w:t>saaste</w:t>
      </w:r>
      <w:r>
        <w:rPr>
          <w:rFonts w:ascii="Times New Roman" w:hAnsi="Times New Roman"/>
          <w:noProof/>
          <w:sz w:val="24"/>
          <w:szCs w:val="24"/>
        </w:rPr>
        <w:t xml:space="preserve"> on oluline survetegur paljudele elupaikadele ja liikidele ning ligi pool (48 %) saastega seotud survest langeb põllumajandusliku tegevuse arvele; sellele järgnevad segasaaste (28 %, nagu teatatud kategoorias J „Saaste“) ja linnastumine (21 %).</w:t>
      </w:r>
    </w:p>
    <w:p>
      <w:pPr>
        <w:spacing w:after="120"/>
        <w:jc w:val="both"/>
        <w:rPr>
          <w:rFonts w:ascii="Times New Roman" w:hAnsi="Times New Roman" w:cs="Times New Roman"/>
          <w:noProof/>
          <w:sz w:val="24"/>
          <w:szCs w:val="24"/>
        </w:rPr>
      </w:pPr>
      <w:r>
        <w:rPr>
          <w:rFonts w:ascii="Times New Roman" w:hAnsi="Times New Roman"/>
          <w:noProof/>
          <w:sz w:val="24"/>
          <w:szCs w:val="24"/>
        </w:rPr>
        <w:t>Survetegurite kategooriate suhteline mõju on elupaiga- ja liigirühmade lõikes erinev:</w:t>
      </w:r>
    </w:p>
    <w:p>
      <w:pPr>
        <w:pStyle w:val="ListParagraph"/>
        <w:numPr>
          <w:ilvl w:val="0"/>
          <w:numId w:val="1"/>
        </w:numPr>
        <w:spacing w:after="120"/>
        <w:ind w:left="709"/>
        <w:contextualSpacing w:val="0"/>
        <w:jc w:val="both"/>
        <w:rPr>
          <w:rFonts w:ascii="Times New Roman" w:hAnsi="Times New Roman" w:cs="Times New Roman"/>
          <w:noProof/>
          <w:sz w:val="24"/>
          <w:szCs w:val="24"/>
        </w:rPr>
      </w:pPr>
      <w:r>
        <w:rPr>
          <w:rFonts w:ascii="Times New Roman" w:hAnsi="Times New Roman"/>
          <w:noProof/>
          <w:sz w:val="24"/>
          <w:szCs w:val="24"/>
          <w:u w:val="single"/>
        </w:rPr>
        <w:t>metsandustegevus</w:t>
      </w:r>
      <w:r>
        <w:rPr>
          <w:rFonts w:ascii="Times New Roman" w:hAnsi="Times New Roman"/>
          <w:noProof/>
          <w:sz w:val="24"/>
          <w:szCs w:val="24"/>
        </w:rPr>
        <w:t xml:space="preserve"> on liikide puhul suuruselt teine survetegurite kategooria, mis mõjutab eelkõige lülijalgseid, imetajaid ja soonteta taimi. Paljude metsast sõltuvate liikide kohta on teatatud, et neid mõjutab </w:t>
      </w:r>
      <w:r>
        <w:rPr>
          <w:rFonts w:ascii="Times New Roman" w:hAnsi="Times New Roman"/>
          <w:noProof/>
          <w:sz w:val="24"/>
          <w:szCs w:val="24"/>
          <w:u w:val="single"/>
        </w:rPr>
        <w:t>surnud, surevate ja vanade puude eemaldamine</w:t>
      </w:r>
      <w:r>
        <w:rPr>
          <w:rFonts w:ascii="Times New Roman" w:hAnsi="Times New Roman"/>
          <w:noProof/>
          <w:sz w:val="24"/>
          <w:szCs w:val="24"/>
        </w:rPr>
        <w:t xml:space="preserve"> (sealhulgas sanitaarraie), </w:t>
      </w:r>
      <w:r>
        <w:rPr>
          <w:rFonts w:ascii="Times New Roman" w:hAnsi="Times New Roman"/>
          <w:noProof/>
          <w:sz w:val="24"/>
          <w:szCs w:val="24"/>
          <w:u w:val="single"/>
        </w:rPr>
        <w:t>metsamajandamine, mille käigus vähendatakse põlismetsade osakaalu,</w:t>
      </w:r>
      <w:r>
        <w:rPr>
          <w:rFonts w:ascii="Times New Roman" w:hAnsi="Times New Roman"/>
          <w:noProof/>
          <w:sz w:val="24"/>
          <w:szCs w:val="24"/>
        </w:rPr>
        <w:t xml:space="preserve"> ja </w:t>
      </w:r>
      <w:r>
        <w:rPr>
          <w:rFonts w:ascii="Times New Roman" w:hAnsi="Times New Roman"/>
          <w:noProof/>
          <w:sz w:val="24"/>
          <w:szCs w:val="24"/>
          <w:u w:val="single"/>
        </w:rPr>
        <w:t>lageraie</w:t>
      </w:r>
      <w:r>
        <w:rPr>
          <w:rFonts w:ascii="Times New Roman" w:hAnsi="Times New Roman"/>
          <w:noProof/>
          <w:sz w:val="24"/>
          <w:szCs w:val="24"/>
        </w:rPr>
        <w:t>. Metsandus on ühtlasi valdav survetegurite rühm, millest on teatatud enamiku I lisas loetletud metsatüüpide puhul, mille kaitsestaatus on võrreldes 2015. aastaga halvenenud: hea staatuse osakaal vähenes 16 %-lt 14 %-le ja halba seisundit näitavate hinnangute osakaal suurenes 27 %-lt 31 %-ni;</w:t>
      </w:r>
    </w:p>
    <w:p>
      <w:pPr>
        <w:pStyle w:val="ListParagraph"/>
        <w:numPr>
          <w:ilvl w:val="0"/>
          <w:numId w:val="1"/>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u w:val="single"/>
        </w:rPr>
        <w:t>liikide kasutamine</w:t>
      </w:r>
      <w:r>
        <w:rPr>
          <w:rFonts w:ascii="Times New Roman" w:hAnsi="Times New Roman"/>
          <w:noProof/>
          <w:sz w:val="24"/>
          <w:szCs w:val="24"/>
        </w:rPr>
        <w:t xml:space="preserve"> on talvituvate lindude ja rändlindude suurim survetegur. See hõlmab </w:t>
      </w:r>
      <w:r>
        <w:rPr>
          <w:rFonts w:ascii="Times New Roman" w:hAnsi="Times New Roman"/>
          <w:noProof/>
          <w:sz w:val="24"/>
          <w:szCs w:val="24"/>
          <w:u w:val="single"/>
        </w:rPr>
        <w:t>ebaseaduslikku laskmist või tapmist, jahtimist</w:t>
      </w:r>
      <w:r>
        <w:rPr>
          <w:rFonts w:ascii="Times New Roman" w:hAnsi="Times New Roman"/>
          <w:noProof/>
          <w:sz w:val="24"/>
          <w:szCs w:val="24"/>
        </w:rPr>
        <w:t xml:space="preserve"> ja </w:t>
      </w:r>
      <w:r>
        <w:rPr>
          <w:rFonts w:ascii="Times New Roman" w:hAnsi="Times New Roman"/>
          <w:noProof/>
          <w:sz w:val="24"/>
          <w:szCs w:val="24"/>
          <w:u w:val="single"/>
        </w:rPr>
        <w:t>juhuslikku tapmist</w:t>
      </w:r>
      <w:r>
        <w:rPr>
          <w:rFonts w:ascii="Times New Roman" w:hAnsi="Times New Roman"/>
          <w:noProof/>
          <w:sz w:val="24"/>
          <w:szCs w:val="24"/>
        </w:rPr>
        <w:t>. 26 Euroopa riigis tehtud hiljutiste uuringute tulemusel on välja arvutatud, et iga aasta tapetakse jahipidamise käigus vähemalt 52 miljonit lindu</w:t>
      </w:r>
      <w:r>
        <w:rPr>
          <w:rStyle w:val="FootnoteReference"/>
          <w:rFonts w:ascii="Times New Roman" w:hAnsi="Times New Roman" w:cs="Times New Roman"/>
          <w:noProof/>
          <w:sz w:val="24"/>
          <w:szCs w:val="24"/>
        </w:rPr>
        <w:footnoteReference w:id="17"/>
      </w:r>
      <w:r>
        <w:rPr>
          <w:rFonts w:ascii="Times New Roman" w:hAnsi="Times New Roman"/>
          <w:noProof/>
          <w:sz w:val="24"/>
          <w:szCs w:val="24"/>
        </w:rPr>
        <w:t xml:space="preserve">. Muud liigid, mida kasutamine mõjutab, on kalad, imetajad ja roomajad. </w:t>
      </w:r>
      <w:r>
        <w:rPr>
          <w:rFonts w:ascii="Times New Roman" w:hAnsi="Times New Roman"/>
          <w:iCs/>
          <w:noProof/>
          <w:sz w:val="24"/>
          <w:szCs w:val="24"/>
          <w:u w:val="single"/>
        </w:rPr>
        <w:t>Mere-</w:t>
      </w:r>
      <w:r>
        <w:rPr>
          <w:rStyle w:val="FootnoteReference"/>
          <w:rFonts w:ascii="Times New Roman" w:eastAsia="ヒラギノ角ゴ Pro W3" w:hAnsi="Times New Roman" w:cs="Times New Roman"/>
          <w:iCs/>
          <w:noProof/>
          <w:sz w:val="24"/>
          <w:szCs w:val="24"/>
          <w:u w:val="single"/>
        </w:rPr>
        <w:footnoteReference w:id="18"/>
      </w:r>
      <w:r>
        <w:rPr>
          <w:rFonts w:ascii="Times New Roman" w:hAnsi="Times New Roman"/>
          <w:iCs/>
          <w:noProof/>
          <w:sz w:val="24"/>
          <w:szCs w:val="24"/>
          <w:u w:val="single"/>
        </w:rPr>
        <w:t xml:space="preserve"> ja mageveeressursside kasutamise</w:t>
      </w:r>
      <w:r>
        <w:rPr>
          <w:rFonts w:ascii="Times New Roman" w:hAnsi="Times New Roman"/>
          <w:iCs/>
          <w:noProof/>
          <w:sz w:val="24"/>
          <w:szCs w:val="24"/>
        </w:rPr>
        <w:t xml:space="preserve"> tõttu on kalad ühed kõige enam mõjutatud rühmad. Mõju imetajatele on kahetine: </w:t>
      </w:r>
    </w:p>
    <w:p>
      <w:pPr>
        <w:pStyle w:val="ListParagraph"/>
        <w:numPr>
          <w:ilvl w:val="1"/>
          <w:numId w:val="1"/>
        </w:numPr>
        <w:spacing w:after="120"/>
        <w:ind w:left="1361" w:hanging="397"/>
        <w:contextualSpacing w:val="0"/>
        <w:jc w:val="both"/>
        <w:rPr>
          <w:rFonts w:ascii="Times New Roman" w:hAnsi="Times New Roman" w:cs="Times New Roman"/>
          <w:noProof/>
          <w:sz w:val="24"/>
          <w:szCs w:val="24"/>
        </w:rPr>
      </w:pPr>
      <w:r>
        <w:rPr>
          <w:rFonts w:ascii="Times New Roman" w:hAnsi="Times New Roman"/>
          <w:iCs/>
          <w:noProof/>
          <w:sz w:val="24"/>
          <w:szCs w:val="24"/>
        </w:rPr>
        <w:t>suuri maismaaimetajaid, nagu hunt (</w:t>
      </w:r>
      <w:r>
        <w:rPr>
          <w:rFonts w:ascii="Times New Roman" w:hAnsi="Times New Roman"/>
          <w:i/>
          <w:iCs/>
          <w:noProof/>
          <w:sz w:val="24"/>
          <w:szCs w:val="24"/>
        </w:rPr>
        <w:t>Canis lupus</w:t>
      </w:r>
      <w:r>
        <w:rPr>
          <w:rFonts w:ascii="Times New Roman" w:hAnsi="Times New Roman"/>
          <w:iCs/>
          <w:noProof/>
          <w:sz w:val="24"/>
          <w:szCs w:val="24"/>
        </w:rPr>
        <w:t>), ilves (</w:t>
      </w:r>
      <w:r>
        <w:rPr>
          <w:rFonts w:ascii="Times New Roman" w:hAnsi="Times New Roman"/>
          <w:i/>
          <w:iCs/>
          <w:noProof/>
          <w:sz w:val="24"/>
          <w:szCs w:val="24"/>
        </w:rPr>
        <w:t>Lynx lynx</w:t>
      </w:r>
      <w:r>
        <w:rPr>
          <w:rFonts w:ascii="Times New Roman" w:hAnsi="Times New Roman"/>
          <w:iCs/>
          <w:noProof/>
          <w:sz w:val="24"/>
          <w:szCs w:val="24"/>
        </w:rPr>
        <w:t>) ja saarmas (</w:t>
      </w:r>
      <w:r>
        <w:rPr>
          <w:rFonts w:ascii="Times New Roman" w:hAnsi="Times New Roman"/>
          <w:i/>
          <w:iCs/>
          <w:noProof/>
          <w:sz w:val="24"/>
          <w:szCs w:val="24"/>
        </w:rPr>
        <w:t>Lutra lutra</w:t>
      </w:r>
      <w:r>
        <w:rPr>
          <w:rFonts w:ascii="Times New Roman" w:hAnsi="Times New Roman"/>
          <w:iCs/>
          <w:noProof/>
          <w:sz w:val="24"/>
          <w:szCs w:val="24"/>
        </w:rPr>
        <w:t>), ohustab enamasti ebaseaduslik tapmine;</w:t>
      </w:r>
    </w:p>
    <w:p>
      <w:pPr>
        <w:pStyle w:val="ListParagraph"/>
        <w:numPr>
          <w:ilvl w:val="1"/>
          <w:numId w:val="1"/>
        </w:numPr>
        <w:spacing w:after="120"/>
        <w:ind w:left="1361"/>
        <w:contextualSpacing w:val="0"/>
        <w:jc w:val="both"/>
        <w:rPr>
          <w:rFonts w:ascii="Times New Roman" w:eastAsia="ヒラギノ角ゴ Pro W3" w:hAnsi="Times New Roman" w:cs="Times New Roman"/>
          <w:iCs/>
          <w:noProof/>
          <w:sz w:val="24"/>
          <w:szCs w:val="24"/>
        </w:rPr>
      </w:pPr>
      <w:r>
        <w:rPr>
          <w:rFonts w:ascii="Times New Roman" w:hAnsi="Times New Roman"/>
          <w:iCs/>
          <w:noProof/>
          <w:sz w:val="24"/>
          <w:szCs w:val="24"/>
        </w:rPr>
        <w:t xml:space="preserve">väikevaalalisi, nagu tavadelfiin </w:t>
      </w:r>
      <w:r>
        <w:rPr>
          <w:rFonts w:ascii="Times New Roman" w:hAnsi="Times New Roman"/>
          <w:i/>
          <w:iCs/>
          <w:noProof/>
          <w:sz w:val="24"/>
          <w:szCs w:val="24"/>
        </w:rPr>
        <w:t>(Delphinus delphis)</w:t>
      </w:r>
      <w:r>
        <w:rPr>
          <w:rFonts w:ascii="Times New Roman" w:hAnsi="Times New Roman"/>
          <w:iCs/>
          <w:noProof/>
          <w:sz w:val="24"/>
          <w:szCs w:val="24"/>
        </w:rPr>
        <w:t xml:space="preserve"> ja pringel (</w:t>
      </w:r>
      <w:r>
        <w:rPr>
          <w:rFonts w:ascii="Times New Roman" w:hAnsi="Times New Roman"/>
          <w:i/>
          <w:iCs/>
          <w:noProof/>
          <w:sz w:val="24"/>
          <w:szCs w:val="24"/>
        </w:rPr>
        <w:t>Phocoena phocoena)</w:t>
      </w:r>
      <w:r>
        <w:rPr>
          <w:rFonts w:ascii="Times New Roman" w:hAnsi="Times New Roman"/>
          <w:iCs/>
          <w:noProof/>
          <w:sz w:val="24"/>
          <w:szCs w:val="24"/>
        </w:rPr>
        <w:t xml:space="preserve">, mõjutab peamiselt </w:t>
      </w:r>
      <w:r>
        <w:rPr>
          <w:rFonts w:ascii="Times New Roman" w:hAnsi="Times New Roman"/>
          <w:iCs/>
          <w:noProof/>
          <w:sz w:val="24"/>
          <w:szCs w:val="24"/>
          <w:u w:val="single"/>
        </w:rPr>
        <w:t>kaaspüük</w:t>
      </w:r>
      <w:r>
        <w:rPr>
          <w:rFonts w:ascii="Times New Roman" w:hAnsi="Times New Roman"/>
          <w:iCs/>
          <w:noProof/>
          <w:sz w:val="24"/>
          <w:szCs w:val="24"/>
        </w:rPr>
        <w:t xml:space="preserve"> kalapüügivahenditega ja </w:t>
      </w:r>
      <w:r>
        <w:rPr>
          <w:rFonts w:ascii="Times New Roman" w:hAnsi="Times New Roman"/>
          <w:iCs/>
          <w:noProof/>
          <w:sz w:val="24"/>
          <w:szCs w:val="24"/>
          <w:u w:val="single"/>
        </w:rPr>
        <w:t>mereressursside kasutamise</w:t>
      </w:r>
      <w:r>
        <w:rPr>
          <w:rFonts w:ascii="Times New Roman" w:hAnsi="Times New Roman"/>
          <w:iCs/>
          <w:noProof/>
          <w:sz w:val="24"/>
          <w:szCs w:val="24"/>
        </w:rPr>
        <w:t xml:space="preserve"> muu mõju, näiteks saakloomade populatsioonide vähenemine ja liikide häirimine; mereimetajaid mõjutavad sageli ka eri allikatest pärit </w:t>
      </w:r>
      <w:r>
        <w:rPr>
          <w:rFonts w:ascii="Times New Roman" w:hAnsi="Times New Roman"/>
          <w:iCs/>
          <w:noProof/>
          <w:sz w:val="24"/>
          <w:szCs w:val="24"/>
          <w:u w:val="single"/>
        </w:rPr>
        <w:t>reostus</w:t>
      </w:r>
      <w:r>
        <w:rPr>
          <w:rFonts w:ascii="Times New Roman" w:hAnsi="Times New Roman"/>
          <w:iCs/>
          <w:noProof/>
          <w:sz w:val="24"/>
          <w:szCs w:val="24"/>
        </w:rPr>
        <w:t>,</w:t>
      </w:r>
      <w:r>
        <w:rPr>
          <w:rFonts w:ascii="Times New Roman" w:hAnsi="Times New Roman"/>
          <w:iCs/>
          <w:noProof/>
          <w:sz w:val="24"/>
          <w:szCs w:val="24"/>
          <w:u w:val="single"/>
        </w:rPr>
        <w:t xml:space="preserve"> laeva- ja parvlaevateede käitamine</w:t>
      </w:r>
      <w:r>
        <w:rPr>
          <w:rFonts w:ascii="Times New Roman" w:hAnsi="Times New Roman"/>
          <w:iCs/>
          <w:noProof/>
          <w:sz w:val="24"/>
          <w:szCs w:val="24"/>
        </w:rPr>
        <w:t xml:space="preserve"> (veealuse müra ja laevadega kokkupõrkamise tõttu) ning </w:t>
      </w:r>
      <w:r>
        <w:rPr>
          <w:rFonts w:ascii="Times New Roman" w:hAnsi="Times New Roman"/>
          <w:iCs/>
          <w:noProof/>
          <w:sz w:val="24"/>
          <w:szCs w:val="24"/>
          <w:u w:val="single"/>
        </w:rPr>
        <w:t>sõjalised operatsioonid</w:t>
      </w:r>
      <w:r>
        <w:rPr>
          <w:rFonts w:ascii="Times New Roman" w:hAnsi="Times New Roman"/>
          <w:iCs/>
          <w:noProof/>
          <w:sz w:val="24"/>
          <w:szCs w:val="24"/>
        </w:rPr>
        <w:t xml:space="preserve"> (kokkupõrge laevadega, häiritus sõjalise sonari tõttu);</w:t>
      </w:r>
    </w:p>
    <w:p>
      <w:pPr>
        <w:pStyle w:val="ListParagraph"/>
        <w:numPr>
          <w:ilvl w:val="0"/>
          <w:numId w:val="1"/>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u w:val="single"/>
        </w:rPr>
        <w:t>hüdroelektrijaamad</w:t>
      </w:r>
      <w:r>
        <w:rPr>
          <w:rFonts w:ascii="Times New Roman" w:hAnsi="Times New Roman"/>
          <w:noProof/>
          <w:sz w:val="24"/>
          <w:szCs w:val="24"/>
        </w:rPr>
        <w:t xml:space="preserve"> on ränd- ja mageveekalade kõige olulisem </w:t>
      </w:r>
      <w:r>
        <w:rPr>
          <w:rFonts w:ascii="Times New Roman" w:hAnsi="Times New Roman"/>
          <w:noProof/>
          <w:sz w:val="24"/>
          <w:szCs w:val="24"/>
          <w:u w:val="single"/>
        </w:rPr>
        <w:t>energiaga</w:t>
      </w:r>
      <w:r>
        <w:rPr>
          <w:rFonts w:ascii="Times New Roman" w:hAnsi="Times New Roman"/>
          <w:noProof/>
          <w:sz w:val="24"/>
          <w:szCs w:val="24"/>
        </w:rPr>
        <w:t xml:space="preserve"> seotud survetegur.</w:t>
      </w:r>
      <w:r>
        <w:rPr>
          <w:rFonts w:ascii="Times New Roman" w:hAnsi="Times New Roman"/>
          <w:iCs/>
          <w:noProof/>
          <w:sz w:val="24"/>
          <w:szCs w:val="24"/>
        </w:rPr>
        <w:t xml:space="preserve"> K</w:t>
      </w:r>
      <w:r>
        <w:rPr>
          <w:rFonts w:ascii="Times New Roman" w:hAnsi="Times New Roman"/>
          <w:noProof/>
          <w:sz w:val="24"/>
          <w:szCs w:val="24"/>
        </w:rPr>
        <w:t xml:space="preserve">uigi </w:t>
      </w:r>
      <w:r>
        <w:rPr>
          <w:rFonts w:ascii="Times New Roman" w:hAnsi="Times New Roman"/>
          <w:noProof/>
          <w:sz w:val="24"/>
          <w:szCs w:val="24"/>
          <w:u w:val="single"/>
        </w:rPr>
        <w:t>tuule-, laine- ja loodeteenergiaga</w:t>
      </w:r>
      <w:r>
        <w:rPr>
          <w:rFonts w:ascii="Times New Roman" w:hAnsi="Times New Roman"/>
          <w:noProof/>
          <w:sz w:val="24"/>
          <w:szCs w:val="24"/>
        </w:rPr>
        <w:t xml:space="preserve"> seotud surve ohustab paljusid liike, on linnud eriti haavatavad ka elektri- ja sideinfrastruktuuride suhtes. Taastuvenergia kasutamise laiendamine on ELi oluline poliitikavaldkond, mis aitab võidelda kliimamuutustega (mis omakorda avaldavad elurikkusele olulist ja kasvavat survet), kuid sobimatult kavandatud ja suunatud muudatused võivad avaldada kaitsealustele liikidele ja elupaigatüüpidele lisasurvet;</w:t>
      </w:r>
    </w:p>
    <w:p>
      <w:pPr>
        <w:pStyle w:val="ListParagraph"/>
        <w:numPr>
          <w:ilvl w:val="0"/>
          <w:numId w:val="1"/>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u w:val="single"/>
        </w:rPr>
        <w:t>invasiivsed võõrliigid</w:t>
      </w:r>
      <w:r>
        <w:rPr>
          <w:rFonts w:ascii="Times New Roman" w:hAnsi="Times New Roman"/>
          <w:noProof/>
          <w:sz w:val="24"/>
          <w:szCs w:val="24"/>
        </w:rPr>
        <w:t xml:space="preserve"> kujutavad endast suurt ja kasvavat ohtu Euroopa pärismaisele taimestikule ja loomastikule. Nende mõju on alates eelmisest aruandeperioodist märkimisväärselt suurenenud. Liidu jaoks probleemsed looduslikku tasakaalu ohustavad liigid</w:t>
      </w:r>
      <w:r>
        <w:rPr>
          <w:rStyle w:val="FootnoteReference"/>
          <w:rFonts w:ascii="Times New Roman" w:hAnsi="Times New Roman" w:cs="Times New Roman"/>
          <w:noProof/>
          <w:sz w:val="24"/>
          <w:szCs w:val="24"/>
        </w:rPr>
        <w:footnoteReference w:id="19"/>
      </w:r>
      <w:r>
        <w:rPr>
          <w:rFonts w:ascii="Times New Roman" w:hAnsi="Times New Roman"/>
          <w:noProof/>
          <w:sz w:val="24"/>
          <w:szCs w:val="24"/>
        </w:rPr>
        <w:t xml:space="preserve"> moodustavad ligikaudu 20 % selles kategoorias teatatud surveteguritest, kuid palju rohkem on teatatud mõjust, mida avaldavad invasiivsed võõrliigid, mida ei ole veel kantud liidu jaoks probleemsete liikide nimekirja. Invasiivsed võõrliigid mõjutavad elupaiku rohkem kui liike, kuid on teada, et neil on ühtlasi otsene mõju teatavatele linnu-, kahepaiksete, kala- ja soontaimeliikidele; </w:t>
      </w:r>
    </w:p>
    <w:p>
      <w:pPr>
        <w:pStyle w:val="ListParagraph"/>
        <w:numPr>
          <w:ilvl w:val="0"/>
          <w:numId w:val="1"/>
        </w:numPr>
        <w:spacing w:after="240"/>
        <w:ind w:left="681" w:hanging="397"/>
        <w:contextualSpacing w:val="0"/>
        <w:jc w:val="both"/>
        <w:rPr>
          <w:rFonts w:ascii="Times New Roman" w:hAnsi="Times New Roman" w:cs="Times New Roman"/>
          <w:b/>
          <w:i/>
          <w:noProof/>
          <w:sz w:val="24"/>
          <w:szCs w:val="24"/>
          <w:u w:val="single"/>
        </w:rPr>
      </w:pPr>
      <w:r>
        <w:rPr>
          <w:rFonts w:ascii="Times New Roman" w:hAnsi="Times New Roman"/>
          <w:iCs/>
          <w:noProof/>
          <w:sz w:val="24"/>
          <w:szCs w:val="24"/>
        </w:rPr>
        <w:t xml:space="preserve">kuigi 2013.–2018. aastal ei teatatud </w:t>
      </w:r>
      <w:r>
        <w:rPr>
          <w:rFonts w:ascii="Times New Roman" w:hAnsi="Times New Roman"/>
          <w:iCs/>
          <w:noProof/>
          <w:sz w:val="24"/>
          <w:szCs w:val="24"/>
          <w:u w:val="single"/>
        </w:rPr>
        <w:t>kliimamuutustest</w:t>
      </w:r>
      <w:r>
        <w:rPr>
          <w:rFonts w:ascii="Times New Roman" w:hAnsi="Times New Roman"/>
          <w:iCs/>
          <w:noProof/>
          <w:sz w:val="24"/>
          <w:szCs w:val="24"/>
        </w:rPr>
        <w:t xml:space="preserve"> kui eriti olulisest survetegurist, prognoositakse tulevikustsenaariumides,</w:t>
      </w:r>
      <w:r>
        <w:rPr>
          <w:rStyle w:val="FootnoteReference"/>
          <w:rFonts w:ascii="Times New Roman" w:eastAsia="ヒラギノ角ゴ Pro W3" w:hAnsi="Times New Roman" w:cs="Times New Roman"/>
          <w:iCs/>
          <w:noProof/>
          <w:sz w:val="24"/>
          <w:szCs w:val="24"/>
        </w:rPr>
        <w:footnoteReference w:id="20"/>
      </w:r>
      <w:r>
        <w:rPr>
          <w:rFonts w:ascii="Times New Roman" w:hAnsi="Times New Roman"/>
          <w:iCs/>
          <w:noProof/>
          <w:sz w:val="24"/>
          <w:szCs w:val="24"/>
        </w:rPr>
        <w:t xml:space="preserve"> et sellel on Euroopa taimedele ja loomadele laastav mõju ning et see kiirendab elurikkuse vähenemist ja kõrbestumist paljudes piirkondades.</w:t>
      </w:r>
      <w:r>
        <w:rPr>
          <w:rFonts w:ascii="Times New Roman" w:hAnsi="Times New Roman"/>
          <w:noProof/>
          <w:sz w:val="24"/>
          <w:szCs w:val="24"/>
        </w:rPr>
        <w:t xml:space="preserve"> </w:t>
      </w:r>
      <w:r>
        <w:rPr>
          <w:rFonts w:ascii="Times New Roman" w:hAnsi="Times New Roman"/>
          <w:iCs/>
          <w:noProof/>
          <w:sz w:val="24"/>
          <w:szCs w:val="24"/>
        </w:rPr>
        <w:t xml:space="preserve">Kõige sagemini teatatud kliimamuutustega seotud survetegurid olid </w:t>
      </w:r>
      <w:r>
        <w:rPr>
          <w:rFonts w:ascii="Times New Roman" w:hAnsi="Times New Roman"/>
          <w:iCs/>
          <w:noProof/>
          <w:sz w:val="24"/>
          <w:szCs w:val="24"/>
          <w:u w:val="single"/>
        </w:rPr>
        <w:t>põuad ja sademete vähenemine</w:t>
      </w:r>
      <w:r>
        <w:rPr>
          <w:rFonts w:ascii="Times New Roman" w:hAnsi="Times New Roman"/>
          <w:iCs/>
          <w:noProof/>
          <w:sz w:val="24"/>
          <w:szCs w:val="24"/>
        </w:rPr>
        <w:t>; need moodustasid 5 % kõigist kahepaikseid mõjutavatest surveteguritest.</w:t>
      </w:r>
    </w:p>
    <w:p>
      <w:pPr>
        <w:spacing w:after="240"/>
        <w:jc w:val="both"/>
        <w:rPr>
          <w:rFonts w:ascii="Times New Roman" w:hAnsi="Times New Roman" w:cs="Times New Roman"/>
          <w:b/>
          <w:i/>
          <w:noProof/>
          <w:sz w:val="24"/>
          <w:szCs w:val="24"/>
          <w:u w:val="single"/>
        </w:rPr>
      </w:pPr>
      <w:r>
        <w:rPr>
          <w:rFonts w:ascii="Times New Roman" w:hAnsi="Times New Roman"/>
          <w:b/>
          <w:i/>
          <w:noProof/>
          <w:sz w:val="24"/>
          <w:szCs w:val="24"/>
          <w:u w:val="single"/>
        </w:rPr>
        <w:t>4.2 Vastumeetmed (kaitsemeetmed)</w:t>
      </w:r>
    </w:p>
    <w:p>
      <w:pPr>
        <w:shd w:val="clear" w:color="auto" w:fill="FFFFFF" w:themeFill="background1"/>
        <w:spacing w:after="240"/>
        <w:jc w:val="both"/>
        <w:rPr>
          <w:rFonts w:ascii="Times New Roman" w:hAnsi="Times New Roman" w:cs="Times New Roman"/>
          <w:noProof/>
          <w:sz w:val="24"/>
          <w:szCs w:val="24"/>
        </w:rPr>
      </w:pPr>
      <w:r>
        <w:rPr>
          <w:rFonts w:ascii="Times New Roman" w:hAnsi="Times New Roman"/>
          <w:noProof/>
          <w:sz w:val="24"/>
          <w:szCs w:val="24"/>
        </w:rPr>
        <w:t xml:space="preserve">Samal ajal surveteguritest teatamisega teatasid liikmesriigid, kas Natura 2000 ala määramist nõudvate ELi tähtsusega liikide või elupaikade heaks on võetud enamik vajalikke meetmeid või mitte. Selliste meetmete eesmärk on liikide ja elupaikade hea kaitsestaatuse säilitamine või taastamine ning need hõlmavad kohapealseid erimeetmeid, et leevendada ja kõrvaldada varasemate ja praeguste survetegurite mõju. Liikmesriigid peavad võtma Natura 2000 alade jaoks vajalikke kaitsemeetmeid. </w:t>
      </w:r>
    </w:p>
    <w:p>
      <w:pPr>
        <w:shd w:val="clear" w:color="auto" w:fill="FFFFFF" w:themeFill="background1"/>
        <w:spacing w:after="240"/>
        <w:jc w:val="both"/>
        <w:rPr>
          <w:rFonts w:ascii="Times New Roman" w:hAnsi="Times New Roman" w:cs="Times New Roman"/>
          <w:noProof/>
          <w:sz w:val="24"/>
          <w:szCs w:val="24"/>
        </w:rPr>
      </w:pPr>
      <w:r>
        <w:rPr>
          <w:rFonts w:ascii="Times New Roman" w:hAnsi="Times New Roman"/>
          <w:noProof/>
          <w:sz w:val="24"/>
          <w:szCs w:val="24"/>
        </w:rPr>
        <w:t>Liikmesriikide aruannetest nähtub, et:</w:t>
      </w:r>
    </w:p>
    <w:p>
      <w:pPr>
        <w:pStyle w:val="ListParagraph"/>
        <w:numPr>
          <w:ilvl w:val="0"/>
          <w:numId w:val="3"/>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nii Natura 2000 võrgustikus kui ka väljaspool seda kohaldatakse enamikku meetmeid;</w:t>
      </w:r>
    </w:p>
    <w:p>
      <w:pPr>
        <w:pStyle w:val="ListParagraph"/>
        <w:numPr>
          <w:ilvl w:val="0"/>
          <w:numId w:val="3"/>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 xml:space="preserve">ligikaudu 60 % elupaikade puhul liikmesriikides teatati vajalike meetmete võtmisest, mille eesmärk on peamiselt praeguse staatuse säilitamine või elupaikade struktuuri ja funktsioonide taastamine; ainult 4 % teatatud meetmetest on seotud elupaiga pindala suurendamisega; </w:t>
      </w:r>
    </w:p>
    <w:p>
      <w:pPr>
        <w:pStyle w:val="ListParagraph"/>
        <w:numPr>
          <w:ilvl w:val="0"/>
          <w:numId w:val="3"/>
        </w:numPr>
        <w:spacing w:after="24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kõige levinumad on kaitsemeetmed, mille eesmärk on hoida põllumajandusmaa sobivas ökoloogilises seisundis, reageerides seeläbi põllumajandusest tulenevale survele;</w:t>
      </w:r>
    </w:p>
    <w:p>
      <w:pPr>
        <w:spacing w:after="240"/>
        <w:ind w:left="284"/>
        <w:jc w:val="both"/>
        <w:rPr>
          <w:rFonts w:ascii="Times New Roman" w:hAnsi="Times New Roman" w:cs="Times New Roman"/>
          <w:noProof/>
          <w:sz w:val="24"/>
          <w:szCs w:val="24"/>
        </w:rPr>
      </w:pPr>
    </w:p>
    <w:p>
      <w:pPr>
        <w:keepNext/>
        <w:spacing w:after="120" w:line="240" w:lineRule="auto"/>
        <w:jc w:val="both"/>
        <w:rPr>
          <w:rFonts w:ascii="Times New Roman" w:eastAsia="ヒラギノ角ゴ Pro W3" w:hAnsi="Times New Roman" w:cs="Times New Roman"/>
          <w:b/>
          <w:noProof/>
          <w:sz w:val="20"/>
          <w:szCs w:val="20"/>
        </w:rPr>
      </w:pPr>
      <w:r>
        <w:rPr>
          <w:rFonts w:ascii="Times New Roman" w:hAnsi="Times New Roman"/>
          <w:b/>
          <w:noProof/>
          <w:sz w:val="20"/>
          <w:szCs w:val="20"/>
        </w:rPr>
        <w:t xml:space="preserve">Joonis 10. Elupaikade kaitsemeetmete rakendamise seis (% kõigist liikmesriikide korraldatud elupaigatüüpide hindamistest) </w:t>
      </w:r>
    </w:p>
    <w:p>
      <w:pPr>
        <w:jc w:val="both"/>
        <w:rPr>
          <w:rFonts w:ascii="Times New Roman" w:hAnsi="Times New Roman" w:cs="Times New Roman"/>
          <w:noProof/>
        </w:rPr>
      </w:pPr>
      <w:r>
        <w:rPr>
          <w:noProof/>
          <w:lang w:val="en-GB" w:eastAsia="en-GB"/>
        </w:rPr>
        <w:drawing>
          <wp:inline distT="0" distB="0" distL="0" distR="0">
            <wp:extent cx="5731510" cy="1464163"/>
            <wp:effectExtent l="0" t="0" r="254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1464163"/>
                    </a:xfrm>
                    <a:prstGeom prst="rect">
                      <a:avLst/>
                    </a:prstGeom>
                    <a:noFill/>
                    <a:ln>
                      <a:noFill/>
                    </a:ln>
                  </pic:spPr>
                </pic:pic>
              </a:graphicData>
            </a:graphic>
          </wp:inline>
        </w:drawing>
      </w:r>
    </w:p>
    <w:p>
      <w:pPr>
        <w:spacing w:before="120" w:after="0"/>
        <w:ind w:left="360"/>
        <w:jc w:val="both"/>
        <w:rPr>
          <w:rFonts w:ascii="Times New Roman" w:hAnsi="Times New Roman" w:cs="Times New Roman"/>
          <w:noProof/>
          <w:sz w:val="24"/>
          <w:szCs w:val="24"/>
        </w:rPr>
      </w:pPr>
    </w:p>
    <w:p>
      <w:pPr>
        <w:pStyle w:val="ListParagraph"/>
        <w:numPr>
          <w:ilvl w:val="0"/>
          <w:numId w:val="8"/>
        </w:numPr>
        <w:spacing w:before="120" w:after="0"/>
        <w:contextualSpacing w:val="0"/>
        <w:jc w:val="both"/>
        <w:rPr>
          <w:rFonts w:ascii="Times New Roman" w:hAnsi="Times New Roman" w:cs="Times New Roman"/>
          <w:noProof/>
          <w:sz w:val="24"/>
          <w:szCs w:val="24"/>
        </w:rPr>
      </w:pPr>
      <w:r>
        <w:rPr>
          <w:rFonts w:ascii="Times New Roman" w:hAnsi="Times New Roman"/>
          <w:noProof/>
          <w:sz w:val="24"/>
          <w:szCs w:val="24"/>
          <w:u w:val="single"/>
        </w:rPr>
        <w:t>liikide</w:t>
      </w:r>
      <w:r>
        <w:rPr>
          <w:rFonts w:ascii="Times New Roman" w:hAnsi="Times New Roman"/>
          <w:noProof/>
          <w:sz w:val="24"/>
          <w:szCs w:val="24"/>
        </w:rPr>
        <w:t xml:space="preserve"> olukord on sarnane. Umbes 40 % aruannetest lindude kohta ja 50 % aruannetest muude kui linnuliikide kohta näitavad, et meetmeid on võetud. Suurem osa muude kui linnuliikide suhtes võetud meetmetest on ette nähtud nende praeguse staatuse säilitamiseks. Taastamismeetmetel on väiksem osatähtsus.</w:t>
      </w:r>
    </w:p>
    <w:p>
      <w:pPr>
        <w:spacing w:before="120" w:after="0"/>
        <w:ind w:left="360"/>
        <w:jc w:val="both"/>
        <w:rPr>
          <w:rFonts w:ascii="Times New Roman" w:hAnsi="Times New Roman" w:cs="Times New Roman"/>
          <w:noProof/>
          <w:sz w:val="24"/>
          <w:szCs w:val="24"/>
        </w:rPr>
      </w:pPr>
    </w:p>
    <w:p>
      <w:pPr>
        <w:keepNext/>
        <w:spacing w:after="120" w:line="240" w:lineRule="auto"/>
        <w:jc w:val="both"/>
        <w:rPr>
          <w:rFonts w:ascii="Times New Roman" w:eastAsia="ヒラギノ角ゴ Pro W3" w:hAnsi="Times New Roman" w:cs="Times New Roman"/>
          <w:b/>
          <w:noProof/>
          <w:sz w:val="20"/>
          <w:szCs w:val="20"/>
        </w:rPr>
      </w:pPr>
      <w:r>
        <w:rPr>
          <w:rFonts w:ascii="Times New Roman" w:hAnsi="Times New Roman"/>
          <w:b/>
          <w:noProof/>
          <w:sz w:val="20"/>
          <w:szCs w:val="20"/>
        </w:rPr>
        <w:t xml:space="preserve">Joonis 11. Liikide kaitsemeetmete rakendamise seis (% kõigist hinnangutest, mille liikmesriigid on andnud ala määramist nõudvatele liikidele)         </w:t>
      </w:r>
    </w:p>
    <w:p>
      <w:pPr>
        <w:jc w:val="both"/>
        <w:rPr>
          <w:rFonts w:ascii="Times New Roman" w:hAnsi="Times New Roman" w:cs="Times New Roman"/>
          <w:noProof/>
        </w:rPr>
      </w:pPr>
      <w:r>
        <w:rPr>
          <w:noProof/>
          <w:lang w:val="en-GB" w:eastAsia="en-GB"/>
        </w:rPr>
        <w:drawing>
          <wp:inline distT="0" distB="0" distL="0" distR="0">
            <wp:extent cx="5671185" cy="2101215"/>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71185" cy="2101215"/>
                    </a:xfrm>
                    <a:prstGeom prst="rect">
                      <a:avLst/>
                    </a:prstGeom>
                    <a:noFill/>
                    <a:ln>
                      <a:noFill/>
                    </a:ln>
                  </pic:spPr>
                </pic:pic>
              </a:graphicData>
            </a:graphic>
          </wp:inline>
        </w:drawing>
      </w:r>
    </w:p>
    <w:p>
      <w:pPr>
        <w:spacing w:before="240" w:after="240"/>
        <w:jc w:val="both"/>
        <w:rPr>
          <w:rFonts w:ascii="Times New Roman" w:hAnsi="Times New Roman" w:cs="Times New Roman"/>
          <w:noProof/>
          <w:sz w:val="24"/>
          <w:szCs w:val="24"/>
        </w:rPr>
      </w:pPr>
      <w:r>
        <w:rPr>
          <w:rFonts w:ascii="Times New Roman" w:hAnsi="Times New Roman"/>
          <w:noProof/>
          <w:sz w:val="24"/>
          <w:szCs w:val="24"/>
        </w:rPr>
        <w:t xml:space="preserve">Hoolimata liikmesriikide meetmetest ei ole kaitsestaatus ja suundumused aruandeperioodil paranenud; tegelikult halvenesid need paljude liikide ja elupaigatüüpide puhul (sealhulgas need, mille jaoks Natura 2000 ala määramine on peamine kaitse tagamise mehhanism) veelgi. Seetõttu on selge (ja seda kinnitavad ka aruanded), et liikmesriigid ei ole võtnud vajalikke kaitsemeetmeid (vähemalt mitte vajalikus ulatuses) ja et mõnel juhul ei ole neid isegi nõuetekohaselt kindlaks määratud. </w:t>
      </w:r>
    </w:p>
    <w:p>
      <w:pPr>
        <w:spacing w:after="240"/>
        <w:jc w:val="both"/>
        <w:rPr>
          <w:rFonts w:ascii="Times New Roman" w:hAnsi="Times New Roman" w:cs="Times New Roman"/>
          <w:noProof/>
          <w:sz w:val="24"/>
          <w:szCs w:val="24"/>
        </w:rPr>
      </w:pPr>
      <w:r>
        <w:rPr>
          <w:rFonts w:ascii="Times New Roman" w:hAnsi="Times New Roman"/>
          <w:noProof/>
          <w:sz w:val="24"/>
          <w:szCs w:val="24"/>
        </w:rPr>
        <w:t xml:space="preserve">Enamiku elupaikade ja liigirühmade puhul näitab meetmete tõhususe analüüs </w:t>
      </w:r>
      <w:r>
        <w:rPr>
          <w:rFonts w:ascii="Times New Roman" w:hAnsi="Times New Roman"/>
          <w:iCs/>
          <w:noProof/>
          <w:sz w:val="24"/>
          <w:szCs w:val="24"/>
        </w:rPr>
        <w:t xml:space="preserve">positiivset seost </w:t>
      </w:r>
      <w:r>
        <w:rPr>
          <w:rFonts w:ascii="Times New Roman" w:hAnsi="Times New Roman"/>
          <w:noProof/>
          <w:sz w:val="24"/>
          <w:szCs w:val="24"/>
        </w:rPr>
        <w:t xml:space="preserve">võetud meetmete ja </w:t>
      </w:r>
      <w:r>
        <w:rPr>
          <w:rFonts w:ascii="Times New Roman" w:hAnsi="Times New Roman"/>
          <w:iCs/>
          <w:noProof/>
          <w:sz w:val="24"/>
          <w:szCs w:val="24"/>
        </w:rPr>
        <w:t>hea kaitsestaatuse vahel</w:t>
      </w:r>
      <w:r>
        <w:rPr>
          <w:rFonts w:ascii="Times New Roman" w:hAnsi="Times New Roman"/>
          <w:noProof/>
          <w:sz w:val="24"/>
          <w:szCs w:val="24"/>
        </w:rPr>
        <w:t>. Lisaks parandavad olukorda ennetavad taastamismeetmed (nt struktuuri ja funktsioonide taastamiseks).</w:t>
      </w:r>
    </w:p>
    <w:p>
      <w:pPr>
        <w:shd w:val="clear" w:color="auto" w:fill="FFFFFF" w:themeFill="background1"/>
        <w:spacing w:after="240"/>
        <w:jc w:val="both"/>
        <w:rPr>
          <w:rFonts w:ascii="Times New Roman" w:hAnsi="Times New Roman" w:cs="Times New Roman"/>
          <w:b/>
          <w:i/>
          <w:noProof/>
          <w:sz w:val="24"/>
          <w:szCs w:val="24"/>
          <w:u w:val="single"/>
        </w:rPr>
      </w:pPr>
      <w:bookmarkStart w:id="3" w:name="_Toc42152722"/>
      <w:r>
        <w:rPr>
          <w:rFonts w:ascii="Times New Roman" w:hAnsi="Times New Roman"/>
          <w:b/>
          <w:i/>
          <w:noProof/>
          <w:sz w:val="24"/>
          <w:szCs w:val="24"/>
          <w:u w:val="single"/>
        </w:rPr>
        <w:t>4.3 Elupaikade taastamise vajadus</w:t>
      </w:r>
      <w:bookmarkEnd w:id="3"/>
    </w:p>
    <w:p>
      <w:pPr>
        <w:spacing w:after="120"/>
        <w:jc w:val="both"/>
        <w:rPr>
          <w:rFonts w:ascii="Times New Roman" w:hAnsi="Times New Roman" w:cs="Times New Roman"/>
          <w:noProof/>
          <w:sz w:val="24"/>
          <w:szCs w:val="24"/>
        </w:rPr>
      </w:pPr>
      <w:r>
        <w:rPr>
          <w:rFonts w:ascii="Times New Roman" w:hAnsi="Times New Roman"/>
          <w:noProof/>
          <w:sz w:val="24"/>
          <w:szCs w:val="24"/>
        </w:rPr>
        <w:t>Elupaigatüübi hea kaitsestaatus tähendab, et selle looduslik levila, alad ning struktuur ja funktsioonid on kõik piisavalt ulatuslikud ja heas seisus; samuti on selle tulevikuväljavaated positiivsed. Selles kontekstis tähendab „taastamine“:</w:t>
      </w:r>
    </w:p>
    <w:p>
      <w:pPr>
        <w:pStyle w:val="ListParagraph"/>
        <w:numPr>
          <w:ilvl w:val="0"/>
          <w:numId w:val="4"/>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 xml:space="preserve">elupaiga olemasolevate alade </w:t>
      </w:r>
      <w:r>
        <w:rPr>
          <w:rFonts w:ascii="Times New Roman" w:hAnsi="Times New Roman"/>
          <w:noProof/>
          <w:sz w:val="24"/>
          <w:szCs w:val="24"/>
          <w:u w:val="single"/>
        </w:rPr>
        <w:t>seisundi (st kvaliteedi) parandamist</w:t>
      </w:r>
      <w:r>
        <w:rPr>
          <w:rFonts w:ascii="Times New Roman" w:hAnsi="Times New Roman"/>
          <w:noProof/>
          <w:sz w:val="24"/>
          <w:szCs w:val="24"/>
        </w:rPr>
        <w:t xml:space="preserve"> sihipäraste kaitsemeetmete abil ning</w:t>
      </w:r>
    </w:p>
    <w:p>
      <w:pPr>
        <w:pStyle w:val="ListParagraph"/>
        <w:numPr>
          <w:ilvl w:val="0"/>
          <w:numId w:val="4"/>
        </w:numPr>
        <w:spacing w:after="24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 xml:space="preserve">piisava pindala tagamist </w:t>
      </w:r>
      <w:r>
        <w:rPr>
          <w:rFonts w:ascii="Times New Roman" w:hAnsi="Times New Roman"/>
          <w:noProof/>
          <w:sz w:val="24"/>
          <w:szCs w:val="24"/>
          <w:u w:val="single"/>
        </w:rPr>
        <w:t>elupaiga (taas)loomise</w:t>
      </w:r>
      <w:r>
        <w:rPr>
          <w:rFonts w:ascii="Times New Roman" w:hAnsi="Times New Roman"/>
          <w:noProof/>
          <w:sz w:val="24"/>
          <w:szCs w:val="24"/>
        </w:rPr>
        <w:t xml:space="preserve"> kaudu (st luues täiendavaid elupaigaalasid, näiteks taastades märgalade elupaiku varem kuivendatud põllumajandusmaal või laiendades kohalikke kaitsealuseid metsaalade elupaiku).</w:t>
      </w:r>
    </w:p>
    <w:p>
      <w:pPr>
        <w:spacing w:after="240"/>
        <w:jc w:val="both"/>
        <w:rPr>
          <w:rFonts w:ascii="Times New Roman" w:hAnsi="Times New Roman" w:cs="Times New Roman"/>
          <w:iCs/>
          <w:noProof/>
          <w:sz w:val="24"/>
          <w:szCs w:val="24"/>
        </w:rPr>
      </w:pPr>
      <w:r>
        <w:rPr>
          <w:rFonts w:ascii="Times New Roman" w:hAnsi="Times New Roman"/>
          <w:iCs/>
          <w:noProof/>
          <w:sz w:val="24"/>
          <w:szCs w:val="24"/>
        </w:rPr>
        <w:t>I lisa kohaste elupaigatüüpide taastamisvajaduste hindamine näitab, et vajadused on elupaigarühmade ja biogeograafiliste piirkondade lõikes väga erinevad.</w:t>
      </w:r>
    </w:p>
    <w:p>
      <w:pPr>
        <w:rPr>
          <w:rFonts w:ascii="Times New Roman" w:hAnsi="Times New Roman" w:cs="Times New Roman"/>
          <w:iCs/>
          <w:noProof/>
          <w:sz w:val="24"/>
          <w:szCs w:val="24"/>
        </w:rPr>
      </w:pPr>
      <w:r>
        <w:rPr>
          <w:noProof/>
        </w:rPr>
        <w:br w:type="page"/>
      </w:r>
    </w:p>
    <w:p>
      <w:pPr>
        <w:spacing w:after="240"/>
        <w:jc w:val="both"/>
        <w:rPr>
          <w:rFonts w:ascii="Times New Roman" w:hAnsi="Times New Roman" w:cs="Times New Roman"/>
          <w:iCs/>
          <w:noProof/>
          <w:sz w:val="24"/>
          <w:szCs w:val="24"/>
        </w:rPr>
      </w:pPr>
    </w:p>
    <w:p>
      <w:pPr>
        <w:spacing w:after="120"/>
        <w:jc w:val="both"/>
        <w:rPr>
          <w:rFonts w:ascii="Times New Roman" w:hAnsi="Times New Roman" w:cs="Times New Roman"/>
          <w:b/>
          <w:noProof/>
          <w:sz w:val="20"/>
          <w:szCs w:val="20"/>
        </w:rPr>
      </w:pPr>
      <w:bookmarkStart w:id="4" w:name="OLE_LINK1"/>
      <w:bookmarkStart w:id="5" w:name="OLE_LINK2"/>
      <w:r>
        <w:rPr>
          <w:rFonts w:ascii="Times New Roman" w:hAnsi="Times New Roman"/>
          <w:b/>
          <w:noProof/>
          <w:sz w:val="20"/>
          <w:szCs w:val="20"/>
        </w:rPr>
        <w:t>Joonis 12. Selliste I lisas loetletud elupaigarühmadega hõlmatud alade osakaal, mille olukorda on vaja liikmesriikide esitatud teabe kohaselt parandada</w:t>
      </w:r>
    </w:p>
    <w:p>
      <w:pPr>
        <w:jc w:val="both"/>
        <w:rPr>
          <w:rFonts w:ascii="Times New Roman" w:hAnsi="Times New Roman" w:cs="Times New Roman"/>
          <w:b/>
          <w:noProof/>
          <w:sz w:val="18"/>
          <w:szCs w:val="18"/>
        </w:rPr>
      </w:pPr>
      <w:r>
        <w:rPr>
          <w:noProof/>
          <w:lang w:val="en-GB" w:eastAsia="en-GB"/>
        </w:rPr>
        <w:drawing>
          <wp:inline distT="0" distB="0" distL="0" distR="0">
            <wp:extent cx="5731510" cy="2792820"/>
            <wp:effectExtent l="0" t="0" r="254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2792820"/>
                    </a:xfrm>
                    <a:prstGeom prst="rect">
                      <a:avLst/>
                    </a:prstGeom>
                    <a:noFill/>
                    <a:ln>
                      <a:noFill/>
                    </a:ln>
                  </pic:spPr>
                </pic:pic>
              </a:graphicData>
            </a:graphic>
          </wp:inline>
        </w:drawing>
      </w:r>
    </w:p>
    <w:p>
      <w:pPr>
        <w:spacing w:after="240"/>
        <w:jc w:val="both"/>
        <w:rPr>
          <w:rFonts w:ascii="Times New Roman" w:hAnsi="Times New Roman" w:cs="Times New Roman"/>
          <w:noProof/>
          <w:sz w:val="18"/>
          <w:szCs w:val="18"/>
        </w:rPr>
      </w:pPr>
      <w:r>
        <w:rPr>
          <w:rFonts w:ascii="Times New Roman" w:hAnsi="Times New Roman"/>
          <w:b/>
          <w:noProof/>
          <w:sz w:val="18"/>
          <w:szCs w:val="18"/>
        </w:rPr>
        <w:t xml:space="preserve">Märkus: </w:t>
      </w:r>
      <w:r>
        <w:rPr>
          <w:rFonts w:ascii="Times New Roman" w:hAnsi="Times New Roman"/>
          <w:noProof/>
          <w:sz w:val="18"/>
          <w:szCs w:val="18"/>
        </w:rPr>
        <w:t>Ühendkuningriik ja elupaik 8310 (looduslikud koopad) jäeti arvutustest välja.</w:t>
      </w:r>
      <w:bookmarkEnd w:id="4"/>
      <w:bookmarkEnd w:id="5"/>
    </w:p>
    <w:p>
      <w:pPr>
        <w:rPr>
          <w:rFonts w:ascii="Times New Roman" w:hAnsi="Times New Roman" w:cs="Times New Roman"/>
          <w:noProof/>
          <w:sz w:val="24"/>
          <w:szCs w:val="24"/>
        </w:rPr>
      </w:pPr>
      <w:r>
        <w:rPr>
          <w:rFonts w:ascii="Times New Roman" w:hAnsi="Times New Roman"/>
          <w:noProof/>
          <w:sz w:val="24"/>
          <w:szCs w:val="24"/>
        </w:rPr>
        <w:t>Hindamise põhijäreldused on muu hulgas järgmised:</w:t>
      </w:r>
    </w:p>
    <w:p>
      <w:pPr>
        <w:pStyle w:val="ListParagraph"/>
        <w:numPr>
          <w:ilvl w:val="0"/>
          <w:numId w:val="6"/>
        </w:numPr>
        <w:spacing w:after="120"/>
        <w:ind w:left="681" w:hanging="397"/>
        <w:contextualSpacing w:val="0"/>
        <w:jc w:val="both"/>
        <w:rPr>
          <w:rFonts w:ascii="Times New Roman" w:hAnsi="Times New Roman" w:cs="Times New Roman"/>
          <w:b/>
          <w:noProof/>
          <w:sz w:val="24"/>
          <w:szCs w:val="24"/>
        </w:rPr>
      </w:pPr>
      <w:r>
        <w:rPr>
          <w:rFonts w:ascii="Times New Roman" w:hAnsi="Times New Roman"/>
          <w:noProof/>
          <w:sz w:val="24"/>
          <w:szCs w:val="24"/>
        </w:rPr>
        <w:t>parandamist vajavate kaitsealuste elupaikade pindala on hinnanguliselt keskmiselt 215 000 km</w:t>
      </w:r>
      <w:r>
        <w:rPr>
          <w:rFonts w:ascii="Times New Roman" w:hAnsi="Times New Roman"/>
          <w:noProof/>
          <w:sz w:val="24"/>
          <w:szCs w:val="24"/>
          <w:vertAlign w:val="superscript"/>
        </w:rPr>
        <w:t>2</w:t>
      </w:r>
      <w:r>
        <w:rPr>
          <w:rFonts w:ascii="Times New Roman" w:hAnsi="Times New Roman"/>
          <w:noProof/>
          <w:sz w:val="24"/>
          <w:szCs w:val="24"/>
        </w:rPr>
        <w:t xml:space="preserve"> (ehk 5 % EL 27</w:t>
      </w:r>
      <w:r>
        <w:rPr>
          <w:rStyle w:val="FootnoteReference"/>
          <w:rFonts w:ascii="Times New Roman" w:hAnsi="Times New Roman" w:cs="Times New Roman"/>
          <w:noProof/>
          <w:sz w:val="24"/>
          <w:szCs w:val="24"/>
        </w:rPr>
        <w:footnoteReference w:id="21"/>
      </w:r>
      <w:r>
        <w:rPr>
          <w:rFonts w:ascii="Times New Roman" w:hAnsi="Times New Roman"/>
          <w:noProof/>
          <w:sz w:val="24"/>
          <w:szCs w:val="24"/>
        </w:rPr>
        <w:t xml:space="preserve"> territooriumist). Kõige kehvemas olukorras on metsad – neist 19,5 % (ligikaudu 100 000 km</w:t>
      </w:r>
      <w:r>
        <w:rPr>
          <w:rFonts w:ascii="Times New Roman" w:hAnsi="Times New Roman"/>
          <w:noProof/>
          <w:sz w:val="24"/>
          <w:szCs w:val="24"/>
          <w:vertAlign w:val="superscript"/>
        </w:rPr>
        <w:t>2</w:t>
      </w:r>
      <w:r>
        <w:rPr>
          <w:rFonts w:ascii="Times New Roman" w:hAnsi="Times New Roman"/>
          <w:noProof/>
          <w:sz w:val="24"/>
          <w:szCs w:val="24"/>
        </w:rPr>
        <w:t>) olukord vajab parandamist; neile järgnevad rannikuelupaigad 16 %-ga (umbes 46 000 km</w:t>
      </w:r>
      <w:r>
        <w:rPr>
          <w:rFonts w:ascii="Times New Roman" w:hAnsi="Times New Roman"/>
          <w:noProof/>
          <w:sz w:val="24"/>
          <w:szCs w:val="24"/>
          <w:vertAlign w:val="superscript"/>
        </w:rPr>
        <w:t>2</w:t>
      </w:r>
      <w:r>
        <w:rPr>
          <w:rFonts w:ascii="Times New Roman" w:hAnsi="Times New Roman"/>
          <w:noProof/>
          <w:sz w:val="24"/>
          <w:szCs w:val="24"/>
        </w:rPr>
        <w:t>), rohumaad 13,5 %-ga (umbes 33 000 km</w:t>
      </w:r>
      <w:r>
        <w:rPr>
          <w:rFonts w:ascii="Times New Roman" w:hAnsi="Times New Roman"/>
          <w:noProof/>
          <w:sz w:val="24"/>
          <w:szCs w:val="24"/>
          <w:vertAlign w:val="superscript"/>
        </w:rPr>
        <w:t>2</w:t>
      </w:r>
      <w:r>
        <w:rPr>
          <w:rFonts w:ascii="Times New Roman" w:hAnsi="Times New Roman"/>
          <w:noProof/>
          <w:sz w:val="24"/>
          <w:szCs w:val="24"/>
        </w:rPr>
        <w:t>), magevee-elupaigad 10,5 %-ga (umbes 13 500 km</w:t>
      </w:r>
      <w:r>
        <w:rPr>
          <w:rFonts w:ascii="Times New Roman" w:hAnsi="Times New Roman"/>
          <w:noProof/>
          <w:sz w:val="24"/>
          <w:szCs w:val="24"/>
          <w:vertAlign w:val="superscript"/>
        </w:rPr>
        <w:t>2</w:t>
      </w:r>
      <w:r>
        <w:rPr>
          <w:rFonts w:ascii="Times New Roman" w:hAnsi="Times New Roman"/>
          <w:noProof/>
          <w:sz w:val="24"/>
          <w:szCs w:val="24"/>
        </w:rPr>
        <w:t>) ning rabad ja sood 9 %-ga (umbes 10 900 km</w:t>
      </w:r>
      <w:r>
        <w:rPr>
          <w:rFonts w:ascii="Times New Roman" w:hAnsi="Times New Roman"/>
          <w:noProof/>
          <w:sz w:val="24"/>
          <w:szCs w:val="24"/>
          <w:vertAlign w:val="superscript"/>
        </w:rPr>
        <w:t>2</w:t>
      </w:r>
      <w:r>
        <w:rPr>
          <w:rFonts w:ascii="Times New Roman" w:hAnsi="Times New Roman"/>
          <w:noProof/>
          <w:sz w:val="24"/>
          <w:szCs w:val="24"/>
        </w:rPr>
        <w:t>);</w:t>
      </w:r>
    </w:p>
    <w:p>
      <w:pPr>
        <w:pStyle w:val="ListParagraph"/>
        <w:numPr>
          <w:ilvl w:val="0"/>
          <w:numId w:val="6"/>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et tagada kõigi elupaigatüüpide pikaajaline elujõulisus, tuleb olemasoleva pindala suurendamiseks (taas)luua vähemalt 11 000 km</w:t>
      </w:r>
      <w:r>
        <w:rPr>
          <w:rFonts w:ascii="Times New Roman" w:hAnsi="Times New Roman"/>
          <w:noProof/>
          <w:sz w:val="24"/>
          <w:szCs w:val="24"/>
          <w:vertAlign w:val="superscript"/>
        </w:rPr>
        <w:t>2</w:t>
      </w:r>
      <w:r>
        <w:rPr>
          <w:rFonts w:ascii="Times New Roman" w:hAnsi="Times New Roman"/>
          <w:noProof/>
          <w:sz w:val="24"/>
          <w:szCs w:val="24"/>
        </w:rPr>
        <w:t xml:space="preserve"> I lisas nimetatud elupaiku. Kõige ulatuslikumat taas(loomist) vajavad elupaigarühmad on metsad (4 600 km</w:t>
      </w:r>
      <w:r>
        <w:rPr>
          <w:rFonts w:ascii="Times New Roman" w:hAnsi="Times New Roman"/>
          <w:noProof/>
          <w:sz w:val="24"/>
          <w:szCs w:val="24"/>
          <w:vertAlign w:val="superscript"/>
        </w:rPr>
        <w:t>2</w:t>
      </w:r>
      <w:r>
        <w:rPr>
          <w:rFonts w:ascii="Times New Roman" w:hAnsi="Times New Roman"/>
          <w:noProof/>
          <w:sz w:val="24"/>
          <w:szCs w:val="24"/>
        </w:rPr>
        <w:t>), rohumaad (1 900 km</w:t>
      </w:r>
      <w:r>
        <w:rPr>
          <w:rFonts w:ascii="Times New Roman" w:hAnsi="Times New Roman"/>
          <w:noProof/>
          <w:sz w:val="24"/>
          <w:szCs w:val="24"/>
          <w:vertAlign w:val="superscript"/>
        </w:rPr>
        <w:t>2</w:t>
      </w:r>
      <w:r>
        <w:rPr>
          <w:rFonts w:ascii="Times New Roman" w:hAnsi="Times New Roman"/>
          <w:noProof/>
          <w:sz w:val="24"/>
          <w:szCs w:val="24"/>
        </w:rPr>
        <w:t>), rabad ja sood (1 700 km</w:t>
      </w:r>
      <w:r>
        <w:rPr>
          <w:rFonts w:ascii="Times New Roman" w:hAnsi="Times New Roman"/>
          <w:noProof/>
          <w:sz w:val="24"/>
          <w:szCs w:val="24"/>
          <w:vertAlign w:val="superscript"/>
        </w:rPr>
        <w:t>2</w:t>
      </w:r>
      <w:r>
        <w:rPr>
          <w:rFonts w:ascii="Times New Roman" w:hAnsi="Times New Roman"/>
          <w:noProof/>
          <w:sz w:val="24"/>
          <w:szCs w:val="24"/>
        </w:rPr>
        <w:t>) ning rannikuelupaigad (1 400 km</w:t>
      </w:r>
      <w:r>
        <w:rPr>
          <w:rFonts w:ascii="Times New Roman" w:hAnsi="Times New Roman"/>
          <w:noProof/>
          <w:sz w:val="24"/>
          <w:szCs w:val="24"/>
          <w:vertAlign w:val="superscript"/>
        </w:rPr>
        <w:t>2</w:t>
      </w:r>
      <w:r>
        <w:rPr>
          <w:rFonts w:ascii="Times New Roman" w:hAnsi="Times New Roman"/>
          <w:noProof/>
          <w:sz w:val="24"/>
          <w:szCs w:val="24"/>
        </w:rPr>
        <w:t>). Kokku hõlmab see 1–1,5 % nende elupaigarühmade praegusest kogupindalast;</w:t>
      </w:r>
    </w:p>
    <w:p>
      <w:pPr>
        <w:pStyle w:val="ListParagraph"/>
        <w:numPr>
          <w:ilvl w:val="0"/>
          <w:numId w:val="6"/>
        </w:numPr>
        <w:spacing w:after="120"/>
        <w:ind w:left="709"/>
        <w:contextualSpacing w:val="0"/>
        <w:jc w:val="both"/>
        <w:rPr>
          <w:rFonts w:ascii="Times New Roman" w:hAnsi="Times New Roman" w:cs="Times New Roman"/>
          <w:noProof/>
          <w:sz w:val="24"/>
          <w:szCs w:val="24"/>
        </w:rPr>
      </w:pPr>
      <w:r>
        <w:rPr>
          <w:rFonts w:ascii="Times New Roman" w:hAnsi="Times New Roman"/>
          <w:noProof/>
          <w:sz w:val="24"/>
          <w:szCs w:val="24"/>
        </w:rPr>
        <w:t>biogeograafilised piirkonnad, kus on kõige suurem vajadus olemasolevate elupaikade seisundi parandamise järele, on mandri-, Vahemere ja Atlandi piirkond ning Atlandi merepiirkond ja boreaalne piirkond;</w:t>
      </w:r>
    </w:p>
    <w:p>
      <w:pPr>
        <w:pStyle w:val="ListParagraph"/>
        <w:numPr>
          <w:ilvl w:val="0"/>
          <w:numId w:val="6"/>
        </w:numPr>
        <w:spacing w:after="12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paljud taastamist vajavad I lisas loetletud elupaigad on eriti suure süsinikusisaldusega ning neil on märkimisväärne potentsiaal säilitada ja siduda süsinikku maa peal ja maa all asuvas biomassis ning mullas. Umbes 16 % (154 000 km</w:t>
      </w:r>
      <w:r>
        <w:rPr>
          <w:rFonts w:ascii="Times New Roman" w:hAnsi="Times New Roman"/>
          <w:noProof/>
          <w:sz w:val="24"/>
          <w:szCs w:val="24"/>
          <w:vertAlign w:val="superscript"/>
        </w:rPr>
        <w:t>2</w:t>
      </w:r>
      <w:r>
        <w:rPr>
          <w:rFonts w:ascii="Times New Roman" w:hAnsi="Times New Roman"/>
          <w:noProof/>
          <w:sz w:val="24"/>
          <w:szCs w:val="24"/>
        </w:rPr>
        <w:t>) selliste süsinikurikaste alade olukorda tuleb parandada. Nende taastamine ja säilitamine võib aidata märkimisväärselt kaasa kliimamuutuste leevendamisele, ning</w:t>
      </w:r>
    </w:p>
    <w:p>
      <w:pPr>
        <w:pStyle w:val="ListParagraph"/>
        <w:numPr>
          <w:ilvl w:val="0"/>
          <w:numId w:val="6"/>
        </w:numPr>
        <w:spacing w:after="240"/>
        <w:ind w:left="681" w:hanging="397"/>
        <w:contextualSpacing w:val="0"/>
        <w:jc w:val="both"/>
        <w:rPr>
          <w:rFonts w:ascii="Times New Roman" w:hAnsi="Times New Roman" w:cs="Times New Roman"/>
          <w:noProof/>
          <w:sz w:val="24"/>
          <w:szCs w:val="24"/>
        </w:rPr>
      </w:pPr>
      <w:r>
        <w:rPr>
          <w:rFonts w:ascii="Times New Roman" w:hAnsi="Times New Roman"/>
          <w:noProof/>
          <w:sz w:val="24"/>
          <w:szCs w:val="24"/>
        </w:rPr>
        <w:t>kuna seireandmed pole täielikud, on taastamist vajavad I lisa kohased elupaigaalad praegustes hinnangutes kirjeldatust tõenäoliselt palju suuremad. Taastamisprioriteetide üle otsustamiseks on vaja saada põhjalik ülevaade süsiniku- ja loodusrikastest aladest, majandamise mõjust, elupaiga seisundist ja muudest teguritest. Samuti tuleks käsitleda lindude ja muude liikide taastamisvajadusi, kuid nende kohta praegu andmeid ei esitata.</w:t>
      </w:r>
    </w:p>
    <w:p>
      <w:pPr>
        <w:spacing w:after="240"/>
        <w:ind w:left="284"/>
        <w:jc w:val="both"/>
        <w:rPr>
          <w:rFonts w:ascii="Times New Roman" w:hAnsi="Times New Roman" w:cs="Times New Roman"/>
          <w:noProof/>
          <w:sz w:val="24"/>
          <w:szCs w:val="24"/>
        </w:rPr>
      </w:pPr>
    </w:p>
    <w:p>
      <w:pPr>
        <w:pStyle w:val="Heading1"/>
        <w:numPr>
          <w:ilvl w:val="0"/>
          <w:numId w:val="10"/>
        </w:numPr>
        <w:spacing w:after="240"/>
        <w:ind w:left="714" w:hanging="357"/>
        <w:rPr>
          <w:rFonts w:eastAsia="Times New Roman"/>
          <w:noProof/>
          <w:color w:val="auto"/>
        </w:rPr>
      </w:pPr>
      <w:r>
        <w:rPr>
          <w:noProof/>
          <w:color w:val="auto"/>
        </w:rPr>
        <w:t>Natura 2000 võrgustiku roll</w:t>
      </w:r>
    </w:p>
    <w:p>
      <w:pPr>
        <w:spacing w:after="240"/>
        <w:jc w:val="both"/>
        <w:rPr>
          <w:rFonts w:ascii="Times New Roman" w:eastAsia="ヒラギノ角ゴ Pro W3" w:hAnsi="Times New Roman" w:cs="Times New Roman"/>
          <w:iCs/>
          <w:noProof/>
          <w:sz w:val="24"/>
          <w:szCs w:val="24"/>
        </w:rPr>
      </w:pPr>
      <w:r>
        <w:rPr>
          <w:rFonts w:ascii="Times New Roman" w:hAnsi="Times New Roman"/>
          <w:iCs/>
          <w:noProof/>
          <w:sz w:val="24"/>
          <w:szCs w:val="24"/>
        </w:rPr>
        <w:t xml:space="preserve">Natura 2000 võrgustik koosneb </w:t>
      </w:r>
      <w:r>
        <w:rPr>
          <w:rFonts w:ascii="Times New Roman" w:hAnsi="Times New Roman"/>
          <w:noProof/>
          <w:sz w:val="24"/>
          <w:szCs w:val="24"/>
        </w:rPr>
        <w:t>linnudirektiivi alusel klassifitseeritud linnualadest ja elupaikade direktiivi alusel määratud loodusaladest</w:t>
      </w:r>
      <w:r>
        <w:rPr>
          <w:rStyle w:val="FootnoteReference"/>
          <w:rFonts w:ascii="Times New Roman" w:hAnsi="Times New Roman" w:cs="Times New Roman"/>
          <w:noProof/>
          <w:sz w:val="24"/>
          <w:szCs w:val="24"/>
        </w:rPr>
        <w:footnoteReference w:id="22"/>
      </w:r>
      <w:r>
        <w:rPr>
          <w:rFonts w:ascii="Times New Roman" w:hAnsi="Times New Roman"/>
          <w:noProof/>
          <w:sz w:val="24"/>
          <w:szCs w:val="24"/>
        </w:rPr>
        <w:t xml:space="preserve">. See on </w:t>
      </w:r>
      <w:r>
        <w:rPr>
          <w:rFonts w:ascii="Times New Roman" w:hAnsi="Times New Roman"/>
          <w:iCs/>
          <w:noProof/>
          <w:sz w:val="24"/>
          <w:szCs w:val="24"/>
        </w:rPr>
        <w:t>maailma suurim koordineeritud kaitsealade võrgustik ning ELi peamine vahend kaitsealuste elupaikade ja liikide kaitsestaatuse säilitamiseks/taastamiseks.</w:t>
      </w:r>
    </w:p>
    <w:p>
      <w:pPr>
        <w:autoSpaceDE w:val="0"/>
        <w:autoSpaceDN w:val="0"/>
        <w:adjustRightInd w:val="0"/>
        <w:spacing w:after="240"/>
        <w:jc w:val="both"/>
        <w:rPr>
          <w:rFonts w:ascii="Times New Roman" w:eastAsia="Times New Roman" w:hAnsi="Times New Roman" w:cs="Times New Roman"/>
          <w:noProof/>
          <w:sz w:val="24"/>
          <w:szCs w:val="24"/>
        </w:rPr>
      </w:pPr>
      <w:r>
        <w:rPr>
          <w:rFonts w:ascii="Times New Roman" w:hAnsi="Times New Roman"/>
          <w:noProof/>
          <w:sz w:val="24"/>
          <w:szCs w:val="24"/>
        </w:rPr>
        <w:t>2019. aasta lõpu seisuga koosnes Natura 2000 võrgustik 27 852 alast pindalaga 1 358 125 km</w:t>
      </w:r>
      <w:r>
        <w:rPr>
          <w:rFonts w:ascii="Times New Roman" w:hAnsi="Times New Roman"/>
          <w:noProof/>
          <w:sz w:val="24"/>
          <w:szCs w:val="24"/>
          <w:vertAlign w:val="superscript"/>
        </w:rPr>
        <w:t>2</w:t>
      </w:r>
      <w:r>
        <w:rPr>
          <w:rFonts w:ascii="Times New Roman" w:hAnsi="Times New Roman"/>
          <w:noProof/>
          <w:sz w:val="24"/>
          <w:szCs w:val="24"/>
        </w:rPr>
        <w:t>. See hõlmas 17,9 % ELi maismaaterritooriumist ja 9,7 % ELi merealadest. Võrgustiku ulatus on liikmesriigiti väga erinev: maismaal ulatub võrgustiku alade osakaal 8 %-st Taanis 38 %-ni Sloveenias ja merel 2 %-st Itaalias 46 %-ni Saksamaal</w:t>
      </w:r>
      <w:r>
        <w:rPr>
          <w:rStyle w:val="FootnoteReference"/>
          <w:rFonts w:ascii="Times New Roman" w:eastAsia="Times New Roman" w:hAnsi="Times New Roman" w:cs="Times New Roman"/>
          <w:noProof/>
          <w:sz w:val="24"/>
          <w:szCs w:val="24"/>
        </w:rPr>
        <w:footnoteReference w:id="23"/>
      </w:r>
      <w:r>
        <w:rPr>
          <w:rFonts w:ascii="Times New Roman" w:hAnsi="Times New Roman"/>
          <w:noProof/>
          <w:sz w:val="24"/>
          <w:szCs w:val="24"/>
        </w:rPr>
        <w:t>.</w:t>
      </w:r>
    </w:p>
    <w:p>
      <w:pPr>
        <w:autoSpaceDE w:val="0"/>
        <w:autoSpaceDN w:val="0"/>
        <w:adjustRightInd w:val="0"/>
        <w:spacing w:after="120"/>
        <w:jc w:val="both"/>
        <w:rPr>
          <w:rFonts w:ascii="Times New Roman" w:eastAsia="Times New Roman" w:hAnsi="Times New Roman" w:cs="Times New Roman"/>
          <w:noProof/>
          <w:sz w:val="24"/>
          <w:szCs w:val="24"/>
        </w:rPr>
      </w:pPr>
      <w:r>
        <w:rPr>
          <w:rFonts w:ascii="Times New Roman" w:hAnsi="Times New Roman"/>
          <w:noProof/>
          <w:sz w:val="24"/>
          <w:szCs w:val="24"/>
        </w:rPr>
        <w:t>Alates viimasest aruandeperioodist:</w:t>
      </w:r>
    </w:p>
    <w:p>
      <w:pPr>
        <w:pStyle w:val="ListParagraph"/>
        <w:numPr>
          <w:ilvl w:val="0"/>
          <w:numId w:val="11"/>
        </w:numPr>
        <w:autoSpaceDE w:val="0"/>
        <w:autoSpaceDN w:val="0"/>
        <w:adjustRightInd w:val="0"/>
        <w:spacing w:after="120"/>
        <w:contextualSpacing w:val="0"/>
        <w:jc w:val="both"/>
        <w:rPr>
          <w:rFonts w:ascii="Times New Roman" w:eastAsia="Times New Roman" w:hAnsi="Times New Roman" w:cs="Times New Roman"/>
          <w:noProof/>
          <w:sz w:val="24"/>
          <w:szCs w:val="24"/>
        </w:rPr>
      </w:pPr>
      <w:r>
        <w:rPr>
          <w:rFonts w:ascii="Times New Roman" w:hAnsi="Times New Roman"/>
          <w:noProof/>
          <w:sz w:val="24"/>
          <w:szCs w:val="24"/>
        </w:rPr>
        <w:t>on merevõrgustiku pindala kahekordistunud;</w:t>
      </w:r>
    </w:p>
    <w:p>
      <w:pPr>
        <w:pStyle w:val="ListParagraph"/>
        <w:numPr>
          <w:ilvl w:val="0"/>
          <w:numId w:val="11"/>
        </w:numPr>
        <w:autoSpaceDE w:val="0"/>
        <w:autoSpaceDN w:val="0"/>
        <w:adjustRightInd w:val="0"/>
        <w:spacing w:after="120"/>
        <w:contextualSpacing w:val="0"/>
        <w:jc w:val="both"/>
        <w:rPr>
          <w:rFonts w:ascii="Times New Roman" w:eastAsia="Times New Roman" w:hAnsi="Times New Roman" w:cs="Times New Roman"/>
          <w:noProof/>
          <w:sz w:val="24"/>
          <w:szCs w:val="24"/>
        </w:rPr>
      </w:pPr>
      <w:r>
        <w:rPr>
          <w:rFonts w:ascii="Times New Roman" w:hAnsi="Times New Roman"/>
          <w:noProof/>
          <w:sz w:val="24"/>
          <w:szCs w:val="24"/>
        </w:rPr>
        <w:t>7 262 uue loodusala määramisega on nende arv rohkem kui kahekordistunud ning</w:t>
      </w:r>
    </w:p>
    <w:p>
      <w:pPr>
        <w:pStyle w:val="ListParagraph"/>
        <w:numPr>
          <w:ilvl w:val="0"/>
          <w:numId w:val="11"/>
        </w:numPr>
        <w:autoSpaceDE w:val="0"/>
        <w:autoSpaceDN w:val="0"/>
        <w:adjustRightInd w:val="0"/>
        <w:spacing w:after="240"/>
        <w:contextualSpacing w:val="0"/>
        <w:jc w:val="both"/>
        <w:rPr>
          <w:rFonts w:ascii="Times New Roman" w:eastAsia="Times New Roman" w:hAnsi="Times New Roman" w:cs="Times New Roman"/>
          <w:noProof/>
          <w:sz w:val="24"/>
          <w:szCs w:val="24"/>
        </w:rPr>
      </w:pPr>
      <w:r>
        <w:rPr>
          <w:rFonts w:ascii="Times New Roman" w:hAnsi="Times New Roman"/>
          <w:noProof/>
          <w:sz w:val="24"/>
          <w:szCs w:val="24"/>
        </w:rPr>
        <w:t>nende alade arv, mille kohta on teatatud, et neil on põhjalikud kaitsekorralduskavad, on märkimisväärselt suurenenud.</w:t>
      </w:r>
    </w:p>
    <w:p>
      <w:pPr>
        <w:autoSpaceDE w:val="0"/>
        <w:autoSpaceDN w:val="0"/>
        <w:adjustRightInd w:val="0"/>
        <w:spacing w:after="240"/>
        <w:ind w:left="284"/>
        <w:jc w:val="both"/>
        <w:rPr>
          <w:rFonts w:ascii="Times New Roman" w:eastAsia="Times New Roman" w:hAnsi="Times New Roman" w:cs="Times New Roman"/>
          <w:noProof/>
          <w:sz w:val="24"/>
          <w:szCs w:val="24"/>
        </w:rPr>
      </w:pPr>
    </w:p>
    <w:p>
      <w:pPr>
        <w:keepNext/>
        <w:spacing w:after="120" w:line="240" w:lineRule="auto"/>
        <w:jc w:val="both"/>
        <w:rPr>
          <w:rFonts w:ascii="Times New Roman" w:eastAsia="Times New Roman" w:hAnsi="Times New Roman" w:cs="Times New Roman"/>
          <w:b/>
          <w:iCs/>
          <w:noProof/>
          <w:sz w:val="20"/>
          <w:szCs w:val="20"/>
        </w:rPr>
      </w:pPr>
      <w:r>
        <w:rPr>
          <w:rFonts w:ascii="Times New Roman" w:hAnsi="Times New Roman"/>
          <w:b/>
          <w:noProof/>
          <w:sz w:val="20"/>
          <w:szCs w:val="20"/>
        </w:rPr>
        <w:t>Joonis 13. Natura 2000 võrgustiku kumulatiivne pindala (km², 1993–2019)</w:t>
      </w:r>
    </w:p>
    <w:p>
      <w:pPr>
        <w:spacing w:after="0"/>
        <w:jc w:val="both"/>
        <w:rPr>
          <w:rFonts w:ascii="Times New Roman" w:hAnsi="Times New Roman" w:cs="Times New Roman"/>
          <w:noProof/>
          <w:color w:val="0070C0"/>
        </w:rPr>
      </w:pPr>
      <w:r>
        <w:rPr>
          <w:rFonts w:ascii="Times New Roman" w:hAnsi="Times New Roman"/>
          <w:b/>
          <w:noProof/>
          <w:sz w:val="20"/>
          <w:szCs w:val="20"/>
          <w:lang w:val="en-GB" w:eastAsia="en-GB"/>
        </w:rPr>
        <w:drawing>
          <wp:inline distT="0" distB="0" distL="0" distR="0">
            <wp:extent cx="5731510" cy="3072118"/>
            <wp:effectExtent l="0" t="0" r="0" b="0"/>
            <wp:docPr id="1397633220" name="Picture 1397633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3072118"/>
                    </a:xfrm>
                    <a:prstGeom prst="rect">
                      <a:avLst/>
                    </a:prstGeom>
                    <a:noFill/>
                  </pic:spPr>
                </pic:pic>
              </a:graphicData>
            </a:graphic>
          </wp:inline>
        </w:drawing>
      </w:r>
    </w:p>
    <w:p>
      <w:pPr>
        <w:spacing w:after="0"/>
        <w:jc w:val="both"/>
        <w:rPr>
          <w:rFonts w:ascii="Times New Roman" w:hAnsi="Times New Roman" w:cs="Times New Roman"/>
          <w:noProof/>
          <w:color w:val="0070C0"/>
        </w:rPr>
      </w:pPr>
    </w:p>
    <w:p>
      <w:pPr>
        <w:spacing w:after="0"/>
        <w:jc w:val="both"/>
        <w:rPr>
          <w:rFonts w:ascii="Times New Roman" w:eastAsia="Times New Roman" w:hAnsi="Times New Roman" w:cs="Times New Roman"/>
          <w:b/>
          <w:iCs/>
          <w:noProof/>
          <w:sz w:val="18"/>
          <w:szCs w:val="18"/>
        </w:rPr>
      </w:pPr>
      <w:r>
        <w:rPr>
          <w:rFonts w:ascii="Times New Roman" w:hAnsi="Times New Roman"/>
          <w:b/>
          <w:noProof/>
          <w:sz w:val="18"/>
          <w:szCs w:val="18"/>
        </w:rPr>
        <w:t>Märkus:</w:t>
      </w:r>
      <w:r>
        <w:rPr>
          <w:rFonts w:ascii="Times New Roman" w:hAnsi="Times New Roman"/>
          <w:noProof/>
          <w:sz w:val="18"/>
          <w:szCs w:val="18"/>
        </w:rPr>
        <w:t xml:space="preserve"> arvud käsitlevad 28 ELi liikmesriiki ning hõlmavad linnualasid, ühenduse tähtsusega alasid, loodusalasid ja kavandatavaid ühenduse tähtsusega alasid (viimased kolm moodustavad ühenduse tähtsusega alasid tähistava sinise joone). Paljudel juhtudel on Natura 2000 alad (osaliselt või täielikult) nii linnualad kui ka loodusalad / ühenduse tähtsusega alad. Geoinfosüsteemi andmete käitlemise piirangute tõttu hakati Natura 2000 võrgustiku pindala süsteemselt arvutama alles pärast 2010. aastat.</w:t>
      </w:r>
    </w:p>
    <w:p>
      <w:pPr>
        <w:spacing w:after="240"/>
        <w:jc w:val="both"/>
        <w:rPr>
          <w:rFonts w:ascii="Times New Roman" w:eastAsia="Times New Roman" w:hAnsi="Times New Roman" w:cs="Times New Roman"/>
          <w:noProof/>
          <w:sz w:val="18"/>
          <w:szCs w:val="18"/>
        </w:rPr>
      </w:pPr>
      <w:r>
        <w:rPr>
          <w:rFonts w:ascii="Times New Roman" w:hAnsi="Times New Roman"/>
          <w:b/>
          <w:noProof/>
          <w:sz w:val="18"/>
          <w:szCs w:val="18"/>
        </w:rPr>
        <w:t>Allikas:</w:t>
      </w:r>
      <w:r>
        <w:rPr>
          <w:rFonts w:ascii="Times New Roman" w:hAnsi="Times New Roman"/>
          <w:noProof/>
          <w:sz w:val="18"/>
          <w:szCs w:val="18"/>
        </w:rPr>
        <w:t xml:space="preserve"> Natura 2000 andmebaasid</w:t>
      </w:r>
      <w:bookmarkStart w:id="6" w:name="_Toc42152731"/>
    </w:p>
    <w:bookmarkEnd w:id="6"/>
    <w:p>
      <w:pPr>
        <w:spacing w:after="240"/>
        <w:jc w:val="both"/>
        <w:rPr>
          <w:rFonts w:ascii="Times New Roman" w:hAnsi="Times New Roman" w:cs="Times New Roman"/>
          <w:b/>
          <w:i/>
          <w:noProof/>
          <w:sz w:val="24"/>
          <w:szCs w:val="24"/>
          <w:u w:val="single"/>
        </w:rPr>
      </w:pPr>
      <w:r>
        <w:rPr>
          <w:rFonts w:ascii="Times New Roman" w:hAnsi="Times New Roman"/>
          <w:b/>
          <w:i/>
          <w:noProof/>
          <w:sz w:val="24"/>
          <w:szCs w:val="24"/>
          <w:u w:val="single"/>
        </w:rPr>
        <w:t xml:space="preserve">5.1 Natura 2000 võrgustiku tõhusus </w:t>
      </w:r>
    </w:p>
    <w:p>
      <w:pPr>
        <w:spacing w:after="120"/>
        <w:jc w:val="both"/>
        <w:rPr>
          <w:rFonts w:ascii="Times New Roman" w:hAnsi="Times New Roman" w:cs="Times New Roman"/>
          <w:noProof/>
          <w:sz w:val="24"/>
          <w:szCs w:val="24"/>
        </w:rPr>
      </w:pPr>
      <w:r>
        <w:rPr>
          <w:rFonts w:ascii="Times New Roman" w:hAnsi="Times New Roman"/>
          <w:noProof/>
          <w:sz w:val="24"/>
          <w:szCs w:val="24"/>
        </w:rPr>
        <w:t>Praegune aruandlus ei anna teavet, mis võimaldaks otseselt võrrelda liikide ja elupaikade kaitsestaatust Natura 2000 võrgustikus ja sellest väljaspool. Seetõttu oleme uurinud muid võimalikke tõhususe näitajaid, nagu seos liikide ja elupaikade võrgustikku kuulumise ning nende hea staatuse või paranevate suundumuste osakaalu vahel. Liikmesriikide hinnangutel põhinevad tulemused näitavad, et:</w:t>
      </w:r>
    </w:p>
    <w:p>
      <w:pPr>
        <w:numPr>
          <w:ilvl w:val="0"/>
          <w:numId w:val="5"/>
        </w:numPr>
        <w:kinsoku w:val="0"/>
        <w:overflowPunct w:val="0"/>
        <w:spacing w:after="120"/>
        <w:ind w:left="681" w:hanging="397"/>
        <w:jc w:val="both"/>
        <w:textAlignment w:val="baseline"/>
        <w:rPr>
          <w:rFonts w:ascii="Times New Roman" w:hAnsi="Times New Roman" w:cs="Times New Roman"/>
          <w:noProof/>
          <w:sz w:val="24"/>
          <w:szCs w:val="24"/>
        </w:rPr>
      </w:pPr>
      <w:r>
        <w:rPr>
          <w:rFonts w:ascii="Times New Roman" w:hAnsi="Times New Roman"/>
          <w:noProof/>
          <w:sz w:val="24"/>
          <w:szCs w:val="24"/>
        </w:rPr>
        <w:t xml:space="preserve">keskmiselt on võrgustikus hästi esindatud (&gt; 75 %) ala või populatsiooniga </w:t>
      </w:r>
      <w:r>
        <w:rPr>
          <w:rFonts w:ascii="Times New Roman" w:hAnsi="Times New Roman"/>
          <w:noProof/>
          <w:sz w:val="24"/>
          <w:szCs w:val="24"/>
          <w:u w:val="single"/>
        </w:rPr>
        <w:t>liikide ja elupaikade</w:t>
      </w:r>
      <w:r>
        <w:rPr>
          <w:rFonts w:ascii="Times New Roman" w:hAnsi="Times New Roman"/>
          <w:noProof/>
          <w:sz w:val="24"/>
          <w:szCs w:val="24"/>
        </w:rPr>
        <w:t xml:space="preserve"> kaitsestaatus hea suurema tõenäosusega kui neil liikidel ja elupaikadel, mis on võrgustikus vähem esindatud. See on kõige ilmsem luidete elupaikade ja metsade ning kahepaiksete ja kalade puhul, ning</w:t>
      </w:r>
    </w:p>
    <w:p>
      <w:pPr>
        <w:numPr>
          <w:ilvl w:val="0"/>
          <w:numId w:val="5"/>
        </w:numPr>
        <w:kinsoku w:val="0"/>
        <w:overflowPunct w:val="0"/>
        <w:spacing w:after="240"/>
        <w:ind w:left="681" w:hanging="397"/>
        <w:jc w:val="both"/>
        <w:textAlignment w:val="baseline"/>
        <w:rPr>
          <w:rFonts w:ascii="Times New Roman" w:hAnsi="Times New Roman" w:cs="Times New Roman"/>
          <w:noProof/>
          <w:sz w:val="24"/>
          <w:szCs w:val="24"/>
        </w:rPr>
      </w:pPr>
      <w:r>
        <w:rPr>
          <w:rFonts w:ascii="Times New Roman" w:hAnsi="Times New Roman"/>
          <w:noProof/>
          <w:sz w:val="24"/>
          <w:szCs w:val="24"/>
        </w:rPr>
        <w:t xml:space="preserve">selliste </w:t>
      </w:r>
      <w:r>
        <w:rPr>
          <w:rFonts w:ascii="Times New Roman" w:hAnsi="Times New Roman"/>
          <w:noProof/>
          <w:sz w:val="24"/>
          <w:szCs w:val="24"/>
          <w:u w:val="single"/>
        </w:rPr>
        <w:t>elupaigatüüpide</w:t>
      </w:r>
      <w:r>
        <w:rPr>
          <w:rFonts w:ascii="Times New Roman" w:hAnsi="Times New Roman"/>
          <w:noProof/>
          <w:sz w:val="24"/>
          <w:szCs w:val="24"/>
        </w:rPr>
        <w:t xml:space="preserve"> olukord, mis on Natura 2000 aladel hästi esindatud (&gt; 75 %), on (pisut) rohkem paranenud ja vähem halvenenud kui nendel, mis on vähem esindatud. Paistab, et Natura 2000 võrgustikuga kaetusest on eriti palju kasu saanud rabad ja sood, mille puhul on teatatud olukorra 8 % paranemisest. Elupaigad, mille olukord on kõige enam paranenud, nt laiuva eerikaga (</w:t>
      </w:r>
      <w:r>
        <w:rPr>
          <w:rFonts w:ascii="Times New Roman" w:hAnsi="Times New Roman"/>
          <w:i/>
          <w:noProof/>
          <w:sz w:val="24"/>
          <w:szCs w:val="24"/>
        </w:rPr>
        <w:t>Erica vagans</w:t>
      </w:r>
      <w:r>
        <w:rPr>
          <w:rFonts w:ascii="Times New Roman" w:hAnsi="Times New Roman"/>
          <w:noProof/>
          <w:sz w:val="24"/>
          <w:szCs w:val="24"/>
        </w:rPr>
        <w:t>) kuivad atlantilised rannikunõmmed ja luitekadastikud (</w:t>
      </w:r>
      <w:r>
        <w:rPr>
          <w:rFonts w:ascii="Times New Roman" w:hAnsi="Times New Roman"/>
          <w:i/>
          <w:noProof/>
          <w:sz w:val="24"/>
          <w:szCs w:val="24"/>
        </w:rPr>
        <w:t>Juniperus</w:t>
      </w:r>
      <w:r>
        <w:rPr>
          <w:rFonts w:ascii="Times New Roman" w:hAnsi="Times New Roman"/>
          <w:noProof/>
          <w:sz w:val="24"/>
          <w:szCs w:val="24"/>
        </w:rPr>
        <w:t xml:space="preserve"> spp.), on võrgustikus ulatuslikult kaitstud.</w:t>
      </w:r>
    </w:p>
    <w:p>
      <w:pPr>
        <w:rPr>
          <w:rFonts w:ascii="Times New Roman" w:hAnsi="Times New Roman" w:cs="Times New Roman"/>
          <w:noProof/>
          <w:sz w:val="24"/>
          <w:szCs w:val="24"/>
        </w:rPr>
      </w:pPr>
      <w:r>
        <w:rPr>
          <w:noProof/>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tc>
          <w:tcPr>
            <w:tcW w:w="9016" w:type="dxa"/>
          </w:tcPr>
          <w:p>
            <w:pPr>
              <w:spacing w:before="120" w:after="120"/>
              <w:rPr>
                <w:rFonts w:ascii="Times New Roman" w:eastAsia="ヒラギノ角ゴ Pro W3" w:hAnsi="Times New Roman" w:cs="Times New Roman"/>
                <w:b/>
                <w:noProof/>
                <w:sz w:val="20"/>
                <w:szCs w:val="20"/>
              </w:rPr>
            </w:pPr>
            <w:r>
              <w:rPr>
                <w:rFonts w:ascii="Times New Roman" w:hAnsi="Times New Roman"/>
                <w:b/>
                <w:noProof/>
                <w:sz w:val="20"/>
                <w:szCs w:val="20"/>
              </w:rPr>
              <w:t>Joonis 14. Muutused I lisa kohaste elupaikade kaitsestaatuses ja suundumustes vastavalt nende esindatusele (&lt; 35 %, 35 %–75 %, &gt; 75 %) Natura 2000 võrgustikus</w:t>
            </w:r>
          </w:p>
          <w:p>
            <w:pPr>
              <w:spacing w:before="120" w:after="120"/>
              <w:rPr>
                <w:rFonts w:ascii="Times New Roman" w:hAnsi="Times New Roman" w:cs="Times New Roman"/>
                <w:noProof/>
                <w:sz w:val="24"/>
                <w:szCs w:val="24"/>
              </w:rPr>
            </w:pPr>
          </w:p>
        </w:tc>
      </w:tr>
      <w:tr>
        <w:tc>
          <w:tcPr>
            <w:tcW w:w="9016" w:type="dxa"/>
          </w:tcPr>
          <w:p>
            <w:pPr>
              <w:kinsoku w:val="0"/>
              <w:overflowPunct w:val="0"/>
              <w:spacing w:after="240"/>
              <w:jc w:val="both"/>
              <w:textAlignment w:val="baseline"/>
              <w:rPr>
                <w:rFonts w:ascii="Times New Roman" w:hAnsi="Times New Roman" w:cs="Times New Roman"/>
                <w:noProof/>
                <w:sz w:val="24"/>
                <w:szCs w:val="24"/>
              </w:rPr>
            </w:pPr>
            <w:r>
              <w:rPr>
                <w:rFonts w:ascii="Times New Roman" w:hAnsi="Times New Roman" w:cs="Times New Roman"/>
                <w:noProof/>
                <w:sz w:val="24"/>
                <w:szCs w:val="24"/>
                <w:lang w:val="en-GB" w:eastAsia="en-GB"/>
              </w:rPr>
              <w:drawing>
                <wp:inline distT="0" distB="0" distL="0" distR="0">
                  <wp:extent cx="5564680" cy="244384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76046" cy="2448835"/>
                          </a:xfrm>
                          <a:prstGeom prst="rect">
                            <a:avLst/>
                          </a:prstGeom>
                          <a:noFill/>
                          <a:ln>
                            <a:noFill/>
                          </a:ln>
                        </pic:spPr>
                      </pic:pic>
                    </a:graphicData>
                  </a:graphic>
                </wp:inline>
              </w:drawing>
            </w:r>
          </w:p>
        </w:tc>
      </w:tr>
      <w:tr>
        <w:tc>
          <w:tcPr>
            <w:tcW w:w="9016" w:type="dxa"/>
          </w:tcPr>
          <w:p>
            <w:pPr>
              <w:kinsoku w:val="0"/>
              <w:overflowPunct w:val="0"/>
              <w:spacing w:after="240"/>
              <w:jc w:val="both"/>
              <w:textAlignment w:val="baseline"/>
              <w:rPr>
                <w:rFonts w:ascii="Times New Roman" w:hAnsi="Times New Roman" w:cs="Times New Roman"/>
                <w:noProof/>
                <w:sz w:val="24"/>
                <w:szCs w:val="24"/>
              </w:rPr>
            </w:pPr>
            <w:r>
              <w:rPr>
                <w:rFonts w:ascii="Times New Roman" w:hAnsi="Times New Roman"/>
                <w:b/>
                <w:noProof/>
                <w:sz w:val="18"/>
                <w:szCs w:val="18"/>
              </w:rPr>
              <w:t>Märkus:</w:t>
            </w:r>
            <w:r>
              <w:rPr>
                <w:rFonts w:ascii="Times New Roman" w:hAnsi="Times New Roman"/>
                <w:noProof/>
                <w:sz w:val="18"/>
                <w:szCs w:val="18"/>
              </w:rPr>
              <w:t xml:space="preserve"> „paranes“ tähendab, et puudulik või halb hinnang paranes või muutus heaks; „jäi soodsaks“ tähendab, et säilis hea staatus; „ei muutunud“ tähendab, et puudulik või halb hinnang ei paranenud ega halvenenud; „halvenes“ tähendab, et puudulik või halb hinnang halvenes veelgi või hea hinnang muutus puudulikuks või halvaks, ning „teadmata“ tähendab, et suundumust pole kindlaks tehtud.</w:t>
            </w:r>
            <w:r>
              <w:rPr>
                <w:rFonts w:ascii="Times New Roman" w:hAnsi="Times New Roman"/>
                <w:noProof/>
              </w:rPr>
              <w:t xml:space="preserve"> </w:t>
            </w:r>
            <w:r>
              <w:rPr>
                <w:rFonts w:ascii="Times New Roman" w:hAnsi="Times New Roman"/>
                <w:noProof/>
                <w:sz w:val="18"/>
                <w:szCs w:val="18"/>
              </w:rPr>
              <w:t>Hindamiste arv rühma kohta on märgitud sulgudes. Hindamiste koguarv on 2 970.</w:t>
            </w:r>
          </w:p>
        </w:tc>
      </w:tr>
    </w:tbl>
    <w:p>
      <w:pPr>
        <w:spacing w:after="240"/>
        <w:jc w:val="both"/>
        <w:rPr>
          <w:rFonts w:ascii="Times New Roman" w:hAnsi="Times New Roman" w:cs="Times New Roman"/>
          <w:noProof/>
          <w:sz w:val="24"/>
          <w:szCs w:val="24"/>
        </w:rPr>
      </w:pPr>
    </w:p>
    <w:p>
      <w:pPr>
        <w:spacing w:after="240"/>
        <w:jc w:val="both"/>
        <w:rPr>
          <w:rFonts w:ascii="Times New Roman" w:hAnsi="Times New Roman" w:cs="Times New Roman"/>
          <w:noProof/>
          <w:sz w:val="24"/>
          <w:szCs w:val="24"/>
        </w:rPr>
      </w:pPr>
      <w:r>
        <w:rPr>
          <w:rFonts w:ascii="Times New Roman" w:hAnsi="Times New Roman"/>
          <w:noProof/>
          <w:sz w:val="24"/>
          <w:szCs w:val="24"/>
        </w:rPr>
        <w:t>Kokkuvõttes ei võimalda esitatud teave teha kindlaid järeldusi Natura 2000 võrgustiku tõhususe kohta. See on eelkõige tingitud piiratud seirest, iseäranis üldisest tavast teha seiret üksnes Natura 2000 alade valimi üle. Natura 2000 võrgustikuga seotud meetmete tõhususe rahuldavaks hindamiseks peaks seire hõlmama rohkemate andmete kogumist võrgustikku kuuluvate ja sellest väljapoole jäävate alade kohta ning kaitsekorralduse kvaliteedi kohta.</w:t>
      </w:r>
    </w:p>
    <w:p>
      <w:pPr>
        <w:kinsoku w:val="0"/>
        <w:overflowPunct w:val="0"/>
        <w:spacing w:after="240"/>
        <w:jc w:val="both"/>
        <w:textAlignment w:val="baseline"/>
        <w:rPr>
          <w:rFonts w:ascii="Times New Roman" w:hAnsi="Times New Roman" w:cs="Times New Roman"/>
          <w:noProof/>
          <w:sz w:val="24"/>
          <w:szCs w:val="24"/>
        </w:rPr>
      </w:pPr>
      <w:r>
        <w:rPr>
          <w:rFonts w:ascii="Times New Roman" w:hAnsi="Times New Roman"/>
          <w:noProof/>
          <w:sz w:val="24"/>
          <w:szCs w:val="24"/>
        </w:rPr>
        <w:t>Hoolimata mõnest positiivsest märgist, et võrgustik on parandanud kaitsestaatust, viitab kättesaadav teave kindlalt sellele, et võrgustiku kogu potentsiaali pole veel ära kasutatud ja et endiselt tuleb tegeleda märkimisväärse vajakajäämisega rakendamises.</w:t>
      </w:r>
    </w:p>
    <w:p>
      <w:pPr>
        <w:kinsoku w:val="0"/>
        <w:overflowPunct w:val="0"/>
        <w:spacing w:after="240"/>
        <w:jc w:val="both"/>
        <w:textAlignment w:val="baseline"/>
        <w:rPr>
          <w:rFonts w:ascii="Times New Roman" w:hAnsi="Times New Roman" w:cs="Times New Roman"/>
          <w:noProof/>
          <w:sz w:val="24"/>
          <w:szCs w:val="24"/>
        </w:rPr>
      </w:pPr>
    </w:p>
    <w:p>
      <w:pPr>
        <w:pStyle w:val="Heading1"/>
        <w:numPr>
          <w:ilvl w:val="0"/>
          <w:numId w:val="10"/>
        </w:numPr>
        <w:spacing w:after="240"/>
        <w:ind w:left="714" w:hanging="357"/>
        <w:rPr>
          <w:rFonts w:eastAsia="Times New Roman"/>
          <w:noProof/>
          <w:color w:val="auto"/>
        </w:rPr>
      </w:pPr>
      <w:r>
        <w:rPr>
          <w:noProof/>
          <w:color w:val="auto"/>
        </w:rPr>
        <w:t>Järeldused ja väljavaated</w:t>
      </w:r>
    </w:p>
    <w:p>
      <w:pPr>
        <w:spacing w:after="240"/>
        <w:jc w:val="both"/>
        <w:rPr>
          <w:rFonts w:ascii="Times New Roman" w:hAnsi="Times New Roman" w:cs="Times New Roman"/>
          <w:noProof/>
          <w:sz w:val="24"/>
          <w:szCs w:val="24"/>
        </w:rPr>
      </w:pPr>
      <w:r>
        <w:rPr>
          <w:rFonts w:ascii="Times New Roman" w:hAnsi="Times New Roman"/>
          <w:noProof/>
          <w:sz w:val="24"/>
          <w:szCs w:val="24"/>
        </w:rPr>
        <w:t>See kaitsestaatuse hindamine on ELis tehtud looduse seisundi kontrollidest kõige ulatuslikum ja täielikum. See annab tugeva aluse loodusdirektiivide rakendamise hindamiseks ja kindla lähtepunkti edusammude mõõtmiseks uue elurikkuse strateegia 2030 raames.</w:t>
      </w:r>
    </w:p>
    <w:p>
      <w:pPr>
        <w:spacing w:after="240"/>
        <w:jc w:val="both"/>
        <w:rPr>
          <w:rFonts w:ascii="Times New Roman" w:hAnsi="Times New Roman" w:cs="Times New Roman"/>
          <w:noProof/>
          <w:sz w:val="24"/>
          <w:szCs w:val="24"/>
        </w:rPr>
      </w:pPr>
      <w:r>
        <w:rPr>
          <w:rFonts w:ascii="Times New Roman" w:hAnsi="Times New Roman"/>
          <w:noProof/>
          <w:sz w:val="24"/>
          <w:szCs w:val="24"/>
        </w:rPr>
        <w:t>Hindamine näitab, et EL ei ole veel suutnud peatada ELi kaitsealuste elupaigatüüpide ja liikide vähenemist. Peamised maa- ja veekasutusega seotud survetegurid, mis on põhjustanud looduse seisundi halvenemise, püsivad endiselt ning nende tõttu jääb märkimisväärselt palju puudu 2020. aasta eesmärgist peatada liikide ja elupaikade seisundi halvenemine ning pöörata see mõõdetavalt ümber.</w:t>
      </w:r>
    </w:p>
    <w:p>
      <w:pPr>
        <w:spacing w:after="240"/>
        <w:jc w:val="both"/>
        <w:rPr>
          <w:rFonts w:ascii="Times New Roman" w:hAnsi="Times New Roman" w:cs="Times New Roman"/>
          <w:noProof/>
          <w:sz w:val="24"/>
          <w:szCs w:val="24"/>
        </w:rPr>
      </w:pPr>
      <w:r>
        <w:rPr>
          <w:rFonts w:ascii="Times New Roman" w:hAnsi="Times New Roman"/>
          <w:noProof/>
          <w:sz w:val="24"/>
          <w:szCs w:val="24"/>
        </w:rPr>
        <w:t>Liikmesriikide inspireerivad edulood näitavad, mida on võimalik saavutada sihipäraste meetmetega, mida sageli toetatakse ELi programmi LIFE</w:t>
      </w:r>
      <w:r>
        <w:rPr>
          <w:rStyle w:val="FootnoteReference"/>
          <w:rFonts w:ascii="Times New Roman" w:hAnsi="Times New Roman" w:cs="Times New Roman"/>
          <w:noProof/>
          <w:sz w:val="24"/>
          <w:szCs w:val="24"/>
        </w:rPr>
        <w:footnoteReference w:id="24"/>
      </w:r>
      <w:r>
        <w:rPr>
          <w:rFonts w:ascii="Times New Roman" w:hAnsi="Times New Roman"/>
          <w:noProof/>
          <w:sz w:val="24"/>
          <w:szCs w:val="24"/>
        </w:rPr>
        <w:t xml:space="preserve"> algatustega või ühise põllumajanduspoliitika raames kohaldatavate sihtotstarbeliste põllumajanduse keskkonnatoetuskavadega. Seda edu ei saavutata praegu aga piisavalt suures ulatuses.</w:t>
      </w:r>
    </w:p>
    <w:p>
      <w:pPr>
        <w:spacing w:after="240"/>
        <w:jc w:val="both"/>
        <w:rPr>
          <w:rFonts w:ascii="Times New Roman" w:hAnsi="Times New Roman" w:cs="Times New Roman"/>
          <w:noProof/>
          <w:sz w:val="24"/>
          <w:szCs w:val="24"/>
        </w:rPr>
      </w:pPr>
      <w:r>
        <w:rPr>
          <w:rFonts w:ascii="Times New Roman" w:hAnsi="Times New Roman"/>
          <w:noProof/>
          <w:sz w:val="24"/>
          <w:szCs w:val="24"/>
        </w:rPr>
        <w:t>Mõlema direktiivi rakendamisel viimase kuue aasta jooksul tehtud edusammud (Natura 2000 võrgustiku oluline laiendamine ja kaitsekorralduskavadega alade arvu suurendamine) ei ole olnud kaitsestaatuse parandamiseks piisavad. Täielikult toimiva kaitsealade võrgustiku loomist pole endiselt lõpule viidud; eriti puudutab see merekeskkonda. Samuti tuleb paljude alade jaoks veel kehtestada vajalikud kaitsemeetmed, mis põhinevad selgelt kindlaksmääratud kaitse-eesmärkidel. Vajalikud investeeringud loodusesse, muu hulgas seoses taastamisega kaitsealade võrgustikus ja väljaspool seda, ei ole teoks saanud. Loodusvaldkonna nõudeid ei ole piisavalt integreeritud peamistesse maa- ja veekasutust käsitlevatesse poliitikameetmetesse, et tulla toime negatiivse survega, mida võivad avaldada sellised sektorid nagu põllumajandus ja metsandus. Paljude Natura 2000 merealade puhul tuleb veel kokku leppida ja kehtestada kalavarude majandamise meetmed. Lisaks kujutavad kliimamuutused endast kasvavat ohtu, mille puhul prognoositakse surve järsku suurenemist ning nii otsest kui ka kaudset mõju liikidele ja elupaikadele, näiteks maakasutuse ja elupaikade asukoha või kvaliteedi muutuste tõttu.</w:t>
      </w:r>
    </w:p>
    <w:p>
      <w:pPr>
        <w:spacing w:after="240"/>
        <w:jc w:val="both"/>
        <w:rPr>
          <w:rFonts w:ascii="Times New Roman" w:hAnsi="Times New Roman" w:cs="Times New Roman"/>
          <w:noProof/>
          <w:sz w:val="24"/>
          <w:szCs w:val="24"/>
        </w:rPr>
      </w:pPr>
      <w:r>
        <w:rPr>
          <w:rFonts w:ascii="Times New Roman" w:hAnsi="Times New Roman"/>
          <w:noProof/>
          <w:sz w:val="24"/>
          <w:szCs w:val="24"/>
        </w:rPr>
        <w:t>Käesolevas hinnangus rõhutatakse vajadust meetmete järkjärgulise muutmise järele, et meil oleks tegelik võimalus viia Euroopa elurikkus 2030. aastaks taastumise teele, nagu on ette nähtud uues elurikkuse strateegias</w:t>
      </w:r>
      <w:r>
        <w:rPr>
          <w:rStyle w:val="FootnoteReference"/>
          <w:rFonts w:ascii="Times New Roman" w:hAnsi="Times New Roman" w:cs="Times New Roman"/>
          <w:noProof/>
          <w:sz w:val="24"/>
          <w:szCs w:val="24"/>
        </w:rPr>
        <w:footnoteReference w:id="25"/>
      </w:r>
      <w:r>
        <w:rPr>
          <w:rFonts w:ascii="Times New Roman" w:hAnsi="Times New Roman"/>
          <w:noProof/>
          <w:sz w:val="24"/>
          <w:szCs w:val="24"/>
        </w:rPr>
        <w:t>. Selle tegemata jätmine ei tähenda jätkuvat kahju üksnes meie ühisele looduspärandile, vaid ka selle pakutavatele elutähtsatele teenustele, mis lõppkokkuvõttes toetavad inimeste tervist ja heaolu.</w:t>
      </w:r>
    </w:p>
    <w:p>
      <w:pPr>
        <w:spacing w:after="240"/>
        <w:jc w:val="both"/>
        <w:rPr>
          <w:rFonts w:ascii="Times New Roman" w:hAnsi="Times New Roman" w:cs="Times New Roman"/>
          <w:noProof/>
          <w:sz w:val="24"/>
          <w:szCs w:val="24"/>
        </w:rPr>
      </w:pPr>
      <w:r>
        <w:rPr>
          <w:rFonts w:ascii="Times New Roman" w:hAnsi="Times New Roman"/>
          <w:noProof/>
          <w:sz w:val="24"/>
          <w:szCs w:val="24"/>
        </w:rPr>
        <w:t>Uus elurikkuse strateegia aastani 2030 tagab selle ümberkujundava muutuse jaoks vajaliku raamistiku. Koos teiste rohelise kokkuleppe raames elluviidavate algatustega esitatakse selles väga kaugeleulatuv ja praktiline tegevusprogramm, mille eesmärk on muu hulgas laiendada õiguslikult kaitstud ja tulemuslikult hallatud alade ulatust, tehes samal ajal ettepaneku ELi looduse taastamise kava kohta.</w:t>
      </w:r>
    </w:p>
    <w:p>
      <w:pPr>
        <w:spacing w:after="240"/>
        <w:jc w:val="both"/>
        <w:rPr>
          <w:rFonts w:ascii="Times New Roman" w:hAnsi="Times New Roman" w:cs="Times New Roman"/>
          <w:noProof/>
          <w:sz w:val="24"/>
          <w:szCs w:val="24"/>
        </w:rPr>
      </w:pPr>
      <w:r>
        <w:rPr>
          <w:rFonts w:ascii="Times New Roman" w:hAnsi="Times New Roman"/>
          <w:noProof/>
          <w:sz w:val="24"/>
          <w:szCs w:val="24"/>
        </w:rPr>
        <w:t>Käesolevas looduse seisundi hinnangus rõhutatakse märkimisväärset võimalust kaitsealuste elupaikade taastamiseks, pidades silmas nii nende praegust seisundit kui ka soodsa kaitsestaatuse saavutamiseks vajalikku lisapindala. See hõlmab selliste süsinikurikaste elupaikade taastamist, mis võivad kliimamuutuste leevendamisele kaasa aidata. Hindamine on otseselt seotud ka selliste strateegia raames võetavate meetmete edukuse hindamisega, mille eesmärk on tegeleda tähtsamate maa- ja veekasutusega seotud surveteguritega, eelkõige põllumajandusega, mille tõttu liigid ja elupaigad said liikmesriikides kõige rohkem halbu hinnanguid. Koos strateegiaga „Talust taldrikule“</w:t>
      </w:r>
      <w:r>
        <w:rPr>
          <w:rStyle w:val="FootnoteReference"/>
          <w:rFonts w:ascii="Times New Roman" w:hAnsi="Times New Roman" w:cs="Times New Roman"/>
          <w:noProof/>
          <w:sz w:val="24"/>
          <w:szCs w:val="24"/>
        </w:rPr>
        <w:footnoteReference w:id="26"/>
      </w:r>
      <w:r>
        <w:rPr>
          <w:rFonts w:ascii="Times New Roman" w:hAnsi="Times New Roman"/>
          <w:noProof/>
          <w:sz w:val="24"/>
          <w:szCs w:val="24"/>
        </w:rPr>
        <w:t xml:space="preserve"> peaksid meetmed, mille eesmärk on edendada mahepõllumajandust, vähendada pestitsiidide kasutamist ja nendega seotud riske, kaitsta ja taastada mulla ökosüsteeme ning suurendada maastikuelementide osakaalu põllumajandusmaal, toetama loodusdirektiividega kaitstud liikide ja elupaikade, sealhulgas tolmeldajate ja nende elupaikade taastamist.</w:t>
      </w:r>
    </w:p>
    <w:p>
      <w:pPr>
        <w:spacing w:after="240"/>
        <w:jc w:val="both"/>
        <w:rPr>
          <w:rFonts w:ascii="Times New Roman" w:hAnsi="Times New Roman" w:cs="Times New Roman"/>
          <w:noProof/>
          <w:sz w:val="24"/>
          <w:szCs w:val="24"/>
        </w:rPr>
      </w:pPr>
      <w:r>
        <w:rPr>
          <w:rFonts w:ascii="Times New Roman" w:hAnsi="Times New Roman"/>
          <w:noProof/>
          <w:sz w:val="24"/>
          <w:szCs w:val="24"/>
        </w:rPr>
        <w:t xml:space="preserve">Uues elurikkuse strateegias rõhutatakse, et elurikkuse vähenemise vastane võitlus peab põhinema usaldusväärsetel teaduslikel andmetel. Liikmesriigid peaksid jätkama oma seiresüsteemide kvaliteedi ja täielikkuse parandamist, et toetada tulevast aruandlust. Praegust seiret ja aruandlust võiksid täiendada ja toetada Maa seire / kaugseire, muud tehnoloogiad ja vahendid (nt modelleerimine) ning teadus-/innovatsioonitegevuse ja kodanike teadusalgatuste tulemused. Seda potentsiaali tuleks katsetada ja kasutada, et hõlbustada aruandvate asutuste tööd.  </w:t>
      </w:r>
    </w:p>
    <w:p>
      <w:pPr>
        <w:spacing w:after="240"/>
        <w:jc w:val="both"/>
        <w:rPr>
          <w:rFonts w:ascii="Times New Roman" w:hAnsi="Times New Roman" w:cs="Times New Roman"/>
          <w:noProof/>
        </w:rPr>
      </w:pPr>
      <w:r>
        <w:rPr>
          <w:rFonts w:ascii="Times New Roman" w:hAnsi="Times New Roman"/>
          <w:noProof/>
          <w:sz w:val="24"/>
          <w:szCs w:val="24"/>
        </w:rPr>
        <w:t>ELi looduse seisundi järgmine hindamine, mis on kavandatud 2026. aastaks, peaks aitama oluliselt kaasa uue elurikkuse strateegia kohaste loodusvaldkonna eesmärkide saavutamisel tehtavate edusammude hindamisele.</w:t>
      </w:r>
    </w:p>
    <w:sectPr>
      <w:headerReference w:type="even" r:id="rId41"/>
      <w:headerReference w:type="default" r:id="rId42"/>
      <w:footerReference w:type="even" r:id="rId43"/>
      <w:footerReference w:type="default" r:id="rId44"/>
      <w:headerReference w:type="first" r:id="rId45"/>
      <w:footerReference w:type="first" r:id="rId46"/>
      <w:pgSz w:w="11906" w:h="16838"/>
      <w:pgMar w:top="1440" w:right="1440" w:bottom="1440" w:left="1440" w:header="708" w:footer="708"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793D07" w16cid:durableId="22E77C85"/>
  <w16cid:commentId w16cid:paraId="192262E0" w16cid:durableId="22E7E2AC"/>
  <w16cid:commentId w16cid:paraId="06F94494" w16cid:durableId="22E7E0A0"/>
  <w16cid:commentId w16cid:paraId="5C1A33D1" w16cid:durableId="22EA1F60"/>
  <w16cid:commentId w16cid:paraId="2DC4D1B2" w16cid:durableId="22E7B4D5"/>
  <w16cid:commentId w16cid:paraId="581AC087" w16cid:durableId="22E7B50B"/>
  <w16cid:commentId w16cid:paraId="698D3BA9" w16cid:durableId="22E77C86"/>
  <w16cid:commentId w16cid:paraId="1903F046" w16cid:durableId="22E7F0DB"/>
  <w16cid:commentId w16cid:paraId="3649F7DE" w16cid:durableId="22E77C87"/>
  <w16cid:commentId w16cid:paraId="5EFAC51F" w16cid:durableId="22E7F708"/>
  <w16cid:commentId w16cid:paraId="34FDB027" w16cid:durableId="22E7F829"/>
  <w16cid:commentId w16cid:paraId="1AB4D764" w16cid:durableId="22E7F87A"/>
  <w16cid:commentId w16cid:paraId="3650B08C" w16cid:durableId="22E77C88"/>
  <w16cid:commentId w16cid:paraId="761E97D1" w16cid:durableId="22E80CC9"/>
  <w16cid:commentId w16cid:paraId="265F7902" w16cid:durableId="22E80CEE"/>
  <w16cid:commentId w16cid:paraId="44327280" w16cid:durableId="22E80D45"/>
  <w16cid:commentId w16cid:paraId="0076BC50" w16cid:durableId="22E80DAA"/>
  <w16cid:commentId w16cid:paraId="023B80BE" w16cid:durableId="22E80F5B"/>
  <w16cid:commentId w16cid:paraId="64A27F2D" w16cid:durableId="22E80FD8"/>
  <w16cid:commentId w16cid:paraId="725E8A48" w16cid:durableId="22E80FF5"/>
  <w16cid:commentId w16cid:paraId="7814632E" w16cid:durableId="22E81090"/>
  <w16cid:commentId w16cid:paraId="0EDE59F2" w16cid:durableId="22EA0BCB"/>
  <w16cid:commentId w16cid:paraId="664C3D1B" w16cid:durableId="22EA0C21"/>
  <w16cid:commentId w16cid:paraId="760CF79A" w16cid:durableId="22E92DC5"/>
  <w16cid:commentId w16cid:paraId="11BC476E" w16cid:durableId="22EA0F16"/>
  <w16cid:commentId w16cid:paraId="39C03C8F" w16cid:durableId="22E930EE"/>
  <w16cid:commentId w16cid:paraId="5EDD9FE3" w16cid:durableId="22E93174"/>
  <w16cid:commentId w16cid:paraId="7C8C3782" w16cid:durableId="22E93603"/>
  <w16cid:commentId w16cid:paraId="5FA63117" w16cid:durableId="22E94401"/>
  <w16cid:commentId w16cid:paraId="05638535" w16cid:durableId="22E94499"/>
  <w16cid:commentId w16cid:paraId="4A8A7B36" w16cid:durableId="22E9477B"/>
  <w16cid:commentId w16cid:paraId="46421BD5" w16cid:durableId="22E77C89"/>
  <w16cid:commentId w16cid:paraId="39002642" w16cid:durableId="22E947D4"/>
  <w16cid:commentId w16cid:paraId="1CE41893" w16cid:durableId="22E77C8A"/>
  <w16cid:commentId w16cid:paraId="52D84FD9" w16cid:durableId="22E94E49"/>
  <w16cid:commentId w16cid:paraId="039002BC" w16cid:durableId="22E94E98"/>
  <w16cid:commentId w16cid:paraId="4D3145F6" w16cid:durableId="22E77C8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ヒラギノ角ゴ Pro W3">
    <w:altName w:val="MS Gothic"/>
    <w:charset w:val="80"/>
    <w:family w:val="swiss"/>
    <w:pitch w:val="variable"/>
    <w:sig w:usb0="E00002FF"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ET</w:t>
    </w:r>
    <w:r>
      <w:rPr>
        <w:rFonts w:ascii="Arial" w:hAnsi="Arial" w:cs="Arial"/>
        <w:b/>
        <w:sz w:val="48"/>
      </w:rPr>
      <w:tab/>
    </w:r>
    <w:r>
      <w:rPr>
        <w:rFonts w:ascii="Arial" w:hAnsi="Arial" w:cs="Arial"/>
        <w:b/>
        <w:sz w:val="48"/>
      </w:rPr>
      <w:tab/>
    </w:r>
    <w:r>
      <w:tab/>
    </w:r>
    <w:r>
      <w:rPr>
        <w:rFonts w:ascii="Arial" w:hAnsi="Arial" w:cs="Arial"/>
        <w:b/>
        <w:sz w:val="48"/>
      </w:rPr>
      <w:t>ET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076003"/>
      <w:docPartObj>
        <w:docPartGallery w:val="Page Numbers (Bottom of Page)"/>
        <w:docPartUnique/>
      </w:docPartObj>
    </w:sdtPr>
    <w:sdtContent>
      <w:p>
        <w:pPr>
          <w:pStyle w:val="Footer"/>
          <w:jc w:val="cen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w:t>
        </w:r>
        <w:r>
          <w:rPr>
            <w:rFonts w:ascii="Times New Roman" w:hAnsi="Times New Roman" w:cs="Times New Roman"/>
            <w:sz w:val="20"/>
            <w:szCs w:val="20"/>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Euroopa Parlamendi ja nõukogu 30. novembri 2009. aasta direktiiv 2009/147/EÜ loodusliku linnustiku kaitse kohta (ELT L 20, 26.1.2010, lk 7).</w:t>
      </w:r>
    </w:p>
  </w:footnote>
  <w:footnote w:id="2">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Nõukogu 21. mai 1992. aasta direktiiv 92/43/EMÜ looduslike elupaikade ning loodusliku loomastiku ja taimestiku kaitse kohta (EÜT L 206, 22.7.1992, lk 7).</w:t>
      </w:r>
    </w:p>
  </w:footnote>
  <w:footnote w:id="3">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Käesolev aruanne sisaldab endiselt andmeid 2020. aasta jaanuaris EList lahkunud Ühendkuningriigi kohta. Esimest korda sisaldab see andmeid Horvaatia kohta, kes ühines ELiga 2013. aasta juulis. Rumeenia oli ainus liikmesriik, kes ei esitanud aruannet lindude kohta.</w:t>
      </w:r>
    </w:p>
  </w:footnote>
  <w:footnote w:id="4">
    <w:p>
      <w:pPr>
        <w:pStyle w:val="FootnoteText"/>
        <w:ind w:left="284" w:hanging="284"/>
        <w:rPr>
          <w:rFonts w:ascii="Times New Roman" w:hAnsi="Times New Roman"/>
          <w:sz w:val="20"/>
        </w:rPr>
      </w:pPr>
      <w:r>
        <w:rPr>
          <w:rStyle w:val="FootnoteReference"/>
        </w:rPr>
        <w:t>4</w:t>
      </w:r>
      <w:r>
        <w:rPr>
          <w:rFonts w:ascii="Times New Roman" w:hAnsi="Times New Roman"/>
          <w:sz w:val="20"/>
        </w:rPr>
        <w:t xml:space="preserve"> </w:t>
      </w:r>
      <w:r>
        <w:tab/>
      </w:r>
      <w:r>
        <w:rPr>
          <w:rFonts w:ascii="Times New Roman" w:hAnsi="Times New Roman"/>
          <w:i/>
          <w:sz w:val="20"/>
        </w:rPr>
        <w:t>State of nature in the EU — results from reporting under the nature directives 2013-2018</w:t>
      </w:r>
      <w:r>
        <w:rPr>
          <w:rFonts w:ascii="Times New Roman" w:hAnsi="Times New Roman"/>
          <w:sz w:val="20"/>
        </w:rPr>
        <w:t xml:space="preserve">, Euroopa Keskkonnaamet; kättesaadav koos täiendavate veebimaterjalidega, sealhulgas kokkuvõtetega liikmesriikide kaupa, järgmistel aadressidel: </w:t>
      </w:r>
      <w:r>
        <w:tab/>
        <w:t xml:space="preserve"> </w:t>
      </w:r>
      <w:r>
        <w:br/>
      </w:r>
      <w:hyperlink r:id="rId1" w:history="1">
        <w:r>
          <w:rPr>
            <w:rStyle w:val="Hyperlink"/>
            <w:rFonts w:ascii="Times New Roman" w:hAnsi="Times New Roman"/>
            <w:sz w:val="20"/>
          </w:rPr>
          <w:t>https://www.eea.europa.eu/themes/biodiversity/state-of-nature-in-the-eu/state-of-nature-2020</w:t>
        </w:r>
      </w:hyperlink>
      <w:r>
        <w:rPr>
          <w:rFonts w:ascii="Times New Roman" w:hAnsi="Times New Roman"/>
          <w:sz w:val="20"/>
        </w:rPr>
        <w:t xml:space="preserve"> </w:t>
      </w:r>
      <w:hyperlink r:id="rId2" w:history="1">
        <w:r>
          <w:rPr>
            <w:rStyle w:val="Hyperlink"/>
            <w:rFonts w:ascii="Times New Roman" w:hAnsi="Times New Roman"/>
            <w:sz w:val="20"/>
          </w:rPr>
          <w:t>https://ec.europa.eu/environment/nature/knowledge/rep_habitats/index_en.htm</w:t>
        </w:r>
      </w:hyperlink>
      <w:r>
        <w:rPr>
          <w:rFonts w:ascii="Times New Roman" w:hAnsi="Times New Roman"/>
          <w:sz w:val="20"/>
        </w:rPr>
        <w:t xml:space="preserve"> </w:t>
      </w:r>
    </w:p>
  </w:footnote>
  <w:footnote w:id="5">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Alpide piirkond, boreaalne piirkond, Vahemere piirkond, Atlandi piirkond, mandripiirkond, Pannoonia piirkond, Musta mere piirkond, Makaroneesia piirkond, stepipiirkond.</w:t>
      </w:r>
    </w:p>
  </w:footnote>
  <w:footnote w:id="6">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Atlandi piirkond, Läänemere piirkond, Musta mere piirkond, Makaroneesia piirkond, Vahemere piirkond.</w:t>
      </w:r>
    </w:p>
  </w:footnote>
  <w:footnote w:id="7">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Lisateavet linnudirektiivi ja elupaikade direktiivi kohaste hindamismeetodite kohta leiab Euroopa Keskkonnaameti aruandest.</w:t>
      </w:r>
    </w:p>
  </w:footnote>
  <w:footnote w:id="8">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i/>
          <w:sz w:val="20"/>
        </w:rPr>
        <w:t>State of nature in the EU — results from reporting under the nature directives 2007–2012</w:t>
      </w:r>
      <w:r>
        <w:rPr>
          <w:rFonts w:ascii="Times New Roman" w:hAnsi="Times New Roman"/>
          <w:sz w:val="20"/>
        </w:rPr>
        <w:t>, Euroopa Keskkonnaamet (2015), tehniline aruanne nr 2/2015, ISSN 1725-2237, Euroopa Liidu Väljaannete Talitus, 2015.</w:t>
      </w:r>
    </w:p>
  </w:footnote>
  <w:footnote w:id="9">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Üksikasjalikum teave on esitatud Euroopa Keskkonnaameti aruandes;</w:t>
      </w:r>
      <w:r>
        <w:rPr>
          <w:rFonts w:ascii="Times New Roman" w:hAnsi="Times New Roman"/>
          <w:sz w:val="20"/>
        </w:rPr>
        <w:cr/>
      </w:r>
      <w:r>
        <w:rPr>
          <w:rFonts w:ascii="Times New Roman" w:hAnsi="Times New Roman"/>
          <w:sz w:val="20"/>
        </w:rPr>
        <w:br/>
      </w:r>
      <w:r>
        <w:tab/>
        <w:t xml:space="preserve"> </w:t>
      </w:r>
      <w:r>
        <w:br/>
      </w:r>
      <w:hyperlink r:id="rId3" w:history="1">
        <w:r>
          <w:rPr>
            <w:rStyle w:val="Hyperlink"/>
            <w:rFonts w:ascii="Times New Roman" w:hAnsi="Times New Roman"/>
            <w:sz w:val="20"/>
          </w:rPr>
          <w:t>https://www.eea.europa.eu/themes/biodiversity/state-of-nature-in-the-eu/state-of-nature-2020</w:t>
        </w:r>
      </w:hyperlink>
    </w:p>
  </w:footnote>
  <w:footnote w:id="10">
    <w:p>
      <w:pPr>
        <w:pStyle w:val="FootnoteText"/>
        <w:ind w:left="284" w:hanging="284"/>
        <w:rPr>
          <w:rStyle w:val="FootnoteReference"/>
          <w:rFonts w:ascii="Times New Roman" w:hAnsi="Times New Roman"/>
          <w:sz w:val="20"/>
          <w:vertAlign w:val="baseline"/>
        </w:rPr>
      </w:pPr>
      <w:r>
        <w:rPr>
          <w:rStyle w:val="FootnoteReference"/>
          <w:rFonts w:ascii="Times New Roman" w:hAnsi="Times New Roman"/>
          <w:sz w:val="20"/>
        </w:rPr>
        <w:footnoteRef/>
      </w:r>
      <w:r>
        <w:rPr>
          <w:rStyle w:val="FootnoteReference"/>
          <w:rFonts w:ascii="Times New Roman" w:hAnsi="Times New Roman"/>
          <w:sz w:val="20"/>
        </w:rPr>
        <w:t xml:space="preserve"> </w:t>
      </w:r>
      <w:r>
        <w:rPr>
          <w:rFonts w:ascii="Times New Roman" w:hAnsi="Times New Roman"/>
          <w:sz w:val="20"/>
        </w:rPr>
        <w:t xml:space="preserve"> </w:t>
      </w:r>
      <w:r>
        <w:rPr>
          <w:rStyle w:val="FootnoteReference"/>
          <w:rFonts w:ascii="Times New Roman" w:hAnsi="Times New Roman"/>
          <w:sz w:val="20"/>
          <w:vertAlign w:val="baseline"/>
        </w:rPr>
        <w:t>Selle rühma elupaigatüüpide hulka kuuluvad madalikuniidud (6510) ja mäginiidud (6520).</w:t>
      </w:r>
    </w:p>
  </w:footnote>
  <w:footnote w:id="11">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Sinihelmikaniidud (</w:t>
      </w:r>
      <w:r>
        <w:rPr>
          <w:rFonts w:ascii="Times New Roman" w:hAnsi="Times New Roman"/>
          <w:i/>
          <w:sz w:val="20"/>
        </w:rPr>
        <w:t>Molinion caeruleae</w:t>
      </w:r>
      <w:r>
        <w:rPr>
          <w:rFonts w:ascii="Times New Roman" w:hAnsi="Times New Roman"/>
          <w:sz w:val="20"/>
        </w:rPr>
        <w:t xml:space="preserve"> kooslused) lubjarikkal või turvastunud mullal või savikatel mudasetetel (6410).</w:t>
      </w:r>
    </w:p>
  </w:footnote>
  <w:footnote w:id="12">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Selle rühma elupaigatüüpide hulka kuuluvad </w:t>
      </w:r>
      <w:r>
        <w:rPr>
          <w:rFonts w:ascii="Times New Roman" w:hAnsi="Times New Roman"/>
          <w:i/>
          <w:sz w:val="20"/>
        </w:rPr>
        <w:t>Festuco-Brometalia</w:t>
      </w:r>
      <w:r>
        <w:rPr>
          <w:rFonts w:ascii="Times New Roman" w:hAnsi="Times New Roman"/>
          <w:sz w:val="20"/>
        </w:rPr>
        <w:t xml:space="preserve"> kooslustega poollooduslikud kuivad rohumaad ja põõsastikud lubjarikkal mullal (6210) ning põhjamaised lood ja eelkambriumi karbonaatsed silekaljud (6280).</w:t>
      </w:r>
    </w:p>
  </w:footnote>
  <w:footnote w:id="13">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II lisa: liigid, mille säilitamine nõuab loodusalade (Natura 2000 alad) määramist; </w:t>
      </w:r>
      <w:r>
        <w:tab/>
        <w:t xml:space="preserve"> </w:t>
      </w:r>
      <w:r>
        <w:br/>
      </w:r>
      <w:r>
        <w:rPr>
          <w:rFonts w:ascii="Times New Roman" w:hAnsi="Times New Roman"/>
          <w:sz w:val="20"/>
        </w:rPr>
        <w:t xml:space="preserve">IV lisa: rangelt kaitstud liigid; </w:t>
      </w:r>
      <w:r>
        <w:tab/>
        <w:t xml:space="preserve"> </w:t>
      </w:r>
      <w:r>
        <w:br/>
      </w:r>
      <w:r>
        <w:rPr>
          <w:rFonts w:ascii="Times New Roman" w:hAnsi="Times New Roman"/>
          <w:sz w:val="20"/>
        </w:rPr>
        <w:t>V lisa: liigid, mille loodusest võtmise ja kasutamise suhtes võib kehtestada kaitsekorraldusmeetmeid.</w:t>
      </w:r>
    </w:p>
  </w:footnote>
  <w:footnote w:id="14">
    <w:p>
      <w:pPr>
        <w:pStyle w:val="FootnoteText"/>
        <w:ind w:left="284" w:hanging="284"/>
        <w:rPr>
          <w:rFonts w:ascii="Times New Roman" w:hAnsi="Times New Roman"/>
          <w:sz w:val="20"/>
        </w:rPr>
      </w:pPr>
      <w:r>
        <w:rPr>
          <w:rStyle w:val="FootnoteReference"/>
          <w:sz w:val="20"/>
        </w:rPr>
        <w:footnoteRef/>
      </w:r>
      <w:r>
        <w:rPr>
          <w:sz w:val="20"/>
        </w:rPr>
        <w:t xml:space="preserve"> </w:t>
      </w:r>
      <w:r>
        <w:tab/>
      </w:r>
      <w:r>
        <w:rPr>
          <w:rFonts w:ascii="Times New Roman" w:hAnsi="Times New Roman"/>
          <w:sz w:val="20"/>
        </w:rPr>
        <w:t>Komisjoni teatis Euroopa Parlamendile, nõukogule Euroopa Majandus- ja Sotsiaalkomiteele ning Regioonide Komiteele „Meie elukindlustus, meie looduskapital:</w:t>
      </w:r>
      <w:r>
        <w:rPr>
          <w:rFonts w:ascii="Times New Roman" w:hAnsi="Times New Roman"/>
          <w:i/>
          <w:sz w:val="20"/>
        </w:rPr>
        <w:t xml:space="preserve"> </w:t>
      </w:r>
      <w:r>
        <w:rPr>
          <w:rFonts w:ascii="Times New Roman" w:hAnsi="Times New Roman"/>
          <w:sz w:val="20"/>
        </w:rPr>
        <w:t>ELi bioloogilise mitmekesisuse strateegia aastani 2020“ (COM(2011) 244 final).</w:t>
      </w:r>
    </w:p>
  </w:footnote>
  <w:footnote w:id="15">
    <w:p>
      <w:pPr>
        <w:pStyle w:val="FootnoteText"/>
        <w:ind w:left="284" w:hanging="284"/>
        <w:rPr>
          <w:rFonts w:ascii="Times New Roman" w:hAnsi="Times New Roman"/>
          <w:sz w:val="20"/>
        </w:rPr>
      </w:pPr>
      <w:r>
        <w:rPr>
          <w:rStyle w:val="FootnoteReference"/>
        </w:rPr>
        <w:footnoteRef/>
      </w:r>
      <w:r>
        <w:t xml:space="preserve"> </w:t>
      </w:r>
      <w:r>
        <w:rPr>
          <w:rFonts w:ascii="Times New Roman" w:hAnsi="Times New Roman"/>
          <w:sz w:val="20"/>
        </w:rPr>
        <w:t>Hõlmatud Aafrika ja Euraasia rändveelindude kaitse kokkuleppega (AEWA).</w:t>
      </w:r>
    </w:p>
  </w:footnote>
  <w:footnote w:id="16">
    <w:p>
      <w:pPr>
        <w:pStyle w:val="FootnoteText"/>
        <w:ind w:left="284" w:hanging="284"/>
        <w:rPr>
          <w:rFonts w:ascii="Times New Roman" w:hAnsi="Times New Roman"/>
          <w:sz w:val="20"/>
        </w:rPr>
      </w:pPr>
      <w:r>
        <w:rPr>
          <w:rStyle w:val="FootnoteReference"/>
        </w:rPr>
        <w:footnoteRef/>
      </w:r>
      <w:r>
        <w:t xml:space="preserve"> </w:t>
      </w:r>
      <w:r>
        <w:tab/>
      </w:r>
      <w:r>
        <w:rPr>
          <w:rFonts w:ascii="Times New Roman" w:hAnsi="Times New Roman"/>
          <w:sz w:val="20"/>
        </w:rPr>
        <w:t xml:space="preserve">Halada, L., Evans, D., Romão, C. ja Petersen, J. E., 2011, „Which habitats of European importance depend on agricultural practices?“, </w:t>
      </w:r>
      <w:r>
        <w:rPr>
          <w:rFonts w:ascii="Times New Roman" w:hAnsi="Times New Roman"/>
          <w:i/>
          <w:sz w:val="20"/>
        </w:rPr>
        <w:t>Biodiversity and Conservation</w:t>
      </w:r>
      <w:r>
        <w:rPr>
          <w:rFonts w:ascii="Times New Roman" w:hAnsi="Times New Roman"/>
          <w:sz w:val="20"/>
        </w:rPr>
        <w:t>, 20(11) 2 365–2 378.</w:t>
      </w:r>
    </w:p>
  </w:footnote>
  <w:footnote w:id="17">
    <w:p>
      <w:pPr>
        <w:pStyle w:val="NormalWeb"/>
        <w:spacing w:before="0" w:beforeAutospacing="0" w:after="0" w:afterAutospacing="0"/>
        <w:ind w:left="284" w:hanging="284"/>
        <w:jc w:val="both"/>
        <w:rPr>
          <w:sz w:val="20"/>
        </w:rPr>
      </w:pPr>
      <w:r>
        <w:rPr>
          <w:rStyle w:val="FootnoteReference"/>
          <w:sz w:val="20"/>
          <w:szCs w:val="20"/>
        </w:rPr>
        <w:footnoteRef/>
      </w:r>
      <w:r>
        <w:rPr>
          <w:sz w:val="20"/>
          <w:szCs w:val="20"/>
        </w:rPr>
        <w:t xml:space="preserve"> </w:t>
      </w:r>
      <w:r>
        <w:tab/>
      </w:r>
      <w:r>
        <w:rPr>
          <w:sz w:val="20"/>
          <w:szCs w:val="20"/>
        </w:rPr>
        <w:t xml:space="preserve">Hirschfeld, A. </w:t>
      </w:r>
      <w:r>
        <w:rPr>
          <w:i/>
          <w:sz w:val="20"/>
          <w:szCs w:val="20"/>
        </w:rPr>
        <w:t>et al.</w:t>
      </w:r>
      <w:r>
        <w:rPr>
          <w:sz w:val="20"/>
          <w:szCs w:val="20"/>
        </w:rPr>
        <w:t xml:space="preserve">, 2019, „Bird-hunting in Europe: an analysis of bag figures and the potential impact on the conservation of threatened species“, </w:t>
      </w:r>
      <w:r>
        <w:rPr>
          <w:i/>
          <w:sz w:val="20"/>
          <w:szCs w:val="20"/>
        </w:rPr>
        <w:t>British Birds:</w:t>
      </w:r>
      <w:r>
        <w:rPr>
          <w:sz w:val="20"/>
          <w:szCs w:val="20"/>
        </w:rPr>
        <w:t xml:space="preserve"> 153–166.</w:t>
      </w:r>
    </w:p>
  </w:footnote>
  <w:footnote w:id="18">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Elupaikade direktiivis ei käsitleta peaaegu üldse merekalu (selles piirdutakse mitme anadroomse kalaliigiga).</w:t>
      </w:r>
    </w:p>
  </w:footnote>
  <w:footnote w:id="19">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Määrus (EL) nr 1143/2014 looduslikku tasakaalu ohustavate võõrliikide sissetoomise ja levimise ennetamise ja ohjamise kohta sisaldab liidu jaoks probleemsete looduslikku tasakaalu ohustavate võõrliikide nimekirja (ELT L 317, 4.11.2014, lk 35).</w:t>
      </w:r>
    </w:p>
  </w:footnote>
  <w:footnote w:id="20">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 xml:space="preserve">Vt näiteks: IPBES (2018), </w:t>
      </w:r>
      <w:r>
        <w:rPr>
          <w:rFonts w:ascii="Times New Roman" w:hAnsi="Times New Roman"/>
          <w:i/>
          <w:sz w:val="20"/>
        </w:rPr>
        <w:t>The IPBES regional assessment report on biodiversity and ecosystem services for Europe and Central Asia</w:t>
      </w:r>
      <w:r>
        <w:rPr>
          <w:rFonts w:ascii="Times New Roman" w:hAnsi="Times New Roman"/>
          <w:sz w:val="20"/>
        </w:rPr>
        <w:t xml:space="preserve">, Rounsevell, M. </w:t>
      </w:r>
      <w:r>
        <w:rPr>
          <w:rFonts w:ascii="Times New Roman" w:hAnsi="Times New Roman"/>
          <w:i/>
          <w:sz w:val="20"/>
        </w:rPr>
        <w:t>et al.</w:t>
      </w:r>
      <w:r>
        <w:rPr>
          <w:rFonts w:ascii="Times New Roman" w:hAnsi="Times New Roman"/>
          <w:sz w:val="20"/>
        </w:rPr>
        <w:t>, valitsustevahelise elurikkust ja ökosüsteemi teenuseid käsitleva teaduslik</w:t>
      </w:r>
      <w:r>
        <w:rPr>
          <w:rFonts w:ascii="Times New Roman" w:hAnsi="Times New Roman"/>
          <w:sz w:val="20"/>
        </w:rPr>
        <w:noBreakHyphen/>
        <w:t>poliitilise foorumi sekretariaat, Bonn, Saksamaa. 892 lk.</w:t>
      </w:r>
    </w:p>
  </w:footnote>
  <w:footnote w:id="21">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Taastamisvajaduste arvutamisel pole võetud arvesse Ühendkuningriiki.</w:t>
      </w:r>
    </w:p>
  </w:footnote>
  <w:footnote w:id="22">
    <w:p>
      <w:pPr>
        <w:pStyle w:val="FootnoteText"/>
        <w:ind w:left="284" w:hanging="284"/>
        <w:rPr>
          <w:rFonts w:ascii="Times New Roman" w:eastAsia="Times New Roman" w:hAnsi="Times New Roman"/>
          <w:iCs w:val="0"/>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iCs w:val="0"/>
          <w:sz w:val="20"/>
        </w:rPr>
        <w:t>Elupaikade direktiivi kohaselt teevad liikmesriigid ettepaneku ühenduse tähtsusega alade kohta, mille komisjon lisab seejärel biogeograafilistesse loeteludesse. Seejärel on liikmesriikidel kuus aastat aega, et määrata ühenduse tähtsusega alad loodusaladeks.</w:t>
      </w:r>
    </w:p>
  </w:footnote>
  <w:footnote w:id="23">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Need arvnäitajad puudutavad merealasid, mis asuvad rannajoonest kuni 200 meremiili kaugusel; need ei hõlma Natura 2000 alasid laiendatud mandrilaval (asjakohane Iirimaa, Portugali ja Ühendkuningriigi puhul).</w:t>
      </w:r>
    </w:p>
  </w:footnote>
  <w:footnote w:id="24">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hyperlink r:id="rId4" w:history="1">
        <w:r>
          <w:rPr>
            <w:rStyle w:val="Hyperlink"/>
            <w:rFonts w:ascii="Times New Roman" w:hAnsi="Times New Roman"/>
            <w:sz w:val="20"/>
          </w:rPr>
          <w:t>https://ec.europa.eu/easme/en/life</w:t>
        </w:r>
      </w:hyperlink>
      <w:r>
        <w:rPr>
          <w:rFonts w:ascii="Times New Roman" w:hAnsi="Times New Roman"/>
          <w:sz w:val="20"/>
        </w:rPr>
        <w:t xml:space="preserve"> </w:t>
      </w:r>
    </w:p>
  </w:footnote>
  <w:footnote w:id="25">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Komisjoni teatis Euroopa Parlamendile, nõukogule, Euroopa Majandus- ja Sotsiaalkomiteele ning Regioonide Komiteele „ELi elurikkuse strateegia aastani 2030. Toome looduse oma ellu tagasi“ (COM(2020) 380 final);</w:t>
      </w:r>
      <w:r>
        <w:tab/>
        <w:t xml:space="preserve"> </w:t>
      </w:r>
      <w:r>
        <w:br/>
      </w:r>
      <w:hyperlink r:id="rId5" w:history="1">
        <w:r>
          <w:rPr>
            <w:rStyle w:val="Hyperlink"/>
            <w:rFonts w:ascii="Times New Roman" w:hAnsi="Times New Roman"/>
            <w:sz w:val="20"/>
          </w:rPr>
          <w:t>https://eur-lex.europa.eu/legal-content/ET/TXT/?uri=CELEX:52020DC0380</w:t>
        </w:r>
      </w:hyperlink>
    </w:p>
  </w:footnote>
  <w:footnote w:id="26">
    <w:p>
      <w:pPr>
        <w:pStyle w:val="FootnoteText"/>
        <w:ind w:left="284" w:hanging="284"/>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tab/>
      </w:r>
      <w:r>
        <w:rPr>
          <w:rFonts w:ascii="Times New Roman" w:hAnsi="Times New Roman"/>
          <w:sz w:val="20"/>
        </w:rPr>
        <w:t>Komisjoni teatis Euroopa Parlamendile, nõukogule, Euroopa Majandus- ja Sotsiaalkomiteele ning Regioonide Komiteele „Strateegia „Talust taldrikule“ õiglase, tervisliku ja keskkonnahoidliku toidusüsteemi edendamiseks“, (COM(2020) 381 final);</w:t>
      </w:r>
      <w:r>
        <w:tab/>
        <w:t xml:space="preserve"> </w:t>
      </w:r>
      <w:r>
        <w:br/>
      </w:r>
      <w:hyperlink r:id="rId6" w:history="1">
        <w:r>
          <w:rPr>
            <w:rStyle w:val="Hyperlink"/>
            <w:rFonts w:ascii="Times New Roman" w:hAnsi="Times New Roman"/>
            <w:sz w:val="20"/>
          </w:rPr>
          <w:t>https://eur-lex.europa.eu/legal-content/ET/TXT/?uri=CELEX:52020DC0381</w:t>
        </w:r>
      </w:hyperlink>
      <w:r>
        <w:rPr>
          <w:rFonts w:ascii="Times New Roman" w:hAnsi="Times New Roman"/>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1B71"/>
    <w:multiLevelType w:val="hybridMultilevel"/>
    <w:tmpl w:val="93882E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B13E82"/>
    <w:multiLevelType w:val="multilevel"/>
    <w:tmpl w:val="4F2E0D4E"/>
    <w:lvl w:ilvl="0">
      <w:start w:val="1"/>
      <w:numFmt w:val="decimal"/>
      <w:pStyle w:val="Style2-Annex"/>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2EAE7260"/>
    <w:multiLevelType w:val="hybridMultilevel"/>
    <w:tmpl w:val="4DE85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0590BE7"/>
    <w:multiLevelType w:val="hybridMultilevel"/>
    <w:tmpl w:val="43E6482E"/>
    <w:lvl w:ilvl="0" w:tplc="9CE0CE52">
      <w:start w:val="1"/>
      <w:numFmt w:val="bullet"/>
      <w:pStyle w:val="Body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920882"/>
    <w:multiLevelType w:val="hybridMultilevel"/>
    <w:tmpl w:val="30D6C6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30DC22BE"/>
    <w:multiLevelType w:val="hybridMultilevel"/>
    <w:tmpl w:val="CCAA494C"/>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6">
    <w:nsid w:val="3EF57FC0"/>
    <w:multiLevelType w:val="hybridMultilevel"/>
    <w:tmpl w:val="81CE2F44"/>
    <w:lvl w:ilvl="0" w:tplc="08090001">
      <w:start w:val="1"/>
      <w:numFmt w:val="bullet"/>
      <w:lvlText w:val=""/>
      <w:lvlJc w:val="left"/>
      <w:pPr>
        <w:tabs>
          <w:tab w:val="num" w:pos="720"/>
        </w:tabs>
        <w:ind w:left="720" w:hanging="360"/>
      </w:pPr>
      <w:rPr>
        <w:rFonts w:ascii="Symbol" w:hAnsi="Symbol" w:hint="default"/>
      </w:rPr>
    </w:lvl>
    <w:lvl w:ilvl="1" w:tplc="B62897E2">
      <w:start w:val="146"/>
      <w:numFmt w:val="bullet"/>
      <w:lvlText w:val="•"/>
      <w:lvlJc w:val="left"/>
      <w:pPr>
        <w:tabs>
          <w:tab w:val="num" w:pos="1440"/>
        </w:tabs>
        <w:ind w:left="1440" w:hanging="360"/>
      </w:pPr>
      <w:rPr>
        <w:rFonts w:ascii="Times New Roman" w:hAnsi="Times New Roman" w:hint="default"/>
      </w:rPr>
    </w:lvl>
    <w:lvl w:ilvl="2" w:tplc="3BEAF2B0" w:tentative="1">
      <w:start w:val="1"/>
      <w:numFmt w:val="bullet"/>
      <w:lvlText w:val="•"/>
      <w:lvlJc w:val="left"/>
      <w:pPr>
        <w:tabs>
          <w:tab w:val="num" w:pos="2160"/>
        </w:tabs>
        <w:ind w:left="2160" w:hanging="360"/>
      </w:pPr>
      <w:rPr>
        <w:rFonts w:ascii="Arial" w:hAnsi="Arial" w:hint="default"/>
      </w:rPr>
    </w:lvl>
    <w:lvl w:ilvl="3" w:tplc="C9125EF8" w:tentative="1">
      <w:start w:val="1"/>
      <w:numFmt w:val="bullet"/>
      <w:lvlText w:val="•"/>
      <w:lvlJc w:val="left"/>
      <w:pPr>
        <w:tabs>
          <w:tab w:val="num" w:pos="2880"/>
        </w:tabs>
        <w:ind w:left="2880" w:hanging="360"/>
      </w:pPr>
      <w:rPr>
        <w:rFonts w:ascii="Arial" w:hAnsi="Arial" w:hint="default"/>
      </w:rPr>
    </w:lvl>
    <w:lvl w:ilvl="4" w:tplc="A972FFAA" w:tentative="1">
      <w:start w:val="1"/>
      <w:numFmt w:val="bullet"/>
      <w:lvlText w:val="•"/>
      <w:lvlJc w:val="left"/>
      <w:pPr>
        <w:tabs>
          <w:tab w:val="num" w:pos="3600"/>
        </w:tabs>
        <w:ind w:left="3600" w:hanging="360"/>
      </w:pPr>
      <w:rPr>
        <w:rFonts w:ascii="Arial" w:hAnsi="Arial" w:hint="default"/>
      </w:rPr>
    </w:lvl>
    <w:lvl w:ilvl="5" w:tplc="B4026304" w:tentative="1">
      <w:start w:val="1"/>
      <w:numFmt w:val="bullet"/>
      <w:lvlText w:val="•"/>
      <w:lvlJc w:val="left"/>
      <w:pPr>
        <w:tabs>
          <w:tab w:val="num" w:pos="4320"/>
        </w:tabs>
        <w:ind w:left="4320" w:hanging="360"/>
      </w:pPr>
      <w:rPr>
        <w:rFonts w:ascii="Arial" w:hAnsi="Arial" w:hint="default"/>
      </w:rPr>
    </w:lvl>
    <w:lvl w:ilvl="6" w:tplc="0EDA22A2" w:tentative="1">
      <w:start w:val="1"/>
      <w:numFmt w:val="bullet"/>
      <w:lvlText w:val="•"/>
      <w:lvlJc w:val="left"/>
      <w:pPr>
        <w:tabs>
          <w:tab w:val="num" w:pos="5040"/>
        </w:tabs>
        <w:ind w:left="5040" w:hanging="360"/>
      </w:pPr>
      <w:rPr>
        <w:rFonts w:ascii="Arial" w:hAnsi="Arial" w:hint="default"/>
      </w:rPr>
    </w:lvl>
    <w:lvl w:ilvl="7" w:tplc="1C2C3088" w:tentative="1">
      <w:start w:val="1"/>
      <w:numFmt w:val="bullet"/>
      <w:lvlText w:val="•"/>
      <w:lvlJc w:val="left"/>
      <w:pPr>
        <w:tabs>
          <w:tab w:val="num" w:pos="5760"/>
        </w:tabs>
        <w:ind w:left="5760" w:hanging="360"/>
      </w:pPr>
      <w:rPr>
        <w:rFonts w:ascii="Arial" w:hAnsi="Arial" w:hint="default"/>
      </w:rPr>
    </w:lvl>
    <w:lvl w:ilvl="8" w:tplc="299CBF9C" w:tentative="1">
      <w:start w:val="1"/>
      <w:numFmt w:val="bullet"/>
      <w:lvlText w:val="•"/>
      <w:lvlJc w:val="left"/>
      <w:pPr>
        <w:tabs>
          <w:tab w:val="num" w:pos="6480"/>
        </w:tabs>
        <w:ind w:left="6480" w:hanging="360"/>
      </w:pPr>
      <w:rPr>
        <w:rFonts w:ascii="Arial" w:hAnsi="Arial" w:hint="default"/>
      </w:rPr>
    </w:lvl>
  </w:abstractNum>
  <w:abstractNum w:abstractNumId="7">
    <w:nsid w:val="4ECF2223"/>
    <w:multiLevelType w:val="hybridMultilevel"/>
    <w:tmpl w:val="EF808130"/>
    <w:lvl w:ilvl="0" w:tplc="08090001">
      <w:start w:val="1"/>
      <w:numFmt w:val="bullet"/>
      <w:lvlText w:val=""/>
      <w:lvlJc w:val="left"/>
      <w:pPr>
        <w:tabs>
          <w:tab w:val="num" w:pos="720"/>
        </w:tabs>
        <w:ind w:left="720" w:hanging="360"/>
      </w:pPr>
      <w:rPr>
        <w:rFonts w:ascii="Symbol" w:hAnsi="Symbol" w:hint="default"/>
      </w:rPr>
    </w:lvl>
    <w:lvl w:ilvl="1" w:tplc="27008BF0" w:tentative="1">
      <w:start w:val="1"/>
      <w:numFmt w:val="bullet"/>
      <w:lvlText w:val="•"/>
      <w:lvlJc w:val="left"/>
      <w:pPr>
        <w:tabs>
          <w:tab w:val="num" w:pos="1440"/>
        </w:tabs>
        <w:ind w:left="1440" w:hanging="360"/>
      </w:pPr>
      <w:rPr>
        <w:rFonts w:ascii="Arial" w:hAnsi="Arial" w:hint="default"/>
      </w:rPr>
    </w:lvl>
    <w:lvl w:ilvl="2" w:tplc="0C5A5742" w:tentative="1">
      <w:start w:val="1"/>
      <w:numFmt w:val="bullet"/>
      <w:lvlText w:val="•"/>
      <w:lvlJc w:val="left"/>
      <w:pPr>
        <w:tabs>
          <w:tab w:val="num" w:pos="2160"/>
        </w:tabs>
        <w:ind w:left="2160" w:hanging="360"/>
      </w:pPr>
      <w:rPr>
        <w:rFonts w:ascii="Arial" w:hAnsi="Arial" w:hint="default"/>
      </w:rPr>
    </w:lvl>
    <w:lvl w:ilvl="3" w:tplc="D354CFBA" w:tentative="1">
      <w:start w:val="1"/>
      <w:numFmt w:val="bullet"/>
      <w:lvlText w:val="•"/>
      <w:lvlJc w:val="left"/>
      <w:pPr>
        <w:tabs>
          <w:tab w:val="num" w:pos="2880"/>
        </w:tabs>
        <w:ind w:left="2880" w:hanging="360"/>
      </w:pPr>
      <w:rPr>
        <w:rFonts w:ascii="Arial" w:hAnsi="Arial" w:hint="default"/>
      </w:rPr>
    </w:lvl>
    <w:lvl w:ilvl="4" w:tplc="BABC4F78" w:tentative="1">
      <w:start w:val="1"/>
      <w:numFmt w:val="bullet"/>
      <w:lvlText w:val="•"/>
      <w:lvlJc w:val="left"/>
      <w:pPr>
        <w:tabs>
          <w:tab w:val="num" w:pos="3600"/>
        </w:tabs>
        <w:ind w:left="3600" w:hanging="360"/>
      </w:pPr>
      <w:rPr>
        <w:rFonts w:ascii="Arial" w:hAnsi="Arial" w:hint="default"/>
      </w:rPr>
    </w:lvl>
    <w:lvl w:ilvl="5" w:tplc="20BAEC22" w:tentative="1">
      <w:start w:val="1"/>
      <w:numFmt w:val="bullet"/>
      <w:lvlText w:val="•"/>
      <w:lvlJc w:val="left"/>
      <w:pPr>
        <w:tabs>
          <w:tab w:val="num" w:pos="4320"/>
        </w:tabs>
        <w:ind w:left="4320" w:hanging="360"/>
      </w:pPr>
      <w:rPr>
        <w:rFonts w:ascii="Arial" w:hAnsi="Arial" w:hint="default"/>
      </w:rPr>
    </w:lvl>
    <w:lvl w:ilvl="6" w:tplc="713A1B7E" w:tentative="1">
      <w:start w:val="1"/>
      <w:numFmt w:val="bullet"/>
      <w:lvlText w:val="•"/>
      <w:lvlJc w:val="left"/>
      <w:pPr>
        <w:tabs>
          <w:tab w:val="num" w:pos="5040"/>
        </w:tabs>
        <w:ind w:left="5040" w:hanging="360"/>
      </w:pPr>
      <w:rPr>
        <w:rFonts w:ascii="Arial" w:hAnsi="Arial" w:hint="default"/>
      </w:rPr>
    </w:lvl>
    <w:lvl w:ilvl="7" w:tplc="0E040F96" w:tentative="1">
      <w:start w:val="1"/>
      <w:numFmt w:val="bullet"/>
      <w:lvlText w:val="•"/>
      <w:lvlJc w:val="left"/>
      <w:pPr>
        <w:tabs>
          <w:tab w:val="num" w:pos="5760"/>
        </w:tabs>
        <w:ind w:left="5760" w:hanging="360"/>
      </w:pPr>
      <w:rPr>
        <w:rFonts w:ascii="Arial" w:hAnsi="Arial" w:hint="default"/>
      </w:rPr>
    </w:lvl>
    <w:lvl w:ilvl="8" w:tplc="61684B6E" w:tentative="1">
      <w:start w:val="1"/>
      <w:numFmt w:val="bullet"/>
      <w:lvlText w:val="•"/>
      <w:lvlJc w:val="left"/>
      <w:pPr>
        <w:tabs>
          <w:tab w:val="num" w:pos="6480"/>
        </w:tabs>
        <w:ind w:left="6480" w:hanging="360"/>
      </w:pPr>
      <w:rPr>
        <w:rFonts w:ascii="Arial" w:hAnsi="Arial" w:hint="default"/>
      </w:rPr>
    </w:lvl>
  </w:abstractNum>
  <w:abstractNum w:abstractNumId="8">
    <w:nsid w:val="60097414"/>
    <w:multiLevelType w:val="hybridMultilevel"/>
    <w:tmpl w:val="0546C3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BE920D4"/>
    <w:multiLevelType w:val="hybridMultilevel"/>
    <w:tmpl w:val="052A86B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7900560C"/>
    <w:multiLevelType w:val="hybridMultilevel"/>
    <w:tmpl w:val="B88A0204"/>
    <w:lvl w:ilvl="0" w:tplc="0809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7"/>
  </w:num>
  <w:num w:numId="6">
    <w:abstractNumId w:val="4"/>
  </w:num>
  <w:num w:numId="7">
    <w:abstractNumId w:val="3"/>
  </w:num>
  <w:num w:numId="8">
    <w:abstractNumId w:val="2"/>
  </w:num>
  <w:num w:numId="9">
    <w:abstractNumId w:val="10"/>
  </w:num>
  <w:num w:numId="10">
    <w:abstractNumId w:val="0"/>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revisionView w:markup="0"/>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B5887479-A408-43CC-BAC5-E0DAC229D524"/>
    <w:docVar w:name="LW_COVERPAGE_TYPE" w:val="1"/>
    <w:docVar w:name="LW_CROSSREFERENCE" w:val="&lt;UNUSED&gt;"/>
    <w:docVar w:name="LW_DocType" w:val="NORMAL"/>
    <w:docVar w:name="LW_EMISSION" w:val="15.10.2020"/>
    <w:docVar w:name="LW_EMISSION_ISODATE" w:val="2020-10-15"/>
    <w:docVar w:name="LW_EMISSION_LOCATION" w:val="BRX"/>
    <w:docVar w:name="LW_EMISSION_PREFIX" w:val="Brüssel,"/>
    <w:docVar w:name="LW_EMISSION_SUFFIX" w:val=" "/>
    <w:docVar w:name="LW_ID_DOCTYPE_NONLW" w:val="CP-007"/>
    <w:docVar w:name="LW_LANGUE" w:val="ET"/>
    <w:docVar w:name="LW_LEVEL_OF_SENSITIVITY" w:val="Standard treatment"/>
    <w:docVar w:name="LW_NOM.INST" w:val="EUROOPA KOMISJON"/>
    <w:docVar w:name="LW_NOM.INST_JOINTDOC" w:val="&lt;EMPTY&gt;"/>
    <w:docVar w:name="LW_PART_NBR" w:val="1"/>
    <w:docVar w:name="LW_PART_NBR_TOTAL" w:val="1"/>
    <w:docVar w:name="LW_REF.INST.NEW" w:val="COM"/>
    <w:docVar w:name="LW_REF.INST.NEW_ADOPTED" w:val="final"/>
    <w:docVar w:name="LW_REF.INST.NEW_TEXT" w:val="(2020) 63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ooduse seisund Euroopa Liidus _x000d__x000d__x000b__x000d__x000d__x000b_Aruanne linnudirektiivi ja elupaikade direktiiviga kaitstud liikide ja elupaigatüüpide kaitsestaatuse ja suundumuste kohta ajavahemikul 2013-2018&lt;FMT:Font=Calibri&gt;_x000d_&lt;/FMT&gt;_x000d__x000d__x000b_"/>
    <w:docVar w:name="LW_TYPE.DOC.CP" w:val="KOMISJONI ARUANNE EUROOPA PARLAMENDILE, NÕUKOGULE NING EUROOPA MAJANDUS- JA SOTSIAALKOMITEELE"/>
    <w:docVar w:name="Stamp" w:val="\\dossiers.dgt.cec.eu.int\dossiers\ENV\ENV-2020-01276\ENV-2020-01276-00-00-EN-EDT-00.20200814150325524594.DOCX"/>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120" w:after="120" w:line="240" w:lineRule="auto"/>
      <w:ind w:left="720" w:hanging="720"/>
      <w:jc w:val="both"/>
      <w:outlineLvl w:val="2"/>
    </w:pPr>
    <w:rPr>
      <w:rFonts w:eastAsia="ヒラギノ角ゴ Pro W3" w:cstheme="majorBidi"/>
      <w:b/>
      <w:i/>
      <w:iCs/>
      <w:color w:val="17365D"/>
      <w:sz w:val="24"/>
      <w:szCs w:val="24"/>
    </w:rPr>
  </w:style>
  <w:style w:type="paragraph" w:styleId="Heading8">
    <w:name w:val="heading 8"/>
    <w:basedOn w:val="Normal"/>
    <w:next w:val="Normal"/>
    <w:link w:val="Heading8Char"/>
    <w:uiPriority w:val="9"/>
    <w:semiHidden/>
    <w:unhideWhenUsed/>
    <w:qFormat/>
    <w:pPr>
      <w:keepNext/>
      <w:keepLines/>
      <w:spacing w:before="40" w:after="0" w:line="240" w:lineRule="auto"/>
      <w:ind w:left="1440" w:hanging="1440"/>
      <w:jc w:val="both"/>
      <w:outlineLvl w:val="7"/>
    </w:pPr>
    <w:rPr>
      <w:rFonts w:asciiTheme="majorHAnsi" w:eastAsiaTheme="majorEastAsia" w:hAnsiTheme="majorHAnsi" w:cstheme="majorBidi"/>
      <w:iCs/>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spacing w:before="40" w:after="0" w:line="240" w:lineRule="auto"/>
      <w:ind w:left="1584" w:hanging="1584"/>
      <w:jc w:val="both"/>
      <w:outlineLvl w:val="8"/>
    </w:pPr>
    <w:rPr>
      <w:rFonts w:asciiTheme="majorHAnsi" w:eastAsiaTheme="majorEastAsia" w:hAnsiTheme="majorHAnsi" w:cstheme="majorBidi"/>
      <w: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e de liste 2,Reference list,Bullet List Paragraph,List Paragraph1,Numbered Para 1,Dot pt,No Spacing1,List Paragraph Char Char Char,Indicator Text,Bullet 1,Bullet Points,MAIN CONTENT,List Paragraph12,F5 List Paragraph,Heading 2_sj"/>
    <w:basedOn w:val="Normal"/>
    <w:link w:val="ListParagraphChar"/>
    <w:uiPriority w:val="34"/>
    <w:qFormat/>
    <w:pPr>
      <w:ind w:left="720"/>
      <w:contextualSpacing/>
    </w:pPr>
  </w:style>
  <w:style w:type="table" w:styleId="TableGrid">
    <w:name w:val="Table Grid"/>
    <w:aliases w:val="Table Format 1,HTG"/>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Table legend,Tab_Überschrift,Figure reference,Char Char,Char Char Char,Caption1 Char Char Char Char Char Char Char Char Tegn Tegn Tegn Tegn Tegn,Caption1 Char Char Char Char Char Char Char Char Tegn Tegn Tegn,F10 Table Figure and Chart Tit"/>
    <w:basedOn w:val="Normal"/>
    <w:next w:val="Normal"/>
    <w:link w:val="CaptionChar"/>
    <w:autoRedefine/>
    <w:unhideWhenUsed/>
    <w:qFormat/>
    <w:pPr>
      <w:keepNext/>
      <w:framePr w:hSpace="141" w:wrap="around" w:vAnchor="text" w:hAnchor="margin" w:y="179"/>
      <w:spacing w:after="120" w:line="240" w:lineRule="auto"/>
      <w:jc w:val="center"/>
    </w:pPr>
    <w:rPr>
      <w:rFonts w:ascii="Times New Roman" w:eastAsia="ヒラギノ角ゴ Pro W3" w:hAnsi="Times New Roman" w:cs="Times New Roman"/>
      <w:b/>
      <w:sz w:val="20"/>
      <w:szCs w:val="20"/>
    </w:rPr>
  </w:style>
  <w:style w:type="character" w:styleId="EndnoteReference">
    <w:name w:val="endnote reference"/>
    <w:basedOn w:val="DefaultParagraphFont"/>
    <w:uiPriority w:val="99"/>
    <w:semiHidden/>
    <w:unhideWhenUsed/>
    <w:rPr>
      <w:vertAlign w:val="superscript"/>
    </w:rPr>
  </w:style>
  <w:style w:type="character" w:customStyle="1" w:styleId="CaptionChar">
    <w:name w:val="Caption Char"/>
    <w:aliases w:val="Table legend Char,Tab_Überschrift Char,Figure reference Char,Char Char Char1,Char Char Char Char,Caption1 Char Char Char Char Char Char Char Char Tegn Tegn Tegn Tegn Tegn Char,F10 Table Figure and Chart Tit Char"/>
    <w:basedOn w:val="DefaultParagraphFont"/>
    <w:link w:val="Caption"/>
    <w:locked/>
    <w:rPr>
      <w:rFonts w:ascii="Times New Roman" w:eastAsia="ヒラギノ角ゴ Pro W3" w:hAnsi="Times New Roman" w:cs="Times New Roman"/>
      <w:b/>
      <w:sz w:val="20"/>
      <w:szCs w:val="2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pPr>
      <w:spacing w:before="360" w:after="360" w:line="240" w:lineRule="auto"/>
      <w:ind w:left="360"/>
      <w:jc w:val="both"/>
    </w:pPr>
    <w:rPr>
      <w:rFonts w:asciiTheme="minorHAnsi" w:eastAsia="ヒラギノ角ゴ Pro W3" w:hAnsiTheme="minorHAnsi" w:cs="Times New Roman"/>
      <w:b/>
      <w:iCs/>
      <w:color w:val="17365D"/>
      <w:sz w:val="24"/>
      <w:szCs w:val="24"/>
    </w:rPr>
  </w:style>
  <w:style w:type="paragraph" w:customStyle="1" w:styleId="Style2-Annex">
    <w:name w:val="Style2 - Annex"/>
    <w:basedOn w:val="Heading2"/>
    <w:next w:val="Normal"/>
    <w:qFormat/>
    <w:pPr>
      <w:numPr>
        <w:numId w:val="2"/>
      </w:numPr>
      <w:spacing w:before="240" w:after="240" w:line="240" w:lineRule="auto"/>
      <w:ind w:left="1440" w:hanging="360"/>
      <w:jc w:val="both"/>
    </w:pPr>
    <w:rPr>
      <w:rFonts w:asciiTheme="minorHAnsi" w:eastAsia="ヒラギノ角ゴ Pro W3" w:hAnsiTheme="minorHAnsi"/>
      <w:b/>
      <w:iCs/>
      <w:color w:val="17365D"/>
      <w:sz w:val="28"/>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aliases w:val="Paragraphe de liste 2 Char,Reference list Char,Bullet List Paragraph Char,List Paragraph1 Char,Numbered Para 1 Char,Dot pt Char,No Spacing1 Char,List Paragraph Char Char Char Char,Indicator Text Char,Bullet 1 Char,Bullet Points Char"/>
    <w:basedOn w:val="DefaultParagraphFont"/>
    <w:link w:val="ListParagraph"/>
    <w:uiPriority w:val="34"/>
    <w:qFormat/>
    <w:locked/>
  </w:style>
  <w:style w:type="character" w:customStyle="1" w:styleId="Heading3Char">
    <w:name w:val="Heading 3 Char"/>
    <w:basedOn w:val="DefaultParagraphFont"/>
    <w:link w:val="Heading3"/>
    <w:uiPriority w:val="9"/>
    <w:rPr>
      <w:rFonts w:eastAsia="ヒラギノ角ゴ Pro W3" w:cstheme="majorBidi"/>
      <w:b/>
      <w:i/>
      <w:iCs/>
      <w:color w:val="17365D"/>
      <w:sz w:val="24"/>
      <w:szCs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Cs/>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color w:val="272727" w:themeColor="text1" w:themeTint="D8"/>
      <w:sz w:val="21"/>
      <w:szCs w:val="21"/>
    </w:rPr>
  </w:style>
  <w:style w:type="paragraph" w:styleId="FootnoteText">
    <w:name w:val="footnote text"/>
    <w:basedOn w:val="Normal"/>
    <w:uiPriority w:val="99"/>
    <w:unhideWhenUsed/>
    <w:pPr>
      <w:spacing w:after="0" w:line="240" w:lineRule="auto"/>
      <w:jc w:val="both"/>
    </w:pPr>
    <w:rPr>
      <w:rFonts w:eastAsia="ヒラギノ角ゴ Pro W3" w:cs="Times New Roman"/>
      <w:iCs/>
      <w:szCs w:val="20"/>
    </w:rPr>
  </w:style>
  <w:style w:type="character" w:customStyle="1" w:styleId="FootnoteTextChar">
    <w:name w:val="Footnote Text Char"/>
    <w:basedOn w:val="DefaultParagraphFont"/>
    <w:uiPriority w:val="99"/>
    <w:rPr>
      <w:rFonts w:eastAsia="ヒラギノ角ゴ Pro W3" w:cs="Times New Roman"/>
      <w:iCs/>
      <w:szCs w:val="20"/>
    </w:rPr>
  </w:style>
  <w:style w:type="character" w:styleId="FootnoteReference">
    <w:name w:val="footnote reference"/>
    <w:basedOn w:val="DefaultParagraphFont"/>
    <w:uiPriority w:val="99"/>
    <w:unhideWhenUsed/>
    <w:rPr>
      <w:vertAlign w:val="superscript"/>
    </w:rPr>
  </w:style>
  <w:style w:type="table" w:customStyle="1" w:styleId="HTG1">
    <w:name w:val="HTG1"/>
    <w:basedOn w:val="TableNormal"/>
    <w:next w:val="TableGrid"/>
    <w:uiPriority w:val="5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HTG2">
    <w:name w:val="HTG2"/>
    <w:basedOn w:val="TableNormal"/>
    <w:next w:val="TableGrid"/>
    <w:uiPriority w:val="5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G3">
    <w:name w:val="HTG3"/>
    <w:basedOn w:val="TableNormal"/>
    <w:next w:val="TableGrid"/>
    <w:uiPriority w:val="5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G4">
    <w:name w:val="HTG4"/>
    <w:basedOn w:val="TableNormal"/>
    <w:next w:val="TableGrid"/>
    <w:uiPriority w:val="5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G5">
    <w:name w:val="HTG5"/>
    <w:basedOn w:val="TableNormal"/>
    <w:next w:val="TableGrid"/>
    <w:uiPriority w:val="5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G6">
    <w:name w:val="HTG6"/>
    <w:basedOn w:val="TableNormal"/>
    <w:next w:val="TableGrid"/>
    <w:uiPriority w:val="5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pPr>
      <w:spacing w:after="0" w:line="240" w:lineRule="auto"/>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odyText">
    <w:name w:val="Body Text"/>
    <w:aliases w:val="EEA - Body Text"/>
    <w:basedOn w:val="Normal"/>
    <w:link w:val="BodyTextChar"/>
    <w:autoRedefine/>
    <w:qFormat/>
    <w:pPr>
      <w:numPr>
        <w:numId w:val="7"/>
      </w:numPr>
      <w:spacing w:after="160" w:line="259" w:lineRule="auto"/>
    </w:pPr>
    <w:rPr>
      <w:rFonts w:eastAsia="ヒラギノ角ゴ Pro W3" w:cs="Times New Roman"/>
      <w:color w:val="000000"/>
      <w:szCs w:val="20"/>
      <w:lang w:eastAsia="en-GB"/>
    </w:rPr>
  </w:style>
  <w:style w:type="character" w:customStyle="1" w:styleId="BodyTextChar">
    <w:name w:val="Body Text Char"/>
    <w:aliases w:val="EEA - Body Text Char"/>
    <w:basedOn w:val="DefaultParagraphFont"/>
    <w:link w:val="BodyText"/>
    <w:rPr>
      <w:rFonts w:eastAsia="ヒラギノ角ゴ Pro W3" w:cs="Times New Roman"/>
      <w:color w:val="000000"/>
      <w:szCs w:val="20"/>
      <w:lang w:eastAsia="en-GB"/>
    </w:rPr>
  </w:style>
  <w:style w:type="table" w:customStyle="1" w:styleId="HTG7">
    <w:name w:val="HTG7"/>
    <w:basedOn w:val="TableNormal"/>
    <w:next w:val="TableGrid"/>
    <w:uiPriority w:val="5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contextualSpacing/>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contextualSpacing/>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contextualSpacing/>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contextualSpacing/>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contextualSpacing/>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120" w:after="120" w:line="240" w:lineRule="auto"/>
      <w:ind w:left="720" w:hanging="720"/>
      <w:jc w:val="both"/>
      <w:outlineLvl w:val="2"/>
    </w:pPr>
    <w:rPr>
      <w:rFonts w:eastAsia="ヒラギノ角ゴ Pro W3" w:cstheme="majorBidi"/>
      <w:b/>
      <w:i/>
      <w:iCs/>
      <w:color w:val="17365D"/>
      <w:sz w:val="24"/>
      <w:szCs w:val="24"/>
    </w:rPr>
  </w:style>
  <w:style w:type="paragraph" w:styleId="Heading8">
    <w:name w:val="heading 8"/>
    <w:basedOn w:val="Normal"/>
    <w:next w:val="Normal"/>
    <w:link w:val="Heading8Char"/>
    <w:uiPriority w:val="9"/>
    <w:semiHidden/>
    <w:unhideWhenUsed/>
    <w:qFormat/>
    <w:pPr>
      <w:keepNext/>
      <w:keepLines/>
      <w:spacing w:before="40" w:after="0" w:line="240" w:lineRule="auto"/>
      <w:ind w:left="1440" w:hanging="1440"/>
      <w:jc w:val="both"/>
      <w:outlineLvl w:val="7"/>
    </w:pPr>
    <w:rPr>
      <w:rFonts w:asciiTheme="majorHAnsi" w:eastAsiaTheme="majorEastAsia" w:hAnsiTheme="majorHAnsi" w:cstheme="majorBidi"/>
      <w:iCs/>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spacing w:before="40" w:after="0" w:line="240" w:lineRule="auto"/>
      <w:ind w:left="1584" w:hanging="1584"/>
      <w:jc w:val="both"/>
      <w:outlineLvl w:val="8"/>
    </w:pPr>
    <w:rPr>
      <w:rFonts w:asciiTheme="majorHAnsi" w:eastAsiaTheme="majorEastAsia" w:hAnsiTheme="majorHAnsi" w:cstheme="majorBidi"/>
      <w: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e de liste 2,Reference list,Bullet List Paragraph,List Paragraph1,Numbered Para 1,Dot pt,No Spacing1,List Paragraph Char Char Char,Indicator Text,Bullet 1,Bullet Points,MAIN CONTENT,List Paragraph12,F5 List Paragraph,Heading 2_sj"/>
    <w:basedOn w:val="Normal"/>
    <w:link w:val="ListParagraphChar"/>
    <w:uiPriority w:val="34"/>
    <w:qFormat/>
    <w:pPr>
      <w:ind w:left="720"/>
      <w:contextualSpacing/>
    </w:pPr>
  </w:style>
  <w:style w:type="table" w:styleId="TableGrid">
    <w:name w:val="Table Grid"/>
    <w:aliases w:val="Table Format 1,HTG"/>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Table legend,Tab_Überschrift,Figure reference,Char Char,Char Char Char,Caption1 Char Char Char Char Char Char Char Char Tegn Tegn Tegn Tegn Tegn,Caption1 Char Char Char Char Char Char Char Char Tegn Tegn Tegn,F10 Table Figure and Chart Tit"/>
    <w:basedOn w:val="Normal"/>
    <w:next w:val="Normal"/>
    <w:link w:val="CaptionChar"/>
    <w:autoRedefine/>
    <w:unhideWhenUsed/>
    <w:qFormat/>
    <w:pPr>
      <w:keepNext/>
      <w:framePr w:hSpace="141" w:wrap="around" w:vAnchor="text" w:hAnchor="margin" w:y="179"/>
      <w:spacing w:after="120" w:line="240" w:lineRule="auto"/>
      <w:jc w:val="center"/>
    </w:pPr>
    <w:rPr>
      <w:rFonts w:ascii="Times New Roman" w:eastAsia="ヒラギノ角ゴ Pro W3" w:hAnsi="Times New Roman" w:cs="Times New Roman"/>
      <w:b/>
      <w:sz w:val="20"/>
      <w:szCs w:val="20"/>
    </w:rPr>
  </w:style>
  <w:style w:type="character" w:styleId="EndnoteReference">
    <w:name w:val="endnote reference"/>
    <w:basedOn w:val="DefaultParagraphFont"/>
    <w:uiPriority w:val="99"/>
    <w:semiHidden/>
    <w:unhideWhenUsed/>
    <w:rPr>
      <w:vertAlign w:val="superscript"/>
    </w:rPr>
  </w:style>
  <w:style w:type="character" w:customStyle="1" w:styleId="CaptionChar">
    <w:name w:val="Caption Char"/>
    <w:aliases w:val="Table legend Char,Tab_Überschrift Char,Figure reference Char,Char Char Char1,Char Char Char Char,Caption1 Char Char Char Char Char Char Char Char Tegn Tegn Tegn Tegn Tegn Char,F10 Table Figure and Chart Tit Char"/>
    <w:basedOn w:val="DefaultParagraphFont"/>
    <w:link w:val="Caption"/>
    <w:locked/>
    <w:rPr>
      <w:rFonts w:ascii="Times New Roman" w:eastAsia="ヒラギノ角ゴ Pro W3" w:hAnsi="Times New Roman" w:cs="Times New Roman"/>
      <w:b/>
      <w:sz w:val="20"/>
      <w:szCs w:val="2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pPr>
      <w:spacing w:before="360" w:after="360" w:line="240" w:lineRule="auto"/>
      <w:ind w:left="360"/>
      <w:jc w:val="both"/>
    </w:pPr>
    <w:rPr>
      <w:rFonts w:asciiTheme="minorHAnsi" w:eastAsia="ヒラギノ角ゴ Pro W3" w:hAnsiTheme="minorHAnsi" w:cs="Times New Roman"/>
      <w:b/>
      <w:iCs/>
      <w:color w:val="17365D"/>
      <w:sz w:val="24"/>
      <w:szCs w:val="24"/>
    </w:rPr>
  </w:style>
  <w:style w:type="paragraph" w:customStyle="1" w:styleId="Style2-Annex">
    <w:name w:val="Style2 - Annex"/>
    <w:basedOn w:val="Heading2"/>
    <w:next w:val="Normal"/>
    <w:qFormat/>
    <w:pPr>
      <w:numPr>
        <w:numId w:val="2"/>
      </w:numPr>
      <w:spacing w:before="240" w:after="240" w:line="240" w:lineRule="auto"/>
      <w:ind w:left="1440" w:hanging="360"/>
      <w:jc w:val="both"/>
    </w:pPr>
    <w:rPr>
      <w:rFonts w:asciiTheme="minorHAnsi" w:eastAsia="ヒラギノ角ゴ Pro W3" w:hAnsiTheme="minorHAnsi"/>
      <w:b/>
      <w:iCs/>
      <w:color w:val="17365D"/>
      <w:sz w:val="28"/>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aliases w:val="Paragraphe de liste 2 Char,Reference list Char,Bullet List Paragraph Char,List Paragraph1 Char,Numbered Para 1 Char,Dot pt Char,No Spacing1 Char,List Paragraph Char Char Char Char,Indicator Text Char,Bullet 1 Char,Bullet Points Char"/>
    <w:basedOn w:val="DefaultParagraphFont"/>
    <w:link w:val="ListParagraph"/>
    <w:uiPriority w:val="34"/>
    <w:qFormat/>
    <w:locked/>
  </w:style>
  <w:style w:type="character" w:customStyle="1" w:styleId="Heading3Char">
    <w:name w:val="Heading 3 Char"/>
    <w:basedOn w:val="DefaultParagraphFont"/>
    <w:link w:val="Heading3"/>
    <w:uiPriority w:val="9"/>
    <w:rPr>
      <w:rFonts w:eastAsia="ヒラギノ角ゴ Pro W3" w:cstheme="majorBidi"/>
      <w:b/>
      <w:i/>
      <w:iCs/>
      <w:color w:val="17365D"/>
      <w:sz w:val="24"/>
      <w:szCs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Cs/>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color w:val="272727" w:themeColor="text1" w:themeTint="D8"/>
      <w:sz w:val="21"/>
      <w:szCs w:val="21"/>
    </w:rPr>
  </w:style>
  <w:style w:type="paragraph" w:styleId="FootnoteText">
    <w:name w:val="footnote text"/>
    <w:basedOn w:val="Normal"/>
    <w:uiPriority w:val="99"/>
    <w:unhideWhenUsed/>
    <w:pPr>
      <w:spacing w:after="0" w:line="240" w:lineRule="auto"/>
      <w:jc w:val="both"/>
    </w:pPr>
    <w:rPr>
      <w:rFonts w:eastAsia="ヒラギノ角ゴ Pro W3" w:cs="Times New Roman"/>
      <w:iCs/>
      <w:szCs w:val="20"/>
    </w:rPr>
  </w:style>
  <w:style w:type="character" w:customStyle="1" w:styleId="FootnoteTextChar">
    <w:name w:val="Footnote Text Char"/>
    <w:basedOn w:val="DefaultParagraphFont"/>
    <w:uiPriority w:val="99"/>
    <w:rPr>
      <w:rFonts w:eastAsia="ヒラギノ角ゴ Pro W3" w:cs="Times New Roman"/>
      <w:iCs/>
      <w:szCs w:val="20"/>
    </w:rPr>
  </w:style>
  <w:style w:type="character" w:styleId="FootnoteReference">
    <w:name w:val="footnote reference"/>
    <w:basedOn w:val="DefaultParagraphFont"/>
    <w:uiPriority w:val="99"/>
    <w:unhideWhenUsed/>
    <w:rPr>
      <w:vertAlign w:val="superscript"/>
    </w:rPr>
  </w:style>
  <w:style w:type="table" w:customStyle="1" w:styleId="HTG1">
    <w:name w:val="HTG1"/>
    <w:basedOn w:val="TableNormal"/>
    <w:next w:val="TableGrid"/>
    <w:uiPriority w:val="5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HTG2">
    <w:name w:val="HTG2"/>
    <w:basedOn w:val="TableNormal"/>
    <w:next w:val="TableGrid"/>
    <w:uiPriority w:val="5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G3">
    <w:name w:val="HTG3"/>
    <w:basedOn w:val="TableNormal"/>
    <w:next w:val="TableGrid"/>
    <w:uiPriority w:val="5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G4">
    <w:name w:val="HTG4"/>
    <w:basedOn w:val="TableNormal"/>
    <w:next w:val="TableGrid"/>
    <w:uiPriority w:val="5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G5">
    <w:name w:val="HTG5"/>
    <w:basedOn w:val="TableNormal"/>
    <w:next w:val="TableGrid"/>
    <w:uiPriority w:val="5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G6">
    <w:name w:val="HTG6"/>
    <w:basedOn w:val="TableNormal"/>
    <w:next w:val="TableGrid"/>
    <w:uiPriority w:val="5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pPr>
      <w:spacing w:after="0" w:line="240" w:lineRule="auto"/>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odyText">
    <w:name w:val="Body Text"/>
    <w:aliases w:val="EEA - Body Text"/>
    <w:basedOn w:val="Normal"/>
    <w:link w:val="BodyTextChar"/>
    <w:autoRedefine/>
    <w:qFormat/>
    <w:pPr>
      <w:numPr>
        <w:numId w:val="7"/>
      </w:numPr>
      <w:spacing w:after="160" w:line="259" w:lineRule="auto"/>
    </w:pPr>
    <w:rPr>
      <w:rFonts w:eastAsia="ヒラギノ角ゴ Pro W3" w:cs="Times New Roman"/>
      <w:color w:val="000000"/>
      <w:szCs w:val="20"/>
      <w:lang w:eastAsia="en-GB"/>
    </w:rPr>
  </w:style>
  <w:style w:type="character" w:customStyle="1" w:styleId="BodyTextChar">
    <w:name w:val="Body Text Char"/>
    <w:aliases w:val="EEA - Body Text Char"/>
    <w:basedOn w:val="DefaultParagraphFont"/>
    <w:link w:val="BodyText"/>
    <w:rPr>
      <w:rFonts w:eastAsia="ヒラギノ角ゴ Pro W3" w:cs="Times New Roman"/>
      <w:color w:val="000000"/>
      <w:szCs w:val="20"/>
      <w:lang w:eastAsia="en-GB"/>
    </w:rPr>
  </w:style>
  <w:style w:type="table" w:customStyle="1" w:styleId="HTG7">
    <w:name w:val="HTG7"/>
    <w:basedOn w:val="TableNormal"/>
    <w:next w:val="TableGrid"/>
    <w:uiPriority w:val="5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contextualSpacing/>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contextualSpacing/>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contextualSpacing/>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contextualSpacing/>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contextualSpacing/>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0593">
      <w:bodyDiv w:val="1"/>
      <w:marLeft w:val="0"/>
      <w:marRight w:val="0"/>
      <w:marTop w:val="0"/>
      <w:marBottom w:val="0"/>
      <w:divBdr>
        <w:top w:val="none" w:sz="0" w:space="0" w:color="auto"/>
        <w:left w:val="none" w:sz="0" w:space="0" w:color="auto"/>
        <w:bottom w:val="none" w:sz="0" w:space="0" w:color="auto"/>
        <w:right w:val="none" w:sz="0" w:space="0" w:color="auto"/>
      </w:divBdr>
      <w:divsChild>
        <w:div w:id="1396275877">
          <w:marLeft w:val="547"/>
          <w:marRight w:val="0"/>
          <w:marTop w:val="115"/>
          <w:marBottom w:val="0"/>
          <w:divBdr>
            <w:top w:val="none" w:sz="0" w:space="0" w:color="auto"/>
            <w:left w:val="none" w:sz="0" w:space="0" w:color="auto"/>
            <w:bottom w:val="none" w:sz="0" w:space="0" w:color="auto"/>
            <w:right w:val="none" w:sz="0" w:space="0" w:color="auto"/>
          </w:divBdr>
        </w:div>
        <w:div w:id="1548640616">
          <w:marLeft w:val="547"/>
          <w:marRight w:val="0"/>
          <w:marTop w:val="115"/>
          <w:marBottom w:val="0"/>
          <w:divBdr>
            <w:top w:val="none" w:sz="0" w:space="0" w:color="auto"/>
            <w:left w:val="none" w:sz="0" w:space="0" w:color="auto"/>
            <w:bottom w:val="none" w:sz="0" w:space="0" w:color="auto"/>
            <w:right w:val="none" w:sz="0" w:space="0" w:color="auto"/>
          </w:divBdr>
        </w:div>
      </w:divsChild>
    </w:div>
    <w:div w:id="144862763">
      <w:bodyDiv w:val="1"/>
      <w:marLeft w:val="0"/>
      <w:marRight w:val="0"/>
      <w:marTop w:val="0"/>
      <w:marBottom w:val="0"/>
      <w:divBdr>
        <w:top w:val="none" w:sz="0" w:space="0" w:color="auto"/>
        <w:left w:val="none" w:sz="0" w:space="0" w:color="auto"/>
        <w:bottom w:val="none" w:sz="0" w:space="0" w:color="auto"/>
        <w:right w:val="none" w:sz="0" w:space="0" w:color="auto"/>
      </w:divBdr>
      <w:divsChild>
        <w:div w:id="545064902">
          <w:marLeft w:val="547"/>
          <w:marRight w:val="0"/>
          <w:marTop w:val="86"/>
          <w:marBottom w:val="0"/>
          <w:divBdr>
            <w:top w:val="none" w:sz="0" w:space="0" w:color="auto"/>
            <w:left w:val="none" w:sz="0" w:space="0" w:color="auto"/>
            <w:bottom w:val="none" w:sz="0" w:space="0" w:color="auto"/>
            <w:right w:val="none" w:sz="0" w:space="0" w:color="auto"/>
          </w:divBdr>
        </w:div>
        <w:div w:id="1278416364">
          <w:marLeft w:val="547"/>
          <w:marRight w:val="0"/>
          <w:marTop w:val="86"/>
          <w:marBottom w:val="0"/>
          <w:divBdr>
            <w:top w:val="none" w:sz="0" w:space="0" w:color="auto"/>
            <w:left w:val="none" w:sz="0" w:space="0" w:color="auto"/>
            <w:bottom w:val="none" w:sz="0" w:space="0" w:color="auto"/>
            <w:right w:val="none" w:sz="0" w:space="0" w:color="auto"/>
          </w:divBdr>
        </w:div>
        <w:div w:id="1326938521">
          <w:marLeft w:val="547"/>
          <w:marRight w:val="0"/>
          <w:marTop w:val="86"/>
          <w:marBottom w:val="0"/>
          <w:divBdr>
            <w:top w:val="none" w:sz="0" w:space="0" w:color="auto"/>
            <w:left w:val="none" w:sz="0" w:space="0" w:color="auto"/>
            <w:bottom w:val="none" w:sz="0" w:space="0" w:color="auto"/>
            <w:right w:val="none" w:sz="0" w:space="0" w:color="auto"/>
          </w:divBdr>
        </w:div>
        <w:div w:id="1916235343">
          <w:marLeft w:val="547"/>
          <w:marRight w:val="0"/>
          <w:marTop w:val="86"/>
          <w:marBottom w:val="0"/>
          <w:divBdr>
            <w:top w:val="none" w:sz="0" w:space="0" w:color="auto"/>
            <w:left w:val="none" w:sz="0" w:space="0" w:color="auto"/>
            <w:bottom w:val="none" w:sz="0" w:space="0" w:color="auto"/>
            <w:right w:val="none" w:sz="0" w:space="0" w:color="auto"/>
          </w:divBdr>
        </w:div>
      </w:divsChild>
    </w:div>
    <w:div w:id="200896669">
      <w:bodyDiv w:val="1"/>
      <w:marLeft w:val="0"/>
      <w:marRight w:val="0"/>
      <w:marTop w:val="0"/>
      <w:marBottom w:val="0"/>
      <w:divBdr>
        <w:top w:val="none" w:sz="0" w:space="0" w:color="auto"/>
        <w:left w:val="none" w:sz="0" w:space="0" w:color="auto"/>
        <w:bottom w:val="none" w:sz="0" w:space="0" w:color="auto"/>
        <w:right w:val="none" w:sz="0" w:space="0" w:color="auto"/>
      </w:divBdr>
      <w:divsChild>
        <w:div w:id="510337513">
          <w:marLeft w:val="547"/>
          <w:marRight w:val="0"/>
          <w:marTop w:val="86"/>
          <w:marBottom w:val="0"/>
          <w:divBdr>
            <w:top w:val="none" w:sz="0" w:space="0" w:color="auto"/>
            <w:left w:val="none" w:sz="0" w:space="0" w:color="auto"/>
            <w:bottom w:val="none" w:sz="0" w:space="0" w:color="auto"/>
            <w:right w:val="none" w:sz="0" w:space="0" w:color="auto"/>
          </w:divBdr>
        </w:div>
        <w:div w:id="939870130">
          <w:marLeft w:val="547"/>
          <w:marRight w:val="0"/>
          <w:marTop w:val="86"/>
          <w:marBottom w:val="0"/>
          <w:divBdr>
            <w:top w:val="none" w:sz="0" w:space="0" w:color="auto"/>
            <w:left w:val="none" w:sz="0" w:space="0" w:color="auto"/>
            <w:bottom w:val="none" w:sz="0" w:space="0" w:color="auto"/>
            <w:right w:val="none" w:sz="0" w:space="0" w:color="auto"/>
          </w:divBdr>
        </w:div>
        <w:div w:id="1377852902">
          <w:marLeft w:val="547"/>
          <w:marRight w:val="0"/>
          <w:marTop w:val="86"/>
          <w:marBottom w:val="0"/>
          <w:divBdr>
            <w:top w:val="none" w:sz="0" w:space="0" w:color="auto"/>
            <w:left w:val="none" w:sz="0" w:space="0" w:color="auto"/>
            <w:bottom w:val="none" w:sz="0" w:space="0" w:color="auto"/>
            <w:right w:val="none" w:sz="0" w:space="0" w:color="auto"/>
          </w:divBdr>
        </w:div>
        <w:div w:id="2039156541">
          <w:marLeft w:val="547"/>
          <w:marRight w:val="0"/>
          <w:marTop w:val="86"/>
          <w:marBottom w:val="0"/>
          <w:divBdr>
            <w:top w:val="none" w:sz="0" w:space="0" w:color="auto"/>
            <w:left w:val="none" w:sz="0" w:space="0" w:color="auto"/>
            <w:bottom w:val="none" w:sz="0" w:space="0" w:color="auto"/>
            <w:right w:val="none" w:sz="0" w:space="0" w:color="auto"/>
          </w:divBdr>
        </w:div>
      </w:divsChild>
    </w:div>
    <w:div w:id="249657218">
      <w:bodyDiv w:val="1"/>
      <w:marLeft w:val="0"/>
      <w:marRight w:val="0"/>
      <w:marTop w:val="0"/>
      <w:marBottom w:val="0"/>
      <w:divBdr>
        <w:top w:val="none" w:sz="0" w:space="0" w:color="auto"/>
        <w:left w:val="none" w:sz="0" w:space="0" w:color="auto"/>
        <w:bottom w:val="none" w:sz="0" w:space="0" w:color="auto"/>
        <w:right w:val="none" w:sz="0" w:space="0" w:color="auto"/>
      </w:divBdr>
      <w:divsChild>
        <w:div w:id="30113353">
          <w:marLeft w:val="547"/>
          <w:marRight w:val="0"/>
          <w:marTop w:val="115"/>
          <w:marBottom w:val="0"/>
          <w:divBdr>
            <w:top w:val="none" w:sz="0" w:space="0" w:color="auto"/>
            <w:left w:val="none" w:sz="0" w:space="0" w:color="auto"/>
            <w:bottom w:val="none" w:sz="0" w:space="0" w:color="auto"/>
            <w:right w:val="none" w:sz="0" w:space="0" w:color="auto"/>
          </w:divBdr>
        </w:div>
        <w:div w:id="860321644">
          <w:marLeft w:val="547"/>
          <w:marRight w:val="0"/>
          <w:marTop w:val="115"/>
          <w:marBottom w:val="0"/>
          <w:divBdr>
            <w:top w:val="none" w:sz="0" w:space="0" w:color="auto"/>
            <w:left w:val="none" w:sz="0" w:space="0" w:color="auto"/>
            <w:bottom w:val="none" w:sz="0" w:space="0" w:color="auto"/>
            <w:right w:val="none" w:sz="0" w:space="0" w:color="auto"/>
          </w:divBdr>
        </w:div>
        <w:div w:id="1640962737">
          <w:marLeft w:val="547"/>
          <w:marRight w:val="0"/>
          <w:marTop w:val="115"/>
          <w:marBottom w:val="0"/>
          <w:divBdr>
            <w:top w:val="none" w:sz="0" w:space="0" w:color="auto"/>
            <w:left w:val="none" w:sz="0" w:space="0" w:color="auto"/>
            <w:bottom w:val="none" w:sz="0" w:space="0" w:color="auto"/>
            <w:right w:val="none" w:sz="0" w:space="0" w:color="auto"/>
          </w:divBdr>
        </w:div>
      </w:divsChild>
    </w:div>
    <w:div w:id="325283249">
      <w:bodyDiv w:val="1"/>
      <w:marLeft w:val="0"/>
      <w:marRight w:val="0"/>
      <w:marTop w:val="0"/>
      <w:marBottom w:val="0"/>
      <w:divBdr>
        <w:top w:val="none" w:sz="0" w:space="0" w:color="auto"/>
        <w:left w:val="none" w:sz="0" w:space="0" w:color="auto"/>
        <w:bottom w:val="none" w:sz="0" w:space="0" w:color="auto"/>
        <w:right w:val="none" w:sz="0" w:space="0" w:color="auto"/>
      </w:divBdr>
    </w:div>
    <w:div w:id="336231972">
      <w:bodyDiv w:val="1"/>
      <w:marLeft w:val="0"/>
      <w:marRight w:val="0"/>
      <w:marTop w:val="0"/>
      <w:marBottom w:val="0"/>
      <w:divBdr>
        <w:top w:val="none" w:sz="0" w:space="0" w:color="auto"/>
        <w:left w:val="none" w:sz="0" w:space="0" w:color="auto"/>
        <w:bottom w:val="none" w:sz="0" w:space="0" w:color="auto"/>
        <w:right w:val="none" w:sz="0" w:space="0" w:color="auto"/>
      </w:divBdr>
      <w:divsChild>
        <w:div w:id="23217114">
          <w:marLeft w:val="547"/>
          <w:marRight w:val="0"/>
          <w:marTop w:val="115"/>
          <w:marBottom w:val="0"/>
          <w:divBdr>
            <w:top w:val="none" w:sz="0" w:space="0" w:color="auto"/>
            <w:left w:val="none" w:sz="0" w:space="0" w:color="auto"/>
            <w:bottom w:val="none" w:sz="0" w:space="0" w:color="auto"/>
            <w:right w:val="none" w:sz="0" w:space="0" w:color="auto"/>
          </w:divBdr>
        </w:div>
        <w:div w:id="171919333">
          <w:marLeft w:val="547"/>
          <w:marRight w:val="0"/>
          <w:marTop w:val="115"/>
          <w:marBottom w:val="0"/>
          <w:divBdr>
            <w:top w:val="none" w:sz="0" w:space="0" w:color="auto"/>
            <w:left w:val="none" w:sz="0" w:space="0" w:color="auto"/>
            <w:bottom w:val="none" w:sz="0" w:space="0" w:color="auto"/>
            <w:right w:val="none" w:sz="0" w:space="0" w:color="auto"/>
          </w:divBdr>
        </w:div>
        <w:div w:id="401099658">
          <w:marLeft w:val="547"/>
          <w:marRight w:val="0"/>
          <w:marTop w:val="115"/>
          <w:marBottom w:val="0"/>
          <w:divBdr>
            <w:top w:val="none" w:sz="0" w:space="0" w:color="auto"/>
            <w:left w:val="none" w:sz="0" w:space="0" w:color="auto"/>
            <w:bottom w:val="none" w:sz="0" w:space="0" w:color="auto"/>
            <w:right w:val="none" w:sz="0" w:space="0" w:color="auto"/>
          </w:divBdr>
        </w:div>
        <w:div w:id="1676109372">
          <w:marLeft w:val="547"/>
          <w:marRight w:val="0"/>
          <w:marTop w:val="115"/>
          <w:marBottom w:val="0"/>
          <w:divBdr>
            <w:top w:val="none" w:sz="0" w:space="0" w:color="auto"/>
            <w:left w:val="none" w:sz="0" w:space="0" w:color="auto"/>
            <w:bottom w:val="none" w:sz="0" w:space="0" w:color="auto"/>
            <w:right w:val="none" w:sz="0" w:space="0" w:color="auto"/>
          </w:divBdr>
        </w:div>
      </w:divsChild>
    </w:div>
    <w:div w:id="453331561">
      <w:bodyDiv w:val="1"/>
      <w:marLeft w:val="0"/>
      <w:marRight w:val="0"/>
      <w:marTop w:val="0"/>
      <w:marBottom w:val="0"/>
      <w:divBdr>
        <w:top w:val="none" w:sz="0" w:space="0" w:color="auto"/>
        <w:left w:val="none" w:sz="0" w:space="0" w:color="auto"/>
        <w:bottom w:val="none" w:sz="0" w:space="0" w:color="auto"/>
        <w:right w:val="none" w:sz="0" w:space="0" w:color="auto"/>
      </w:divBdr>
      <w:divsChild>
        <w:div w:id="1973553213">
          <w:marLeft w:val="547"/>
          <w:marRight w:val="0"/>
          <w:marTop w:val="106"/>
          <w:marBottom w:val="0"/>
          <w:divBdr>
            <w:top w:val="none" w:sz="0" w:space="0" w:color="auto"/>
            <w:left w:val="none" w:sz="0" w:space="0" w:color="auto"/>
            <w:bottom w:val="none" w:sz="0" w:space="0" w:color="auto"/>
            <w:right w:val="none" w:sz="0" w:space="0" w:color="auto"/>
          </w:divBdr>
        </w:div>
        <w:div w:id="2004313609">
          <w:marLeft w:val="547"/>
          <w:marRight w:val="0"/>
          <w:marTop w:val="106"/>
          <w:marBottom w:val="0"/>
          <w:divBdr>
            <w:top w:val="none" w:sz="0" w:space="0" w:color="auto"/>
            <w:left w:val="none" w:sz="0" w:space="0" w:color="auto"/>
            <w:bottom w:val="none" w:sz="0" w:space="0" w:color="auto"/>
            <w:right w:val="none" w:sz="0" w:space="0" w:color="auto"/>
          </w:divBdr>
        </w:div>
      </w:divsChild>
    </w:div>
    <w:div w:id="482502114">
      <w:bodyDiv w:val="1"/>
      <w:marLeft w:val="0"/>
      <w:marRight w:val="0"/>
      <w:marTop w:val="0"/>
      <w:marBottom w:val="0"/>
      <w:divBdr>
        <w:top w:val="none" w:sz="0" w:space="0" w:color="auto"/>
        <w:left w:val="none" w:sz="0" w:space="0" w:color="auto"/>
        <w:bottom w:val="none" w:sz="0" w:space="0" w:color="auto"/>
        <w:right w:val="none" w:sz="0" w:space="0" w:color="auto"/>
      </w:divBdr>
      <w:divsChild>
        <w:div w:id="40180027">
          <w:marLeft w:val="547"/>
          <w:marRight w:val="0"/>
          <w:marTop w:val="86"/>
          <w:marBottom w:val="0"/>
          <w:divBdr>
            <w:top w:val="none" w:sz="0" w:space="0" w:color="auto"/>
            <w:left w:val="none" w:sz="0" w:space="0" w:color="auto"/>
            <w:bottom w:val="none" w:sz="0" w:space="0" w:color="auto"/>
            <w:right w:val="none" w:sz="0" w:space="0" w:color="auto"/>
          </w:divBdr>
        </w:div>
        <w:div w:id="128057585">
          <w:marLeft w:val="547"/>
          <w:marRight w:val="0"/>
          <w:marTop w:val="86"/>
          <w:marBottom w:val="0"/>
          <w:divBdr>
            <w:top w:val="none" w:sz="0" w:space="0" w:color="auto"/>
            <w:left w:val="none" w:sz="0" w:space="0" w:color="auto"/>
            <w:bottom w:val="none" w:sz="0" w:space="0" w:color="auto"/>
            <w:right w:val="none" w:sz="0" w:space="0" w:color="auto"/>
          </w:divBdr>
        </w:div>
        <w:div w:id="1065764765">
          <w:marLeft w:val="547"/>
          <w:marRight w:val="0"/>
          <w:marTop w:val="86"/>
          <w:marBottom w:val="0"/>
          <w:divBdr>
            <w:top w:val="none" w:sz="0" w:space="0" w:color="auto"/>
            <w:left w:val="none" w:sz="0" w:space="0" w:color="auto"/>
            <w:bottom w:val="none" w:sz="0" w:space="0" w:color="auto"/>
            <w:right w:val="none" w:sz="0" w:space="0" w:color="auto"/>
          </w:divBdr>
        </w:div>
        <w:div w:id="1819611068">
          <w:marLeft w:val="547"/>
          <w:marRight w:val="0"/>
          <w:marTop w:val="86"/>
          <w:marBottom w:val="0"/>
          <w:divBdr>
            <w:top w:val="none" w:sz="0" w:space="0" w:color="auto"/>
            <w:left w:val="none" w:sz="0" w:space="0" w:color="auto"/>
            <w:bottom w:val="none" w:sz="0" w:space="0" w:color="auto"/>
            <w:right w:val="none" w:sz="0" w:space="0" w:color="auto"/>
          </w:divBdr>
        </w:div>
      </w:divsChild>
    </w:div>
    <w:div w:id="631591434">
      <w:bodyDiv w:val="1"/>
      <w:marLeft w:val="0"/>
      <w:marRight w:val="0"/>
      <w:marTop w:val="0"/>
      <w:marBottom w:val="0"/>
      <w:divBdr>
        <w:top w:val="none" w:sz="0" w:space="0" w:color="auto"/>
        <w:left w:val="none" w:sz="0" w:space="0" w:color="auto"/>
        <w:bottom w:val="none" w:sz="0" w:space="0" w:color="auto"/>
        <w:right w:val="none" w:sz="0" w:space="0" w:color="auto"/>
      </w:divBdr>
      <w:divsChild>
        <w:div w:id="653536133">
          <w:marLeft w:val="446"/>
          <w:marRight w:val="0"/>
          <w:marTop w:val="77"/>
          <w:marBottom w:val="0"/>
          <w:divBdr>
            <w:top w:val="none" w:sz="0" w:space="0" w:color="auto"/>
            <w:left w:val="none" w:sz="0" w:space="0" w:color="auto"/>
            <w:bottom w:val="none" w:sz="0" w:space="0" w:color="auto"/>
            <w:right w:val="none" w:sz="0" w:space="0" w:color="auto"/>
          </w:divBdr>
        </w:div>
      </w:divsChild>
    </w:div>
    <w:div w:id="690108345">
      <w:bodyDiv w:val="1"/>
      <w:marLeft w:val="0"/>
      <w:marRight w:val="0"/>
      <w:marTop w:val="0"/>
      <w:marBottom w:val="0"/>
      <w:divBdr>
        <w:top w:val="none" w:sz="0" w:space="0" w:color="auto"/>
        <w:left w:val="none" w:sz="0" w:space="0" w:color="auto"/>
        <w:bottom w:val="none" w:sz="0" w:space="0" w:color="auto"/>
        <w:right w:val="none" w:sz="0" w:space="0" w:color="auto"/>
      </w:divBdr>
      <w:divsChild>
        <w:div w:id="424763518">
          <w:marLeft w:val="547"/>
          <w:marRight w:val="0"/>
          <w:marTop w:val="106"/>
          <w:marBottom w:val="0"/>
          <w:divBdr>
            <w:top w:val="none" w:sz="0" w:space="0" w:color="auto"/>
            <w:left w:val="none" w:sz="0" w:space="0" w:color="auto"/>
            <w:bottom w:val="none" w:sz="0" w:space="0" w:color="auto"/>
            <w:right w:val="none" w:sz="0" w:space="0" w:color="auto"/>
          </w:divBdr>
        </w:div>
        <w:div w:id="1799689502">
          <w:marLeft w:val="547"/>
          <w:marRight w:val="0"/>
          <w:marTop w:val="106"/>
          <w:marBottom w:val="0"/>
          <w:divBdr>
            <w:top w:val="none" w:sz="0" w:space="0" w:color="auto"/>
            <w:left w:val="none" w:sz="0" w:space="0" w:color="auto"/>
            <w:bottom w:val="none" w:sz="0" w:space="0" w:color="auto"/>
            <w:right w:val="none" w:sz="0" w:space="0" w:color="auto"/>
          </w:divBdr>
        </w:div>
        <w:div w:id="2100591369">
          <w:marLeft w:val="547"/>
          <w:marRight w:val="0"/>
          <w:marTop w:val="106"/>
          <w:marBottom w:val="0"/>
          <w:divBdr>
            <w:top w:val="none" w:sz="0" w:space="0" w:color="auto"/>
            <w:left w:val="none" w:sz="0" w:space="0" w:color="auto"/>
            <w:bottom w:val="none" w:sz="0" w:space="0" w:color="auto"/>
            <w:right w:val="none" w:sz="0" w:space="0" w:color="auto"/>
          </w:divBdr>
        </w:div>
      </w:divsChild>
    </w:div>
    <w:div w:id="692264281">
      <w:bodyDiv w:val="1"/>
      <w:marLeft w:val="0"/>
      <w:marRight w:val="0"/>
      <w:marTop w:val="0"/>
      <w:marBottom w:val="0"/>
      <w:divBdr>
        <w:top w:val="none" w:sz="0" w:space="0" w:color="auto"/>
        <w:left w:val="none" w:sz="0" w:space="0" w:color="auto"/>
        <w:bottom w:val="none" w:sz="0" w:space="0" w:color="auto"/>
        <w:right w:val="none" w:sz="0" w:space="0" w:color="auto"/>
      </w:divBdr>
      <w:divsChild>
        <w:div w:id="17390937">
          <w:marLeft w:val="720"/>
          <w:marRight w:val="0"/>
          <w:marTop w:val="96"/>
          <w:marBottom w:val="0"/>
          <w:divBdr>
            <w:top w:val="none" w:sz="0" w:space="0" w:color="auto"/>
            <w:left w:val="none" w:sz="0" w:space="0" w:color="auto"/>
            <w:bottom w:val="none" w:sz="0" w:space="0" w:color="auto"/>
            <w:right w:val="none" w:sz="0" w:space="0" w:color="auto"/>
          </w:divBdr>
        </w:div>
        <w:div w:id="534079233">
          <w:marLeft w:val="720"/>
          <w:marRight w:val="0"/>
          <w:marTop w:val="96"/>
          <w:marBottom w:val="0"/>
          <w:divBdr>
            <w:top w:val="none" w:sz="0" w:space="0" w:color="auto"/>
            <w:left w:val="none" w:sz="0" w:space="0" w:color="auto"/>
            <w:bottom w:val="none" w:sz="0" w:space="0" w:color="auto"/>
            <w:right w:val="none" w:sz="0" w:space="0" w:color="auto"/>
          </w:divBdr>
        </w:div>
        <w:div w:id="1340502661">
          <w:marLeft w:val="720"/>
          <w:marRight w:val="0"/>
          <w:marTop w:val="96"/>
          <w:marBottom w:val="0"/>
          <w:divBdr>
            <w:top w:val="none" w:sz="0" w:space="0" w:color="auto"/>
            <w:left w:val="none" w:sz="0" w:space="0" w:color="auto"/>
            <w:bottom w:val="none" w:sz="0" w:space="0" w:color="auto"/>
            <w:right w:val="none" w:sz="0" w:space="0" w:color="auto"/>
          </w:divBdr>
        </w:div>
      </w:divsChild>
    </w:div>
    <w:div w:id="725950733">
      <w:bodyDiv w:val="1"/>
      <w:marLeft w:val="0"/>
      <w:marRight w:val="0"/>
      <w:marTop w:val="0"/>
      <w:marBottom w:val="0"/>
      <w:divBdr>
        <w:top w:val="none" w:sz="0" w:space="0" w:color="auto"/>
        <w:left w:val="none" w:sz="0" w:space="0" w:color="auto"/>
        <w:bottom w:val="none" w:sz="0" w:space="0" w:color="auto"/>
        <w:right w:val="none" w:sz="0" w:space="0" w:color="auto"/>
      </w:divBdr>
      <w:divsChild>
        <w:div w:id="14501414">
          <w:marLeft w:val="547"/>
          <w:marRight w:val="0"/>
          <w:marTop w:val="115"/>
          <w:marBottom w:val="0"/>
          <w:divBdr>
            <w:top w:val="none" w:sz="0" w:space="0" w:color="auto"/>
            <w:left w:val="none" w:sz="0" w:space="0" w:color="auto"/>
            <w:bottom w:val="none" w:sz="0" w:space="0" w:color="auto"/>
            <w:right w:val="none" w:sz="0" w:space="0" w:color="auto"/>
          </w:divBdr>
        </w:div>
        <w:div w:id="159467209">
          <w:marLeft w:val="547"/>
          <w:marRight w:val="0"/>
          <w:marTop w:val="115"/>
          <w:marBottom w:val="0"/>
          <w:divBdr>
            <w:top w:val="none" w:sz="0" w:space="0" w:color="auto"/>
            <w:left w:val="none" w:sz="0" w:space="0" w:color="auto"/>
            <w:bottom w:val="none" w:sz="0" w:space="0" w:color="auto"/>
            <w:right w:val="none" w:sz="0" w:space="0" w:color="auto"/>
          </w:divBdr>
        </w:div>
        <w:div w:id="292565799">
          <w:marLeft w:val="547"/>
          <w:marRight w:val="0"/>
          <w:marTop w:val="115"/>
          <w:marBottom w:val="0"/>
          <w:divBdr>
            <w:top w:val="none" w:sz="0" w:space="0" w:color="auto"/>
            <w:left w:val="none" w:sz="0" w:space="0" w:color="auto"/>
            <w:bottom w:val="none" w:sz="0" w:space="0" w:color="auto"/>
            <w:right w:val="none" w:sz="0" w:space="0" w:color="auto"/>
          </w:divBdr>
        </w:div>
        <w:div w:id="1409767493">
          <w:marLeft w:val="547"/>
          <w:marRight w:val="0"/>
          <w:marTop w:val="115"/>
          <w:marBottom w:val="0"/>
          <w:divBdr>
            <w:top w:val="none" w:sz="0" w:space="0" w:color="auto"/>
            <w:left w:val="none" w:sz="0" w:space="0" w:color="auto"/>
            <w:bottom w:val="none" w:sz="0" w:space="0" w:color="auto"/>
            <w:right w:val="none" w:sz="0" w:space="0" w:color="auto"/>
          </w:divBdr>
        </w:div>
      </w:divsChild>
    </w:div>
    <w:div w:id="833759114">
      <w:bodyDiv w:val="1"/>
      <w:marLeft w:val="0"/>
      <w:marRight w:val="0"/>
      <w:marTop w:val="0"/>
      <w:marBottom w:val="0"/>
      <w:divBdr>
        <w:top w:val="none" w:sz="0" w:space="0" w:color="auto"/>
        <w:left w:val="none" w:sz="0" w:space="0" w:color="auto"/>
        <w:bottom w:val="none" w:sz="0" w:space="0" w:color="auto"/>
        <w:right w:val="none" w:sz="0" w:space="0" w:color="auto"/>
      </w:divBdr>
      <w:divsChild>
        <w:div w:id="10306345">
          <w:marLeft w:val="547"/>
          <w:marRight w:val="0"/>
          <w:marTop w:val="96"/>
          <w:marBottom w:val="0"/>
          <w:divBdr>
            <w:top w:val="none" w:sz="0" w:space="0" w:color="auto"/>
            <w:left w:val="none" w:sz="0" w:space="0" w:color="auto"/>
            <w:bottom w:val="none" w:sz="0" w:space="0" w:color="auto"/>
            <w:right w:val="none" w:sz="0" w:space="0" w:color="auto"/>
          </w:divBdr>
        </w:div>
        <w:div w:id="143665433">
          <w:marLeft w:val="547"/>
          <w:marRight w:val="0"/>
          <w:marTop w:val="96"/>
          <w:marBottom w:val="0"/>
          <w:divBdr>
            <w:top w:val="none" w:sz="0" w:space="0" w:color="auto"/>
            <w:left w:val="none" w:sz="0" w:space="0" w:color="auto"/>
            <w:bottom w:val="none" w:sz="0" w:space="0" w:color="auto"/>
            <w:right w:val="none" w:sz="0" w:space="0" w:color="auto"/>
          </w:divBdr>
        </w:div>
        <w:div w:id="1185173507">
          <w:marLeft w:val="547"/>
          <w:marRight w:val="0"/>
          <w:marTop w:val="96"/>
          <w:marBottom w:val="0"/>
          <w:divBdr>
            <w:top w:val="none" w:sz="0" w:space="0" w:color="auto"/>
            <w:left w:val="none" w:sz="0" w:space="0" w:color="auto"/>
            <w:bottom w:val="none" w:sz="0" w:space="0" w:color="auto"/>
            <w:right w:val="none" w:sz="0" w:space="0" w:color="auto"/>
          </w:divBdr>
        </w:div>
        <w:div w:id="1677538199">
          <w:marLeft w:val="547"/>
          <w:marRight w:val="0"/>
          <w:marTop w:val="96"/>
          <w:marBottom w:val="0"/>
          <w:divBdr>
            <w:top w:val="none" w:sz="0" w:space="0" w:color="auto"/>
            <w:left w:val="none" w:sz="0" w:space="0" w:color="auto"/>
            <w:bottom w:val="none" w:sz="0" w:space="0" w:color="auto"/>
            <w:right w:val="none" w:sz="0" w:space="0" w:color="auto"/>
          </w:divBdr>
        </w:div>
      </w:divsChild>
    </w:div>
    <w:div w:id="968512392">
      <w:bodyDiv w:val="1"/>
      <w:marLeft w:val="0"/>
      <w:marRight w:val="0"/>
      <w:marTop w:val="0"/>
      <w:marBottom w:val="0"/>
      <w:divBdr>
        <w:top w:val="none" w:sz="0" w:space="0" w:color="auto"/>
        <w:left w:val="none" w:sz="0" w:space="0" w:color="auto"/>
        <w:bottom w:val="none" w:sz="0" w:space="0" w:color="auto"/>
        <w:right w:val="none" w:sz="0" w:space="0" w:color="auto"/>
      </w:divBdr>
      <w:divsChild>
        <w:div w:id="8220587">
          <w:marLeft w:val="446"/>
          <w:marRight w:val="0"/>
          <w:marTop w:val="86"/>
          <w:marBottom w:val="0"/>
          <w:divBdr>
            <w:top w:val="none" w:sz="0" w:space="0" w:color="auto"/>
            <w:left w:val="none" w:sz="0" w:space="0" w:color="auto"/>
            <w:bottom w:val="none" w:sz="0" w:space="0" w:color="auto"/>
            <w:right w:val="none" w:sz="0" w:space="0" w:color="auto"/>
          </w:divBdr>
        </w:div>
        <w:div w:id="26297765">
          <w:marLeft w:val="446"/>
          <w:marRight w:val="0"/>
          <w:marTop w:val="0"/>
          <w:marBottom w:val="0"/>
          <w:divBdr>
            <w:top w:val="none" w:sz="0" w:space="0" w:color="auto"/>
            <w:left w:val="none" w:sz="0" w:space="0" w:color="auto"/>
            <w:bottom w:val="none" w:sz="0" w:space="0" w:color="auto"/>
            <w:right w:val="none" w:sz="0" w:space="0" w:color="auto"/>
          </w:divBdr>
        </w:div>
        <w:div w:id="604193114">
          <w:marLeft w:val="446"/>
          <w:marRight w:val="0"/>
          <w:marTop w:val="86"/>
          <w:marBottom w:val="0"/>
          <w:divBdr>
            <w:top w:val="none" w:sz="0" w:space="0" w:color="auto"/>
            <w:left w:val="none" w:sz="0" w:space="0" w:color="auto"/>
            <w:bottom w:val="none" w:sz="0" w:space="0" w:color="auto"/>
            <w:right w:val="none" w:sz="0" w:space="0" w:color="auto"/>
          </w:divBdr>
        </w:div>
        <w:div w:id="891380635">
          <w:marLeft w:val="446"/>
          <w:marRight w:val="0"/>
          <w:marTop w:val="86"/>
          <w:marBottom w:val="0"/>
          <w:divBdr>
            <w:top w:val="none" w:sz="0" w:space="0" w:color="auto"/>
            <w:left w:val="none" w:sz="0" w:space="0" w:color="auto"/>
            <w:bottom w:val="none" w:sz="0" w:space="0" w:color="auto"/>
            <w:right w:val="none" w:sz="0" w:space="0" w:color="auto"/>
          </w:divBdr>
        </w:div>
        <w:div w:id="1326855853">
          <w:marLeft w:val="446"/>
          <w:marRight w:val="0"/>
          <w:marTop w:val="86"/>
          <w:marBottom w:val="0"/>
          <w:divBdr>
            <w:top w:val="none" w:sz="0" w:space="0" w:color="auto"/>
            <w:left w:val="none" w:sz="0" w:space="0" w:color="auto"/>
            <w:bottom w:val="none" w:sz="0" w:space="0" w:color="auto"/>
            <w:right w:val="none" w:sz="0" w:space="0" w:color="auto"/>
          </w:divBdr>
        </w:div>
        <w:div w:id="1652755591">
          <w:marLeft w:val="446"/>
          <w:marRight w:val="0"/>
          <w:marTop w:val="0"/>
          <w:marBottom w:val="0"/>
          <w:divBdr>
            <w:top w:val="none" w:sz="0" w:space="0" w:color="auto"/>
            <w:left w:val="none" w:sz="0" w:space="0" w:color="auto"/>
            <w:bottom w:val="none" w:sz="0" w:space="0" w:color="auto"/>
            <w:right w:val="none" w:sz="0" w:space="0" w:color="auto"/>
          </w:divBdr>
        </w:div>
      </w:divsChild>
    </w:div>
    <w:div w:id="992488102">
      <w:bodyDiv w:val="1"/>
      <w:marLeft w:val="0"/>
      <w:marRight w:val="0"/>
      <w:marTop w:val="0"/>
      <w:marBottom w:val="0"/>
      <w:divBdr>
        <w:top w:val="none" w:sz="0" w:space="0" w:color="auto"/>
        <w:left w:val="none" w:sz="0" w:space="0" w:color="auto"/>
        <w:bottom w:val="none" w:sz="0" w:space="0" w:color="auto"/>
        <w:right w:val="none" w:sz="0" w:space="0" w:color="auto"/>
      </w:divBdr>
      <w:divsChild>
        <w:div w:id="118306263">
          <w:marLeft w:val="547"/>
          <w:marRight w:val="0"/>
          <w:marTop w:val="82"/>
          <w:marBottom w:val="0"/>
          <w:divBdr>
            <w:top w:val="none" w:sz="0" w:space="0" w:color="auto"/>
            <w:left w:val="none" w:sz="0" w:space="0" w:color="auto"/>
            <w:bottom w:val="none" w:sz="0" w:space="0" w:color="auto"/>
            <w:right w:val="none" w:sz="0" w:space="0" w:color="auto"/>
          </w:divBdr>
        </w:div>
        <w:div w:id="306446346">
          <w:marLeft w:val="446"/>
          <w:marRight w:val="0"/>
          <w:marTop w:val="82"/>
          <w:marBottom w:val="0"/>
          <w:divBdr>
            <w:top w:val="none" w:sz="0" w:space="0" w:color="auto"/>
            <w:left w:val="none" w:sz="0" w:space="0" w:color="auto"/>
            <w:bottom w:val="none" w:sz="0" w:space="0" w:color="auto"/>
            <w:right w:val="none" w:sz="0" w:space="0" w:color="auto"/>
          </w:divBdr>
        </w:div>
        <w:div w:id="413090796">
          <w:marLeft w:val="547"/>
          <w:marRight w:val="0"/>
          <w:marTop w:val="82"/>
          <w:marBottom w:val="0"/>
          <w:divBdr>
            <w:top w:val="none" w:sz="0" w:space="0" w:color="auto"/>
            <w:left w:val="none" w:sz="0" w:space="0" w:color="auto"/>
            <w:bottom w:val="none" w:sz="0" w:space="0" w:color="auto"/>
            <w:right w:val="none" w:sz="0" w:space="0" w:color="auto"/>
          </w:divBdr>
        </w:div>
        <w:div w:id="505051249">
          <w:marLeft w:val="547"/>
          <w:marRight w:val="0"/>
          <w:marTop w:val="82"/>
          <w:marBottom w:val="0"/>
          <w:divBdr>
            <w:top w:val="none" w:sz="0" w:space="0" w:color="auto"/>
            <w:left w:val="none" w:sz="0" w:space="0" w:color="auto"/>
            <w:bottom w:val="none" w:sz="0" w:space="0" w:color="auto"/>
            <w:right w:val="none" w:sz="0" w:space="0" w:color="auto"/>
          </w:divBdr>
        </w:div>
        <w:div w:id="560796562">
          <w:marLeft w:val="547"/>
          <w:marRight w:val="0"/>
          <w:marTop w:val="82"/>
          <w:marBottom w:val="0"/>
          <w:divBdr>
            <w:top w:val="none" w:sz="0" w:space="0" w:color="auto"/>
            <w:left w:val="none" w:sz="0" w:space="0" w:color="auto"/>
            <w:bottom w:val="none" w:sz="0" w:space="0" w:color="auto"/>
            <w:right w:val="none" w:sz="0" w:space="0" w:color="auto"/>
          </w:divBdr>
        </w:div>
        <w:div w:id="666443388">
          <w:marLeft w:val="547"/>
          <w:marRight w:val="0"/>
          <w:marTop w:val="82"/>
          <w:marBottom w:val="0"/>
          <w:divBdr>
            <w:top w:val="none" w:sz="0" w:space="0" w:color="auto"/>
            <w:left w:val="none" w:sz="0" w:space="0" w:color="auto"/>
            <w:bottom w:val="none" w:sz="0" w:space="0" w:color="auto"/>
            <w:right w:val="none" w:sz="0" w:space="0" w:color="auto"/>
          </w:divBdr>
        </w:div>
        <w:div w:id="1540821205">
          <w:marLeft w:val="547"/>
          <w:marRight w:val="0"/>
          <w:marTop w:val="82"/>
          <w:marBottom w:val="0"/>
          <w:divBdr>
            <w:top w:val="none" w:sz="0" w:space="0" w:color="auto"/>
            <w:left w:val="none" w:sz="0" w:space="0" w:color="auto"/>
            <w:bottom w:val="none" w:sz="0" w:space="0" w:color="auto"/>
            <w:right w:val="none" w:sz="0" w:space="0" w:color="auto"/>
          </w:divBdr>
        </w:div>
      </w:divsChild>
    </w:div>
    <w:div w:id="1042248920">
      <w:bodyDiv w:val="1"/>
      <w:marLeft w:val="0"/>
      <w:marRight w:val="0"/>
      <w:marTop w:val="0"/>
      <w:marBottom w:val="0"/>
      <w:divBdr>
        <w:top w:val="none" w:sz="0" w:space="0" w:color="auto"/>
        <w:left w:val="none" w:sz="0" w:space="0" w:color="auto"/>
        <w:bottom w:val="none" w:sz="0" w:space="0" w:color="auto"/>
        <w:right w:val="none" w:sz="0" w:space="0" w:color="auto"/>
      </w:divBdr>
    </w:div>
    <w:div w:id="1046761426">
      <w:bodyDiv w:val="1"/>
      <w:marLeft w:val="0"/>
      <w:marRight w:val="0"/>
      <w:marTop w:val="0"/>
      <w:marBottom w:val="0"/>
      <w:divBdr>
        <w:top w:val="none" w:sz="0" w:space="0" w:color="auto"/>
        <w:left w:val="none" w:sz="0" w:space="0" w:color="auto"/>
        <w:bottom w:val="none" w:sz="0" w:space="0" w:color="auto"/>
        <w:right w:val="none" w:sz="0" w:space="0" w:color="auto"/>
      </w:divBdr>
      <w:divsChild>
        <w:div w:id="1200240395">
          <w:marLeft w:val="547"/>
          <w:marRight w:val="0"/>
          <w:marTop w:val="106"/>
          <w:marBottom w:val="0"/>
          <w:divBdr>
            <w:top w:val="none" w:sz="0" w:space="0" w:color="auto"/>
            <w:left w:val="none" w:sz="0" w:space="0" w:color="auto"/>
            <w:bottom w:val="none" w:sz="0" w:space="0" w:color="auto"/>
            <w:right w:val="none" w:sz="0" w:space="0" w:color="auto"/>
          </w:divBdr>
        </w:div>
        <w:div w:id="1835100537">
          <w:marLeft w:val="547"/>
          <w:marRight w:val="0"/>
          <w:marTop w:val="106"/>
          <w:marBottom w:val="0"/>
          <w:divBdr>
            <w:top w:val="none" w:sz="0" w:space="0" w:color="auto"/>
            <w:left w:val="none" w:sz="0" w:space="0" w:color="auto"/>
            <w:bottom w:val="none" w:sz="0" w:space="0" w:color="auto"/>
            <w:right w:val="none" w:sz="0" w:space="0" w:color="auto"/>
          </w:divBdr>
        </w:div>
      </w:divsChild>
    </w:div>
    <w:div w:id="1239176036">
      <w:bodyDiv w:val="1"/>
      <w:marLeft w:val="0"/>
      <w:marRight w:val="0"/>
      <w:marTop w:val="0"/>
      <w:marBottom w:val="0"/>
      <w:divBdr>
        <w:top w:val="none" w:sz="0" w:space="0" w:color="auto"/>
        <w:left w:val="none" w:sz="0" w:space="0" w:color="auto"/>
        <w:bottom w:val="none" w:sz="0" w:space="0" w:color="auto"/>
        <w:right w:val="none" w:sz="0" w:space="0" w:color="auto"/>
      </w:divBdr>
    </w:div>
    <w:div w:id="1261135173">
      <w:bodyDiv w:val="1"/>
      <w:marLeft w:val="0"/>
      <w:marRight w:val="0"/>
      <w:marTop w:val="0"/>
      <w:marBottom w:val="0"/>
      <w:divBdr>
        <w:top w:val="none" w:sz="0" w:space="0" w:color="auto"/>
        <w:left w:val="none" w:sz="0" w:space="0" w:color="auto"/>
        <w:bottom w:val="none" w:sz="0" w:space="0" w:color="auto"/>
        <w:right w:val="none" w:sz="0" w:space="0" w:color="auto"/>
      </w:divBdr>
      <w:divsChild>
        <w:div w:id="632835312">
          <w:marLeft w:val="547"/>
          <w:marRight w:val="0"/>
          <w:marTop w:val="115"/>
          <w:marBottom w:val="0"/>
          <w:divBdr>
            <w:top w:val="none" w:sz="0" w:space="0" w:color="auto"/>
            <w:left w:val="none" w:sz="0" w:space="0" w:color="auto"/>
            <w:bottom w:val="none" w:sz="0" w:space="0" w:color="auto"/>
            <w:right w:val="none" w:sz="0" w:space="0" w:color="auto"/>
          </w:divBdr>
        </w:div>
        <w:div w:id="803737343">
          <w:marLeft w:val="547"/>
          <w:marRight w:val="0"/>
          <w:marTop w:val="115"/>
          <w:marBottom w:val="0"/>
          <w:divBdr>
            <w:top w:val="none" w:sz="0" w:space="0" w:color="auto"/>
            <w:left w:val="none" w:sz="0" w:space="0" w:color="auto"/>
            <w:bottom w:val="none" w:sz="0" w:space="0" w:color="auto"/>
            <w:right w:val="none" w:sz="0" w:space="0" w:color="auto"/>
          </w:divBdr>
        </w:div>
        <w:div w:id="1463572182">
          <w:marLeft w:val="547"/>
          <w:marRight w:val="0"/>
          <w:marTop w:val="115"/>
          <w:marBottom w:val="0"/>
          <w:divBdr>
            <w:top w:val="none" w:sz="0" w:space="0" w:color="auto"/>
            <w:left w:val="none" w:sz="0" w:space="0" w:color="auto"/>
            <w:bottom w:val="none" w:sz="0" w:space="0" w:color="auto"/>
            <w:right w:val="none" w:sz="0" w:space="0" w:color="auto"/>
          </w:divBdr>
        </w:div>
      </w:divsChild>
    </w:div>
    <w:div w:id="1332874663">
      <w:bodyDiv w:val="1"/>
      <w:marLeft w:val="0"/>
      <w:marRight w:val="0"/>
      <w:marTop w:val="0"/>
      <w:marBottom w:val="0"/>
      <w:divBdr>
        <w:top w:val="none" w:sz="0" w:space="0" w:color="auto"/>
        <w:left w:val="none" w:sz="0" w:space="0" w:color="auto"/>
        <w:bottom w:val="none" w:sz="0" w:space="0" w:color="auto"/>
        <w:right w:val="none" w:sz="0" w:space="0" w:color="auto"/>
      </w:divBdr>
    </w:div>
    <w:div w:id="1448085942">
      <w:bodyDiv w:val="1"/>
      <w:marLeft w:val="0"/>
      <w:marRight w:val="0"/>
      <w:marTop w:val="0"/>
      <w:marBottom w:val="0"/>
      <w:divBdr>
        <w:top w:val="none" w:sz="0" w:space="0" w:color="auto"/>
        <w:left w:val="none" w:sz="0" w:space="0" w:color="auto"/>
        <w:bottom w:val="none" w:sz="0" w:space="0" w:color="auto"/>
        <w:right w:val="none" w:sz="0" w:space="0" w:color="auto"/>
      </w:divBdr>
      <w:divsChild>
        <w:div w:id="125240172">
          <w:marLeft w:val="547"/>
          <w:marRight w:val="0"/>
          <w:marTop w:val="106"/>
          <w:marBottom w:val="0"/>
          <w:divBdr>
            <w:top w:val="none" w:sz="0" w:space="0" w:color="auto"/>
            <w:left w:val="none" w:sz="0" w:space="0" w:color="auto"/>
            <w:bottom w:val="none" w:sz="0" w:space="0" w:color="auto"/>
            <w:right w:val="none" w:sz="0" w:space="0" w:color="auto"/>
          </w:divBdr>
        </w:div>
        <w:div w:id="391125269">
          <w:marLeft w:val="547"/>
          <w:marRight w:val="0"/>
          <w:marTop w:val="106"/>
          <w:marBottom w:val="0"/>
          <w:divBdr>
            <w:top w:val="none" w:sz="0" w:space="0" w:color="auto"/>
            <w:left w:val="none" w:sz="0" w:space="0" w:color="auto"/>
            <w:bottom w:val="none" w:sz="0" w:space="0" w:color="auto"/>
            <w:right w:val="none" w:sz="0" w:space="0" w:color="auto"/>
          </w:divBdr>
        </w:div>
        <w:div w:id="503086300">
          <w:marLeft w:val="547"/>
          <w:marRight w:val="0"/>
          <w:marTop w:val="106"/>
          <w:marBottom w:val="0"/>
          <w:divBdr>
            <w:top w:val="none" w:sz="0" w:space="0" w:color="auto"/>
            <w:left w:val="none" w:sz="0" w:space="0" w:color="auto"/>
            <w:bottom w:val="none" w:sz="0" w:space="0" w:color="auto"/>
            <w:right w:val="none" w:sz="0" w:space="0" w:color="auto"/>
          </w:divBdr>
        </w:div>
        <w:div w:id="1162623435">
          <w:marLeft w:val="547"/>
          <w:marRight w:val="0"/>
          <w:marTop w:val="106"/>
          <w:marBottom w:val="0"/>
          <w:divBdr>
            <w:top w:val="none" w:sz="0" w:space="0" w:color="auto"/>
            <w:left w:val="none" w:sz="0" w:space="0" w:color="auto"/>
            <w:bottom w:val="none" w:sz="0" w:space="0" w:color="auto"/>
            <w:right w:val="none" w:sz="0" w:space="0" w:color="auto"/>
          </w:divBdr>
        </w:div>
        <w:div w:id="2095546269">
          <w:marLeft w:val="547"/>
          <w:marRight w:val="0"/>
          <w:marTop w:val="106"/>
          <w:marBottom w:val="0"/>
          <w:divBdr>
            <w:top w:val="none" w:sz="0" w:space="0" w:color="auto"/>
            <w:left w:val="none" w:sz="0" w:space="0" w:color="auto"/>
            <w:bottom w:val="none" w:sz="0" w:space="0" w:color="auto"/>
            <w:right w:val="none" w:sz="0" w:space="0" w:color="auto"/>
          </w:divBdr>
        </w:div>
      </w:divsChild>
    </w:div>
    <w:div w:id="1485002361">
      <w:bodyDiv w:val="1"/>
      <w:marLeft w:val="0"/>
      <w:marRight w:val="0"/>
      <w:marTop w:val="0"/>
      <w:marBottom w:val="0"/>
      <w:divBdr>
        <w:top w:val="none" w:sz="0" w:space="0" w:color="auto"/>
        <w:left w:val="none" w:sz="0" w:space="0" w:color="auto"/>
        <w:bottom w:val="none" w:sz="0" w:space="0" w:color="auto"/>
        <w:right w:val="none" w:sz="0" w:space="0" w:color="auto"/>
      </w:divBdr>
      <w:divsChild>
        <w:div w:id="319895932">
          <w:marLeft w:val="547"/>
          <w:marRight w:val="0"/>
          <w:marTop w:val="134"/>
          <w:marBottom w:val="0"/>
          <w:divBdr>
            <w:top w:val="none" w:sz="0" w:space="0" w:color="auto"/>
            <w:left w:val="none" w:sz="0" w:space="0" w:color="auto"/>
            <w:bottom w:val="none" w:sz="0" w:space="0" w:color="auto"/>
            <w:right w:val="none" w:sz="0" w:space="0" w:color="auto"/>
          </w:divBdr>
        </w:div>
        <w:div w:id="820582436">
          <w:marLeft w:val="547"/>
          <w:marRight w:val="0"/>
          <w:marTop w:val="134"/>
          <w:marBottom w:val="0"/>
          <w:divBdr>
            <w:top w:val="none" w:sz="0" w:space="0" w:color="auto"/>
            <w:left w:val="none" w:sz="0" w:space="0" w:color="auto"/>
            <w:bottom w:val="none" w:sz="0" w:space="0" w:color="auto"/>
            <w:right w:val="none" w:sz="0" w:space="0" w:color="auto"/>
          </w:divBdr>
        </w:div>
        <w:div w:id="2121217883">
          <w:marLeft w:val="547"/>
          <w:marRight w:val="0"/>
          <w:marTop w:val="134"/>
          <w:marBottom w:val="0"/>
          <w:divBdr>
            <w:top w:val="none" w:sz="0" w:space="0" w:color="auto"/>
            <w:left w:val="none" w:sz="0" w:space="0" w:color="auto"/>
            <w:bottom w:val="none" w:sz="0" w:space="0" w:color="auto"/>
            <w:right w:val="none" w:sz="0" w:space="0" w:color="auto"/>
          </w:divBdr>
        </w:div>
      </w:divsChild>
    </w:div>
    <w:div w:id="1584877481">
      <w:bodyDiv w:val="1"/>
      <w:marLeft w:val="0"/>
      <w:marRight w:val="0"/>
      <w:marTop w:val="0"/>
      <w:marBottom w:val="0"/>
      <w:divBdr>
        <w:top w:val="none" w:sz="0" w:space="0" w:color="auto"/>
        <w:left w:val="none" w:sz="0" w:space="0" w:color="auto"/>
        <w:bottom w:val="none" w:sz="0" w:space="0" w:color="auto"/>
        <w:right w:val="none" w:sz="0" w:space="0" w:color="auto"/>
      </w:divBdr>
      <w:divsChild>
        <w:div w:id="286744003">
          <w:marLeft w:val="547"/>
          <w:marRight w:val="0"/>
          <w:marTop w:val="115"/>
          <w:marBottom w:val="0"/>
          <w:divBdr>
            <w:top w:val="none" w:sz="0" w:space="0" w:color="auto"/>
            <w:left w:val="none" w:sz="0" w:space="0" w:color="auto"/>
            <w:bottom w:val="none" w:sz="0" w:space="0" w:color="auto"/>
            <w:right w:val="none" w:sz="0" w:space="0" w:color="auto"/>
          </w:divBdr>
        </w:div>
        <w:div w:id="289897360">
          <w:marLeft w:val="1166"/>
          <w:marRight w:val="0"/>
          <w:marTop w:val="96"/>
          <w:marBottom w:val="0"/>
          <w:divBdr>
            <w:top w:val="none" w:sz="0" w:space="0" w:color="auto"/>
            <w:left w:val="none" w:sz="0" w:space="0" w:color="auto"/>
            <w:bottom w:val="none" w:sz="0" w:space="0" w:color="auto"/>
            <w:right w:val="none" w:sz="0" w:space="0" w:color="auto"/>
          </w:divBdr>
        </w:div>
        <w:div w:id="321470567">
          <w:marLeft w:val="1166"/>
          <w:marRight w:val="0"/>
          <w:marTop w:val="96"/>
          <w:marBottom w:val="0"/>
          <w:divBdr>
            <w:top w:val="none" w:sz="0" w:space="0" w:color="auto"/>
            <w:left w:val="none" w:sz="0" w:space="0" w:color="auto"/>
            <w:bottom w:val="none" w:sz="0" w:space="0" w:color="auto"/>
            <w:right w:val="none" w:sz="0" w:space="0" w:color="auto"/>
          </w:divBdr>
        </w:div>
        <w:div w:id="327640973">
          <w:marLeft w:val="547"/>
          <w:marRight w:val="0"/>
          <w:marTop w:val="115"/>
          <w:marBottom w:val="0"/>
          <w:divBdr>
            <w:top w:val="none" w:sz="0" w:space="0" w:color="auto"/>
            <w:left w:val="none" w:sz="0" w:space="0" w:color="auto"/>
            <w:bottom w:val="none" w:sz="0" w:space="0" w:color="auto"/>
            <w:right w:val="none" w:sz="0" w:space="0" w:color="auto"/>
          </w:divBdr>
        </w:div>
        <w:div w:id="517353795">
          <w:marLeft w:val="1166"/>
          <w:marRight w:val="0"/>
          <w:marTop w:val="96"/>
          <w:marBottom w:val="0"/>
          <w:divBdr>
            <w:top w:val="none" w:sz="0" w:space="0" w:color="auto"/>
            <w:left w:val="none" w:sz="0" w:space="0" w:color="auto"/>
            <w:bottom w:val="none" w:sz="0" w:space="0" w:color="auto"/>
            <w:right w:val="none" w:sz="0" w:space="0" w:color="auto"/>
          </w:divBdr>
        </w:div>
        <w:div w:id="866719950">
          <w:marLeft w:val="547"/>
          <w:marRight w:val="0"/>
          <w:marTop w:val="115"/>
          <w:marBottom w:val="0"/>
          <w:divBdr>
            <w:top w:val="none" w:sz="0" w:space="0" w:color="auto"/>
            <w:left w:val="none" w:sz="0" w:space="0" w:color="auto"/>
            <w:bottom w:val="none" w:sz="0" w:space="0" w:color="auto"/>
            <w:right w:val="none" w:sz="0" w:space="0" w:color="auto"/>
          </w:divBdr>
        </w:div>
        <w:div w:id="1631520220">
          <w:marLeft w:val="547"/>
          <w:marRight w:val="0"/>
          <w:marTop w:val="115"/>
          <w:marBottom w:val="0"/>
          <w:divBdr>
            <w:top w:val="none" w:sz="0" w:space="0" w:color="auto"/>
            <w:left w:val="none" w:sz="0" w:space="0" w:color="auto"/>
            <w:bottom w:val="none" w:sz="0" w:space="0" w:color="auto"/>
            <w:right w:val="none" w:sz="0" w:space="0" w:color="auto"/>
          </w:divBdr>
        </w:div>
      </w:divsChild>
    </w:div>
    <w:div w:id="1588880712">
      <w:bodyDiv w:val="1"/>
      <w:marLeft w:val="0"/>
      <w:marRight w:val="0"/>
      <w:marTop w:val="0"/>
      <w:marBottom w:val="0"/>
      <w:divBdr>
        <w:top w:val="none" w:sz="0" w:space="0" w:color="auto"/>
        <w:left w:val="none" w:sz="0" w:space="0" w:color="auto"/>
        <w:bottom w:val="none" w:sz="0" w:space="0" w:color="auto"/>
        <w:right w:val="none" w:sz="0" w:space="0" w:color="auto"/>
      </w:divBdr>
      <w:divsChild>
        <w:div w:id="888876115">
          <w:marLeft w:val="547"/>
          <w:marRight w:val="0"/>
          <w:marTop w:val="115"/>
          <w:marBottom w:val="0"/>
          <w:divBdr>
            <w:top w:val="none" w:sz="0" w:space="0" w:color="auto"/>
            <w:left w:val="none" w:sz="0" w:space="0" w:color="auto"/>
            <w:bottom w:val="none" w:sz="0" w:space="0" w:color="auto"/>
            <w:right w:val="none" w:sz="0" w:space="0" w:color="auto"/>
          </w:divBdr>
        </w:div>
        <w:div w:id="1565529455">
          <w:marLeft w:val="547"/>
          <w:marRight w:val="0"/>
          <w:marTop w:val="115"/>
          <w:marBottom w:val="0"/>
          <w:divBdr>
            <w:top w:val="none" w:sz="0" w:space="0" w:color="auto"/>
            <w:left w:val="none" w:sz="0" w:space="0" w:color="auto"/>
            <w:bottom w:val="none" w:sz="0" w:space="0" w:color="auto"/>
            <w:right w:val="none" w:sz="0" w:space="0" w:color="auto"/>
          </w:divBdr>
        </w:div>
        <w:div w:id="2053311756">
          <w:marLeft w:val="547"/>
          <w:marRight w:val="0"/>
          <w:marTop w:val="115"/>
          <w:marBottom w:val="0"/>
          <w:divBdr>
            <w:top w:val="none" w:sz="0" w:space="0" w:color="auto"/>
            <w:left w:val="none" w:sz="0" w:space="0" w:color="auto"/>
            <w:bottom w:val="none" w:sz="0" w:space="0" w:color="auto"/>
            <w:right w:val="none" w:sz="0" w:space="0" w:color="auto"/>
          </w:divBdr>
        </w:div>
      </w:divsChild>
    </w:div>
    <w:div w:id="1588997875">
      <w:bodyDiv w:val="1"/>
      <w:marLeft w:val="0"/>
      <w:marRight w:val="0"/>
      <w:marTop w:val="0"/>
      <w:marBottom w:val="0"/>
      <w:divBdr>
        <w:top w:val="none" w:sz="0" w:space="0" w:color="auto"/>
        <w:left w:val="none" w:sz="0" w:space="0" w:color="auto"/>
        <w:bottom w:val="none" w:sz="0" w:space="0" w:color="auto"/>
        <w:right w:val="none" w:sz="0" w:space="0" w:color="auto"/>
      </w:divBdr>
      <w:divsChild>
        <w:div w:id="405222825">
          <w:marLeft w:val="547"/>
          <w:marRight w:val="0"/>
          <w:marTop w:val="96"/>
          <w:marBottom w:val="0"/>
          <w:divBdr>
            <w:top w:val="none" w:sz="0" w:space="0" w:color="auto"/>
            <w:left w:val="none" w:sz="0" w:space="0" w:color="auto"/>
            <w:bottom w:val="none" w:sz="0" w:space="0" w:color="auto"/>
            <w:right w:val="none" w:sz="0" w:space="0" w:color="auto"/>
          </w:divBdr>
        </w:div>
        <w:div w:id="650405471">
          <w:marLeft w:val="547"/>
          <w:marRight w:val="0"/>
          <w:marTop w:val="96"/>
          <w:marBottom w:val="0"/>
          <w:divBdr>
            <w:top w:val="none" w:sz="0" w:space="0" w:color="auto"/>
            <w:left w:val="none" w:sz="0" w:space="0" w:color="auto"/>
            <w:bottom w:val="none" w:sz="0" w:space="0" w:color="auto"/>
            <w:right w:val="none" w:sz="0" w:space="0" w:color="auto"/>
          </w:divBdr>
        </w:div>
        <w:div w:id="1577087608">
          <w:marLeft w:val="547"/>
          <w:marRight w:val="0"/>
          <w:marTop w:val="96"/>
          <w:marBottom w:val="0"/>
          <w:divBdr>
            <w:top w:val="none" w:sz="0" w:space="0" w:color="auto"/>
            <w:left w:val="none" w:sz="0" w:space="0" w:color="auto"/>
            <w:bottom w:val="none" w:sz="0" w:space="0" w:color="auto"/>
            <w:right w:val="none" w:sz="0" w:space="0" w:color="auto"/>
          </w:divBdr>
        </w:div>
        <w:div w:id="1602838319">
          <w:marLeft w:val="547"/>
          <w:marRight w:val="0"/>
          <w:marTop w:val="96"/>
          <w:marBottom w:val="0"/>
          <w:divBdr>
            <w:top w:val="none" w:sz="0" w:space="0" w:color="auto"/>
            <w:left w:val="none" w:sz="0" w:space="0" w:color="auto"/>
            <w:bottom w:val="none" w:sz="0" w:space="0" w:color="auto"/>
            <w:right w:val="none" w:sz="0" w:space="0" w:color="auto"/>
          </w:divBdr>
        </w:div>
        <w:div w:id="1947998292">
          <w:marLeft w:val="547"/>
          <w:marRight w:val="0"/>
          <w:marTop w:val="96"/>
          <w:marBottom w:val="0"/>
          <w:divBdr>
            <w:top w:val="none" w:sz="0" w:space="0" w:color="auto"/>
            <w:left w:val="none" w:sz="0" w:space="0" w:color="auto"/>
            <w:bottom w:val="none" w:sz="0" w:space="0" w:color="auto"/>
            <w:right w:val="none" w:sz="0" w:space="0" w:color="auto"/>
          </w:divBdr>
        </w:div>
      </w:divsChild>
    </w:div>
    <w:div w:id="1634406327">
      <w:bodyDiv w:val="1"/>
      <w:marLeft w:val="0"/>
      <w:marRight w:val="0"/>
      <w:marTop w:val="0"/>
      <w:marBottom w:val="0"/>
      <w:divBdr>
        <w:top w:val="none" w:sz="0" w:space="0" w:color="auto"/>
        <w:left w:val="none" w:sz="0" w:space="0" w:color="auto"/>
        <w:bottom w:val="none" w:sz="0" w:space="0" w:color="auto"/>
        <w:right w:val="none" w:sz="0" w:space="0" w:color="auto"/>
      </w:divBdr>
      <w:divsChild>
        <w:div w:id="494690533">
          <w:marLeft w:val="1627"/>
          <w:marRight w:val="0"/>
          <w:marTop w:val="0"/>
          <w:marBottom w:val="0"/>
          <w:divBdr>
            <w:top w:val="none" w:sz="0" w:space="0" w:color="auto"/>
            <w:left w:val="none" w:sz="0" w:space="0" w:color="auto"/>
            <w:bottom w:val="none" w:sz="0" w:space="0" w:color="auto"/>
            <w:right w:val="none" w:sz="0" w:space="0" w:color="auto"/>
          </w:divBdr>
        </w:div>
        <w:div w:id="1701779363">
          <w:marLeft w:val="1627"/>
          <w:marRight w:val="0"/>
          <w:marTop w:val="0"/>
          <w:marBottom w:val="0"/>
          <w:divBdr>
            <w:top w:val="none" w:sz="0" w:space="0" w:color="auto"/>
            <w:left w:val="none" w:sz="0" w:space="0" w:color="auto"/>
            <w:bottom w:val="none" w:sz="0" w:space="0" w:color="auto"/>
            <w:right w:val="none" w:sz="0" w:space="0" w:color="auto"/>
          </w:divBdr>
        </w:div>
      </w:divsChild>
    </w:div>
    <w:div w:id="1727800202">
      <w:bodyDiv w:val="1"/>
      <w:marLeft w:val="0"/>
      <w:marRight w:val="0"/>
      <w:marTop w:val="0"/>
      <w:marBottom w:val="0"/>
      <w:divBdr>
        <w:top w:val="none" w:sz="0" w:space="0" w:color="auto"/>
        <w:left w:val="none" w:sz="0" w:space="0" w:color="auto"/>
        <w:bottom w:val="none" w:sz="0" w:space="0" w:color="auto"/>
        <w:right w:val="none" w:sz="0" w:space="0" w:color="auto"/>
      </w:divBdr>
      <w:divsChild>
        <w:div w:id="559093533">
          <w:marLeft w:val="547"/>
          <w:marRight w:val="0"/>
          <w:marTop w:val="106"/>
          <w:marBottom w:val="0"/>
          <w:divBdr>
            <w:top w:val="none" w:sz="0" w:space="0" w:color="auto"/>
            <w:left w:val="none" w:sz="0" w:space="0" w:color="auto"/>
            <w:bottom w:val="none" w:sz="0" w:space="0" w:color="auto"/>
            <w:right w:val="none" w:sz="0" w:space="0" w:color="auto"/>
          </w:divBdr>
        </w:div>
        <w:div w:id="1326737168">
          <w:marLeft w:val="547"/>
          <w:marRight w:val="0"/>
          <w:marTop w:val="106"/>
          <w:marBottom w:val="0"/>
          <w:divBdr>
            <w:top w:val="none" w:sz="0" w:space="0" w:color="auto"/>
            <w:left w:val="none" w:sz="0" w:space="0" w:color="auto"/>
            <w:bottom w:val="none" w:sz="0" w:space="0" w:color="auto"/>
            <w:right w:val="none" w:sz="0" w:space="0" w:color="auto"/>
          </w:divBdr>
        </w:div>
        <w:div w:id="1839802627">
          <w:marLeft w:val="547"/>
          <w:marRight w:val="0"/>
          <w:marTop w:val="106"/>
          <w:marBottom w:val="0"/>
          <w:divBdr>
            <w:top w:val="none" w:sz="0" w:space="0" w:color="auto"/>
            <w:left w:val="none" w:sz="0" w:space="0" w:color="auto"/>
            <w:bottom w:val="none" w:sz="0" w:space="0" w:color="auto"/>
            <w:right w:val="none" w:sz="0" w:space="0" w:color="auto"/>
          </w:divBdr>
        </w:div>
      </w:divsChild>
    </w:div>
    <w:div w:id="1728991325">
      <w:bodyDiv w:val="1"/>
      <w:marLeft w:val="0"/>
      <w:marRight w:val="0"/>
      <w:marTop w:val="0"/>
      <w:marBottom w:val="0"/>
      <w:divBdr>
        <w:top w:val="none" w:sz="0" w:space="0" w:color="auto"/>
        <w:left w:val="none" w:sz="0" w:space="0" w:color="auto"/>
        <w:bottom w:val="none" w:sz="0" w:space="0" w:color="auto"/>
        <w:right w:val="none" w:sz="0" w:space="0" w:color="auto"/>
      </w:divBdr>
      <w:divsChild>
        <w:div w:id="202834277">
          <w:marLeft w:val="547"/>
          <w:marRight w:val="0"/>
          <w:marTop w:val="106"/>
          <w:marBottom w:val="0"/>
          <w:divBdr>
            <w:top w:val="none" w:sz="0" w:space="0" w:color="auto"/>
            <w:left w:val="none" w:sz="0" w:space="0" w:color="auto"/>
            <w:bottom w:val="none" w:sz="0" w:space="0" w:color="auto"/>
            <w:right w:val="none" w:sz="0" w:space="0" w:color="auto"/>
          </w:divBdr>
        </w:div>
        <w:div w:id="1237474950">
          <w:marLeft w:val="547"/>
          <w:marRight w:val="0"/>
          <w:marTop w:val="106"/>
          <w:marBottom w:val="0"/>
          <w:divBdr>
            <w:top w:val="none" w:sz="0" w:space="0" w:color="auto"/>
            <w:left w:val="none" w:sz="0" w:space="0" w:color="auto"/>
            <w:bottom w:val="none" w:sz="0" w:space="0" w:color="auto"/>
            <w:right w:val="none" w:sz="0" w:space="0" w:color="auto"/>
          </w:divBdr>
        </w:div>
        <w:div w:id="1482304554">
          <w:marLeft w:val="547"/>
          <w:marRight w:val="0"/>
          <w:marTop w:val="106"/>
          <w:marBottom w:val="0"/>
          <w:divBdr>
            <w:top w:val="none" w:sz="0" w:space="0" w:color="auto"/>
            <w:left w:val="none" w:sz="0" w:space="0" w:color="auto"/>
            <w:bottom w:val="none" w:sz="0" w:space="0" w:color="auto"/>
            <w:right w:val="none" w:sz="0" w:space="0" w:color="auto"/>
          </w:divBdr>
        </w:div>
        <w:div w:id="1486362340">
          <w:marLeft w:val="547"/>
          <w:marRight w:val="0"/>
          <w:marTop w:val="106"/>
          <w:marBottom w:val="0"/>
          <w:divBdr>
            <w:top w:val="none" w:sz="0" w:space="0" w:color="auto"/>
            <w:left w:val="none" w:sz="0" w:space="0" w:color="auto"/>
            <w:bottom w:val="none" w:sz="0" w:space="0" w:color="auto"/>
            <w:right w:val="none" w:sz="0" w:space="0" w:color="auto"/>
          </w:divBdr>
        </w:div>
      </w:divsChild>
    </w:div>
    <w:div w:id="1730575521">
      <w:bodyDiv w:val="1"/>
      <w:marLeft w:val="0"/>
      <w:marRight w:val="0"/>
      <w:marTop w:val="0"/>
      <w:marBottom w:val="0"/>
      <w:divBdr>
        <w:top w:val="none" w:sz="0" w:space="0" w:color="auto"/>
        <w:left w:val="none" w:sz="0" w:space="0" w:color="auto"/>
        <w:bottom w:val="none" w:sz="0" w:space="0" w:color="auto"/>
        <w:right w:val="none" w:sz="0" w:space="0" w:color="auto"/>
      </w:divBdr>
    </w:div>
    <w:div w:id="1739399391">
      <w:bodyDiv w:val="1"/>
      <w:marLeft w:val="0"/>
      <w:marRight w:val="0"/>
      <w:marTop w:val="0"/>
      <w:marBottom w:val="0"/>
      <w:divBdr>
        <w:top w:val="none" w:sz="0" w:space="0" w:color="auto"/>
        <w:left w:val="none" w:sz="0" w:space="0" w:color="auto"/>
        <w:bottom w:val="none" w:sz="0" w:space="0" w:color="auto"/>
        <w:right w:val="none" w:sz="0" w:space="0" w:color="auto"/>
      </w:divBdr>
    </w:div>
    <w:div w:id="1774786044">
      <w:bodyDiv w:val="1"/>
      <w:marLeft w:val="0"/>
      <w:marRight w:val="0"/>
      <w:marTop w:val="0"/>
      <w:marBottom w:val="0"/>
      <w:divBdr>
        <w:top w:val="none" w:sz="0" w:space="0" w:color="auto"/>
        <w:left w:val="none" w:sz="0" w:space="0" w:color="auto"/>
        <w:bottom w:val="none" w:sz="0" w:space="0" w:color="auto"/>
        <w:right w:val="none" w:sz="0" w:space="0" w:color="auto"/>
      </w:divBdr>
    </w:div>
    <w:div w:id="1801919690">
      <w:bodyDiv w:val="1"/>
      <w:marLeft w:val="0"/>
      <w:marRight w:val="0"/>
      <w:marTop w:val="0"/>
      <w:marBottom w:val="0"/>
      <w:divBdr>
        <w:top w:val="none" w:sz="0" w:space="0" w:color="auto"/>
        <w:left w:val="none" w:sz="0" w:space="0" w:color="auto"/>
        <w:bottom w:val="none" w:sz="0" w:space="0" w:color="auto"/>
        <w:right w:val="none" w:sz="0" w:space="0" w:color="auto"/>
      </w:divBdr>
    </w:div>
    <w:div w:id="1813713233">
      <w:bodyDiv w:val="1"/>
      <w:marLeft w:val="0"/>
      <w:marRight w:val="0"/>
      <w:marTop w:val="0"/>
      <w:marBottom w:val="0"/>
      <w:divBdr>
        <w:top w:val="none" w:sz="0" w:space="0" w:color="auto"/>
        <w:left w:val="none" w:sz="0" w:space="0" w:color="auto"/>
        <w:bottom w:val="none" w:sz="0" w:space="0" w:color="auto"/>
        <w:right w:val="none" w:sz="0" w:space="0" w:color="auto"/>
      </w:divBdr>
      <w:divsChild>
        <w:div w:id="113914022">
          <w:marLeft w:val="547"/>
          <w:marRight w:val="0"/>
          <w:marTop w:val="115"/>
          <w:marBottom w:val="0"/>
          <w:divBdr>
            <w:top w:val="none" w:sz="0" w:space="0" w:color="auto"/>
            <w:left w:val="none" w:sz="0" w:space="0" w:color="auto"/>
            <w:bottom w:val="none" w:sz="0" w:space="0" w:color="auto"/>
            <w:right w:val="none" w:sz="0" w:space="0" w:color="auto"/>
          </w:divBdr>
        </w:div>
        <w:div w:id="177894506">
          <w:marLeft w:val="547"/>
          <w:marRight w:val="0"/>
          <w:marTop w:val="115"/>
          <w:marBottom w:val="0"/>
          <w:divBdr>
            <w:top w:val="none" w:sz="0" w:space="0" w:color="auto"/>
            <w:left w:val="none" w:sz="0" w:space="0" w:color="auto"/>
            <w:bottom w:val="none" w:sz="0" w:space="0" w:color="auto"/>
            <w:right w:val="none" w:sz="0" w:space="0" w:color="auto"/>
          </w:divBdr>
        </w:div>
        <w:div w:id="327174833">
          <w:marLeft w:val="547"/>
          <w:marRight w:val="0"/>
          <w:marTop w:val="115"/>
          <w:marBottom w:val="0"/>
          <w:divBdr>
            <w:top w:val="none" w:sz="0" w:space="0" w:color="auto"/>
            <w:left w:val="none" w:sz="0" w:space="0" w:color="auto"/>
            <w:bottom w:val="none" w:sz="0" w:space="0" w:color="auto"/>
            <w:right w:val="none" w:sz="0" w:space="0" w:color="auto"/>
          </w:divBdr>
        </w:div>
        <w:div w:id="1888029491">
          <w:marLeft w:val="547"/>
          <w:marRight w:val="0"/>
          <w:marTop w:val="115"/>
          <w:marBottom w:val="0"/>
          <w:divBdr>
            <w:top w:val="none" w:sz="0" w:space="0" w:color="auto"/>
            <w:left w:val="none" w:sz="0" w:space="0" w:color="auto"/>
            <w:bottom w:val="none" w:sz="0" w:space="0" w:color="auto"/>
            <w:right w:val="none" w:sz="0" w:space="0" w:color="auto"/>
          </w:divBdr>
        </w:div>
      </w:divsChild>
    </w:div>
    <w:div w:id="1854369524">
      <w:bodyDiv w:val="1"/>
      <w:marLeft w:val="0"/>
      <w:marRight w:val="0"/>
      <w:marTop w:val="0"/>
      <w:marBottom w:val="0"/>
      <w:divBdr>
        <w:top w:val="none" w:sz="0" w:space="0" w:color="auto"/>
        <w:left w:val="none" w:sz="0" w:space="0" w:color="auto"/>
        <w:bottom w:val="none" w:sz="0" w:space="0" w:color="auto"/>
        <w:right w:val="none" w:sz="0" w:space="0" w:color="auto"/>
      </w:divBdr>
      <w:divsChild>
        <w:div w:id="383482024">
          <w:marLeft w:val="547"/>
          <w:marRight w:val="0"/>
          <w:marTop w:val="115"/>
          <w:marBottom w:val="0"/>
          <w:divBdr>
            <w:top w:val="none" w:sz="0" w:space="0" w:color="auto"/>
            <w:left w:val="none" w:sz="0" w:space="0" w:color="auto"/>
            <w:bottom w:val="none" w:sz="0" w:space="0" w:color="auto"/>
            <w:right w:val="none" w:sz="0" w:space="0" w:color="auto"/>
          </w:divBdr>
        </w:div>
        <w:div w:id="1406296078">
          <w:marLeft w:val="547"/>
          <w:marRight w:val="0"/>
          <w:marTop w:val="115"/>
          <w:marBottom w:val="0"/>
          <w:divBdr>
            <w:top w:val="none" w:sz="0" w:space="0" w:color="auto"/>
            <w:left w:val="none" w:sz="0" w:space="0" w:color="auto"/>
            <w:bottom w:val="none" w:sz="0" w:space="0" w:color="auto"/>
            <w:right w:val="none" w:sz="0" w:space="0" w:color="auto"/>
          </w:divBdr>
        </w:div>
        <w:div w:id="1709913112">
          <w:marLeft w:val="547"/>
          <w:marRight w:val="0"/>
          <w:marTop w:val="115"/>
          <w:marBottom w:val="0"/>
          <w:divBdr>
            <w:top w:val="none" w:sz="0" w:space="0" w:color="auto"/>
            <w:left w:val="none" w:sz="0" w:space="0" w:color="auto"/>
            <w:bottom w:val="none" w:sz="0" w:space="0" w:color="auto"/>
            <w:right w:val="none" w:sz="0" w:space="0" w:color="auto"/>
          </w:divBdr>
        </w:div>
      </w:divsChild>
    </w:div>
    <w:div w:id="1898583516">
      <w:bodyDiv w:val="1"/>
      <w:marLeft w:val="0"/>
      <w:marRight w:val="0"/>
      <w:marTop w:val="0"/>
      <w:marBottom w:val="0"/>
      <w:divBdr>
        <w:top w:val="none" w:sz="0" w:space="0" w:color="auto"/>
        <w:left w:val="none" w:sz="0" w:space="0" w:color="auto"/>
        <w:bottom w:val="none" w:sz="0" w:space="0" w:color="auto"/>
        <w:right w:val="none" w:sz="0" w:space="0" w:color="auto"/>
      </w:divBdr>
    </w:div>
    <w:div w:id="1928610624">
      <w:bodyDiv w:val="1"/>
      <w:marLeft w:val="0"/>
      <w:marRight w:val="0"/>
      <w:marTop w:val="0"/>
      <w:marBottom w:val="0"/>
      <w:divBdr>
        <w:top w:val="none" w:sz="0" w:space="0" w:color="auto"/>
        <w:left w:val="none" w:sz="0" w:space="0" w:color="auto"/>
        <w:bottom w:val="none" w:sz="0" w:space="0" w:color="auto"/>
        <w:right w:val="none" w:sz="0" w:space="0" w:color="auto"/>
      </w:divBdr>
      <w:divsChild>
        <w:div w:id="1369406299">
          <w:marLeft w:val="0"/>
          <w:marRight w:val="0"/>
          <w:marTop w:val="0"/>
          <w:marBottom w:val="0"/>
          <w:divBdr>
            <w:top w:val="none" w:sz="0" w:space="0" w:color="auto"/>
            <w:left w:val="none" w:sz="0" w:space="0" w:color="auto"/>
            <w:bottom w:val="none" w:sz="0" w:space="0" w:color="auto"/>
            <w:right w:val="none" w:sz="0" w:space="0" w:color="auto"/>
          </w:divBdr>
          <w:divsChild>
            <w:div w:id="1932422864">
              <w:marLeft w:val="0"/>
              <w:marRight w:val="0"/>
              <w:marTop w:val="0"/>
              <w:marBottom w:val="0"/>
              <w:divBdr>
                <w:top w:val="none" w:sz="0" w:space="0" w:color="auto"/>
                <w:left w:val="none" w:sz="0" w:space="0" w:color="auto"/>
                <w:bottom w:val="none" w:sz="0" w:space="0" w:color="auto"/>
                <w:right w:val="none" w:sz="0" w:space="0" w:color="auto"/>
              </w:divBdr>
              <w:divsChild>
                <w:div w:id="1175730700">
                  <w:marLeft w:val="0"/>
                  <w:marRight w:val="0"/>
                  <w:marTop w:val="0"/>
                  <w:marBottom w:val="0"/>
                  <w:divBdr>
                    <w:top w:val="none" w:sz="0" w:space="0" w:color="auto"/>
                    <w:left w:val="none" w:sz="0" w:space="0" w:color="auto"/>
                    <w:bottom w:val="none" w:sz="0" w:space="0" w:color="auto"/>
                    <w:right w:val="none" w:sz="0" w:space="0" w:color="auto"/>
                  </w:divBdr>
                </w:div>
              </w:divsChild>
            </w:div>
            <w:div w:id="153302029">
              <w:marLeft w:val="0"/>
              <w:marRight w:val="0"/>
              <w:marTop w:val="0"/>
              <w:marBottom w:val="0"/>
              <w:divBdr>
                <w:top w:val="none" w:sz="0" w:space="0" w:color="auto"/>
                <w:left w:val="none" w:sz="0" w:space="0" w:color="auto"/>
                <w:bottom w:val="none" w:sz="0" w:space="0" w:color="auto"/>
                <w:right w:val="none" w:sz="0" w:space="0" w:color="auto"/>
              </w:divBdr>
            </w:div>
            <w:div w:id="22807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06177">
      <w:bodyDiv w:val="1"/>
      <w:marLeft w:val="0"/>
      <w:marRight w:val="0"/>
      <w:marTop w:val="0"/>
      <w:marBottom w:val="0"/>
      <w:divBdr>
        <w:top w:val="none" w:sz="0" w:space="0" w:color="auto"/>
        <w:left w:val="none" w:sz="0" w:space="0" w:color="auto"/>
        <w:bottom w:val="none" w:sz="0" w:space="0" w:color="auto"/>
        <w:right w:val="none" w:sz="0" w:space="0" w:color="auto"/>
      </w:divBdr>
    </w:div>
    <w:div w:id="1980957063">
      <w:bodyDiv w:val="1"/>
      <w:marLeft w:val="0"/>
      <w:marRight w:val="0"/>
      <w:marTop w:val="0"/>
      <w:marBottom w:val="0"/>
      <w:divBdr>
        <w:top w:val="none" w:sz="0" w:space="0" w:color="auto"/>
        <w:left w:val="none" w:sz="0" w:space="0" w:color="auto"/>
        <w:bottom w:val="none" w:sz="0" w:space="0" w:color="auto"/>
        <w:right w:val="none" w:sz="0" w:space="0" w:color="auto"/>
      </w:divBdr>
      <w:divsChild>
        <w:div w:id="1388336437">
          <w:marLeft w:val="547"/>
          <w:marRight w:val="0"/>
          <w:marTop w:val="115"/>
          <w:marBottom w:val="0"/>
          <w:divBdr>
            <w:top w:val="none" w:sz="0" w:space="0" w:color="auto"/>
            <w:left w:val="none" w:sz="0" w:space="0" w:color="auto"/>
            <w:bottom w:val="none" w:sz="0" w:space="0" w:color="auto"/>
            <w:right w:val="none" w:sz="0" w:space="0" w:color="auto"/>
          </w:divBdr>
        </w:div>
        <w:div w:id="2012757756">
          <w:marLeft w:val="547"/>
          <w:marRight w:val="0"/>
          <w:marTop w:val="115"/>
          <w:marBottom w:val="0"/>
          <w:divBdr>
            <w:top w:val="none" w:sz="0" w:space="0" w:color="auto"/>
            <w:left w:val="none" w:sz="0" w:space="0" w:color="auto"/>
            <w:bottom w:val="none" w:sz="0" w:space="0" w:color="auto"/>
            <w:right w:val="none" w:sz="0" w:space="0" w:color="auto"/>
          </w:divBdr>
        </w:div>
      </w:divsChild>
    </w:div>
    <w:div w:id="1994212487">
      <w:bodyDiv w:val="1"/>
      <w:marLeft w:val="0"/>
      <w:marRight w:val="0"/>
      <w:marTop w:val="0"/>
      <w:marBottom w:val="0"/>
      <w:divBdr>
        <w:top w:val="none" w:sz="0" w:space="0" w:color="auto"/>
        <w:left w:val="none" w:sz="0" w:space="0" w:color="auto"/>
        <w:bottom w:val="none" w:sz="0" w:space="0" w:color="auto"/>
        <w:right w:val="none" w:sz="0" w:space="0" w:color="auto"/>
      </w:divBdr>
      <w:divsChild>
        <w:div w:id="274097945">
          <w:marLeft w:val="547"/>
          <w:marRight w:val="0"/>
          <w:marTop w:val="96"/>
          <w:marBottom w:val="0"/>
          <w:divBdr>
            <w:top w:val="none" w:sz="0" w:space="0" w:color="auto"/>
            <w:left w:val="none" w:sz="0" w:space="0" w:color="auto"/>
            <w:bottom w:val="none" w:sz="0" w:space="0" w:color="auto"/>
            <w:right w:val="none" w:sz="0" w:space="0" w:color="auto"/>
          </w:divBdr>
        </w:div>
        <w:div w:id="1052924997">
          <w:marLeft w:val="547"/>
          <w:marRight w:val="0"/>
          <w:marTop w:val="96"/>
          <w:marBottom w:val="0"/>
          <w:divBdr>
            <w:top w:val="none" w:sz="0" w:space="0" w:color="auto"/>
            <w:left w:val="none" w:sz="0" w:space="0" w:color="auto"/>
            <w:bottom w:val="none" w:sz="0" w:space="0" w:color="auto"/>
            <w:right w:val="none" w:sz="0" w:space="0" w:color="auto"/>
          </w:divBdr>
        </w:div>
        <w:div w:id="1218856753">
          <w:marLeft w:val="547"/>
          <w:marRight w:val="0"/>
          <w:marTop w:val="96"/>
          <w:marBottom w:val="0"/>
          <w:divBdr>
            <w:top w:val="none" w:sz="0" w:space="0" w:color="auto"/>
            <w:left w:val="none" w:sz="0" w:space="0" w:color="auto"/>
            <w:bottom w:val="none" w:sz="0" w:space="0" w:color="auto"/>
            <w:right w:val="none" w:sz="0" w:space="0" w:color="auto"/>
          </w:divBdr>
        </w:div>
        <w:div w:id="1710757699">
          <w:marLeft w:val="547"/>
          <w:marRight w:val="0"/>
          <w:marTop w:val="96"/>
          <w:marBottom w:val="0"/>
          <w:divBdr>
            <w:top w:val="none" w:sz="0" w:space="0" w:color="auto"/>
            <w:left w:val="none" w:sz="0" w:space="0" w:color="auto"/>
            <w:bottom w:val="none" w:sz="0" w:space="0" w:color="auto"/>
            <w:right w:val="none" w:sz="0" w:space="0" w:color="auto"/>
          </w:divBdr>
        </w:div>
      </w:divsChild>
    </w:div>
    <w:div w:id="2122873602">
      <w:bodyDiv w:val="1"/>
      <w:marLeft w:val="0"/>
      <w:marRight w:val="0"/>
      <w:marTop w:val="0"/>
      <w:marBottom w:val="0"/>
      <w:divBdr>
        <w:top w:val="none" w:sz="0" w:space="0" w:color="auto"/>
        <w:left w:val="none" w:sz="0" w:space="0" w:color="auto"/>
        <w:bottom w:val="none" w:sz="0" w:space="0" w:color="auto"/>
        <w:right w:val="none" w:sz="0" w:space="0" w:color="auto"/>
      </w:divBdr>
    </w:div>
    <w:div w:id="2139913564">
      <w:bodyDiv w:val="1"/>
      <w:marLeft w:val="0"/>
      <w:marRight w:val="0"/>
      <w:marTop w:val="0"/>
      <w:marBottom w:val="0"/>
      <w:divBdr>
        <w:top w:val="none" w:sz="0" w:space="0" w:color="auto"/>
        <w:left w:val="none" w:sz="0" w:space="0" w:color="auto"/>
        <w:bottom w:val="none" w:sz="0" w:space="0" w:color="auto"/>
        <w:right w:val="none" w:sz="0" w:space="0" w:color="auto"/>
      </w:divBdr>
      <w:divsChild>
        <w:div w:id="139002335">
          <w:marLeft w:val="547"/>
          <w:marRight w:val="0"/>
          <w:marTop w:val="115"/>
          <w:marBottom w:val="0"/>
          <w:divBdr>
            <w:top w:val="none" w:sz="0" w:space="0" w:color="auto"/>
            <w:left w:val="none" w:sz="0" w:space="0" w:color="auto"/>
            <w:bottom w:val="none" w:sz="0" w:space="0" w:color="auto"/>
            <w:right w:val="none" w:sz="0" w:space="0" w:color="auto"/>
          </w:divBdr>
        </w:div>
        <w:div w:id="530611131">
          <w:marLeft w:val="547"/>
          <w:marRight w:val="0"/>
          <w:marTop w:val="115"/>
          <w:marBottom w:val="0"/>
          <w:divBdr>
            <w:top w:val="none" w:sz="0" w:space="0" w:color="auto"/>
            <w:left w:val="none" w:sz="0" w:space="0" w:color="auto"/>
            <w:bottom w:val="none" w:sz="0" w:space="0" w:color="auto"/>
            <w:right w:val="none" w:sz="0" w:space="0" w:color="auto"/>
          </w:divBdr>
        </w:div>
        <w:div w:id="559098873">
          <w:marLeft w:val="547"/>
          <w:marRight w:val="0"/>
          <w:marTop w:val="115"/>
          <w:marBottom w:val="0"/>
          <w:divBdr>
            <w:top w:val="none" w:sz="0" w:space="0" w:color="auto"/>
            <w:left w:val="none" w:sz="0" w:space="0" w:color="auto"/>
            <w:bottom w:val="none" w:sz="0" w:space="0" w:color="auto"/>
            <w:right w:val="none" w:sz="0" w:space="0" w:color="auto"/>
          </w:divBdr>
        </w:div>
        <w:div w:id="834295794">
          <w:marLeft w:val="547"/>
          <w:marRight w:val="0"/>
          <w:marTop w:val="115"/>
          <w:marBottom w:val="0"/>
          <w:divBdr>
            <w:top w:val="none" w:sz="0" w:space="0" w:color="auto"/>
            <w:left w:val="none" w:sz="0" w:space="0" w:color="auto"/>
            <w:bottom w:val="none" w:sz="0" w:space="0" w:color="auto"/>
            <w:right w:val="none" w:sz="0" w:space="0" w:color="auto"/>
          </w:divBdr>
        </w:div>
        <w:div w:id="1667394274">
          <w:marLeft w:val="547"/>
          <w:marRight w:val="0"/>
          <w:marTop w:val="115"/>
          <w:marBottom w:val="0"/>
          <w:divBdr>
            <w:top w:val="none" w:sz="0" w:space="0" w:color="auto"/>
            <w:left w:val="none" w:sz="0" w:space="0" w:color="auto"/>
            <w:bottom w:val="none" w:sz="0" w:space="0" w:color="auto"/>
            <w:right w:val="none" w:sz="0" w:space="0" w:color="auto"/>
          </w:divBdr>
        </w:div>
      </w:divsChild>
    </w:div>
    <w:div w:id="2140831149">
      <w:bodyDiv w:val="1"/>
      <w:marLeft w:val="0"/>
      <w:marRight w:val="0"/>
      <w:marTop w:val="0"/>
      <w:marBottom w:val="0"/>
      <w:divBdr>
        <w:top w:val="none" w:sz="0" w:space="0" w:color="auto"/>
        <w:left w:val="none" w:sz="0" w:space="0" w:color="auto"/>
        <w:bottom w:val="none" w:sz="0" w:space="0" w:color="auto"/>
        <w:right w:val="none" w:sz="0" w:space="0" w:color="auto"/>
      </w:divBdr>
      <w:divsChild>
        <w:div w:id="515776070">
          <w:marLeft w:val="446"/>
          <w:marRight w:val="0"/>
          <w:marTop w:val="77"/>
          <w:marBottom w:val="0"/>
          <w:divBdr>
            <w:top w:val="none" w:sz="0" w:space="0" w:color="auto"/>
            <w:left w:val="none" w:sz="0" w:space="0" w:color="auto"/>
            <w:bottom w:val="none" w:sz="0" w:space="0" w:color="auto"/>
            <w:right w:val="none" w:sz="0" w:space="0" w:color="auto"/>
          </w:divBdr>
        </w:div>
        <w:div w:id="1725370188">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20.png"/><Relationship Id="rId42" Type="http://schemas.openxmlformats.org/officeDocument/2006/relationships/header" Target="header5.xml"/><Relationship Id="rId47" Type="http://schemas.openxmlformats.org/officeDocument/2006/relationships/fontTable" Target="fontTable.xml"/><Relationship Id="rId50"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image" Target="media/image15.emf"/><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emf"/><Relationship Id="rId28" Type="http://schemas.openxmlformats.org/officeDocument/2006/relationships/image" Target="media/image14.png"/><Relationship Id="rId36" Type="http://schemas.openxmlformats.org/officeDocument/2006/relationships/image" Target="media/image22.emf"/><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image" Target="media/image17.png"/><Relationship Id="rId44"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png"/><Relationship Id="rId43" Type="http://schemas.openxmlformats.org/officeDocument/2006/relationships/footer" Target="footer4.xml"/><Relationship Id="rId48"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eea.europa.eu/themes/biodiversity/state-of-nature-in-the-eu/state-of-nature-2020" TargetMode="External"/><Relationship Id="rId2" Type="http://schemas.openxmlformats.org/officeDocument/2006/relationships/hyperlink" Target="https://ec.europa.eu/environment/nature/knowledge/rep_habitats/index_en.htm" TargetMode="External"/><Relationship Id="rId1" Type="http://schemas.openxmlformats.org/officeDocument/2006/relationships/hyperlink" Target="https://www.eea.europa.eu/themes/biodiversity/state-of-nature-in-the-eu/state-of-nature-2020" TargetMode="External"/><Relationship Id="rId6" Type="http://schemas.openxmlformats.org/officeDocument/2006/relationships/hyperlink" Target="https://eur-lex.europa.eu/legal-content/ET/TXT/?uri=CELEX:52020DC0381" TargetMode="External"/><Relationship Id="rId5" Type="http://schemas.openxmlformats.org/officeDocument/2006/relationships/hyperlink" Target="https://eur-lex.europa.eu/legal-content/ET/TXT/?uri=CELEX:52020DC0380" TargetMode="External"/><Relationship Id="rId4" Type="http://schemas.openxmlformats.org/officeDocument/2006/relationships/hyperlink" Target="https://ec.europa.eu/easme/en/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D6CD643-B25A-4CDC-98CC-1463A4C85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25</Pages>
  <Words>4921</Words>
  <Characters>34405</Characters>
  <Application>Microsoft Office Word</Application>
  <DocSecurity>0</DocSecurity>
  <Lines>625</Lines>
  <Paragraphs>172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34</cp:revision>
  <dcterms:created xsi:type="dcterms:W3CDTF">2020-09-07T14:49:00Z</dcterms:created>
  <dcterms:modified xsi:type="dcterms:W3CDTF">2020-10-12T14:25:00Z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CP-007</vt:lpwstr>
  </property>
  <property fmtid="{D5CDD505-2E9C-101B-9397-08002B2CF9AE}" pid="7" name="Last edited using">
    <vt:lpwstr>LW 7.0.1, Build 20190916</vt:lpwstr>
  </property>
  <property fmtid="{D5CDD505-2E9C-101B-9397-08002B2CF9AE}" pid="8" name="Created using">
    <vt:lpwstr>LW 7.0.1, Build 20190916</vt:lpwstr>
  </property>
  <property name="OP_sanitized" fmtid="{D5CDD505-2E9C-101B-9397-08002B2CF9AE}" pid="9">
    <vt:lpwstr>True</vt:lpwstr>
  </property>
</Properties>
</file>