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FA54E363-F5CA-4167-9388-58E62E45AFDC" style="width:450.75pt;height:351.7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SELETUSKIRI</w:t>
      </w:r>
    </w:p>
    <w:p>
      <w:pPr>
        <w:pBdr>
          <w:top w:val="nil"/>
          <w:left w:val="nil"/>
          <w:bottom w:val="nil"/>
          <w:right w:val="nil"/>
          <w:between w:val="nil"/>
          <w:bar w:val="nil"/>
        </w:pBdr>
        <w:spacing w:before="0" w:after="240"/>
        <w:rPr>
          <w:noProof/>
          <w:highlight w:val="yellow"/>
        </w:rPr>
      </w:pPr>
      <w:r>
        <w:rPr>
          <w:noProof/>
        </w:rPr>
        <w:t>Euroopa Parlament ja nõukogu otsustasid 12. detsembril 2018 võtta kasutusele paindlikkusinstrumendi vahendeid 1 164 miljoni euro ulatuses: 179 miljonit eurot alamrubriigi 1a (</w:t>
      </w:r>
      <w:r>
        <w:rPr>
          <w:i/>
          <w:noProof/>
        </w:rPr>
        <w:t>Konkurentsivõime majanduskasvu ja tööhõive tagamiseks</w:t>
      </w:r>
      <w:r>
        <w:rPr>
          <w:noProof/>
        </w:rPr>
        <w:t>) jaoks, et tugevdada konkurentsivõime põhiprogramme (nimelt Horisont 2020 ja Erasmus+), ning 985,6 miljoni eurot rubriigi 3 jaoks vastavalt komisjoni ettepanekule.</w:t>
      </w:r>
      <w:r>
        <w:rPr>
          <w:noProof/>
          <w:highlight w:val="yellow"/>
        </w:rPr>
        <w:t xml:space="preserve"> </w:t>
      </w:r>
    </w:p>
    <w:p>
      <w:pPr>
        <w:rPr>
          <w:bCs/>
          <w:noProof/>
        </w:rPr>
      </w:pPr>
      <w:r>
        <w:rPr>
          <w:noProof/>
        </w:rPr>
        <w:t>Komisjon esitab täna paranduseelarve projekti nr 4/2019,</w:t>
      </w:r>
      <w:r>
        <w:rPr>
          <w:rStyle w:val="FootnoteReference"/>
          <w:noProof/>
        </w:rPr>
        <w:footnoteReference w:id="1"/>
      </w:r>
      <w:r>
        <w:rPr>
          <w:noProof/>
        </w:rPr>
        <w:t xml:space="preserve"> mis sisaldab alamrubriigi 1a ja rubriigi 3 kulukohustuste assigneeringute vähendusi, mis vähendab vajadust paindlikkusinstrumendi kasutamise järele. Käesolev ettepanek lisatakse nimetatud paranduseelarve projektile ja selle eesmärk on kohandada vastavalt paindlikkusinstrumendist kasutusele võetavaid summasid, järgides samal ajal nende kasutuselevõtmise otstarvet. </w:t>
      </w:r>
    </w:p>
    <w:p>
      <w:pPr>
        <w:rPr>
          <w:bCs/>
          <w:noProof/>
        </w:rPr>
      </w:pPr>
      <w:r>
        <w:rPr>
          <w:noProof/>
        </w:rPr>
        <w:t>Paindlikkusinstrumendist kasutusele võetavad summad on kohandatuna kokku 1 090 miljonit eurot (enne 1 164 miljonit eurot), millest 160 miljonit eurot alamrubriigi 1a ja 930 miljonit eurot rubriigi 3 jaoks.</w:t>
      </w:r>
    </w:p>
    <w:p>
      <w:pPr>
        <w:rPr>
          <w:noProof/>
        </w:rPr>
      </w:pPr>
      <w:r>
        <w:rPr>
          <w:noProof/>
        </w:rPr>
        <w:t>Selle kavandatava kasutuselevõtmisotsusega muudetakse 12. detsembri 2018. aasta otsust (EL) 2019/276</w:t>
      </w:r>
      <w:r>
        <w:rPr>
          <w:rStyle w:val="FootnoteReference"/>
          <w:noProof/>
        </w:rPr>
        <w:footnoteReference w:id="2"/>
      </w:r>
      <w:r>
        <w:rPr>
          <w:noProof/>
        </w:rPr>
        <w:t>.</w:t>
      </w:r>
    </w:p>
    <w:p>
      <w:pPr>
        <w:rPr>
          <w:noProof/>
        </w:rPr>
      </w:pPr>
      <w:r>
        <w:rPr>
          <w:noProof/>
        </w:rPr>
        <w:t>Paindlikkusinstrumendi kavandatavaks vähendatud ulatuses kasutuselevõtmiseks vajalikud maksete assigneeringud on esitatud järgnevas tabelis.</w:t>
      </w:r>
    </w:p>
    <w:p>
      <w:pPr>
        <w:ind w:left="5040" w:firstLine="720"/>
        <w:jc w:val="left"/>
        <w:rPr>
          <w:noProof/>
        </w:rPr>
      </w:pPr>
      <w:r>
        <w:rPr>
          <w:i/>
          <w:noProof/>
          <w:sz w:val="16"/>
        </w:rPr>
        <w:t>(jooksevhinnad, miljonites eurodes)</w:t>
      </w:r>
    </w:p>
    <w:tbl>
      <w:tblPr>
        <w:tblW w:w="7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604"/>
      </w:tblGrid>
      <w:tr>
        <w:trPr>
          <w:jc w:val="center"/>
        </w:trPr>
        <w:tc>
          <w:tcPr>
            <w:tcW w:w="1560" w:type="dxa"/>
            <w:shd w:val="clear" w:color="auto" w:fill="D9D9D9"/>
          </w:tcPr>
          <w:p>
            <w:pPr>
              <w:spacing w:before="30" w:after="30"/>
              <w:jc w:val="center"/>
              <w:rPr>
                <w:b/>
                <w:noProof/>
                <w:sz w:val="16"/>
                <w:szCs w:val="16"/>
              </w:rPr>
            </w:pPr>
            <w:r>
              <w:rPr>
                <w:b/>
                <w:noProof/>
                <w:sz w:val="16"/>
              </w:rPr>
              <w:t>Aasta</w:t>
            </w:r>
          </w:p>
        </w:tc>
        <w:tc>
          <w:tcPr>
            <w:tcW w:w="5604" w:type="dxa"/>
            <w:shd w:val="clear" w:color="auto" w:fill="D9D9D9"/>
          </w:tcPr>
          <w:p>
            <w:pPr>
              <w:spacing w:before="30" w:after="30"/>
              <w:jc w:val="center"/>
              <w:rPr>
                <w:b/>
                <w:noProof/>
                <w:sz w:val="16"/>
                <w:szCs w:val="16"/>
              </w:rPr>
            </w:pPr>
            <w:r>
              <w:rPr>
                <w:b/>
                <w:noProof/>
                <w:sz w:val="16"/>
              </w:rPr>
              <w:t>2019. aastal paindlikkusinstrumendi kasutuselevõtmisega seotud maksete assigneeringud</w:t>
            </w:r>
          </w:p>
        </w:tc>
      </w:tr>
      <w:tr>
        <w:trPr>
          <w:jc w:val="center"/>
        </w:trPr>
        <w:tc>
          <w:tcPr>
            <w:tcW w:w="1560" w:type="dxa"/>
            <w:shd w:val="clear" w:color="auto" w:fill="auto"/>
          </w:tcPr>
          <w:p>
            <w:pPr>
              <w:spacing w:before="30" w:after="30"/>
              <w:jc w:val="center"/>
              <w:rPr>
                <w:noProof/>
                <w:sz w:val="16"/>
                <w:szCs w:val="16"/>
              </w:rPr>
            </w:pPr>
            <w:r>
              <w:rPr>
                <w:noProof/>
                <w:sz w:val="16"/>
              </w:rPr>
              <w:t>2019</w:t>
            </w:r>
          </w:p>
        </w:tc>
        <w:tc>
          <w:tcPr>
            <w:tcW w:w="5604" w:type="dxa"/>
            <w:shd w:val="clear" w:color="auto" w:fill="auto"/>
          </w:tcPr>
          <w:p>
            <w:pPr>
              <w:spacing w:before="30" w:after="30"/>
              <w:jc w:val="right"/>
              <w:rPr>
                <w:noProof/>
                <w:sz w:val="16"/>
                <w:szCs w:val="16"/>
              </w:rPr>
            </w:pPr>
            <w:r>
              <w:rPr>
                <w:noProof/>
                <w:sz w:val="16"/>
              </w:rPr>
              <w:t>511,5</w:t>
            </w:r>
          </w:p>
        </w:tc>
      </w:tr>
      <w:tr>
        <w:trPr>
          <w:jc w:val="center"/>
        </w:trPr>
        <w:tc>
          <w:tcPr>
            <w:tcW w:w="1560" w:type="dxa"/>
            <w:shd w:val="clear" w:color="auto" w:fill="auto"/>
          </w:tcPr>
          <w:p>
            <w:pPr>
              <w:spacing w:before="30" w:after="30"/>
              <w:jc w:val="center"/>
              <w:rPr>
                <w:noProof/>
                <w:sz w:val="16"/>
                <w:szCs w:val="16"/>
              </w:rPr>
            </w:pPr>
            <w:r>
              <w:rPr>
                <w:noProof/>
                <w:sz w:val="16"/>
              </w:rPr>
              <w:t>2020</w:t>
            </w:r>
          </w:p>
        </w:tc>
        <w:tc>
          <w:tcPr>
            <w:tcW w:w="5604" w:type="dxa"/>
            <w:shd w:val="clear" w:color="auto" w:fill="auto"/>
          </w:tcPr>
          <w:p>
            <w:pPr>
              <w:spacing w:before="30" w:after="30"/>
              <w:jc w:val="right"/>
              <w:rPr>
                <w:noProof/>
                <w:sz w:val="16"/>
                <w:szCs w:val="16"/>
              </w:rPr>
            </w:pPr>
            <w:r>
              <w:rPr>
                <w:noProof/>
                <w:sz w:val="16"/>
              </w:rPr>
              <w:t>242,3</w:t>
            </w:r>
          </w:p>
        </w:tc>
      </w:tr>
      <w:tr>
        <w:trPr>
          <w:jc w:val="center"/>
        </w:trPr>
        <w:tc>
          <w:tcPr>
            <w:tcW w:w="1560" w:type="dxa"/>
            <w:shd w:val="clear" w:color="auto" w:fill="auto"/>
          </w:tcPr>
          <w:p>
            <w:pPr>
              <w:spacing w:before="30" w:after="30"/>
              <w:jc w:val="center"/>
              <w:rPr>
                <w:noProof/>
                <w:sz w:val="16"/>
                <w:szCs w:val="16"/>
              </w:rPr>
            </w:pPr>
            <w:r>
              <w:rPr>
                <w:noProof/>
                <w:sz w:val="16"/>
              </w:rPr>
              <w:t>2021</w:t>
            </w:r>
          </w:p>
        </w:tc>
        <w:tc>
          <w:tcPr>
            <w:tcW w:w="5604" w:type="dxa"/>
            <w:shd w:val="clear" w:color="auto" w:fill="auto"/>
          </w:tcPr>
          <w:p>
            <w:pPr>
              <w:spacing w:before="30" w:after="30"/>
              <w:jc w:val="right"/>
              <w:rPr>
                <w:noProof/>
                <w:sz w:val="16"/>
                <w:szCs w:val="16"/>
              </w:rPr>
            </w:pPr>
            <w:r>
              <w:rPr>
                <w:noProof/>
                <w:sz w:val="16"/>
              </w:rPr>
              <w:t>126,3</w:t>
            </w:r>
          </w:p>
        </w:tc>
      </w:tr>
      <w:tr>
        <w:trPr>
          <w:jc w:val="center"/>
        </w:trPr>
        <w:tc>
          <w:tcPr>
            <w:tcW w:w="1560" w:type="dxa"/>
            <w:shd w:val="clear" w:color="auto" w:fill="auto"/>
          </w:tcPr>
          <w:p>
            <w:pPr>
              <w:spacing w:before="30" w:after="30"/>
              <w:jc w:val="center"/>
              <w:rPr>
                <w:noProof/>
                <w:sz w:val="16"/>
                <w:szCs w:val="16"/>
              </w:rPr>
            </w:pPr>
            <w:r>
              <w:rPr>
                <w:noProof/>
                <w:sz w:val="16"/>
              </w:rPr>
              <w:t>2022</w:t>
            </w:r>
          </w:p>
        </w:tc>
        <w:tc>
          <w:tcPr>
            <w:tcW w:w="5604" w:type="dxa"/>
            <w:shd w:val="clear" w:color="auto" w:fill="auto"/>
          </w:tcPr>
          <w:p>
            <w:pPr>
              <w:spacing w:before="30" w:after="30"/>
              <w:jc w:val="right"/>
              <w:rPr>
                <w:noProof/>
                <w:sz w:val="16"/>
                <w:szCs w:val="16"/>
              </w:rPr>
            </w:pPr>
            <w:r>
              <w:rPr>
                <w:noProof/>
                <w:sz w:val="16"/>
              </w:rPr>
              <w:t>132,0</w:t>
            </w:r>
          </w:p>
        </w:tc>
      </w:tr>
      <w:tr>
        <w:trPr>
          <w:jc w:val="center"/>
        </w:trPr>
        <w:tc>
          <w:tcPr>
            <w:tcW w:w="1560" w:type="dxa"/>
            <w:shd w:val="clear" w:color="auto" w:fill="auto"/>
          </w:tcPr>
          <w:p>
            <w:pPr>
              <w:spacing w:before="30" w:after="30"/>
              <w:jc w:val="center"/>
              <w:rPr>
                <w:noProof/>
                <w:sz w:val="16"/>
                <w:szCs w:val="16"/>
              </w:rPr>
            </w:pPr>
            <w:r>
              <w:rPr>
                <w:noProof/>
                <w:sz w:val="16"/>
              </w:rPr>
              <w:t>2023</w:t>
            </w:r>
          </w:p>
        </w:tc>
        <w:tc>
          <w:tcPr>
            <w:tcW w:w="5604" w:type="dxa"/>
            <w:shd w:val="clear" w:color="auto" w:fill="auto"/>
          </w:tcPr>
          <w:p>
            <w:pPr>
              <w:spacing w:before="30" w:after="30"/>
              <w:jc w:val="right"/>
              <w:rPr>
                <w:noProof/>
                <w:sz w:val="16"/>
                <w:szCs w:val="16"/>
              </w:rPr>
            </w:pPr>
            <w:r>
              <w:rPr>
                <w:noProof/>
                <w:sz w:val="16"/>
              </w:rPr>
              <w:t>78,3</w:t>
            </w:r>
          </w:p>
        </w:tc>
      </w:tr>
      <w:tr>
        <w:trPr>
          <w:jc w:val="center"/>
        </w:trPr>
        <w:tc>
          <w:tcPr>
            <w:tcW w:w="1560" w:type="dxa"/>
            <w:shd w:val="clear" w:color="auto" w:fill="D9D9D9"/>
          </w:tcPr>
          <w:p>
            <w:pPr>
              <w:spacing w:before="30" w:after="30"/>
              <w:jc w:val="right"/>
              <w:rPr>
                <w:b/>
                <w:noProof/>
                <w:sz w:val="16"/>
                <w:szCs w:val="16"/>
              </w:rPr>
            </w:pPr>
            <w:r>
              <w:rPr>
                <w:b/>
                <w:noProof/>
                <w:sz w:val="16"/>
              </w:rPr>
              <w:t>Kokku</w:t>
            </w:r>
          </w:p>
        </w:tc>
        <w:tc>
          <w:tcPr>
            <w:tcW w:w="5604" w:type="dxa"/>
            <w:shd w:val="clear" w:color="auto" w:fill="D9D9D9"/>
          </w:tcPr>
          <w:p>
            <w:pPr>
              <w:spacing w:before="30" w:after="30"/>
              <w:jc w:val="right"/>
              <w:rPr>
                <w:b/>
                <w:noProof/>
                <w:sz w:val="16"/>
                <w:szCs w:val="16"/>
              </w:rPr>
            </w:pPr>
            <w:r>
              <w:rPr>
                <w:b/>
                <w:noProof/>
                <w:sz w:val="16"/>
              </w:rPr>
              <w:t>1 090,4</w:t>
            </w:r>
          </w:p>
        </w:tc>
      </w:tr>
    </w:tbl>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Statut"/>
        <w:rPr>
          <w:noProof/>
        </w:rPr>
      </w:pPr>
      <w:r>
        <w:rPr>
          <w:noProof/>
        </w:rPr>
        <w:lastRenderedPageBreak/>
        <w:t>Ettepanek:</w:t>
      </w:r>
    </w:p>
    <w:p>
      <w:pPr>
        <w:pStyle w:val="Typedudocument"/>
        <w:rPr>
          <w:noProof/>
        </w:rPr>
      </w:pPr>
      <w:r>
        <w:rPr>
          <w:noProof/>
        </w:rPr>
        <w:t>EUROOPA PARLAMENDI JA NÕUKOGU OTSUS,</w:t>
      </w:r>
    </w:p>
    <w:p>
      <w:pPr>
        <w:pStyle w:val="Titreobjet"/>
        <w:rPr>
          <w:noProof/>
        </w:rPr>
      </w:pPr>
      <w:r>
        <w:rPr>
          <w:noProof/>
        </w:rPr>
        <w:t>millega muudetakse otsust (EL) 2019/276 seoses 2019. aastal rände-, pagulas- ja julgeolekuprobleemide lahendamiseks kasutusele võetavate paindlikkusinstrumendi summade kohandamisega</w:t>
      </w:r>
    </w:p>
    <w:p>
      <w:pPr>
        <w:pStyle w:val="Institutionquiagit"/>
        <w:rPr>
          <w:noProof/>
        </w:rPr>
      </w:pPr>
      <w:r>
        <w:rPr>
          <w:noProof/>
        </w:rPr>
        <w:t>EUROOPA PARLAMENT JA EUROOPA LIIDU NÕUKOGU,</w:t>
      </w:r>
    </w:p>
    <w:p>
      <w:pPr>
        <w:rPr>
          <w:noProof/>
        </w:rPr>
      </w:pPr>
      <w:r>
        <w:rPr>
          <w:noProof/>
        </w:rPr>
        <w:t>võttes arvesse Euroopa Liidu toimimise lepingut,</w:t>
      </w:r>
    </w:p>
    <w:p>
      <w:pPr>
        <w:rPr>
          <w:noProof/>
        </w:rPr>
      </w:pPr>
      <w:r>
        <w:rPr>
          <w:noProof/>
        </w:rPr>
        <w:t>võttes arvesse 2. detsembri 2013. aasta institutsioonidevahelist kokkulepet Euroopa Parlamendi, nõukogu ja komisjoni vahel eelarvedistsipliini, eelarvealase koostöö ning usaldusväärse finantsjuhtimise kohta,</w:t>
      </w:r>
      <w:r>
        <w:rPr>
          <w:rStyle w:val="FootnoteReference"/>
          <w:noProof/>
        </w:rPr>
        <w:footnoteReference w:id="3"/>
      </w:r>
      <w:r>
        <w:rPr>
          <w:noProof/>
        </w:rPr>
        <w:t xml:space="preserve"> eriti selle punkti 12,</w:t>
      </w:r>
    </w:p>
    <w:p>
      <w:pPr>
        <w:rPr>
          <w:noProof/>
        </w:rPr>
      </w:pPr>
      <w:r>
        <w:rPr>
          <w:noProof/>
        </w:rPr>
        <w:t>võttes arvesse Euroopa Komisjoni ettepanekut</w:t>
      </w:r>
    </w:p>
    <w:p>
      <w:pPr>
        <w:rPr>
          <w:noProof/>
        </w:rPr>
      </w:pPr>
      <w:r>
        <w:rPr>
          <w:noProof/>
        </w:rPr>
        <w:t>ning arvestades järgmist:</w:t>
      </w:r>
    </w:p>
    <w:p>
      <w:pPr>
        <w:pStyle w:val="ManualConsidrant"/>
        <w:rPr>
          <w:noProof/>
        </w:rPr>
      </w:pPr>
      <w:r>
        <w:t>(1)</w:t>
      </w:r>
      <w:r>
        <w:tab/>
      </w:r>
      <w:r>
        <w:rPr>
          <w:noProof/>
        </w:rPr>
        <w:t>Paindlikkusinstrumendiga on võimalik rahastada selgelt määratletud kulusid, mida ei saa rahastada ühe või mitme muu rubriigi ülemmäärade piires.</w:t>
      </w:r>
    </w:p>
    <w:p>
      <w:pPr>
        <w:pStyle w:val="ManualConsidrant"/>
        <w:rPr>
          <w:noProof/>
        </w:rPr>
      </w:pPr>
      <w:r>
        <w:t>(2)</w:t>
      </w:r>
      <w:r>
        <w:tab/>
      </w:r>
      <w:r>
        <w:rPr>
          <w:noProof/>
        </w:rPr>
        <w:t>Nõukogu määruse (EL, Euratom) nr 1311/2013</w:t>
      </w:r>
      <w:r>
        <w:rPr>
          <w:rStyle w:val="FootnoteReference"/>
          <w:noProof/>
        </w:rPr>
        <w:footnoteReference w:id="4"/>
      </w:r>
      <w:r>
        <w:rPr>
          <w:noProof/>
        </w:rPr>
        <w:t xml:space="preserve"> artiklis 11 sätestatud paindlikkusinstrumendi aastast ülemmäära 600 000 000 eurot (2011. aasta hindades) suurendatakse vajaduse korral tühistatud summade võrra, mis on tehtud kättesaadavaks kooskõlas nimetatud artikli lõike 1 teise lõiguga. </w:t>
      </w:r>
    </w:p>
    <w:p>
      <w:pPr>
        <w:pStyle w:val="ManualConsidrant"/>
        <w:rPr>
          <w:noProof/>
        </w:rPr>
      </w:pPr>
      <w:r>
        <w:t>(3)</w:t>
      </w:r>
      <w:r>
        <w:tab/>
      </w:r>
      <w:r>
        <w:rPr>
          <w:noProof/>
        </w:rPr>
        <w:t>12. detsembril 2018 võtsid Euroopa Parlament ja nõukogu vastu otsuse (EL) 2019/276,</w:t>
      </w:r>
      <w:r>
        <w:rPr>
          <w:rStyle w:val="FootnoteReference"/>
          <w:noProof/>
        </w:rPr>
        <w:footnoteReference w:id="5"/>
      </w:r>
      <w:r>
        <w:rPr>
          <w:noProof/>
        </w:rPr>
        <w:t xml:space="preserve"> millega võetakse 2019. eelarveaastal kasutusele paindlikkusinstrument, ületades alamrubriigi 1a (</w:t>
      </w:r>
      <w:r>
        <w:rPr>
          <w:i/>
          <w:noProof/>
        </w:rPr>
        <w:t>Konkurentsivõime majanduskasvu ja tööhõive tagamiseks</w:t>
      </w:r>
      <w:r>
        <w:rPr>
          <w:noProof/>
        </w:rPr>
        <w:t>) ülemmäära konkurentsivõime põhiprogrammide tugevdamiseks 178 715 475 euro ulatuses ja rubriigi 3 (</w:t>
      </w:r>
      <w:r>
        <w:rPr>
          <w:i/>
          <w:noProof/>
        </w:rPr>
        <w:t>Julgeolek ja kodakondsus</w:t>
      </w:r>
      <w:r>
        <w:rPr>
          <w:noProof/>
        </w:rPr>
        <w:t>) ülemmäära rände-, pagulas- ja julgeolekuprobleemide lahendamiseks võetavate meetmete rahastamiseks 985 629 138 euro ulatuses.</w:t>
      </w:r>
    </w:p>
    <w:p>
      <w:pPr>
        <w:pStyle w:val="ManualConsidrant"/>
        <w:rPr>
          <w:noProof/>
        </w:rPr>
      </w:pPr>
      <w:r>
        <w:t>(4)</w:t>
      </w:r>
      <w:r>
        <w:tab/>
      </w:r>
      <w:r>
        <w:rPr>
          <w:noProof/>
        </w:rPr>
        <w:t>Paranduseelarve projekt nr 4/2019</w:t>
      </w:r>
      <w:r>
        <w:rPr>
          <w:rStyle w:val="FootnoteReference"/>
          <w:noProof/>
        </w:rPr>
        <w:footnoteReference w:id="6"/>
      </w:r>
      <w:r>
        <w:rPr>
          <w:noProof/>
        </w:rPr>
        <w:t xml:space="preserve"> sisaldab alamrubriigi 1a ja rubriigi 3 kulukohustuste assigneeringute vähendusi ja vähendab seega vajadust paindlikkusinstrumendi kasutamise järele. Seepärast on vaja vastavalt kohandada 2019. aastal paindlikkusinstrumendist kasutuselevõetavaid summasid. Samuti on vaja kohandada prognoositud makseprofiili. </w:t>
      </w:r>
    </w:p>
    <w:p>
      <w:pPr>
        <w:pStyle w:val="ManualConsidrant"/>
        <w:rPr>
          <w:noProof/>
        </w:rPr>
      </w:pPr>
      <w:r>
        <w:t>(5)</w:t>
      </w:r>
      <w:r>
        <w:tab/>
      </w:r>
      <w:r>
        <w:rPr>
          <w:noProof/>
        </w:rPr>
        <w:t>Seepärast tuleks otsust (EL) 2019/276 vastavalt muuta.</w:t>
      </w:r>
    </w:p>
    <w:p>
      <w:pPr>
        <w:pStyle w:val="ManualConsidrant"/>
        <w:rPr>
          <w:noProof/>
        </w:rPr>
      </w:pPr>
      <w:r>
        <w:t>(6)</w:t>
      </w:r>
      <w:r>
        <w:tab/>
      </w:r>
      <w:r>
        <w:rPr>
          <w:noProof/>
        </w:rPr>
        <w:t xml:space="preserve">Paindlikkusinstrumendi kasutuselevõtmine otsustati samaaegselt 2019. aasta eelarveparandusega, sest see võimaldab rahastada mõningaid meetmeid, ületades </w:t>
      </w:r>
      <w:r>
        <w:rPr>
          <w:noProof/>
        </w:rPr>
        <w:lastRenderedPageBreak/>
        <w:t>mitmeaastase finantsraamistiku ülemmäära. Et tagada kõnealuse kohanduse sidusus, peaks käesolev otsus jõustuma selle vastuvõtmise päeval,</w:t>
      </w:r>
    </w:p>
    <w:tbl>
      <w:tblPr>
        <w:tblW w:w="5000" w:type="pct"/>
        <w:tblCellMar>
          <w:left w:w="0" w:type="dxa"/>
          <w:right w:w="0" w:type="dxa"/>
        </w:tblCellMar>
        <w:tblLook w:val="04A0" w:firstRow="1" w:lastRow="0" w:firstColumn="1" w:lastColumn="0" w:noHBand="0" w:noVBand="1"/>
      </w:tblPr>
      <w:tblGrid>
        <w:gridCol w:w="4536"/>
        <w:gridCol w:w="4537"/>
      </w:tblGrid>
      <w:tr>
        <w:tc>
          <w:tcPr>
            <w:tcW w:w="0" w:type="auto"/>
            <w:shd w:val="clear" w:color="auto" w:fill="auto"/>
            <w:hideMark/>
          </w:tcPr>
          <w:p>
            <w:pPr>
              <w:spacing w:before="0" w:after="0"/>
              <w:jc w:val="left"/>
              <w:rPr>
                <w:rFonts w:eastAsia="Times New Roman"/>
                <w:noProof/>
                <w:sz w:val="20"/>
                <w:szCs w:val="24"/>
              </w:rPr>
            </w:pPr>
          </w:p>
        </w:tc>
        <w:tc>
          <w:tcPr>
            <w:tcW w:w="0" w:type="auto"/>
            <w:shd w:val="clear" w:color="auto" w:fill="auto"/>
            <w:hideMark/>
          </w:tcPr>
          <w:p>
            <w:pPr>
              <w:spacing w:after="0" w:line="312" w:lineRule="atLeast"/>
              <w:rPr>
                <w:rFonts w:ascii="&amp;quot" w:eastAsia="Times New Roman" w:hAnsi="&amp;quot"/>
                <w:noProof/>
                <w:color w:val="444444"/>
                <w:szCs w:val="24"/>
              </w:rPr>
            </w:pPr>
          </w:p>
        </w:tc>
      </w:tr>
    </w:tbl>
    <w:p>
      <w:pPr>
        <w:pStyle w:val="Formuledadoption"/>
        <w:rPr>
          <w:noProof/>
        </w:rPr>
      </w:pPr>
      <w:r>
        <w:rPr>
          <w:noProof/>
        </w:rPr>
        <w:t xml:space="preserve">ON VASTU VÕTNUD KÄESOLEVA OTSUSE: </w:t>
      </w:r>
    </w:p>
    <w:p>
      <w:pPr>
        <w:pStyle w:val="Titrearticle"/>
        <w:rPr>
          <w:noProof/>
        </w:rPr>
      </w:pPr>
      <w:r>
        <w:rPr>
          <w:noProof/>
        </w:rPr>
        <w:t>Artikkel 1</w:t>
      </w:r>
    </w:p>
    <w:p>
      <w:pPr>
        <w:rPr>
          <w:noProof/>
        </w:rPr>
      </w:pPr>
      <w:r>
        <w:rPr>
          <w:noProof/>
        </w:rPr>
        <w:t>Otsuse (EL) 2019/276 artikli 1 lõike 1 esimest lõiku muudetakse järgmiselt: tekst „178 715 475 euro“ asendatakse tekstiga „160 195 475 euro“ ja tekst „985 629 138 miljoni euro“ asendatakse tekstiga „930 188 138 euro“. Lõike 2 esimese lõigu punktid a kuni e asendatakse järgneva tekstiga:</w:t>
      </w:r>
    </w:p>
    <w:p>
      <w:pPr>
        <w:pStyle w:val="QuotedText"/>
        <w:rPr>
          <w:noProof/>
        </w:rPr>
      </w:pPr>
      <w:r>
        <w:rPr>
          <w:noProof/>
        </w:rPr>
        <w:t>„a)</w:t>
      </w:r>
      <w:r>
        <w:rPr>
          <w:noProof/>
        </w:rPr>
        <w:tab/>
        <w:t>2019. aastal 511 468 976 eurot;</w:t>
      </w:r>
    </w:p>
    <w:p>
      <w:pPr>
        <w:pStyle w:val="QuotedText"/>
        <w:rPr>
          <w:noProof/>
        </w:rPr>
      </w:pPr>
      <w:r>
        <w:rPr>
          <w:noProof/>
        </w:rPr>
        <w:t>b)</w:t>
      </w:r>
      <w:r>
        <w:rPr>
          <w:noProof/>
        </w:rPr>
        <w:tab/>
        <w:t>2020. aastal 242 308 256 eurot;</w:t>
      </w:r>
    </w:p>
    <w:p>
      <w:pPr>
        <w:pStyle w:val="QuotedText"/>
        <w:rPr>
          <w:noProof/>
        </w:rPr>
      </w:pPr>
      <w:r>
        <w:rPr>
          <w:noProof/>
        </w:rPr>
        <w:t>c)</w:t>
      </w:r>
      <w:r>
        <w:rPr>
          <w:noProof/>
        </w:rPr>
        <w:tab/>
        <w:t>2021. aastal 126 300 853 eurot;</w:t>
      </w:r>
    </w:p>
    <w:p>
      <w:pPr>
        <w:pStyle w:val="QuotedText"/>
        <w:rPr>
          <w:noProof/>
        </w:rPr>
      </w:pPr>
      <w:r>
        <w:rPr>
          <w:noProof/>
        </w:rPr>
        <w:t>d)</w:t>
      </w:r>
      <w:r>
        <w:rPr>
          <w:noProof/>
        </w:rPr>
        <w:tab/>
        <w:t>2022. aastal 131 990 641 eurot;</w:t>
      </w:r>
    </w:p>
    <w:p>
      <w:pPr>
        <w:pStyle w:val="QuotedText"/>
        <w:rPr>
          <w:noProof/>
        </w:rPr>
      </w:pPr>
      <w:r>
        <w:rPr>
          <w:noProof/>
        </w:rPr>
        <w:t>e)</w:t>
      </w:r>
      <w:r>
        <w:rPr>
          <w:noProof/>
        </w:rPr>
        <w:tab/>
        <w:t>2023. aastal 78 314 887 eurot.“</w:t>
      </w:r>
    </w:p>
    <w:p>
      <w:pPr>
        <w:pStyle w:val="Titrearticle"/>
        <w:rPr>
          <w:noProof/>
        </w:rPr>
      </w:pPr>
      <w:r>
        <w:rPr>
          <w:noProof/>
        </w:rPr>
        <w:t>Artikkel 2</w:t>
      </w:r>
    </w:p>
    <w:p>
      <w:pPr>
        <w:keepNext/>
        <w:keepLines/>
        <w:rPr>
          <w:noProof/>
        </w:rPr>
      </w:pPr>
      <w:r>
        <w:rPr>
          <w:noProof/>
        </w:rPr>
        <w:t xml:space="preserve">Käesolev otsus jõustub selle </w:t>
      </w:r>
      <w:r>
        <w:rPr>
          <w:i/>
          <w:noProof/>
        </w:rPr>
        <w:t>Euroopa Liidu Teatajas</w:t>
      </w:r>
      <w:r>
        <w:rPr>
          <w:noProof/>
        </w:rPr>
        <w:t xml:space="preserve"> avaldamise päeval.</w:t>
      </w:r>
    </w:p>
    <w:p>
      <w:pPr>
        <w:pStyle w:val="Fait"/>
        <w:rPr>
          <w:noProof/>
        </w:rPr>
      </w:pPr>
      <w:r>
        <w:t>Brüssel,</w:t>
      </w:r>
    </w:p>
    <w:p>
      <w:pPr>
        <w:pStyle w:val="Institutionquisigne"/>
        <w:rPr>
          <w:noProof/>
        </w:rPr>
      </w:pPr>
      <w:r>
        <w:rPr>
          <w:noProof/>
        </w:rPr>
        <w:t>Euroopa Parlamendi nimel</w:t>
      </w:r>
      <w:r>
        <w:rPr>
          <w:noProof/>
        </w:rPr>
        <w:tab/>
        <w:t>Nõukogu nimel</w:t>
      </w:r>
    </w:p>
    <w:p>
      <w:pPr>
        <w:pStyle w:val="Personnequisigne"/>
        <w:rPr>
          <w:noProof/>
        </w:rPr>
      </w:pPr>
      <w:r>
        <w:rPr>
          <w:noProof/>
        </w:rPr>
        <w:t>president</w:t>
      </w:r>
      <w:r>
        <w:rPr>
          <w:noProof/>
        </w:rPr>
        <w:tab/>
        <w:t>eesistuja</w:t>
      </w:r>
    </w:p>
    <w:sectPr>
      <w:pgSz w:w="11907" w:h="16839"/>
      <w:pgMar w:top="1134" w:right="1417" w:bottom="1134"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8F66FC" w15:done="0"/>
  <w15:commentEx w15:paraId="475FBF07" w15:done="0"/>
  <w15:commentEx w15:paraId="64C2CC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rPr>
        <w:rFonts w:ascii="Arial" w:hAnsi="Arial" w:cs="Arial"/>
        <w:b/>
        <w:sz w:val="48"/>
      </w:rPr>
      <w:tab/>
    </w:r>
    <w:r>
      <w:tab/>
    </w:r>
    <w:r>
      <w:rPr>
        <w:rFonts w:ascii="Arial" w:hAnsi="Arial" w:cs="Arial"/>
        <w:b/>
        <w:sz w:val="48"/>
      </w:rPr>
      <w:t>ET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ET</w:t>
    </w:r>
    <w:r>
      <w:rPr>
        <w:rFonts w:ascii="Arial" w:hAnsi="Arial" w:cs="Arial"/>
        <w:b/>
        <w:sz w:val="48"/>
      </w:rPr>
      <w:tab/>
    </w:r>
    <w:r>
      <w:fldChar w:fldCharType="begin"/>
    </w:r>
    <w:r>
      <w:instrText xml:space="preserve"> PAGE  \* MERGEFORMAT </w:instrText>
    </w:r>
    <w:r>
      <w:fldChar w:fldCharType="separate"/>
    </w:r>
    <w:r>
      <w:rPr>
        <w:noProof/>
      </w:rPr>
      <w:t>3</w:t>
    </w:r>
    <w:r>
      <w:fldChar w:fldCharType="end"/>
    </w:r>
    <w:r>
      <w:tab/>
    </w:r>
    <w:r>
      <w:tab/>
    </w:r>
    <w:r>
      <w:rPr>
        <w:rFonts w:ascii="Arial" w:hAnsi="Arial" w:cs="Arial"/>
        <w:b/>
        <w:sz w:val="48"/>
      </w:rPr>
      <w:t>ET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da-DK"/>
        </w:rPr>
      </w:pPr>
      <w:r>
        <w:rPr>
          <w:rStyle w:val="FootnoteReference"/>
        </w:rPr>
        <w:footnoteRef/>
      </w:r>
      <w:r>
        <w:tab/>
        <w:t>COM(2019) 610, 2.7.2019.</w:t>
      </w:r>
    </w:p>
  </w:footnote>
  <w:footnote w:id="2">
    <w:p>
      <w:pPr>
        <w:pStyle w:val="FootnoteText"/>
        <w:rPr>
          <w:lang w:val="da-DK"/>
        </w:rPr>
      </w:pPr>
      <w:r>
        <w:rPr>
          <w:rStyle w:val="FootnoteReference"/>
        </w:rPr>
        <w:footnoteRef/>
      </w:r>
      <w:r>
        <w:tab/>
        <w:t>ELT L54, 22.2.2019, lk 3.</w:t>
      </w:r>
    </w:p>
  </w:footnote>
  <w:footnote w:id="3">
    <w:p>
      <w:pPr>
        <w:pStyle w:val="FootnoteText"/>
        <w:rPr>
          <w:lang w:val="da-DK"/>
        </w:rPr>
      </w:pPr>
      <w:r>
        <w:rPr>
          <w:rStyle w:val="FootnoteReference"/>
        </w:rPr>
        <w:footnoteRef/>
      </w:r>
      <w:r>
        <w:tab/>
        <w:t>ELT C 373, 20.12.2013, lk 1.</w:t>
      </w:r>
    </w:p>
  </w:footnote>
  <w:footnote w:id="4">
    <w:p>
      <w:pPr>
        <w:pStyle w:val="FootnoteText"/>
      </w:pPr>
      <w:r>
        <w:rPr>
          <w:rStyle w:val="FootnoteReference"/>
        </w:rPr>
        <w:footnoteRef/>
      </w:r>
      <w:r>
        <w:tab/>
        <w:t>Nõukogu 2. detsembri 2013. aasta määrus (EL, Euratom) nr 1311/2013, millega määratakse kindlaks mitmeaastane finantsraamistik aastateks 2014–2020 (ELT L 347, 20.12.2013, lk 884).</w:t>
      </w:r>
    </w:p>
  </w:footnote>
  <w:footnote w:id="5">
    <w:p>
      <w:pPr>
        <w:pStyle w:val="FootnoteText"/>
      </w:pPr>
      <w:r>
        <w:rPr>
          <w:rStyle w:val="FootnoteReference"/>
        </w:rPr>
        <w:footnoteRef/>
      </w:r>
      <w:r>
        <w:tab/>
        <w:t>Euroopa Parlamendi ja nõukogu 12. detsembri 2018. aasta otsus (EL) 2019/276 paindlikkusinstrumendi kasutuselevõtmise kohta ELi konkurentsivõime põhiprogrammide tugevdamiseks ning praeguste rände-, pagulas- ja julgeolekuprobleemide lahendamiseks võetavate kiireloomuliste meetmete rahastamiseks eelarvest (ELT L 54, 22.2.2019, lk 3).</w:t>
      </w:r>
    </w:p>
  </w:footnote>
  <w:footnote w:id="6">
    <w:p>
      <w:pPr>
        <w:pStyle w:val="FootnoteText"/>
        <w:rPr>
          <w:lang w:val="cs-CZ"/>
        </w:rPr>
      </w:pPr>
      <w:r>
        <w:rPr>
          <w:rStyle w:val="FootnoteReference"/>
        </w:rPr>
        <w:footnoteRef/>
      </w:r>
      <w:r>
        <w:tab/>
        <w:t>COM(2019) 610, 2. juuli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3EEB6F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4F4D2D2"/>
    <w:lvl w:ilvl="0">
      <w:start w:val="1"/>
      <w:numFmt w:val="decimal"/>
      <w:pStyle w:val="ListNumber3"/>
      <w:lvlText w:val="%1."/>
      <w:lvlJc w:val="left"/>
      <w:pPr>
        <w:tabs>
          <w:tab w:val="num" w:pos="926"/>
        </w:tabs>
        <w:ind w:left="926" w:hanging="360"/>
      </w:pPr>
    </w:lvl>
  </w:abstractNum>
  <w:abstractNum w:abstractNumId="2">
    <w:nsid w:val="FFFFFF7F"/>
    <w:multiLevelType w:val="singleLevel"/>
    <w:tmpl w:val="0538956A"/>
    <w:lvl w:ilvl="0">
      <w:start w:val="1"/>
      <w:numFmt w:val="decimal"/>
      <w:pStyle w:val="ListNumber2"/>
      <w:lvlText w:val="%1."/>
      <w:lvlJc w:val="left"/>
      <w:pPr>
        <w:tabs>
          <w:tab w:val="num" w:pos="643"/>
        </w:tabs>
        <w:ind w:left="643" w:hanging="360"/>
      </w:pPr>
    </w:lvl>
  </w:abstractNum>
  <w:abstractNum w:abstractNumId="3">
    <w:nsid w:val="FFFFFF81"/>
    <w:multiLevelType w:val="singleLevel"/>
    <w:tmpl w:val="3C4A549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D5C9A9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03E2AE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A721C86"/>
    <w:lvl w:ilvl="0">
      <w:start w:val="1"/>
      <w:numFmt w:val="decimal"/>
      <w:pStyle w:val="ListNumber"/>
      <w:lvlText w:val="%1."/>
      <w:lvlJc w:val="left"/>
      <w:pPr>
        <w:tabs>
          <w:tab w:val="num" w:pos="360"/>
        </w:tabs>
        <w:ind w:left="360" w:hanging="360"/>
      </w:pPr>
    </w:lvl>
  </w:abstractNum>
  <w:abstractNum w:abstractNumId="7">
    <w:nsid w:val="FFFFFF89"/>
    <w:multiLevelType w:val="singleLevel"/>
    <w:tmpl w:val="CBE49DD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LNINS Edgars (SJ)">
    <w15:presenceInfo w15:providerId="None" w15:userId="KALNINS Edgars (S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7-12 13:58:0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FA54E363-F5CA-4167-9388-58E62E45AFDC"/>
    <w:docVar w:name="LW_COVERPAGE_TYPE" w:val="1"/>
    <w:docVar w:name="LW_CROSSREFERENCE" w:val="&lt;UNUSED&gt;"/>
    <w:docVar w:name="LW_DocType" w:val="COM"/>
    <w:docVar w:name="LW_EMISSION" w:val="2.7.2019"/>
    <w:docVar w:name="LW_EMISSION_ISODATE" w:val="2019-07-02"/>
    <w:docVar w:name="LW_EMISSION_LOCATION" w:val="BRX"/>
    <w:docVar w:name="LW_EMISSION_PREFIX" w:val="Brüssel,"/>
    <w:docVar w:name="LW_EMISSION_SUFFIX" w:val=" "/>
    <w:docVar w:name="LW_ID_DOCMODEL" w:val="SJ-026"/>
    <w:docVar w:name="LW_ID_DOCSIGNATURE" w:val="SJ-026"/>
    <w:docVar w:name="LW_ID_DOCSTRUCTURE" w:val="COM/PL/ORG"/>
    <w:docVar w:name="LW_ID_DOCTYPE" w:val="SJ-026"/>
    <w:docVar w:name="LW_ID_EXP.MOTIFS.NEW" w:val="EM_PL_"/>
    <w:docVar w:name="LW_ID_STATUT" w:val="SJ-026"/>
    <w:docVar w:name="LW_INTERETEEE.CP" w:val="&lt;UNUSED&gt;"/>
    <w:docVar w:name="LW_LANGUE" w:val="ET"/>
    <w:docVar w:name="LW_LEVEL_OF_SENSITIVITY" w:val="Standard treatment"/>
    <w:docVar w:name="LW_NOM.INST" w:val="EUROOPA KOMISJON"/>
    <w:docVar w:name="LW_NOM.INST_JOINTDOC" w:val="&lt;EMPTY&gt;"/>
    <w:docVar w:name="LW_PART_NBR" w:val="1"/>
    <w:docVar w:name="LW_PART_NBR_TOTAL" w:val="1"/>
    <w:docVar w:name="LW_REF.II.NEW.CP" w:val="&lt;UNUSED&gt;"/>
    <w:docVar w:name="LW_REF.II.NEW.CP_NUMBER" w:val="&lt;UNUSED&gt;"/>
    <w:docVar w:name="LW_REF.II.NEW.CP_YEAR" w:val="2019"/>
    <w:docVar w:name="LW_REF.INST.NEW" w:val="COM"/>
    <w:docVar w:name="LW_REF.INST.NEW_ADOPTED" w:val="final"/>
    <w:docVar w:name="LW_REF.INST.NEW_TEXT" w:val="(2019) 60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Ettepanek:"/>
    <w:docVar w:name="LW_SUPERTITRE" w:val="&lt;UNUSED&gt;"/>
    <w:docVar w:name="LW_TITRE.OBJ.CP" w:val="millega muudetakse otsust (EL) 2019/276 seoses 2019. aastal rände-, pagulas- ja julgeolekuprobleemide lahendamiseks kasutusele võetavate paindlikkusinstrumendi summade kohandamisega"/>
    <w:docVar w:name="LW_TYPE.DOC.CP" w:val="EUROOPA PARLAMENDI JA NÕUKOGU OTSU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t-E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t-EE"/>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1">
    <w:name w:val="Normal1"/>
    <w:basedOn w:val="Normal"/>
    <w:pPr>
      <w:spacing w:before="100" w:beforeAutospacing="1" w:after="100" w:afterAutospacing="1"/>
      <w:jc w:val="left"/>
    </w:pPr>
    <w:rPr>
      <w:rFonts w:eastAsia="Times New Roman"/>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t-E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t-E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t-EE"/>
    </w:rPr>
  </w:style>
  <w:style w:type="character" w:styleId="Hyperlink">
    <w:name w:val="Hyperlink"/>
    <w:basedOn w:val="DefaultParagraphFont"/>
    <w:uiPriority w:val="99"/>
    <w:unhideWhenUsed/>
    <w:rPr>
      <w:color w:val="0000FF" w:themeColor="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1">
    <w:name w:val="Normal1"/>
    <w:basedOn w:val="Normal"/>
    <w:pPr>
      <w:spacing w:before="100" w:beforeAutospacing="1" w:after="100" w:afterAutospacing="1"/>
      <w:jc w:val="left"/>
    </w:pPr>
    <w:rPr>
      <w:rFonts w:eastAsia="Times New Roman"/>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t-E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67102">
      <w:bodyDiv w:val="1"/>
      <w:marLeft w:val="0"/>
      <w:marRight w:val="0"/>
      <w:marTop w:val="0"/>
      <w:marBottom w:val="0"/>
      <w:divBdr>
        <w:top w:val="none" w:sz="0" w:space="0" w:color="auto"/>
        <w:left w:val="none" w:sz="0" w:space="0" w:color="auto"/>
        <w:bottom w:val="none" w:sz="0" w:space="0" w:color="auto"/>
        <w:right w:val="none" w:sz="0" w:space="0" w:color="auto"/>
      </w:divBdr>
    </w:div>
    <w:div w:id="708144520">
      <w:bodyDiv w:val="1"/>
      <w:marLeft w:val="0"/>
      <w:marRight w:val="0"/>
      <w:marTop w:val="0"/>
      <w:marBottom w:val="0"/>
      <w:divBdr>
        <w:top w:val="none" w:sz="0" w:space="0" w:color="auto"/>
        <w:left w:val="none" w:sz="0" w:space="0" w:color="auto"/>
        <w:bottom w:val="none" w:sz="0" w:space="0" w:color="auto"/>
        <w:right w:val="none" w:sz="0" w:space="0" w:color="auto"/>
      </w:divBdr>
    </w:div>
    <w:div w:id="98142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C165ABD-2371-4B19-BE9F-1B0E9004E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4</Pages>
  <Words>535</Words>
  <Characters>3874</Characters>
  <Application>Microsoft Office Word</Application>
  <DocSecurity>0</DocSecurity>
  <Lines>92</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17</cp:revision>
  <cp:lastPrinted>2019-06-14T14:15:00Z</cp:lastPrinted>
  <dcterms:created xsi:type="dcterms:W3CDTF">2019-07-12T10:28:00Z</dcterms:created>
  <dcterms:modified xsi:type="dcterms:W3CDTF">2019-07-12T11:58:00Z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SJ-026</vt:lpwstr>
  </property>
  <property fmtid="{D5CDD505-2E9C-101B-9397-08002B2CF9AE}" pid="10" name="DQCStatus">
    <vt:lpwstr>Green (DQC version 03)</vt:lpwstr>
  </property>
  <property name="OP_sanitized" fmtid="{D5CDD505-2E9C-101B-9397-08002B2CF9AE}" pid="11">
    <vt:lpwstr>True</vt:lpwstr>
  </property>
</Properties>
</file>