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01119B36-6407-4D35-AAB3-619D77131594" style="width:450.7pt;height:365.6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SELETUSKIRI</w:t>
      </w:r>
    </w:p>
    <w:p>
      <w:pPr>
        <w:pStyle w:val="ManualHeading1"/>
        <w:rPr>
          <w:noProof/>
        </w:rPr>
      </w:pPr>
      <w:r>
        <w:rPr>
          <w:noProof/>
        </w:rPr>
        <w:t>1.</w:t>
      </w:r>
      <w:r>
        <w:rPr>
          <w:noProof/>
        </w:rPr>
        <w:tab/>
        <w:t>ETTEPANEKU TAUST</w:t>
      </w:r>
    </w:p>
    <w:p>
      <w:pPr>
        <w:rPr>
          <w:noProof/>
        </w:rPr>
      </w:pPr>
      <w:r>
        <w:rPr>
          <w:noProof/>
        </w:rPr>
        <w:t xml:space="preserve">Nõukogu on volitanud Euroopa Komisjoni pidama Euroopa Liidu nimel läbirääkimisi, et uuendada lepingut ja protokolli, millega määratakse kindlaks Euroopa Ühenduse ja Mauritaania Islamivabariigi vahelise kalandusalase partnerluslepinguga ette nähtud kalapüügivõimalused ja rahaline toetus. </w:t>
      </w:r>
    </w:p>
    <w:p>
      <w:pPr>
        <w:rPr>
          <w:noProof/>
        </w:rPr>
      </w:pPr>
      <w:r>
        <w:rPr>
          <w:noProof/>
        </w:rPr>
        <w:t>Enne partnerluslepingu ja selle protokolli uuendamist käsitlevate läbirääkimiste lõppu pidas komisjon Euroopa Liidu nimel läbirääkimisi, et pikendada kirjavahetuse vormis kokkuleppega (edaspidi „kirjavahetuse vormis kokkulepe“) kuni ühe aasta võrra partnerluslepingu rakendusprotokolli kehtivusaega, millega määratakse kindlaks partnerluslepinguga ettenähtud kalapüügivõimalused ja rahaline toetus. Läbirääkimiste tulemusena parafeeriti kirjavahetuse vormis kokkulepe 4. septembril 2019.</w:t>
      </w:r>
    </w:p>
    <w:p>
      <w:pPr>
        <w:rPr>
          <w:noProof/>
        </w:rPr>
      </w:pPr>
      <w:r>
        <w:rPr>
          <w:noProof/>
        </w:rPr>
        <w:t>Kirjavahetuse vormis kokkuleppe eesmärk on võimaldada Euroopa Liidul ja Mauritaania Islamivabariigil jätkata koostööd, et arendada säästvat kalanduspoliitikat ja kalavarude vastutustundlikku kasutust Mauritaania vetes ning anda liidu laevadele võimalus neis vetes kala püüda.</w:t>
      </w:r>
    </w:p>
    <w:p>
      <w:pPr>
        <w:rPr>
          <w:noProof/>
        </w:rPr>
      </w:pPr>
      <w:r>
        <w:rPr>
          <w:noProof/>
        </w:rPr>
        <w:t>Protokolliga on ette nähtud kalapüügivõimalused järgmistele laevakategooriatele:</w:t>
      </w:r>
    </w:p>
    <w:p>
      <w:pPr>
        <w:pStyle w:val="Tiret0"/>
        <w:numPr>
          <w:ilvl w:val="0"/>
          <w:numId w:val="1"/>
        </w:numPr>
        <w:rPr>
          <w:noProof/>
        </w:rPr>
      </w:pPr>
      <w:r>
        <w:rPr>
          <w:noProof/>
        </w:rPr>
        <w:t>püügikategooria 1 – vähilaadsete (v.a langustid ja krabid) püüdmiseks ettenähtud laevad: 5000 tonni, 25 laeva;</w:t>
      </w:r>
    </w:p>
    <w:p>
      <w:pPr>
        <w:pStyle w:val="Tiret0"/>
        <w:rPr>
          <w:noProof/>
        </w:rPr>
      </w:pPr>
      <w:r>
        <w:rPr>
          <w:noProof/>
        </w:rPr>
        <w:t>püügikategooria 2 – senegali merluusi püügi traalerid (mitte külmutustraalerid) ja põhjaõngejadalaevad: 6000 tonni, 6 laeva;</w:t>
      </w:r>
    </w:p>
    <w:p>
      <w:pPr>
        <w:pStyle w:val="Tiret0"/>
        <w:rPr>
          <w:noProof/>
        </w:rPr>
      </w:pPr>
      <w:r>
        <w:rPr>
          <w:noProof/>
        </w:rPr>
        <w:t>püügikategooria 2a – senegali merluusi (külmutus)traalerid: (3 500 tonni senegali merluusi, 1 450 tonni kalmaari ja 600 tonni seepiat);</w:t>
      </w:r>
    </w:p>
    <w:p>
      <w:pPr>
        <w:pStyle w:val="Tiret0"/>
        <w:rPr>
          <w:noProof/>
        </w:rPr>
      </w:pPr>
      <w:r>
        <w:rPr>
          <w:noProof/>
        </w:rPr>
        <w:t>püügikategooria 3 – põhjalähedaste liikide (v.a senegali merluus) püügiks ettenähtud laevad, mis kasutavad muid püügivahendeid kui traalnoot: 3 000 tonni, 6 laeva;</w:t>
      </w:r>
    </w:p>
    <w:p>
      <w:pPr>
        <w:pStyle w:val="Tiret0"/>
        <w:rPr>
          <w:noProof/>
        </w:rPr>
      </w:pPr>
      <w:r>
        <w:rPr>
          <w:noProof/>
        </w:rPr>
        <w:t>püügikategooria 4 – tuunipüügiseinerid: 12 500 tonni (võrdluskogus), 25 laeva;</w:t>
      </w:r>
    </w:p>
    <w:p>
      <w:pPr>
        <w:pStyle w:val="Tiret0"/>
        <w:rPr>
          <w:noProof/>
        </w:rPr>
      </w:pPr>
      <w:r>
        <w:rPr>
          <w:noProof/>
        </w:rPr>
        <w:t>püügikategooria 5 – ritvõngedega ja triivõngejadaga tuunipüügilaevad: 7 500 tonni (võrdluskogus), 15 laeva;</w:t>
      </w:r>
    </w:p>
    <w:p>
      <w:pPr>
        <w:pStyle w:val="Tiret0"/>
        <w:rPr>
          <w:noProof/>
        </w:rPr>
      </w:pPr>
      <w:r>
        <w:rPr>
          <w:noProof/>
        </w:rPr>
        <w:t>püügikategooria 6 – pelaagilisi traalnootasid kasutavad külmutustraalerid: 225 000 tonni (lubatud ületada kuni 10 %) ja 19 laeva;</w:t>
      </w:r>
    </w:p>
    <w:p>
      <w:pPr>
        <w:pStyle w:val="Tiret0"/>
        <w:rPr>
          <w:noProof/>
        </w:rPr>
      </w:pPr>
      <w:r>
        <w:rPr>
          <w:noProof/>
        </w:rPr>
        <w:t xml:space="preserve">püügikategooria 7 – värske pelaagilise püügi laevad: 15 000 tonni (püügikategooria 6 kasutamise korral arvatakse maha kõnealuse kategooria kogustest), 2 laeva. </w:t>
      </w:r>
    </w:p>
    <w:p>
      <w:pPr>
        <w:rPr>
          <w:noProof/>
        </w:rPr>
      </w:pPr>
      <w:r>
        <w:rPr>
          <w:noProof/>
        </w:rPr>
        <w:t>Oleks vaja määrata kindlaks kalapüügivõimaluste jaotamispõhimõtted liikmesriikide vahel. Seepärast teeb komisjon ettepaneku, et nõukogu võtaks vastu lisatud määruse ettepaneku.</w:t>
      </w:r>
    </w:p>
    <w:p>
      <w:pPr>
        <w:pStyle w:val="ManualHeading1"/>
        <w:rPr>
          <w:noProof/>
        </w:rPr>
      </w:pPr>
      <w:r>
        <w:rPr>
          <w:noProof/>
        </w:rPr>
        <w:t>2.</w:t>
      </w:r>
      <w:r>
        <w:rPr>
          <w:noProof/>
        </w:rPr>
        <w:tab/>
        <w:t>HUVITATUD ISIKUTEGA KONSULTEERIMISE JA MÕJU HINDAMISE TULEMUSED</w:t>
      </w:r>
    </w:p>
    <w:p>
      <w:pPr>
        <w:rPr>
          <w:noProof/>
        </w:rPr>
      </w:pPr>
      <w:r>
        <w:rPr>
          <w:noProof/>
        </w:rPr>
        <w:t>Huvitatud isikutega konsulteeriti ajavahemikku 2012–2014 hõlmanud protokolli hindamise raames. Liikmesriikide ekspertidega konsulteeriti ka tehnilistel koosolekutel. Konsultatsioonid kinnitasid huvi uuendada Mauritaania Islamivabariigiga sõlmitud kalanduslepingut ja sõlmida vastav kalandusprotokoll.</w:t>
      </w:r>
    </w:p>
    <w:p>
      <w:pPr>
        <w:pStyle w:val="ManualHeading1"/>
        <w:rPr>
          <w:noProof/>
        </w:rPr>
      </w:pPr>
      <w:r>
        <w:rPr>
          <w:noProof/>
        </w:rPr>
        <w:lastRenderedPageBreak/>
        <w:t>3.</w:t>
      </w:r>
      <w:r>
        <w:rPr>
          <w:noProof/>
        </w:rPr>
        <w:tab/>
        <w:t>ETTEPANEKU ÕIGUSLIK KÜLG</w:t>
      </w:r>
    </w:p>
    <w:p>
      <w:pPr>
        <w:spacing w:before="0" w:after="240"/>
        <w:rPr>
          <w:noProof/>
        </w:rPr>
      </w:pPr>
      <w:r>
        <w:rPr>
          <w:noProof/>
        </w:rPr>
        <w:t xml:space="preserve">Valitud õiguslik alus on Euroopa Liidu toimimise leping, mille artikli 43 lõikes 3 on sätestatud, et nõukogu kiidab kalapüügivõimaluste jaotamise heaks komisjoni ettepaneku alusel. </w:t>
      </w:r>
    </w:p>
    <w:p>
      <w:pPr>
        <w:rPr>
          <w:noProof/>
        </w:rPr>
      </w:pPr>
      <w:r>
        <w:rPr>
          <w:noProof/>
        </w:rPr>
        <w:t>Käesolev menetlus on algatatud paralleelselt menetlustega, mis on seotud nõukogu otsustega, millega antakse luba kirjavahetuse vormis kokkuleppe allkirjastamiseks ja ajutiseks kohaldamiseks, milles käsitletakse partnerluslepingu sellise rakendusprotokolli kehtivusaja pikendamist ühe aasta võrra, millega määratakse kindlaks kalapüügivõimalused ja rahaline toetus.</w:t>
      </w:r>
    </w:p>
    <w:p>
      <w:pPr>
        <w:pStyle w:val="ManualHeading1"/>
        <w:rPr>
          <w:noProof/>
        </w:rPr>
      </w:pPr>
      <w:r>
        <w:rPr>
          <w:noProof/>
        </w:rPr>
        <w:t>4.</w:t>
      </w:r>
      <w:r>
        <w:rPr>
          <w:noProof/>
        </w:rPr>
        <w:tab/>
        <w:t>MÕJU EELARVELE</w:t>
      </w:r>
    </w:p>
    <w:p>
      <w:pPr>
        <w:rPr>
          <w:noProof/>
        </w:rPr>
      </w:pPr>
      <w:r>
        <w:rPr>
          <w:noProof/>
        </w:rPr>
        <w:t>Aastane rahaline toetus on 61 625 000 eurot aastas maksimaalselt üheks aastaks järgmistel tingimustel:</w:t>
      </w:r>
    </w:p>
    <w:p>
      <w:pPr>
        <w:rPr>
          <w:noProof/>
        </w:rPr>
      </w:pPr>
      <w:r>
        <w:rPr>
          <w:noProof/>
        </w:rPr>
        <w:t>a) protokolli kohaselt on püügikategooriate 1, 2, 2a, 3, 6</w:t>
      </w:r>
      <w:r>
        <w:rPr>
          <w:rStyle w:val="FootnoteReference"/>
          <w:noProof/>
        </w:rPr>
        <w:footnoteReference w:id="1"/>
      </w:r>
      <w:r>
        <w:rPr>
          <w:noProof/>
        </w:rPr>
        <w:t xml:space="preserve"> ja 7 lubatud kogupüük kokku 259 550 tonni ning kategooriate 4 ja 5 võrdluskogus on 20 000 tonni, millele juurdepääsu eest makstakse 57 500 000 eurot aastas ja </w:t>
      </w:r>
    </w:p>
    <w:p>
      <w:pPr>
        <w:rPr>
          <w:noProof/>
        </w:rPr>
      </w:pPr>
      <w:r>
        <w:rPr>
          <w:noProof/>
        </w:rPr>
        <w:t>b) eritoetus Mauritaania Islamivabariigi kalandussektori poliitikameetmete edendamiseks on 4 125 000 eurot aastas. Toetus vastab riikliku kalanduspoliitika eesmärkidele ja eelkõige Mauritaania Islamivabariigi vajadustele seoses teaduse ja tehnika alase koostöö toetamisega, koolitamisega, kalapüügiseirega, keskkonnakaitsega ja arendustaristutega.</w:t>
      </w:r>
    </w:p>
    <w:p>
      <w:pPr>
        <w:rPr>
          <w:noProof/>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2019/0208 (NLE)</w:t>
      </w:r>
    </w:p>
    <w:p>
      <w:pPr>
        <w:pStyle w:val="Statut"/>
        <w:rPr>
          <w:noProof/>
        </w:rPr>
      </w:pPr>
      <w:r>
        <w:rPr>
          <w:noProof/>
        </w:rPr>
        <w:t>Ettepanek:</w:t>
      </w:r>
    </w:p>
    <w:p>
      <w:pPr>
        <w:pStyle w:val="Typedudocument"/>
        <w:rPr>
          <w:noProof/>
        </w:rPr>
      </w:pPr>
      <w:r>
        <w:rPr>
          <w:noProof/>
        </w:rPr>
        <w:t>NÕUKOGU MÄÄRUS</w:t>
      </w:r>
    </w:p>
    <w:p>
      <w:pPr>
        <w:pStyle w:val="Titreobjet"/>
        <w:rPr>
          <w:noProof/>
        </w:rPr>
      </w:pPr>
      <w:r>
        <w:rPr>
          <w:noProof/>
        </w:rPr>
        <w:t>kalapüügivõimaluste jaotamise kohta vastavalt protokollile, millega määratakse kuni üheks aastaks kindlaks Euroopa Ühenduse ning Mauritaania Islamivabariigi vahelise kalandusalase partnerlusepinguga ettenähtud kalapüügivõimalused ja rahaline toetus</w:t>
      </w:r>
    </w:p>
    <w:p>
      <w:pPr>
        <w:pStyle w:val="Institutionquiagit"/>
        <w:rPr>
          <w:noProof/>
        </w:rPr>
      </w:pPr>
      <w:r>
        <w:rPr>
          <w:noProof/>
        </w:rPr>
        <w:t>EUROOPA LIIDU NÕUKOGU,</w:t>
      </w:r>
    </w:p>
    <w:p>
      <w:pPr>
        <w:rPr>
          <w:noProof/>
        </w:rPr>
      </w:pPr>
      <w:r>
        <w:rPr>
          <w:noProof/>
        </w:rPr>
        <w:t>võttes arvesse Euroopa Liidu toimimise lepingut, eriti selle artikli 43 lõiget 3,</w:t>
      </w:r>
    </w:p>
    <w:p>
      <w:pPr>
        <w:rPr>
          <w:noProof/>
        </w:rPr>
      </w:pPr>
      <w:r>
        <w:rPr>
          <w:noProof/>
        </w:rPr>
        <w:t>võttes arvesse Euroopa Komisjoni ettepanekut</w:t>
      </w:r>
    </w:p>
    <w:p>
      <w:pPr>
        <w:rPr>
          <w:noProof/>
        </w:rPr>
      </w:pPr>
      <w:r>
        <w:rPr>
          <w:noProof/>
        </w:rPr>
        <w:t>ning arvestades järgmist:</w:t>
      </w:r>
    </w:p>
    <w:p>
      <w:pPr>
        <w:pStyle w:val="ManualConsidrant"/>
        <w:rPr>
          <w:noProof/>
        </w:rPr>
      </w:pPr>
      <w:r>
        <w:rPr>
          <w:noProof/>
        </w:rPr>
        <w:t>(1)</w:t>
      </w:r>
      <w:r>
        <w:rPr>
          <w:noProof/>
        </w:rPr>
        <w:tab/>
        <w:t>Euroopa Ühenduse ja Mauritaania Islamivabariigi vaheline kalandusalane partnerlusleping (edaspidi „partnerlusleping“),</w:t>
      </w:r>
      <w:r>
        <w:rPr>
          <w:rStyle w:val="FootnoteReference"/>
          <w:noProof/>
        </w:rPr>
        <w:footnoteReference w:id="2"/>
      </w:r>
      <w:r>
        <w:rPr>
          <w:noProof/>
        </w:rPr>
        <w:t xml:space="preserve"> mis on heaks kiidetud nõukogu määrusega EÜ nr 1801/2006,</w:t>
      </w:r>
      <w:r>
        <w:rPr>
          <w:rStyle w:val="FootnoteReference"/>
          <w:noProof/>
        </w:rPr>
        <w:footnoteReference w:id="3"/>
      </w:r>
      <w:r>
        <w:rPr>
          <w:noProof/>
        </w:rPr>
        <w:t xml:space="preserve"> jõustus 8. augustil 2008. Partnerluslepingu protokolli, millega on määratud kindlaks kalapüügivõimalused ja rahaline toetus (edaspidi „protokoll“), mis jõustus samal päeval ja mille kehtivusaeg oli kaks aastat, on mitu korda uuega asendatud.</w:t>
      </w:r>
    </w:p>
    <w:p>
      <w:pPr>
        <w:pStyle w:val="ManualConsidrant"/>
        <w:rPr>
          <w:noProof/>
        </w:rPr>
      </w:pPr>
      <w:r>
        <w:rPr>
          <w:noProof/>
        </w:rPr>
        <w:t>(2)</w:t>
      </w:r>
      <w:r>
        <w:rPr>
          <w:noProof/>
        </w:rPr>
        <w:tab/>
        <w:t>Kõnealuse lepingu viimane protokoll aegub 15. novembril 2019.</w:t>
      </w:r>
    </w:p>
    <w:p>
      <w:pPr>
        <w:pStyle w:val="ManualConsidrant"/>
        <w:rPr>
          <w:noProof/>
        </w:rPr>
      </w:pPr>
      <w:r>
        <w:rPr>
          <w:noProof/>
        </w:rPr>
        <w:t>(3)</w:t>
      </w:r>
      <w:r>
        <w:rPr>
          <w:noProof/>
        </w:rPr>
        <w:tab/>
        <w:t>Enne partnerluslepingu ja selle protokolli uuendamist käsitlevate läbirääkimiste lõppu pidas komisjon Euroopa Liidu nimel läbirääkimisi, et pikendada kirjavahetuse vormis kokkuleppega (edaspidi „kirjavahetuse vormis kokkulepe“) kuni ühe aasta võrra partnerluslepingu sellise rakendusprotokolli kehtivusaega, millega määratakse kindlaks partnerluslepinguga ettenähtud kalapüügivõimalused ja rahaline toetus.</w:t>
      </w:r>
    </w:p>
    <w:p>
      <w:pPr>
        <w:pStyle w:val="ManualConsidrant"/>
        <w:rPr>
          <w:noProof/>
        </w:rPr>
      </w:pPr>
      <w:r>
        <w:rPr>
          <w:noProof/>
        </w:rPr>
        <w:t>(3)</w:t>
      </w:r>
      <w:r>
        <w:rPr>
          <w:noProof/>
        </w:rPr>
        <w:tab/>
        <w:t>[…] võttis nõukogu vastu otsuse (EL) 2019/[…]</w:t>
      </w:r>
      <w:r>
        <w:rPr>
          <w:rStyle w:val="FootnoteReference"/>
          <w:noProof/>
        </w:rPr>
        <w:footnoteReference w:id="4"/>
      </w:r>
      <w:r>
        <w:rPr>
          <w:noProof/>
        </w:rPr>
        <w:t xml:space="preserve"> kirjavahetuse vormis kokkuleppe (milles käsitletakse sellise protokolli kehtivusaja pikendamist, millega määratakse kindlaks Euroopa Liidu ja Mauritaania Islamivabariigi vahelise kalandusalase partnerluslepinguga ettenähtud kalapüügivõimalused ja rahaline toetus ning mis aegub 15. novembril 2019) allkirjastamise ja selle ajutise kohaldamise kohta</w:t>
      </w:r>
    </w:p>
    <w:p>
      <w:pPr>
        <w:pStyle w:val="ManualConsidrant"/>
        <w:rPr>
          <w:noProof/>
        </w:rPr>
      </w:pPr>
      <w:r>
        <w:rPr>
          <w:noProof/>
        </w:rPr>
        <w:t>(4)</w:t>
      </w:r>
      <w:r>
        <w:rPr>
          <w:noProof/>
        </w:rPr>
        <w:tab/>
        <w:t>Tuleks kindlaks määrata meetod kalapüügivõimaluste jaotamiseks liikmesriikide vahel protokolli pikendatud kehtivuse ajal.</w:t>
      </w:r>
    </w:p>
    <w:p>
      <w:pPr>
        <w:pStyle w:val="ManualConsidrant"/>
        <w:rPr>
          <w:noProof/>
        </w:rPr>
      </w:pPr>
      <w:r>
        <w:rPr>
          <w:noProof/>
        </w:rPr>
        <w:t>(5)</w:t>
      </w:r>
      <w:r>
        <w:rPr>
          <w:noProof/>
        </w:rPr>
        <w:tab/>
        <w:t>Kui selgub, et protokolli kohaselt liidule antud kalapüügivõimalusi ei kasutata täielikult, teavitab komisjon sellest asjaomaseid liikmesriike vastavalt Euroopa Parlamendi ja nõukogu määruse (EL) 2017/2403</w:t>
      </w:r>
      <w:r>
        <w:rPr>
          <w:rStyle w:val="FootnoteReference"/>
          <w:noProof/>
        </w:rPr>
        <w:footnoteReference w:id="5"/>
      </w:r>
      <w:r>
        <w:rPr>
          <w:noProof/>
        </w:rPr>
        <w:t xml:space="preserve"> artikli 47 lõikele 2. Kui vastust ei esitata nõukogu kehtestatud tähtajaks, käsitatakse seda kinnitusena, et asjaomase liikmesriigi laevad ei kasuta asjaomasel perioodil oma kalapüügivõimalusi täielikult. Kõnealune tähtaeg tuleb kindlaks määrata.</w:t>
      </w:r>
    </w:p>
    <w:p>
      <w:pPr>
        <w:pStyle w:val="ManualConsidrant"/>
        <w:rPr>
          <w:noProof/>
        </w:rPr>
      </w:pPr>
      <w:r>
        <w:rPr>
          <w:noProof/>
        </w:rPr>
        <w:lastRenderedPageBreak/>
        <w:t>(6)</w:t>
      </w:r>
      <w:r>
        <w:rPr>
          <w:noProof/>
        </w:rPr>
        <w:tab/>
        <w:t>Seega tuleks käesolevat määrust hakata kohaldama alates kirjavahetuse vormis kokkuleppe allkirjastamise kuupäevast,</w:t>
      </w:r>
      <w:r>
        <w:rPr>
          <w:noProof/>
        </w:rPr>
        <w:tab/>
      </w:r>
    </w:p>
    <w:p>
      <w:pPr>
        <w:pStyle w:val="Formuledadoption"/>
        <w:rPr>
          <w:noProof/>
        </w:rPr>
      </w:pPr>
      <w:r>
        <w:rPr>
          <w:noProof/>
        </w:rPr>
        <w:t>ON VASTU VÕTNUD KÄESOLEVA MÄÄRUSE:</w:t>
      </w:r>
    </w:p>
    <w:p>
      <w:pPr>
        <w:pStyle w:val="Titrearticle"/>
        <w:rPr>
          <w:noProof/>
        </w:rPr>
      </w:pPr>
      <w:r>
        <w:rPr>
          <w:noProof/>
        </w:rPr>
        <w:t>Artikkel 1</w:t>
      </w:r>
    </w:p>
    <w:p>
      <w:pPr>
        <w:pStyle w:val="ManualNumPar1"/>
        <w:rPr>
          <w:noProof/>
        </w:rPr>
      </w:pPr>
      <w:r>
        <w:rPr>
          <w:noProof/>
        </w:rPr>
        <w:t>1.</w:t>
      </w:r>
      <w:r>
        <w:rPr>
          <w:noProof/>
        </w:rPr>
        <w:tab/>
        <w:t>Protokollis, millega määratakse selle kehtivuse ajaks kindlaks Euroopa Ühenduse ja Mauritaania Islamivabariigi vahelise kalandusalase partnerlusepinguga ettenähtud kalapüügivõimalused ja rahaline toetus, sätestatud kalapüügivõimalused jaotuvad liikmesriikide vahel järgmiselt:</w:t>
      </w:r>
    </w:p>
    <w:p>
      <w:pPr>
        <w:pStyle w:val="Point0"/>
        <w:rPr>
          <w:noProof/>
        </w:rPr>
      </w:pPr>
      <w:r>
        <w:t>(a)</w:t>
      </w:r>
      <w:r>
        <w:tab/>
      </w:r>
      <w:r>
        <w:rPr>
          <w:noProof/>
        </w:rPr>
        <w:t xml:space="preserve">püügikategooria 1 – vähilaadsete (v.a langustid ja krabid) püüdmiseks ettenähtud laevad: </w:t>
      </w:r>
    </w:p>
    <w:p>
      <w:pPr>
        <w:pStyle w:val="Text1"/>
        <w:tabs>
          <w:tab w:val="right" w:pos="4962"/>
        </w:tabs>
        <w:spacing w:before="0" w:after="0"/>
        <w:ind w:left="851"/>
        <w:rPr>
          <w:noProof/>
        </w:rPr>
      </w:pPr>
    </w:p>
    <w:tbl>
      <w:tblPr>
        <w:tblW w:w="0" w:type="auto"/>
        <w:tblInd w:w="959" w:type="dxa"/>
        <w:tblLayout w:type="fixed"/>
        <w:tblLook w:val="0000" w:firstRow="0" w:lastRow="0" w:firstColumn="0" w:lastColumn="0" w:noHBand="0" w:noVBand="0"/>
      </w:tblPr>
      <w:tblGrid>
        <w:gridCol w:w="2693"/>
        <w:gridCol w:w="2410"/>
      </w:tblGrid>
      <w:tr>
        <w:tc>
          <w:tcPr>
            <w:tcW w:w="2693" w:type="dxa"/>
          </w:tcPr>
          <w:p>
            <w:pPr>
              <w:pStyle w:val="Text1"/>
              <w:tabs>
                <w:tab w:val="left" w:pos="4962"/>
              </w:tabs>
              <w:spacing w:before="0" w:after="0"/>
              <w:ind w:left="-108"/>
              <w:rPr>
                <w:noProof/>
              </w:rPr>
            </w:pPr>
            <w:r>
              <w:rPr>
                <w:noProof/>
              </w:rPr>
              <w:t>Hispaania</w:t>
            </w:r>
          </w:p>
        </w:tc>
        <w:tc>
          <w:tcPr>
            <w:tcW w:w="2410" w:type="dxa"/>
          </w:tcPr>
          <w:p>
            <w:pPr>
              <w:pStyle w:val="Text1"/>
              <w:tabs>
                <w:tab w:val="right" w:pos="1310"/>
                <w:tab w:val="left" w:pos="1451"/>
                <w:tab w:val="left" w:pos="4962"/>
              </w:tabs>
              <w:spacing w:before="0" w:after="0"/>
              <w:ind w:left="0"/>
              <w:rPr>
                <w:noProof/>
              </w:rPr>
            </w:pPr>
            <w:r>
              <w:rPr>
                <w:noProof/>
              </w:rPr>
              <w:tab/>
              <w:t>4 150 tonni</w:t>
            </w:r>
          </w:p>
        </w:tc>
      </w:tr>
      <w:tr>
        <w:tc>
          <w:tcPr>
            <w:tcW w:w="2693" w:type="dxa"/>
          </w:tcPr>
          <w:p>
            <w:pPr>
              <w:pStyle w:val="Text1"/>
              <w:tabs>
                <w:tab w:val="left" w:pos="4962"/>
              </w:tabs>
              <w:spacing w:before="0" w:after="0"/>
              <w:ind w:left="-108"/>
              <w:rPr>
                <w:noProof/>
              </w:rPr>
            </w:pPr>
            <w:r>
              <w:rPr>
                <w:noProof/>
              </w:rPr>
              <w:t>Itaalia</w:t>
            </w:r>
          </w:p>
        </w:tc>
        <w:tc>
          <w:tcPr>
            <w:tcW w:w="2410" w:type="dxa"/>
          </w:tcPr>
          <w:p>
            <w:pPr>
              <w:pStyle w:val="Text1"/>
              <w:tabs>
                <w:tab w:val="right" w:pos="1310"/>
                <w:tab w:val="left" w:pos="1451"/>
                <w:tab w:val="left" w:pos="4962"/>
              </w:tabs>
              <w:spacing w:before="0" w:after="0"/>
              <w:ind w:left="0"/>
              <w:rPr>
                <w:noProof/>
              </w:rPr>
            </w:pPr>
            <w:r>
              <w:rPr>
                <w:noProof/>
              </w:rPr>
              <w:tab/>
              <w:t>600 tonni</w:t>
            </w:r>
          </w:p>
        </w:tc>
      </w:tr>
      <w:tr>
        <w:tc>
          <w:tcPr>
            <w:tcW w:w="2693" w:type="dxa"/>
          </w:tcPr>
          <w:p>
            <w:pPr>
              <w:pStyle w:val="Text1"/>
              <w:tabs>
                <w:tab w:val="left" w:pos="4962"/>
              </w:tabs>
              <w:spacing w:before="0" w:after="0"/>
              <w:ind w:left="-108"/>
              <w:rPr>
                <w:noProof/>
              </w:rPr>
            </w:pPr>
            <w:r>
              <w:rPr>
                <w:noProof/>
              </w:rPr>
              <w:t>Portugal</w:t>
            </w:r>
          </w:p>
        </w:tc>
        <w:tc>
          <w:tcPr>
            <w:tcW w:w="2410" w:type="dxa"/>
          </w:tcPr>
          <w:p>
            <w:pPr>
              <w:pStyle w:val="Text1"/>
              <w:tabs>
                <w:tab w:val="right" w:pos="1310"/>
                <w:tab w:val="left" w:pos="1451"/>
                <w:tab w:val="left" w:pos="4962"/>
              </w:tabs>
              <w:spacing w:before="0" w:after="0"/>
              <w:ind w:left="0"/>
              <w:rPr>
                <w:noProof/>
              </w:rPr>
            </w:pPr>
            <w:r>
              <w:rPr>
                <w:noProof/>
              </w:rPr>
              <w:tab/>
              <w:t>250 tonni</w:t>
            </w:r>
          </w:p>
        </w:tc>
      </w:tr>
    </w:tbl>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korraga võib Mauritaania vetes olla kuni 25 selle püügikategooria laeva;</w:t>
      </w:r>
    </w:p>
    <w:p>
      <w:pPr>
        <w:pStyle w:val="Text1"/>
        <w:rPr>
          <w:noProof/>
        </w:rPr>
      </w:pPr>
    </w:p>
    <w:p>
      <w:pPr>
        <w:pStyle w:val="Point0"/>
        <w:rPr>
          <w:noProof/>
        </w:rPr>
      </w:pPr>
      <w:r>
        <w:t>(b)</w:t>
      </w:r>
      <w:r>
        <w:tab/>
      </w:r>
      <w:r>
        <w:rPr>
          <w:noProof/>
        </w:rPr>
        <w:t xml:space="preserve">püügikategooria 2 – senegali merluusi püügi traalerid (mitte külmutustraalerid) ja põhjaõngejadalaevad: </w:t>
      </w:r>
    </w:p>
    <w:p>
      <w:pPr>
        <w:pStyle w:val="Text1"/>
        <w:tabs>
          <w:tab w:val="right" w:pos="4962"/>
        </w:tabs>
        <w:spacing w:before="0" w:after="0"/>
        <w:ind w:left="851"/>
        <w:rPr>
          <w:noProof/>
        </w:rPr>
      </w:pPr>
    </w:p>
    <w:tbl>
      <w:tblPr>
        <w:tblW w:w="0" w:type="auto"/>
        <w:tblInd w:w="959" w:type="dxa"/>
        <w:tblLayout w:type="fixed"/>
        <w:tblLook w:val="0000" w:firstRow="0" w:lastRow="0" w:firstColumn="0" w:lastColumn="0" w:noHBand="0" w:noVBand="0"/>
      </w:tblPr>
      <w:tblGrid>
        <w:gridCol w:w="2693"/>
        <w:gridCol w:w="2410"/>
      </w:tblGrid>
      <w:tr>
        <w:tc>
          <w:tcPr>
            <w:tcW w:w="2693" w:type="dxa"/>
          </w:tcPr>
          <w:p>
            <w:pPr>
              <w:pStyle w:val="Text1"/>
              <w:tabs>
                <w:tab w:val="left" w:pos="4962"/>
              </w:tabs>
              <w:spacing w:before="0" w:after="0"/>
              <w:ind w:left="-108"/>
              <w:rPr>
                <w:noProof/>
              </w:rPr>
            </w:pPr>
            <w:r>
              <w:rPr>
                <w:noProof/>
              </w:rPr>
              <w:t>Hispaania</w:t>
            </w:r>
          </w:p>
        </w:tc>
        <w:tc>
          <w:tcPr>
            <w:tcW w:w="2410" w:type="dxa"/>
          </w:tcPr>
          <w:p>
            <w:pPr>
              <w:pStyle w:val="Text1"/>
              <w:tabs>
                <w:tab w:val="left" w:pos="1298"/>
                <w:tab w:val="left" w:pos="4962"/>
              </w:tabs>
              <w:spacing w:before="0" w:after="0"/>
              <w:ind w:left="34"/>
              <w:rPr>
                <w:noProof/>
              </w:rPr>
            </w:pPr>
            <w:r>
              <w:rPr>
                <w:noProof/>
              </w:rPr>
              <w:t>6 000 tonni</w:t>
            </w:r>
          </w:p>
        </w:tc>
      </w:tr>
    </w:tbl>
    <w:p>
      <w:pPr>
        <w:pStyle w:val="Text1"/>
        <w:tabs>
          <w:tab w:val="right" w:pos="4962"/>
        </w:tabs>
        <w:spacing w:before="0" w:after="0"/>
        <w:ind w:left="851"/>
        <w:rPr>
          <w:noProof/>
        </w:rPr>
      </w:pPr>
    </w:p>
    <w:p>
      <w:pPr>
        <w:pStyle w:val="Text1"/>
        <w:tabs>
          <w:tab w:val="right" w:pos="4962"/>
        </w:tabs>
        <w:spacing w:before="0" w:after="0"/>
        <w:rPr>
          <w:noProof/>
        </w:rPr>
      </w:pPr>
      <w:r>
        <w:rPr>
          <w:noProof/>
        </w:rPr>
        <w:t xml:space="preserve">korraga võib Mauritaania vetes olla kuni 6 selle püügikategooria laeva; </w:t>
      </w:r>
    </w:p>
    <w:p>
      <w:pPr>
        <w:pStyle w:val="Text1"/>
        <w:tabs>
          <w:tab w:val="right" w:pos="4962"/>
        </w:tabs>
        <w:spacing w:before="0" w:after="0"/>
        <w:rPr>
          <w:noProof/>
        </w:rPr>
      </w:pPr>
    </w:p>
    <w:p>
      <w:pPr>
        <w:pStyle w:val="Point0"/>
        <w:rPr>
          <w:noProof/>
        </w:rPr>
      </w:pPr>
      <w:r>
        <w:t>(c)</w:t>
      </w:r>
      <w:r>
        <w:tab/>
      </w:r>
      <w:r>
        <w:rPr>
          <w:noProof/>
        </w:rPr>
        <w:t xml:space="preserve">püügikategooria 3 – põhjalähedaste liikide (v.a senegali merluus) püügiks ettenähtud laevad, mis kasutavad muid püügivahendeid kui traalnoot: </w:t>
      </w:r>
    </w:p>
    <w:p>
      <w:pPr>
        <w:pStyle w:val="Text1"/>
        <w:tabs>
          <w:tab w:val="left" w:pos="3686"/>
          <w:tab w:val="left" w:pos="4962"/>
        </w:tabs>
        <w:spacing w:before="0" w:after="0"/>
        <w:ind w:left="851"/>
        <w:rPr>
          <w:noProof/>
        </w:rPr>
      </w:pPr>
    </w:p>
    <w:p>
      <w:pPr>
        <w:pStyle w:val="Text1"/>
        <w:tabs>
          <w:tab w:val="left" w:pos="3686"/>
          <w:tab w:val="left" w:pos="4962"/>
        </w:tabs>
        <w:spacing w:before="0" w:after="0"/>
        <w:ind w:left="851"/>
        <w:rPr>
          <w:noProof/>
        </w:rPr>
      </w:pPr>
      <w:r>
        <w:rPr>
          <w:noProof/>
        </w:rPr>
        <w:t>Hispaania</w:t>
      </w:r>
      <w:r>
        <w:rPr>
          <w:noProof/>
        </w:rPr>
        <w:tab/>
        <w:t>3 000 tonni</w:t>
      </w:r>
    </w:p>
    <w:p>
      <w:pPr>
        <w:pStyle w:val="Text1"/>
        <w:tabs>
          <w:tab w:val="left" w:pos="3686"/>
          <w:tab w:val="left" w:pos="4962"/>
        </w:tabs>
        <w:spacing w:before="0" w:after="0"/>
        <w:ind w:left="851"/>
        <w:rPr>
          <w:noProof/>
        </w:rPr>
      </w:pPr>
    </w:p>
    <w:p>
      <w:pPr>
        <w:pStyle w:val="Text1"/>
        <w:tabs>
          <w:tab w:val="right" w:pos="4962"/>
        </w:tabs>
        <w:spacing w:before="0" w:after="0"/>
        <w:ind w:left="851"/>
        <w:rPr>
          <w:noProof/>
        </w:rPr>
      </w:pPr>
      <w:r>
        <w:rPr>
          <w:noProof/>
        </w:rPr>
        <w:t xml:space="preserve">korraga võib Mauritaania vetes olla kuni 6 selle püügikategooria laeva; </w:t>
      </w:r>
    </w:p>
    <w:p>
      <w:pPr>
        <w:pStyle w:val="Text1"/>
        <w:tabs>
          <w:tab w:val="left" w:pos="3686"/>
          <w:tab w:val="left" w:pos="4962"/>
        </w:tabs>
        <w:spacing w:before="0" w:after="0"/>
        <w:ind w:left="851"/>
        <w:rPr>
          <w:noProof/>
        </w:rPr>
      </w:pPr>
    </w:p>
    <w:p>
      <w:pPr>
        <w:pStyle w:val="Point0"/>
        <w:rPr>
          <w:noProof/>
        </w:rPr>
      </w:pPr>
      <w:r>
        <w:t>(d)</w:t>
      </w:r>
      <w:r>
        <w:tab/>
      </w:r>
      <w:r>
        <w:rPr>
          <w:noProof/>
        </w:rPr>
        <w:t>püügikategooria 4 – tuunipüügiseinerid (võrdluskogus 12 500 tonni)</w:t>
      </w:r>
    </w:p>
    <w:p>
      <w:pPr>
        <w:pStyle w:val="Text1"/>
        <w:tabs>
          <w:tab w:val="left" w:pos="3686"/>
          <w:tab w:val="left" w:pos="4962"/>
        </w:tabs>
        <w:spacing w:before="0" w:after="0"/>
        <w:ind w:left="851"/>
        <w:rPr>
          <w:noProof/>
        </w:rPr>
      </w:pPr>
    </w:p>
    <w:p>
      <w:pPr>
        <w:pStyle w:val="Text1"/>
        <w:tabs>
          <w:tab w:val="right" w:pos="4962"/>
        </w:tabs>
        <w:spacing w:before="0" w:after="0"/>
        <w:ind w:left="851"/>
        <w:rPr>
          <w:noProof/>
        </w:rPr>
      </w:pPr>
      <w:r>
        <w:rPr>
          <w:noProof/>
        </w:rPr>
        <w:t xml:space="preserve">Hispaania                     </w:t>
      </w:r>
      <w:r>
        <w:rPr>
          <w:noProof/>
        </w:rPr>
        <w:tab/>
        <w:t>17 püügilitsentsi (aastased)</w:t>
      </w:r>
    </w:p>
    <w:p>
      <w:pPr>
        <w:pStyle w:val="Text1"/>
        <w:tabs>
          <w:tab w:val="right" w:pos="4962"/>
        </w:tabs>
        <w:spacing w:before="0" w:after="0"/>
        <w:ind w:left="851"/>
        <w:rPr>
          <w:noProof/>
        </w:rPr>
      </w:pPr>
      <w:r>
        <w:rPr>
          <w:noProof/>
        </w:rPr>
        <w:t>Prantsusmaa</w:t>
      </w:r>
      <w:r>
        <w:rPr>
          <w:noProof/>
        </w:rPr>
        <w:tab/>
        <w:t>8 püügilitsentsi (aastased)</w:t>
      </w:r>
    </w:p>
    <w:p>
      <w:pPr>
        <w:pStyle w:val="Point0"/>
        <w:rPr>
          <w:noProof/>
        </w:rPr>
      </w:pPr>
      <w:r>
        <w:t>(e)</w:t>
      </w:r>
      <w:r>
        <w:tab/>
      </w:r>
      <w:r>
        <w:rPr>
          <w:noProof/>
        </w:rPr>
        <w:t>püügikategooria 5 – ritvõngedega ja triivõngejadaga tuunipüügilaevad (võrdluskogus 7 500 tonni)</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Hispaania</w:t>
      </w:r>
      <w:r>
        <w:rPr>
          <w:noProof/>
        </w:rPr>
        <w:tab/>
        <w:t>14 püügilitsentsi (aastased)</w:t>
      </w:r>
    </w:p>
    <w:p>
      <w:pPr>
        <w:pStyle w:val="Text1"/>
        <w:tabs>
          <w:tab w:val="right" w:pos="4962"/>
        </w:tabs>
        <w:spacing w:before="0" w:after="0"/>
        <w:ind w:left="851"/>
        <w:rPr>
          <w:noProof/>
        </w:rPr>
      </w:pPr>
      <w:r>
        <w:rPr>
          <w:noProof/>
        </w:rPr>
        <w:t>Prantsusmaa</w:t>
      </w:r>
      <w:r>
        <w:rPr>
          <w:noProof/>
        </w:rPr>
        <w:tab/>
        <w:t>1 püügilitsents (aastane)</w:t>
      </w:r>
    </w:p>
    <w:p>
      <w:pPr>
        <w:pStyle w:val="Point0"/>
        <w:rPr>
          <w:noProof/>
        </w:rPr>
      </w:pPr>
      <w:r>
        <w:t>(f)</w:t>
      </w:r>
      <w:r>
        <w:tab/>
      </w:r>
      <w:r>
        <w:rPr>
          <w:noProof/>
        </w:rPr>
        <w:t>püügikategooria 6 – pelaagilisi traalnootasid kasutavad külmutustraalerid:</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Saksamaa</w:t>
      </w:r>
      <w:r>
        <w:rPr>
          <w:noProof/>
        </w:rPr>
        <w:tab/>
        <w:t>12 560 tonni</w:t>
      </w:r>
    </w:p>
    <w:p>
      <w:pPr>
        <w:pStyle w:val="Text1"/>
        <w:tabs>
          <w:tab w:val="right" w:pos="4962"/>
        </w:tabs>
        <w:spacing w:before="0" w:after="0"/>
        <w:ind w:left="851"/>
        <w:rPr>
          <w:noProof/>
        </w:rPr>
      </w:pPr>
      <w:r>
        <w:rPr>
          <w:noProof/>
        </w:rPr>
        <w:lastRenderedPageBreak/>
        <w:t>Prantsusmaa</w:t>
      </w:r>
      <w:r>
        <w:rPr>
          <w:noProof/>
        </w:rPr>
        <w:tab/>
        <w:t>2 615 tonni</w:t>
      </w:r>
    </w:p>
    <w:p>
      <w:pPr>
        <w:pStyle w:val="Text1"/>
        <w:tabs>
          <w:tab w:val="right" w:pos="4962"/>
        </w:tabs>
        <w:spacing w:before="0" w:after="0"/>
        <w:ind w:left="851"/>
        <w:rPr>
          <w:noProof/>
        </w:rPr>
      </w:pPr>
      <w:r>
        <w:rPr>
          <w:noProof/>
        </w:rPr>
        <w:t>Läti</w:t>
      </w:r>
      <w:r>
        <w:rPr>
          <w:noProof/>
        </w:rPr>
        <w:tab/>
        <w:t>53 913 tonni</w:t>
      </w:r>
    </w:p>
    <w:p>
      <w:pPr>
        <w:pStyle w:val="Text1"/>
        <w:tabs>
          <w:tab w:val="right" w:pos="4962"/>
        </w:tabs>
        <w:spacing w:before="0" w:after="0"/>
        <w:ind w:left="851"/>
        <w:rPr>
          <w:noProof/>
        </w:rPr>
      </w:pPr>
      <w:r>
        <w:rPr>
          <w:noProof/>
        </w:rPr>
        <w:t>Leedu</w:t>
      </w:r>
      <w:r>
        <w:rPr>
          <w:noProof/>
        </w:rPr>
        <w:tab/>
        <w:t>57 642 tonni</w:t>
      </w:r>
    </w:p>
    <w:p>
      <w:pPr>
        <w:pStyle w:val="Text1"/>
        <w:tabs>
          <w:tab w:val="right" w:pos="4962"/>
        </w:tabs>
        <w:spacing w:before="0" w:after="0"/>
        <w:ind w:left="851"/>
        <w:rPr>
          <w:noProof/>
        </w:rPr>
      </w:pPr>
      <w:r>
        <w:rPr>
          <w:noProof/>
        </w:rPr>
        <w:t>Madalmaad</w:t>
      </w:r>
      <w:r>
        <w:rPr>
          <w:noProof/>
        </w:rPr>
        <w:tab/>
        <w:t>62 592 tonni</w:t>
      </w:r>
    </w:p>
    <w:p>
      <w:pPr>
        <w:pStyle w:val="Text1"/>
        <w:tabs>
          <w:tab w:val="right" w:pos="4962"/>
        </w:tabs>
        <w:spacing w:before="0" w:after="0"/>
        <w:ind w:left="851"/>
        <w:rPr>
          <w:noProof/>
        </w:rPr>
      </w:pPr>
      <w:r>
        <w:rPr>
          <w:noProof/>
        </w:rPr>
        <w:t>Poola</w:t>
      </w:r>
      <w:r>
        <w:rPr>
          <w:noProof/>
        </w:rPr>
        <w:tab/>
        <w:t>26 112 tonni</w:t>
      </w:r>
    </w:p>
    <w:p>
      <w:pPr>
        <w:pStyle w:val="Text1"/>
        <w:tabs>
          <w:tab w:val="right" w:pos="4962"/>
        </w:tabs>
        <w:spacing w:before="0" w:after="0"/>
        <w:ind w:left="851"/>
        <w:rPr>
          <w:noProof/>
        </w:rPr>
      </w:pPr>
      <w:r>
        <w:rPr>
          <w:noProof/>
        </w:rPr>
        <w:t>Ühendkuningriik</w:t>
      </w:r>
      <w:r>
        <w:rPr>
          <w:noProof/>
        </w:rPr>
        <w:tab/>
        <w:t>8 531 tonni</w:t>
      </w:r>
    </w:p>
    <w:p>
      <w:pPr>
        <w:pStyle w:val="Text1"/>
        <w:tabs>
          <w:tab w:val="right" w:pos="4962"/>
        </w:tabs>
        <w:spacing w:before="0" w:after="0"/>
        <w:ind w:left="851"/>
        <w:rPr>
          <w:noProof/>
        </w:rPr>
      </w:pPr>
      <w:r>
        <w:rPr>
          <w:noProof/>
        </w:rPr>
        <w:t>Iirimaa</w:t>
      </w:r>
      <w:r>
        <w:rPr>
          <w:noProof/>
        </w:rPr>
        <w:tab/>
        <w:t>8 535 tonni</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Protokolli kehtivusaja jooksul on liikmesriikidel järgmine arv kvartalilitsentse:</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Saksamaa</w:t>
      </w:r>
      <w:r>
        <w:rPr>
          <w:noProof/>
        </w:rPr>
        <w:tab/>
        <w:t>4</w:t>
      </w:r>
    </w:p>
    <w:p>
      <w:pPr>
        <w:pStyle w:val="Text1"/>
        <w:tabs>
          <w:tab w:val="right" w:pos="4962"/>
        </w:tabs>
        <w:spacing w:before="0" w:after="0"/>
        <w:ind w:left="851"/>
        <w:rPr>
          <w:noProof/>
        </w:rPr>
      </w:pPr>
      <w:r>
        <w:rPr>
          <w:noProof/>
        </w:rPr>
        <w:t>Prantsusmaa</w:t>
      </w:r>
      <w:r>
        <w:rPr>
          <w:noProof/>
        </w:rPr>
        <w:tab/>
        <w:t>2</w:t>
      </w:r>
    </w:p>
    <w:p>
      <w:pPr>
        <w:pStyle w:val="Text1"/>
        <w:tabs>
          <w:tab w:val="right" w:pos="4962"/>
        </w:tabs>
        <w:spacing w:before="0" w:after="0"/>
        <w:ind w:left="851"/>
        <w:rPr>
          <w:noProof/>
        </w:rPr>
      </w:pPr>
      <w:r>
        <w:rPr>
          <w:noProof/>
        </w:rPr>
        <w:t>Läti</w:t>
      </w:r>
      <w:r>
        <w:rPr>
          <w:noProof/>
        </w:rPr>
        <w:tab/>
        <w:t>20</w:t>
      </w:r>
    </w:p>
    <w:p>
      <w:pPr>
        <w:pStyle w:val="Text1"/>
        <w:tabs>
          <w:tab w:val="right" w:pos="4962"/>
        </w:tabs>
        <w:spacing w:before="0" w:after="0"/>
        <w:ind w:left="851"/>
        <w:rPr>
          <w:noProof/>
        </w:rPr>
      </w:pPr>
      <w:r>
        <w:rPr>
          <w:noProof/>
        </w:rPr>
        <w:t>Leedu</w:t>
      </w:r>
      <w:r>
        <w:rPr>
          <w:noProof/>
        </w:rPr>
        <w:tab/>
        <w:t>22</w:t>
      </w:r>
    </w:p>
    <w:p>
      <w:pPr>
        <w:pStyle w:val="Text1"/>
        <w:tabs>
          <w:tab w:val="right" w:pos="4962"/>
        </w:tabs>
        <w:spacing w:before="0" w:after="0"/>
        <w:ind w:left="851"/>
        <w:rPr>
          <w:noProof/>
        </w:rPr>
      </w:pPr>
      <w:r>
        <w:rPr>
          <w:noProof/>
        </w:rPr>
        <w:t>Madalmaad</w:t>
      </w:r>
      <w:r>
        <w:rPr>
          <w:noProof/>
        </w:rPr>
        <w:tab/>
        <w:t>16</w:t>
      </w:r>
    </w:p>
    <w:p>
      <w:pPr>
        <w:pStyle w:val="Text1"/>
        <w:tabs>
          <w:tab w:val="right" w:pos="4962"/>
        </w:tabs>
        <w:spacing w:before="0" w:after="0"/>
        <w:ind w:left="851"/>
        <w:rPr>
          <w:noProof/>
        </w:rPr>
      </w:pPr>
      <w:r>
        <w:rPr>
          <w:noProof/>
        </w:rPr>
        <w:t>Poola</w:t>
      </w:r>
      <w:r>
        <w:rPr>
          <w:noProof/>
        </w:rPr>
        <w:tab/>
        <w:t>8</w:t>
      </w:r>
    </w:p>
    <w:p>
      <w:pPr>
        <w:pStyle w:val="Text1"/>
        <w:tabs>
          <w:tab w:val="right" w:pos="4962"/>
        </w:tabs>
        <w:spacing w:before="0" w:after="0"/>
        <w:ind w:left="851"/>
        <w:rPr>
          <w:noProof/>
        </w:rPr>
      </w:pPr>
      <w:r>
        <w:rPr>
          <w:noProof/>
        </w:rPr>
        <w:t>Ühendkuningriik</w:t>
      </w:r>
      <w:r>
        <w:rPr>
          <w:noProof/>
        </w:rPr>
        <w:tab/>
        <w:t>2</w:t>
      </w:r>
    </w:p>
    <w:p>
      <w:pPr>
        <w:pStyle w:val="Text1"/>
        <w:tabs>
          <w:tab w:val="right" w:pos="4962"/>
        </w:tabs>
        <w:spacing w:before="0" w:after="0"/>
        <w:ind w:left="851"/>
        <w:rPr>
          <w:noProof/>
        </w:rPr>
      </w:pPr>
      <w:r>
        <w:rPr>
          <w:noProof/>
        </w:rPr>
        <w:t>Iirimaa</w:t>
      </w:r>
      <w:r>
        <w:rPr>
          <w:noProof/>
        </w:rPr>
        <w:tab/>
        <w:t>2</w:t>
      </w:r>
    </w:p>
    <w:p>
      <w:pPr>
        <w:pStyle w:val="Text1"/>
        <w:tabs>
          <w:tab w:val="right" w:pos="4962"/>
        </w:tabs>
        <w:spacing w:before="0" w:after="0"/>
        <w:ind w:left="851"/>
        <w:rPr>
          <w:noProof/>
        </w:rPr>
      </w:pPr>
    </w:p>
    <w:p>
      <w:pPr>
        <w:pStyle w:val="Text1"/>
        <w:tabs>
          <w:tab w:val="right" w:pos="4962"/>
        </w:tabs>
        <w:spacing w:before="0" w:after="0"/>
        <w:ind w:left="851"/>
        <w:rPr>
          <w:i/>
          <w:noProof/>
        </w:rPr>
      </w:pPr>
      <w:r>
        <w:rPr>
          <w:noProof/>
        </w:rPr>
        <w:t>Liikmesriigid teatavad komisjonile juhtudest, kui teatavad litsentsid võidakse anda teiste liikmesriikide käsutusse.</w:t>
      </w:r>
    </w:p>
    <w:p>
      <w:pPr>
        <w:pStyle w:val="Text1"/>
        <w:tabs>
          <w:tab w:val="right" w:pos="4962"/>
        </w:tabs>
        <w:spacing w:before="0" w:after="0"/>
        <w:ind w:left="851"/>
        <w:rPr>
          <w:i/>
          <w:noProof/>
        </w:rPr>
      </w:pPr>
    </w:p>
    <w:p>
      <w:pPr>
        <w:pStyle w:val="Text1"/>
        <w:tabs>
          <w:tab w:val="right" w:pos="4962"/>
        </w:tabs>
        <w:spacing w:before="0" w:after="0"/>
        <w:ind w:left="851"/>
        <w:rPr>
          <w:noProof/>
        </w:rPr>
      </w:pPr>
      <w:r>
        <w:rPr>
          <w:noProof/>
        </w:rPr>
        <w:t>korraga võib Mauritaania vetes olla kuni 19 selle püügikategooria laeva;</w:t>
      </w:r>
    </w:p>
    <w:p>
      <w:pPr>
        <w:pStyle w:val="Text1"/>
        <w:tabs>
          <w:tab w:val="right" w:pos="4962"/>
        </w:tabs>
        <w:spacing w:before="0" w:after="0"/>
        <w:ind w:left="851"/>
        <w:rPr>
          <w:noProof/>
        </w:rPr>
      </w:pPr>
    </w:p>
    <w:p>
      <w:pPr>
        <w:pStyle w:val="Point0"/>
        <w:rPr>
          <w:noProof/>
        </w:rPr>
      </w:pPr>
      <w:r>
        <w:t>(g)</w:t>
      </w:r>
      <w:r>
        <w:tab/>
      </w:r>
      <w:r>
        <w:rPr>
          <w:noProof/>
        </w:rPr>
        <w:t>püügikategooria 7 – värske pelaagilise püügi laevad:</w:t>
      </w:r>
    </w:p>
    <w:p>
      <w:pPr>
        <w:pStyle w:val="Text1"/>
        <w:tabs>
          <w:tab w:val="right" w:pos="3686"/>
          <w:tab w:val="right" w:pos="4962"/>
        </w:tabs>
        <w:spacing w:before="0" w:after="0"/>
        <w:ind w:left="3544" w:hanging="2693"/>
        <w:rPr>
          <w:noProof/>
        </w:rPr>
      </w:pPr>
      <w:r>
        <w:rPr>
          <w:noProof/>
        </w:rPr>
        <w:t>Iirimaa</w:t>
      </w:r>
      <w:r>
        <w:rPr>
          <w:noProof/>
        </w:rPr>
        <w:tab/>
      </w:r>
      <w:r>
        <w:rPr>
          <w:noProof/>
        </w:rPr>
        <w:tab/>
      </w:r>
      <w:r>
        <w:rPr>
          <w:noProof/>
        </w:rPr>
        <w:tab/>
        <w:t>15 000 tonni</w:t>
      </w:r>
    </w:p>
    <w:p>
      <w:pPr>
        <w:pStyle w:val="Text1"/>
        <w:tabs>
          <w:tab w:val="right" w:pos="3686"/>
          <w:tab w:val="right" w:pos="4962"/>
        </w:tabs>
        <w:spacing w:before="0" w:after="0"/>
        <w:ind w:left="3544" w:hanging="2693"/>
        <w:rPr>
          <w:noProof/>
        </w:rPr>
      </w:pPr>
    </w:p>
    <w:p>
      <w:pPr>
        <w:pStyle w:val="Text1"/>
        <w:tabs>
          <w:tab w:val="right" w:pos="4962"/>
        </w:tabs>
        <w:spacing w:before="0" w:after="0"/>
        <w:ind w:left="851"/>
        <w:rPr>
          <w:noProof/>
        </w:rPr>
      </w:pPr>
      <w:r>
        <w:rPr>
          <w:noProof/>
        </w:rPr>
        <w:t xml:space="preserve">Juhul kui neid kalapüügivõimalusi ei kasutata, võib need kanda üle püügikategooria 6 alla vastavalt selle kategooria jaotamispõhimõttele. </w:t>
      </w:r>
    </w:p>
    <w:p>
      <w:pPr>
        <w:pStyle w:val="Point0"/>
        <w:rPr>
          <w:noProof/>
        </w:rPr>
      </w:pPr>
      <w:r>
        <w:t>(h)</w:t>
      </w:r>
      <w:r>
        <w:tab/>
      </w:r>
      <w:r>
        <w:rPr>
          <w:noProof/>
        </w:rPr>
        <w:t>püügikategooria 2a – senegali merluusi (külmutus)traalerid:</w:t>
      </w:r>
    </w:p>
    <w:p>
      <w:pPr>
        <w:pStyle w:val="Text1"/>
        <w:tabs>
          <w:tab w:val="right" w:pos="4962"/>
        </w:tabs>
        <w:spacing w:before="0" w:after="0"/>
        <w:ind w:left="851"/>
        <w:rPr>
          <w:noProof/>
        </w:rPr>
      </w:pPr>
      <w:r>
        <w:rPr>
          <w:noProof/>
        </w:rPr>
        <w:t>Hispaania:</w:t>
      </w:r>
    </w:p>
    <w:p>
      <w:pPr>
        <w:pStyle w:val="Text1"/>
        <w:tabs>
          <w:tab w:val="right" w:pos="4962"/>
        </w:tabs>
        <w:spacing w:before="0" w:after="0"/>
        <w:ind w:left="851"/>
        <w:rPr>
          <w:noProof/>
        </w:rPr>
      </w:pPr>
      <w:r>
        <w:rPr>
          <w:noProof/>
        </w:rPr>
        <w:tab/>
        <w:t xml:space="preserve">senegali merluus </w:t>
      </w:r>
      <w:r>
        <w:rPr>
          <w:noProof/>
        </w:rPr>
        <w:tab/>
      </w:r>
      <w:r>
        <w:rPr>
          <w:noProof/>
        </w:rPr>
        <w:tab/>
        <w:t>3 500 tonni</w:t>
      </w:r>
    </w:p>
    <w:p>
      <w:pPr>
        <w:pStyle w:val="Text1"/>
        <w:tabs>
          <w:tab w:val="right" w:pos="4962"/>
        </w:tabs>
        <w:spacing w:before="0" w:after="0"/>
        <w:ind w:left="851"/>
        <w:rPr>
          <w:noProof/>
        </w:rPr>
      </w:pPr>
      <w:r>
        <w:rPr>
          <w:noProof/>
        </w:rPr>
        <w:tab/>
        <w:t xml:space="preserve">kalmaar </w:t>
      </w:r>
      <w:r>
        <w:rPr>
          <w:noProof/>
        </w:rPr>
        <w:tab/>
      </w:r>
      <w:r>
        <w:rPr>
          <w:noProof/>
        </w:rPr>
        <w:tab/>
        <w:t>1 450 tonni</w:t>
      </w:r>
    </w:p>
    <w:p>
      <w:pPr>
        <w:pStyle w:val="Text1"/>
        <w:tabs>
          <w:tab w:val="right" w:pos="4962"/>
        </w:tabs>
        <w:spacing w:before="0" w:after="0"/>
        <w:ind w:left="851"/>
        <w:rPr>
          <w:noProof/>
        </w:rPr>
      </w:pPr>
      <w:r>
        <w:rPr>
          <w:noProof/>
        </w:rPr>
        <w:tab/>
        <w:t xml:space="preserve">seepia </w:t>
      </w:r>
      <w:r>
        <w:rPr>
          <w:noProof/>
        </w:rPr>
        <w:tab/>
      </w:r>
      <w:r>
        <w:rPr>
          <w:noProof/>
        </w:rPr>
        <w:tab/>
        <w:t>600 tonni</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Korraga võib Mauritaania vetes olla kuni kuus selle püügikategooria laeva.</w:t>
      </w:r>
    </w:p>
    <w:p>
      <w:pPr>
        <w:pStyle w:val="ManualNumPar1"/>
        <w:rPr>
          <w:noProof/>
        </w:rPr>
      </w:pPr>
      <w:r>
        <w:rPr>
          <w:noProof/>
        </w:rPr>
        <w:t>2.</w:t>
      </w:r>
      <w:r>
        <w:rPr>
          <w:noProof/>
        </w:rPr>
        <w:tab/>
        <w:t>Määruse (EL) 2017/2403 artikli 47 lõikes 2 osutatud tähtaeg, mille jooksul peavad liikmesriigid kinnitama, et nad ei kasuta lepingu alusel jaotatud kalapüügivõimalusi täielikult, on kümme tööpäeva arvestatuna kuupäevast, millal komisjon teatab neile, et kalapüügivõimalused ei ole ammendatud.</w:t>
      </w:r>
    </w:p>
    <w:p>
      <w:pPr>
        <w:pStyle w:val="Titrearticle"/>
        <w:rPr>
          <w:noProof/>
        </w:rPr>
      </w:pPr>
      <w:r>
        <w:rPr>
          <w:noProof/>
        </w:rPr>
        <w:t>Artikkel 2</w:t>
      </w:r>
    </w:p>
    <w:p>
      <w:pPr>
        <w:rPr>
          <w:noProof/>
        </w:rPr>
      </w:pPr>
      <w:r>
        <w:rPr>
          <w:noProof/>
        </w:rPr>
        <w:t xml:space="preserve">Käesolev määrus jõustub järgmisel päeval pärast selle avaldamist </w:t>
      </w:r>
      <w:r>
        <w:rPr>
          <w:i/>
          <w:iCs/>
          <w:noProof/>
        </w:rPr>
        <w:t>Euroopa Liidu Teatajas</w:t>
      </w:r>
      <w:r>
        <w:rPr>
          <w:noProof/>
        </w:rPr>
        <w:t xml:space="preserve">. </w:t>
      </w:r>
    </w:p>
    <w:p>
      <w:pPr>
        <w:rPr>
          <w:noProof/>
        </w:rPr>
      </w:pPr>
      <w:r>
        <w:rPr>
          <w:noProof/>
        </w:rPr>
        <w:t xml:space="preserve">Käesolevat määrust kohaldatakse alates Euroopa Liidu ja Mauritaania Islamivabariigi vahelise kirjavahetuse vormis kokkuleppe (milles käsitletakse sellise protokolli kehtivusaja pikendamist, millega määratakse kindlaks Euroopa Liidu ja Mauritaania Islamivabariigi </w:t>
      </w:r>
      <w:r>
        <w:rPr>
          <w:noProof/>
        </w:rPr>
        <w:lastRenderedPageBreak/>
        <w:t>vahelise kalandusalase partnerluslepinguga ettenähtud kalapüügivõimalused ja rahaline toetus ning mis aegub 15. novembril 2019) allkirjastamise kuupäevast.</w:t>
      </w:r>
    </w:p>
    <w:p>
      <w:pPr>
        <w:pStyle w:val="Applicationdirecte"/>
        <w:rPr>
          <w:noProof/>
        </w:rPr>
      </w:pPr>
      <w:r>
        <w:rPr>
          <w:noProof/>
        </w:rPr>
        <w:t>Käesolev määrus on tervikuna siduv ja vahetult kohaldatav kõikides liikmesriikides.</w:t>
      </w:r>
    </w:p>
    <w:p>
      <w:pPr>
        <w:pStyle w:val="Fait"/>
        <w:rPr>
          <w:noProof/>
        </w:rPr>
      </w:pPr>
      <w:r>
        <w:t>Brüssel,</w:t>
      </w:r>
    </w:p>
    <w:p>
      <w:pPr>
        <w:pStyle w:val="Institutionquisigne"/>
        <w:rPr>
          <w:noProof/>
        </w:rPr>
      </w:pPr>
      <w:r>
        <w:rPr>
          <w:noProof/>
        </w:rPr>
        <w:tab/>
        <w:t>Nõukogu nimel</w:t>
      </w:r>
    </w:p>
    <w:p>
      <w:pPr>
        <w:pStyle w:val="Personnequisigne"/>
        <w:rPr>
          <w:noProof/>
        </w:rPr>
      </w:pPr>
      <w:r>
        <w:rPr>
          <w:noProof/>
        </w:rPr>
        <w:tab/>
        <w:t>eesistuja</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6</w:t>
    </w:r>
    <w:r>
      <w:fldChar w:fldCharType="end"/>
    </w:r>
    <w:r>
      <w:tab/>
    </w:r>
    <w:r>
      <w:tab/>
    </w:r>
    <w:r>
      <w:rPr>
        <w:rFonts w:ascii="Arial" w:hAnsi="Arial" w:cs="Arial"/>
        <w:b/>
        <w:sz w:val="48"/>
      </w:rPr>
      <w:t>ET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Kogust on lubatud ületada 10 %, ilma et see mõjutaks Euroopa Liidu poolt juurdepääsuks antavat rahalist toetust.</w:t>
      </w:r>
    </w:p>
  </w:footnote>
  <w:footnote w:id="2">
    <w:p>
      <w:pPr>
        <w:pStyle w:val="FootnoteText"/>
      </w:pPr>
      <w:r>
        <w:rPr>
          <w:rStyle w:val="FootnoteReference"/>
        </w:rPr>
        <w:footnoteRef/>
      </w:r>
      <w:r>
        <w:tab/>
        <w:t>ELT L 343, 8.12.2006, lk 4.</w:t>
      </w:r>
    </w:p>
  </w:footnote>
  <w:footnote w:id="3">
    <w:p>
      <w:pPr>
        <w:pStyle w:val="FootnoteText"/>
      </w:pPr>
      <w:r>
        <w:rPr>
          <w:rStyle w:val="FootnoteReference"/>
        </w:rPr>
        <w:footnoteRef/>
      </w:r>
      <w:r>
        <w:tab/>
        <w:t>Nõukogu 30. novembri 2006. aasta määrus (EÜ) nr 1801/2006 Euroopa Ühenduse ja Mauritaania Islamivabariigi vahelise kalandusalase partnerluslepingu sõlmimise kohta (ELT L 343, 8.12.2006, lk 1).</w:t>
      </w:r>
    </w:p>
  </w:footnote>
  <w:footnote w:id="4">
    <w:p>
      <w:pPr>
        <w:pStyle w:val="FootnoteText"/>
      </w:pPr>
      <w:r>
        <w:rPr>
          <w:rStyle w:val="FootnoteReference"/>
        </w:rPr>
        <w:footnoteRef/>
      </w:r>
      <w:r>
        <w:tab/>
        <w:t>ELT C , , lk .</w:t>
      </w:r>
    </w:p>
  </w:footnote>
  <w:footnote w:id="5">
    <w:p>
      <w:pPr>
        <w:pStyle w:val="FootnoteText"/>
      </w:pPr>
      <w:r>
        <w:rPr>
          <w:rStyle w:val="FootnoteReference"/>
        </w:rPr>
        <w:footnoteRef/>
      </w:r>
      <w:r>
        <w:tab/>
        <w:t>ELT L 347, 28.12.2017, lk 81.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6F81AD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5CEA09D6"/>
    <w:lvl w:ilvl="0">
      <w:start w:val="1"/>
      <w:numFmt w:val="decimal"/>
      <w:pStyle w:val="ListNumber3"/>
      <w:lvlText w:val="%1."/>
      <w:lvlJc w:val="left"/>
      <w:pPr>
        <w:tabs>
          <w:tab w:val="num" w:pos="926"/>
        </w:tabs>
        <w:ind w:left="926" w:hanging="360"/>
      </w:pPr>
    </w:lvl>
  </w:abstractNum>
  <w:abstractNum w:abstractNumId="2">
    <w:nsid w:val="FFFFFF7F"/>
    <w:multiLevelType w:val="singleLevel"/>
    <w:tmpl w:val="52E48300"/>
    <w:lvl w:ilvl="0">
      <w:start w:val="1"/>
      <w:numFmt w:val="decimal"/>
      <w:pStyle w:val="ListNumber2"/>
      <w:lvlText w:val="%1."/>
      <w:lvlJc w:val="left"/>
      <w:pPr>
        <w:tabs>
          <w:tab w:val="num" w:pos="643"/>
        </w:tabs>
        <w:ind w:left="643" w:hanging="360"/>
      </w:pPr>
    </w:lvl>
  </w:abstractNum>
  <w:abstractNum w:abstractNumId="3">
    <w:nsid w:val="FFFFFF81"/>
    <w:multiLevelType w:val="singleLevel"/>
    <w:tmpl w:val="8236D58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4E405EB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3BC8BA2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2EFCEAE8"/>
    <w:lvl w:ilvl="0">
      <w:start w:val="1"/>
      <w:numFmt w:val="decimal"/>
      <w:pStyle w:val="ListNumber"/>
      <w:lvlText w:val="%1."/>
      <w:lvlJc w:val="left"/>
      <w:pPr>
        <w:tabs>
          <w:tab w:val="num" w:pos="360"/>
        </w:tabs>
        <w:ind w:left="360" w:hanging="360"/>
      </w:pPr>
    </w:lvl>
  </w:abstractNum>
  <w:abstractNum w:abstractNumId="7">
    <w:nsid w:val="FFFFFF89"/>
    <w:multiLevelType w:val="singleLevel"/>
    <w:tmpl w:val="F5C66B1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lvlOverride w:ilvl="0">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fr-FR" w:vendorID="64" w:dllVersion="131078" w:nlCheck="1" w:checkStyle="0"/>
  <w:activeWritingStyle w:appName="MSWord" w:lang="en-GB" w:vendorID="64" w:dllVersion="131078" w:nlCheck="1" w:checkStyle="1"/>
  <w:attachedTemplate r:id="rId1"/>
  <w:revisionView w:markup="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19-10-01 10:21:37"/>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22"/>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01119B36-6407-4D35-AAB3-619D77131594"/>
    <w:docVar w:name="LW_COVERPAGE_TYPE" w:val="1"/>
    <w:docVar w:name="LW_CROSSREFERENCE" w:val="&lt;UNUSED&gt;"/>
    <w:docVar w:name="LW_DocType" w:val="COM"/>
    <w:docVar w:name="LW_EMISSION" w:val="1.10.2019"/>
    <w:docVar w:name="LW_EMISSION_ISODATE" w:val="2019-10-01"/>
    <w:docVar w:name="LW_EMISSION_LOCATION" w:val="BRX"/>
    <w:docVar w:name="LW_EMISSION_PREFIX" w:val="Brüssel,"/>
    <w:docVar w:name="LW_EMISSION_SUFFIX" w:val=" "/>
    <w:docVar w:name="LW_ID_DOCMODEL" w:val="SJ-016"/>
    <w:docVar w:name="LW_ID_DOCSIGNATURE" w:val="SJ-016"/>
    <w:docVar w:name="LW_ID_DOCSTRUCTURE" w:val="COM/PL/ORG"/>
    <w:docVar w:name="LW_ID_DOCTYPE" w:val="SJ-016"/>
    <w:docVar w:name="LW_ID_EXP.MOTIFS.NEW" w:val="EM_PL_"/>
    <w:docVar w:name="LW_ID_STATUT" w:val="SJ-016"/>
    <w:docVar w:name="LW_INTERETEEE.CP" w:val="&lt;UNUSED&gt;"/>
    <w:docVar w:name="LW_LANGUE" w:val="ET"/>
    <w:docVar w:name="LW_LEVEL_OF_SENSITIVITY" w:val="Standard treatment"/>
    <w:docVar w:name="LW_NOM.INST" w:val="EUROOPA KOMISJON"/>
    <w:docVar w:name="LW_NOM.INST_JOINTDOC" w:val="&lt;EMPTY&gt;"/>
    <w:docVar w:name="LW_PART_NBR" w:val="1"/>
    <w:docVar w:name="LW_PART_NBR_TOTAL" w:val="1"/>
    <w:docVar w:name="LW_REF.II.NEW.CP" w:val="NLE"/>
    <w:docVar w:name="LW_REF.II.NEW.CP_NUMBER" w:val="0208"/>
    <w:docVar w:name="LW_REF.II.NEW.CP_YEAR" w:val="2019"/>
    <w:docVar w:name="LW_REF.INST.NEW" w:val="COM"/>
    <w:docVar w:name="LW_REF.INST.NEW_ADOPTED" w:val="final"/>
    <w:docVar w:name="LW_REF.INST.NEW_TEXT" w:val="(2019) 44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ttepanek:"/>
    <w:docVar w:name="LW_SUPERTITRE" w:val="&lt;UNUSED&gt;"/>
    <w:docVar w:name="LW_TITRE.OBJ.CP" w:val="kalapüügivõimaluste jaotamise kohta vastavalt protokollile, millega määratakse kuni üheks aastaks kindlaks Euroopa Ühenduse ning Mauritaania Islamivabariigi vahelise kalandusalase partnerlusepinguga ettenähtud kalapüügivõimalused ja rahaline toetus"/>
    <w:docVar w:name="LW_TYPE.DOC.CP" w:val="NÕUKOGU MÄÄRU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t-EE"/>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t-E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t-EE"/>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t-E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t-E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t-E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t-EE"/>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t-E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t-EE"/>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t-E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t-E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t-E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5E5F964-EC38-4CC9-B79A-A385BE4D3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7</Pages>
  <Words>1156</Words>
  <Characters>8676</Characters>
  <Application>Microsoft Office Word</Application>
  <DocSecurity>0</DocSecurity>
  <Lines>197</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19</cp:revision>
  <dcterms:created xsi:type="dcterms:W3CDTF">2019-09-30T12:46:00Z</dcterms:created>
  <dcterms:modified xsi:type="dcterms:W3CDTF">2019-10-01T08:21:00Z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7.0, Build 20190717</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SJ-016</vt:lpwstr>
  </property>
  <property fmtid="{D5CDD505-2E9C-101B-9397-08002B2CF9AE}" pid="10" name="DQCStatus">
    <vt:lpwstr>Green (DQC version 03)</vt:lpwstr>
  </property>
  <property name="OP_sanitized" fmtid="{D5CDD505-2E9C-101B-9397-08002B2CF9AE}" pid="11">
    <vt:lpwstr>True</vt:lpwstr>
  </property>
</Properties>
</file>