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F13" w:rsidRDefault="00E40F70" w:rsidP="00E40F70">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61F36225-4210-468F-9914-549EED163B4C" style="width:450.85pt;height:518pt">
            <v:imagedata r:id="rId12" o:title=""/>
          </v:shape>
        </w:pict>
      </w:r>
    </w:p>
    <w:bookmarkEnd w:id="0"/>
    <w:p w:rsidR="00B97F13" w:rsidRDefault="00B97F13">
      <w:pPr>
        <w:pStyle w:val="Pagedecouverture"/>
        <w:rPr>
          <w:noProof/>
        </w:rPr>
        <w:sectPr w:rsidR="00B97F13" w:rsidSect="00E40F70">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rsidR="00B97F13" w:rsidRDefault="00B97F13">
      <w:pPr>
        <w:rPr>
          <w:noProof/>
        </w:rPr>
      </w:pPr>
      <w:bookmarkStart w:id="1" w:name="_GoBack"/>
      <w:bookmarkEnd w:id="1"/>
    </w:p>
    <w:tbl>
      <w:tblPr>
        <w:tblStyle w:val="TableGrid"/>
        <w:tblW w:w="10188" w:type="dxa"/>
        <w:tblLook w:val="01E0" w:firstRow="1" w:lastRow="1" w:firstColumn="1" w:lastColumn="1" w:noHBand="0" w:noVBand="0"/>
      </w:tblPr>
      <w:tblGrid>
        <w:gridCol w:w="10188"/>
      </w:tblGrid>
      <w:tr w:rsidR="00B97F13">
        <w:tc>
          <w:tcPr>
            <w:tcW w:w="10188" w:type="dxa"/>
            <w:tcBorders>
              <w:bottom w:val="single" w:sz="4" w:space="0" w:color="auto"/>
            </w:tcBorders>
            <w:shd w:val="clear" w:color="auto" w:fill="CCCCCC"/>
          </w:tcPr>
          <w:p w:rsidR="00B97F13" w:rsidRDefault="00E40F70">
            <w:pPr>
              <w:spacing w:before="60" w:after="60"/>
              <w:jc w:val="center"/>
              <w:rPr>
                <w:rFonts w:ascii="Tahoma" w:hAnsi="Tahoma" w:cs="Tahoma"/>
                <w:b/>
                <w:noProof/>
                <w:sz w:val="22"/>
                <w:szCs w:val="22"/>
              </w:rPr>
            </w:pPr>
            <w:r>
              <w:rPr>
                <w:rFonts w:ascii="Tahoma" w:hAnsi="Tahoma"/>
                <w:b/>
                <w:noProof/>
                <w:sz w:val="22"/>
              </w:rPr>
              <w:t>Kommenteeritud kokkuvõte</w:t>
            </w:r>
          </w:p>
        </w:tc>
      </w:tr>
      <w:tr w:rsidR="00B97F13">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rsidR="00B97F13" w:rsidRDefault="00E40F70">
            <w:pPr>
              <w:spacing w:before="120" w:after="120"/>
              <w:jc w:val="center"/>
              <w:rPr>
                <w:rFonts w:ascii="Tahoma" w:hAnsi="Tahoma"/>
                <w:b/>
                <w:noProof/>
                <w:color w:val="FFFFFF" w:themeColor="background1"/>
                <w:sz w:val="20"/>
              </w:rPr>
            </w:pPr>
            <w:r>
              <w:rPr>
                <w:rFonts w:ascii="Tahoma" w:hAnsi="Tahoma"/>
                <w:b/>
                <w:noProof/>
                <w:color w:val="FFFFFF" w:themeColor="background1"/>
                <w:sz w:val="20"/>
              </w:rPr>
              <w:t xml:space="preserve">Mõjuhinnang järgmiste ettepanekute kohta: direktiiv, millega tehakse sihtotstarbelisi muudatusi ELi tarbijaõiguse </w:t>
            </w:r>
            <w:r>
              <w:rPr>
                <w:rFonts w:ascii="Tahoma" w:hAnsi="Tahoma"/>
                <w:b/>
                <w:noProof/>
                <w:color w:val="FFFFFF" w:themeColor="background1"/>
                <w:sz w:val="20"/>
              </w:rPr>
              <w:t>direktiivides, ja direktiiv, millega muudetakse ja mis asendab direktiivi 2009/22/EÜ tarbijate huve kaitsvate ettekirjutuste kohta („Uus kokkulepe tarbijatega“).</w:t>
            </w:r>
          </w:p>
          <w:p w:rsidR="00B97F13" w:rsidRDefault="00B97F13">
            <w:pPr>
              <w:spacing w:before="120" w:after="120"/>
              <w:jc w:val="both"/>
              <w:rPr>
                <w:rFonts w:ascii="Tahoma" w:hAnsi="Tahoma" w:cs="Tahoma"/>
                <w:b/>
                <w:noProof/>
                <w:sz w:val="20"/>
                <w:szCs w:val="20"/>
              </w:rPr>
            </w:pPr>
          </w:p>
        </w:tc>
      </w:tr>
      <w:tr w:rsidR="00B97F13">
        <w:tc>
          <w:tcPr>
            <w:tcW w:w="10188" w:type="dxa"/>
            <w:tcBorders>
              <w:bottom w:val="single" w:sz="4" w:space="0" w:color="auto"/>
            </w:tcBorders>
            <w:shd w:val="clear" w:color="auto" w:fill="CCCCCC"/>
          </w:tcPr>
          <w:p w:rsidR="00B97F13" w:rsidRDefault="00E40F70">
            <w:pPr>
              <w:spacing w:before="60" w:after="60"/>
              <w:jc w:val="center"/>
              <w:rPr>
                <w:rFonts w:ascii="Tahoma" w:hAnsi="Tahoma" w:cs="Tahoma"/>
                <w:b/>
                <w:noProof/>
                <w:sz w:val="22"/>
                <w:szCs w:val="22"/>
              </w:rPr>
            </w:pPr>
            <w:r>
              <w:rPr>
                <w:rFonts w:ascii="Tahoma" w:hAnsi="Tahoma"/>
                <w:b/>
                <w:noProof/>
                <w:sz w:val="22"/>
              </w:rPr>
              <w:t>A. Vajadus meetmete järele</w:t>
            </w:r>
          </w:p>
        </w:tc>
      </w:tr>
      <w:tr w:rsidR="00B97F13">
        <w:tc>
          <w:tcPr>
            <w:tcW w:w="10188" w:type="dxa"/>
            <w:tcBorders>
              <w:bottom w:val="single" w:sz="4" w:space="0" w:color="auto"/>
            </w:tcBorders>
            <w:shd w:val="clear" w:color="auto" w:fill="E0E0E0"/>
          </w:tcPr>
          <w:p w:rsidR="00B97F13" w:rsidRDefault="00E40F70">
            <w:pPr>
              <w:spacing w:before="60" w:after="60"/>
              <w:jc w:val="both"/>
              <w:rPr>
                <w:rFonts w:ascii="Tahoma" w:hAnsi="Tahoma" w:cs="Tahoma"/>
                <w:noProof/>
                <w:sz w:val="20"/>
                <w:szCs w:val="20"/>
              </w:rPr>
            </w:pPr>
            <w:r>
              <w:rPr>
                <w:rFonts w:ascii="Tahoma" w:hAnsi="Tahoma"/>
                <w:b/>
                <w:noProof/>
                <w:sz w:val="20"/>
              </w:rPr>
              <w:t xml:space="preserve">Miks? Milline on lahendamist vajav probleem? </w:t>
            </w:r>
            <w:r>
              <w:rPr>
                <w:rFonts w:ascii="Tahoma" w:hAnsi="Tahoma"/>
                <w:noProof/>
                <w:sz w:val="20"/>
                <w:u w:val="single"/>
              </w:rPr>
              <w:t>Kuni 11 rida</w:t>
            </w:r>
          </w:p>
        </w:tc>
      </w:tr>
      <w:tr w:rsidR="00B97F13">
        <w:trPr>
          <w:trHeight w:val="2732"/>
        </w:trPr>
        <w:tc>
          <w:tcPr>
            <w:tcW w:w="10188" w:type="dxa"/>
            <w:tcBorders>
              <w:bottom w:val="single" w:sz="4" w:space="0" w:color="auto"/>
            </w:tcBorders>
            <w:shd w:val="clear" w:color="auto" w:fill="auto"/>
          </w:tcPr>
          <w:p w:rsidR="00B97F13" w:rsidRDefault="00E40F70">
            <w:pPr>
              <w:jc w:val="both"/>
              <w:rPr>
                <w:rFonts w:ascii="Tahoma" w:hAnsi="Tahoma" w:cs="Tahoma"/>
                <w:noProof/>
                <w:sz w:val="20"/>
                <w:szCs w:val="20"/>
              </w:rPr>
            </w:pPr>
            <w:r>
              <w:rPr>
                <w:rFonts w:ascii="Tahoma" w:hAnsi="Tahoma"/>
                <w:noProof/>
                <w:sz w:val="20"/>
              </w:rPr>
              <w:t>Mõjuhinnang on jätkuks ELi tarbijaõiguse toimivuskontrollile ja tarbijaõiguste direktiivi 2011/83/EL hindamisele, mille tulemused avaldati mõlemad 2017. aasta mais, ning kollektiivset õiguskaitset käsitleva soovituse hindamisele, mille tulemused avaldati 2</w:t>
            </w:r>
            <w:r>
              <w:rPr>
                <w:rFonts w:ascii="Tahoma" w:hAnsi="Tahoma"/>
                <w:noProof/>
                <w:sz w:val="20"/>
              </w:rPr>
              <w:t>018. aasta jaanuaris. Tulemustest selgub, et ehkki materiaalõiguse normid täidavad üldiselt oma eesmärki, pärsib nende tulemuslikkust puuduv teadlikkus, ebapiisav jõustamine ja tarbijate õiguskaitsevõimaluste vähesus. 2016. aastal andis 20,1 % ELi tarbijat</w:t>
            </w:r>
            <w:r>
              <w:rPr>
                <w:rFonts w:ascii="Tahoma" w:hAnsi="Tahoma"/>
                <w:noProof/>
                <w:sz w:val="20"/>
              </w:rPr>
              <w:t>est teada tarbijaõigustega seotud probleemidest ning 24 % kauplejatest leidis, et tarbijaõigust ei järgita piisavalt. See tekitab tarbijakahju ja takistab kauplejate õiglast konkurentsi. Lisaks andsid need hindamised tunnistust vajadusest ajakohastada norm</w:t>
            </w:r>
            <w:r>
              <w:rPr>
                <w:rFonts w:ascii="Tahoma" w:hAnsi="Tahoma"/>
                <w:noProof/>
                <w:sz w:val="20"/>
              </w:rPr>
              <w:t>e ja kõrvaldada ebaproportsionaalne koormus teatavates valdkondades. Seega käsitletakse käesolevas mõjuhinnangus esiteks olemasolevaid ebatõhusaid mehhanisme, mille abil (1) rikkumisi peatada ja kauplejaid neid toime panemast heidutada ning (2) tagada tarb</w:t>
            </w:r>
            <w:r>
              <w:rPr>
                <w:rFonts w:ascii="Tahoma" w:hAnsi="Tahoma"/>
                <w:noProof/>
                <w:sz w:val="20"/>
              </w:rPr>
              <w:t>ijatele kantud kahju hüvitamine, eelkõige massikahju juhtumite puhul. Seejärel käsitletakse mõne ELi tarbijaõiguse normi ajakohastamist, võttes arvesse infotehnoloogia arengut, ja kauplejate ebaproportsionaalse koormuse kõrvaldamist teatavates valdkondades</w:t>
            </w:r>
            <w:r>
              <w:rPr>
                <w:rFonts w:ascii="Tahoma" w:hAnsi="Tahoma"/>
                <w:noProof/>
                <w:sz w:val="20"/>
              </w:rPr>
              <w:t xml:space="preserve">. Sellised probleemid peaksid aja jooksul süvenema, kuna tarbijate sooritatavad tehingud on üleilmastumise ja digipöörde tõttu üha sagenemas. </w:t>
            </w:r>
          </w:p>
        </w:tc>
      </w:tr>
      <w:tr w:rsidR="00B97F13">
        <w:tc>
          <w:tcPr>
            <w:tcW w:w="10188" w:type="dxa"/>
            <w:tcBorders>
              <w:bottom w:val="single" w:sz="4" w:space="0" w:color="auto"/>
            </w:tcBorders>
            <w:shd w:val="clear" w:color="auto" w:fill="E6E6E6"/>
          </w:tcPr>
          <w:p w:rsidR="00B97F13" w:rsidRDefault="00E40F70">
            <w:pPr>
              <w:spacing w:before="60" w:after="60"/>
              <w:jc w:val="both"/>
              <w:rPr>
                <w:rFonts w:ascii="Tahoma" w:hAnsi="Tahoma" w:cs="Tahoma"/>
                <w:noProof/>
                <w:sz w:val="20"/>
                <w:szCs w:val="20"/>
              </w:rPr>
            </w:pPr>
            <w:r>
              <w:rPr>
                <w:rFonts w:ascii="Tahoma" w:hAnsi="Tahoma"/>
                <w:b/>
                <w:noProof/>
                <w:sz w:val="20"/>
              </w:rPr>
              <w:t xml:space="preserve">Mida selle algatusega loodetakse saavutada? </w:t>
            </w:r>
            <w:r>
              <w:rPr>
                <w:rFonts w:ascii="Tahoma" w:hAnsi="Tahoma"/>
                <w:noProof/>
                <w:sz w:val="20"/>
                <w:u w:val="single"/>
              </w:rPr>
              <w:t>Kuni 8 rida</w:t>
            </w:r>
          </w:p>
        </w:tc>
      </w:tr>
      <w:tr w:rsidR="00B97F13">
        <w:tc>
          <w:tcPr>
            <w:tcW w:w="10188" w:type="dxa"/>
            <w:tcBorders>
              <w:bottom w:val="single" w:sz="4" w:space="0" w:color="auto"/>
            </w:tcBorders>
            <w:shd w:val="clear" w:color="auto" w:fill="auto"/>
          </w:tcPr>
          <w:p w:rsidR="00B97F13" w:rsidRDefault="00E40F70">
            <w:pPr>
              <w:jc w:val="both"/>
              <w:rPr>
                <w:rFonts w:ascii="Tahoma" w:hAnsi="Tahoma" w:cs="Tahoma"/>
                <w:noProof/>
                <w:sz w:val="20"/>
                <w:szCs w:val="20"/>
              </w:rPr>
            </w:pPr>
            <w:r>
              <w:rPr>
                <w:rFonts w:ascii="Tahoma" w:hAnsi="Tahoma"/>
                <w:noProof/>
                <w:sz w:val="20"/>
              </w:rPr>
              <w:t xml:space="preserve">Algatuse eesmärk on veelgi tugevdada hästi toimivat </w:t>
            </w:r>
            <w:r>
              <w:rPr>
                <w:rFonts w:ascii="Tahoma" w:hAnsi="Tahoma"/>
                <w:noProof/>
                <w:sz w:val="20"/>
              </w:rPr>
              <w:t>tarbijakeskkonda, mis toetab majanduskasvu, kuna tarbijate kulutused moodustavad 56 % ELi SKPst. Kavandatavad meetmed peaksid nõudluse poolel vähendama tarbijakahju, suurendama usaldust ja aitama tarbijatel täita oma rolli turgude kujundamisel. Pakkumise p</w:t>
            </w:r>
            <w:r>
              <w:rPr>
                <w:rFonts w:ascii="Tahoma" w:hAnsi="Tahoma"/>
                <w:noProof/>
                <w:sz w:val="20"/>
              </w:rPr>
              <w:t xml:space="preserve">oolel on nende eesmärk tagada ettevõtjatele õiglane konkurents ja õiguskindlus. Konkreetsed eesmärgid on järgmised: 1) tegevuse parem vastavus ELi tarbijaõigusele ning 2) tarbijakaitse eeskirjade ajakohastamine ja kauplejate tarbetute kulude kõrvaldamine. </w:t>
            </w:r>
            <w:r>
              <w:rPr>
                <w:rFonts w:ascii="Tahoma" w:hAnsi="Tahoma"/>
                <w:noProof/>
                <w:sz w:val="20"/>
              </w:rPr>
              <w:t>See aitab saavutada üldeesmärke, milleks on: 1) tarbijakaitse kõrge taseme tagamine ning 2) siseturu tõrgeteta toimimine nii tarbijate kui ka kauplejate hüvanguks.</w:t>
            </w:r>
          </w:p>
        </w:tc>
      </w:tr>
      <w:tr w:rsidR="00B97F13">
        <w:tc>
          <w:tcPr>
            <w:tcW w:w="10188" w:type="dxa"/>
            <w:tcBorders>
              <w:bottom w:val="single" w:sz="4" w:space="0" w:color="auto"/>
            </w:tcBorders>
            <w:shd w:val="clear" w:color="auto" w:fill="E6E6E6"/>
          </w:tcPr>
          <w:p w:rsidR="00B97F13" w:rsidRDefault="00E40F70">
            <w:pPr>
              <w:spacing w:before="60" w:after="60"/>
              <w:jc w:val="both"/>
              <w:rPr>
                <w:rFonts w:ascii="Tahoma" w:hAnsi="Tahoma" w:cs="Tahoma"/>
                <w:noProof/>
                <w:sz w:val="20"/>
                <w:szCs w:val="20"/>
              </w:rPr>
            </w:pPr>
            <w:r>
              <w:rPr>
                <w:rFonts w:ascii="Tahoma" w:hAnsi="Tahoma"/>
                <w:b/>
                <w:noProof/>
                <w:sz w:val="20"/>
              </w:rPr>
              <w:t>Milline on ELi tasandi meetmete lisaväärtus?</w:t>
            </w:r>
            <w:r>
              <w:rPr>
                <w:rFonts w:ascii="Tahoma" w:hAnsi="Tahoma"/>
                <w:noProof/>
                <w:sz w:val="20"/>
              </w:rPr>
              <w:t xml:space="preserve"> </w:t>
            </w:r>
            <w:r>
              <w:rPr>
                <w:rFonts w:ascii="Tahoma" w:hAnsi="Tahoma"/>
                <w:noProof/>
                <w:sz w:val="20"/>
                <w:u w:val="single"/>
              </w:rPr>
              <w:t>Kuni 7 rida</w:t>
            </w:r>
            <w:r>
              <w:rPr>
                <w:rFonts w:ascii="Tahoma" w:hAnsi="Tahoma"/>
                <w:noProof/>
                <w:sz w:val="20"/>
              </w:rPr>
              <w:t xml:space="preserve"> </w:t>
            </w:r>
          </w:p>
        </w:tc>
      </w:tr>
      <w:tr w:rsidR="00B97F13">
        <w:trPr>
          <w:trHeight w:val="1911"/>
        </w:trPr>
        <w:tc>
          <w:tcPr>
            <w:tcW w:w="10188" w:type="dxa"/>
            <w:tcBorders>
              <w:bottom w:val="single" w:sz="4" w:space="0" w:color="auto"/>
            </w:tcBorders>
            <w:shd w:val="clear" w:color="auto" w:fill="auto"/>
          </w:tcPr>
          <w:p w:rsidR="00B97F13" w:rsidRDefault="00E40F70">
            <w:pPr>
              <w:jc w:val="both"/>
              <w:rPr>
                <w:rFonts w:ascii="Tahoma" w:hAnsi="Tahoma" w:cs="Tahoma"/>
                <w:noProof/>
                <w:sz w:val="20"/>
                <w:szCs w:val="20"/>
              </w:rPr>
            </w:pPr>
            <w:r>
              <w:rPr>
                <w:rFonts w:ascii="Tahoma" w:hAnsi="Tahoma"/>
                <w:noProof/>
                <w:sz w:val="20"/>
              </w:rPr>
              <w:t xml:space="preserve">Tarbijakaitse kuulub </w:t>
            </w:r>
            <w:r>
              <w:rPr>
                <w:rFonts w:ascii="Tahoma" w:hAnsi="Tahoma"/>
                <w:noProof/>
                <w:sz w:val="20"/>
              </w:rPr>
              <w:t xml:space="preserve">liikmesriikide ja ELi jagatud pädevusse. Käesolevas mõjuhinnangus käsitletavad probleemid on laialt levinud ja neil on kogu ELis ühed ja samad põhjused. Laiaulatuslike ebaseaduslike tavade puhul, mis mõjutavad mitme liikmesriigi tarbijaid, peab jõustamine </w:t>
            </w:r>
            <w:r>
              <w:rPr>
                <w:rFonts w:ascii="Tahoma" w:hAnsi="Tahoma"/>
                <w:noProof/>
                <w:sz w:val="20"/>
              </w:rPr>
              <w:t xml:space="preserve">põhinema ühisel ja ühtsel materiaalõiguse raamistikul. Toimivuskontrolli aruandes leiti, et ELi tarbijaõiguse kõige tähtsam lisaväärtus on see, et ühtlustatud normid aitavad liikmesriikide täitevasutustel tulemuslikumalt tegeleda piiriüleste rikkumistega, </w:t>
            </w:r>
            <w:r>
              <w:rPr>
                <w:rFonts w:ascii="Tahoma" w:hAnsi="Tahoma"/>
                <w:noProof/>
                <w:sz w:val="20"/>
              </w:rPr>
              <w:t>mis kahjustavad mitme liikmesriigi tarbijaid. Samal ajal võimaldavad ühtlustatud normid kauplejatele lihtsamat ja odavamat piiriülest kauplemist.</w:t>
            </w:r>
          </w:p>
        </w:tc>
      </w:tr>
    </w:tbl>
    <w:p w:rsidR="00B97F13" w:rsidRDefault="00B97F13">
      <w:pPr>
        <w:rPr>
          <w:rFonts w:ascii="Tahoma" w:hAnsi="Tahoma" w:cs="Tahoma"/>
          <w:noProof/>
        </w:rPr>
      </w:pPr>
    </w:p>
    <w:tbl>
      <w:tblPr>
        <w:tblStyle w:val="TableGrid"/>
        <w:tblW w:w="10188" w:type="dxa"/>
        <w:tblLook w:val="01E0" w:firstRow="1" w:lastRow="1" w:firstColumn="1" w:lastColumn="1" w:noHBand="0" w:noVBand="0"/>
      </w:tblPr>
      <w:tblGrid>
        <w:gridCol w:w="10188"/>
      </w:tblGrid>
      <w:tr w:rsidR="00B97F13">
        <w:tc>
          <w:tcPr>
            <w:tcW w:w="10188" w:type="dxa"/>
            <w:tcBorders>
              <w:bottom w:val="single" w:sz="4" w:space="0" w:color="auto"/>
            </w:tcBorders>
            <w:shd w:val="clear" w:color="auto" w:fill="CCCCCC"/>
          </w:tcPr>
          <w:p w:rsidR="00B97F13" w:rsidRDefault="00E40F70">
            <w:pPr>
              <w:spacing w:before="60" w:after="60"/>
              <w:jc w:val="center"/>
              <w:rPr>
                <w:rFonts w:ascii="Tahoma" w:hAnsi="Tahoma" w:cs="Tahoma"/>
                <w:b/>
                <w:noProof/>
                <w:sz w:val="22"/>
                <w:szCs w:val="22"/>
              </w:rPr>
            </w:pPr>
            <w:r>
              <w:rPr>
                <w:rFonts w:ascii="Tahoma" w:hAnsi="Tahoma"/>
                <w:b/>
                <w:noProof/>
                <w:sz w:val="22"/>
              </w:rPr>
              <w:t>B. Lahendused</w:t>
            </w:r>
          </w:p>
        </w:tc>
      </w:tr>
      <w:tr w:rsidR="00B97F13">
        <w:tc>
          <w:tcPr>
            <w:tcW w:w="10188" w:type="dxa"/>
            <w:tcBorders>
              <w:bottom w:val="single" w:sz="4" w:space="0" w:color="auto"/>
            </w:tcBorders>
            <w:shd w:val="clear" w:color="auto" w:fill="E6E6E6"/>
          </w:tcPr>
          <w:p w:rsidR="00B97F13" w:rsidRDefault="00E40F70">
            <w:pPr>
              <w:spacing w:before="60"/>
              <w:jc w:val="both"/>
              <w:rPr>
                <w:rFonts w:ascii="Tahoma" w:hAnsi="Tahoma" w:cs="Tahoma"/>
                <w:noProof/>
                <w:sz w:val="20"/>
                <w:szCs w:val="20"/>
              </w:rPr>
            </w:pPr>
            <w:r>
              <w:rPr>
                <w:rFonts w:ascii="Tahoma" w:hAnsi="Tahoma"/>
                <w:b/>
                <w:noProof/>
                <w:sz w:val="20"/>
              </w:rPr>
              <w:t xml:space="preserve">Milliseid seadusandlikke ja mitteseadusandlikke poliitikavariante on kaalutud? Kas on olemas </w:t>
            </w:r>
            <w:r>
              <w:rPr>
                <w:rFonts w:ascii="Tahoma" w:hAnsi="Tahoma"/>
                <w:b/>
                <w:noProof/>
                <w:sz w:val="20"/>
              </w:rPr>
              <w:t>eelistatud variant? Miks?</w:t>
            </w:r>
            <w:r>
              <w:rPr>
                <w:rFonts w:ascii="Tahoma" w:hAnsi="Tahoma"/>
                <w:noProof/>
                <w:sz w:val="20"/>
              </w:rPr>
              <w:t xml:space="preserve"> </w:t>
            </w:r>
            <w:r>
              <w:rPr>
                <w:rFonts w:ascii="Tahoma" w:hAnsi="Tahoma"/>
                <w:noProof/>
                <w:sz w:val="20"/>
                <w:u w:val="single"/>
              </w:rPr>
              <w:t>Kuni 14 rida</w:t>
            </w:r>
            <w:r>
              <w:rPr>
                <w:rFonts w:ascii="Tahoma" w:hAnsi="Tahoma"/>
                <w:noProof/>
                <w:sz w:val="20"/>
              </w:rPr>
              <w:t xml:space="preserve"> </w:t>
            </w:r>
          </w:p>
        </w:tc>
      </w:tr>
      <w:tr w:rsidR="00B97F13">
        <w:tc>
          <w:tcPr>
            <w:tcW w:w="10188" w:type="dxa"/>
            <w:tcBorders>
              <w:bottom w:val="single" w:sz="4" w:space="0" w:color="auto"/>
            </w:tcBorders>
            <w:shd w:val="clear" w:color="auto" w:fill="auto"/>
          </w:tcPr>
          <w:p w:rsidR="00B97F13" w:rsidRDefault="00E40F70">
            <w:pPr>
              <w:jc w:val="both"/>
              <w:rPr>
                <w:rFonts w:ascii="Tahoma" w:hAnsi="Tahoma" w:cs="Tahoma"/>
                <w:noProof/>
                <w:sz w:val="20"/>
                <w:szCs w:val="20"/>
              </w:rPr>
            </w:pPr>
            <w:r>
              <w:rPr>
                <w:rFonts w:ascii="Tahoma" w:hAnsi="Tahoma"/>
                <w:noProof/>
                <w:sz w:val="20"/>
              </w:rPr>
              <w:t>Seoses puuduliku järgimisega on võetud või kavas võtta mitu ELi tasandi meedet varasemate hindamiste käigus tuvastatud probleemide lahendamiseks. Käesolevas algatuses keskendutakse probleemide põhjustele, mida ei ol</w:t>
            </w:r>
            <w:r>
              <w:rPr>
                <w:rFonts w:ascii="Tahoma" w:hAnsi="Tahoma"/>
                <w:noProof/>
                <w:sz w:val="20"/>
              </w:rPr>
              <w:t xml:space="preserve">e seni mujal käsitletud. Kaalutud on mitteseadusandlikke poliitikavariante, kuid nagu hindamistest nähtus, on kavandatavad variandid sihtotstarbelised seadusandlikud meetmed. Need täiendaksid juba võetud seadusandlikke ja mitteseadusandlikke meetmeid. Mis </w:t>
            </w:r>
            <w:r>
              <w:rPr>
                <w:rFonts w:ascii="Tahoma" w:hAnsi="Tahoma"/>
                <w:noProof/>
                <w:sz w:val="20"/>
              </w:rPr>
              <w:t>puutub ELi tarbijaeeskirjade ajakohastamisse, hinnati ka mitteseadusandlikke lähenemisviise, kuid leiti, et need ei kõrvalda ühelgi juhul täielikult probleemide põhjusi. Eelistatud poliitikavariantide pakett sisaldab meetmeid, mis võimaldavad tagada järgmi</w:t>
            </w:r>
            <w:r>
              <w:rPr>
                <w:rFonts w:ascii="Tahoma" w:hAnsi="Tahoma"/>
                <w:noProof/>
                <w:sz w:val="20"/>
              </w:rPr>
              <w:t xml:space="preserve">st: </w:t>
            </w:r>
          </w:p>
          <w:p w:rsidR="00B97F13" w:rsidRDefault="00E40F70">
            <w:pPr>
              <w:pStyle w:val="ListParagraph"/>
              <w:numPr>
                <w:ilvl w:val="0"/>
                <w:numId w:val="4"/>
              </w:numPr>
              <w:rPr>
                <w:rFonts w:ascii="Tahoma" w:hAnsi="Tahoma"/>
                <w:noProof/>
                <w:sz w:val="20"/>
              </w:rPr>
            </w:pPr>
            <w:r>
              <w:rPr>
                <w:rFonts w:ascii="Tahoma" w:hAnsi="Tahoma"/>
                <w:noProof/>
                <w:sz w:val="20"/>
              </w:rPr>
              <w:t>hoiatavamad ja proportsionaalsemad karistused ELi tarbijaeeskirjade rikkumiste eest;</w:t>
            </w:r>
          </w:p>
          <w:p w:rsidR="00B97F13" w:rsidRDefault="00E40F70">
            <w:pPr>
              <w:pStyle w:val="ListParagraph"/>
              <w:numPr>
                <w:ilvl w:val="0"/>
                <w:numId w:val="4"/>
              </w:numPr>
              <w:rPr>
                <w:rFonts w:ascii="Tahoma" w:hAnsi="Tahoma"/>
                <w:noProof/>
                <w:sz w:val="20"/>
              </w:rPr>
            </w:pPr>
            <w:r>
              <w:rPr>
                <w:rFonts w:ascii="Tahoma" w:hAnsi="Tahoma"/>
                <w:noProof/>
                <w:sz w:val="20"/>
              </w:rPr>
              <w:t>kahju hüvitamine ebaausate kaubandustavade ohvritele;</w:t>
            </w:r>
          </w:p>
          <w:p w:rsidR="00B97F13" w:rsidRDefault="00E40F70">
            <w:pPr>
              <w:pStyle w:val="ListParagraph"/>
              <w:numPr>
                <w:ilvl w:val="0"/>
                <w:numId w:val="4"/>
              </w:numPr>
              <w:rPr>
                <w:rFonts w:ascii="Tahoma" w:hAnsi="Tahoma"/>
                <w:noProof/>
                <w:sz w:val="20"/>
              </w:rPr>
            </w:pPr>
            <w:r>
              <w:rPr>
                <w:rFonts w:ascii="Tahoma" w:hAnsi="Tahoma"/>
                <w:noProof/>
                <w:sz w:val="20"/>
              </w:rPr>
              <w:lastRenderedPageBreak/>
              <w:t xml:space="preserve">tugevdatud mehhanismid kollektiivsete ettekirjutuste ja õiguskaitse kohta; </w:t>
            </w:r>
          </w:p>
          <w:p w:rsidR="00B97F13" w:rsidRDefault="00E40F70">
            <w:pPr>
              <w:pStyle w:val="ListParagraph"/>
              <w:numPr>
                <w:ilvl w:val="0"/>
                <w:numId w:val="4"/>
              </w:numPr>
              <w:rPr>
                <w:rFonts w:ascii="Tahoma" w:hAnsi="Tahoma"/>
                <w:noProof/>
                <w:sz w:val="20"/>
              </w:rPr>
            </w:pPr>
            <w:r>
              <w:rPr>
                <w:rFonts w:ascii="Tahoma" w:hAnsi="Tahoma"/>
                <w:noProof/>
                <w:sz w:val="20"/>
              </w:rPr>
              <w:t>suurem läbipaistvus ettevõtjalt tarb</w:t>
            </w:r>
            <w:r>
              <w:rPr>
                <w:rFonts w:ascii="Tahoma" w:hAnsi="Tahoma"/>
                <w:noProof/>
                <w:sz w:val="20"/>
              </w:rPr>
              <w:t>ijale suunatud tehingutes internetipõhistes kauplemiskohtades;</w:t>
            </w:r>
          </w:p>
          <w:p w:rsidR="00B97F13" w:rsidRDefault="00E40F70">
            <w:pPr>
              <w:pStyle w:val="ListParagraph"/>
              <w:numPr>
                <w:ilvl w:val="0"/>
                <w:numId w:val="4"/>
              </w:numPr>
              <w:rPr>
                <w:rFonts w:ascii="Tahoma" w:hAnsi="Tahoma"/>
                <w:noProof/>
                <w:sz w:val="20"/>
              </w:rPr>
            </w:pPr>
            <w:r>
              <w:rPr>
                <w:rFonts w:ascii="Tahoma" w:hAnsi="Tahoma"/>
                <w:noProof/>
                <w:sz w:val="20"/>
              </w:rPr>
              <w:t>parem tarbijakaitse „tasuta“ ehk rahaliste makseteta osutatud digitaalteenuste puhul;</w:t>
            </w:r>
          </w:p>
          <w:p w:rsidR="00B97F13" w:rsidRDefault="00E40F70">
            <w:pPr>
              <w:pStyle w:val="ListParagraph"/>
              <w:numPr>
                <w:ilvl w:val="0"/>
                <w:numId w:val="4"/>
              </w:numPr>
              <w:rPr>
                <w:noProof/>
              </w:rPr>
            </w:pPr>
            <w:r>
              <w:rPr>
                <w:rFonts w:ascii="Tahoma" w:hAnsi="Tahoma"/>
                <w:noProof/>
                <w:sz w:val="20"/>
              </w:rPr>
              <w:t>teavitamisnõuete ajakohastamine;</w:t>
            </w:r>
          </w:p>
          <w:p w:rsidR="00B97F13" w:rsidRDefault="00E40F70">
            <w:pPr>
              <w:pStyle w:val="ListParagraph"/>
              <w:numPr>
                <w:ilvl w:val="0"/>
                <w:numId w:val="4"/>
              </w:numPr>
              <w:rPr>
                <w:noProof/>
              </w:rPr>
            </w:pPr>
            <w:r>
              <w:rPr>
                <w:rFonts w:ascii="Tahoma" w:hAnsi="Tahoma"/>
                <w:noProof/>
                <w:sz w:val="20"/>
              </w:rPr>
              <w:t>tasakaalustamatuse kõrvaldamine kaugmüügilepingutest ja väljaspool äriruum</w:t>
            </w:r>
            <w:r>
              <w:rPr>
                <w:rFonts w:ascii="Tahoma" w:hAnsi="Tahoma"/>
                <w:noProof/>
                <w:sz w:val="20"/>
              </w:rPr>
              <w:t>e sõlmitavatest müügilepingutest taganemise õiguses.</w:t>
            </w:r>
            <w:r>
              <w:rPr>
                <w:noProof/>
              </w:rPr>
              <w:t xml:space="preserve"> </w:t>
            </w:r>
          </w:p>
        </w:tc>
      </w:tr>
      <w:tr w:rsidR="00B97F13">
        <w:tc>
          <w:tcPr>
            <w:tcW w:w="10188" w:type="dxa"/>
            <w:shd w:val="clear" w:color="auto" w:fill="CCCCCC"/>
          </w:tcPr>
          <w:p w:rsidR="00B97F13" w:rsidRDefault="00E40F70">
            <w:pPr>
              <w:spacing w:before="60"/>
              <w:jc w:val="both"/>
              <w:rPr>
                <w:rFonts w:ascii="Tahoma" w:hAnsi="Tahoma" w:cs="Tahoma"/>
                <w:noProof/>
                <w:sz w:val="20"/>
                <w:szCs w:val="20"/>
              </w:rPr>
            </w:pPr>
            <w:r>
              <w:rPr>
                <w:rFonts w:ascii="Tahoma" w:hAnsi="Tahoma"/>
                <w:b/>
                <w:noProof/>
                <w:sz w:val="20"/>
              </w:rPr>
              <w:lastRenderedPageBreak/>
              <w:t>Kes millist varianti toetab?</w:t>
            </w:r>
            <w:r>
              <w:rPr>
                <w:rFonts w:ascii="Tahoma" w:hAnsi="Tahoma"/>
                <w:noProof/>
                <w:sz w:val="20"/>
              </w:rPr>
              <w:t xml:space="preserve"> </w:t>
            </w:r>
            <w:r>
              <w:rPr>
                <w:rFonts w:ascii="Tahoma" w:hAnsi="Tahoma"/>
                <w:noProof/>
                <w:sz w:val="20"/>
                <w:u w:val="single"/>
              </w:rPr>
              <w:t>Kuni 7 rida</w:t>
            </w:r>
            <w:r>
              <w:rPr>
                <w:rFonts w:ascii="Tahoma" w:hAnsi="Tahoma"/>
                <w:noProof/>
                <w:sz w:val="20"/>
              </w:rPr>
              <w:t xml:space="preserve"> </w:t>
            </w:r>
          </w:p>
        </w:tc>
      </w:tr>
      <w:tr w:rsidR="00B97F13">
        <w:tc>
          <w:tcPr>
            <w:tcW w:w="10188" w:type="dxa"/>
            <w:shd w:val="clear" w:color="auto" w:fill="auto"/>
          </w:tcPr>
          <w:p w:rsidR="00B97F13" w:rsidRDefault="00E40F70">
            <w:pPr>
              <w:jc w:val="both"/>
              <w:rPr>
                <w:rFonts w:ascii="Tahoma" w:hAnsi="Tahoma" w:cs="Tahoma"/>
                <w:noProof/>
                <w:sz w:val="20"/>
                <w:szCs w:val="20"/>
              </w:rPr>
            </w:pPr>
            <w:r>
              <w:rPr>
                <w:rFonts w:ascii="Tahoma" w:hAnsi="Tahoma"/>
                <w:b/>
                <w:noProof/>
                <w:sz w:val="20"/>
              </w:rPr>
              <w:t>Tarbijate ühendused</w:t>
            </w:r>
            <w:r>
              <w:rPr>
                <w:rFonts w:ascii="Tahoma" w:hAnsi="Tahoma"/>
                <w:noProof/>
                <w:sz w:val="20"/>
              </w:rPr>
              <w:t xml:space="preserve"> toetavad kõiki kavandatavaid meetmeid, v.a neid, mis käsitlevad teavitamisnõudeid ja taganemisõigust. </w:t>
            </w:r>
            <w:r>
              <w:rPr>
                <w:rFonts w:ascii="Tahoma" w:hAnsi="Tahoma"/>
                <w:b/>
                <w:noProof/>
                <w:sz w:val="20"/>
              </w:rPr>
              <w:t>Ettevõtjate ühendused</w:t>
            </w:r>
            <w:r>
              <w:rPr>
                <w:rFonts w:ascii="Tahoma" w:hAnsi="Tahoma"/>
                <w:noProof/>
                <w:sz w:val="20"/>
              </w:rPr>
              <w:t xml:space="preserve"> toetavad soovitatud meetmeid, mis käsitlevad läbipaistvust internetipõhistes kauplemiskohtades, „tasuta“ digiteenuseid (osaliselt), teavitamisnõudeid ja taganemisõigust. Teataval määral on </w:t>
            </w:r>
            <w:r>
              <w:rPr>
                <w:rFonts w:ascii="Tahoma" w:hAnsi="Tahoma"/>
                <w:b/>
                <w:noProof/>
                <w:sz w:val="20"/>
              </w:rPr>
              <w:t>ettevõtjate ühendused</w:t>
            </w:r>
            <w:r>
              <w:rPr>
                <w:rFonts w:ascii="Tahoma" w:hAnsi="Tahoma"/>
                <w:noProof/>
                <w:sz w:val="20"/>
              </w:rPr>
              <w:t xml:space="preserve"> vastu soovitatud meetmetele, mis käsitlevad </w:t>
            </w:r>
            <w:r>
              <w:rPr>
                <w:rFonts w:ascii="Tahoma" w:hAnsi="Tahoma"/>
                <w:noProof/>
                <w:sz w:val="20"/>
              </w:rPr>
              <w:t xml:space="preserve">karistusi, kahju hüvitamist, kollektiivseid ettekirjutusi ja õiguskaitset ning „tasuta“ digiteenuseid. Paljud </w:t>
            </w:r>
            <w:r>
              <w:rPr>
                <w:rFonts w:ascii="Tahoma" w:hAnsi="Tahoma"/>
                <w:b/>
                <w:noProof/>
                <w:sz w:val="20"/>
              </w:rPr>
              <w:t>liikmesriikide ametiasutused</w:t>
            </w:r>
            <w:r>
              <w:rPr>
                <w:rFonts w:ascii="Tahoma" w:hAnsi="Tahoma"/>
                <w:noProof/>
                <w:sz w:val="20"/>
              </w:rPr>
              <w:t xml:space="preserve"> toetavad soovitatud meetmeid, mis käsitlevad kahju hüvitamist, kollektiivseid ettekirjutusi ja õiguskaitset, internet</w:t>
            </w:r>
            <w:r>
              <w:rPr>
                <w:rFonts w:ascii="Tahoma" w:hAnsi="Tahoma"/>
                <w:noProof/>
                <w:sz w:val="20"/>
              </w:rPr>
              <w:t>ipõhiste kauplemiskohtade läbipaistvust ja „tasuta“ digiteenuseid. Mõned neist väljendavad muret seoses karistusi, kahju hüvitamist ja taganemisõigust käsitlevate meetmetega.</w:t>
            </w:r>
          </w:p>
        </w:tc>
      </w:tr>
      <w:tr w:rsidR="00B97F13">
        <w:tc>
          <w:tcPr>
            <w:tcW w:w="10188" w:type="dxa"/>
            <w:tcBorders>
              <w:bottom w:val="single" w:sz="4" w:space="0" w:color="auto"/>
            </w:tcBorders>
            <w:shd w:val="clear" w:color="auto" w:fill="CCCCCC"/>
          </w:tcPr>
          <w:p w:rsidR="00B97F13" w:rsidRDefault="00E40F70">
            <w:pPr>
              <w:spacing w:before="60" w:after="60"/>
              <w:jc w:val="center"/>
              <w:rPr>
                <w:rFonts w:ascii="Tahoma" w:hAnsi="Tahoma" w:cs="Tahoma"/>
                <w:b/>
                <w:noProof/>
                <w:sz w:val="22"/>
                <w:szCs w:val="22"/>
              </w:rPr>
            </w:pPr>
            <w:r>
              <w:rPr>
                <w:rFonts w:ascii="Tahoma" w:hAnsi="Tahoma"/>
                <w:b/>
                <w:noProof/>
                <w:sz w:val="22"/>
              </w:rPr>
              <w:t>C. Eelistatud poliitikavariandi mõju</w:t>
            </w:r>
          </w:p>
        </w:tc>
      </w:tr>
      <w:tr w:rsidR="00B97F13">
        <w:tc>
          <w:tcPr>
            <w:tcW w:w="10188" w:type="dxa"/>
            <w:tcBorders>
              <w:bottom w:val="single" w:sz="4" w:space="0" w:color="auto"/>
            </w:tcBorders>
            <w:shd w:val="clear" w:color="auto" w:fill="E6E6E6"/>
          </w:tcPr>
          <w:p w:rsidR="00B97F13" w:rsidRDefault="00E40F70">
            <w:pPr>
              <w:spacing w:before="60" w:after="60"/>
              <w:jc w:val="both"/>
              <w:rPr>
                <w:rFonts w:ascii="Tahoma" w:hAnsi="Tahoma" w:cs="Tahoma"/>
                <w:noProof/>
                <w:sz w:val="20"/>
                <w:szCs w:val="20"/>
              </w:rPr>
            </w:pPr>
            <w:r>
              <w:rPr>
                <w:rFonts w:ascii="Tahoma" w:hAnsi="Tahoma"/>
                <w:b/>
                <w:noProof/>
                <w:sz w:val="20"/>
              </w:rPr>
              <w:t xml:space="preserve">Millised on eelistatud poliitikavariandi </w:t>
            </w:r>
            <w:r>
              <w:rPr>
                <w:rFonts w:ascii="Tahoma" w:hAnsi="Tahoma"/>
                <w:b/>
                <w:noProof/>
                <w:sz w:val="20"/>
              </w:rPr>
              <w:t>(kui see on olemas, vastasel korral peamiste poliitikavariantide) eelised?</w:t>
            </w:r>
            <w:r>
              <w:rPr>
                <w:rFonts w:ascii="Tahoma" w:hAnsi="Tahoma"/>
                <w:noProof/>
                <w:sz w:val="20"/>
              </w:rPr>
              <w:t xml:space="preserve"> </w:t>
            </w:r>
            <w:r>
              <w:rPr>
                <w:rFonts w:ascii="Tahoma" w:hAnsi="Tahoma"/>
                <w:noProof/>
                <w:sz w:val="20"/>
                <w:u w:val="single"/>
              </w:rPr>
              <w:t>Kuni 12 rida</w:t>
            </w:r>
            <w:r>
              <w:rPr>
                <w:rFonts w:ascii="Tahoma" w:hAnsi="Tahoma"/>
                <w:noProof/>
                <w:sz w:val="20"/>
              </w:rPr>
              <w:t xml:space="preserve"> </w:t>
            </w:r>
          </w:p>
        </w:tc>
      </w:tr>
      <w:tr w:rsidR="00B97F13">
        <w:trPr>
          <w:trHeight w:val="2688"/>
        </w:trPr>
        <w:tc>
          <w:tcPr>
            <w:tcW w:w="10188" w:type="dxa"/>
            <w:tcBorders>
              <w:bottom w:val="single" w:sz="4" w:space="0" w:color="auto"/>
            </w:tcBorders>
            <w:shd w:val="clear" w:color="auto" w:fill="auto"/>
          </w:tcPr>
          <w:p w:rsidR="00B97F13" w:rsidRDefault="00E40F70">
            <w:pPr>
              <w:pStyle w:val="Default"/>
              <w:jc w:val="both"/>
              <w:rPr>
                <w:rFonts w:ascii="Tahoma" w:hAnsi="Tahoma" w:cs="Tahoma"/>
                <w:i/>
                <w:noProof/>
                <w:sz w:val="20"/>
                <w:szCs w:val="20"/>
              </w:rPr>
            </w:pPr>
            <w:r>
              <w:rPr>
                <w:noProof/>
                <w:sz w:val="20"/>
              </w:rPr>
              <w:t>Eelistatud poliitikavariantide pakett teeb kahju hüvitamise tarbijatele lihtsamaks ja tulemuslikumaks ning vähendab seega tarbijakahju, olles eriti kasulik haavatavat</w:t>
            </w:r>
            <w:r>
              <w:rPr>
                <w:noProof/>
                <w:sz w:val="20"/>
              </w:rPr>
              <w:t xml:space="preserve">ele tarbijatele. Samuti soodustab see nõuete järgimist tugevama hoiatava mõju kaudu. Meetmed on täienduseks läbivaadatud tarbijakaitsealase koostöö määrusele ja toetavad selle tulemuslikku toimimist. </w:t>
            </w:r>
            <w:r>
              <w:rPr>
                <w:rFonts w:ascii="Tahoma" w:hAnsi="Tahoma"/>
                <w:noProof/>
                <w:sz w:val="20"/>
              </w:rPr>
              <w:t>Paremate õiguskaitsevõimaluste kasutuselevõtuga ning pra</w:t>
            </w:r>
            <w:r>
              <w:rPr>
                <w:rFonts w:ascii="Tahoma" w:hAnsi="Tahoma"/>
                <w:noProof/>
                <w:sz w:val="20"/>
              </w:rPr>
              <w:t>eguses digitaaltehingute õiguskaitses esinevate puudujääkide kõrvaldamisega suureneb tarbijate usaldus. Seadusekuulekad kauplejad saavad kasu õiglasemast konkurentsist. Nõudeid järgivate kauplejate, sealhulgas VKEde kulud vähenevad tänu paremini tasakaalus</w:t>
            </w:r>
            <w:r>
              <w:rPr>
                <w:rFonts w:ascii="Tahoma" w:hAnsi="Tahoma"/>
                <w:noProof/>
                <w:sz w:val="20"/>
              </w:rPr>
              <w:t>tatud eeskirjadele, mis käsitlevad taganemisõigust, teavitamisnõuete lihtsustamist, internetipõhise tarbijatega suhtlemise tõhustamist ning eeskirjade ühtlustamist, eelkõige internetipõhiste tehingute puhul. Positiivset mõju on oodata ka keskkonnale tänu s</w:t>
            </w:r>
            <w:r>
              <w:rPr>
                <w:rFonts w:ascii="Tahoma" w:hAnsi="Tahoma"/>
                <w:noProof/>
                <w:sz w:val="20"/>
              </w:rPr>
              <w:t xml:space="preserve">ellele, et tugevdatakse eksitavate keskkonnaalaste väidete esitamise eest ettenähtavate karistuste hoiatavat mõju. </w:t>
            </w:r>
          </w:p>
        </w:tc>
      </w:tr>
      <w:tr w:rsidR="00B97F13">
        <w:tc>
          <w:tcPr>
            <w:tcW w:w="10188" w:type="dxa"/>
            <w:tcBorders>
              <w:bottom w:val="single" w:sz="4" w:space="0" w:color="auto"/>
            </w:tcBorders>
            <w:shd w:val="clear" w:color="auto" w:fill="E6E6E6"/>
          </w:tcPr>
          <w:p w:rsidR="00B97F13" w:rsidRDefault="00E40F70">
            <w:pPr>
              <w:spacing w:before="60" w:after="60"/>
              <w:jc w:val="both"/>
              <w:rPr>
                <w:rFonts w:ascii="Tahoma" w:hAnsi="Tahoma" w:cs="Tahoma"/>
                <w:noProof/>
                <w:sz w:val="20"/>
                <w:szCs w:val="20"/>
              </w:rPr>
            </w:pPr>
            <w:r>
              <w:rPr>
                <w:rFonts w:ascii="Tahoma" w:hAnsi="Tahoma"/>
                <w:b/>
                <w:noProof/>
                <w:sz w:val="20"/>
              </w:rPr>
              <w:t>Millised on eelistatud poliitikavariandi (kui see on olemas, vastasel korral peamiste poliitikavariantide) kulud?</w:t>
            </w:r>
            <w:r>
              <w:rPr>
                <w:rFonts w:ascii="Tahoma" w:hAnsi="Tahoma"/>
                <w:noProof/>
                <w:sz w:val="20"/>
              </w:rPr>
              <w:t xml:space="preserve"> </w:t>
            </w:r>
            <w:r>
              <w:rPr>
                <w:rFonts w:ascii="Tahoma" w:hAnsi="Tahoma"/>
                <w:noProof/>
                <w:sz w:val="20"/>
                <w:u w:val="single"/>
              </w:rPr>
              <w:t>Kuni 12 rida</w:t>
            </w:r>
            <w:r>
              <w:rPr>
                <w:rFonts w:ascii="Tahoma" w:hAnsi="Tahoma"/>
                <w:noProof/>
                <w:sz w:val="20"/>
              </w:rPr>
              <w:t xml:space="preserve"> </w:t>
            </w:r>
          </w:p>
        </w:tc>
      </w:tr>
      <w:tr w:rsidR="00B97F13">
        <w:tc>
          <w:tcPr>
            <w:tcW w:w="10188" w:type="dxa"/>
            <w:tcBorders>
              <w:bottom w:val="single" w:sz="4" w:space="0" w:color="auto"/>
            </w:tcBorders>
            <w:shd w:val="clear" w:color="auto" w:fill="auto"/>
          </w:tcPr>
          <w:p w:rsidR="00B97F13" w:rsidRDefault="00E40F70">
            <w:pPr>
              <w:spacing w:after="120"/>
              <w:jc w:val="both"/>
              <w:rPr>
                <w:rFonts w:ascii="Tahoma" w:hAnsi="Tahoma" w:cs="Tahoma"/>
                <w:i/>
                <w:noProof/>
                <w:sz w:val="20"/>
                <w:szCs w:val="20"/>
              </w:rPr>
            </w:pPr>
            <w:r>
              <w:rPr>
                <w:rFonts w:ascii="Tahoma" w:hAnsi="Tahoma"/>
                <w:noProof/>
                <w:sz w:val="20"/>
              </w:rPr>
              <w:t>Nõudeid jä</w:t>
            </w:r>
            <w:r>
              <w:rPr>
                <w:rFonts w:ascii="Tahoma" w:hAnsi="Tahoma"/>
                <w:noProof/>
                <w:sz w:val="20"/>
              </w:rPr>
              <w:t>rgivatele kauplejatele ei kaasne märkimisväärseid kulusid seoses karistusi, kahju hüvitamist ning kollektiivseid ettekirjutusi ja õiguskaitset käsitlevate meetmetega. Nõudeid mittejärgivad kauplejad peavad arvestama neist meetmetest tingitud täiendavate ku</w:t>
            </w:r>
            <w:r>
              <w:rPr>
                <w:rFonts w:ascii="Tahoma" w:hAnsi="Tahoma"/>
                <w:noProof/>
                <w:sz w:val="20"/>
              </w:rPr>
              <w:t>ludega, eelkõige rangemate karistuste tõttu ja sellepärast, et tarbijate käsutuses on paremad mehhanismid kahjuhüvitiste nõudmiseks, muu hulgas kollektiivsetes menetlustes, mis kärbivad ebaseaduslikul teel saadud kasumi. „Tasuta“ digitaalteenuseid käsitlev</w:t>
            </w:r>
            <w:r>
              <w:rPr>
                <w:rFonts w:ascii="Tahoma" w:hAnsi="Tahoma"/>
                <w:noProof/>
                <w:sz w:val="20"/>
              </w:rPr>
              <w:t>a meetme puhul kaasnevad nende teenuste osutajatele täiendavad täitmiskulud. Ka internetipõhiste kauplemiskohtade läbipaistvuse meetmega kaasnevad kulud internetipõhiste kasutajaliideste kohandamiseks, et koguda teatavat teavet kolmandast isikust kauplejat</w:t>
            </w:r>
            <w:r>
              <w:rPr>
                <w:rFonts w:ascii="Tahoma" w:hAnsi="Tahoma"/>
                <w:noProof/>
                <w:sz w:val="20"/>
              </w:rPr>
              <w:t>elt ja viia see tarbijateni. Need kaks meedet võimaldavad samas ka sääste tänu liikmesriikide paremini ühtlustatud eeskirjadele ja suuremale õigusselgusele. Teavitamisnõudeid ja taganemisõigust käsitlevad meetmed annavad sääste kauplejatele. Negatiivset ke</w:t>
            </w:r>
            <w:r>
              <w:rPr>
                <w:rFonts w:ascii="Tahoma" w:hAnsi="Tahoma"/>
                <w:noProof/>
                <w:sz w:val="20"/>
              </w:rPr>
              <w:t>skkonna- või sotsiaalset mõju ei ole ette näha.</w:t>
            </w:r>
          </w:p>
        </w:tc>
      </w:tr>
      <w:tr w:rsidR="00B97F13">
        <w:tc>
          <w:tcPr>
            <w:tcW w:w="10188" w:type="dxa"/>
            <w:tcBorders>
              <w:bottom w:val="single" w:sz="4" w:space="0" w:color="auto"/>
            </w:tcBorders>
            <w:shd w:val="clear" w:color="auto" w:fill="E6E6E6"/>
          </w:tcPr>
          <w:p w:rsidR="00B97F13" w:rsidRDefault="00E40F70">
            <w:pPr>
              <w:spacing w:before="60" w:after="60"/>
              <w:jc w:val="both"/>
              <w:rPr>
                <w:rFonts w:ascii="Tahoma" w:hAnsi="Tahoma" w:cs="Tahoma"/>
                <w:noProof/>
                <w:sz w:val="20"/>
                <w:szCs w:val="20"/>
              </w:rPr>
            </w:pPr>
            <w:r>
              <w:rPr>
                <w:rFonts w:ascii="Tahoma" w:hAnsi="Tahoma"/>
                <w:b/>
                <w:noProof/>
                <w:sz w:val="20"/>
              </w:rPr>
              <w:t xml:space="preserve">Milline on mõju ettevõtjatele, VKEdele ja mikroettevõtjatele? </w:t>
            </w:r>
            <w:r>
              <w:rPr>
                <w:rFonts w:ascii="Tahoma" w:hAnsi="Tahoma"/>
                <w:noProof/>
                <w:sz w:val="20"/>
                <w:u w:val="single"/>
              </w:rPr>
              <w:t>Kuni 8 rida</w:t>
            </w:r>
          </w:p>
        </w:tc>
      </w:tr>
      <w:tr w:rsidR="00B97F13">
        <w:tc>
          <w:tcPr>
            <w:tcW w:w="10188" w:type="dxa"/>
            <w:tcBorders>
              <w:bottom w:val="single" w:sz="4" w:space="0" w:color="auto"/>
            </w:tcBorders>
            <w:shd w:val="clear" w:color="auto" w:fill="auto"/>
          </w:tcPr>
          <w:p w:rsidR="00B97F13" w:rsidRDefault="00E40F70">
            <w:pPr>
              <w:spacing w:before="60" w:after="60"/>
              <w:jc w:val="both"/>
              <w:rPr>
                <w:rFonts w:ascii="Tahoma" w:hAnsi="Tahoma" w:cs="Tahoma"/>
                <w:i/>
                <w:noProof/>
                <w:sz w:val="20"/>
                <w:szCs w:val="20"/>
              </w:rPr>
            </w:pPr>
            <w:r>
              <w:rPr>
                <w:rFonts w:ascii="Tahoma" w:hAnsi="Tahoma"/>
                <w:noProof/>
                <w:sz w:val="20"/>
              </w:rPr>
              <w:t>Kooskõlas ELi kehtiva tarbijaõigustikuga ei tehta VKEde, sh mikroettevõtjate suhtes erandeid. See oleks vastuolus tarbijakaitse eeskirjade üldise eesmärgiga ja kokkuvõttes ka VKEde huvidega, kuna tarbijatele pakutaks madalama tasemega kaitset ja vähendatak</w:t>
            </w:r>
            <w:r>
              <w:rPr>
                <w:rFonts w:ascii="Tahoma" w:hAnsi="Tahoma"/>
                <w:noProof/>
                <w:sz w:val="20"/>
              </w:rPr>
              <w:t>s neis seega usaldust VKEde käest ostmise korral. Ehkki ettevõtjate kulud on üldjoontes tühised, vähendab eelistatud poliitikavariantide pakett ettevõtjate, sealhulgas VKEde kulusid seoses taganemisõigusega ja neil on kasu suuremast läbipaistvusest interne</w:t>
            </w:r>
            <w:r>
              <w:rPr>
                <w:rFonts w:ascii="Tahoma" w:hAnsi="Tahoma"/>
                <w:noProof/>
                <w:sz w:val="20"/>
              </w:rPr>
              <w:t xml:space="preserve">tipõhiste kauplemiskohtade kaudu müües. Rangemad jõustamise ja õiguskaitse mehhanismid vähendavad ebaausa konkurentsi negatiivset mõju. </w:t>
            </w:r>
          </w:p>
        </w:tc>
      </w:tr>
      <w:tr w:rsidR="00B97F13">
        <w:tc>
          <w:tcPr>
            <w:tcW w:w="10188" w:type="dxa"/>
            <w:tcBorders>
              <w:bottom w:val="single" w:sz="4" w:space="0" w:color="auto"/>
            </w:tcBorders>
            <w:shd w:val="clear" w:color="auto" w:fill="E6E6E6"/>
          </w:tcPr>
          <w:p w:rsidR="00B97F13" w:rsidRDefault="00E40F70">
            <w:pPr>
              <w:spacing w:before="60"/>
              <w:jc w:val="both"/>
              <w:rPr>
                <w:rFonts w:ascii="Tahoma" w:hAnsi="Tahoma" w:cs="Tahoma"/>
                <w:b/>
                <w:i/>
                <w:noProof/>
                <w:sz w:val="20"/>
                <w:szCs w:val="20"/>
              </w:rPr>
            </w:pPr>
            <w:r>
              <w:rPr>
                <w:rFonts w:ascii="Tahoma" w:hAnsi="Tahoma"/>
                <w:b/>
                <w:noProof/>
                <w:sz w:val="20"/>
              </w:rPr>
              <w:t>Kas on ette näha märkimisväärset mõju riigieelarvetele ja ametiasutustele?</w:t>
            </w:r>
            <w:r>
              <w:rPr>
                <w:rFonts w:ascii="Tahoma" w:hAnsi="Tahoma"/>
                <w:noProof/>
                <w:sz w:val="20"/>
              </w:rPr>
              <w:t xml:space="preserve"> </w:t>
            </w:r>
            <w:r>
              <w:rPr>
                <w:rFonts w:ascii="Tahoma" w:hAnsi="Tahoma"/>
                <w:noProof/>
                <w:sz w:val="20"/>
                <w:u w:val="single"/>
              </w:rPr>
              <w:t>Kuni 4 rida</w:t>
            </w:r>
          </w:p>
        </w:tc>
      </w:tr>
      <w:tr w:rsidR="00B97F13">
        <w:tc>
          <w:tcPr>
            <w:tcW w:w="10188" w:type="dxa"/>
            <w:shd w:val="clear" w:color="auto" w:fill="auto"/>
          </w:tcPr>
          <w:p w:rsidR="00B97F13" w:rsidRDefault="00E40F70">
            <w:pPr>
              <w:jc w:val="both"/>
              <w:rPr>
                <w:rFonts w:ascii="Tahoma" w:hAnsi="Tahoma" w:cs="Tahoma"/>
                <w:noProof/>
                <w:sz w:val="20"/>
                <w:szCs w:val="20"/>
              </w:rPr>
            </w:pPr>
            <w:r>
              <w:rPr>
                <w:rFonts w:ascii="Tahoma" w:hAnsi="Tahoma"/>
                <w:noProof/>
                <w:sz w:val="20"/>
              </w:rPr>
              <w:t>Karistusi, kahju hüvitamist ni</w:t>
            </w:r>
            <w:r>
              <w:rPr>
                <w:rFonts w:ascii="Tahoma" w:hAnsi="Tahoma"/>
                <w:noProof/>
                <w:sz w:val="20"/>
              </w:rPr>
              <w:t xml:space="preserve">ng kollektiivseid ettekirjutusi ja õiguskaitset käsitlevad meetmed tekitavad kulusid </w:t>
            </w:r>
            <w:r>
              <w:rPr>
                <w:rFonts w:ascii="Tahoma" w:hAnsi="Tahoma"/>
                <w:noProof/>
                <w:sz w:val="20"/>
              </w:rPr>
              <w:lastRenderedPageBreak/>
              <w:t>neile liikmesriikidele, kes peavad muutma oma siseriiklikke eeskirju, mis käsitlevad näiteks karistusi või tarbijate õiguskaitse mehhanisme. Nõuete parem järgimine loob ag</w:t>
            </w:r>
            <w:r>
              <w:rPr>
                <w:rFonts w:ascii="Tahoma" w:hAnsi="Tahoma"/>
                <w:noProof/>
                <w:sz w:val="20"/>
              </w:rPr>
              <w:t xml:space="preserve">a sääste tänu haldus- ja kohtumenetluste kulude vähenemisele. Kollektiivse õiguskaitse mehhanismid muudavad kohtumenetlused massikahju juhtumite puhul ratsionaalsemaks. </w:t>
            </w:r>
          </w:p>
        </w:tc>
      </w:tr>
      <w:tr w:rsidR="00B97F13">
        <w:tc>
          <w:tcPr>
            <w:tcW w:w="10188" w:type="dxa"/>
            <w:tcBorders>
              <w:bottom w:val="single" w:sz="4" w:space="0" w:color="auto"/>
            </w:tcBorders>
            <w:shd w:val="clear" w:color="auto" w:fill="E6E6E6"/>
          </w:tcPr>
          <w:p w:rsidR="00B97F13" w:rsidRDefault="00E40F70">
            <w:pPr>
              <w:spacing w:before="60"/>
              <w:jc w:val="both"/>
              <w:rPr>
                <w:rFonts w:ascii="Tahoma" w:hAnsi="Tahoma" w:cs="Tahoma"/>
                <w:noProof/>
                <w:sz w:val="20"/>
                <w:szCs w:val="20"/>
              </w:rPr>
            </w:pPr>
            <w:r>
              <w:rPr>
                <w:rFonts w:ascii="Tahoma" w:hAnsi="Tahoma"/>
                <w:b/>
                <w:noProof/>
                <w:sz w:val="20"/>
              </w:rPr>
              <w:lastRenderedPageBreak/>
              <w:t>Kas on oodata muud olulist mõju?</w:t>
            </w:r>
            <w:r>
              <w:rPr>
                <w:rFonts w:ascii="Tahoma" w:hAnsi="Tahoma"/>
                <w:noProof/>
                <w:sz w:val="20"/>
              </w:rPr>
              <w:t xml:space="preserve"> </w:t>
            </w:r>
            <w:r>
              <w:rPr>
                <w:rFonts w:ascii="Tahoma" w:hAnsi="Tahoma"/>
                <w:noProof/>
                <w:sz w:val="20"/>
                <w:u w:val="single"/>
              </w:rPr>
              <w:t xml:space="preserve">Kuni 6 rida </w:t>
            </w:r>
          </w:p>
        </w:tc>
      </w:tr>
      <w:tr w:rsidR="00B97F13">
        <w:tc>
          <w:tcPr>
            <w:tcW w:w="10188" w:type="dxa"/>
            <w:tcBorders>
              <w:bottom w:val="single" w:sz="4" w:space="0" w:color="auto"/>
            </w:tcBorders>
            <w:shd w:val="clear" w:color="auto" w:fill="auto"/>
          </w:tcPr>
          <w:p w:rsidR="00B97F13" w:rsidRDefault="00E40F70">
            <w:pPr>
              <w:jc w:val="both"/>
              <w:rPr>
                <w:rFonts w:ascii="Tahoma" w:hAnsi="Tahoma" w:cs="Tahoma"/>
                <w:noProof/>
                <w:sz w:val="20"/>
                <w:szCs w:val="20"/>
              </w:rPr>
            </w:pPr>
            <w:r>
              <w:rPr>
                <w:rFonts w:ascii="Tahoma" w:hAnsi="Tahoma"/>
                <w:noProof/>
                <w:sz w:val="20"/>
              </w:rPr>
              <w:t>Kuna eelistatud paketis keskendutakse ELi tarbijaõiguse paremale järgimisele, muutvad tarbijaõigused individuaalsetele tarbijatele reaalsemateks ning aitavad kodanikel ja ettevõtjatel seega aktsepteerida ELi eeskirjade lisaväärtust. Kollektiivseid ettekirj</w:t>
            </w:r>
            <w:r>
              <w:rPr>
                <w:rFonts w:ascii="Tahoma" w:hAnsi="Tahoma"/>
                <w:noProof/>
                <w:sz w:val="20"/>
              </w:rPr>
              <w:t xml:space="preserve">utusi ja õiguskaitset käsitlev meede võib aidata parandada juurdepääsu õigusemõistmisele. Karistusi, kahju hüvitamist ning kollektiivseid ettekirjutusi ja õiguskaitset käsitlevatel meetmetel on tõenäoliselt samuti positiivne mõju haavatavatele tarbijatele </w:t>
            </w:r>
            <w:r>
              <w:rPr>
                <w:rFonts w:ascii="Tahoma" w:hAnsi="Tahoma"/>
                <w:noProof/>
                <w:sz w:val="20"/>
              </w:rPr>
              <w:t xml:space="preserve">ja keskkonnale. </w:t>
            </w:r>
          </w:p>
        </w:tc>
      </w:tr>
      <w:tr w:rsidR="00B97F13">
        <w:tc>
          <w:tcPr>
            <w:tcW w:w="10188" w:type="dxa"/>
            <w:tcBorders>
              <w:bottom w:val="single" w:sz="4" w:space="0" w:color="auto"/>
            </w:tcBorders>
            <w:shd w:val="clear" w:color="auto" w:fill="C0C0C0"/>
          </w:tcPr>
          <w:p w:rsidR="00B97F13" w:rsidRDefault="00E40F70">
            <w:pPr>
              <w:spacing w:before="60" w:after="60"/>
              <w:jc w:val="center"/>
              <w:rPr>
                <w:rFonts w:ascii="Tahoma" w:hAnsi="Tahoma" w:cs="Tahoma"/>
                <w:b/>
                <w:noProof/>
                <w:sz w:val="22"/>
                <w:szCs w:val="22"/>
              </w:rPr>
            </w:pPr>
            <w:r>
              <w:rPr>
                <w:rFonts w:ascii="Tahoma" w:hAnsi="Tahoma"/>
                <w:b/>
                <w:noProof/>
                <w:sz w:val="22"/>
              </w:rPr>
              <w:t>D. Järelmeetmed</w:t>
            </w:r>
          </w:p>
        </w:tc>
      </w:tr>
      <w:tr w:rsidR="00B97F13">
        <w:tc>
          <w:tcPr>
            <w:tcW w:w="10188" w:type="dxa"/>
            <w:tcBorders>
              <w:bottom w:val="single" w:sz="4" w:space="0" w:color="auto"/>
            </w:tcBorders>
            <w:shd w:val="clear" w:color="auto" w:fill="E6E6E6"/>
          </w:tcPr>
          <w:p w:rsidR="00B97F13" w:rsidRDefault="00E40F70">
            <w:pPr>
              <w:spacing w:before="60"/>
              <w:jc w:val="both"/>
              <w:rPr>
                <w:rFonts w:ascii="Tahoma" w:hAnsi="Tahoma" w:cs="Tahoma"/>
                <w:noProof/>
                <w:sz w:val="20"/>
                <w:szCs w:val="20"/>
              </w:rPr>
            </w:pPr>
            <w:r>
              <w:rPr>
                <w:rFonts w:ascii="Tahoma" w:hAnsi="Tahoma"/>
                <w:b/>
                <w:noProof/>
                <w:sz w:val="20"/>
              </w:rPr>
              <w:t xml:space="preserve">Millal poliitika läbi vaadatakse? </w:t>
            </w:r>
            <w:r>
              <w:rPr>
                <w:rFonts w:ascii="Tahoma" w:hAnsi="Tahoma"/>
                <w:noProof/>
                <w:sz w:val="20"/>
                <w:u w:val="single"/>
              </w:rPr>
              <w:t>Kuni 4 rida</w:t>
            </w:r>
            <w:r>
              <w:rPr>
                <w:rFonts w:ascii="Tahoma" w:hAnsi="Tahoma"/>
                <w:noProof/>
                <w:sz w:val="20"/>
              </w:rPr>
              <w:t xml:space="preserve"> </w:t>
            </w:r>
          </w:p>
        </w:tc>
      </w:tr>
      <w:tr w:rsidR="00B97F13">
        <w:tc>
          <w:tcPr>
            <w:tcW w:w="10188" w:type="dxa"/>
            <w:tcBorders>
              <w:bottom w:val="single" w:sz="4" w:space="0" w:color="auto"/>
            </w:tcBorders>
            <w:shd w:val="clear" w:color="auto" w:fill="auto"/>
          </w:tcPr>
          <w:p w:rsidR="00B97F13" w:rsidRDefault="00E40F70">
            <w:pPr>
              <w:jc w:val="both"/>
              <w:rPr>
                <w:rFonts w:ascii="Tahoma" w:hAnsi="Tahoma" w:cs="Tahoma"/>
                <w:noProof/>
                <w:sz w:val="20"/>
                <w:szCs w:val="20"/>
              </w:rPr>
            </w:pPr>
            <w:r>
              <w:rPr>
                <w:rFonts w:ascii="Tahoma" w:hAnsi="Tahoma"/>
                <w:noProof/>
                <w:sz w:val="20"/>
              </w:rPr>
              <w:t xml:space="preserve">Lisaks regulaarsele järelevalvele soovitatakse viis aastat pärast liikmesriikide poolset rakendamist hinnata kõnealuse seadusandliku meetme tulemuslikkust, tõhusust, </w:t>
            </w:r>
            <w:r>
              <w:rPr>
                <w:rFonts w:ascii="Tahoma" w:hAnsi="Tahoma"/>
                <w:noProof/>
                <w:sz w:val="20"/>
              </w:rPr>
              <w:t>asjakohasust, sidusust ja ELi lisaväärtust, tuginedes eelnevalt kindlaks määratud põhilistele edunäitajatele.</w:t>
            </w:r>
          </w:p>
        </w:tc>
      </w:tr>
    </w:tbl>
    <w:p w:rsidR="00B97F13" w:rsidRDefault="00B97F13">
      <w:pPr>
        <w:rPr>
          <w:rFonts w:ascii="Tahoma" w:hAnsi="Tahoma" w:cs="Tahoma"/>
          <w:noProof/>
        </w:rPr>
      </w:pPr>
    </w:p>
    <w:sectPr w:rsidR="00B97F13">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F13" w:rsidRDefault="00E40F70">
      <w:r>
        <w:separator/>
      </w:r>
    </w:p>
  </w:endnote>
  <w:endnote w:type="continuationSeparator" w:id="0">
    <w:p w:rsidR="00B97F13" w:rsidRDefault="00E40F70">
      <w:r>
        <w:continuationSeparator/>
      </w:r>
    </w:p>
  </w:endnote>
  <w:endnote w:type="continuationNotice" w:id="1">
    <w:p w:rsidR="00B97F13" w:rsidRDefault="00B97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F70" w:rsidRPr="00E40F70" w:rsidRDefault="00E40F70" w:rsidP="00E40F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F70" w:rsidRPr="00E40F70" w:rsidRDefault="00E40F70" w:rsidP="00E40F70">
    <w:pPr>
      <w:pStyle w:val="FooterCoverPage"/>
      <w:rPr>
        <w:rFonts w:ascii="Arial" w:hAnsi="Arial" w:cs="Arial"/>
        <w:b/>
        <w:sz w:val="48"/>
      </w:rPr>
    </w:pPr>
    <w:r w:rsidRPr="00E40F70">
      <w:rPr>
        <w:rFonts w:ascii="Arial" w:hAnsi="Arial" w:cs="Arial"/>
        <w:b/>
        <w:sz w:val="48"/>
      </w:rPr>
      <w:t>ET</w:t>
    </w:r>
    <w:r w:rsidRPr="00E40F70">
      <w:rPr>
        <w:rFonts w:ascii="Arial" w:hAnsi="Arial" w:cs="Arial"/>
        <w:b/>
        <w:sz w:val="48"/>
      </w:rPr>
      <w:tab/>
    </w:r>
    <w:r w:rsidRPr="00E40F70">
      <w:rPr>
        <w:rFonts w:ascii="Arial" w:hAnsi="Arial" w:cs="Arial"/>
        <w:b/>
        <w:sz w:val="48"/>
      </w:rPr>
      <w:tab/>
    </w:r>
    <w:r w:rsidRPr="00E40F70">
      <w:tab/>
    </w:r>
    <w:r w:rsidRPr="00E40F70">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F70" w:rsidRPr="00E40F70" w:rsidRDefault="00E40F70" w:rsidP="00E40F70">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F13" w:rsidRDefault="00B97F1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EndPr>
      <w:rPr>
        <w:noProof/>
      </w:rPr>
    </w:sdtEndPr>
    <w:sdtContent>
      <w:p w:rsidR="00B97F13" w:rsidRDefault="00E40F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F13" w:rsidRDefault="00B97F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F13" w:rsidRDefault="00E40F70">
      <w:r>
        <w:separator/>
      </w:r>
    </w:p>
  </w:footnote>
  <w:footnote w:type="continuationSeparator" w:id="0">
    <w:p w:rsidR="00B97F13" w:rsidRDefault="00E40F70">
      <w:r>
        <w:continuationSeparator/>
      </w:r>
    </w:p>
  </w:footnote>
  <w:footnote w:type="continuationNotice" w:id="1">
    <w:p w:rsidR="00B97F13" w:rsidRDefault="00B97F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F70" w:rsidRPr="00E40F70" w:rsidRDefault="00E40F70" w:rsidP="00E40F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F70" w:rsidRPr="00E40F70" w:rsidRDefault="00E40F70" w:rsidP="00E40F70">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F70" w:rsidRPr="00E40F70" w:rsidRDefault="00E40F70" w:rsidP="00E40F70">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F13" w:rsidRDefault="00B97F1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F13" w:rsidRDefault="00B97F1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F13" w:rsidRDefault="00B97F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75280"/>
    <w:multiLevelType w:val="hybridMultilevel"/>
    <w:tmpl w:val="0436CE4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5942FBE"/>
    <w:multiLevelType w:val="hybridMultilevel"/>
    <w:tmpl w:val="8DF0BBC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8825A0D"/>
    <w:multiLevelType w:val="hybridMultilevel"/>
    <w:tmpl w:val="CDE0802C"/>
    <w:lvl w:ilvl="0" w:tplc="774069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0F9489E"/>
    <w:multiLevelType w:val="hybridMultilevel"/>
    <w:tmpl w:val="24427EEE"/>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isatud dokumendile:"/>
    <w:docVar w:name="LW_CORRIGENDUM" w:val="&lt;UNUSED&gt;"/>
    <w:docVar w:name="LW_COVERPAGE_EXISTS" w:val="True"/>
    <w:docVar w:name="LW_COVERPAGE_GUID" w:val="61F36225-4210-468F-9914-549EED163B4C"/>
    <w:docVar w:name="LW_COVERPAGE_TYPE" w:val="1"/>
    <w:docVar w:name="LW_CROSSREFERENCE" w:val="{COM(2018) 184 final}_x000d__x000a_{SWD(2018) 96 final}"/>
    <w:docVar w:name="LW_DocType" w:val="NORMAL"/>
    <w:docVar w:name="LW_EMISSION" w:val="11.4.2018"/>
    <w:docVar w:name="LW_EMISSION_ISODATE" w:val="2018-04-11"/>
    <w:docVar w:name="LW_EMISSION_LOCATION" w:val="BRX"/>
    <w:docVar w:name="LW_EMISSION_PREFIX" w:val="Brüssel,"/>
    <w:docVar w:name="LW_EMISSION_SUFFIX" w:val="&lt;EMPTY&gt;"/>
    <w:docVar w:name="LW_ID_DOCTYPE_NONLW" w:val="CP-027"/>
    <w:docVar w:name="LW_LANGUE" w:val="ET"/>
    <w:docVar w:name="LW_LEVEL_OF_SENSITIVITY" w:val="Standard treatment"/>
    <w:docVar w:name="LW_NOM.INST" w:val="EUROOPA KOMISJON"/>
    <w:docVar w:name="LW_NOM.INST_JOINTDOC" w:val="&lt;EMPTY&gt;"/>
    <w:docVar w:name="LW_OBJETACTEPRINCIPAL.CP" w:val="(1) millega muudetakse nõukogu direktiivi 93/13/EMÜ, Euroopa Parlamendi ja nõukogu direktiivi 98/6/EÜ, Euroopa Parlamendi ja nõukogu direktiivi 2005/29/EÜ ja Euroopa Parlamendi ja nõukogu direktiivi 2011/83/EL, et ajakohastada ELi tarbijakaitse-eeskirju ja paremini tagada nende täitmine_x000b__x000b_ning_x000b__x000b_(2) mis käsitleb tarbijate kollektiivsete huvide kaitsmise esindushagisid ja millega tunnistatakse kehtetuks direktiiv 2009/22/EÜ"/>
    <w:docVar w:name="LW_PART_NBR" w:val="1"/>
    <w:docVar w:name="LW_PART_NBR_TOTAL" w:val="1"/>
    <w:docVar w:name="LW_REF.INST.NEW" w:val="SWD"/>
    <w:docVar w:name="LW_REF.INST.NEW_ADOPTED" w:val="final"/>
    <w:docVar w:name="LW_REF.INST.NEW_TEXT" w:val="(2018) 9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KOMISJONI TALITUSTE TÖÖDOKUMENT_x000b__x000b_MÕJUHINNANGU KOMMENTEERITUD KOKKUVÕTE_x000b_"/>
    <w:docVar w:name="LW_TYPEACTEPRINCIPAL.CP" w:val="Ettepanekud: _x000b__x000b_EUROOPA PARLAMENDI JA NÕUKOGU DIREKTIIVID,"/>
  </w:docVars>
  <w:rsids>
    <w:rsidRoot w:val="00B97F13"/>
    <w:rsid w:val="00B97F13"/>
    <w:rsid w:val="00E40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t-E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t-EE"/>
    </w:rPr>
  </w:style>
  <w:style w:type="character" w:styleId="Hyperlink">
    <w:name w:val="Hyperlink"/>
    <w:basedOn w:val="DefaultParagraphFont"/>
    <w:uiPriority w:val="99"/>
    <w:unhideWhenUsed/>
    <w:rPr>
      <w:color w:val="0000FF" w:themeColor="hyperlink"/>
      <w:u w:val="single"/>
    </w:rPr>
  </w:style>
  <w:style w:type="paragraph" w:styleId="FootnoteText">
    <w:name w:val="footnote text"/>
    <w:aliases w:val="Fußnotentextf,Fußnote,Fuﬂnotentextf,Footnote Text Blue,Geneva 9,Font: Geneva 9,Boston 10,f,Footnote Text Char Char Char Char Char Char,Tekst przypisu,Schriftart: 9 pt,Schriftart: 10 pt,Schriftart: 8 pt,WB-Fußnotentext,fn,Fotnotstext1,Char"/>
    <w:basedOn w:val="Normal"/>
    <w:link w:val="FootnoteTextChar"/>
    <w:uiPriority w:val="99"/>
    <w:unhideWhenUsed/>
    <w:qFormat/>
    <w:pPr>
      <w:jc w:val="both"/>
    </w:pPr>
    <w:rPr>
      <w:rFonts w:eastAsiaTheme="minorHAnsi"/>
      <w:sz w:val="20"/>
      <w:szCs w:val="20"/>
    </w:rPr>
  </w:style>
  <w:style w:type="character" w:customStyle="1" w:styleId="FootnoteTextChar">
    <w:name w:val="Footnote Text Char"/>
    <w:aliases w:val="Fußnotentextf Char,Fußnote Char,Fuﬂnotentextf Char,Footnote Text Blue Char,Geneva 9 Char,Font: Geneva 9 Char,Boston 10 Char,f Char,Footnote Text Char Char Char Char Char Char Char,Tekst przypisu Char,Schriftart: 9 pt Char,fn Char"/>
    <w:basedOn w:val="DefaultParagraphFont"/>
    <w:link w:val="FootnoteText"/>
    <w:uiPriority w:val="99"/>
    <w:qFormat/>
    <w:rPr>
      <w:rFonts w:ascii="Times New Roman" w:hAnsi="Times New Roman" w:cs="Times New Roman"/>
      <w:sz w:val="20"/>
      <w:szCs w:val="20"/>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 BVI fnr"/>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rFonts w:asciiTheme="minorHAnsi" w:eastAsiaTheme="minorHAnsi" w:hAnsiTheme="minorHAnsi" w:cstheme="minorBidi"/>
      <w:sz w:val="22"/>
      <w:szCs w:val="22"/>
      <w:vertAlign w:val="superscript"/>
    </w:rPr>
  </w:style>
  <w:style w:type="paragraph" w:styleId="ListParagraph">
    <w:name w:val="List Paragraph"/>
    <w:aliases w:val="Bullet List Paragraph,List Paragraph1,Lettre d'introduction,Numbered paragraph 1,Paragrafo elenco,1st level - Bullet List Paragraph,Medium Grid 1 - Accent 21,Normal bullet 2,Numbered List,Elenco a colori - Colore 11,Fiche List Paragraph,L"/>
    <w:basedOn w:val="Normal"/>
    <w:link w:val="ListParagraphChar"/>
    <w:uiPriority w:val="34"/>
    <w:qFormat/>
    <w:pPr>
      <w:spacing w:after="120"/>
      <w:ind w:left="720"/>
      <w:contextualSpacing/>
      <w:jc w:val="both"/>
    </w:pPr>
    <w:rPr>
      <w:rFonts w:eastAsiaTheme="minorHAnsi"/>
    </w:rPr>
  </w:style>
  <w:style w:type="character" w:customStyle="1" w:styleId="ListParagraphChar">
    <w:name w:val="List Paragraph Char"/>
    <w:aliases w:val="Bullet List Paragraph Char,List Paragraph1 Char,Lettre d'introduction Char,Numbered paragraph 1 Char,Paragrafo elenco Char,1st level - Bullet List Paragraph Char,Medium Grid 1 - Accent 21 Char,Normal bullet 2 Char,Numbered List Char"/>
    <w:basedOn w:val="DefaultParagraphFont"/>
    <w:link w:val="ListParagraph"/>
    <w:uiPriority w:val="34"/>
    <w:qFormat/>
    <w:rPr>
      <w:rFonts w:ascii="Times New Roman" w:hAnsi="Times New Roman" w:cs="Times New Roman"/>
      <w:sz w:val="24"/>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t-E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t-EE"/>
    </w:rPr>
  </w:style>
  <w:style w:type="character" w:styleId="Hyperlink">
    <w:name w:val="Hyperlink"/>
    <w:basedOn w:val="DefaultParagraphFont"/>
    <w:uiPriority w:val="99"/>
    <w:unhideWhenUsed/>
    <w:rPr>
      <w:color w:val="0000FF" w:themeColor="hyperlink"/>
      <w:u w:val="single"/>
    </w:rPr>
  </w:style>
  <w:style w:type="paragraph" w:styleId="FootnoteText">
    <w:name w:val="footnote text"/>
    <w:aliases w:val="Fußnotentextf,Fußnote,Fuﬂnotentextf,Footnote Text Blue,Geneva 9,Font: Geneva 9,Boston 10,f,Footnote Text Char Char Char Char Char Char,Tekst przypisu,Schriftart: 9 pt,Schriftart: 10 pt,Schriftart: 8 pt,WB-Fußnotentext,fn,Fotnotstext1,Char"/>
    <w:basedOn w:val="Normal"/>
    <w:link w:val="FootnoteTextChar"/>
    <w:uiPriority w:val="99"/>
    <w:unhideWhenUsed/>
    <w:qFormat/>
    <w:pPr>
      <w:jc w:val="both"/>
    </w:pPr>
    <w:rPr>
      <w:rFonts w:eastAsiaTheme="minorHAnsi"/>
      <w:sz w:val="20"/>
      <w:szCs w:val="20"/>
    </w:rPr>
  </w:style>
  <w:style w:type="character" w:customStyle="1" w:styleId="FootnoteTextChar">
    <w:name w:val="Footnote Text Char"/>
    <w:aliases w:val="Fußnotentextf Char,Fußnote Char,Fuﬂnotentextf Char,Footnote Text Blue Char,Geneva 9 Char,Font: Geneva 9 Char,Boston 10 Char,f Char,Footnote Text Char Char Char Char Char Char Char,Tekst przypisu Char,Schriftart: 9 pt Char,fn Char"/>
    <w:basedOn w:val="DefaultParagraphFont"/>
    <w:link w:val="FootnoteText"/>
    <w:uiPriority w:val="99"/>
    <w:qFormat/>
    <w:rPr>
      <w:rFonts w:ascii="Times New Roman" w:hAnsi="Times New Roman" w:cs="Times New Roman"/>
      <w:sz w:val="20"/>
      <w:szCs w:val="20"/>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 BVI fnr"/>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rFonts w:asciiTheme="minorHAnsi" w:eastAsiaTheme="minorHAnsi" w:hAnsiTheme="minorHAnsi" w:cstheme="minorBidi"/>
      <w:sz w:val="22"/>
      <w:szCs w:val="22"/>
      <w:vertAlign w:val="superscript"/>
    </w:rPr>
  </w:style>
  <w:style w:type="paragraph" w:styleId="ListParagraph">
    <w:name w:val="List Paragraph"/>
    <w:aliases w:val="Bullet List Paragraph,List Paragraph1,Lettre d'introduction,Numbered paragraph 1,Paragrafo elenco,1st level - Bullet List Paragraph,Medium Grid 1 - Accent 21,Normal bullet 2,Numbered List,Elenco a colori - Colore 11,Fiche List Paragraph,L"/>
    <w:basedOn w:val="Normal"/>
    <w:link w:val="ListParagraphChar"/>
    <w:uiPriority w:val="34"/>
    <w:qFormat/>
    <w:pPr>
      <w:spacing w:after="120"/>
      <w:ind w:left="720"/>
      <w:contextualSpacing/>
      <w:jc w:val="both"/>
    </w:pPr>
    <w:rPr>
      <w:rFonts w:eastAsiaTheme="minorHAnsi"/>
    </w:rPr>
  </w:style>
  <w:style w:type="character" w:customStyle="1" w:styleId="ListParagraphChar">
    <w:name w:val="List Paragraph Char"/>
    <w:aliases w:val="Bullet List Paragraph Char,List Paragraph1 Char,Lettre d'introduction Char,Numbered paragraph 1 Char,Paragrafo elenco Char,1st level - Bullet List Paragraph Char,Medium Grid 1 - Accent 21 Char,Normal bullet 2 Char,Numbered List Char"/>
    <w:basedOn w:val="DefaultParagraphFont"/>
    <w:link w:val="ListParagraph"/>
    <w:uiPriority w:val="34"/>
    <w:qFormat/>
    <w:rPr>
      <w:rFonts w:ascii="Times New Roman" w:hAnsi="Times New Roman" w:cs="Times New Roman"/>
      <w:sz w:val="24"/>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89656D43FD526045ADBF23FFD4EEEB73" ma:contentTypeVersion="0" ma:contentTypeDescription="Create a new document in this library." ma:contentTypeScope="" ma:versionID="1ae5f9bb8884fc60ffdcca3ec1b964a1">
  <xsd:schema xmlns:xsd="http://www.w3.org/2001/XMLSchema" xmlns:xs="http://www.w3.org/2001/XMLSchema" xmlns:p="http://schemas.microsoft.com/office/2006/metadata/properties" xmlns:ns2="http://schemas.microsoft.com/sharepoint/v3/fields" xmlns:ns3="CB139B86-3E0B-49B4-8CFC-56B2CF1FE6C9" targetNamespace="http://schemas.microsoft.com/office/2006/metadata/properties" ma:root="true" ma:fieldsID="dfdd2244bd50f1893e4f331050c0d17b" ns2:_="" ns3:_="">
    <xsd:import namespace="http://schemas.microsoft.com/sharepoint/v3/fields"/>
    <xsd:import namespace="CB139B86-3E0B-49B4-8CFC-56B2CF1FE6C9"/>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B139B86-3E0B-49B4-8CFC-56B2CF1FE6C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Status xmlns="CB139B86-3E0B-49B4-8CFC-56B2CF1FE6C9">Not Started</EC_Collab_Status>
    <_Status xmlns="http://schemas.microsoft.com/sharepoint/v3/fields">Not Started</_Status>
    <EC_Collab_Reference xmlns="CB139B86-3E0B-49B4-8CFC-56B2CF1FE6C9" xsi:nil="true"/>
    <EC_Collab_DocumentLanguage xmlns="CB139B86-3E0B-49B4-8CFC-56B2CF1FE6C9">EN</EC_Collab_DocumentLangu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78316-8B80-494C-A78C-9D8984D97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B139B86-3E0B-49B4-8CFC-56B2CF1FE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CE80E-734A-4297-8D0E-984F7E32D712}">
  <ds:schemaRefs>
    <ds:schemaRef ds:uri="http://schemas.microsoft.com/sharepoint/v3/contenttype/forms"/>
  </ds:schemaRefs>
</ds:datastoreItem>
</file>

<file path=customXml/itemProps3.xml><?xml version="1.0" encoding="utf-8"?>
<ds:datastoreItem xmlns:ds="http://schemas.openxmlformats.org/officeDocument/2006/customXml" ds:itemID="{67B228E3-FEEC-429F-8C93-CFCC37DE565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B139B86-3E0B-49B4-8CFC-56B2CF1FE6C9"/>
    <ds:schemaRef ds:uri="http://purl.org/dc/term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701EF108-580F-4FCF-8F20-9C405CD60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1126</Words>
  <Characters>9158</Characters>
  <Application>Microsoft Office Word</Application>
  <DocSecurity>0</DocSecurity>
  <Lines>120</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26</cp:revision>
  <cp:lastPrinted>2017-12-07T16:37:00Z</cp:lastPrinted>
  <dcterms:created xsi:type="dcterms:W3CDTF">2018-03-27T08:44:00Z</dcterms:created>
  <dcterms:modified xsi:type="dcterms:W3CDTF">2018-04-26T12:53:00Z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ContentTypeId">
    <vt:lpwstr>0x010100258AA79CEB83498886A3A086811232500089656D43FD526045ADBF23FFD4EEEB73</vt:lpwstr>
  </property>
  <property fmtid="{D5CDD505-2E9C-101B-9397-08002B2CF9AE}" pid="10" name="TemplateUrl">
    <vt:lpwstr/>
  </property>
  <property fmtid="{D5CDD505-2E9C-101B-9397-08002B2CF9AE}" pid="11" name="Level of sensitivity">
    <vt:lpwstr>Standard treatment</vt:lpwstr>
  </property>
  <property name="OP_sanitized" fmtid="{D5CDD505-2E9C-101B-9397-08002B2CF9AE}" pid="12">
    <vt:lpwstr>True</vt:lpwstr>
  </property>
</Properties>
</file>