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7821287-1CD8-41A4-BF85-2AC91B0C7FA6" style="width:450.5pt;height:320.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Default"/>
        <w:jc w:val="center"/>
        <w:rPr>
          <w:b/>
          <w:bCs/>
          <w:noProof/>
          <w:sz w:val="23"/>
          <w:szCs w:val="23"/>
        </w:rPr>
      </w:pPr>
      <w:bookmarkStart w:id="1" w:name="_GoBack"/>
      <w:bookmarkEnd w:id="1"/>
      <w:r>
        <w:rPr>
          <w:b/>
          <w:noProof/>
          <w:sz w:val="23"/>
        </w:rPr>
        <w:lastRenderedPageBreak/>
        <w:t>KOMISJONI ARUANNE EUROOPA PARLAMENDILE JA NÕUKOGULE komisjonile direktiiviga 2008/105/EÜ (milles käsitletakse keskkonnakvaliteedi standardeid veepoliitika valdkonnas) antud delegeeritud õigusaktide vastuvõtmise õiguse kasutamise kohta</w:t>
      </w:r>
    </w:p>
    <w:p>
      <w:pPr>
        <w:pStyle w:val="Default"/>
        <w:jc w:val="both"/>
        <w:rPr>
          <w:noProof/>
          <w:sz w:val="23"/>
          <w:szCs w:val="23"/>
        </w:rPr>
      </w:pPr>
      <w:r>
        <w:rPr>
          <w:b/>
          <w:noProof/>
          <w:sz w:val="23"/>
        </w:rPr>
        <w:t xml:space="preserve"> </w:t>
      </w:r>
    </w:p>
    <w:p>
      <w:pPr>
        <w:pStyle w:val="Default"/>
        <w:jc w:val="both"/>
        <w:rPr>
          <w:noProof/>
          <w:sz w:val="23"/>
          <w:szCs w:val="23"/>
        </w:rPr>
      </w:pPr>
      <w:r>
        <w:rPr>
          <w:noProof/>
          <w:sz w:val="23"/>
        </w:rPr>
        <w:t xml:space="preserve">1. SISSEJUHATUS </w:t>
      </w:r>
    </w:p>
    <w:p>
      <w:pPr>
        <w:pStyle w:val="Default"/>
        <w:jc w:val="both"/>
        <w:rPr>
          <w:noProof/>
          <w:sz w:val="23"/>
          <w:szCs w:val="23"/>
        </w:rPr>
      </w:pPr>
    </w:p>
    <w:p>
      <w:pPr>
        <w:pStyle w:val="Default"/>
        <w:jc w:val="both"/>
        <w:rPr>
          <w:noProof/>
          <w:sz w:val="23"/>
          <w:szCs w:val="23"/>
        </w:rPr>
      </w:pPr>
      <w:r>
        <w:rPr>
          <w:noProof/>
          <w:sz w:val="23"/>
        </w:rPr>
        <w:t>Euroopa Parlamendi ja nõukogu direktiivis 2008/105/EÜ,</w:t>
      </w:r>
      <w:r>
        <w:rPr>
          <w:rStyle w:val="FootnoteReference"/>
          <w:noProof/>
          <w:sz w:val="23"/>
        </w:rPr>
        <w:footnoteReference w:id="1"/>
      </w:r>
      <w:r>
        <w:rPr>
          <w:noProof/>
          <w:sz w:val="23"/>
        </w:rPr>
        <w:t xml:space="preserve"> milles käsitletakse keskkonnakvaliteedi standardeid veepoliitika valdkonnas ja mida on muudetud direktiiviga 2013/39/EL,</w:t>
      </w:r>
      <w:r>
        <w:rPr>
          <w:rStyle w:val="FootnoteReference"/>
          <w:noProof/>
          <w:sz w:val="23"/>
        </w:rPr>
        <w:footnoteReference w:id="2"/>
      </w:r>
      <w:r>
        <w:rPr>
          <w:noProof/>
          <w:sz w:val="23"/>
        </w:rPr>
        <w:t xml:space="preserve"> on kehtestatud keskkonnakvaliteedi standardid veepoliitika raamdirektiivi (2000/60/EÜ)</w:t>
      </w:r>
      <w:r>
        <w:rPr>
          <w:rStyle w:val="FootnoteReference"/>
          <w:noProof/>
          <w:sz w:val="23"/>
        </w:rPr>
        <w:footnoteReference w:id="3"/>
      </w:r>
      <w:r>
        <w:rPr>
          <w:noProof/>
          <w:sz w:val="23"/>
        </w:rPr>
        <w:t xml:space="preserve"> kohaselt kindlaks määratud prioriteetsetele ainetele, mis põhjustavad veeökosüsteemidele ja veeökosüsteemide kaudu märkimisväärset ohtu kogu ELis. Direktiiv 2008/105/EÜ on veepoliitika raamdirektiivi tütardirektiiv, mille eesmärk on kaitsta, taastada ja parandada veeökosüsteemide seisundit.</w:t>
      </w:r>
    </w:p>
    <w:p>
      <w:pPr>
        <w:pStyle w:val="Default"/>
        <w:jc w:val="both"/>
        <w:rPr>
          <w:noProof/>
          <w:sz w:val="23"/>
          <w:szCs w:val="23"/>
        </w:rPr>
      </w:pPr>
    </w:p>
    <w:p>
      <w:pPr>
        <w:pStyle w:val="Default"/>
        <w:jc w:val="both"/>
        <w:rPr>
          <w:noProof/>
          <w:sz w:val="23"/>
          <w:szCs w:val="23"/>
        </w:rPr>
      </w:pPr>
      <w:r>
        <w:rPr>
          <w:noProof/>
          <w:sz w:val="23"/>
        </w:rPr>
        <w:t>Direktiiviga 2008/105/EÜ (muudetud) on antud komisjonile õigus võtta vastu delegeeritud õigusakte, et kohandada direktiivi I lisa B osa punktis 3 esitatud näitajaid teaduse ja tehnika arenguga. Need näitajad on seotud fraktsiooniga,</w:t>
      </w:r>
      <w:r>
        <w:rPr>
          <w:rStyle w:val="FootnoteReference"/>
          <w:noProof/>
          <w:sz w:val="23"/>
        </w:rPr>
        <w:footnoteReference w:id="4"/>
      </w:r>
      <w:r>
        <w:rPr>
          <w:noProof/>
          <w:sz w:val="23"/>
        </w:rPr>
        <w:t xml:space="preserve"> mille alusel vee keskkonnakvaliteedi standardid kindlaks määratakse, ja keskkonnakvaliteedi standardite järgimise hindamisega metallide puhul. </w:t>
      </w:r>
    </w:p>
    <w:p>
      <w:pPr>
        <w:pStyle w:val="Default"/>
        <w:jc w:val="both"/>
        <w:rPr>
          <w:noProof/>
          <w:sz w:val="23"/>
          <w:szCs w:val="23"/>
        </w:rPr>
      </w:pPr>
    </w:p>
    <w:p>
      <w:pPr>
        <w:pStyle w:val="Default"/>
        <w:jc w:val="both"/>
        <w:rPr>
          <w:noProof/>
          <w:sz w:val="23"/>
          <w:szCs w:val="23"/>
        </w:rPr>
      </w:pPr>
      <w:r>
        <w:rPr>
          <w:noProof/>
          <w:sz w:val="23"/>
        </w:rPr>
        <w:t xml:space="preserve">2. ÕIGUSLIK ALUS </w:t>
      </w:r>
    </w:p>
    <w:p>
      <w:pPr>
        <w:pStyle w:val="Default"/>
        <w:jc w:val="both"/>
        <w:rPr>
          <w:noProof/>
          <w:sz w:val="23"/>
          <w:szCs w:val="23"/>
        </w:rPr>
      </w:pPr>
      <w:r>
        <w:rPr>
          <w:noProof/>
          <w:sz w:val="23"/>
        </w:rPr>
        <w:t xml:space="preserve">Käesoleva aruande esitamine on ette nähtud direktiivi 2008/105/EÜ (mida on muudetud direktiiviga 2013/39/EL) artikli 9a lõikega 2. Selle sätte kohaselt antakse artikli 3 lõikes 8 osutatud õigus võtta vastu delegeeritud õigusakte komisjonile kuueks aastaks alates 13. septembrist 2013. Komisjon peab esitama delegeeritud volituste kohta aruande hiljemalt üheksa kuud enne kuueaastase tähtaja möödumist. Volituste delegeerimist uuendatakse automaatselt samaks ajavahemikuks, välja arvatud juhul, kui Euroopa Parlament või nõukogu esitab selle suhtes vastuväite vastavalt artiklile 9a. </w:t>
      </w:r>
    </w:p>
    <w:p>
      <w:pPr>
        <w:pStyle w:val="Default"/>
        <w:jc w:val="both"/>
        <w:rPr>
          <w:noProof/>
          <w:sz w:val="23"/>
          <w:szCs w:val="23"/>
        </w:rPr>
      </w:pPr>
    </w:p>
    <w:p>
      <w:pPr>
        <w:pStyle w:val="Default"/>
        <w:jc w:val="both"/>
        <w:rPr>
          <w:noProof/>
          <w:sz w:val="23"/>
          <w:szCs w:val="23"/>
        </w:rPr>
      </w:pPr>
      <w:r>
        <w:rPr>
          <w:noProof/>
          <w:sz w:val="23"/>
        </w:rPr>
        <w:t xml:space="preserve">3. DELEGEERITUD VOLITUSTE RAKENDAMINE </w:t>
      </w:r>
    </w:p>
    <w:p>
      <w:pPr>
        <w:pStyle w:val="Default"/>
        <w:jc w:val="both"/>
        <w:rPr>
          <w:noProof/>
          <w:sz w:val="23"/>
          <w:szCs w:val="23"/>
        </w:rPr>
      </w:pPr>
      <w:r>
        <w:rPr>
          <w:noProof/>
          <w:sz w:val="23"/>
        </w:rPr>
        <w:t>Sarnane õigus lisati direktiivi 2008/105/EÜ algversiooni, kuid seda ei ole kasutatud enne, kui kõnealust direktiivi seadusandliku tavamenetluse teel 2013. aastal muudeti. 2013. aastal tehti I lisa B osa punkti 3 teksti mõned muudatused tehnika arengu kajastamiseks seoses keskkonnakvaliteedi standardite järgimise hindamisega metallide puhul, eelkõige selleks, et võtta arvesse aasta keskmisena väljendatud keskkonnakvaliteedi standardite kasutuselevõttu seoses kahe magevees leiduva metalli biosaadavusega ning biosaadavuse mudelite alal tehtud edusamme.</w:t>
      </w:r>
    </w:p>
    <w:p>
      <w:pPr>
        <w:pStyle w:val="Default"/>
        <w:jc w:val="both"/>
        <w:rPr>
          <w:noProof/>
          <w:sz w:val="23"/>
          <w:szCs w:val="23"/>
        </w:rPr>
      </w:pPr>
      <w:r>
        <w:rPr>
          <w:noProof/>
          <w:sz w:val="23"/>
        </w:rPr>
        <w:t xml:space="preserve"> </w:t>
      </w:r>
    </w:p>
    <w:p>
      <w:pPr>
        <w:pStyle w:val="Default"/>
        <w:jc w:val="both"/>
        <w:rPr>
          <w:noProof/>
          <w:sz w:val="23"/>
          <w:szCs w:val="23"/>
        </w:rPr>
      </w:pPr>
      <w:r>
        <w:rPr>
          <w:noProof/>
          <w:sz w:val="23"/>
        </w:rPr>
        <w:t>Seni ei ole teaduse ja tehnika arengust tulenevalt olnud vaja I lisa B osa punkti 3 kohandada, mistõttu ei ole komisjon oma delegeeritud volitust aruandeperioodi jooksul kasutanud. Siiski võib delegeeritud volituste kasutamine osutuda edaspidi vajalikuks, kuna teaduse või tehnika arenguga kohandamise vajadus ei pruugi kattuda ajaga, mil direktiivi võidakse tulevikus muudatusi teha.</w:t>
      </w:r>
    </w:p>
    <w:p>
      <w:pPr>
        <w:rPr>
          <w:rFonts w:ascii="Times New Roman" w:hAnsi="Times New Roman" w:cs="Times New Roman"/>
          <w:noProof/>
          <w:color w:val="000000"/>
          <w:sz w:val="23"/>
          <w:szCs w:val="23"/>
        </w:rPr>
      </w:pPr>
      <w:r>
        <w:rPr>
          <w:noProof/>
        </w:rPr>
        <w:br w:type="page"/>
      </w:r>
    </w:p>
    <w:p>
      <w:pPr>
        <w:pStyle w:val="Default"/>
        <w:jc w:val="both"/>
        <w:rPr>
          <w:noProof/>
          <w:sz w:val="23"/>
          <w:szCs w:val="23"/>
        </w:rPr>
      </w:pPr>
    </w:p>
    <w:p>
      <w:pPr>
        <w:pStyle w:val="Default"/>
        <w:jc w:val="both"/>
        <w:rPr>
          <w:noProof/>
          <w:sz w:val="23"/>
          <w:szCs w:val="23"/>
        </w:rPr>
      </w:pPr>
      <w:r>
        <w:rPr>
          <w:noProof/>
          <w:sz w:val="23"/>
        </w:rPr>
        <w:t xml:space="preserve">4. KOKKUVÕTE </w:t>
      </w:r>
    </w:p>
    <w:p>
      <w:pPr>
        <w:jc w:val="both"/>
        <w:rPr>
          <w:rFonts w:ascii="Times New Roman" w:hAnsi="Times New Roman"/>
          <w:noProof/>
          <w:color w:val="000000"/>
          <w:sz w:val="23"/>
        </w:rPr>
      </w:pPr>
      <w:r>
        <w:rPr>
          <w:rFonts w:ascii="Times New Roman" w:hAnsi="Times New Roman"/>
          <w:noProof/>
          <w:color w:val="000000"/>
          <w:sz w:val="23"/>
        </w:rPr>
        <w:t>Komisjon ei ole kasutanud talle direktiiviga 2008/105/EÜ antud delegeeritud volitust, kuid ta võib seda teha tulevikus. Komisjon palub Euroopa Parlamendil ja nõukogul käesolev aruanne teadmiseks võtta.</w:t>
      </w:r>
    </w:p>
    <w:sectPr>
      <w:headerReference w:type="even" r:id="rId15"/>
      <w:headerReference w:type="default" r:id="rId16"/>
      <w:footerReference w:type="even" r:id="rId17"/>
      <w:footerReference w:type="default" r:id="rId18"/>
      <w:headerReference w:type="first" r:id="rId19"/>
      <w:footerReference w:type="first" r:id="rId20"/>
      <w:pgSz w:w="14175" w:h="16838"/>
      <w:pgMar w:top="1417" w:right="3686"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98546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pl-PL"/>
        </w:rPr>
      </w:pPr>
      <w:r>
        <w:rPr>
          <w:rStyle w:val="FootnoteReference"/>
        </w:rPr>
        <w:footnoteRef/>
      </w:r>
      <w:r>
        <w:t xml:space="preserve"> </w:t>
      </w:r>
      <w:r>
        <w:rPr>
          <w:i/>
        </w:rPr>
        <w:t>ELT L 348, 24.12.2008, lk 84–97.</w:t>
      </w:r>
    </w:p>
  </w:footnote>
  <w:footnote w:id="2">
    <w:p>
      <w:pPr>
        <w:pStyle w:val="FootnoteText"/>
        <w:rPr>
          <w:lang w:val="pl-PL"/>
        </w:rPr>
      </w:pPr>
      <w:r>
        <w:rPr>
          <w:rStyle w:val="FootnoteReference"/>
        </w:rPr>
        <w:footnoteRef/>
      </w:r>
      <w:r>
        <w:t xml:space="preserve"> </w:t>
      </w:r>
      <w:r>
        <w:rPr>
          <w:i/>
        </w:rPr>
        <w:t>ELT L 226, 24.8.2013, lk 1–17.</w:t>
      </w:r>
    </w:p>
  </w:footnote>
  <w:footnote w:id="3">
    <w:p>
      <w:pPr>
        <w:pStyle w:val="FootnoteText"/>
        <w:rPr>
          <w:lang w:val="pl-PL"/>
        </w:rPr>
      </w:pPr>
      <w:r>
        <w:rPr>
          <w:rStyle w:val="FootnoteReference"/>
        </w:rPr>
        <w:footnoteRef/>
      </w:r>
      <w:r>
        <w:t xml:space="preserve"> </w:t>
      </w:r>
      <w:r>
        <w:rPr>
          <w:i/>
        </w:rPr>
        <w:t>EÜT L 327, 22.12.2000, lk 1–73.</w:t>
      </w:r>
    </w:p>
  </w:footnote>
  <w:footnote w:id="4">
    <w:p>
      <w:pPr>
        <w:pStyle w:val="FootnoteText"/>
      </w:pPr>
      <w:r>
        <w:rPr>
          <w:rStyle w:val="FootnoteReference"/>
        </w:rPr>
        <w:footnoteRef/>
      </w:r>
      <w:r>
        <w:t xml:space="preserve"> St veeproovi üldmaht või lahustunud fraktsioon.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7821287-1CD8-41A4-BF85-2AC91B0C7FA6"/>
    <w:docVar w:name="LW_COVERPAGE_TYPE" w:val="1"/>
    <w:docVar w:name="LW_CROSSREFERENCE" w:val="&lt;UNUSED&gt;"/>
    <w:docVar w:name="LW_DocType" w:val="NORMAL"/>
    <w:docVar w:name="LW_EMISSION" w:val="17.12.2018"/>
    <w:docVar w:name="LW_EMISSION_ISODATE" w:val="2018-12-17"/>
    <w:docVar w:name="LW_EMISSION_LOCATION" w:val="BRX"/>
    <w:docVar w:name="LW_EMISSION_PREFIX" w:val="Brüssel,"/>
    <w:docVar w:name="LW_EMISSION_SUFFIX" w:val=" "/>
    <w:docVar w:name="LW_ID_DOCTYPE_NONLW" w:val="CP-005"/>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18) 8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komisjonile direktiiviga 2008/105/EÜ (milles käsitletakse keskkonnakvaliteedi standardeid veepoliitika valdkonnas) antud delegeeritud õigusaktide vastuvõtmise õiguse kasutamise kohta&lt;/FMT&gt;"/>
    <w:docVar w:name="LW_TYPE.DOC.CP" w:val="KOMISJONI ARUANNE NÕUKOGULE JA EUROOPA PARLAMENDIL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DefaultChar">
    <w:name w:val="Default Char"/>
    <w:basedOn w:val="DefaultParagraphFont"/>
    <w:link w:val="Default"/>
    <w:rPr>
      <w:rFonts w:ascii="Times New Roman" w:hAnsi="Times New Roman" w:cs="Times New Roman"/>
      <w:color w:val="000000"/>
      <w:sz w:val="24"/>
      <w:szCs w:val="24"/>
    </w:rPr>
  </w:style>
  <w:style w:type="character" w:customStyle="1" w:styleId="FooterCoverPageChar">
    <w:name w:val="Footer Cover Page Char"/>
    <w:basedOn w:val="DefaultChar"/>
    <w:link w:val="FooterCoverPage"/>
    <w:rPr>
      <w:rFonts w:ascii="Times New Roman" w:hAnsi="Times New Roman" w:cs="Times New Roman"/>
      <w:color w:val="00000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Char"/>
    <w:link w:val="FooterSensitivity"/>
    <w:rPr>
      <w:rFonts w:ascii="Times New Roman" w:hAnsi="Times New Roman" w:cs="Times New Roman"/>
      <w:b/>
      <w:color w:val="000000"/>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Char"/>
    <w:link w:val="HeaderCoverPage"/>
    <w:rPr>
      <w:rFonts w:ascii="Times New Roman" w:hAnsi="Times New Roman" w:cs="Times New Roman"/>
      <w:color w:val="00000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Char"/>
    <w:link w:val="HeaderSensitivity"/>
    <w:rPr>
      <w:rFonts w:ascii="Times New Roman" w:hAnsi="Times New Roman" w:cs="Times New Roman"/>
      <w:b/>
      <w:color w:val="000000"/>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DefaultChar">
    <w:name w:val="Default Char"/>
    <w:basedOn w:val="DefaultParagraphFont"/>
    <w:link w:val="Default"/>
    <w:rPr>
      <w:rFonts w:ascii="Times New Roman" w:hAnsi="Times New Roman" w:cs="Times New Roman"/>
      <w:color w:val="000000"/>
      <w:sz w:val="24"/>
      <w:szCs w:val="24"/>
    </w:rPr>
  </w:style>
  <w:style w:type="character" w:customStyle="1" w:styleId="FooterCoverPageChar">
    <w:name w:val="Footer Cover Page Char"/>
    <w:basedOn w:val="DefaultChar"/>
    <w:link w:val="FooterCoverPage"/>
    <w:rPr>
      <w:rFonts w:ascii="Times New Roman" w:hAnsi="Times New Roman" w:cs="Times New Roman"/>
      <w:color w:val="00000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Char"/>
    <w:link w:val="FooterSensitivity"/>
    <w:rPr>
      <w:rFonts w:ascii="Times New Roman" w:hAnsi="Times New Roman" w:cs="Times New Roman"/>
      <w:b/>
      <w:color w:val="000000"/>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Char"/>
    <w:link w:val="HeaderCoverPage"/>
    <w:rPr>
      <w:rFonts w:ascii="Times New Roman" w:hAnsi="Times New Roman" w:cs="Times New Roman"/>
      <w:color w:val="00000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Char"/>
    <w:link w:val="HeaderSensitivity"/>
    <w:rPr>
      <w:rFonts w:ascii="Times New Roman" w:hAnsi="Times New Roman" w:cs="Times New Roman"/>
      <w:b/>
      <w:color w:val="00000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BAF6B-200D-4157-978D-9936BD97A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352</Words>
  <Characters>2648</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18</cp:revision>
  <dcterms:created xsi:type="dcterms:W3CDTF">2018-11-12T12:20:00Z</dcterms:created>
  <dcterms:modified xsi:type="dcterms:W3CDTF">2018-12-10T12:54:00Z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