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0D3BBC59-5376-4C2B-ABE2-254291174279" style="width:451.25pt;height:338.2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SELETUSKIRI</w:t>
      </w:r>
    </w:p>
    <w:p>
      <w:pPr>
        <w:pStyle w:val="ManualHeading1"/>
        <w:rPr>
          <w:noProof/>
        </w:rPr>
      </w:pPr>
      <w:r>
        <w:rPr>
          <w:noProof/>
        </w:rPr>
        <w:t>1.</w:t>
      </w:r>
      <w:r>
        <w:rPr>
          <w:noProof/>
        </w:rPr>
        <w:tab/>
        <w:t>ETTEPANEKU TAUST</w:t>
      </w:r>
    </w:p>
    <w:p>
      <w:pPr>
        <w:pStyle w:val="ManualHeading2"/>
        <w:rPr>
          <w:rFonts w:eastAsia="Arial Unicode MS"/>
          <w:noProof/>
        </w:rPr>
      </w:pPr>
      <w:r>
        <w:rPr>
          <w:noProof/>
        </w:rPr>
        <w:t>•</w:t>
      </w:r>
      <w:r>
        <w:rPr>
          <w:noProof/>
        </w:rPr>
        <w:tab/>
        <w:t>Ettepaneku põhjused ja eesmärgid</w:t>
      </w:r>
    </w:p>
    <w:p>
      <w:pPr>
        <w:pBdr>
          <w:top w:val="nil"/>
          <w:left w:val="nil"/>
          <w:bottom w:val="nil"/>
          <w:right w:val="nil"/>
          <w:between w:val="nil"/>
          <w:bar w:val="nil"/>
        </w:pBdr>
        <w:spacing w:before="0" w:after="240"/>
        <w:rPr>
          <w:noProof/>
        </w:rPr>
      </w:pPr>
      <w:r>
        <w:rPr>
          <w:noProof/>
        </w:rPr>
        <w:t>Ettepaneku eesmärk on teha mõned sihipärased muudatused nõukogu otsusesse nr 1313/2013/EL (edaspidi „otsus“) (liidu kodanikukaitse mehhanismi kohta („liidu mehhanism“)), mille alusel Euroopa Liit toetab, koordineerib ja täiendab liikmesriikide meetmeid kodanikukaitse vallas. Kõnealuseid meetmeid rakendatakse nii liidu sees kui ka väljaspool seda loodusõnnetuste ja inimtegevusest tingitud õnnetuste ennetamisel, nendeks valmistumisel ja neile reageerimisel. Solidaarsuse ja jagatud vastutuse põhimõtetele tuginedes on käesoleva ettepaneku üldeesmärk tagada, et liit saaks osutada oma kodanikele Euroopas ja väljaspool seda paremal tasemel kriisi- ja hädaabi. Ettepanekus tunnistatakse, et õnnetuste ärahoidmisega seotud jõupingutused on kriisi- ja hädaabi vajaduse vähendamisel väga olulise tähtsusega.</w:t>
      </w:r>
    </w:p>
    <w:p>
      <w:pPr>
        <w:pBdr>
          <w:top w:val="nil"/>
          <w:left w:val="nil"/>
          <w:bottom w:val="nil"/>
          <w:right w:val="nil"/>
          <w:between w:val="nil"/>
          <w:bar w:val="nil"/>
        </w:pBdr>
        <w:spacing w:before="0" w:after="240"/>
        <w:rPr>
          <w:noProof/>
        </w:rPr>
      </w:pPr>
      <w:r>
        <w:rPr>
          <w:noProof/>
        </w:rPr>
        <w:t>Otsuse nr 1313/2013/EL artiklis 34 ette nähtud liidu kodanikukaitse mehhanismi hiljutise vahehindamise</w:t>
      </w:r>
      <w:r>
        <w:rPr>
          <w:rStyle w:val="FootnoteReference"/>
          <w:noProof/>
        </w:rPr>
        <w:footnoteReference w:id="2"/>
      </w:r>
      <w:r>
        <w:rPr>
          <w:noProof/>
        </w:rPr>
        <w:t xml:space="preserve"> ja muude tulemushindamiste, (nagu Euroopa Kontrollikoja poolne liidu kodanikukaitse mehhanismi läbivaatamine</w:t>
      </w:r>
      <w:r>
        <w:rPr>
          <w:rStyle w:val="FootnoteReference"/>
          <w:noProof/>
        </w:rPr>
        <w:footnoteReference w:id="3"/>
      </w:r>
      <w:r>
        <w:rPr>
          <w:noProof/>
        </w:rPr>
        <w:t>), tulemused näitavad, et liidu mehhanism on osutunud vajalikuks vahendiks, mille abil saavad Euroopa Liidus ja väljaspool seda kriisidele reageerivad osalevad riigid abi anda ja seda koordineerida, mis on selge tõend Euroopa solidaarsusest. Nimetatud dokumentides tehtud mõned järeldused ning täiendavad tõendid on siiski aidanud selgeks teha teatavad valdkonnad, kus õigusakti muutmine on põhjendatud. Sellega seoses on peamiseks kaalutluseks tegevuse käigus saadud kogemused, mis on olnud oluliseks teguriks käesoleva ettepaneku esitamisel, kuna kogemused on aidanud esile tuua kehtiva raamistiku piiranguid.</w:t>
      </w:r>
    </w:p>
    <w:p>
      <w:pPr>
        <w:pBdr>
          <w:top w:val="nil"/>
          <w:left w:val="nil"/>
          <w:bottom w:val="nil"/>
          <w:right w:val="nil"/>
          <w:between w:val="nil"/>
          <w:bar w:val="nil"/>
        </w:pBdr>
        <w:spacing w:before="0" w:after="240"/>
        <w:rPr>
          <w:noProof/>
        </w:rPr>
      </w:pPr>
      <w:r>
        <w:rPr>
          <w:noProof/>
        </w:rPr>
        <w:t>Liidul on tulnud alates 2013. aastast tegeleda mitmete traagiliste tagajärgedega õnnetustega ning muude, kodanike, ettevõtjate, kogukondade ja keskkonna jaoks kahjulike tagajärgedega. Konkreetsemalt on liidu mehhanismi jaoks tõeliseks vastupidavustestiks kujunenud mitmed hiljutised õnnetused, sealhulgas pagulas- ja rändekriisi humanitaarmõju, kättesaadavate vahendite puudus 2016. ja 2017. aasta metsatulekahju hooajal, millest viimane oli eriti pikk ja pingeline, põhjustades enam kui 100 inimese surma, samuti erinevate Kariibimere piirkonda räsinud orkaanide ning ELis aset leidnud tugevate tormide ja üleujutuste rasked tagajärjed. See sai eriti ilmseks viimastes ulatuslikes hädaolukordades, mis mõjutasid mitut liikmesriiki samaaegselt. Sellistes olukordades on liikmesriikide õnnetustele reageerimine vabatahtlikkuse alusel jäänud sageli ebapiisavaks ning 2017. aasta alguses esitatud suutlikkuse puudujääkide aruandes</w:t>
      </w:r>
      <w:r>
        <w:rPr>
          <w:rStyle w:val="FootnoteReference"/>
          <w:noProof/>
        </w:rPr>
        <w:footnoteReference w:id="4"/>
      </w:r>
      <w:r>
        <w:rPr>
          <w:noProof/>
        </w:rPr>
        <w:t xml:space="preserve"> esile tõstetud teatavate kriitilise tähtsusega reageerimisvahendite puudus on saanud enam kui ilmseks. Selle kõige iseloomulikumaks näiteks on ELi kollektiivse suutlikkuse võimetus reageerida kõigile 17 metsatulekahjudega seotud abipalvele. Nendest suudeti reageerida ainult kümnele abipalvele, mida pärssisid aeg-ajalt viivitused, mis vähendasid reageerimise õigeaegsust.</w:t>
      </w:r>
    </w:p>
    <w:p>
      <w:pPr>
        <w:pBdr>
          <w:top w:val="nil"/>
          <w:left w:val="nil"/>
          <w:bottom w:val="nil"/>
          <w:right w:val="nil"/>
          <w:between w:val="nil"/>
          <w:bar w:val="nil"/>
        </w:pBdr>
        <w:spacing w:before="0" w:after="240"/>
        <w:rPr>
          <w:noProof/>
        </w:rPr>
      </w:pPr>
      <w:r>
        <w:rPr>
          <w:noProof/>
        </w:rPr>
        <w:lastRenderedPageBreak/>
        <w:t>Seetõttu on põhjendatud teostada liidu mehhanismi käsitlevate kehtivate õigusaktide sihipärane läbivaatamine, et leida lahendus liidu mehhanismi ees praegu seisvatele peamistele probleemidele. Konkreetsemalt on käesolevas ettepanekus sisalduvad muudatused suunatud järgmiste eesmärkide saavutamisele:</w:t>
      </w:r>
    </w:p>
    <w:p>
      <w:pPr>
        <w:pBdr>
          <w:top w:val="nil"/>
          <w:left w:val="nil"/>
          <w:bottom w:val="nil"/>
          <w:right w:val="nil"/>
          <w:between w:val="nil"/>
          <w:bar w:val="nil"/>
        </w:pBdr>
        <w:spacing w:before="0" w:after="240"/>
        <w:rPr>
          <w:noProof/>
        </w:rPr>
      </w:pPr>
      <w:r>
        <w:rPr>
          <w:noProof/>
        </w:rPr>
        <w:t>a) Ennetusmeetmete tõhususe tõstmine osana õnnetuste ohu ohjamise tsüklist ning seoste tugevdamine teiste oluliste ELi tegevuspõhimõtetega õnnetuste ennetamise ja neile reageerimise valdkonnas.</w:t>
      </w:r>
    </w:p>
    <w:p>
      <w:pPr>
        <w:pBdr>
          <w:top w:val="nil"/>
          <w:left w:val="nil"/>
          <w:bottom w:val="nil"/>
          <w:right w:val="nil"/>
          <w:between w:val="nil"/>
          <w:bar w:val="nil"/>
        </w:pBdr>
        <w:spacing w:before="0" w:after="240"/>
        <w:rPr>
          <w:noProof/>
        </w:rPr>
      </w:pPr>
      <w:r>
        <w:rPr>
          <w:noProof/>
        </w:rPr>
        <w:t>b) Liidu ja liikmesriikide õnnetustele reageerimise kollektiivse suutlikkuse tõhustamine ning korduvate ja uute suutlikkuse puudujääkide kõrvaldamine, eelkõige liidu tasandil reageerimisvahendite sihtotstarbelise reservi loomise abil, mille rakendamise kohta teeb otsuse komisjon, võttes endale juhtimis- ja kontrollülesanded (rescEU). rescEU`le antakse konkreetne hädaabi suutlikkus reageerida vajaduse korral metsatulekahjudele, üleujutustele, maavärinatele ja tervisega seotud hädaolukordadele. Liikmesriikidega läbi viidud arutelude järel otsustati, et vaja on välihaiglat, mida oleks võimalik ebola või zika laadsete epideemiate puhul liidus või väljaspool seda Euroopa meditsiinikorpuse raames kiiresti kasutusele võtta. Euroopat on tabanud ka mitmed terrorirünnakud. Sellise vahendite ELi tasandil kasutuselevõtmine aitab saavutada ka mastaabisäästu ning vähendada samade vahendite eraldi hankimisega seonduvaid kulusid.</w:t>
      </w:r>
    </w:p>
    <w:p>
      <w:pPr>
        <w:pBdr>
          <w:top w:val="nil"/>
          <w:left w:val="nil"/>
          <w:bottom w:val="nil"/>
          <w:right w:val="nil"/>
          <w:between w:val="nil"/>
          <w:bar w:val="nil"/>
        </w:pBdr>
        <w:spacing w:before="0" w:after="240"/>
        <w:rPr>
          <w:noProof/>
        </w:rPr>
      </w:pPr>
      <w:r>
        <w:rPr>
          <w:noProof/>
        </w:rPr>
        <w:t>c) Liidu mehhanismi haldusmenetluste paindlikkuse ja tõhususe tagamine hädaabi operatsioonide toetamisel.</w:t>
      </w:r>
    </w:p>
    <w:p>
      <w:pPr>
        <w:pBdr>
          <w:top w:val="nil"/>
          <w:left w:val="nil"/>
          <w:bottom w:val="nil"/>
          <w:right w:val="nil"/>
          <w:between w:val="nil"/>
          <w:bar w:val="nil"/>
        </w:pBdr>
        <w:spacing w:before="0" w:after="240"/>
        <w:rPr>
          <w:noProof/>
        </w:rPr>
      </w:pPr>
      <w:r>
        <w:rPr>
          <w:noProof/>
        </w:rPr>
        <w:t xml:space="preserve">Viimasel ajal aset leidnud õnnetuste, sealhulgas äärmuslike ilmastikutingimuste valguses ning sisejulgeoleku probleemide taustal on vajadusel Euroopa kodanikukaitset tugevdada laiapõhjaline toetus. Käesolev ettepanek toetub vastutavate kodanikukaitseasutuste ühiselt teostatud hiljutisele analüüsile ja järeldustele, mis käsitlevad kindlaks tehtud puudujääke. </w:t>
      </w:r>
    </w:p>
    <w:p>
      <w:pPr>
        <w:pStyle w:val="ManualHeading2"/>
        <w:rPr>
          <w:rFonts w:eastAsia="Arial Unicode MS"/>
          <w:noProof/>
        </w:rPr>
      </w:pPr>
      <w:r>
        <w:rPr>
          <w:noProof/>
        </w:rPr>
        <w:t>•</w:t>
      </w:r>
      <w:r>
        <w:rPr>
          <w:noProof/>
        </w:rPr>
        <w:tab/>
        <w:t>Kooskõla poliitikavaldkonnas praegu kehtivate õigusnormidega</w:t>
      </w:r>
    </w:p>
    <w:p>
      <w:pPr>
        <w:rPr>
          <w:noProof/>
        </w:rPr>
      </w:pPr>
      <w:r>
        <w:rPr>
          <w:noProof/>
        </w:rPr>
        <w:t>Käesolev ettepanek edendab ühte kümnest komisjoni poolt aastateks 2015–2019 seatud poliitilisest prioriteedist, milleks on „vastastikusel usaldusel põhinev õigusruum ja põhiõigused“. Vastastikune usaldus on sätestatud solidaarsuse põhimõttes, millel põhineb otsus nr 1313/2013/EL, ning sellele antakse käesoleva ettepanekuga jagatud vastutuse ja aruandekohustuse kõrval suurem kaal.</w:t>
      </w:r>
    </w:p>
    <w:p>
      <w:pPr>
        <w:rPr>
          <w:noProof/>
        </w:rPr>
      </w:pPr>
      <w:r>
        <w:rPr>
          <w:noProof/>
        </w:rPr>
        <w:t>Kavandatavad muudatused on täielikult kooskõlas kaitsva Euroopa laiema eesmärgiga, mis on olnud komisjoni jõupinguste aluseks viimastel aastatel ning on seda jätkuvalt ka edaspidi. Käesolev ettepanek tugineb olemasoleva raamistiku headele tulemustele. Ettepaneku raames kavatsetakse puudused kõrvaldada tõhustatud sätete abil, et kõnealuses valdkonnas liikmesriikide meetmete toetamist, koordineerimist ja täiendamist ka tulevikus jätkata.</w:t>
      </w:r>
    </w:p>
    <w:p>
      <w:pPr>
        <w:pStyle w:val="ManualHeading2"/>
        <w:rPr>
          <w:rFonts w:eastAsia="Arial Unicode MS"/>
          <w:noProof/>
        </w:rPr>
      </w:pPr>
      <w:r>
        <w:rPr>
          <w:noProof/>
        </w:rPr>
        <w:t>•</w:t>
      </w:r>
      <w:r>
        <w:rPr>
          <w:noProof/>
        </w:rPr>
        <w:tab/>
        <w:t>Kooskõla muude liidu tegevuspõhimõtetega</w:t>
      </w:r>
    </w:p>
    <w:p>
      <w:pPr>
        <w:autoSpaceDE w:val="0"/>
        <w:autoSpaceDN w:val="0"/>
        <w:adjustRightInd w:val="0"/>
        <w:spacing w:before="0" w:after="240"/>
        <w:rPr>
          <w:noProof/>
        </w:rPr>
      </w:pPr>
      <w:r>
        <w:rPr>
          <w:noProof/>
        </w:rPr>
        <w:t>Läbivaadatud liidu mehhanismi raames kavandatavad meetmed on kooskõlas liidu üldise eesmärgiga tagada, et kõik asjaomased ELi tegevuspõhimõtted ja rahastamisvahendid aitaksid kaasa liidu suutlikkuse tugevdamisele õnnetuste ohu ohjamisel, hõlmates meetmeid õnnetuste ennetamisest, nendeks valmisoleku, neile reageerimise ja neist taastumiseni. Ettepanekus võetakse arvesse ka Euroopa Liidu lepingu artikli 3 lõikes 3 sätestatud eesmärki toetada liikmesriikidevahelist solidaarsust.</w:t>
      </w:r>
    </w:p>
    <w:p>
      <w:pPr>
        <w:autoSpaceDE w:val="0"/>
        <w:autoSpaceDN w:val="0"/>
        <w:adjustRightInd w:val="0"/>
        <w:spacing w:before="0" w:after="240"/>
        <w:rPr>
          <w:noProof/>
        </w:rPr>
      </w:pPr>
      <w:r>
        <w:rPr>
          <w:noProof/>
        </w:rPr>
        <w:t>Erilist tähelepanu pööratakse eelkõige sellele, et tagada tihe koordineerimine ning kooskõla selliste meetmetega, mida võetakse ELi muude tegevuspõhimõtete raames nagu kliimamuutustega kohanemine, ning rahastamisvahenditega, mida kasutatakse õnnetuste ennetamise ja katastroofiohu vähendamise valdkonnas. Sellisteks valdkondadeks on näiteks ühtekuuluvus, maaelu areng, teadusuuringud, tervishoid ning ränne ja julgeolekupoliitika. Samuti soovitakse ettepanekuga luua tugevamat sünergiat humanitaarabipoliitika raames, eelkõige väljaspool liitu aset leidvatele hädaolukordadele reageerimisel.</w:t>
      </w:r>
    </w:p>
    <w:p>
      <w:pPr>
        <w:autoSpaceDE w:val="0"/>
        <w:autoSpaceDN w:val="0"/>
        <w:adjustRightInd w:val="0"/>
        <w:spacing w:before="0" w:after="240"/>
        <w:rPr>
          <w:noProof/>
        </w:rPr>
      </w:pPr>
      <w:r>
        <w:rPr>
          <w:noProof/>
        </w:rPr>
        <w:t>Ükski liidu muude tegevusvaldkondade õigusakt ei suuda praegu käesoleva ettepanekuga seatud eesmärki täita. Samuti ei tohiks meetmed kohapeal üksteisega kattuda.</w:t>
      </w:r>
    </w:p>
    <w:p>
      <w:pPr>
        <w:pStyle w:val="ManualHeading1"/>
        <w:rPr>
          <w:noProof/>
        </w:rPr>
      </w:pPr>
      <w:r>
        <w:rPr>
          <w:noProof/>
        </w:rPr>
        <w:t>2.</w:t>
      </w:r>
      <w:r>
        <w:rPr>
          <w:noProof/>
        </w:rPr>
        <w:tab/>
        <w:t>ÕIGUSLIK ALUS, SUBSIDIAARSUS JA PROPORTSIONAALSUS</w:t>
      </w:r>
    </w:p>
    <w:p>
      <w:pPr>
        <w:pStyle w:val="ManualHeading2"/>
        <w:rPr>
          <w:rFonts w:eastAsia="Arial Unicode MS"/>
          <w:noProof/>
          <w:u w:color="000000"/>
          <w:bdr w:val="nil"/>
        </w:rPr>
      </w:pPr>
      <w:r>
        <w:rPr>
          <w:noProof/>
        </w:rPr>
        <w:t>•</w:t>
      </w:r>
      <w:r>
        <w:rPr>
          <w:noProof/>
        </w:rPr>
        <w:tab/>
        <w:t>Õiguslik alus</w:t>
      </w:r>
    </w:p>
    <w:p>
      <w:pPr>
        <w:autoSpaceDE w:val="0"/>
        <w:autoSpaceDN w:val="0"/>
        <w:adjustRightInd w:val="0"/>
        <w:spacing w:before="0" w:after="0"/>
        <w:rPr>
          <w:noProof/>
        </w:rPr>
      </w:pPr>
      <w:r>
        <w:rPr>
          <w:noProof/>
        </w:rPr>
        <w:t xml:space="preserve">Käesoleva ettepaneku õiguslik alus on Euroopa Liidu toimimise lepingu artikkel 196. </w:t>
      </w:r>
    </w:p>
    <w:p>
      <w:pPr>
        <w:pStyle w:val="ManualHeading2"/>
        <w:rPr>
          <w:rFonts w:eastAsia="Arial Unicode MS"/>
          <w:noProof/>
          <w:u w:color="000000"/>
          <w:bdr w:val="nil"/>
        </w:rPr>
      </w:pPr>
      <w:r>
        <w:rPr>
          <w:noProof/>
        </w:rPr>
        <w:t>•</w:t>
      </w:r>
      <w:r>
        <w:rPr>
          <w:noProof/>
        </w:rPr>
        <w:tab/>
        <w:t xml:space="preserve">Subsidiaarsus (ainupädevusse mittekuuluva valdkonna puhul) </w:t>
      </w:r>
    </w:p>
    <w:p>
      <w:pPr>
        <w:pBdr>
          <w:top w:val="nil"/>
          <w:left w:val="nil"/>
          <w:bottom w:val="nil"/>
          <w:right w:val="nil"/>
          <w:between w:val="nil"/>
          <w:bar w:val="nil"/>
        </w:pBdr>
        <w:spacing w:before="0" w:after="240"/>
        <w:rPr>
          <w:rFonts w:eastAsia="Arial Unicode MS"/>
          <w:bCs/>
          <w:noProof/>
        </w:rPr>
      </w:pPr>
      <w:r>
        <w:rPr>
          <w:noProof/>
        </w:rPr>
        <w:t xml:space="preserve">Liikmesriigid ei suuda üksinda tegutsedes käesoleva ettepaneku eesmärke täiel määral saavutada. Liidu mehhanism loodi seetõttu, et suurõnnetused võivad ületada üksi tegutseva liikmesriigi suutlikkuse piirid. Mehhanismi aluspõhimõtteks on liikmesriikide vahel hästi koordineeritud ja kiire vastastikuse abi osutamine. </w:t>
      </w:r>
    </w:p>
    <w:p>
      <w:pPr>
        <w:pBdr>
          <w:top w:val="nil"/>
          <w:left w:val="nil"/>
          <w:bottom w:val="nil"/>
          <w:right w:val="nil"/>
          <w:between w:val="nil"/>
          <w:bar w:val="nil"/>
        </w:pBdr>
        <w:spacing w:before="0" w:after="240"/>
        <w:rPr>
          <w:rFonts w:eastAsia="Arial Unicode MS"/>
          <w:bCs/>
          <w:noProof/>
        </w:rPr>
      </w:pPr>
      <w:r>
        <w:rPr>
          <w:noProof/>
        </w:rPr>
        <w:t>Lisaks sidususe ja lihtsustamise tagamisega seotud muudatustele nähakse käesolevas ettepanekus ette täiendavad võimalused õnnetusteks ettevalmistumise ja neile reageerimise kollektiivse suutlikkuse parandamiseks. See on eriti oluline õnnetuse või mitme üheaegse õnnetuse korral, mille mõju on kaugeleulatuv ja mis ületavad üheaegselt kriitilise hulga liikmesriikide suutlikkuse ning mis võib halvata nendevahelise vastastikuse abi osutamise. See kehtib ka vahendite puhul, mida oleks vaja oluliselt vähese tõenäosusega kuid suure mõjuga õnnetuse korral. Sellisel juhul on selge, et liikmesriik ei suuda üksi tagada piisavate meetmete võtmist ning seega peab EL vastavalt Euroopa Liidu toimimise lepingu artiklile 196 liikmesriigi tegevust toetama ja täiendama.</w:t>
      </w:r>
    </w:p>
    <w:p>
      <w:pPr>
        <w:pBdr>
          <w:top w:val="nil"/>
          <w:left w:val="nil"/>
          <w:bottom w:val="nil"/>
          <w:right w:val="nil"/>
          <w:between w:val="nil"/>
          <w:bar w:val="nil"/>
        </w:pBdr>
        <w:spacing w:before="0" w:after="240"/>
        <w:rPr>
          <w:rFonts w:eastAsia="Arial Unicode MS"/>
          <w:bCs/>
          <w:noProof/>
        </w:rPr>
      </w:pPr>
      <w:r>
        <w:rPr>
          <w:noProof/>
        </w:rPr>
        <w:t>Kui arvestada saadavat kasu väiksemate inimkaotuste ning keskkonna-, majandus- ja materiaalse kahju vähenemise näol, siis kaasneb ettepanekuga selge ELi lisaväärtus.</w:t>
      </w:r>
    </w:p>
    <w:p>
      <w:pPr>
        <w:pStyle w:val="ManualHeading2"/>
        <w:rPr>
          <w:rFonts w:eastAsia="Arial Unicode MS"/>
          <w:noProof/>
          <w:u w:color="000000"/>
          <w:bdr w:val="nil"/>
        </w:rPr>
      </w:pPr>
      <w:r>
        <w:rPr>
          <w:noProof/>
        </w:rPr>
        <w:t>•</w:t>
      </w:r>
      <w:r>
        <w:rPr>
          <w:noProof/>
        </w:rPr>
        <w:tab/>
        <w:t>Proportsionaalsus</w:t>
      </w:r>
    </w:p>
    <w:p>
      <w:pPr>
        <w:pBdr>
          <w:top w:val="nil"/>
          <w:left w:val="nil"/>
          <w:bottom w:val="nil"/>
          <w:right w:val="nil"/>
          <w:between w:val="nil"/>
          <w:bar w:val="nil"/>
        </w:pBdr>
        <w:spacing w:before="0" w:after="240"/>
        <w:rPr>
          <w:rFonts w:eastAsia="Arial Unicode MS"/>
          <w:bCs/>
          <w:noProof/>
        </w:rPr>
      </w:pPr>
      <w:r>
        <w:rPr>
          <w:noProof/>
        </w:rPr>
        <w:t>Ettepanek piirdub üksnes sellega, mis on vajalik eesmärkide saavutamiseks. Ettepanek on suunatud vahehindamise käigus ning muude hiljutiste, liidu mehhanismi käsitlevate dokumentide (eespool nimetatud Euroopa Kontrollikoja liidu mehhanismi käsitlev eriaruanne</w:t>
      </w:r>
      <w:r>
        <w:rPr>
          <w:rStyle w:val="FootnoteReference"/>
          <w:noProof/>
        </w:rPr>
        <w:footnoteReference w:id="5"/>
      </w:r>
      <w:r>
        <w:rPr>
          <w:noProof/>
        </w:rPr>
        <w:t>, Euroopa hädaolukordadele reageerimise suutlikkusega seoses tehtud edusamme ja allesjäänud puudujääke käsitlev komisjoni aruanne</w:t>
      </w:r>
      <w:r>
        <w:rPr>
          <w:rStyle w:val="FootnoteReference"/>
          <w:noProof/>
        </w:rPr>
        <w:footnoteReference w:id="6"/>
      </w:r>
      <w:r>
        <w:rPr>
          <w:noProof/>
        </w:rPr>
        <w:t xml:space="preserve"> ja ELi riskide ülevaade</w:t>
      </w:r>
      <w:r>
        <w:rPr>
          <w:rStyle w:val="FootnoteReference"/>
          <w:noProof/>
        </w:rPr>
        <w:footnoteReference w:id="7"/>
      </w:r>
      <w:r>
        <w:rPr>
          <w:noProof/>
        </w:rPr>
        <w:t>) raames kindlaks tehtud puuduste kõrvaldamisele ning selles esitatakse lahendused kooskõlas nõukogu ja Euroopa Parlamendi antud mandaadiga.</w:t>
      </w:r>
    </w:p>
    <w:p>
      <w:pPr>
        <w:pBdr>
          <w:top w:val="nil"/>
          <w:left w:val="nil"/>
          <w:bottom w:val="nil"/>
          <w:right w:val="nil"/>
          <w:between w:val="nil"/>
          <w:bar w:val="nil"/>
        </w:pBdr>
        <w:spacing w:before="0" w:after="240"/>
        <w:rPr>
          <w:rFonts w:eastAsia="Arial Unicode MS"/>
          <w:bCs/>
          <w:noProof/>
        </w:rPr>
      </w:pPr>
      <w:r>
        <w:rPr>
          <w:noProof/>
        </w:rPr>
        <w:t>Liidu ja liikmesriikide halduskoormus on vähene ega ületa ettepaneku eesmärkide saavutamiseks vajalikke piire. Lisaks sellele vähendab teatavate ELi kaasrahastamismäärade ühtlustamine ja teatavates valdkondades kaasrahastamise kaotamine halduskoormust.</w:t>
      </w:r>
    </w:p>
    <w:p>
      <w:pPr>
        <w:pStyle w:val="ManualHeading2"/>
        <w:rPr>
          <w:rFonts w:eastAsia="Arial Unicode MS"/>
          <w:noProof/>
          <w:u w:color="000000"/>
          <w:bdr w:val="nil"/>
        </w:rPr>
      </w:pPr>
      <w:r>
        <w:rPr>
          <w:noProof/>
        </w:rPr>
        <w:t>•</w:t>
      </w:r>
      <w:r>
        <w:rPr>
          <w:noProof/>
        </w:rPr>
        <w:tab/>
        <w:t>Vahendi valik</w:t>
      </w:r>
    </w:p>
    <w:p>
      <w:pPr>
        <w:pBdr>
          <w:top w:val="nil"/>
          <w:left w:val="nil"/>
          <w:bottom w:val="nil"/>
          <w:right w:val="nil"/>
          <w:between w:val="nil"/>
          <w:bar w:val="nil"/>
        </w:pBdr>
        <w:spacing w:before="0" w:after="240"/>
        <w:rPr>
          <w:noProof/>
        </w:rPr>
      </w:pPr>
      <w:r>
        <w:rPr>
          <w:noProof/>
        </w:rPr>
        <w:t>Otsuse ettepanek, millega muudetakse Euroopa Parlamendi ja nõukogu otsust nr 1313/2013/EL liidu kodanikukaitse mehhanismi kohta</w:t>
      </w:r>
    </w:p>
    <w:p>
      <w:pPr>
        <w:pStyle w:val="ManualHeading1"/>
        <w:rPr>
          <w:noProof/>
        </w:rPr>
      </w:pPr>
      <w:r>
        <w:rPr>
          <w:noProof/>
        </w:rPr>
        <w:t>3.</w:t>
      </w:r>
      <w:r>
        <w:rPr>
          <w:noProof/>
        </w:rPr>
        <w:tab/>
        <w:t>JÄRELHINDAMISE, SIDUSRÜHMADEGA KONSULTEERIMISE JA MÕJU HINDAMISE TULEMUSED</w:t>
      </w:r>
    </w:p>
    <w:p>
      <w:pPr>
        <w:pStyle w:val="ManualHeading2"/>
        <w:rPr>
          <w:rFonts w:eastAsia="Arial Unicode MS"/>
          <w:noProof/>
          <w:u w:color="000000"/>
          <w:bdr w:val="nil"/>
        </w:rPr>
      </w:pPr>
      <w:r>
        <w:rPr>
          <w:noProof/>
        </w:rPr>
        <w:t>•</w:t>
      </w:r>
      <w:r>
        <w:rPr>
          <w:noProof/>
        </w:rPr>
        <w:tab/>
        <w:t>Sidusrühmadega konsulteerimine</w:t>
      </w:r>
    </w:p>
    <w:p>
      <w:pPr>
        <w:spacing w:after="100" w:afterAutospacing="1"/>
        <w:rPr>
          <w:rFonts w:eastAsia="Arial Unicode MS"/>
          <w:bCs/>
          <w:noProof/>
        </w:rPr>
      </w:pPr>
      <w:r>
        <w:rPr>
          <w:noProof/>
        </w:rPr>
        <w:t>Puudused, mida käesoleva ettepaneku abil kõrvaldada soovitakse, tehti kindlaks tegevuse käigus ning hiljuti liidu mehhanismi vahehindamise raames korraldatud laiahaardelise sidusrühmadega konsulteerimise</w:t>
      </w:r>
      <w:r>
        <w:rPr>
          <w:rStyle w:val="FootnoteReference"/>
          <w:noProof/>
        </w:rPr>
        <w:footnoteReference w:id="8"/>
      </w:r>
      <w:r>
        <w:rPr>
          <w:noProof/>
        </w:rPr>
        <w:t xml:space="preserve"> tulemuste abil. Viimase üldine eesmärk oli anda kõigile asjaomastele sidusrühmadele võimalus väljendada arvamust liidu mehhanismi tegevuse kohta selle rakendamise algetapis. Konkreetsed eesmärgid olid järgmised: </w:t>
      </w:r>
    </w:p>
    <w:p>
      <w:pPr>
        <w:pStyle w:val="Point1letter"/>
        <w:numPr>
          <w:ilvl w:val="3"/>
          <w:numId w:val="10"/>
        </w:numPr>
        <w:rPr>
          <w:noProof/>
        </w:rPr>
      </w:pPr>
      <w:r>
        <w:rPr>
          <w:noProof/>
        </w:rPr>
        <w:t>koguda Euroopa kodanike seisukohti ja arvamusi liidu mehhanismi abil siiani saavutatud tulemuste kohta;</w:t>
      </w:r>
    </w:p>
    <w:p>
      <w:pPr>
        <w:pStyle w:val="Point1letter"/>
        <w:rPr>
          <w:noProof/>
        </w:rPr>
      </w:pPr>
      <w:r>
        <w:rPr>
          <w:noProof/>
        </w:rPr>
        <w:t>määrata kindlaks, kuidas nähakse üle ELi õnnetuste ohu ohjamisega seotud erinevate prioriteetide tähtsust;</w:t>
      </w:r>
    </w:p>
    <w:p>
      <w:pPr>
        <w:pStyle w:val="Point1letter"/>
        <w:rPr>
          <w:noProof/>
        </w:rPr>
      </w:pPr>
      <w:r>
        <w:rPr>
          <w:noProof/>
        </w:rPr>
        <w:t>saada liidu mehhanismi esmaste sidusrühmade käest sihtotstarbelist tagasisidet ja tehnilist nõu;</w:t>
      </w:r>
    </w:p>
    <w:p>
      <w:pPr>
        <w:pStyle w:val="Point1letter"/>
        <w:rPr>
          <w:noProof/>
        </w:rPr>
      </w:pPr>
      <w:r>
        <w:rPr>
          <w:noProof/>
        </w:rPr>
        <w:t>koguda liidu mehhanismi vahehindamist toetavaid tõendeid kõigi peamiste hindamiskriteeriumide jaoks.</w:t>
      </w:r>
    </w:p>
    <w:p>
      <w:pPr>
        <w:rPr>
          <w:rFonts w:eastAsia="Arial Unicode MS"/>
          <w:bCs/>
          <w:noProof/>
        </w:rPr>
      </w:pPr>
      <w:r>
        <w:rPr>
          <w:noProof/>
        </w:rPr>
        <w:t>Konsulteerimise käigus küsitleti nelja peamist sidusrühmade gruppi:</w:t>
      </w:r>
    </w:p>
    <w:p>
      <w:pPr>
        <w:pStyle w:val="Tiret0"/>
        <w:numPr>
          <w:ilvl w:val="0"/>
          <w:numId w:val="11"/>
        </w:numPr>
        <w:rPr>
          <w:noProof/>
        </w:rPr>
      </w:pPr>
      <w:r>
        <w:rPr>
          <w:noProof/>
        </w:rPr>
        <w:t>Liidu mehhanismi rakendavad üksused: liikmesriikide kodanikukaitseasutused, kes osalevad moodulite ja/või ekspertide kaudu Euroopa hädaolukordadele reageerimise suutlikkuse arendamises; liikmesriikide muud kodanikukaitseasutused; osalevate riikide kodanikukaitseasutused</w:t>
      </w:r>
      <w:r>
        <w:rPr>
          <w:rStyle w:val="FootnoteReference"/>
          <w:noProof/>
        </w:rPr>
        <w:footnoteReference w:id="9"/>
      </w:r>
      <w:r>
        <w:rPr>
          <w:noProof/>
        </w:rPr>
        <w:t>.</w:t>
      </w:r>
    </w:p>
    <w:p>
      <w:pPr>
        <w:pStyle w:val="Tiret0"/>
        <w:rPr>
          <w:noProof/>
        </w:rPr>
      </w:pPr>
      <w:r>
        <w:rPr>
          <w:noProof/>
        </w:rPr>
        <w:t>Liidu kodanikukaitse mehhanismist mõjutatud üksused: liidu kodanikukaitse mehhanismist abi saanud vastuvõtvad riigid (EL, läbirääkijariigid, Euroopa naabruses asuvad riigid ja muud kolmandad riigid), Euroopa Parlament, Regioonide Komitee, kohalikud ametiasutused.</w:t>
      </w:r>
    </w:p>
    <w:p>
      <w:pPr>
        <w:pStyle w:val="Tiret0"/>
        <w:rPr>
          <w:noProof/>
        </w:rPr>
      </w:pPr>
      <w:r>
        <w:rPr>
          <w:noProof/>
        </w:rPr>
        <w:t>Liidu kodanikukaitse mehhanismi vastu huvi väljendanud üksused: liikmesriikide muud ametiasutused, osalevate riikide muud ametiasutused, ÜRO ametid, Maailmapank, vabaühendused, erasektor, fondid, jne.</w:t>
      </w:r>
    </w:p>
    <w:p>
      <w:pPr>
        <w:pStyle w:val="Tiret0"/>
        <w:rPr>
          <w:noProof/>
        </w:rPr>
      </w:pPr>
      <w:r>
        <w:rPr>
          <w:noProof/>
        </w:rPr>
        <w:t>Liidu kodanikukaitse mehhanismi jaoks vajalikke teadmisi omavad üksused (nt õnnetuste ohu ohjamine): ülikoolid/tippkeskused ja mõttekojad, peamiselt erasektoris.</w:t>
      </w:r>
    </w:p>
    <w:p>
      <w:pPr>
        <w:pStyle w:val="ManualHeading2"/>
        <w:rPr>
          <w:rFonts w:eastAsia="Arial Unicode MS"/>
          <w:noProof/>
          <w:u w:color="000000"/>
          <w:bdr w:val="nil"/>
        </w:rPr>
      </w:pPr>
      <w:r>
        <w:rPr>
          <w:noProof/>
        </w:rPr>
        <w:t>•</w:t>
      </w:r>
      <w:r>
        <w:rPr>
          <w:noProof/>
        </w:rPr>
        <w:tab/>
        <w:t>Eksperdiarvamuste kogumine ja kasutamine</w:t>
      </w:r>
    </w:p>
    <w:p>
      <w:pPr>
        <w:spacing w:after="240"/>
        <w:rPr>
          <w:rFonts w:eastAsia="Arial Unicode MS"/>
          <w:bCs/>
          <w:noProof/>
        </w:rPr>
      </w:pPr>
      <w:r>
        <w:rPr>
          <w:noProof/>
        </w:rPr>
        <w:t>Käesoleva ettepaneku aluseks olev vahehindamine teostati välishindaja poolt ajavahemikus 2016. aasta septembrist 2017. aasta juunini. Vahehindamise aluseks on osalevate riikidega (kodanikukaitse komitees, kodanikukaitse nõukogu töörühmas ja peadirektorite kohtumistel) peetud aruteludes saadud vastused ning selles võeti arvesse avaliku konsultatsiooni, Euroopa Kontrollikoja liidu kodanikukaitse mehhanismi käsitleva eriaruande ning Euroopa hädaolukordadele reageerimise suutlikkusega seoses tehtud edusamme ja allesjäänud puudujääke käsitleva komisjoni aruande kaudu saadud andmeid.</w:t>
      </w:r>
    </w:p>
    <w:p>
      <w:pPr>
        <w:spacing w:before="60" w:after="60"/>
        <w:rPr>
          <w:rFonts w:eastAsia="Arial Unicode MS"/>
          <w:bCs/>
          <w:noProof/>
        </w:rPr>
      </w:pPr>
      <w:r>
        <w:rPr>
          <w:noProof/>
        </w:rPr>
        <w:t xml:space="preserve">Hindamine koosnes kolmest etapist: </w:t>
      </w:r>
    </w:p>
    <w:p>
      <w:pPr>
        <w:pStyle w:val="Point1"/>
        <w:rPr>
          <w:noProof/>
        </w:rPr>
      </w:pPr>
      <w:r>
        <w:rPr>
          <w:i/>
          <w:noProof/>
        </w:rPr>
        <w:t>i)</w:t>
      </w:r>
      <w:r>
        <w:rPr>
          <w:noProof/>
        </w:rPr>
        <w:tab/>
      </w:r>
      <w:r>
        <w:rPr>
          <w:i/>
          <w:noProof/>
        </w:rPr>
        <w:t>ettevalmistus</w:t>
      </w:r>
      <w:r>
        <w:rPr>
          <w:noProof/>
        </w:rPr>
        <w:t>, liidu kodanikukaitse mehhanismi tegevuse dokumentaalne hindamine ja vastutavate ametnike küsitlemine;</w:t>
      </w:r>
    </w:p>
    <w:p>
      <w:pPr>
        <w:pStyle w:val="Point1"/>
        <w:rPr>
          <w:noProof/>
        </w:rPr>
      </w:pPr>
      <w:r>
        <w:rPr>
          <w:noProof/>
        </w:rPr>
        <w:t>ii)</w:t>
      </w:r>
      <w:r>
        <w:rPr>
          <w:noProof/>
        </w:rPr>
        <w:tab/>
      </w:r>
      <w:r>
        <w:rPr>
          <w:i/>
          <w:noProof/>
        </w:rPr>
        <w:t>uurimine</w:t>
      </w:r>
      <w:r>
        <w:rPr>
          <w:noProof/>
        </w:rPr>
        <w:t>, sealhulgas liidu kodanikukaitse mehhanismi peamiste sidusrühmade</w:t>
      </w:r>
      <w:r>
        <w:rPr>
          <w:rStyle w:val="FootnoteReference"/>
          <w:noProof/>
        </w:rPr>
        <w:footnoteReference w:id="10"/>
      </w:r>
      <w:r>
        <w:rPr>
          <w:noProof/>
        </w:rPr>
        <w:t xml:space="preserve"> suunatud konsulteerimine veebipõhiste uuringute, silmast silma ja telefoniintervjuude ning kolme juhtuuringu (Küprose metsatulekahjud, Eesti moodulõppus ja rändekriis) kaudu.</w:t>
      </w:r>
    </w:p>
    <w:p>
      <w:pPr>
        <w:pStyle w:val="Point1"/>
        <w:rPr>
          <w:noProof/>
        </w:rPr>
      </w:pPr>
      <w:r>
        <w:rPr>
          <w:noProof/>
        </w:rPr>
        <w:t>iii)</w:t>
      </w:r>
      <w:r>
        <w:rPr>
          <w:noProof/>
        </w:rPr>
        <w:tab/>
      </w:r>
      <w:r>
        <w:rPr>
          <w:i/>
          <w:noProof/>
        </w:rPr>
        <w:t>analüüs ja süntees</w:t>
      </w:r>
      <w:r>
        <w:rPr>
          <w:noProof/>
        </w:rPr>
        <w:t xml:space="preserve">, sealhulgas andmete triangulatsioon ning järelduste ja soovituste ettevalmistamine ja koostamine. </w:t>
      </w:r>
    </w:p>
    <w:p>
      <w:pPr>
        <w:spacing w:before="60" w:after="60"/>
        <w:rPr>
          <w:rFonts w:eastAsia="Arial Unicode MS"/>
          <w:bCs/>
          <w:noProof/>
        </w:rPr>
      </w:pPr>
      <w:r>
        <w:rPr>
          <w:noProof/>
        </w:rPr>
        <w:t>Veebis korraldati kolme kuu vältel (2016. aasta novembrist 2017. aasta veebruarini) eespool nimetatud avatud avalik konsultatsioon, millel osales ligikaudu 130 vastajat kõikjalt Euroopast, kes andsid tagasisidet liidu kodanikukaitse mehhanismi kohta. Avatud avaliku konsultatsiooni tulemuste aruanne avaldati 2017. aasta märtsi lõpus</w:t>
      </w:r>
      <w:r>
        <w:rPr>
          <w:rStyle w:val="FootnoteReference"/>
          <w:noProof/>
        </w:rPr>
        <w:footnoteReference w:id="11"/>
      </w:r>
      <w:r>
        <w:rPr>
          <w:noProof/>
        </w:rPr>
        <w:t>.</w:t>
      </w:r>
    </w:p>
    <w:p>
      <w:pPr>
        <w:pStyle w:val="ManualHeading2"/>
        <w:rPr>
          <w:rFonts w:eastAsia="Arial Unicode MS"/>
          <w:noProof/>
          <w:u w:color="000000"/>
          <w:bdr w:val="nil"/>
        </w:rPr>
      </w:pPr>
      <w:r>
        <w:rPr>
          <w:noProof/>
        </w:rPr>
        <w:tab/>
        <w:t>Mõju hindamine</w:t>
      </w:r>
    </w:p>
    <w:p>
      <w:pPr>
        <w:pStyle w:val="Text1"/>
        <w:ind w:left="0"/>
        <w:rPr>
          <w:noProof/>
        </w:rPr>
      </w:pPr>
      <w:r>
        <w:rPr>
          <w:noProof/>
        </w:rPr>
        <w:t>Kõnealuse ettepanekuga seoses mõjuhindamist ei teostatud, kuna tulenevalt Euroopa tasandil esinevast kriitilise tähtsusega vahendite puudusest, mille tõestuseks on eelkõige 2017. aasta metsatulekahjude hooaeg, on kavandatud muudatuste rakendamine äärmiselt hädavajalik. Need puudused on oluliselt mõjutanud ELi reageerimist õnnetustele ning on kaasa toonud suurel hulgal kannatanuid, raskeid majanduslikke tagajärgi ja kahju keskkonnale.</w:t>
      </w:r>
    </w:p>
    <w:p>
      <w:pPr>
        <w:pStyle w:val="ManualHeading2"/>
        <w:rPr>
          <w:rFonts w:eastAsia="Arial Unicode MS"/>
          <w:noProof/>
          <w:u w:color="000000"/>
          <w:bdr w:val="nil"/>
        </w:rPr>
      </w:pPr>
      <w:r>
        <w:rPr>
          <w:noProof/>
        </w:rPr>
        <w:t>•</w:t>
      </w:r>
      <w:r>
        <w:rPr>
          <w:noProof/>
        </w:rPr>
        <w:tab/>
        <w:t>Õigusnormide toimivus ja lihtsustamine</w:t>
      </w:r>
    </w:p>
    <w:p>
      <w:pPr>
        <w:spacing w:before="0" w:after="240"/>
        <w:rPr>
          <w:noProof/>
        </w:rPr>
      </w:pPr>
      <w:r>
        <w:rPr>
          <w:noProof/>
        </w:rPr>
        <w:t xml:space="preserve">Kavandatud muutmine on oma ulatuselt ja laadilt piiratud, tasakaalustab liikmesriikide huve ning on operatiivtegevuseks nõutavaga kooskõlas. </w:t>
      </w:r>
    </w:p>
    <w:p>
      <w:pPr>
        <w:spacing w:before="0" w:after="240"/>
        <w:rPr>
          <w:noProof/>
        </w:rPr>
      </w:pPr>
      <w:r>
        <w:rPr>
          <w:noProof/>
        </w:rPr>
        <w:t>Kuna tegemist on kehtiva õigusakti muutmisega, on komisjon kaalunud võimalusi, kuidas koormust lihtsustada ja vähendada. Kuigi tehti kindlaks mitmed lihtsustamismeetmed, on nende kvantifitseerimine andmete piiratud kättesaadavuse tõttu pingelise ajakava tingimustes võimatu.</w:t>
      </w:r>
    </w:p>
    <w:p>
      <w:pPr>
        <w:spacing w:before="0" w:after="240"/>
        <w:rPr>
          <w:noProof/>
        </w:rPr>
      </w:pPr>
      <w:r>
        <w:rPr>
          <w:noProof/>
        </w:rPr>
        <w:t xml:space="preserve">Käesoleva ettepanekuga vähendatakse bürokraatiat, võttes seoses transpordikulude kaasrahastamisega kasutusele otsesed viited ühikuhindadele, ühekordsetele maksetele ja kindlamääralistele maksetele. Lisaks sellele lihtsustatakse kaasrahastamiseeskirju ühtlustades olemasolevaid haldusmenetlusi. </w:t>
      </w:r>
    </w:p>
    <w:p>
      <w:pPr>
        <w:spacing w:before="0" w:after="240"/>
        <w:rPr>
          <w:noProof/>
        </w:rPr>
      </w:pPr>
      <w:r>
        <w:rPr>
          <w:noProof/>
        </w:rPr>
        <w:t xml:space="preserve">Üldisemalt on käesoleva ettepaneku eesmärk ajakohastada operatiivmenetlusi, et tagada nende asjakohasus, paindlikkus ning arusaadavus ja rakendamislihtsus, tagades nii, et liikmesriigid oleksid suutelised liidu mehhanismi abi ja tuge vajaduse korral vastu võtma. Hiljutised õnnetused on näiteks näidanud, et liit ei pruugi olla hädaolukordadeks piisavalt hästi varustatud, kui ulatuslikud õnnetused mõjutavad mitut liikmesriiki samaaegselt (nt metsa- või maastikutulekahjud, äärmuslikud ilmastikutingimused, ulatuslikud üleujutused, maavärinad, epideemiad (nt ebola), terrorirünnakud). Sellises olukorras ei ole liikmesriigid alati suutelised abi pakkuma. </w:t>
      </w:r>
    </w:p>
    <w:p>
      <w:pPr>
        <w:pStyle w:val="ManualHeading1"/>
        <w:rPr>
          <w:noProof/>
        </w:rPr>
      </w:pPr>
      <w:r>
        <w:rPr>
          <w:noProof/>
        </w:rPr>
        <w:t>4.</w:t>
      </w:r>
      <w:r>
        <w:rPr>
          <w:noProof/>
        </w:rPr>
        <w:tab/>
        <w:t>MÕJU EELARVELE</w:t>
      </w:r>
    </w:p>
    <w:p>
      <w:pPr>
        <w:pBdr>
          <w:top w:val="nil"/>
          <w:left w:val="nil"/>
          <w:bottom w:val="nil"/>
          <w:right w:val="nil"/>
          <w:between w:val="nil"/>
          <w:bar w:val="nil"/>
        </w:pBdr>
        <w:spacing w:before="0" w:after="240"/>
        <w:rPr>
          <w:noProof/>
        </w:rPr>
      </w:pPr>
      <w:r>
        <w:rPr>
          <w:noProof/>
        </w:rPr>
        <w:t>Vastavalt otsuse nr 1313/2013 artiklis 19 sätestatule on rahastamispakett liidu mehhanismi mitmeaastase finantsraamistiku perioodil 2014–2020 rakendamiseks 368,4 miljonit eurot. Sellest summast 223,8 miljonit eurot saadakse rubriigist 3 „Julgeolek ja kodakondsus“ ning 144,6 miljonit eurot rubriigist 4 „Globaalne Euroopa“. Lisaks sellele kaetakse rubriigist 5 ligikaudu 52,5 miljoni euro ulatuses haldus- ja personalikulusid.</w:t>
      </w:r>
    </w:p>
    <w:p>
      <w:pPr>
        <w:pBdr>
          <w:top w:val="nil"/>
          <w:left w:val="nil"/>
          <w:bottom w:val="nil"/>
          <w:right w:val="nil"/>
          <w:between w:val="nil"/>
          <w:bar w:val="nil"/>
        </w:pBdr>
        <w:spacing w:before="0" w:after="240"/>
        <w:rPr>
          <w:noProof/>
        </w:rPr>
      </w:pPr>
      <w:r>
        <w:rPr>
          <w:noProof/>
        </w:rPr>
        <w:t>Selleks, et saavutada eespool 1. jaos seatud eesmärgid ehk:</w:t>
      </w:r>
    </w:p>
    <w:p>
      <w:pPr>
        <w:pStyle w:val="Tiret0"/>
        <w:rPr>
          <w:noProof/>
        </w:rPr>
      </w:pPr>
      <w:r>
        <w:rPr>
          <w:noProof/>
        </w:rPr>
        <w:t xml:space="preserve">liikmesriikide ja liidu õnnetustele reageerimise kollektiivse suutlikkuse tõhustamine reageerimissuutlikkuse sihtotstarbelise reservi loomise abil, mida juhib ja kontrollib komisjon (rescEU), </w:t>
      </w:r>
    </w:p>
    <w:p>
      <w:pPr>
        <w:pStyle w:val="Tiret0"/>
        <w:rPr>
          <w:noProof/>
        </w:rPr>
      </w:pPr>
      <w:r>
        <w:rPr>
          <w:noProof/>
        </w:rPr>
        <w:t>kõrgemad suutlikkuse kaasrahastamismäärad (75 %), mis antakse Euroopa reservi käsutusse. See hõlmab kohandamis-, remondi-, transpordi- ja tegevuskulusid;</w:t>
      </w:r>
    </w:p>
    <w:p>
      <w:pPr>
        <w:pStyle w:val="Tiret0"/>
        <w:rPr>
          <w:noProof/>
        </w:rPr>
      </w:pPr>
      <w:r>
        <w:rPr>
          <w:noProof/>
        </w:rPr>
        <w:t>keskendumist senisest enam ennetamisele ja sidususe tugevdamist teiste ELi tegevuspõhimõtetega ning</w:t>
      </w:r>
    </w:p>
    <w:p>
      <w:pPr>
        <w:pStyle w:val="Tiret0"/>
        <w:rPr>
          <w:noProof/>
        </w:rPr>
      </w:pPr>
      <w:r>
        <w:rPr>
          <w:noProof/>
        </w:rPr>
        <w:t>koostöö tihendamist naaberriikidega.</w:t>
      </w:r>
    </w:p>
    <w:p>
      <w:pPr>
        <w:pBdr>
          <w:top w:val="nil"/>
          <w:left w:val="nil"/>
          <w:bottom w:val="nil"/>
          <w:right w:val="nil"/>
          <w:between w:val="nil"/>
          <w:bar w:val="nil"/>
        </w:pBdr>
        <w:rPr>
          <w:noProof/>
        </w:rPr>
      </w:pPr>
      <w:r>
        <w:rPr>
          <w:noProof/>
        </w:rPr>
        <w:t xml:space="preserve">Käesoleva ettepanekuga soovitakse suurendada liidu mehhanismi rahastamispaketti aastatel 2018–2020 täiendavalt 280 miljoni euro võrra. </w:t>
      </w:r>
    </w:p>
    <w:p>
      <w:pPr>
        <w:pStyle w:val="ManualHeading1"/>
        <w:rPr>
          <w:noProof/>
        </w:rPr>
      </w:pPr>
      <w:r>
        <w:rPr>
          <w:noProof/>
        </w:rPr>
        <w:t>5.</w:t>
      </w:r>
      <w:r>
        <w:rPr>
          <w:noProof/>
        </w:rPr>
        <w:tab/>
        <w:t>MUU TEAVE</w:t>
      </w:r>
    </w:p>
    <w:p>
      <w:pPr>
        <w:pStyle w:val="ManualHeading2"/>
        <w:rPr>
          <w:rFonts w:eastAsia="Arial Unicode MS"/>
          <w:noProof/>
          <w:u w:color="000000"/>
          <w:bdr w:val="nil"/>
        </w:rPr>
      </w:pPr>
      <w:r>
        <w:rPr>
          <w:noProof/>
        </w:rPr>
        <w:t>•</w:t>
      </w:r>
      <w:r>
        <w:rPr>
          <w:noProof/>
        </w:rPr>
        <w:tab/>
        <w:t>Rakenduskavad ning järelevalve, hindamise ja aruandluse kord</w:t>
      </w:r>
    </w:p>
    <w:p>
      <w:pPr>
        <w:pBdr>
          <w:top w:val="nil"/>
          <w:left w:val="nil"/>
          <w:bottom w:val="nil"/>
          <w:right w:val="nil"/>
          <w:between w:val="nil"/>
          <w:bar w:val="nil"/>
        </w:pBdr>
        <w:spacing w:before="0" w:after="240"/>
        <w:rPr>
          <w:rFonts w:cs="EUAlbertina"/>
          <w:noProof/>
          <w:sz w:val="19"/>
          <w:szCs w:val="19"/>
        </w:rPr>
      </w:pPr>
      <w:r>
        <w:rPr>
          <w:noProof/>
        </w:rPr>
        <w:t>Kohaldatakse otsuse nr 1313/2013/EL artikli 34 lõiget 2 liidu kodanikukaitse mehhanismi kohta. Selles sätestatakse, et rahalist abi saavate meetmete suhtes teostatakse korrapärast järelevalvet, et jälgida nende rakendamist. Samas sätestatakse ka üldisemad nõuded, mille kohaselt peab komisjon hindama otsuse kohaldamist ning esitama vahe- ja järelhindamisaruanded ning samuti teatise otsuse rakendamise kohta. Selliste hindamiste aluseks tuleks võtta otsuse artiklis 3 esitatud näitajad.</w:t>
      </w:r>
    </w:p>
    <w:p>
      <w:pPr>
        <w:pStyle w:val="ManualHeading2"/>
        <w:rPr>
          <w:rFonts w:eastAsia="Arial Unicode MS"/>
          <w:noProof/>
          <w:u w:color="000000"/>
          <w:bdr w:val="nil"/>
        </w:rPr>
      </w:pPr>
      <w:r>
        <w:rPr>
          <w:noProof/>
        </w:rPr>
        <w:t>•</w:t>
      </w:r>
      <w:r>
        <w:rPr>
          <w:noProof/>
        </w:rPr>
        <w:tab/>
        <w:t>Ettepaneku sätete üksikasjalik selgitus</w:t>
      </w:r>
    </w:p>
    <w:p>
      <w:pPr>
        <w:pBdr>
          <w:top w:val="nil"/>
          <w:left w:val="nil"/>
          <w:bottom w:val="nil"/>
          <w:right w:val="nil"/>
          <w:between w:val="nil"/>
          <w:bar w:val="nil"/>
        </w:pBdr>
        <w:spacing w:before="0" w:after="240"/>
        <w:rPr>
          <w:noProof/>
        </w:rPr>
      </w:pPr>
      <w:r>
        <w:rPr>
          <w:noProof/>
        </w:rPr>
        <w:t>Käesoleva ettepanekuga muudetakse piiratud arvul otsuse nr 1313/2013/EL artikleid, et saavutada eespool seatud eesmärgid.</w:t>
      </w:r>
    </w:p>
    <w:p>
      <w:pPr>
        <w:pBdr>
          <w:top w:val="nil"/>
          <w:left w:val="nil"/>
          <w:bottom w:val="nil"/>
          <w:right w:val="nil"/>
          <w:between w:val="nil"/>
          <w:bar w:val="nil"/>
        </w:pBdr>
        <w:spacing w:before="0" w:after="240"/>
        <w:rPr>
          <w:noProof/>
        </w:rPr>
      </w:pPr>
      <w:r>
        <w:rPr>
          <w:noProof/>
        </w:rPr>
        <w:t>Esimene eesmärk, st õnnetustele reageerimise kollektiivse suutlikkuse tõhustamine ja liikmesriikide toetamine õnnetuste tagajärgedega hakkamasaamisel, mis on viimastel aastatel tavapärasemast enam mõjutanud Euroopa sotsiaalset struktuuri (tulekahjude õhust kustutamise suutlikkus, suure võimsusega pumbad, otsingu- ja päästetööd linnas, välihaiglad ja erakorralise meditsiini rühmad), saavutatakse järgmiste vahendite abil:</w:t>
      </w:r>
    </w:p>
    <w:p>
      <w:pPr>
        <w:pStyle w:val="Tiret0"/>
        <w:rPr>
          <w:noProof/>
        </w:rPr>
      </w:pPr>
      <w:r>
        <w:rPr>
          <w:noProof/>
        </w:rPr>
        <w:t xml:space="preserve">Sihtotstarbelise reservi loomine: rescEU. Käesoleva ettepanekuga lubatakse komisjonil sõnaselgelt soetada endale operatiivvahendid ning seada sisse kord, millega tagatakse nendele vahenditele kiire juurdepääs, et luua sihtotstarbeline reserv, mis aitab katta olemasolevaid puudusi liikmesriikide tasandil. ELi kokkulepete alusel renditud või liisitud vahendid või täielikult ELi vahenditega soetatud vahendid muutuvad rescEU osaks. EL katab kõik kõnealuste vahenditega seonduvad kulud ning vastutab nende juhtimise ja kontrolli eest ning otsustab nende kasutamise üle kohe kui mehhanism tööle rakendub. Täiendavad suutlikkused tehakse kindlaks rescEU eksperdirühmaga konsulteerides. </w:t>
      </w:r>
    </w:p>
    <w:p>
      <w:pPr>
        <w:pStyle w:val="Tiret0"/>
        <w:rPr>
          <w:noProof/>
        </w:rPr>
      </w:pPr>
      <w:r>
        <w:rPr>
          <w:noProof/>
        </w:rPr>
        <w:t>Euroopa hädaolukordadele reageerimise suutlikkuse tõhustamine, kuhu liikmesriigid saavad ennetavalt eraldada riiklikke reageerimisvahendeid (nt keemilise, bioloogilise, kiirgus- ja tuumaohu tuvastamine ja proovide võtmine, veepuhastus, metsatulekahjude kustutamine maastikul, paatidega päästetööd üleujutuse korral ning muud vahendid nagu mobiilsed laboratooriumid) saavad jätkuvalt olema liidu mehhanismi tuumikuks, mis hakkab kandma nime Euroopa kodanikukaitse ühisressurss. Käesolevas ettepanekus vaadatakse läbi stiimulite süsteem Euroopa kodanikukaitse ühisressursile vahendite eraldamiseks, suurendades selleks kaasrahastamise määrasid ning abikõlblike kulude liikide arvu. Uue ettepaneku kohaselt kaetakse Euroopa kodanikukaitse ühisressurssi suunatud vahendite puhul 75 % kõigist ELi piires liidu mehhanismi operatsioonide käigus tekkinud kuludest, sealhulgas kohandamis-, parandamis-, transpordi- ja tegevuskulud.</w:t>
      </w:r>
    </w:p>
    <w:p>
      <w:pPr>
        <w:pBdr>
          <w:top w:val="nil"/>
          <w:left w:val="nil"/>
          <w:bottom w:val="nil"/>
          <w:right w:val="nil"/>
          <w:between w:val="nil"/>
          <w:bar w:val="nil"/>
        </w:pBdr>
        <w:spacing w:before="0" w:after="240"/>
        <w:rPr>
          <w:noProof/>
        </w:rPr>
      </w:pPr>
      <w:r>
        <w:rPr>
          <w:noProof/>
        </w:rPr>
        <w:t>Kõik vahendid, mida kaasrahastataks mingis vormis ELi vahenditest, tuleb liita Euroopa kodanikukaitse ühisressursiga. Süsteemi lihtsustamiseks ning vahendite kättesaadavuse prognoositavuse parandamiseks ei anta Euroopa kodanikukaitse ühisressursist väljapoole jäävatele vahenditele enam rahalist abi. Lisaks sellele on lisatud tõhustatud stiimulid suutlikkuste ühendamiseks (nt komisjon katab „ressursiga liidetava“ abi transpordikulud ühest liikmesriigist teise ning sellise abi transiidi- ja ladustamiskulud kolmandates riikides).</w:t>
      </w:r>
    </w:p>
    <w:p>
      <w:pPr>
        <w:pBdr>
          <w:top w:val="nil"/>
          <w:left w:val="nil"/>
          <w:bottom w:val="nil"/>
          <w:right w:val="nil"/>
          <w:between w:val="nil"/>
          <w:bar w:val="nil"/>
        </w:pBdr>
        <w:spacing w:before="0" w:after="240"/>
        <w:rPr>
          <w:noProof/>
        </w:rPr>
      </w:pPr>
      <w:r>
        <w:rPr>
          <w:noProof/>
        </w:rPr>
        <w:t xml:space="preserve">Teise eesmärgiga seoses on ennetamise, valmisoleku ja reageerimise vahelisi seoseid tõhustatud, ühendades riskihindamise riskijuhtimise planeerimisega ning nõudes liikmesriikidelt, et need esitaksid oma riskijuhtimiskavad komisjonile hiljemalt 31. jaanuariks 2019. Tagamaks, et kõigil liikmesriikidel on olemas tõhusad ennetusmeetmed ning et rescEU ei hakkaks asendama liikmesriikide enda suutlikkust, saab komisjon õiguse nõuda ühelt või mitmelt liikmesriigilt spetsiaalsete ennetus- või valmisolekukavade esitamist. Ennetuskavad peavad sisaldama lisaks lühiajalistele ennetusmeetmetele ka pikaajalisi meetmeid, mis hõlmavad üldist kohanemist kliimamuutuste üha suurema mõjuga. Lisaks sellele peaks tuleviku stsenaariumide kavandamise aluseks olema riskihindamised ja vahendite kasutamised, luues nii ennetamise, valmisoleku ja reageerimise vahele tugevama tõelise seose. </w:t>
      </w:r>
    </w:p>
    <w:p>
      <w:pPr>
        <w:pBdr>
          <w:top w:val="nil"/>
          <w:left w:val="nil"/>
          <w:bottom w:val="nil"/>
          <w:right w:val="nil"/>
          <w:between w:val="nil"/>
          <w:bar w:val="nil"/>
        </w:pBdr>
        <w:spacing w:before="0" w:after="240"/>
        <w:rPr>
          <w:noProof/>
        </w:rPr>
      </w:pPr>
      <w:r>
        <w:rPr>
          <w:noProof/>
        </w:rPr>
        <w:t>Tõhustatakse ka sidusust teiste õnnetuse ohu ennetamist ja ohjamist käsitlevate liidu õigusaktidega, luues seose kõnealuse mehhanismi ja sidususe, maaeluarengu, tervishoiu ja teadusuuringute vahel. Liikmesriikide poolt ennetamise ja valmisoleku valdkonnas tehtud edusammud aitavad teha kõnealuses valdkonnas rahastamisotsuseid. Lisaks sellele parandatakse ka liidu mehhanismi ja muude liidu õigusaktide (nagu humanitaarabi määrus) alusel antava rahalise abi täiendavust ja/või sünkroonsust, et luua sidusus õnnetustele reageerimise valdkonnaga kokkupuutuvate ELi muude tegevuspõhimõtetega. Selles kontekstis tagatakse erandiga määruse (EL, Euratom) 966/2012</w:t>
      </w:r>
      <w:r>
        <w:rPr>
          <w:rStyle w:val="FootnoteReference"/>
          <w:noProof/>
        </w:rPr>
        <w:footnoteReference w:id="12"/>
      </w:r>
      <w:r>
        <w:rPr>
          <w:noProof/>
        </w:rPr>
        <w:t xml:space="preserve"> artikli 129 lõikest 1 olemasolevate rahastamisvõimaluste tõhusam kasutamine ning parandatakse liikmesriikide reageerimisoperatsioonide tõhusust. Eraldi artiklis käsitletakse ka ELi nähtavuse parandamist.</w:t>
      </w:r>
    </w:p>
    <w:p>
      <w:pPr>
        <w:pBdr>
          <w:top w:val="nil"/>
          <w:left w:val="nil"/>
          <w:bottom w:val="nil"/>
          <w:right w:val="nil"/>
          <w:between w:val="nil"/>
          <w:bar w:val="nil"/>
        </w:pBdr>
        <w:spacing w:before="0" w:after="240"/>
        <w:rPr>
          <w:noProof/>
        </w:rPr>
      </w:pPr>
      <w:r>
        <w:rPr>
          <w:noProof/>
        </w:rPr>
        <w:t>Teise eesmärgiga seoses ning poliitikavaldkondade suurema sidususe saavutamiseks sisaldab käesolev ettepanek ka sätteid, millega tagatakse, et ELi vahendite liidu mehhanismi kaudu väljamaksmisel kaasneb sellega ka liidu piisav nähtavus. Sellega seoses luuakse käesoleva ettepanekuga ka võimalus sihtotstarbelise võrgustikutüüpi struktuuri loomisele (liidu kodanikukaitsealaste teadmiste võrgustik), millega tõhustatakse liidu kodanikukaitse mehhanismi koolitusosa, tehes selleks tihedat koostööd olemasolevate asjaomaste riiklike struktuuridega.</w:t>
      </w:r>
    </w:p>
    <w:p>
      <w:pPr>
        <w:pBdr>
          <w:top w:val="nil"/>
          <w:left w:val="nil"/>
          <w:bottom w:val="nil"/>
          <w:right w:val="nil"/>
          <w:between w:val="nil"/>
          <w:bar w:val="nil"/>
        </w:pBdr>
        <w:spacing w:before="0" w:after="240"/>
        <w:rPr>
          <w:noProof/>
        </w:rPr>
      </w:pPr>
      <w:r>
        <w:rPr>
          <w:noProof/>
        </w:rPr>
        <w:t>Kolmanda eesmärgiga seoses soovitakse ettepanekuga ühtlustada haldusmenetlusi, et vähendada abi saatmisel esinevaid viivitusi. Sellega lihtsustatakse praegust süsteemi, võttes kasutusele ainult ühe reageerimisvahendite kategooria, mis vajab liikmesriikide ja ELi vahenditest kaasrahastamist, st Euroopa kodanikukaitse ühisressurss. Transpordikulude kaasrahastamiseks võetakse kasutusele otsene viide ühikuhindadele, ühekordsetele maksetele ja kindlamääralistele maksetele, et parandada nii järjepidevust kui ka tõhusust. Lisaks sellele on lisatud erisätted, millega piiratakse liidu mehhanismi aktiveerimiseks kuluvat aega 90 päevaga (kui ei ole teisiti põhjendatud), et selgitada kohaldamisala ulatust ja motiveerida vahendite kasutamist viivitamatu reageerimise etapis.</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t>2017/0309 (COD)</w:t>
      </w:r>
    </w:p>
    <w:p>
      <w:pPr>
        <w:pStyle w:val="Statut"/>
        <w:rPr>
          <w:noProof/>
        </w:rPr>
      </w:pPr>
      <w:r>
        <w:rPr>
          <w:noProof/>
        </w:rPr>
        <w:t>Ettepanek:</w:t>
      </w:r>
    </w:p>
    <w:p>
      <w:pPr>
        <w:pStyle w:val="Typedudocument"/>
        <w:rPr>
          <w:noProof/>
        </w:rPr>
      </w:pPr>
      <w:r>
        <w:rPr>
          <w:noProof/>
        </w:rPr>
        <w:t>EUROOPA PARLAMENDI JA NÕUKOGU OTSUS,</w:t>
      </w:r>
    </w:p>
    <w:p>
      <w:pPr>
        <w:pStyle w:val="Titreobjet"/>
        <w:rPr>
          <w:noProof/>
        </w:rPr>
      </w:pPr>
      <w:r>
        <w:rPr>
          <w:noProof/>
        </w:rPr>
        <w:t>millega muudetakse otsust nr 1313/2013/EL liidu kodanikukaitse mehhanismi kohta</w:t>
      </w:r>
    </w:p>
    <w:p>
      <w:pPr>
        <w:pStyle w:val="Institutionquiagit"/>
        <w:rPr>
          <w:noProof/>
        </w:rPr>
      </w:pPr>
      <w:r>
        <w:rPr>
          <w:noProof/>
        </w:rPr>
        <w:t>EUROOPA PARLAMENT JA EUROOPA LIIDU NÕUKOGU,</w:t>
      </w:r>
    </w:p>
    <w:p>
      <w:pPr>
        <w:rPr>
          <w:noProof/>
        </w:rPr>
      </w:pPr>
      <w:r>
        <w:rPr>
          <w:noProof/>
        </w:rPr>
        <w:t>võttes arvesse Euroopa Liidu toimimise lepingut, eriti selle artiklit 196,</w:t>
      </w:r>
    </w:p>
    <w:p>
      <w:pPr>
        <w:rPr>
          <w:noProof/>
        </w:rPr>
      </w:pPr>
      <w:r>
        <w:rPr>
          <w:noProof/>
        </w:rPr>
        <w:t>võttes arvesse Euroopa Komisjoni ettepanekut,</w:t>
      </w:r>
    </w:p>
    <w:p>
      <w:pPr>
        <w:rPr>
          <w:noProof/>
        </w:rPr>
      </w:pPr>
      <w:r>
        <w:rPr>
          <w:noProof/>
        </w:rPr>
        <w:t>olles edastanud seadusandliku akti eelnõu liikmesriikide parlamentidele,</w:t>
      </w:r>
    </w:p>
    <w:p>
      <w:pPr>
        <w:rPr>
          <w:noProof/>
        </w:rPr>
      </w:pPr>
      <w:r>
        <w:rPr>
          <w:noProof/>
        </w:rPr>
        <w:t>võttes arvesse Regioonide Komitee arvamust,</w:t>
      </w:r>
    </w:p>
    <w:p>
      <w:pPr>
        <w:rPr>
          <w:noProof/>
        </w:rPr>
      </w:pPr>
      <w:r>
        <w:rPr>
          <w:noProof/>
        </w:rPr>
        <w:t>toimides seadusandliku tavamenetluse kohaselt</w:t>
      </w:r>
    </w:p>
    <w:p>
      <w:pPr>
        <w:rPr>
          <w:noProof/>
        </w:rPr>
      </w:pPr>
      <w:r>
        <w:rPr>
          <w:noProof/>
        </w:rPr>
        <w:t>ning arvestades järgmist:</w:t>
      </w:r>
    </w:p>
    <w:p>
      <w:pPr>
        <w:pStyle w:val="ManualConsidrant"/>
        <w:rPr>
          <w:noProof/>
        </w:rPr>
      </w:pPr>
      <w:r>
        <w:t>(1)</w:t>
      </w:r>
      <w:r>
        <w:tab/>
      </w:r>
      <w:r>
        <w:rPr>
          <w:noProof/>
        </w:rPr>
        <w:t>Liidu kodanikukaitse mehhanismiga (edaspidi „liidu mehhanism“), mille tegevust reguleeritakse Euroopa Parlamendi ja nõukogu otsusega nr 1313/2013/EL</w:t>
      </w:r>
      <w:r>
        <w:rPr>
          <w:rStyle w:val="FootnoteReference"/>
          <w:noProof/>
        </w:rPr>
        <w:footnoteReference w:id="13"/>
      </w:r>
      <w:r>
        <w:rPr>
          <w:noProof/>
        </w:rPr>
        <w:t>, tugevdatakse liidu ja liikmesriikide vahelist koostööd ning lihtsustatakse kodanikukaitsealast koordineerimist, et parandada liidu reageerimist loodus- ja inimtegevusest tingitud õnnetustele.</w:t>
      </w:r>
    </w:p>
    <w:p>
      <w:pPr>
        <w:pStyle w:val="ManualConsidrant"/>
        <w:rPr>
          <w:noProof/>
        </w:rPr>
      </w:pPr>
      <w:r>
        <w:t>(2)</w:t>
      </w:r>
      <w:r>
        <w:tab/>
      </w:r>
      <w:r>
        <w:rPr>
          <w:noProof/>
        </w:rPr>
        <w:t>Tunnistades liikmesriikide esmavastutust loodus- ja inimtegevusest tingitud õnnetuste ennetamisel, nendeks valmistumisel ja neile reageerimisel, edendab liidu mehhanism liikmesriikide vahelist solidaarsust kooskõlas Euroopa Liidu lepingu artikli 3 lõikega 3.</w:t>
      </w:r>
    </w:p>
    <w:p>
      <w:pPr>
        <w:pStyle w:val="ManualConsidrant"/>
        <w:rPr>
          <w:noProof/>
        </w:rPr>
      </w:pPr>
      <w:r>
        <w:t>(3)</w:t>
      </w:r>
      <w:r>
        <w:tab/>
      </w:r>
      <w:r>
        <w:rPr>
          <w:noProof/>
        </w:rPr>
        <w:t>Loodusõnnetused ja inimtegevusest tingitud õnnetused võivad meid tabada ükskõik kus üle maailma, sageli ilma hoiatuseta. Kliimamuutustest tulenevad ja riikide piire ületavad loodusõnnetused ja inimtegevusest tingitud õnnetused on muutunud üha sagedasemaks, äärmuslikumaks ja keerukamaks. Õnnetustest tulenevad inimlikud, keskkonnaalased või majanduslikud tagajärjed võivad olla tohutud.</w:t>
      </w:r>
    </w:p>
    <w:p>
      <w:pPr>
        <w:pStyle w:val="ManualConsidrant"/>
        <w:rPr>
          <w:noProof/>
        </w:rPr>
      </w:pPr>
      <w:r>
        <w:t>(4)</w:t>
      </w:r>
      <w:r>
        <w:tab/>
      </w:r>
      <w:r>
        <w:rPr>
          <w:noProof/>
        </w:rPr>
        <w:t>Hiljutised kogemused on näidanud, et lootmine liidu mehhanismi poolt koordineeritud ja vahendatud vabatahtlikult pakutavale abile ei taga alati õnnetusest mõjutatud inimeste põhivajaduste rahuldaval viisil täitmiseks piisavate vahendite olemasolu, samuti ei ole asjakohaselt kaitstud keskkond ja vara. Eriti kehtib see juhul, kui liikmesriike tabavad samaaegselt korduvad õnnetused ja kollektiivne suutlikkus jääb ebapiisavaks.</w:t>
      </w:r>
    </w:p>
    <w:p>
      <w:pPr>
        <w:pStyle w:val="ManualConsidrant"/>
        <w:rPr>
          <w:noProof/>
        </w:rPr>
      </w:pPr>
      <w:r>
        <w:t>(5)</w:t>
      </w:r>
      <w:r>
        <w:tab/>
      </w:r>
      <w:r>
        <w:rPr>
          <w:noProof/>
        </w:rPr>
        <w:t>Ennetustegevus on õnnetustevastases kaitses üliolulise tähtsusega ning see nõuab edasisi meetmeid. Selleks peaksid liikmesriigid regulaarselt jagama riskihindamisi ja õnnetustega seotud riskijuhtimise kavade kokkuvõtteid, et tagada õnnetuste ohjamisel integreeritud lähenemisviisi rakendamine, mis seob endas riskide ennetamise, nendeks valmisoleku ja neile reageerimisega seotud meetmeid. Lisaks sellele peaks komisjon olema suuteline nõudma liikmesriikidelt spetsiaalsete, konkreetsete õnnetustega seotud ennetus- ja valmisolekukavade esitamist, seda eelkõige selleks, et maksimeerida õnnetustega seotud riskijuhtimiseks antavat üldist liidu toetust. Halduskoormust peaks vähendama ja ennetusstrateegiaid tõhustama muu hulgas tagades vajalikud seosed muude oluliste liidu tegevuspõhimõtete ja rahastamisvahenditega, eelkõige määruse (EL) nr 1303/2013</w:t>
      </w:r>
      <w:r>
        <w:rPr>
          <w:rStyle w:val="FootnoteReference"/>
          <w:noProof/>
        </w:rPr>
        <w:footnoteReference w:id="14"/>
      </w:r>
      <w:r>
        <w:rPr>
          <w:noProof/>
        </w:rPr>
        <w:t xml:space="preserve"> põhjenduses 2 loetletud Euroopa struktuuri- ja investeerimisfondidega. </w:t>
      </w:r>
    </w:p>
    <w:p>
      <w:pPr>
        <w:pStyle w:val="ManualConsidrant"/>
        <w:rPr>
          <w:noProof/>
        </w:rPr>
      </w:pPr>
      <w:r>
        <w:t>(6)</w:t>
      </w:r>
      <w:r>
        <w:tab/>
      </w:r>
      <w:r>
        <w:rPr>
          <w:noProof/>
        </w:rPr>
        <w:t>Tõhustada tuleb kollektiivset võimet õnnetusteks valmistuda ja nendele reageerida eelkõige Euroopas vastastikuse abi andmise kaudu. Lisaks Euroopa hädaolukordadele reageerimise suutlikkuse (nüüdsest „Euroopa kodanikukaitse ühisressurss“) poolt juba pakutavate võimaluste tugevdamisele peaks komisjon kasutusele võtma ka rescEU. rescEU peaks hõlmama suutlikkust reageerida sellistele hädaolukordadele nagu metsa- või maastikutulekahjud, ulatuslikud üleujutused ja maavärinad, samuti peaks sinna kuuluma Maailma Terviseorganisatsiooni standarditele vastavad välihaiglad ja meditsiini rühmad, keda on võimalik kiiresti tööle rakendada.</w:t>
      </w:r>
    </w:p>
    <w:p>
      <w:pPr>
        <w:pStyle w:val="ManualConsidrant"/>
        <w:rPr>
          <w:noProof/>
        </w:rPr>
      </w:pPr>
      <w:r>
        <w:t>(7)</w:t>
      </w:r>
      <w:r>
        <w:tab/>
      </w:r>
      <w:r>
        <w:rPr>
          <w:noProof/>
        </w:rPr>
        <w:t>Liit peaks olema suuteline toetama liikmesriike juhul, kui olemasolevad vahendid on õnnetustele tõhusalt reageerimiseks ebapiisavad, andes oma panuse liisingu- või rendilepingute rahastamisse, et tagada sellistele vahenditele kiire juurdepääsu, või rahastades nende soetamist. See tõstaks oluliselt liidu mehhanismi tõhusust, tagades vahendite olemasolu juhtumite korral, kus tõhus reageerimine õnnetustele ei oleks muidu tagatud, seda eelkõige õnnetuste puhul, millel on ulatuslik mõju ja mis mõjutavad paljusid liikmesriike. Vahendite hanked liidu poolt peaksid võimaldama mastaabisäästu ning paremat koordineerimist õnnetustele reageerimisel.</w:t>
      </w:r>
    </w:p>
    <w:p>
      <w:pPr>
        <w:pStyle w:val="ManualConsidrant"/>
        <w:rPr>
          <w:noProof/>
        </w:rPr>
      </w:pPr>
      <w:r>
        <w:t>(8)</w:t>
      </w:r>
      <w:r>
        <w:tab/>
      </w:r>
      <w:r>
        <w:rPr>
          <w:noProof/>
        </w:rPr>
        <w:t>Euroopa kodanikukaitse ühisressursi tugevdamine nõuab liidu rahastamise laiendamist, mis hõlmaks vahendite kohandamist ja parandamist ning samuti tegevuskulusid.</w:t>
      </w:r>
    </w:p>
    <w:p>
      <w:pPr>
        <w:pStyle w:val="ManualConsidrant"/>
        <w:rPr>
          <w:noProof/>
        </w:rPr>
      </w:pPr>
      <w:r>
        <w:t>(9)</w:t>
      </w:r>
      <w:r>
        <w:tab/>
      </w:r>
      <w:r>
        <w:rPr>
          <w:noProof/>
        </w:rPr>
        <w:t>Koolituse ja õppuste tõhususe ja tulemuslikkuse parandamiseks ning liikmesriikide riiklike kodanikukaitseasutuste ja -teenistuste vahelise koostöö tugevdamiseks on vaja luua liidu kodanikukaitsealaste teadmiste võrgustik, mis toetuks olemasolevatele struktuuridele.</w:t>
      </w:r>
    </w:p>
    <w:p>
      <w:pPr>
        <w:pStyle w:val="ManualConsidrant"/>
        <w:rPr>
          <w:noProof/>
        </w:rPr>
      </w:pPr>
      <w:r>
        <w:t>(10)</w:t>
      </w:r>
      <w:r>
        <w:tab/>
      </w:r>
      <w:r>
        <w:rPr>
          <w:noProof/>
        </w:rPr>
        <w:t>rescEU käivitamiseks tuleb kättesaadavaks teha täiendavad rahalised vahendid, et oleks võimalik rahastada meetmeid liidu mehhanismi raames.</w:t>
      </w:r>
    </w:p>
    <w:p>
      <w:pPr>
        <w:pStyle w:val="ManualConsidrant"/>
        <w:rPr>
          <w:noProof/>
        </w:rPr>
      </w:pPr>
      <w:r>
        <w:t>(11)</w:t>
      </w:r>
      <w:r>
        <w:tab/>
      </w:r>
      <w:r>
        <w:rPr>
          <w:noProof/>
        </w:rPr>
        <w:t>Liidu mehhanismi menetlusi tuleb lihtsustada, et oleks tagatud liikmesriikide juurdepääs abile ja vahenditele, mis on vajalikud loodusõnnetustele ja inimtegevusest tingitud õnnetustele võimalikult kiireks reageerimiseks.</w:t>
      </w:r>
    </w:p>
    <w:p>
      <w:pPr>
        <w:pStyle w:val="ManualConsidrant"/>
        <w:rPr>
          <w:bCs/>
          <w:noProof/>
        </w:rPr>
      </w:pPr>
      <w:r>
        <w:t>(12)</w:t>
      </w:r>
      <w:r>
        <w:tab/>
      </w:r>
      <w:r>
        <w:rPr>
          <w:noProof/>
        </w:rPr>
        <w:t>Olemasolevate rahastamisvahendite kasutamise maksimeerimiseks ja liikmesriikide toetamiseks abi osutamisel, eelkõige väljaspool liitu aset leidnud õnnetustele reageerimisel tuleks rakendada Euroopa Parlamendi ja nõukogu määruse (EL, Euratom) 966/2012</w:t>
      </w:r>
      <w:r>
        <w:rPr>
          <w:rStyle w:val="FootnoteReference"/>
          <w:noProof/>
        </w:rPr>
        <w:footnoteReference w:id="15"/>
      </w:r>
      <w:r>
        <w:rPr>
          <w:noProof/>
        </w:rPr>
        <w:t xml:space="preserve"> artikli 129 lõike 1 erandit, kui tegemist on rahastamisega, milleks antakse luba tulenevalt otsuse nr 1313/2013 artiklitest 21, 22 ja 23.</w:t>
      </w:r>
    </w:p>
    <w:p>
      <w:pPr>
        <w:pStyle w:val="ManualConsidrant"/>
        <w:rPr>
          <w:noProof/>
        </w:rPr>
      </w:pPr>
      <w:r>
        <w:t>(13)</w:t>
      </w:r>
      <w:r>
        <w:tab/>
      </w:r>
      <w:r>
        <w:rPr>
          <w:noProof/>
        </w:rPr>
        <w:t>On oluline tagada, et liikmesriigid võtaksid kõik vajalikud meetmed, et tõhusalt ennetada loodusõnnetuste ja inimtegevusest tingitud õnnetuste teket ning leevendada nende tagajärgi. Sätetega tuleks tugevdada ennetamise, valmisoleku ja liidu mehhanismi raames võetavate abimeetmete vahelist seost. Sidusus tuleks tagada ka muude asjaomaste, ennetamist ja õnnetustega seotud riskijuhtimist käsitlevate liidu õigusaktidega, sealhulgas piiriüleste ennetusmeetmete puhul ja tõsistele piiriülestele terviseohtudele reageerimisel</w:t>
      </w:r>
      <w:r>
        <w:rPr>
          <w:rStyle w:val="FootnoteReference"/>
          <w:noProof/>
        </w:rPr>
        <w:footnoteReference w:id="16"/>
      </w:r>
      <w:r>
        <w:rPr>
          <w:noProof/>
        </w:rPr>
        <w:t>. Samuti tuleks sidusus tagada selliste rahvusvaheliste kohustustega nagu Sendai katastroofiohu vähendamise raamistik aastatel 2015–2030, Pariisi kokkulepe ja kestliku arengu tegevuskava 2030.</w:t>
      </w:r>
    </w:p>
    <w:p>
      <w:pPr>
        <w:pStyle w:val="ManualConsidrant"/>
        <w:rPr>
          <w:noProof/>
        </w:rPr>
      </w:pPr>
      <w:r>
        <w:t>(14)</w:t>
      </w:r>
      <w:r>
        <w:tab/>
      </w:r>
      <w:r>
        <w:rPr>
          <w:noProof/>
        </w:rPr>
        <w:t>Komisjonile otsusega nr 1313/2013/EL delegeeritud volitusi tuleks muuta, et võimaldada luua Euroopa Liidu tõhus hädaabi suutlikkus (rescEU). Komisjonile tuleks delegeerida õigus võtta vastavalt Euroopa Liidu toimimise lepingu artiklile 290 vastu õigusakte, et määratleda kindlaks tehtud ohtude alusel täiendavaid reageerimissuutlikkuse liike ning võtta arvesse mitme ohu põhist lähenemisviisi.</w:t>
      </w:r>
    </w:p>
    <w:p>
      <w:pPr>
        <w:pStyle w:val="ManualConsidrant"/>
        <w:rPr>
          <w:noProof/>
        </w:rPr>
      </w:pPr>
      <w:r>
        <w:t>(15)</w:t>
      </w:r>
      <w:r>
        <w:tab/>
      </w:r>
      <w:r>
        <w:rPr>
          <w:noProof/>
        </w:rPr>
        <w:t>Kuna käesoleva otsuse eesmärke ei suuda üksi tegutsevad liikmesriigid piisavalt täita, küll aga on neid meetme ulatuse või toime tõttu parem saavutada liidu tasandil, võib liit võtta meetmeid kooskõlas Euroopa Liidu lepingu artiklis 5 sätestatud subsidiaarsuse põhimõttega. Kõnealuses artiklis sätestatud proportsionaalsuse põhimõtte kohaselt ei lähe käesolev otsus nimetatud eesmärkide saavutamiseks vajalikust kaugemale.</w:t>
      </w:r>
    </w:p>
    <w:p>
      <w:pPr>
        <w:pStyle w:val="ManualConsidrant"/>
        <w:rPr>
          <w:noProof/>
        </w:rPr>
      </w:pPr>
      <w:r>
        <w:t>(16)</w:t>
      </w:r>
      <w:r>
        <w:tab/>
      </w:r>
      <w:r>
        <w:rPr>
          <w:noProof/>
        </w:rPr>
        <w:t>Seepärast tuleks otsust nr 1313/2013/EL vastavalt muuta,</w:t>
      </w:r>
    </w:p>
    <w:p>
      <w:pPr>
        <w:pStyle w:val="Formuledadoption"/>
        <w:rPr>
          <w:noProof/>
        </w:rPr>
      </w:pPr>
      <w:r>
        <w:rPr>
          <w:noProof/>
        </w:rPr>
        <w:t>ON VASTU VÕTNUD KÄESOLEVA OTSUSE:</w:t>
      </w:r>
    </w:p>
    <w:p>
      <w:pPr>
        <w:pStyle w:val="Titrearticle"/>
        <w:rPr>
          <w:noProof/>
        </w:rPr>
      </w:pPr>
      <w:r>
        <w:rPr>
          <w:noProof/>
        </w:rPr>
        <w:t>Artikkel 1</w:t>
      </w:r>
    </w:p>
    <w:p>
      <w:pPr>
        <w:rPr>
          <w:noProof/>
        </w:rPr>
      </w:pPr>
      <w:r>
        <w:rPr>
          <w:noProof/>
        </w:rPr>
        <w:t>Otsust nr 1313/2013/EL muudetakse järgmiselt:</w:t>
      </w:r>
    </w:p>
    <w:p>
      <w:pPr>
        <w:pStyle w:val="Point0"/>
        <w:rPr>
          <w:noProof/>
        </w:rPr>
      </w:pPr>
      <w:r>
        <w:rPr>
          <w:noProof/>
        </w:rPr>
        <w:t>1)</w:t>
      </w:r>
      <w:r>
        <w:rPr>
          <w:noProof/>
        </w:rPr>
        <w:tab/>
        <w:t>Artiklit 3 muudetakse järgmiselt:</w:t>
      </w:r>
    </w:p>
    <w:p>
      <w:pPr>
        <w:pStyle w:val="Point0"/>
        <w:ind w:firstLine="0"/>
        <w:rPr>
          <w:noProof/>
        </w:rPr>
      </w:pPr>
      <w:r>
        <w:rPr>
          <w:noProof/>
        </w:rPr>
        <w:t>a) lõikele 1 lisatakse punkt e:</w:t>
      </w:r>
    </w:p>
    <w:p>
      <w:pPr>
        <w:pStyle w:val="Point0"/>
        <w:ind w:firstLine="0"/>
        <w:rPr>
          <w:noProof/>
        </w:rPr>
      </w:pPr>
      <w:r>
        <w:rPr>
          <w:noProof/>
        </w:rPr>
        <w:t>„e)</w:t>
      </w:r>
      <w:r>
        <w:rPr>
          <w:noProof/>
        </w:rPr>
        <w:tab/>
        <w:t>suurendada õnnetusi käsitlevate teaduslikult põhjendatud teadmiste kättesaadavust ja kasutamist.“</w:t>
      </w:r>
    </w:p>
    <w:p>
      <w:pPr>
        <w:pStyle w:val="Point0"/>
        <w:ind w:firstLine="0"/>
        <w:rPr>
          <w:noProof/>
        </w:rPr>
      </w:pPr>
      <w:r>
        <w:rPr>
          <w:noProof/>
        </w:rPr>
        <w:t>b) lõike 2 punkt a asendatakse järgmisega:</w:t>
      </w:r>
    </w:p>
    <w:p>
      <w:pPr>
        <w:pStyle w:val="Point1"/>
        <w:rPr>
          <w:noProof/>
        </w:rPr>
      </w:pPr>
      <w:r>
        <w:rPr>
          <w:noProof/>
        </w:rPr>
        <w:t>„a)</w:t>
      </w:r>
      <w:r>
        <w:rPr>
          <w:noProof/>
        </w:rPr>
        <w:tab/>
        <w:t>edusammud õnnetuse ennetamise raamistiku rakendamisel, mida mõõdetakse liikmesriikide arvuga, kes on teinud komisjonile kättesaadavaks oma riskihindamised, oma riskijuhtimissuutlikkuse hindamise ja kokkuvõtte oma õnnetuste ohjamise planeerimisest, nagu on sätestatud artiklis 6;“</w:t>
      </w:r>
    </w:p>
    <w:p>
      <w:pPr>
        <w:pStyle w:val="Point0number"/>
        <w:rPr>
          <w:noProof/>
        </w:rPr>
      </w:pPr>
      <w:r>
        <w:rPr>
          <w:noProof/>
        </w:rPr>
        <w:t>Artiklisse 4 lisatakse punkt 12:</w:t>
      </w:r>
    </w:p>
    <w:p>
      <w:pPr>
        <w:pStyle w:val="Point1"/>
        <w:ind w:firstLine="0"/>
        <w:rPr>
          <w:noProof/>
        </w:rPr>
      </w:pPr>
      <w:r>
        <w:rPr>
          <w:noProof/>
        </w:rPr>
        <w:t>„12) „osalev riik“ - liidu mehhanismis vastavalt artikli 28 lõikele 1 osalev kolmas riik;“</w:t>
      </w:r>
    </w:p>
    <w:p>
      <w:pPr>
        <w:pStyle w:val="Point0"/>
        <w:rPr>
          <w:noProof/>
        </w:rPr>
      </w:pPr>
      <w:r>
        <w:rPr>
          <w:noProof/>
        </w:rPr>
        <w:t>3)</w:t>
      </w:r>
      <w:r>
        <w:rPr>
          <w:noProof/>
        </w:rPr>
        <w:tab/>
        <w:t>Artikli 5 lõike 1 punkt a asendatakse järgmisega:</w:t>
      </w:r>
    </w:p>
    <w:p>
      <w:pPr>
        <w:pStyle w:val="Point0"/>
        <w:rPr>
          <w:noProof/>
        </w:rPr>
      </w:pPr>
      <w:r>
        <w:rPr>
          <w:noProof/>
        </w:rPr>
        <w:tab/>
        <w:t>„a)</w:t>
      </w:r>
      <w:r>
        <w:rPr>
          <w:noProof/>
        </w:rPr>
        <w:tab/>
        <w:t>võtab meetmeid, et parandada teadmusbaasi õnnetusohtude kohta ning hõlbustada teadmiste, teadusuuringute tulemuste, heade tavade ja teabe jagamist, sealhulgas ühiste riskidega liikmesriikide hulgas;“</w:t>
      </w:r>
    </w:p>
    <w:p>
      <w:pPr>
        <w:pStyle w:val="Point0"/>
        <w:rPr>
          <w:noProof/>
        </w:rPr>
      </w:pPr>
      <w:r>
        <w:rPr>
          <w:noProof/>
        </w:rPr>
        <w:t>4)</w:t>
      </w:r>
      <w:r>
        <w:rPr>
          <w:noProof/>
        </w:rPr>
        <w:tab/>
        <w:t>Artiklit 6 muudetakse järgmiselt:</w:t>
      </w:r>
    </w:p>
    <w:p>
      <w:pPr>
        <w:pStyle w:val="Point0"/>
        <w:ind w:firstLine="0"/>
        <w:rPr>
          <w:noProof/>
        </w:rPr>
      </w:pPr>
      <w:r>
        <w:rPr>
          <w:noProof/>
        </w:rPr>
        <w:t>a)</w:t>
      </w:r>
      <w:r>
        <w:rPr>
          <w:noProof/>
        </w:rPr>
        <w:tab/>
        <w:t>punktid a ja b asendatakse järgmisega:</w:t>
      </w:r>
    </w:p>
    <w:p>
      <w:pPr>
        <w:pStyle w:val="Point1"/>
        <w:rPr>
          <w:noProof/>
        </w:rPr>
      </w:pPr>
      <w:r>
        <w:rPr>
          <w:noProof/>
        </w:rPr>
        <w:t>„a)</w:t>
      </w:r>
      <w:r>
        <w:rPr>
          <w:noProof/>
        </w:rPr>
        <w:tab/>
        <w:t>töötama välja riskihindamised riiklikul ja asjakohasel piirkondlikul tasandil ning tegema need komisjonile kättesaadavaks 22. detsembriks 2018 ning seejärel iga kolme aasta tagant;</w:t>
      </w:r>
    </w:p>
    <w:p>
      <w:pPr>
        <w:pStyle w:val="Point1"/>
        <w:rPr>
          <w:noProof/>
        </w:rPr>
      </w:pPr>
      <w:r>
        <w:rPr>
          <w:noProof/>
        </w:rPr>
        <w:t>b)</w:t>
      </w:r>
      <w:r>
        <w:rPr>
          <w:noProof/>
        </w:rPr>
        <w:tab/>
        <w:t>arendama ja täiustama oma õnnetustega seotud riskijuhtimise planeerimist riiklikul või asjaomasel piirkondlikul tasandil, võttes aluseks punktis a osutatud riskihindamised ja võttes arvesse punktis c osutatud riskijuhtimissuutlikkuse hindamist ning artikli 5 lõike 1 punktis c osutatud riskide ülevaadet.“</w:t>
      </w:r>
    </w:p>
    <w:p>
      <w:pPr>
        <w:pStyle w:val="Point1"/>
        <w:ind w:left="130" w:firstLine="720"/>
        <w:rPr>
          <w:noProof/>
        </w:rPr>
      </w:pPr>
      <w:r>
        <w:rPr>
          <w:noProof/>
        </w:rPr>
        <w:t>b)</w:t>
      </w:r>
      <w:r>
        <w:rPr>
          <w:noProof/>
        </w:rPr>
        <w:tab/>
        <w:t>lisatakse teine lõik järgmises sõnastuses:</w:t>
      </w:r>
    </w:p>
    <w:p>
      <w:pPr>
        <w:pStyle w:val="Point1"/>
        <w:ind w:firstLine="0"/>
        <w:rPr>
          <w:noProof/>
        </w:rPr>
      </w:pPr>
      <w:r>
        <w:rPr>
          <w:noProof/>
        </w:rPr>
        <w:t>„Komisjonile esitatakse 31. jaanuariks 2019 ning seejärel iga kolme aasta tagant riskijuhtimise planeerimise asjaomaste elementide kokkuvõte, sealhulgas teave valitud ennetus- ja valmisolekumeetmete kohta. Lisaks sellele võib komisjon nõuda liikmesriikidelt konkreetsete ennetus- ja valmisolekukavade esitamist, mis hõlmavad nii lühiajalisi kui ka pikemaajalisi meetmeid. Liit kaalub nõuetekohaselt liikmesriikide edusamme õnnetuste ennetamisel ja nendeks valmisolekul osana tulevasest eeltingimuste mehhanismist Euroopa struktuuri- ja investeerimisfondide raames.“</w:t>
      </w:r>
    </w:p>
    <w:p>
      <w:pPr>
        <w:pStyle w:val="Point0"/>
        <w:rPr>
          <w:noProof/>
        </w:rPr>
      </w:pPr>
      <w:r>
        <w:rPr>
          <w:noProof/>
        </w:rPr>
        <w:t>c)</w:t>
      </w:r>
      <w:r>
        <w:rPr>
          <w:noProof/>
        </w:rPr>
        <w:tab/>
        <w:t>Lisatakse punkt e:</w:t>
      </w:r>
    </w:p>
    <w:p>
      <w:pPr>
        <w:pStyle w:val="Point1"/>
        <w:rPr>
          <w:noProof/>
        </w:rPr>
      </w:pPr>
      <w:r>
        <w:rPr>
          <w:noProof/>
        </w:rPr>
        <w:t>„e)</w:t>
      </w:r>
      <w:r>
        <w:rPr>
          <w:noProof/>
        </w:rPr>
        <w:tab/>
        <w:t>Komisjon võib luua samalaadseid õnnetusi kogevate liikmesriikide jaoks ennetamise ning valmisoleku asjakohase planeerimise ja koordineerimise edendamiseks spetsiaalseid konsulteerimismehhanisme.“</w:t>
      </w:r>
    </w:p>
    <w:p>
      <w:pPr>
        <w:pStyle w:val="Point0"/>
        <w:rPr>
          <w:noProof/>
        </w:rPr>
      </w:pPr>
      <w:r>
        <w:rPr>
          <w:noProof/>
        </w:rPr>
        <w:t>4)</w:t>
      </w:r>
      <w:r>
        <w:rPr>
          <w:noProof/>
        </w:rPr>
        <w:tab/>
        <w:t>Artikli 10 lõige 1 asendatakse järgmisega:</w:t>
      </w:r>
    </w:p>
    <w:p>
      <w:pPr>
        <w:pStyle w:val="Point1"/>
        <w:rPr>
          <w:noProof/>
        </w:rPr>
      </w:pPr>
      <w:r>
        <w:rPr>
          <w:noProof/>
        </w:rPr>
        <w:t>„1.</w:t>
      </w:r>
      <w:r>
        <w:rPr>
          <w:noProof/>
        </w:rPr>
        <w:tab/>
        <w:t>Komisjon ja liikmesriigid töötavad koos selle nimel, et parandada õnnetustele reageerimise operatsioonide kavandamist liidu mehhanismi raames, sealhulgas töötades välja õnnetustele reageerimise stsenaariume, mille aluseks on artikli 6 punktis a osutatud riskihindamised ja artikli 5 lõike 1 punktis c osutatud riskide ülevaade, kaardistades vahendeid ja koostades kavasid reageerimisvahendite kasutamiseks.“</w:t>
      </w:r>
    </w:p>
    <w:p>
      <w:pPr>
        <w:pStyle w:val="Point0"/>
        <w:rPr>
          <w:noProof/>
        </w:rPr>
      </w:pPr>
      <w:r>
        <w:rPr>
          <w:noProof/>
        </w:rPr>
        <w:t>5)</w:t>
      </w:r>
      <w:r>
        <w:rPr>
          <w:noProof/>
        </w:rPr>
        <w:tab/>
        <w:t>Artiklit 11 muudetakse järgmiselt:</w:t>
      </w:r>
    </w:p>
    <w:p>
      <w:pPr>
        <w:pStyle w:val="Point0"/>
        <w:ind w:firstLine="0"/>
        <w:rPr>
          <w:noProof/>
        </w:rPr>
      </w:pPr>
      <w:r>
        <w:rPr>
          <w:noProof/>
        </w:rPr>
        <w:t>a)</w:t>
      </w:r>
      <w:r>
        <w:rPr>
          <w:noProof/>
        </w:rPr>
        <w:tab/>
        <w:t>Pealkiri asendatakse järgmisega:</w:t>
      </w:r>
    </w:p>
    <w:p>
      <w:pPr>
        <w:pStyle w:val="NormalCentered"/>
        <w:rPr>
          <w:b/>
          <w:noProof/>
        </w:rPr>
      </w:pPr>
      <w:r>
        <w:rPr>
          <w:b/>
          <w:noProof/>
        </w:rPr>
        <w:t>„Euroopa kodanikukaitse ühisressurss“</w:t>
      </w:r>
    </w:p>
    <w:p>
      <w:pPr>
        <w:pStyle w:val="Point0"/>
        <w:ind w:firstLine="0"/>
        <w:rPr>
          <w:b/>
          <w:noProof/>
        </w:rPr>
      </w:pPr>
      <w:r>
        <w:rPr>
          <w:noProof/>
        </w:rPr>
        <w:t>b) lõiked 1 ja 2 asendatakse järgmistega:</w:t>
      </w:r>
    </w:p>
    <w:p>
      <w:pPr>
        <w:pStyle w:val="Point1"/>
        <w:rPr>
          <w:noProof/>
        </w:rPr>
      </w:pPr>
      <w:r>
        <w:rPr>
          <w:noProof/>
        </w:rPr>
        <w:t>„1.</w:t>
      </w:r>
      <w:r>
        <w:rPr>
          <w:noProof/>
        </w:rPr>
        <w:tab/>
        <w:t>Käesolevaga luuakse Euroopa kodanikukaitse ühisressurss. See koosneb liikmesriikide varem eraldatud reageerimisvahenditest ning hõlmab mooduleid, muid reageerimisvahendeid ja eksperte.</w:t>
      </w:r>
    </w:p>
    <w:p>
      <w:pPr>
        <w:pStyle w:val="Point1"/>
        <w:rPr>
          <w:noProof/>
        </w:rPr>
      </w:pPr>
      <w:r>
        <w:rPr>
          <w:noProof/>
        </w:rPr>
        <w:t>2.</w:t>
      </w:r>
      <w:r>
        <w:rPr>
          <w:noProof/>
        </w:rPr>
        <w:tab/>
        <w:t>Kindlaks tehtud riskide põhjal määrab komisjon kindlaks Euroopa kodanikukaitse ühisressursi jaoks vajatavate põhiliste reageerimisvahendite liigid ja arvu („suutlikkuse eesmärgid“). Komisjon jälgib edusamme suutlikkuse eesmärkide saavutamisel ja jätkuvaid puudujääke, ning julgustab liikmesriike neid puudujääke kõrvaldama. Komisjon võib vastavalt artiklile 20, artikli 21 lõike 1 punktile i ja artikli 21 lõikele 2 liikmesriike toetada.“</w:t>
      </w:r>
    </w:p>
    <w:p>
      <w:pPr>
        <w:pStyle w:val="Point1"/>
        <w:rPr>
          <w:noProof/>
        </w:rPr>
      </w:pPr>
      <w:r>
        <w:rPr>
          <w:noProof/>
        </w:rPr>
        <w:t>c)</w:t>
      </w:r>
      <w:r>
        <w:rPr>
          <w:noProof/>
        </w:rPr>
        <w:tab/>
        <w:t>Lõiked 7 ja 8 asendatakse järgmistega:</w:t>
      </w:r>
    </w:p>
    <w:p>
      <w:pPr>
        <w:pStyle w:val="Point1"/>
        <w:rPr>
          <w:noProof/>
        </w:rPr>
      </w:pPr>
      <w:r>
        <w:rPr>
          <w:noProof/>
        </w:rPr>
        <w:t>„7.</w:t>
      </w:r>
      <w:r>
        <w:rPr>
          <w:noProof/>
        </w:rPr>
        <w:tab/>
        <w:t>Euroopa kodanikukaitse ühisressursi osaks olevad liikmesriikide reageerimisvahendid peavad olema abitaotluse esitamisel ERCC kaudu kättesaadavad liidu mehhanismi raames hädaolukordadele reageerimise operatsioonideks, välja arvatud juhul, kui liikmesriikides on erakorraline olukord, mis mõjutab oluliselt riigi ülesannete täitmist.</w:t>
      </w:r>
    </w:p>
    <w:p>
      <w:pPr>
        <w:pStyle w:val="Point1"/>
        <w:rPr>
          <w:noProof/>
        </w:rPr>
      </w:pPr>
      <w:r>
        <w:rPr>
          <w:noProof/>
        </w:rPr>
        <w:t>8.</w:t>
      </w:r>
      <w:r>
        <w:rPr>
          <w:noProof/>
        </w:rPr>
        <w:tab/>
        <w:t>Selliste reageerimisvahendite kasutuselevõtu korral jäävad need kättesaadavaks tegeva liikmesriigi juhtimise ja kontrolli alla ning need võib tagasi võtta, kui liikmesriike tabab erakorraline olukord, mis mõjutab oluliselt riigi ülesannete täitmist, takistades neil nimetatud reageerimisvahendeid kättesaadavana hoidmast. Sellistel juhtudel tuleb konsulteerida komisjoniga.</w:t>
      </w:r>
    </w:p>
    <w:p>
      <w:pPr>
        <w:pStyle w:val="Point1"/>
        <w:ind w:firstLine="0"/>
        <w:rPr>
          <w:noProof/>
        </w:rPr>
      </w:pPr>
      <w:r>
        <w:rPr>
          <w:noProof/>
        </w:rPr>
        <w:t>Eri reageerimisvahendite koordineerimist hõlbustab vajaduse korral komisjon ERCC kaudu vastavalt artiklitele 15 ja 16.“</w:t>
      </w:r>
    </w:p>
    <w:p>
      <w:pPr>
        <w:pStyle w:val="Point1"/>
        <w:rPr>
          <w:noProof/>
        </w:rPr>
      </w:pPr>
      <w:r>
        <w:rPr>
          <w:noProof/>
        </w:rPr>
        <w:t>d)</w:t>
      </w:r>
      <w:r>
        <w:rPr>
          <w:noProof/>
        </w:rPr>
        <w:tab/>
        <w:t>lisatakse järgmine lõige 10:</w:t>
      </w:r>
    </w:p>
    <w:p>
      <w:pPr>
        <w:pStyle w:val="Point1"/>
        <w:rPr>
          <w:noProof/>
        </w:rPr>
      </w:pPr>
      <w:r>
        <w:rPr>
          <w:noProof/>
        </w:rPr>
        <w:t>„10.</w:t>
      </w:r>
      <w:r>
        <w:rPr>
          <w:noProof/>
        </w:rPr>
        <w:tab/>
        <w:t>Viiteid Euroopa hädaolukordadele reageerimise suutlikkusele, EERC´ile ja vabatahtlikkuse alusel eraldatud reageerimisvahenditele käsitatakse viidetena Euroopa kodanikukaitse ühisressursile.“</w:t>
      </w:r>
    </w:p>
    <w:p>
      <w:pPr>
        <w:pStyle w:val="Point0"/>
        <w:rPr>
          <w:noProof/>
        </w:rPr>
      </w:pPr>
      <w:r>
        <w:rPr>
          <w:noProof/>
        </w:rPr>
        <w:t>6)</w:t>
      </w:r>
      <w:r>
        <w:rPr>
          <w:noProof/>
        </w:rPr>
        <w:tab/>
        <w:t>Artikkel 12 asendatakse järgmisega:</w:t>
      </w:r>
    </w:p>
    <w:p>
      <w:pPr>
        <w:pStyle w:val="NormalCentered"/>
        <w:rPr>
          <w:b/>
          <w:noProof/>
        </w:rPr>
      </w:pPr>
      <w:r>
        <w:rPr>
          <w:b/>
          <w:noProof/>
        </w:rPr>
        <w:t>„rescEU“</w:t>
      </w:r>
    </w:p>
    <w:p>
      <w:pPr>
        <w:pStyle w:val="Point1"/>
        <w:rPr>
          <w:noProof/>
        </w:rPr>
      </w:pPr>
      <w:r>
        <w:rPr>
          <w:noProof/>
        </w:rPr>
        <w:t>1.</w:t>
      </w:r>
      <w:r>
        <w:rPr>
          <w:noProof/>
        </w:rPr>
        <w:tab/>
        <w:t>rescEU luuakse abi osutamiseks olukorras, kus olemasolevad vahendid ei võimalda õnnetustele tõhusalt reageerida.</w:t>
      </w:r>
    </w:p>
    <w:p>
      <w:pPr>
        <w:pStyle w:val="Point1"/>
        <w:rPr>
          <w:noProof/>
        </w:rPr>
      </w:pPr>
      <w:r>
        <w:rPr>
          <w:noProof/>
        </w:rPr>
        <w:t>2.</w:t>
      </w:r>
      <w:r>
        <w:rPr>
          <w:noProof/>
        </w:rPr>
        <w:tab/>
        <w:t>rescEU koosneb järgmistest vahenditest:</w:t>
      </w:r>
    </w:p>
    <w:p>
      <w:pPr>
        <w:pStyle w:val="Text1"/>
        <w:ind w:left="2160"/>
        <w:rPr>
          <w:noProof/>
        </w:rPr>
      </w:pPr>
      <w:r>
        <w:rPr>
          <w:noProof/>
        </w:rPr>
        <w:t>a)</w:t>
      </w:r>
      <w:r>
        <w:rPr>
          <w:noProof/>
        </w:rPr>
        <w:tab/>
        <w:t>metsatulekahjude kustutamine õhust;</w:t>
      </w:r>
    </w:p>
    <w:p>
      <w:pPr>
        <w:pStyle w:val="Text1"/>
        <w:ind w:left="2160"/>
        <w:rPr>
          <w:noProof/>
        </w:rPr>
      </w:pPr>
      <w:r>
        <w:rPr>
          <w:noProof/>
        </w:rPr>
        <w:t>b)</w:t>
      </w:r>
      <w:r>
        <w:rPr>
          <w:noProof/>
        </w:rPr>
        <w:tab/>
        <w:t>suure võimsusega pumbad;</w:t>
      </w:r>
    </w:p>
    <w:p>
      <w:pPr>
        <w:pStyle w:val="Text1"/>
        <w:ind w:left="2880" w:hanging="720"/>
        <w:rPr>
          <w:noProof/>
        </w:rPr>
      </w:pPr>
      <w:r>
        <w:rPr>
          <w:noProof/>
        </w:rPr>
        <w:t>c)</w:t>
      </w:r>
      <w:r>
        <w:rPr>
          <w:noProof/>
        </w:rPr>
        <w:tab/>
        <w:t>otsingu- ja päästetööd linnas;</w:t>
      </w:r>
    </w:p>
    <w:p>
      <w:pPr>
        <w:pStyle w:val="Text1"/>
        <w:ind w:left="2880" w:hanging="720"/>
        <w:rPr>
          <w:noProof/>
        </w:rPr>
      </w:pPr>
      <w:r>
        <w:rPr>
          <w:noProof/>
        </w:rPr>
        <w:t>d)</w:t>
      </w:r>
      <w:r>
        <w:rPr>
          <w:noProof/>
        </w:rPr>
        <w:tab/>
        <w:t>välihaiglad ja erakorralise meditsiini rühmad.</w:t>
      </w:r>
    </w:p>
    <w:p>
      <w:pPr>
        <w:pStyle w:val="Point1"/>
        <w:rPr>
          <w:noProof/>
        </w:rPr>
      </w:pPr>
      <w:r>
        <w:rPr>
          <w:noProof/>
        </w:rPr>
        <w:t>3.</w:t>
      </w:r>
      <w:r>
        <w:rPr>
          <w:noProof/>
        </w:rPr>
        <w:tab/>
        <w:t>Komisjon võib vastavalt liidu finantseeskirjadele soetada, rentida, liisida ja/või hankida muul viisil vahendeid, mida kasutatakse lõikes 1 osutatud juhtudel.</w:t>
      </w:r>
    </w:p>
    <w:p>
      <w:pPr>
        <w:pStyle w:val="Point1"/>
        <w:rPr>
          <w:noProof/>
        </w:rPr>
      </w:pPr>
      <w:r>
        <w:rPr>
          <w:noProof/>
        </w:rPr>
        <w:t>4.</w:t>
      </w:r>
      <w:r>
        <w:rPr>
          <w:noProof/>
        </w:rPr>
        <w:tab/>
        <w:t>Kindlaks tehtud riskide põhjal ja võttes arvesse mitme ohu põhist lähenemisviisi antakse komisjonile õigus võtta vastavalt artiklile 30 vastu delegeeritud õigusakte, et määratleda, millist liiki reageerimisvahendid on vajalikud lisaks käesoleva artikli lõikes 2 nimetatud reageerimisvahenditele, ning vaadata rescEU koosseis vastavalt läbi. Tagada tuleb kooskõla liidu muude tegevuspõhimõtetega.</w:t>
      </w:r>
    </w:p>
    <w:p>
      <w:pPr>
        <w:pStyle w:val="Point1"/>
        <w:rPr>
          <w:noProof/>
        </w:rPr>
      </w:pPr>
      <w:r>
        <w:rPr>
          <w:noProof/>
        </w:rPr>
        <w:tab/>
        <w:t>Kui see osutub õnnetuse või õnnetuse ohu korral tungiva kiireloomulisuse tõttu vajalikuks, kohaldatakse artiklis 31 sätestatud menetlust käesoleva artikli kohaselt vastu võetud delegeeritud õigusaktide suhtes.</w:t>
      </w:r>
    </w:p>
    <w:p>
      <w:pPr>
        <w:pStyle w:val="Point1"/>
        <w:rPr>
          <w:noProof/>
        </w:rPr>
      </w:pPr>
      <w:r>
        <w:rPr>
          <w:noProof/>
        </w:rPr>
        <w:t>5.</w:t>
      </w:r>
      <w:r>
        <w:rPr>
          <w:noProof/>
        </w:rPr>
        <w:tab/>
        <w:t>Komisjon määrab kindlaks rescEU moodustavate reageerimisvahendite kvaliteedinõuded. Kvaliteedinõuded põhinevad kehtivatel rahvusvahelistel standarditel, kui sellised standardid on olemas.</w:t>
      </w:r>
    </w:p>
    <w:p>
      <w:pPr>
        <w:pStyle w:val="Point1"/>
        <w:rPr>
          <w:noProof/>
        </w:rPr>
      </w:pPr>
      <w:r>
        <w:rPr>
          <w:noProof/>
        </w:rPr>
        <w:t>6.</w:t>
      </w:r>
      <w:r>
        <w:rPr>
          <w:noProof/>
        </w:rPr>
        <w:tab/>
        <w:t>Komisjon tagab liidu mehhanismi raames lõikes 2 osutatud reageerimisvahendite kättesaadavuse ja kasutuselevõtu.</w:t>
      </w:r>
    </w:p>
    <w:p>
      <w:pPr>
        <w:pStyle w:val="Point1"/>
        <w:rPr>
          <w:noProof/>
        </w:rPr>
      </w:pPr>
      <w:r>
        <w:rPr>
          <w:noProof/>
        </w:rPr>
        <w:t>7.</w:t>
      </w:r>
      <w:r>
        <w:rPr>
          <w:noProof/>
        </w:rPr>
        <w:tab/>
        <w:t>rescEU reageerimisvahendid peavad olema abitaotluse esitamisel ERCC kaudu kättesaadavad liidu mehhanismis sätestatud hädaolukordadele reageerimise operatsioonideks. Otsuse nende rakendamise kohta teeb komisjon, võttes endale rescEU reageerimisvahendite üle juhtimis- ja kontrollülesanded.</w:t>
      </w:r>
    </w:p>
    <w:p>
      <w:pPr>
        <w:pStyle w:val="Point1"/>
        <w:rPr>
          <w:noProof/>
        </w:rPr>
      </w:pPr>
      <w:r>
        <w:rPr>
          <w:noProof/>
        </w:rPr>
        <w:t>8.</w:t>
      </w:r>
      <w:r>
        <w:rPr>
          <w:noProof/>
        </w:rPr>
        <w:tab/>
        <w:t>Kasutuselevõtmise korral lepib komisjon taotlevate liikmesriikidega kokku rescEU reageerimisvahendite kasutamises. Taotlev liikmesriik lihtsustab operatsioonide käigus oma vahendite ja rescEU tegevuse kooskõlastamist.</w:t>
      </w:r>
    </w:p>
    <w:p>
      <w:pPr>
        <w:pStyle w:val="Point1"/>
        <w:rPr>
          <w:noProof/>
        </w:rPr>
      </w:pPr>
      <w:r>
        <w:rPr>
          <w:noProof/>
        </w:rPr>
        <w:t>9.</w:t>
      </w:r>
      <w:r>
        <w:rPr>
          <w:noProof/>
        </w:rPr>
        <w:tab/>
        <w:t>Eri reageerimisvahendite koordineerimist hõlbustab vajaduse korral komisjon ERCC kaudu vastavalt artiklitele 15 ja 16.</w:t>
      </w:r>
    </w:p>
    <w:p>
      <w:pPr>
        <w:pStyle w:val="Point1"/>
        <w:rPr>
          <w:noProof/>
        </w:rPr>
      </w:pPr>
      <w:r>
        <w:rPr>
          <w:noProof/>
        </w:rPr>
        <w:t>10.</w:t>
      </w:r>
      <w:r>
        <w:rPr>
          <w:noProof/>
        </w:rPr>
        <w:tab/>
        <w:t>Juhul kui komisjon hangib soetamise, liisimise või rentimise teel sellist varustust nagu metsatulekahjude õhust kustutamise varustus, tuleb tagada järgmine:</w:t>
      </w:r>
    </w:p>
    <w:p>
      <w:pPr>
        <w:pStyle w:val="Point2"/>
        <w:rPr>
          <w:noProof/>
        </w:rPr>
      </w:pPr>
      <w:r>
        <w:rPr>
          <w:noProof/>
        </w:rPr>
        <w:t>a)</w:t>
      </w:r>
      <w:r>
        <w:rPr>
          <w:noProof/>
        </w:rPr>
        <w:tab/>
        <w:t xml:space="preserve">varustuse soetamisel sätestatakse komisjoni ja liikmesriigi vahelises lepingus varustuse registreerimine asjaomases liikmesriigis; </w:t>
      </w:r>
    </w:p>
    <w:p>
      <w:pPr>
        <w:pStyle w:val="Point2"/>
        <w:rPr>
          <w:noProof/>
        </w:rPr>
      </w:pPr>
      <w:r>
        <w:rPr>
          <w:noProof/>
        </w:rPr>
        <w:t>b)</w:t>
      </w:r>
      <w:r>
        <w:rPr>
          <w:noProof/>
        </w:rPr>
        <w:tab/>
        <w:t>liisimisel ja rentimisel varustuse registreerimine liikmesriigis.</w:t>
      </w:r>
    </w:p>
    <w:p>
      <w:pPr>
        <w:pStyle w:val="Point1"/>
        <w:rPr>
          <w:noProof/>
        </w:rPr>
      </w:pPr>
      <w:r>
        <w:rPr>
          <w:noProof/>
        </w:rPr>
        <w:t>11.</w:t>
      </w:r>
      <w:r>
        <w:rPr>
          <w:noProof/>
        </w:rPr>
        <w:tab/>
        <w:t>Liikmesriike teavitatakse rescEU vahendite operatiivseisundist CECISe kaudu.“</w:t>
      </w:r>
    </w:p>
    <w:p>
      <w:pPr>
        <w:pStyle w:val="Point0"/>
        <w:rPr>
          <w:noProof/>
        </w:rPr>
      </w:pPr>
      <w:r>
        <w:rPr>
          <w:noProof/>
        </w:rPr>
        <w:t>7)</w:t>
      </w:r>
      <w:r>
        <w:rPr>
          <w:noProof/>
        </w:rPr>
        <w:tab/>
        <w:t>Lisatakse artikkel 12a:</w:t>
      </w:r>
    </w:p>
    <w:p>
      <w:pPr>
        <w:pStyle w:val="Titrearticle"/>
        <w:rPr>
          <w:b/>
          <w:noProof/>
        </w:rPr>
      </w:pPr>
      <w:r>
        <w:rPr>
          <w:noProof/>
        </w:rPr>
        <w:t>„Artikkel 12 a</w:t>
      </w:r>
      <w:r>
        <w:rPr>
          <w:noProof/>
        </w:rPr>
        <w:br/>
      </w:r>
      <w:r>
        <w:rPr>
          <w:b/>
          <w:noProof/>
        </w:rPr>
        <w:t>Euroopa Parlamendi ja nõukogu teavitamine</w:t>
      </w:r>
    </w:p>
    <w:p>
      <w:pPr>
        <w:rPr>
          <w:noProof/>
        </w:rPr>
      </w:pPr>
      <w:r>
        <w:rPr>
          <w:noProof/>
        </w:rPr>
        <w:t>Komisjon teavitab Euroopa Parlamenti ja nõukogu iga kahe aasta tagant artiklite 11 ja 12 alusel teostatud operatsioonidest ja tehtud edusammudest.“</w:t>
      </w:r>
    </w:p>
    <w:p>
      <w:pPr>
        <w:pStyle w:val="Point0"/>
        <w:rPr>
          <w:noProof/>
        </w:rPr>
      </w:pPr>
      <w:r>
        <w:rPr>
          <w:noProof/>
        </w:rPr>
        <w:t>8)</w:t>
      </w:r>
      <w:r>
        <w:rPr>
          <w:noProof/>
        </w:rPr>
        <w:tab/>
        <w:t>Artikli 13 lõike 1 pealkiri ja esimene lause asendatakse järgmisega:</w:t>
      </w:r>
    </w:p>
    <w:p>
      <w:pPr>
        <w:pStyle w:val="NormalCentered"/>
        <w:rPr>
          <w:b/>
          <w:noProof/>
        </w:rPr>
      </w:pPr>
      <w:r>
        <w:rPr>
          <w:b/>
          <w:noProof/>
        </w:rPr>
        <w:t>„Liidu kodanikukaitsealaste teadmiste võrgustik</w:t>
      </w:r>
    </w:p>
    <w:p>
      <w:pPr>
        <w:pStyle w:val="Text1"/>
        <w:rPr>
          <w:noProof/>
        </w:rPr>
      </w:pPr>
      <w:r>
        <w:rPr>
          <w:noProof/>
        </w:rPr>
        <w:t xml:space="preserve">1. Komisjon loob asjaomaste kodanikukaitse ja õnnetuste ohjamise valdkonna esindajate ja institutsioonide võrgustiku, millest moodustub koos komisjoniga liidu kodanikukaitsealaste teadmiste võrgustik. </w:t>
      </w:r>
    </w:p>
    <w:p>
      <w:pPr>
        <w:pStyle w:val="Text1"/>
        <w:rPr>
          <w:noProof/>
        </w:rPr>
      </w:pPr>
      <w:r>
        <w:rPr>
          <w:noProof/>
        </w:rPr>
        <w:t>Võrgustik täidab vajaduse korral tihedas koostöös asjaomaste teadmuskeskustega koolituste, õppuste, saadud kogemustele toetumise ja teadmiste levitamise valdkonnas järgmisi ülesandeid:“</w:t>
      </w:r>
    </w:p>
    <w:p>
      <w:pPr>
        <w:pStyle w:val="Point0"/>
        <w:rPr>
          <w:noProof/>
        </w:rPr>
      </w:pPr>
      <w:r>
        <w:rPr>
          <w:noProof/>
        </w:rPr>
        <w:t>9)</w:t>
      </w:r>
      <w:r>
        <w:rPr>
          <w:noProof/>
        </w:rPr>
        <w:tab/>
        <w:t>Artikli 15 lõige 1 asendatakse järgmisega:</w:t>
      </w:r>
    </w:p>
    <w:p>
      <w:pPr>
        <w:pStyle w:val="Point1"/>
        <w:rPr>
          <w:noProof/>
        </w:rPr>
      </w:pPr>
      <w:r>
        <w:rPr>
          <w:noProof/>
        </w:rPr>
        <w:t>„1.</w:t>
      </w:r>
      <w:r>
        <w:rPr>
          <w:noProof/>
        </w:rPr>
        <w:tab/>
        <w:t>Liidu territooriumil toimunud õnnetuse või selle ohu korral võib liikmesriik, keda kõnealune õnnetus võib mõjutada, taotleda abi ERCC kaudu. Taotlus peab olema võimalikult täpne. Abitaotlus aegub maksimaalselt 90 päeva pärast, välja arvatud juhul, kui ERCC`ile esitatakse jätkuva või täiendava abi andmist põhjendavaid uusi andmeid.“</w:t>
      </w:r>
    </w:p>
    <w:p>
      <w:pPr>
        <w:pStyle w:val="Point0"/>
        <w:rPr>
          <w:noProof/>
        </w:rPr>
      </w:pPr>
      <w:r>
        <w:rPr>
          <w:noProof/>
        </w:rPr>
        <w:t>10)</w:t>
      </w:r>
      <w:r>
        <w:rPr>
          <w:noProof/>
        </w:rPr>
        <w:tab/>
        <w:t>Artikli 16 lõige 1 asendatakse järgmisega:</w:t>
      </w:r>
    </w:p>
    <w:p>
      <w:pPr>
        <w:pStyle w:val="Point1"/>
        <w:rPr>
          <w:noProof/>
        </w:rPr>
      </w:pPr>
      <w:r>
        <w:rPr>
          <w:noProof/>
        </w:rPr>
        <w:t>„1.</w:t>
      </w:r>
      <w:r>
        <w:rPr>
          <w:noProof/>
        </w:rPr>
        <w:tab/>
        <w:t>Väljaspool liidu territooriumi toimunud õnnetuse või õnnetuse ohu korral võib kannatanud riik taotleda abi ERCC kaudu. Abi taotlemine võib toimuda ka ÜRO või tema asutuste või mõne muu asjaomase rahvusvahelise organisatsiooni kaudu või nende poolt. Abitaotlus aegub maksimaalselt 90 päeva pärast, välja arvatud juhul, kui ERCC`ile esitatakse jätkuva või täiendava abi andmist põhjendavaid uusi andmeid.“</w:t>
      </w:r>
    </w:p>
    <w:p>
      <w:pPr>
        <w:pStyle w:val="Point0"/>
        <w:rPr>
          <w:noProof/>
        </w:rPr>
      </w:pPr>
      <w:r>
        <w:rPr>
          <w:noProof/>
        </w:rPr>
        <w:t>11)</w:t>
      </w:r>
      <w:r>
        <w:rPr>
          <w:noProof/>
        </w:rPr>
        <w:tab/>
        <w:t>Artikli 19 lõige 1 asendatakse järgmisega:</w:t>
      </w:r>
    </w:p>
    <w:p>
      <w:pPr>
        <w:pStyle w:val="Point1"/>
        <w:rPr>
          <w:noProof/>
          <w:szCs w:val="24"/>
        </w:rPr>
      </w:pPr>
      <w:r>
        <w:rPr>
          <w:noProof/>
        </w:rPr>
        <w:t>„1.</w:t>
      </w:r>
      <w:r>
        <w:rPr>
          <w:noProof/>
        </w:rPr>
        <w:tab/>
        <w:t>Rahastamispakett liidu mehhanismi rakendamiseks ajavahemikuks 2014–2020 on jooksevhindades 631 566 000 eurot.</w:t>
      </w:r>
    </w:p>
    <w:p>
      <w:pPr>
        <w:pStyle w:val="Text2"/>
        <w:rPr>
          <w:noProof/>
        </w:rPr>
      </w:pPr>
      <w:r>
        <w:rPr>
          <w:noProof/>
        </w:rPr>
        <w:t>Jooksevhindades 480 630 000 eurot saadakse mitmeaastase finantsraamistiku rubriigist 3 „Julgeolek ja kodakondsus” ning jooksevhindades 150 936 000 eurot rubriigist 4 „Globaalne Euroopa”.</w:t>
      </w:r>
    </w:p>
    <w:p>
      <w:pPr>
        <w:pStyle w:val="Point0"/>
        <w:rPr>
          <w:noProof/>
        </w:rPr>
      </w:pPr>
      <w:r>
        <w:rPr>
          <w:noProof/>
        </w:rPr>
        <w:t>12)</w:t>
      </w:r>
      <w:r>
        <w:rPr>
          <w:noProof/>
        </w:rPr>
        <w:tab/>
        <w:t>Lisatakse artikkel 20 a:</w:t>
      </w:r>
    </w:p>
    <w:p>
      <w:pPr>
        <w:pStyle w:val="Titrearticle"/>
        <w:rPr>
          <w:b/>
          <w:bCs/>
          <w:i w:val="0"/>
          <w:noProof/>
        </w:rPr>
      </w:pPr>
      <w:r>
        <w:rPr>
          <w:noProof/>
        </w:rPr>
        <w:t>„Artikkel 20 a</w:t>
      </w:r>
      <w:r>
        <w:rPr>
          <w:noProof/>
        </w:rPr>
        <w:br/>
      </w:r>
      <w:r>
        <w:rPr>
          <w:b/>
          <w:i w:val="0"/>
          <w:noProof/>
        </w:rPr>
        <w:t>Nähtavus</w:t>
      </w:r>
    </w:p>
    <w:p>
      <w:pPr>
        <w:rPr>
          <w:noProof/>
        </w:rPr>
      </w:pPr>
      <w:r>
        <w:rPr>
          <w:noProof/>
        </w:rPr>
        <w:t>Käesoleva otsuse alusel antud abi või rahaliste vahenditega suurendatakse liidu asjakohast nähtavust, sealhulgas tõstetakse artiklites 11, 12 ja artikli 21 lõike 2 punktis c osutatud vahendite puhul esile liidu embleemi.</w:t>
      </w:r>
    </w:p>
    <w:p>
      <w:pPr>
        <w:pStyle w:val="Point0"/>
        <w:rPr>
          <w:noProof/>
        </w:rPr>
      </w:pPr>
      <w:r>
        <w:rPr>
          <w:noProof/>
        </w:rPr>
        <w:t>13)</w:t>
      </w:r>
      <w:r>
        <w:rPr>
          <w:noProof/>
        </w:rPr>
        <w:tab/>
        <w:t>Artiklit 21 muudetakse järgmiselt:</w:t>
      </w:r>
    </w:p>
    <w:p>
      <w:pPr>
        <w:pStyle w:val="Point1"/>
        <w:rPr>
          <w:noProof/>
        </w:rPr>
      </w:pPr>
      <w:r>
        <w:rPr>
          <w:noProof/>
        </w:rPr>
        <w:t>a)</w:t>
      </w:r>
      <w:r>
        <w:rPr>
          <w:noProof/>
        </w:rPr>
        <w:tab/>
        <w:t>lõike 1 punkt j asendatakse järgmisega:</w:t>
      </w:r>
    </w:p>
    <w:p>
      <w:pPr>
        <w:pStyle w:val="Point1"/>
        <w:rPr>
          <w:noProof/>
        </w:rPr>
      </w:pPr>
      <w:r>
        <w:rPr>
          <w:noProof/>
        </w:rPr>
        <w:t>„j)</w:t>
      </w:r>
      <w:r>
        <w:rPr>
          <w:noProof/>
        </w:rPr>
        <w:tab/>
        <w:t xml:space="preserve">rescEU loomine, juhtimine ja ülalpidamine kooskõlas artikliga 12;“ </w:t>
      </w:r>
    </w:p>
    <w:p>
      <w:pPr>
        <w:pStyle w:val="Point1"/>
        <w:rPr>
          <w:noProof/>
        </w:rPr>
      </w:pPr>
      <w:r>
        <w:rPr>
          <w:noProof/>
        </w:rPr>
        <w:t>b)</w:t>
      </w:r>
      <w:r>
        <w:rPr>
          <w:noProof/>
        </w:rPr>
        <w:tab/>
        <w:t>lõiget 2 muudetakse järgmiselt:</w:t>
      </w:r>
    </w:p>
    <w:p>
      <w:pPr>
        <w:pStyle w:val="Point1"/>
        <w:rPr>
          <w:noProof/>
        </w:rPr>
      </w:pPr>
      <w:r>
        <w:rPr>
          <w:noProof/>
        </w:rPr>
        <w:tab/>
        <w:t>i) punkt c asendatakse järgmisega:</w:t>
      </w:r>
    </w:p>
    <w:p>
      <w:pPr>
        <w:pStyle w:val="Point1"/>
        <w:rPr>
          <w:noProof/>
        </w:rPr>
      </w:pPr>
      <w:r>
        <w:rPr>
          <w:noProof/>
        </w:rPr>
        <w:t>„c)</w:t>
      </w:r>
      <w:r>
        <w:rPr>
          <w:noProof/>
        </w:rPr>
        <w:tab/>
        <w:t xml:space="preserve">kulud, mis on vajalikud, et ajakohastada või parandada reageerimisvahendite valmisolekut ja kättesaadavust, nii et need muutuksid kasutatavaks osana Euroopa kodanikukaitse ühisressursist, kooskõlas Euroopa kodanikukaitse ühisressursi kvaliteedinõuetega ja vajaduse korral sertifitseerimisprotsessi käigus koostatud soovitustega („kohandamiskulud“). Nimetatud kulud võivad hõlmata moodulite ja teiste reageerimisvahendite toimimisvõime, koostoimimisvõime, autonoomsuse, sõltumatuse, transporditavuse ja pakendamisega seotud kulusid ning muid vajalikke kulusid, tingimusel et need kulud on seotud konkreetselt Euroopa kodanikukaitse ühisressursist eraldatud vahenditega. </w:t>
      </w:r>
    </w:p>
    <w:p>
      <w:pPr>
        <w:pStyle w:val="Point1"/>
        <w:ind w:firstLine="0"/>
        <w:rPr>
          <w:noProof/>
        </w:rPr>
      </w:pPr>
      <w:r>
        <w:rPr>
          <w:noProof/>
        </w:rPr>
        <w:t>Kohandamiskulud võivad hõlmata:</w:t>
      </w:r>
    </w:p>
    <w:p>
      <w:pPr>
        <w:pStyle w:val="Point1"/>
        <w:ind w:firstLine="0"/>
        <w:rPr>
          <w:noProof/>
        </w:rPr>
      </w:pPr>
      <w:r>
        <w:rPr>
          <w:noProof/>
        </w:rPr>
        <w:t xml:space="preserve">i) 75 % rahastamiskõlblikest kuludest ajakohastamise korral, tingimusel et see ei ületa 50 % vahendi arendamise keskmisest kulust; </w:t>
      </w:r>
    </w:p>
    <w:p>
      <w:pPr>
        <w:pStyle w:val="Point1"/>
        <w:ind w:firstLine="0"/>
        <w:rPr>
          <w:noProof/>
        </w:rPr>
      </w:pPr>
      <w:r>
        <w:rPr>
          <w:noProof/>
        </w:rPr>
        <w:t>ii) 75 % rahastamiskõlblikest kuludest parandamise korral.</w:t>
      </w:r>
    </w:p>
    <w:p>
      <w:pPr>
        <w:pStyle w:val="Point1"/>
        <w:ind w:firstLine="0"/>
        <w:rPr>
          <w:noProof/>
        </w:rPr>
      </w:pPr>
      <w:r>
        <w:rPr>
          <w:noProof/>
        </w:rPr>
        <w:t>Reageerimisvahendid, mida rahastatakse punktide i ja ii alusel, peavad olema osana Euroopa kodanikukaitse ühisressursist kättesaadavad minimaalselt vastavalt 5 ja 10 aastat, välja arvatud juhul, kui nende majanduslik kasutusiga on lühem.</w:t>
      </w:r>
    </w:p>
    <w:p>
      <w:pPr>
        <w:pStyle w:val="Point1"/>
        <w:ind w:firstLine="0"/>
        <w:rPr>
          <w:noProof/>
        </w:rPr>
      </w:pPr>
      <w:r>
        <w:rPr>
          <w:noProof/>
        </w:rPr>
        <w:t>Kohandamiskulud võivad põhineda ühikuhindadel või ühekordsetel maksetel, mis määratakse kindlaks vastavalt vahendi liigile.“</w:t>
      </w:r>
    </w:p>
    <w:p>
      <w:pPr>
        <w:pStyle w:val="Point1"/>
        <w:rPr>
          <w:noProof/>
        </w:rPr>
      </w:pPr>
      <w:r>
        <w:rPr>
          <w:noProof/>
        </w:rPr>
        <w:tab/>
        <w:t>ii) punkt d jäetakse välja.</w:t>
      </w:r>
    </w:p>
    <w:p>
      <w:pPr>
        <w:pStyle w:val="Point1"/>
        <w:rPr>
          <w:noProof/>
        </w:rPr>
      </w:pPr>
      <w:r>
        <w:rPr>
          <w:noProof/>
        </w:rPr>
        <w:t>c) lisatakse järgmised lõiked:</w:t>
      </w:r>
    </w:p>
    <w:p>
      <w:pPr>
        <w:pStyle w:val="Point1"/>
        <w:rPr>
          <w:noProof/>
        </w:rPr>
      </w:pPr>
      <w:r>
        <w:rPr>
          <w:noProof/>
        </w:rPr>
        <w:t>„3.</w:t>
      </w:r>
      <w:r>
        <w:rPr>
          <w:noProof/>
        </w:rPr>
        <w:tab/>
        <w:t>Lõike 1 punktis j osutatud meetmele antav rahaline abi hõlmab kõiki kulusid, mis on vajalikud rescEU vahendite liidu mehhanismi raames kättesaadavuse ja kasutatavuse tagamiseks, kui neid kasutatakse õnnetuse või õnnetuse ohu korral liidu või osaleva riigi piires.</w:t>
      </w:r>
    </w:p>
    <w:p>
      <w:pPr>
        <w:pStyle w:val="Text2"/>
        <w:rPr>
          <w:noProof/>
        </w:rPr>
      </w:pPr>
      <w:r>
        <w:rPr>
          <w:noProof/>
        </w:rPr>
        <w:t>Esimeses lõigus osutatud kulud hõlmavad vastavalt vajadusele järgmist:</w:t>
      </w:r>
    </w:p>
    <w:p>
      <w:pPr>
        <w:pStyle w:val="Point2letter"/>
        <w:rPr>
          <w:noProof/>
        </w:rPr>
      </w:pPr>
      <w:r>
        <w:rPr>
          <w:noProof/>
        </w:rPr>
        <w:t xml:space="preserve">rescEU vahendite soetamise, rentimise ja/või liisimisega soetud kulud; </w:t>
      </w:r>
    </w:p>
    <w:p>
      <w:pPr>
        <w:pStyle w:val="Point2letter"/>
        <w:rPr>
          <w:noProof/>
        </w:rPr>
      </w:pPr>
      <w:r>
        <w:rPr>
          <w:noProof/>
        </w:rPr>
        <w:t>rescEU vahendite toimimise, sealhulgas transpordiga seotud kulud;</w:t>
      </w:r>
    </w:p>
    <w:p>
      <w:pPr>
        <w:pStyle w:val="Point2letter"/>
        <w:rPr>
          <w:noProof/>
        </w:rPr>
      </w:pPr>
      <w:r>
        <w:rPr>
          <w:noProof/>
        </w:rPr>
        <w:t>rescEU vahendite toimimiseks vajalike avaliku sektori või erasektori üksuse teenuste hankimisega seotud kulud.</w:t>
      </w:r>
    </w:p>
    <w:p>
      <w:pPr>
        <w:pStyle w:val="Point1"/>
        <w:rPr>
          <w:noProof/>
        </w:rPr>
      </w:pPr>
      <w:r>
        <w:rPr>
          <w:noProof/>
        </w:rPr>
        <w:t>4.</w:t>
      </w:r>
      <w:r>
        <w:rPr>
          <w:noProof/>
        </w:rPr>
        <w:tab/>
        <w:t>Lõike 3 punktis a osutatud kulud võivad vastavalt vajadusele põhineda reageerimisvahendi kategooria või liigi alusel kindlaks määratud ühikuhindadel, ühekordsetel maksetel või kindlamääralistel maksetel.“</w:t>
      </w:r>
    </w:p>
    <w:p>
      <w:pPr>
        <w:pStyle w:val="Point0"/>
        <w:rPr>
          <w:noProof/>
        </w:rPr>
      </w:pPr>
      <w:r>
        <w:rPr>
          <w:noProof/>
        </w:rPr>
        <w:t>14)</w:t>
      </w:r>
      <w:r>
        <w:rPr>
          <w:noProof/>
        </w:rPr>
        <w:tab/>
        <w:t>Artiklit 23 muudetakse järgmiselt:</w:t>
      </w:r>
    </w:p>
    <w:p>
      <w:pPr>
        <w:pStyle w:val="Point1"/>
        <w:ind w:left="130" w:firstLine="720"/>
        <w:rPr>
          <w:noProof/>
        </w:rPr>
      </w:pPr>
      <w:r>
        <w:rPr>
          <w:noProof/>
        </w:rPr>
        <w:t>a) pealkiri asendatakse järgmisega:</w:t>
      </w:r>
    </w:p>
    <w:p>
      <w:pPr>
        <w:pStyle w:val="Point1"/>
        <w:ind w:left="130" w:firstLine="720"/>
        <w:jc w:val="center"/>
        <w:rPr>
          <w:b/>
          <w:noProof/>
        </w:rPr>
      </w:pPr>
      <w:r>
        <w:rPr>
          <w:b/>
          <w:noProof/>
        </w:rPr>
        <w:t>„Varustuse ja operatsioonidega seotud abikõlblikud meetmed“</w:t>
      </w:r>
    </w:p>
    <w:p>
      <w:pPr>
        <w:pStyle w:val="Point1"/>
        <w:ind w:left="130" w:firstLine="720"/>
        <w:rPr>
          <w:noProof/>
        </w:rPr>
      </w:pPr>
      <w:r>
        <w:rPr>
          <w:noProof/>
        </w:rPr>
        <w:t>b) lõiked 2, 3 ja 4 asendatakse järgmisega:</w:t>
      </w:r>
    </w:p>
    <w:p>
      <w:pPr>
        <w:pStyle w:val="Point1"/>
        <w:rPr>
          <w:noProof/>
        </w:rPr>
      </w:pPr>
      <w:r>
        <w:rPr>
          <w:noProof/>
        </w:rPr>
        <w:t xml:space="preserve">„2. </w:t>
      </w:r>
      <w:r>
        <w:rPr>
          <w:noProof/>
        </w:rPr>
        <w:tab/>
        <w:t>Euroopa kodanikukaitse ühisressursile eraldatava liidu rahalise toetuse summa on õnnetuse või õnnetuse ohu korral liidu või osaleva riigi piires piiratud maksimaalselt 75 % reageerimisvahendite käitamiseks vajaminevatest kuludest, sealhulgas transport.</w:t>
      </w:r>
    </w:p>
    <w:p>
      <w:pPr>
        <w:pStyle w:val="Point1"/>
        <w:rPr>
          <w:noProof/>
        </w:rPr>
      </w:pPr>
      <w:r>
        <w:rPr>
          <w:noProof/>
        </w:rPr>
        <w:t xml:space="preserve">3. </w:t>
      </w:r>
      <w:r>
        <w:rPr>
          <w:noProof/>
        </w:rPr>
        <w:tab/>
        <w:t>Transpordile antava liidu rahalise toetuse summa võib katta maksimaalselt 75 % rahastamiskõlblikest kogukuludest, mis on seotud eelnevalt Euroopa kodanikukaitse ühisressursile eraldatud reageerimisvahendite transpordiga, kui seda kasutatakse õnnetuse või õnnetuse ohu korral väljaspool liitu vastavalt artiklis 16 osutatule.</w:t>
      </w:r>
    </w:p>
    <w:p>
      <w:pPr>
        <w:pStyle w:val="Point1"/>
        <w:rPr>
          <w:noProof/>
        </w:rPr>
      </w:pPr>
      <w:r>
        <w:rPr>
          <w:noProof/>
        </w:rPr>
        <w:t xml:space="preserve">4. </w:t>
      </w:r>
      <w:r>
        <w:rPr>
          <w:noProof/>
        </w:rPr>
        <w:tab/>
        <w:t>Transpordiressurssidele antav liidu rahaline toetus, mis on seotud vastavalt artiklile 11 eelnevalt Euroopa kodanikukaitse ühisressursile eraldatud reageerimisvahenditega, võib lisaks katta maksimaalselt 100 % punktides a, b, c ja d kirjeldatud rahastamiskõlblikest kogukuludest, kui see on vajalik liikmesriikide vahendite reservi kasutamise tõhustamiseks ning kui kulud on seotud ühega järgmistest:</w:t>
      </w:r>
    </w:p>
    <w:p>
      <w:pPr>
        <w:pStyle w:val="Point2"/>
        <w:rPr>
          <w:noProof/>
        </w:rPr>
      </w:pPr>
      <w:r>
        <w:rPr>
          <w:noProof/>
        </w:rPr>
        <w:t>a)</w:t>
      </w:r>
      <w:r>
        <w:rPr>
          <w:noProof/>
        </w:rPr>
        <w:tab/>
        <w:t>laopinna lühiajaline rentimine liikmesriikidelt saadud abi ajutiseks ladustamiseks, et lihtsustada selle koordineeritud transportimist;</w:t>
      </w:r>
    </w:p>
    <w:p>
      <w:pPr>
        <w:pStyle w:val="Point2"/>
        <w:rPr>
          <w:noProof/>
        </w:rPr>
      </w:pPr>
      <w:r>
        <w:rPr>
          <w:noProof/>
        </w:rPr>
        <w:t xml:space="preserve">b) </w:t>
      </w:r>
      <w:r>
        <w:rPr>
          <w:noProof/>
        </w:rPr>
        <w:tab/>
        <w:t>transport abi pakkuvast liikmesriigist abi koordineeritud transporti lihtsustavasse liikmesriiki;</w:t>
      </w:r>
    </w:p>
    <w:p>
      <w:pPr>
        <w:pStyle w:val="Point2"/>
        <w:rPr>
          <w:noProof/>
        </w:rPr>
      </w:pPr>
      <w:r>
        <w:rPr>
          <w:noProof/>
        </w:rPr>
        <w:t>c)</w:t>
      </w:r>
      <w:r>
        <w:rPr>
          <w:noProof/>
        </w:rPr>
        <w:tab/>
        <w:t>liikmesriikide abi ümberpakkimine, eesmärgiga kasutada maksimaalselt ära olemasolevaid transpordivahendeid või täita konkreetseid tegevusalaseid nõudeid; või</w:t>
      </w:r>
    </w:p>
    <w:p>
      <w:pPr>
        <w:pStyle w:val="Point2"/>
        <w:rPr>
          <w:noProof/>
        </w:rPr>
      </w:pPr>
      <w:r>
        <w:rPr>
          <w:noProof/>
        </w:rPr>
        <w:t>e)</w:t>
      </w:r>
      <w:r>
        <w:rPr>
          <w:noProof/>
        </w:rPr>
        <w:tab/>
        <w:t>reservi antud abi kohalik transportimine, transiit ja ladustamine, et tagada selle koordineeritud kättetoimetamine abi taotleva riigi lõppsihtkohas.“</w:t>
      </w:r>
    </w:p>
    <w:p>
      <w:pPr>
        <w:pStyle w:val="Point1"/>
        <w:rPr>
          <w:noProof/>
        </w:rPr>
      </w:pPr>
      <w:r>
        <w:rPr>
          <w:noProof/>
        </w:rPr>
        <w:t>e) lisatakse järgmine lõige:</w:t>
      </w:r>
    </w:p>
    <w:p>
      <w:pPr>
        <w:spacing w:after="240"/>
        <w:ind w:left="1440" w:hanging="590"/>
        <w:rPr>
          <w:noProof/>
        </w:rPr>
      </w:pPr>
      <w:r>
        <w:rPr>
          <w:noProof/>
        </w:rPr>
        <w:t>„8.</w:t>
      </w:r>
      <w:r>
        <w:rPr>
          <w:noProof/>
        </w:rPr>
        <w:tab/>
        <w:t>Transpordikulud võivad põhineda kulukategooria alusel kindlaks määratud ühikuhindadel, ühekordsetel maksetel või kindlamääralistel maksetel.“</w:t>
      </w:r>
    </w:p>
    <w:p>
      <w:pPr>
        <w:pStyle w:val="Point0"/>
        <w:rPr>
          <w:noProof/>
        </w:rPr>
      </w:pPr>
      <w:r>
        <w:rPr>
          <w:noProof/>
        </w:rPr>
        <w:t xml:space="preserve">15) </w:t>
      </w:r>
      <w:r>
        <w:rPr>
          <w:noProof/>
        </w:rPr>
        <w:tab/>
        <w:t>Artikli 26 lõiked 1 ja 2 asendatakse järgmistega:</w:t>
      </w:r>
    </w:p>
    <w:p>
      <w:pPr>
        <w:pStyle w:val="Text1"/>
        <w:ind w:left="1435" w:hanging="585"/>
        <w:rPr>
          <w:noProof/>
        </w:rPr>
      </w:pPr>
      <w:r>
        <w:rPr>
          <w:noProof/>
        </w:rPr>
        <w:t>„1.</w:t>
      </w:r>
      <w:r>
        <w:rPr>
          <w:noProof/>
        </w:rPr>
        <w:tab/>
        <w:t xml:space="preserve">Käesoleva otsuse alusel rahalist abi saavad meetmed ei saa abi liidu muudest rahastamisvahenditest. Käesoleva otsuse artiklite 21, 22 ja 23 alusel antud rahaline toetus ei takista erandina otsuses kehtestatud tingimuste alusel rahastamist liidu teistest rahastamisvahenditest. </w:t>
      </w:r>
    </w:p>
    <w:p>
      <w:pPr>
        <w:pStyle w:val="Text1"/>
        <w:ind w:left="1435"/>
        <w:rPr>
          <w:noProof/>
        </w:rPr>
      </w:pPr>
      <w:r>
        <w:rPr>
          <w:noProof/>
        </w:rPr>
        <w:t>Komisjon tagab, et käesoleva otsuse alusel rahalise abi taotlejad ja sellise abi saajad annavad komisjonile teavet muudest allikatest, sealhulgas liidu üldeelarvest, saadud rahalise abi ning sellise abi saamiseks menetluses olevate taotluste kohta.</w:t>
      </w:r>
    </w:p>
    <w:p>
      <w:pPr>
        <w:pStyle w:val="Text1"/>
        <w:ind w:left="1435" w:hanging="585"/>
        <w:rPr>
          <w:noProof/>
        </w:rPr>
      </w:pPr>
      <w:r>
        <w:rPr>
          <w:noProof/>
        </w:rPr>
        <w:t xml:space="preserve">2. </w:t>
      </w:r>
      <w:r>
        <w:rPr>
          <w:noProof/>
        </w:rPr>
        <w:tab/>
        <w:t>Taotletakse koostoimet ja vastastikust täiendavust muude liidu vahenditega, millega toetatakse selliseid valdkondi nagu ühtekuuluvus, maaelu areng, teadusuuringud, tervishoid ning ränne ja julgeolekupoliitika. Kolmandates riikides humanitaarkriisidele reageerimiseks osutatava abi korral tagab komisjon käesoleva otsuse alusel rahastatud meetmete ja määruse (EÜ) nr 1257/96 alusel rahastatud meetmete vastastikuse täiendavuse ja sidususe.“</w:t>
      </w:r>
    </w:p>
    <w:p>
      <w:pPr>
        <w:pStyle w:val="Point0"/>
        <w:rPr>
          <w:noProof/>
        </w:rPr>
      </w:pPr>
      <w:r>
        <w:rPr>
          <w:noProof/>
        </w:rPr>
        <w:t>16)</w:t>
      </w:r>
      <w:r>
        <w:rPr>
          <w:noProof/>
        </w:rPr>
        <w:tab/>
        <w:t>Artikli 28 lõige 3 asendatakse järgmisega:</w:t>
      </w:r>
    </w:p>
    <w:p>
      <w:pPr>
        <w:spacing w:after="240"/>
        <w:ind w:left="720"/>
        <w:rPr>
          <w:noProof/>
          <w:szCs w:val="24"/>
        </w:rPr>
      </w:pPr>
      <w:r>
        <w:rPr>
          <w:noProof/>
        </w:rPr>
        <w:t xml:space="preserve">„3. </w:t>
      </w:r>
      <w:r>
        <w:rPr>
          <w:noProof/>
        </w:rPr>
        <w:tab/>
        <w:t>Rahvusvahelised organisatsioonid, piirkondlikud organisatsioonid või Euroopa naabruspoliitikas osalevad riigid võivad teha liidu mehhanismi raames koostööd kui asjaomased kahe- ja mitmepoolsed lepingud seda võimaldavad.“</w:t>
      </w:r>
    </w:p>
    <w:p>
      <w:pPr>
        <w:pStyle w:val="Point0"/>
        <w:rPr>
          <w:noProof/>
        </w:rPr>
      </w:pPr>
      <w:r>
        <w:rPr>
          <w:noProof/>
        </w:rPr>
        <w:t>17)</w:t>
      </w:r>
      <w:r>
        <w:rPr>
          <w:noProof/>
        </w:rPr>
        <w:tab/>
        <w:t>Artikli 32 lõike 1 punktid g ja h asendatakse järgmistega:</w:t>
      </w:r>
    </w:p>
    <w:p>
      <w:pPr>
        <w:spacing w:after="240"/>
        <w:ind w:left="1440" w:hanging="720"/>
        <w:rPr>
          <w:noProof/>
        </w:rPr>
      </w:pPr>
      <w:r>
        <w:rPr>
          <w:noProof/>
        </w:rPr>
        <w:t>„g)</w:t>
      </w:r>
      <w:r>
        <w:rPr>
          <w:noProof/>
        </w:rPr>
        <w:tab/>
        <w:t>rescEU loomine, juhtimine ja ülalpidamine vastavalt artiklis 12 sätestatule, sealhulgas kasutuselevõtu otsuseid ja töökorda käsitlevad kriteeriumid;</w:t>
      </w:r>
    </w:p>
    <w:p>
      <w:pPr>
        <w:spacing w:after="240"/>
        <w:ind w:left="1440" w:hanging="720"/>
        <w:rPr>
          <w:noProof/>
        </w:rPr>
      </w:pPr>
      <w:r>
        <w:rPr>
          <w:noProof/>
        </w:rPr>
        <w:t>h)</w:t>
      </w:r>
      <w:r>
        <w:rPr>
          <w:noProof/>
        </w:rPr>
        <w:tab/>
        <w:t>liidu kodanikukaitsealaste teadmiste võrgustiku loomine ja tegevuse korraldamine vastavalt artiklis 13 sätestatule;“</w:t>
      </w:r>
    </w:p>
    <w:p>
      <w:pPr>
        <w:pStyle w:val="Titrearticle"/>
        <w:rPr>
          <w:noProof/>
        </w:rPr>
      </w:pPr>
      <w:r>
        <w:rPr>
          <w:noProof/>
        </w:rPr>
        <w:t>Artikkel 2</w:t>
      </w:r>
    </w:p>
    <w:p>
      <w:pPr>
        <w:keepNext/>
        <w:keepLines/>
        <w:rPr>
          <w:noProof/>
        </w:rPr>
      </w:pPr>
      <w:r>
        <w:rPr>
          <w:noProof/>
        </w:rPr>
        <w:t>Käesolev otsus on adresseeritud liikmesriikidele.</w:t>
      </w:r>
    </w:p>
    <w:p>
      <w:pPr>
        <w:pStyle w:val="Fait"/>
        <w:rPr>
          <w:noProof/>
        </w:rPr>
      </w:pPr>
      <w:r>
        <w:t>Brüssel,</w:t>
      </w:r>
    </w:p>
    <w:p>
      <w:pPr>
        <w:pStyle w:val="Institutionquisigne"/>
        <w:rPr>
          <w:noProof/>
        </w:rPr>
      </w:pPr>
      <w:r>
        <w:rPr>
          <w:noProof/>
        </w:rPr>
        <w:t>Euroopa Parlamendi nimel</w:t>
      </w:r>
      <w:r>
        <w:rPr>
          <w:noProof/>
        </w:rPr>
        <w:tab/>
        <w:t>Nõukogu nimel</w:t>
      </w:r>
    </w:p>
    <w:p>
      <w:pPr>
        <w:pStyle w:val="Personnequisigne"/>
        <w:rPr>
          <w:noProof/>
        </w:rPr>
      </w:pPr>
      <w:r>
        <w:rPr>
          <w:noProof/>
        </w:rPr>
        <w:t>president</w:t>
      </w:r>
      <w:r>
        <w:rPr>
          <w:noProof/>
        </w:rPr>
        <w:tab/>
        <w:t>eesistuja</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t>ÕIGUSAKTILE LISATAV FINANTSSELGITUS</w:t>
      </w:r>
    </w:p>
    <w:p>
      <w:pPr>
        <w:pStyle w:val="ManualHeading1"/>
        <w:rPr>
          <w:noProof/>
        </w:rPr>
      </w:pPr>
      <w:r>
        <w:rPr>
          <w:noProof/>
        </w:rPr>
        <w:t>1.</w:t>
      </w:r>
      <w:r>
        <w:rPr>
          <w:noProof/>
        </w:rPr>
        <w:tab/>
        <w:t xml:space="preserve">ETTEPANEKU/ALGATUSE RAAMISTIK </w:t>
      </w:r>
    </w:p>
    <w:p>
      <w:pPr>
        <w:pStyle w:val="ManualHeading2"/>
        <w:rPr>
          <w:b w:val="0"/>
          <w:noProof/>
        </w:rPr>
      </w:pPr>
      <w:r>
        <w:rPr>
          <w:noProof/>
        </w:rPr>
        <w:tab/>
      </w:r>
      <w:r>
        <w:rPr>
          <w:b w:val="0"/>
          <w:noProof/>
        </w:rPr>
        <w:t>1.1.</w:t>
      </w:r>
      <w:r>
        <w:rPr>
          <w:noProof/>
        </w:rPr>
        <w:tab/>
      </w:r>
      <w:r>
        <w:rPr>
          <w:b w:val="0"/>
          <w:noProof/>
        </w:rPr>
        <w:t xml:space="preserve">Ettepaneku/algatuse nimetus </w:t>
      </w:r>
    </w:p>
    <w:p>
      <w:pPr>
        <w:pStyle w:val="ManualHeading2"/>
        <w:rPr>
          <w:b w:val="0"/>
          <w:noProof/>
        </w:rPr>
      </w:pPr>
      <w:r>
        <w:rPr>
          <w:noProof/>
        </w:rPr>
        <w:tab/>
      </w:r>
      <w:r>
        <w:rPr>
          <w:b w:val="0"/>
          <w:noProof/>
        </w:rPr>
        <w:t>1.2.</w:t>
      </w:r>
      <w:r>
        <w:rPr>
          <w:noProof/>
        </w:rPr>
        <w:tab/>
      </w:r>
      <w:r>
        <w:rPr>
          <w:b w:val="0"/>
          <w:noProof/>
        </w:rPr>
        <w:t>Asjaomased poliitikavaldkonnad vastavalt tegevuspõhise juhtimise ja eelarvestamise (ABM/ABB) struktuurile</w:t>
      </w:r>
    </w:p>
    <w:p>
      <w:pPr>
        <w:pStyle w:val="ManualHeading2"/>
        <w:rPr>
          <w:b w:val="0"/>
          <w:noProof/>
        </w:rPr>
      </w:pPr>
      <w:r>
        <w:rPr>
          <w:noProof/>
        </w:rPr>
        <w:tab/>
      </w:r>
      <w:r>
        <w:rPr>
          <w:b w:val="0"/>
          <w:noProof/>
        </w:rPr>
        <w:t>1.3.</w:t>
      </w:r>
      <w:r>
        <w:rPr>
          <w:noProof/>
        </w:rPr>
        <w:tab/>
      </w:r>
      <w:r>
        <w:rPr>
          <w:b w:val="0"/>
          <w:noProof/>
        </w:rPr>
        <w:t xml:space="preserve">Ettepaneku/algatuse liik </w:t>
      </w:r>
    </w:p>
    <w:p>
      <w:pPr>
        <w:pStyle w:val="ManualHeading2"/>
        <w:rPr>
          <w:b w:val="0"/>
          <w:noProof/>
        </w:rPr>
      </w:pPr>
      <w:r>
        <w:rPr>
          <w:noProof/>
        </w:rPr>
        <w:tab/>
      </w:r>
      <w:r>
        <w:rPr>
          <w:b w:val="0"/>
          <w:noProof/>
        </w:rPr>
        <w:t>1.4.</w:t>
      </w:r>
      <w:r>
        <w:rPr>
          <w:noProof/>
        </w:rPr>
        <w:tab/>
      </w:r>
      <w:r>
        <w:rPr>
          <w:b w:val="0"/>
          <w:noProof/>
        </w:rPr>
        <w:t xml:space="preserve">Eesmärgid </w:t>
      </w:r>
    </w:p>
    <w:p>
      <w:pPr>
        <w:pStyle w:val="ManualHeading2"/>
        <w:rPr>
          <w:b w:val="0"/>
          <w:noProof/>
        </w:rPr>
      </w:pPr>
      <w:r>
        <w:rPr>
          <w:noProof/>
        </w:rPr>
        <w:tab/>
      </w:r>
      <w:r>
        <w:rPr>
          <w:b w:val="0"/>
          <w:noProof/>
        </w:rPr>
        <w:t>1.5.</w:t>
      </w:r>
      <w:r>
        <w:rPr>
          <w:noProof/>
        </w:rPr>
        <w:tab/>
      </w:r>
      <w:r>
        <w:rPr>
          <w:b w:val="0"/>
          <w:noProof/>
        </w:rPr>
        <w:t xml:space="preserve">Ettepaneku/algatuse põhjendus </w:t>
      </w:r>
    </w:p>
    <w:p>
      <w:pPr>
        <w:pStyle w:val="ManualHeading2"/>
        <w:rPr>
          <w:b w:val="0"/>
          <w:noProof/>
        </w:rPr>
      </w:pPr>
      <w:r>
        <w:rPr>
          <w:noProof/>
        </w:rPr>
        <w:tab/>
      </w:r>
      <w:r>
        <w:rPr>
          <w:b w:val="0"/>
          <w:noProof/>
        </w:rPr>
        <w:t>1.6.</w:t>
      </w:r>
      <w:r>
        <w:rPr>
          <w:noProof/>
        </w:rPr>
        <w:tab/>
      </w:r>
      <w:r>
        <w:rPr>
          <w:b w:val="0"/>
          <w:noProof/>
        </w:rPr>
        <w:t xml:space="preserve">Meetme kestus ja finantsmõju </w:t>
      </w:r>
    </w:p>
    <w:p>
      <w:pPr>
        <w:pStyle w:val="ManualHeading2"/>
        <w:rPr>
          <w:b w:val="0"/>
          <w:noProof/>
        </w:rPr>
      </w:pPr>
      <w:r>
        <w:rPr>
          <w:noProof/>
        </w:rPr>
        <w:tab/>
      </w:r>
      <w:r>
        <w:rPr>
          <w:b w:val="0"/>
          <w:noProof/>
        </w:rPr>
        <w:t>1.7.</w:t>
      </w:r>
      <w:r>
        <w:rPr>
          <w:noProof/>
        </w:rPr>
        <w:tab/>
      </w:r>
      <w:r>
        <w:rPr>
          <w:b w:val="0"/>
          <w:noProof/>
        </w:rPr>
        <w:t xml:space="preserve">Ettenähtud eelarve täitmise viisid </w:t>
      </w:r>
    </w:p>
    <w:p>
      <w:pPr>
        <w:pStyle w:val="ManualHeading1"/>
        <w:rPr>
          <w:noProof/>
        </w:rPr>
      </w:pPr>
      <w:r>
        <w:rPr>
          <w:noProof/>
        </w:rPr>
        <w:t>2.</w:t>
      </w:r>
      <w:r>
        <w:rPr>
          <w:noProof/>
        </w:rPr>
        <w:tab/>
        <w:t xml:space="preserve">HALDUSMEETMED </w:t>
      </w:r>
    </w:p>
    <w:p>
      <w:pPr>
        <w:pStyle w:val="ManualHeading2"/>
        <w:rPr>
          <w:b w:val="0"/>
          <w:noProof/>
        </w:rPr>
      </w:pPr>
      <w:r>
        <w:rPr>
          <w:noProof/>
        </w:rPr>
        <w:tab/>
      </w:r>
      <w:r>
        <w:rPr>
          <w:b w:val="0"/>
          <w:noProof/>
        </w:rPr>
        <w:t>2.1.</w:t>
      </w:r>
      <w:r>
        <w:rPr>
          <w:noProof/>
        </w:rPr>
        <w:tab/>
      </w:r>
      <w:r>
        <w:rPr>
          <w:b w:val="0"/>
          <w:noProof/>
        </w:rPr>
        <w:t xml:space="preserve">Järelevalve ja aruandluse eeskirjad </w:t>
      </w:r>
    </w:p>
    <w:p>
      <w:pPr>
        <w:pStyle w:val="ManualHeading2"/>
        <w:rPr>
          <w:b w:val="0"/>
          <w:noProof/>
        </w:rPr>
      </w:pPr>
      <w:r>
        <w:rPr>
          <w:noProof/>
        </w:rPr>
        <w:tab/>
      </w:r>
      <w:r>
        <w:rPr>
          <w:b w:val="0"/>
          <w:noProof/>
        </w:rPr>
        <w:t>2.2.</w:t>
      </w:r>
      <w:r>
        <w:rPr>
          <w:noProof/>
        </w:rPr>
        <w:tab/>
      </w:r>
      <w:r>
        <w:rPr>
          <w:b w:val="0"/>
          <w:noProof/>
        </w:rPr>
        <w:t xml:space="preserve">Haldus- ja kontrollisüsteem </w:t>
      </w:r>
    </w:p>
    <w:p>
      <w:pPr>
        <w:pStyle w:val="ManualHeading2"/>
        <w:rPr>
          <w:b w:val="0"/>
          <w:noProof/>
        </w:rPr>
      </w:pPr>
      <w:r>
        <w:rPr>
          <w:noProof/>
        </w:rPr>
        <w:tab/>
      </w:r>
      <w:r>
        <w:rPr>
          <w:b w:val="0"/>
          <w:noProof/>
        </w:rPr>
        <w:t>2.3.</w:t>
      </w:r>
      <w:r>
        <w:rPr>
          <w:noProof/>
        </w:rPr>
        <w:tab/>
      </w:r>
      <w:r>
        <w:rPr>
          <w:b w:val="0"/>
          <w:noProof/>
        </w:rPr>
        <w:t xml:space="preserve">Pettuse ja eeskirjade eiramise ärahoidmise meetmed </w:t>
      </w:r>
    </w:p>
    <w:p>
      <w:pPr>
        <w:pStyle w:val="ManualHeading1"/>
        <w:rPr>
          <w:noProof/>
        </w:rPr>
      </w:pPr>
      <w:r>
        <w:rPr>
          <w:noProof/>
        </w:rPr>
        <w:t>3.</w:t>
      </w:r>
      <w:r>
        <w:rPr>
          <w:noProof/>
        </w:rPr>
        <w:tab/>
        <w:t xml:space="preserve">ETTEPANEKU/ALGATUSE HINNANGULINE FINANTSMÕJU </w:t>
      </w:r>
    </w:p>
    <w:p>
      <w:pPr>
        <w:pStyle w:val="ManualHeading2"/>
        <w:rPr>
          <w:b w:val="0"/>
          <w:noProof/>
        </w:rPr>
      </w:pPr>
      <w:r>
        <w:rPr>
          <w:noProof/>
        </w:rPr>
        <w:tab/>
      </w:r>
      <w:r>
        <w:rPr>
          <w:b w:val="0"/>
          <w:noProof/>
        </w:rPr>
        <w:t>3.1.</w:t>
      </w:r>
      <w:r>
        <w:rPr>
          <w:noProof/>
        </w:rPr>
        <w:tab/>
      </w:r>
      <w:r>
        <w:rPr>
          <w:b w:val="0"/>
          <w:noProof/>
        </w:rPr>
        <w:t xml:space="preserve">Mitmeaastase finantsraamistiku rubriigid ja kulude eelarveread, millele mõju avaldub </w:t>
      </w:r>
    </w:p>
    <w:p>
      <w:pPr>
        <w:pStyle w:val="ManualHeading2"/>
        <w:rPr>
          <w:noProof/>
        </w:rPr>
      </w:pPr>
      <w:r>
        <w:rPr>
          <w:noProof/>
        </w:rPr>
        <w:tab/>
      </w:r>
      <w:r>
        <w:rPr>
          <w:b w:val="0"/>
          <w:noProof/>
        </w:rPr>
        <w:t>3.2.</w:t>
      </w:r>
      <w:r>
        <w:rPr>
          <w:noProof/>
        </w:rPr>
        <w:tab/>
      </w:r>
      <w:r>
        <w:rPr>
          <w:b w:val="0"/>
          <w:noProof/>
        </w:rPr>
        <w:t>Hinnanguline mõju kuludele</w:t>
      </w:r>
      <w:r>
        <w:rPr>
          <w:noProof/>
        </w:rPr>
        <w:t xml:space="preserve"> </w:t>
      </w:r>
    </w:p>
    <w:p>
      <w:pPr>
        <w:pStyle w:val="ManualHeading3"/>
        <w:rPr>
          <w:noProof/>
        </w:rPr>
      </w:pPr>
      <w:r>
        <w:rPr>
          <w:noProof/>
        </w:rPr>
        <w:tab/>
        <w:t>3.2.1.</w:t>
      </w:r>
      <w:r>
        <w:rPr>
          <w:noProof/>
        </w:rPr>
        <w:tab/>
        <w:t xml:space="preserve">Üldine hinnanguline mõju kuludele </w:t>
      </w:r>
    </w:p>
    <w:p>
      <w:pPr>
        <w:pStyle w:val="ManualHeading3"/>
        <w:rPr>
          <w:noProof/>
        </w:rPr>
      </w:pPr>
      <w:r>
        <w:rPr>
          <w:noProof/>
        </w:rPr>
        <w:tab/>
        <w:t>3.2.2.</w:t>
      </w:r>
      <w:r>
        <w:rPr>
          <w:noProof/>
        </w:rPr>
        <w:tab/>
        <w:t xml:space="preserve">Hinnanguline mõju tegevusassigneeringutele </w:t>
      </w:r>
    </w:p>
    <w:p>
      <w:pPr>
        <w:pStyle w:val="ManualHeading3"/>
        <w:rPr>
          <w:noProof/>
        </w:rPr>
      </w:pPr>
      <w:r>
        <w:rPr>
          <w:noProof/>
        </w:rPr>
        <w:tab/>
        <w:t>3.2.3.</w:t>
      </w:r>
      <w:r>
        <w:rPr>
          <w:noProof/>
        </w:rPr>
        <w:tab/>
        <w:t>Hinnanguline mõju haldusassigneeringutele</w:t>
      </w:r>
    </w:p>
    <w:p>
      <w:pPr>
        <w:pStyle w:val="ManualHeading3"/>
        <w:rPr>
          <w:noProof/>
        </w:rPr>
      </w:pPr>
      <w:r>
        <w:rPr>
          <w:noProof/>
        </w:rPr>
        <w:tab/>
        <w:t>3.2.4.</w:t>
      </w:r>
      <w:r>
        <w:rPr>
          <w:noProof/>
        </w:rPr>
        <w:tab/>
        <w:t>Kooskõla kehtiva mitmeaastase finantsraamistikuga</w:t>
      </w:r>
    </w:p>
    <w:p>
      <w:pPr>
        <w:pStyle w:val="ManualHeading3"/>
        <w:rPr>
          <w:noProof/>
        </w:rPr>
      </w:pPr>
      <w:r>
        <w:rPr>
          <w:noProof/>
        </w:rPr>
        <w:tab/>
        <w:t>3.2.5.</w:t>
      </w:r>
      <w:r>
        <w:rPr>
          <w:noProof/>
        </w:rPr>
        <w:tab/>
        <w:t xml:space="preserve">Kolmandate isikute rahaline osalus </w:t>
      </w:r>
    </w:p>
    <w:p>
      <w:pPr>
        <w:pStyle w:val="ManualHeading3"/>
        <w:rPr>
          <w:b/>
          <w:i w:val="0"/>
          <w:smallCaps/>
          <w:noProof/>
        </w:rPr>
      </w:pPr>
      <w:r>
        <w:rPr>
          <w:noProof/>
        </w:rPr>
        <w:tab/>
      </w:r>
      <w:r>
        <w:rPr>
          <w:i w:val="0"/>
          <w:noProof/>
        </w:rPr>
        <w:t>3.3.</w:t>
      </w:r>
      <w:r>
        <w:rPr>
          <w:noProof/>
        </w:rPr>
        <w:tab/>
      </w:r>
      <w:r>
        <w:rPr>
          <w:i w:val="0"/>
          <w:noProof/>
        </w:rPr>
        <w:t>Hinnanguline mõju tuludele</w:t>
      </w:r>
    </w:p>
    <w:p>
      <w:pPr>
        <w:keepNext/>
        <w:tabs>
          <w:tab w:val="left" w:pos="850"/>
        </w:tabs>
        <w:jc w:val="left"/>
        <w:outlineLvl w:val="1"/>
        <w:rPr>
          <w:noProof/>
        </w:rPr>
        <w:sectPr>
          <w:pgSz w:w="11907" w:h="16840" w:code="9"/>
          <w:pgMar w:top="1134" w:right="1418" w:bottom="1134" w:left="1418" w:header="709" w:footer="709" w:gutter="0"/>
          <w:cols w:space="708"/>
          <w:docGrid w:linePitch="360"/>
        </w:sectPr>
      </w:pPr>
    </w:p>
    <w:p>
      <w:pPr>
        <w:jc w:val="center"/>
        <w:rPr>
          <w:noProof/>
        </w:rPr>
      </w:pPr>
      <w:r>
        <w:rPr>
          <w:b/>
          <w:noProof/>
          <w:u w:val="single"/>
        </w:rPr>
        <w:t>ÕIGUSAKTILE LISATAV FINANTSSELGITUS</w:t>
      </w:r>
    </w:p>
    <w:p>
      <w:pPr>
        <w:pStyle w:val="ManualNumPar1"/>
        <w:rPr>
          <w:noProof/>
        </w:rPr>
      </w:pPr>
      <w:r>
        <w:t>1.</w:t>
      </w:r>
      <w:r>
        <w:tab/>
      </w:r>
      <w:r>
        <w:rPr>
          <w:noProof/>
        </w:rPr>
        <w:t xml:space="preserve">ETTEPANEKU/ALGATUSE RAAMISTIK </w:t>
      </w:r>
    </w:p>
    <w:p>
      <w:pPr>
        <w:pStyle w:val="ManualNumPar2"/>
        <w:rPr>
          <w:noProof/>
        </w:rPr>
      </w:pPr>
      <w:r>
        <w:t>1.1.</w:t>
      </w:r>
      <w:r>
        <w:tab/>
      </w:r>
      <w:r>
        <w:rPr>
          <w:noProof/>
        </w:rPr>
        <w:t xml:space="preserve">Ettepaneku/algatuse nimetus </w:t>
      </w:r>
    </w:p>
    <w:p>
      <w:pPr>
        <w:pBdr>
          <w:top w:val="single" w:sz="4" w:space="1" w:color="auto"/>
          <w:left w:val="single" w:sz="4" w:space="4" w:color="auto"/>
          <w:bottom w:val="single" w:sz="4" w:space="1" w:color="auto"/>
          <w:right w:val="single" w:sz="4" w:space="4" w:color="auto"/>
        </w:pBdr>
        <w:ind w:left="850"/>
        <w:rPr>
          <w:noProof/>
        </w:rPr>
      </w:pPr>
      <w:r>
        <w:rPr>
          <w:noProof/>
          <w:sz w:val="23"/>
        </w:rPr>
        <w:t>Euroopa Parlamendi ja nõukogu otsus nr 1313/2013/EL liidu kodanikukaitse mehhanismi kohta</w:t>
      </w:r>
    </w:p>
    <w:p>
      <w:pPr>
        <w:pBdr>
          <w:top w:val="single" w:sz="4" w:space="1" w:color="auto"/>
          <w:left w:val="single" w:sz="4" w:space="4" w:color="auto"/>
          <w:bottom w:val="single" w:sz="4" w:space="1" w:color="auto"/>
          <w:right w:val="single" w:sz="4" w:space="4" w:color="auto"/>
        </w:pBdr>
        <w:ind w:left="850"/>
        <w:rPr>
          <w:noProof/>
        </w:rPr>
      </w:pPr>
    </w:p>
    <w:p>
      <w:pPr>
        <w:pStyle w:val="ManualNumPar2"/>
        <w:rPr>
          <w:noProof/>
        </w:rPr>
      </w:pPr>
      <w:r>
        <w:t>1.2.</w:t>
      </w:r>
      <w:r>
        <w:tab/>
      </w:r>
      <w:r>
        <w:rPr>
          <w:noProof/>
        </w:rPr>
        <w:t>Asjaomased poliitikavaldkonnad vastavalt tegevuspõhise juhtimise ja eelarvestamise (ABM/ABB</w:t>
      </w:r>
      <w:r>
        <w:rPr>
          <w:rStyle w:val="FootnoteReference"/>
          <w:noProof/>
        </w:rPr>
        <w:footnoteReference w:id="17"/>
      </w:r>
      <w:r>
        <w:rPr>
          <w:noProof/>
        </w:rPr>
        <w:t>) struktuurile</w:t>
      </w:r>
      <w:r>
        <w:rPr>
          <w:i/>
          <w:noProof/>
        </w:rPr>
        <w:t xml:space="preserve"> </w:t>
      </w:r>
    </w:p>
    <w:p>
      <w:pPr>
        <w:pBdr>
          <w:top w:val="single" w:sz="4" w:space="1" w:color="auto"/>
          <w:left w:val="single" w:sz="4" w:space="4" w:color="auto"/>
          <w:bottom w:val="single" w:sz="4" w:space="1" w:color="auto"/>
          <w:right w:val="single" w:sz="4" w:space="4" w:color="auto"/>
        </w:pBdr>
        <w:ind w:left="850"/>
        <w:rPr>
          <w:noProof/>
          <w:color w:val="0000FF"/>
        </w:rPr>
      </w:pPr>
      <w:r>
        <w:rPr>
          <w:noProof/>
        </w:rPr>
        <w:t>23 01 – HUMANITAARABI JA KODANIKUKAITSE POLIITIKAVALDKONNA HALDUSKULUD</w:t>
      </w:r>
    </w:p>
    <w:p>
      <w:pPr>
        <w:pBdr>
          <w:top w:val="single" w:sz="4" w:space="1" w:color="auto"/>
          <w:left w:val="single" w:sz="4" w:space="4" w:color="auto"/>
          <w:bottom w:val="single" w:sz="4" w:space="1" w:color="auto"/>
          <w:right w:val="single" w:sz="4" w:space="4" w:color="auto"/>
        </w:pBdr>
        <w:ind w:left="850"/>
        <w:rPr>
          <w:noProof/>
        </w:rPr>
      </w:pPr>
      <w:r>
        <w:rPr>
          <w:noProof/>
        </w:rPr>
        <w:t xml:space="preserve">23 03 – LIIDU KODANIKUKAITSE MEHHANISM </w:t>
      </w:r>
    </w:p>
    <w:p>
      <w:pPr>
        <w:pStyle w:val="ManualNumPar2"/>
        <w:rPr>
          <w:noProof/>
        </w:rPr>
      </w:pPr>
      <w:r>
        <w:t>1.3.</w:t>
      </w:r>
      <w:r>
        <w:tab/>
      </w:r>
      <w:r>
        <w:rPr>
          <w:noProof/>
        </w:rPr>
        <w:t xml:space="preserve">Ettepaneku/algatuse liik </w:t>
      </w:r>
    </w:p>
    <w:p>
      <w:pPr>
        <w:ind w:left="850"/>
        <w:rPr>
          <w:b/>
          <w:noProof/>
          <w:sz w:val="22"/>
        </w:rPr>
      </w:pPr>
      <w:r>
        <w:rPr>
          <w:noProof/>
          <w:sz w:val="22"/>
        </w:rPr>
        <w:sym w:font="Wingdings" w:char="F0A8"/>
      </w:r>
      <w:r>
        <w:rPr>
          <w:b/>
          <w:i/>
          <w:noProof/>
          <w:sz w:val="22"/>
        </w:rPr>
        <w:t xml:space="preserve"> </w:t>
      </w:r>
      <w:r>
        <w:rPr>
          <w:noProof/>
        </w:rPr>
        <w:t xml:space="preserve">Ettepanek/algatus käsitleb </w:t>
      </w:r>
      <w:r>
        <w:rPr>
          <w:b/>
          <w:noProof/>
        </w:rPr>
        <w:t>uut meedet</w:t>
      </w:r>
      <w:r>
        <w:rPr>
          <w:b/>
          <w:noProof/>
          <w:sz w:val="22"/>
        </w:rPr>
        <w:t xml:space="preserve"> </w:t>
      </w:r>
    </w:p>
    <w:p>
      <w:pPr>
        <w:ind w:left="850"/>
        <w:rPr>
          <w:noProof/>
          <w:sz w:val="22"/>
        </w:rPr>
      </w:pPr>
      <w:r>
        <w:rPr>
          <w:noProof/>
          <w:sz w:val="22"/>
        </w:rPr>
        <w:sym w:font="Wingdings" w:char="F0A8"/>
      </w:r>
      <w:r>
        <w:rPr>
          <w:i/>
          <w:noProof/>
          <w:sz w:val="22"/>
        </w:rPr>
        <w:t xml:space="preserve"> </w:t>
      </w:r>
      <w:r>
        <w:rPr>
          <w:noProof/>
        </w:rPr>
        <w:t xml:space="preserve">Ettepanek/algatus käsitleb </w:t>
      </w:r>
      <w:r>
        <w:rPr>
          <w:b/>
          <w:noProof/>
        </w:rPr>
        <w:t>uut meedet, mis tuleneb katseprojektist / ettevalmistavast meetmest</w:t>
      </w:r>
      <w:r>
        <w:rPr>
          <w:rStyle w:val="FootnoteReference"/>
          <w:noProof/>
        </w:rPr>
        <w:footnoteReference w:id="18"/>
      </w:r>
      <w:r>
        <w:rPr>
          <w:noProof/>
          <w:sz w:val="22"/>
        </w:rPr>
        <w:t xml:space="preserve"> </w:t>
      </w:r>
    </w:p>
    <w:p>
      <w:pPr>
        <w:ind w:left="850"/>
        <w:rPr>
          <w:noProof/>
          <w:sz w:val="22"/>
        </w:rPr>
      </w:pPr>
      <w:r>
        <w:rPr>
          <w:noProof/>
          <w:sz w:val="22"/>
        </w:rPr>
        <w:t>X</w:t>
      </w:r>
      <w:r>
        <w:rPr>
          <w:i/>
          <w:noProof/>
          <w:sz w:val="22"/>
        </w:rPr>
        <w:t xml:space="preserve"> </w:t>
      </w:r>
      <w:r>
        <w:rPr>
          <w:noProof/>
        </w:rPr>
        <w:t xml:space="preserve">Ettepanek/algatus käsitleb </w:t>
      </w:r>
      <w:r>
        <w:rPr>
          <w:b/>
          <w:noProof/>
        </w:rPr>
        <w:t>olemasoleva meetme pikendamist</w:t>
      </w:r>
      <w:r>
        <w:rPr>
          <w:noProof/>
          <w:sz w:val="22"/>
        </w:rPr>
        <w:t xml:space="preserve"> </w:t>
      </w:r>
    </w:p>
    <w:p>
      <w:pPr>
        <w:ind w:left="850"/>
        <w:rPr>
          <w:noProof/>
        </w:rPr>
      </w:pPr>
      <w:r>
        <w:rPr>
          <w:noProof/>
          <w:sz w:val="22"/>
        </w:rPr>
        <w:sym w:font="Wingdings" w:char="F0A8"/>
      </w:r>
      <w:r>
        <w:rPr>
          <w:i/>
          <w:noProof/>
          <w:sz w:val="22"/>
        </w:rPr>
        <w:t xml:space="preserve"> </w:t>
      </w:r>
      <w:r>
        <w:rPr>
          <w:noProof/>
        </w:rPr>
        <w:t xml:space="preserve">Ettepanek/algatus käsitleb </w:t>
      </w:r>
      <w:r>
        <w:rPr>
          <w:b/>
          <w:noProof/>
        </w:rPr>
        <w:t>ümbersuunatud meedet</w:t>
      </w:r>
      <w:r>
        <w:rPr>
          <w:noProof/>
        </w:rPr>
        <w:t xml:space="preserve"> </w:t>
      </w:r>
    </w:p>
    <w:p>
      <w:pPr>
        <w:pStyle w:val="ManualNumPar2"/>
        <w:rPr>
          <w:noProof/>
        </w:rPr>
      </w:pPr>
      <w:r>
        <w:t>1.4.</w:t>
      </w:r>
      <w:r>
        <w:tab/>
      </w:r>
      <w:r>
        <w:rPr>
          <w:noProof/>
        </w:rPr>
        <w:t>Eesmärgid</w:t>
      </w:r>
    </w:p>
    <w:p>
      <w:pPr>
        <w:pStyle w:val="ManualNumPar3"/>
        <w:rPr>
          <w:noProof/>
        </w:rPr>
      </w:pPr>
      <w:r>
        <w:t>1.4.1.</w:t>
      </w:r>
      <w:r>
        <w:tab/>
      </w:r>
      <w:r>
        <w:rPr>
          <w:noProof/>
        </w:rPr>
        <w:t xml:space="preserve">Komisjoni mitmeaastased strateegilised eesmärgid, mida ettepaneku/algatuse kaudu täidetakse </w:t>
      </w:r>
    </w:p>
    <w:p>
      <w:pPr>
        <w:pBdr>
          <w:top w:val="single" w:sz="4" w:space="1" w:color="auto"/>
          <w:left w:val="single" w:sz="4" w:space="4" w:color="auto"/>
          <w:bottom w:val="single" w:sz="4" w:space="1" w:color="auto"/>
          <w:right w:val="single" w:sz="4" w:space="4" w:color="auto"/>
        </w:pBdr>
        <w:ind w:left="850"/>
        <w:rPr>
          <w:noProof/>
        </w:rPr>
      </w:pPr>
      <w:r>
        <w:rPr>
          <w:noProof/>
        </w:rPr>
        <w:t>Käesoleva otsuse üldine eesmärk on tugevdada liidu ja liikmesriikide vahelist koostööd ning lihtsustada kodanikukaitse valdkonnas koordineerimist loodus- ja inimtegevuse tagajärjel toimuvate õnnetuste vältimisel, nendeks valmistumisel ja neile reageerimisel.</w:t>
      </w:r>
    </w:p>
    <w:p>
      <w:pPr>
        <w:pStyle w:val="ManualNumPar3"/>
        <w:rPr>
          <w:noProof/>
        </w:rPr>
      </w:pPr>
      <w:r>
        <w:t>1.4.2.</w:t>
      </w:r>
      <w:r>
        <w:tab/>
      </w:r>
      <w:r>
        <w:rPr>
          <w:noProof/>
        </w:rPr>
        <w:t xml:space="preserve">Erieesmärgid ning asjaomased tegevusalad vastavalt tegevuspõhise juhtimise ja eelarvestamise süsteemile </w:t>
      </w:r>
    </w:p>
    <w:p>
      <w:pPr>
        <w:pBdr>
          <w:top w:val="single" w:sz="4" w:space="1" w:color="auto"/>
          <w:left w:val="single" w:sz="4" w:space="4" w:color="auto"/>
          <w:bottom w:val="single" w:sz="4" w:space="1" w:color="auto"/>
          <w:right w:val="single" w:sz="4" w:space="4" w:color="auto"/>
        </w:pBdr>
        <w:ind w:left="850"/>
        <w:rPr>
          <w:noProof/>
          <w:u w:val="single"/>
        </w:rPr>
      </w:pPr>
      <w:r>
        <w:rPr>
          <w:noProof/>
          <w:u w:val="single"/>
        </w:rPr>
        <w:t>Erieesmärk nr 1</w:t>
      </w:r>
    </w:p>
    <w:p>
      <w:pPr>
        <w:pBdr>
          <w:top w:val="single" w:sz="4" w:space="1" w:color="auto"/>
          <w:left w:val="single" w:sz="4" w:space="4" w:color="auto"/>
          <w:bottom w:val="single" w:sz="4" w:space="1" w:color="auto"/>
          <w:right w:val="single" w:sz="4" w:space="4" w:color="auto"/>
        </w:pBdr>
        <w:ind w:left="850"/>
        <w:rPr>
          <w:noProof/>
        </w:rPr>
      </w:pPr>
      <w:r>
        <w:rPr>
          <w:noProof/>
        </w:rPr>
        <w:t>saavutada kõrgetasemeline kaitse õnnetuste eest, ennetades või vähendades nende võimalikku mõju, edendades ennetuskultuuri ning parandades koostööd kodanikukaitse- ja muude asjakohaste teenistuste vahel;</w:t>
      </w:r>
    </w:p>
    <w:p>
      <w:pPr>
        <w:pBdr>
          <w:top w:val="single" w:sz="4" w:space="1" w:color="auto"/>
          <w:left w:val="single" w:sz="4" w:space="4" w:color="auto"/>
          <w:bottom w:val="single" w:sz="4" w:space="1" w:color="auto"/>
          <w:right w:val="single" w:sz="4" w:space="4" w:color="auto"/>
        </w:pBdr>
        <w:ind w:left="850"/>
        <w:rPr>
          <w:noProof/>
          <w:u w:val="single"/>
        </w:rPr>
      </w:pPr>
      <w:r>
        <w:rPr>
          <w:noProof/>
          <w:u w:val="single"/>
        </w:rPr>
        <w:t>Erieesmärk nr 2</w:t>
      </w:r>
    </w:p>
    <w:p>
      <w:pPr>
        <w:pBdr>
          <w:top w:val="single" w:sz="4" w:space="1" w:color="auto"/>
          <w:left w:val="single" w:sz="4" w:space="4" w:color="auto"/>
          <w:bottom w:val="single" w:sz="4" w:space="1" w:color="auto"/>
          <w:right w:val="single" w:sz="4" w:space="4" w:color="auto"/>
        </w:pBdr>
        <w:ind w:left="850"/>
        <w:rPr>
          <w:noProof/>
        </w:rPr>
      </w:pPr>
      <w:r>
        <w:rPr>
          <w:noProof/>
        </w:rPr>
        <w:t>suurendada valmisolekut õnnetustele reageerimiseks liikmesriikide ja liidu tasandil;</w:t>
      </w:r>
    </w:p>
    <w:p>
      <w:pPr>
        <w:pBdr>
          <w:top w:val="single" w:sz="4" w:space="1" w:color="auto"/>
          <w:left w:val="single" w:sz="4" w:space="4" w:color="auto"/>
          <w:bottom w:val="single" w:sz="4" w:space="1" w:color="auto"/>
          <w:right w:val="single" w:sz="4" w:space="4" w:color="auto"/>
        </w:pBdr>
        <w:ind w:left="850"/>
        <w:rPr>
          <w:noProof/>
          <w:u w:val="single"/>
        </w:rPr>
      </w:pPr>
      <w:r>
        <w:rPr>
          <w:noProof/>
          <w:u w:val="single"/>
        </w:rPr>
        <w:t>Erieesmärk nr 3</w:t>
      </w:r>
    </w:p>
    <w:p>
      <w:pPr>
        <w:pBdr>
          <w:top w:val="single" w:sz="4" w:space="1" w:color="auto"/>
          <w:left w:val="single" w:sz="4" w:space="4" w:color="auto"/>
          <w:bottom w:val="single" w:sz="4" w:space="1" w:color="auto"/>
          <w:right w:val="single" w:sz="4" w:space="4" w:color="auto"/>
        </w:pBdr>
        <w:ind w:left="850"/>
        <w:rPr>
          <w:noProof/>
        </w:rPr>
      </w:pPr>
      <w:r>
        <w:rPr>
          <w:noProof/>
        </w:rPr>
        <w:t>kiirendada ja tõhustada reageerimist õnnetuste või õnnetuste ohu korral;</w:t>
      </w:r>
    </w:p>
    <w:p>
      <w:pPr>
        <w:pBdr>
          <w:top w:val="single" w:sz="4" w:space="1" w:color="auto"/>
          <w:left w:val="single" w:sz="4" w:space="4" w:color="auto"/>
          <w:bottom w:val="single" w:sz="4" w:space="1" w:color="auto"/>
          <w:right w:val="single" w:sz="4" w:space="4" w:color="auto"/>
        </w:pBdr>
        <w:ind w:left="850"/>
        <w:rPr>
          <w:noProof/>
          <w:u w:val="single"/>
        </w:rPr>
      </w:pPr>
      <w:r>
        <w:rPr>
          <w:noProof/>
          <w:u w:val="single"/>
        </w:rPr>
        <w:t>Erieesmärk nr 4</w:t>
      </w:r>
    </w:p>
    <w:p>
      <w:pPr>
        <w:pBdr>
          <w:top w:val="single" w:sz="4" w:space="1" w:color="auto"/>
          <w:left w:val="single" w:sz="4" w:space="4" w:color="auto"/>
          <w:bottom w:val="single" w:sz="4" w:space="1" w:color="auto"/>
          <w:right w:val="single" w:sz="4" w:space="4" w:color="auto"/>
        </w:pBdr>
        <w:ind w:left="850"/>
        <w:rPr>
          <w:noProof/>
        </w:rPr>
      </w:pPr>
      <w:r>
        <w:rPr>
          <w:noProof/>
        </w:rPr>
        <w:t>suurendada üldsuse teadlikkust ja valmisolekut õnnetusteks.</w:t>
      </w:r>
    </w:p>
    <w:p>
      <w:pPr>
        <w:pBdr>
          <w:top w:val="single" w:sz="4" w:space="1" w:color="auto"/>
          <w:left w:val="single" w:sz="4" w:space="4" w:color="auto"/>
          <w:bottom w:val="single" w:sz="4" w:space="1" w:color="auto"/>
          <w:right w:val="single" w:sz="4" w:space="4" w:color="auto"/>
        </w:pBdr>
        <w:ind w:left="850"/>
        <w:rPr>
          <w:noProof/>
        </w:rPr>
      </w:pPr>
    </w:p>
    <w:p>
      <w:pPr>
        <w:pBdr>
          <w:top w:val="single" w:sz="4" w:space="1" w:color="auto"/>
          <w:left w:val="single" w:sz="4" w:space="4" w:color="auto"/>
          <w:bottom w:val="single" w:sz="4" w:space="1" w:color="auto"/>
          <w:right w:val="single" w:sz="4" w:space="4" w:color="auto"/>
        </w:pBdr>
        <w:ind w:left="850"/>
        <w:rPr>
          <w:noProof/>
          <w:u w:val="single"/>
        </w:rPr>
      </w:pPr>
      <w:r>
        <w:rPr>
          <w:noProof/>
          <w:u w:val="single"/>
        </w:rPr>
        <w:t>Asjaomased tegevusalad vastavalt tegevuspõhise juhtimise ja eelarvestamise süsteemile</w:t>
      </w:r>
    </w:p>
    <w:p>
      <w:pPr>
        <w:pBdr>
          <w:top w:val="single" w:sz="4" w:space="1" w:color="auto"/>
          <w:left w:val="single" w:sz="4" w:space="4" w:color="auto"/>
          <w:bottom w:val="single" w:sz="4" w:space="1" w:color="auto"/>
          <w:right w:val="single" w:sz="4" w:space="4" w:color="auto"/>
        </w:pBdr>
        <w:ind w:left="850"/>
        <w:rPr>
          <w:noProof/>
        </w:rPr>
      </w:pPr>
      <w:r>
        <w:rPr>
          <w:noProof/>
        </w:rPr>
        <w:t>23 01 – HUMANITAARABI JA KODANIKUKAITSE POLIITIKAVALDKONNA HALDUSKULUD</w:t>
      </w:r>
    </w:p>
    <w:p>
      <w:pPr>
        <w:pBdr>
          <w:top w:val="single" w:sz="4" w:space="1" w:color="auto"/>
          <w:left w:val="single" w:sz="4" w:space="4" w:color="auto"/>
          <w:bottom w:val="single" w:sz="4" w:space="1" w:color="auto"/>
          <w:right w:val="single" w:sz="4" w:space="4" w:color="auto"/>
        </w:pBdr>
        <w:ind w:left="850"/>
        <w:rPr>
          <w:noProof/>
        </w:rPr>
      </w:pPr>
      <w:r>
        <w:rPr>
          <w:noProof/>
        </w:rPr>
        <w:t xml:space="preserve">23 03 – LIIDU KODANIKUKAITSE MEHHANISM </w:t>
      </w:r>
    </w:p>
    <w:p>
      <w:pPr>
        <w:pStyle w:val="ManualNumPar3"/>
        <w:rPr>
          <w:noProof/>
        </w:rPr>
      </w:pPr>
      <w:r>
        <w:rPr>
          <w:noProof/>
        </w:rPr>
        <w:br w:type="page"/>
      </w:r>
      <w:r>
        <w:t>1.4.3.</w:t>
      </w:r>
      <w:r>
        <w:tab/>
      </w:r>
      <w:r>
        <w:rPr>
          <w:noProof/>
        </w:rPr>
        <w:t>Oodatavad tulemused ja mõju</w:t>
      </w:r>
    </w:p>
    <w:p>
      <w:pPr>
        <w:ind w:left="850"/>
        <w:rPr>
          <w:i/>
          <w:noProof/>
          <w:sz w:val="20"/>
        </w:rPr>
      </w:pPr>
      <w:r>
        <w:rPr>
          <w:i/>
          <w:noProof/>
          <w:sz w:val="20"/>
        </w:rPr>
        <w:t>Täpsustage, milline peaks olema ettepaneku/algatuse oodatav mõju toetusesaajatele/sihtrühmale.</w:t>
      </w:r>
    </w:p>
    <w:p>
      <w:pPr>
        <w:pBdr>
          <w:top w:val="single" w:sz="4" w:space="1" w:color="auto"/>
          <w:left w:val="single" w:sz="4" w:space="4" w:color="auto"/>
          <w:bottom w:val="single" w:sz="4" w:space="0" w:color="auto"/>
          <w:right w:val="single" w:sz="4" w:space="4" w:color="auto"/>
        </w:pBdr>
        <w:ind w:left="850"/>
        <w:rPr>
          <w:noProof/>
          <w:color w:val="000000"/>
          <w:sz w:val="23"/>
          <w:szCs w:val="23"/>
        </w:rPr>
      </w:pPr>
      <w:r>
        <w:rPr>
          <w:noProof/>
          <w:color w:val="000000"/>
          <w:sz w:val="23"/>
        </w:rPr>
        <w:t>Ettepanek:</w:t>
      </w:r>
      <w:r>
        <w:rPr>
          <w:noProof/>
        </w:rPr>
        <w:tab/>
      </w:r>
    </w:p>
    <w:p>
      <w:pPr>
        <w:pBdr>
          <w:top w:val="single" w:sz="4" w:space="1" w:color="auto"/>
          <w:left w:val="single" w:sz="4" w:space="4" w:color="auto"/>
          <w:bottom w:val="single" w:sz="4" w:space="0" w:color="auto"/>
          <w:right w:val="single" w:sz="4" w:space="4" w:color="auto"/>
        </w:pBdr>
        <w:ind w:left="850"/>
        <w:rPr>
          <w:noProof/>
          <w:color w:val="000000"/>
          <w:sz w:val="23"/>
          <w:szCs w:val="23"/>
        </w:rPr>
      </w:pPr>
      <w:r>
        <w:rPr>
          <w:noProof/>
          <w:color w:val="000000"/>
          <w:sz w:val="23"/>
        </w:rPr>
        <w:t>võimaldab liidul toetada, koordineerida ja täiendada liikmesriikide meetmeid kodanikukaitse vallas liidu kodanikukaitsemehhanismi (edaspidi „mehhanism”) kaudu 2014.–2020. aasta mitmeaastase finantsraamistiku ajal, hõlmates eelkõige:</w:t>
      </w:r>
    </w:p>
    <w:p>
      <w:pPr>
        <w:pBdr>
          <w:top w:val="single" w:sz="4" w:space="1" w:color="auto"/>
          <w:left w:val="single" w:sz="4" w:space="4" w:color="auto"/>
          <w:bottom w:val="single" w:sz="4" w:space="0" w:color="auto"/>
          <w:right w:val="single" w:sz="4" w:space="4" w:color="auto"/>
        </w:pBdr>
        <w:ind w:left="850"/>
        <w:rPr>
          <w:noProof/>
          <w:color w:val="000000"/>
          <w:sz w:val="23"/>
          <w:szCs w:val="23"/>
        </w:rPr>
      </w:pPr>
      <w:r>
        <w:rPr>
          <w:noProof/>
          <w:color w:val="000000"/>
          <w:sz w:val="23"/>
        </w:rPr>
        <w:t>a) meetmeid, et ennetada või vähendada õnnetuse mõju; ning</w:t>
      </w:r>
    </w:p>
    <w:p>
      <w:pPr>
        <w:pBdr>
          <w:top w:val="single" w:sz="4" w:space="1" w:color="auto"/>
          <w:left w:val="single" w:sz="4" w:space="4" w:color="auto"/>
          <w:bottom w:val="single" w:sz="4" w:space="0" w:color="auto"/>
          <w:right w:val="single" w:sz="4" w:space="4" w:color="auto"/>
        </w:pBdr>
        <w:ind w:left="850"/>
        <w:rPr>
          <w:noProof/>
          <w:color w:val="000000"/>
          <w:sz w:val="23"/>
          <w:szCs w:val="23"/>
        </w:rPr>
      </w:pPr>
      <w:r>
        <w:rPr>
          <w:noProof/>
          <w:color w:val="000000"/>
          <w:sz w:val="23"/>
        </w:rPr>
        <w:t>b) meetmeid, mis on kavandatud selleks, et parandada ELi valmisolekut reageerida õnnetustele, sealhulgas meetmed ELi kodanike teadlikkuse suurendamiseks;</w:t>
      </w:r>
    </w:p>
    <w:p>
      <w:pPr>
        <w:pBdr>
          <w:top w:val="single" w:sz="4" w:space="1" w:color="auto"/>
          <w:left w:val="single" w:sz="4" w:space="4" w:color="auto"/>
          <w:bottom w:val="single" w:sz="4" w:space="0" w:color="auto"/>
          <w:right w:val="single" w:sz="4" w:space="4" w:color="auto"/>
        </w:pBdr>
        <w:ind w:left="850"/>
        <w:rPr>
          <w:noProof/>
          <w:color w:val="000000"/>
          <w:sz w:val="23"/>
          <w:szCs w:val="23"/>
        </w:rPr>
      </w:pPr>
      <w:r>
        <w:rPr>
          <w:noProof/>
          <w:color w:val="000000"/>
          <w:sz w:val="23"/>
        </w:rPr>
        <w:t>c) õnnetuste korral mehhanismi raames abimissioonideks võetavad meetmed.</w:t>
      </w:r>
    </w:p>
    <w:p>
      <w:pPr>
        <w:pBdr>
          <w:top w:val="single" w:sz="4" w:space="1" w:color="auto"/>
          <w:left w:val="single" w:sz="4" w:space="4" w:color="auto"/>
          <w:bottom w:val="single" w:sz="4" w:space="0" w:color="auto"/>
          <w:right w:val="single" w:sz="4" w:space="4" w:color="auto"/>
        </w:pBdr>
        <w:ind w:left="850"/>
        <w:rPr>
          <w:noProof/>
          <w:color w:val="000000"/>
          <w:sz w:val="23"/>
          <w:szCs w:val="23"/>
        </w:rPr>
      </w:pPr>
      <w:r>
        <w:rPr>
          <w:noProof/>
          <w:color w:val="000000"/>
          <w:sz w:val="23"/>
        </w:rPr>
        <w:t>Praegune mehhanism on osutunud heaks vahendiks osalevate riikide antava abi koondamisel ja koordineerimisel, et liidus ja väljapool seda kriisidele reageerida. Nendele tugevustele toetudes tõhustatakse käesoleva ettepanekuga mõningaid praeguse raamistiku sätteid, et parandada liikmesriikide kollektiivset suutlikkust õnnetustele reageerida, luues tugevama Euroopa kodanikukaitse suutlikkuse, mida hakatakse kutsuma rescEU nime all. Kõnealune uus vahendite reserv ning Euroopa kodanikukaitse ühisressursi (varasemalt Euroopa hädaolukordadele reageerimise suutlikkus, EERC) kõrgemad kaasrahastamismäärad aitavad kõrvaldada kriitilise tähtsusega reageerimisvahendites struktuurilisi ja uusi puudusi. Algatus aitab parandada ka mehhanismi sisemist sidusust ning tõsta haldusliku lihtsustamise ja menetluste ühtlustamise kaudu tulemuslikkust.</w:t>
      </w:r>
    </w:p>
    <w:p>
      <w:pPr>
        <w:pStyle w:val="ManualNumPar3"/>
        <w:rPr>
          <w:noProof/>
        </w:rPr>
      </w:pPr>
      <w:r>
        <w:t>1.4.4.</w:t>
      </w:r>
      <w:r>
        <w:tab/>
      </w:r>
      <w:r>
        <w:rPr>
          <w:noProof/>
        </w:rPr>
        <w:t xml:space="preserve">Tulemus- ja mõjunäitajad </w:t>
      </w:r>
    </w:p>
    <w:p>
      <w:pPr>
        <w:ind w:left="850"/>
        <w:rPr>
          <w:i/>
          <w:noProof/>
          <w:sz w:val="20"/>
        </w:rPr>
      </w:pPr>
      <w:r>
        <w:rPr>
          <w:i/>
          <w:noProof/>
          <w:sz w:val="20"/>
        </w:rPr>
        <w:t>Täpsustage, milliste näitajate alusel hinnatakse ettepaneku/algatuse elluviimist.</w:t>
      </w:r>
    </w:p>
    <w:p>
      <w:pPr>
        <w:pBdr>
          <w:top w:val="single" w:sz="4" w:space="1" w:color="auto"/>
          <w:left w:val="single" w:sz="4" w:space="4" w:color="auto"/>
          <w:bottom w:val="single" w:sz="4" w:space="1" w:color="auto"/>
          <w:right w:val="single" w:sz="4" w:space="4" w:color="auto"/>
        </w:pBdr>
        <w:spacing w:after="0"/>
        <w:ind w:left="851"/>
        <w:rPr>
          <w:noProof/>
        </w:rPr>
      </w:pPr>
      <w:r>
        <w:rPr>
          <w:noProof/>
          <w:color w:val="000000"/>
          <w:sz w:val="23"/>
          <w:u w:val="single"/>
        </w:rPr>
        <w:t>Erieesmärk</w:t>
      </w:r>
      <w:r>
        <w:rPr>
          <w:noProof/>
          <w:color w:val="000000"/>
          <w:sz w:val="23"/>
        </w:rPr>
        <w:t>:</w:t>
      </w:r>
      <w:r>
        <w:rPr>
          <w:noProof/>
        </w:rPr>
        <w:t xml:space="preserve"> </w:t>
      </w:r>
      <w:r>
        <w:rPr>
          <w:noProof/>
          <w:u w:val="single"/>
        </w:rPr>
        <w:t>saavutada kõrgetasemeline kaitse õnnetuste vastu, ennetades või vähendades nende mõju ning edendades ennetuskultuuri:</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1.</w:t>
      </w:r>
      <w:r>
        <w:rPr>
          <w:noProof/>
        </w:rPr>
        <w:tab/>
      </w:r>
      <w:r>
        <w:rPr>
          <w:noProof/>
          <w:color w:val="000000"/>
          <w:sz w:val="23"/>
        </w:rPr>
        <w:t>Riikliku riskihindamis- ja õnnetustega seotud riskijuhtimiskava esitanud liikmesriikide arv.</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2.</w:t>
      </w:r>
      <w:r>
        <w:rPr>
          <w:noProof/>
        </w:rPr>
        <w:tab/>
      </w:r>
      <w:r>
        <w:rPr>
          <w:noProof/>
          <w:color w:val="000000"/>
          <w:sz w:val="23"/>
        </w:rPr>
        <w:t>Õnnetustega seotud riskijuhtimiskava kokkuvõtte esitanud liikmesriikide arv.</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p>
    <w:p>
      <w:pPr>
        <w:pBdr>
          <w:top w:val="single" w:sz="4" w:space="1" w:color="auto"/>
          <w:left w:val="single" w:sz="4" w:space="4" w:color="auto"/>
          <w:bottom w:val="single" w:sz="4" w:space="1" w:color="auto"/>
          <w:right w:val="single" w:sz="4" w:space="4" w:color="auto"/>
        </w:pBdr>
        <w:spacing w:after="0"/>
        <w:ind w:left="851"/>
        <w:rPr>
          <w:noProof/>
          <w:color w:val="000000"/>
          <w:sz w:val="23"/>
          <w:szCs w:val="23"/>
          <w:u w:val="single"/>
        </w:rPr>
      </w:pPr>
      <w:r>
        <w:rPr>
          <w:noProof/>
          <w:color w:val="000000"/>
          <w:u w:val="single"/>
        </w:rPr>
        <w:t>Erieesmärk</w:t>
      </w:r>
      <w:r>
        <w:rPr>
          <w:noProof/>
          <w:color w:val="000000"/>
        </w:rPr>
        <w:t xml:space="preserve">: </w:t>
      </w:r>
      <w:r>
        <w:rPr>
          <w:noProof/>
          <w:color w:val="000000"/>
          <w:u w:val="single"/>
        </w:rPr>
        <w:t>Suurendada liidu valmisolekut õnnetustele reageerimiseks:</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1.</w:t>
      </w:r>
      <w:r>
        <w:rPr>
          <w:noProof/>
        </w:rPr>
        <w:tab/>
      </w:r>
      <w:r>
        <w:rPr>
          <w:noProof/>
          <w:color w:val="000000"/>
          <w:sz w:val="23"/>
        </w:rPr>
        <w:t>Liidu mehhanismi raames koolitatud ekspertide arv, keda kasutatakse mehhanismi reageerimismissioonidel;</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2.</w:t>
      </w:r>
      <w:r>
        <w:rPr>
          <w:noProof/>
        </w:rPr>
        <w:tab/>
      </w:r>
      <w:r>
        <w:rPr>
          <w:noProof/>
          <w:color w:val="000000"/>
          <w:sz w:val="23"/>
        </w:rPr>
        <w:t>ELi piires ja naaberriikidega ekspertide vahetamise programmis osalenud ekspertide arv;</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3.</w:t>
      </w:r>
      <w:r>
        <w:rPr>
          <w:noProof/>
        </w:rPr>
        <w:tab/>
      </w:r>
      <w:r>
        <w:rPr>
          <w:noProof/>
          <w:color w:val="000000"/>
          <w:sz w:val="23"/>
        </w:rPr>
        <w:t>rescEU raames soetatud vahendite arv ja liik;</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4.</w:t>
      </w:r>
      <w:r>
        <w:rPr>
          <w:noProof/>
        </w:rPr>
        <w:tab/>
      </w:r>
      <w:r>
        <w:rPr>
          <w:noProof/>
          <w:color w:val="000000"/>
          <w:sz w:val="23"/>
        </w:rPr>
        <w:t>Euroopa kodanikukaitse ühisressursiga liitmiseks määratud vahendite arv ja liik;</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5.</w:t>
      </w:r>
      <w:r>
        <w:rPr>
          <w:noProof/>
        </w:rPr>
        <w:tab/>
      </w:r>
      <w:r>
        <w:rPr>
          <w:noProof/>
          <w:color w:val="000000"/>
          <w:sz w:val="23"/>
        </w:rPr>
        <w:t>Euroopa kodanikukaitse ühisressurssi vahendeid andvate liikmesriikide arv;</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r>
        <w:rPr>
          <w:noProof/>
          <w:color w:val="000000"/>
          <w:sz w:val="23"/>
        </w:rPr>
        <w:t>6.</w:t>
      </w:r>
      <w:r>
        <w:rPr>
          <w:noProof/>
        </w:rPr>
        <w:tab/>
      </w:r>
      <w:r>
        <w:rPr>
          <w:noProof/>
          <w:color w:val="000000"/>
          <w:sz w:val="23"/>
        </w:rPr>
        <w:t>rescEU missioonide arv võrreldes Euroopa kodanikukaitse ühisressursi reageerimismissioonide koguarvuga.</w:t>
      </w:r>
    </w:p>
    <w:p>
      <w:pPr>
        <w:pBdr>
          <w:top w:val="single" w:sz="4" w:space="1" w:color="auto"/>
          <w:left w:val="single" w:sz="4" w:space="4" w:color="auto"/>
          <w:bottom w:val="single" w:sz="4" w:space="1" w:color="auto"/>
          <w:right w:val="single" w:sz="4" w:space="4" w:color="auto"/>
        </w:pBdr>
        <w:spacing w:after="0"/>
        <w:ind w:left="851"/>
        <w:rPr>
          <w:noProof/>
          <w:color w:val="000000"/>
          <w:sz w:val="23"/>
          <w:szCs w:val="23"/>
        </w:rPr>
      </w:pPr>
    </w:p>
    <w:p>
      <w:pPr>
        <w:pBdr>
          <w:top w:val="single" w:sz="4" w:space="1" w:color="auto"/>
          <w:left w:val="single" w:sz="4" w:space="4" w:color="auto"/>
          <w:bottom w:val="single" w:sz="4" w:space="1" w:color="auto"/>
          <w:right w:val="single" w:sz="4" w:space="4" w:color="auto"/>
        </w:pBdr>
        <w:spacing w:after="0"/>
        <w:ind w:left="851"/>
        <w:rPr>
          <w:noProof/>
          <w:color w:val="000000"/>
          <w:szCs w:val="23"/>
        </w:rPr>
      </w:pPr>
      <w:r>
        <w:rPr>
          <w:noProof/>
          <w:color w:val="000000"/>
          <w:u w:val="single"/>
        </w:rPr>
        <w:t>Erieesmärk</w:t>
      </w:r>
      <w:r>
        <w:rPr>
          <w:noProof/>
          <w:color w:val="000000"/>
        </w:rPr>
        <w:t xml:space="preserve">: </w:t>
      </w:r>
      <w:r>
        <w:rPr>
          <w:noProof/>
          <w:color w:val="000000"/>
          <w:u w:val="single"/>
        </w:rPr>
        <w:t>kiirendada ja tõhustada hädaolukordadele reageerimise missioone suurõnnetuste või nende ohu korral:</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1.</w:t>
      </w:r>
      <w:r>
        <w:rPr>
          <w:noProof/>
        </w:rPr>
        <w:tab/>
      </w:r>
      <w:r>
        <w:rPr>
          <w:noProof/>
          <w:sz w:val="22"/>
        </w:rPr>
        <w:t>Missioonide kiirus: aeg abitaotluse ja kohapeal abi kasutuselevõtu vahel, samuti hindamis-/koordineerimisrühmade täielik toimimine</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2.</w:t>
      </w:r>
      <w:r>
        <w:rPr>
          <w:noProof/>
        </w:rPr>
        <w:tab/>
      </w:r>
      <w:r>
        <w:rPr>
          <w:noProof/>
          <w:sz w:val="22"/>
        </w:rPr>
        <w:t>rescEUst kasutusele võetud vahendite ja Euroopa kodanikukaitse ühisressursist kasutusele võetud vahendite suhe</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3.</w:t>
      </w:r>
      <w:r>
        <w:rPr>
          <w:noProof/>
        </w:rPr>
        <w:tab/>
      </w:r>
      <w:r>
        <w:rPr>
          <w:noProof/>
          <w:sz w:val="22"/>
        </w:rPr>
        <w:t>Transporditoetuste ja -teenuste arv</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4.</w:t>
      </w:r>
      <w:r>
        <w:rPr>
          <w:noProof/>
        </w:rPr>
        <w:tab/>
      </w:r>
      <w:r>
        <w:rPr>
          <w:noProof/>
          <w:sz w:val="22"/>
        </w:rPr>
        <w:t>rescEU operatsioonideks Euroopas ja väljaspool seda kulunud ELi rahalised vahendid (tegevus- ja transpordikulud eriolukordades)</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5.</w:t>
      </w:r>
      <w:r>
        <w:rPr>
          <w:noProof/>
        </w:rPr>
        <w:tab/>
      </w:r>
      <w:r>
        <w:rPr>
          <w:noProof/>
          <w:sz w:val="22"/>
        </w:rPr>
        <w:t>ELi poolt kaasrahastatud vahendid Euroopa kodanikukaitse ühisressursi operatsioonideks Euroopas ja väljaspool seda (transpordioperatsioonid)</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6.</w:t>
      </w:r>
      <w:r>
        <w:rPr>
          <w:noProof/>
        </w:rPr>
        <w:tab/>
      </w:r>
      <w:r>
        <w:rPr>
          <w:noProof/>
          <w:sz w:val="22"/>
        </w:rPr>
        <w:t>Liikmesriikidele ELi poolt kaasrahastatud vahendite kogusumma</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7.</w:t>
      </w:r>
      <w:r>
        <w:rPr>
          <w:noProof/>
        </w:rPr>
        <w:tab/>
      </w:r>
      <w:r>
        <w:rPr>
          <w:noProof/>
          <w:sz w:val="22"/>
        </w:rPr>
        <w:t>Ühendatud reservi kasutamiskordade arv võrreldes liidu mehhanismi missioonide koguarvuga</w:t>
      </w:r>
    </w:p>
    <w:p>
      <w:pPr>
        <w:pBdr>
          <w:top w:val="single" w:sz="4" w:space="1" w:color="auto"/>
          <w:left w:val="single" w:sz="4" w:space="4" w:color="auto"/>
          <w:bottom w:val="single" w:sz="4" w:space="1" w:color="auto"/>
          <w:right w:val="single" w:sz="4" w:space="4" w:color="auto"/>
        </w:pBdr>
        <w:spacing w:after="0"/>
        <w:ind w:left="851"/>
        <w:rPr>
          <w:noProof/>
          <w:color w:val="000000"/>
          <w:szCs w:val="23"/>
          <w:u w:val="single"/>
        </w:rPr>
      </w:pPr>
    </w:p>
    <w:p>
      <w:pPr>
        <w:pBdr>
          <w:top w:val="single" w:sz="4" w:space="1" w:color="auto"/>
          <w:left w:val="single" w:sz="4" w:space="4" w:color="auto"/>
          <w:bottom w:val="single" w:sz="4" w:space="1" w:color="auto"/>
          <w:right w:val="single" w:sz="4" w:space="4" w:color="auto"/>
        </w:pBdr>
        <w:spacing w:after="0"/>
        <w:ind w:left="851"/>
        <w:rPr>
          <w:noProof/>
          <w:color w:val="000000"/>
          <w:szCs w:val="23"/>
          <w:u w:val="single"/>
        </w:rPr>
      </w:pPr>
      <w:r>
        <w:rPr>
          <w:noProof/>
          <w:color w:val="000000"/>
          <w:u w:val="single"/>
        </w:rPr>
        <w:t>Erieesmärk nr 4: „suurendada üldsuse teadlikkust ja valmisolekut õnnetusteks“</w:t>
      </w:r>
    </w:p>
    <w:p>
      <w:pPr>
        <w:pBdr>
          <w:top w:val="single" w:sz="4" w:space="1" w:color="auto"/>
          <w:left w:val="single" w:sz="4" w:space="4" w:color="auto"/>
          <w:bottom w:val="single" w:sz="4" w:space="1" w:color="auto"/>
          <w:right w:val="single" w:sz="4" w:space="4" w:color="auto"/>
        </w:pBdr>
        <w:spacing w:after="0"/>
        <w:ind w:left="851"/>
        <w:rPr>
          <w:noProof/>
          <w:color w:val="000000"/>
          <w:szCs w:val="23"/>
        </w:rPr>
      </w:pPr>
      <w:r>
        <w:rPr>
          <w:noProof/>
          <w:color w:val="000000"/>
        </w:rPr>
        <w:t>1.</w:t>
      </w:r>
      <w:r>
        <w:rPr>
          <w:noProof/>
        </w:rPr>
        <w:tab/>
      </w:r>
      <w:r>
        <w:rPr>
          <w:noProof/>
          <w:color w:val="000000"/>
        </w:rPr>
        <w:t>Liidu mehhanismist rahastatud riskide teadlikkust käsitlevates avaliku ja erasektori partnerlustes osalenute/veebisaiti külastanute arv</w:t>
      </w:r>
    </w:p>
    <w:p>
      <w:pPr>
        <w:pBdr>
          <w:top w:val="single" w:sz="4" w:space="1" w:color="auto"/>
          <w:left w:val="single" w:sz="4" w:space="4" w:color="auto"/>
          <w:bottom w:val="single" w:sz="4" w:space="1" w:color="auto"/>
          <w:right w:val="single" w:sz="4" w:space="4" w:color="auto"/>
        </w:pBdr>
        <w:spacing w:after="0"/>
        <w:ind w:left="851"/>
        <w:rPr>
          <w:noProof/>
          <w:sz w:val="22"/>
        </w:rPr>
      </w:pPr>
      <w:r>
        <w:rPr>
          <w:noProof/>
          <w:color w:val="000000"/>
        </w:rPr>
        <w:t>2.</w:t>
      </w:r>
      <w:r>
        <w:rPr>
          <w:noProof/>
        </w:rPr>
        <w:tab/>
      </w:r>
      <w:r>
        <w:rPr>
          <w:noProof/>
          <w:color w:val="000000"/>
        </w:rPr>
        <w:t>ELi kodanike teadlikkus liidu mehhanismist (ELi kodanike küsitlus)</w:t>
      </w:r>
    </w:p>
    <w:p>
      <w:pPr>
        <w:pStyle w:val="ManualNumPar2"/>
        <w:rPr>
          <w:noProof/>
        </w:rPr>
      </w:pPr>
      <w:r>
        <w:t>1.5.</w:t>
      </w:r>
      <w:r>
        <w:tab/>
      </w:r>
      <w:r>
        <w:rPr>
          <w:noProof/>
        </w:rPr>
        <w:t xml:space="preserve">Ettepaneku/algatuse põhjendus </w:t>
      </w:r>
    </w:p>
    <w:p>
      <w:pPr>
        <w:pStyle w:val="ManualNumPar3"/>
        <w:rPr>
          <w:noProof/>
        </w:rPr>
      </w:pPr>
      <w:r>
        <w:t>1.5.1.</w:t>
      </w:r>
      <w:r>
        <w:tab/>
      </w:r>
      <w:r>
        <w:rPr>
          <w:noProof/>
        </w:rPr>
        <w:t xml:space="preserve">Lühi- või pikaajalises perspektiivis täidetavad vajadused </w:t>
      </w:r>
    </w:p>
    <w:p>
      <w:pPr>
        <w:pBdr>
          <w:top w:val="single" w:sz="4" w:space="1" w:color="auto"/>
          <w:left w:val="single" w:sz="4" w:space="4" w:color="auto"/>
          <w:bottom w:val="single" w:sz="4" w:space="0" w:color="auto"/>
          <w:right w:val="single" w:sz="4" w:space="4" w:color="auto"/>
        </w:pBdr>
        <w:ind w:left="850"/>
        <w:rPr>
          <w:noProof/>
          <w:sz w:val="22"/>
        </w:rPr>
      </w:pPr>
      <w:r>
        <w:rPr>
          <w:noProof/>
          <w:sz w:val="22"/>
        </w:rPr>
        <w:t>Euroopa kodanikukaitse on viimastel aastatel kiiresti arenenud. Alates esimese mehhanismi loomisest 2001. aastal (ühenduse kodanikukaitse mehhanismi) kuni tänaseni on ELi tasandil kodanikukaitse õigusraamistikku tõhustatud (konkreetne viide aluslepingus alates Lissaboni lepingust 2009. aastal), samuti on parandatud mehhanismi operatiivset suutlikkust (EERC/EMC, hädaolukordadele reageerimise koordineerimiskeskuse jne loomine). Praegu on liidu mehhanismi raames abi antud üle 80 hädaolukorra puhul nii Euroopas kui ka kaugemal, arendatud ja levitatud oskusteavet ja teadmisi õnnetuste ohjamise kohta, ning edendatud osalevate riikide hulgas ennetuskultuuri.</w:t>
      </w:r>
    </w:p>
    <w:p>
      <w:pPr>
        <w:pBdr>
          <w:top w:val="single" w:sz="4" w:space="1" w:color="auto"/>
          <w:left w:val="single" w:sz="4" w:space="4" w:color="auto"/>
          <w:bottom w:val="single" w:sz="4" w:space="0" w:color="auto"/>
          <w:right w:val="single" w:sz="4" w:space="4" w:color="auto"/>
        </w:pBdr>
        <w:ind w:left="850"/>
        <w:rPr>
          <w:noProof/>
          <w:sz w:val="22"/>
        </w:rPr>
      </w:pPr>
      <w:r>
        <w:rPr>
          <w:noProof/>
          <w:sz w:val="22"/>
        </w:rPr>
        <w:t>Hiljuti teostatud vahehindamise ning muude oluliste aruannete ning dokumentide alusel tehti siiski kindlaks mitmed valdkonnad, kus tuleks muudatusi teha. Sellest tulenevalt muudetakse käesoleva ettepanekuga kehtivat õigusakti, et saavutada järgmised eesmärgid:</w:t>
      </w:r>
    </w:p>
    <w:p>
      <w:pPr>
        <w:pBdr>
          <w:top w:val="single" w:sz="4" w:space="1" w:color="auto"/>
          <w:left w:val="single" w:sz="4" w:space="4" w:color="auto"/>
          <w:bottom w:val="single" w:sz="4" w:space="0" w:color="auto"/>
          <w:right w:val="single" w:sz="4" w:space="4" w:color="auto"/>
        </w:pBdr>
        <w:ind w:left="850"/>
        <w:rPr>
          <w:noProof/>
          <w:sz w:val="22"/>
        </w:rPr>
      </w:pPr>
      <w:r>
        <w:rPr>
          <w:noProof/>
          <w:sz w:val="22"/>
        </w:rPr>
        <w:t>a) liidu ja liikmesriikide õnnetustele reageerimise kollektiivse suutlikkuse tõhustamine ning korduvate ja tekkivate suutlikkuse puudujääkide kõrvaldamine, eelkõige reageerimissuutlikkuse sihtotstarbelise reservi loomise abil, mida hakatakse kutsuma rescEU nime all.</w:t>
      </w:r>
    </w:p>
    <w:p>
      <w:pPr>
        <w:pBdr>
          <w:top w:val="single" w:sz="4" w:space="1" w:color="auto"/>
          <w:left w:val="single" w:sz="4" w:space="4" w:color="auto"/>
          <w:bottom w:val="single" w:sz="4" w:space="0" w:color="auto"/>
          <w:right w:val="single" w:sz="4" w:space="4" w:color="auto"/>
        </w:pBdr>
        <w:ind w:left="850"/>
        <w:rPr>
          <w:noProof/>
          <w:sz w:val="22"/>
        </w:rPr>
      </w:pPr>
      <w:r>
        <w:rPr>
          <w:noProof/>
          <w:sz w:val="22"/>
        </w:rPr>
        <w:t>b) Ennetusmeetmete tähtsuse tõstmine osana õnnetuste ohjamise tsüklist ning sidususe tugevdamine teiste oluliste ELi strateegiatega õnnetuste ennetamise ja neile reageerimise valdkonnas.</w:t>
      </w:r>
    </w:p>
    <w:p>
      <w:pPr>
        <w:pBdr>
          <w:top w:val="single" w:sz="4" w:space="1" w:color="auto"/>
          <w:left w:val="single" w:sz="4" w:space="4" w:color="auto"/>
          <w:bottom w:val="single" w:sz="4" w:space="0" w:color="auto"/>
          <w:right w:val="single" w:sz="4" w:space="4" w:color="auto"/>
        </w:pBdr>
        <w:ind w:left="850"/>
        <w:rPr>
          <w:noProof/>
          <w:sz w:val="22"/>
        </w:rPr>
      </w:pPr>
      <w:r>
        <w:rPr>
          <w:noProof/>
          <w:sz w:val="22"/>
        </w:rPr>
        <w:t>c) Liidu mehhanismi haldusmenetluste paindlikkuse ja tõhususe tagamine hädaabi operatsioonide toetamisel.</w:t>
      </w:r>
    </w:p>
    <w:p>
      <w:pPr>
        <w:pStyle w:val="ManualNumPar3"/>
        <w:rPr>
          <w:noProof/>
        </w:rPr>
      </w:pPr>
      <w:r>
        <w:t>1.5.2.</w:t>
      </w:r>
      <w:r>
        <w:tab/>
      </w:r>
      <w:r>
        <w:rPr>
          <w:noProof/>
        </w:rPr>
        <w:t>ELi meetme lisaväärtus</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ELi lisaväärtus väljendub järgmisel kujul:</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inimkaotuste ning keskkonna-, majandusliku ja materiaalse kahju vähendamine;</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kodanikukaitsealase tegevuse parem koordineerimine, kuna kõik abipakkumised edastatakse ERCC kaudu kannatanud riigi ametiasutustele vastuvõtmiseks;</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kulutasuvus, kuna kannatanud riigi poolt vastu võetud abi saab ühendada teiste riikide abiga transpordikorra kaudu;</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suurem tõhusus, sest valmisoleku tase on kõrgem ja riskijuhtimispoliitika on sidusam;</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sidus ja tulemuslik reageerimine rescEU loomise kaudu, et olla abiks kõikjal ELis ja vajaduse korral osalevates riikides;</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ELi reageerimine õnnetustele on paremini nähtav;</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väheste vahendite parem kasutamine ELi rahastatud vahendite jagamise kaudu;</w:t>
      </w:r>
    </w:p>
    <w:p>
      <w:pPr>
        <w:pBdr>
          <w:top w:val="single" w:sz="4" w:space="1" w:color="auto"/>
          <w:left w:val="single" w:sz="4" w:space="4" w:color="auto"/>
          <w:bottom w:val="single" w:sz="4" w:space="1" w:color="auto"/>
          <w:right w:val="single" w:sz="4" w:space="4" w:color="auto"/>
        </w:pBdr>
        <w:spacing w:after="0"/>
        <w:ind w:left="851"/>
        <w:rPr>
          <w:noProof/>
          <w:sz w:val="22"/>
        </w:rPr>
      </w:pPr>
      <w:r>
        <w:rPr>
          <w:noProof/>
          <w:sz w:val="22"/>
        </w:rPr>
        <w:t>- piirkondliku koordineerimise ja teadmiste jagamise edendamine ELi kodanikukaitse keskuste võrgustiku arendamise kaudu.</w:t>
      </w:r>
    </w:p>
    <w:p>
      <w:pPr>
        <w:pStyle w:val="ManualNumPar3"/>
        <w:rPr>
          <w:noProof/>
        </w:rPr>
      </w:pPr>
      <w:r>
        <w:t>1.5.3.</w:t>
      </w:r>
      <w:r>
        <w:tab/>
      </w:r>
      <w:r>
        <w:rPr>
          <w:noProof/>
          <w:color w:val="0000FF"/>
        </w:rPr>
        <w:t xml:space="preserve"> </w:t>
      </w:r>
      <w:r>
        <w:rPr>
          <w:noProof/>
        </w:rPr>
        <w:t>Samalaadsetest kogemustest saadud õppetunnid</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xml:space="preserve">Käesolevad ettepanekud tuginevad järgmistele õppetundidele: </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väliseksperdi teostatud liidu mehhanismi vahehindamine (2014–2016). August 2017.</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Euroopa Kontrollikoda, „ELi kodanikukaitse mehhanism: väljaspool ELi toimunud katastroofidele reageerimise koordineerimine on olnud üldjoontes mõjus“, eriaruanne nr 33/2016.</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Komisjoni talituste töödokument, „Overview of Natural and Man-made Disaster Risks the European Union may face“ (Euroopa Liidu võimalike looduslike ja inimtekkeliste katastroofide riskide ülevaade), SWD(2017) 176 final, 23.5.2017.</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Komisjoni aruanne Euroopa Parlamendile ja nõukogule Euroopa hädaolukordadele reageerimise suutlikkusega seoses tehtud edusammude ja allesjäänud puudujääkide kohta, COM(2017) 78 final, 17.2.2017 - alates mehhanismi loomisest 2001. aastal selle raames hädaolukordade lahendamisel saadud kogemused.</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Alates 2013. aastast valmisoleku- ja ennetamisalaste konkursside raames rahastatud projektide tulemusel saadud kogemused.</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- 2008. aastal käivitatud konkursi „Konkursikutse – Katseprojekt liikmesriikidevahelise koostöö tihendamiseks metsatulekahjudega võitlemisel” raames rahastatud katseprojektist saadud kogemused.</w:t>
      </w:r>
    </w:p>
    <w:p>
      <w:pPr>
        <w:pStyle w:val="ManualNumPar3"/>
        <w:rPr>
          <w:noProof/>
        </w:rPr>
      </w:pPr>
      <w:r>
        <w:t>1.5.4.</w:t>
      </w:r>
      <w:r>
        <w:tab/>
      </w:r>
      <w:r>
        <w:rPr>
          <w:noProof/>
        </w:rPr>
        <w:t>Kooskõla ja võimalik koostoime muude asjaomaste meetmetega</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xml:space="preserve">Kooskõla järgmiste õigusaktidega: </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nõukogu 20. juuni 1996. aasta määrus (EÜ) nr 1257/96 humanitaarabi kohta;</w:t>
      </w:r>
      <w:r>
        <w:rPr>
          <w:noProof/>
        </w:rPr>
        <w:tab/>
      </w:r>
    </w:p>
    <w:p>
      <w:pPr>
        <w:pBdr>
          <w:top w:val="single" w:sz="4" w:space="1" w:color="auto"/>
          <w:left w:val="single" w:sz="4" w:space="4" w:color="auto"/>
          <w:bottom w:val="single" w:sz="4" w:space="0" w:color="auto"/>
          <w:right w:val="single" w:sz="4" w:space="4" w:color="auto"/>
        </w:pBdr>
        <w:ind w:left="850"/>
        <w:rPr>
          <w:noProof/>
          <w:sz w:val="22"/>
        </w:rPr>
      </w:pPr>
      <w:r>
        <w:rPr>
          <w:noProof/>
          <w:sz w:val="22"/>
        </w:rPr>
        <w:t xml:space="preserve">- Euroopa Parlamendi ja nõukogu 27. juuni 2002. aasta määrus nr 1406/2002, millega luuakse Euroopa Meresõiduohutuse Amet; </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xml:space="preserve">- nõukogu 11. novembri 2002. aasta määrus (EÜ) nr 2012/2002 Euroopa Liidu solidaarsusfondi loomise kohta; </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Euroopa Parlamendi ja nõukogu 15. novembri 2006. aasta määrus (EÜ) nr 1717/2006, millega kehtestatakse stabiliseerimisvahend;</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Euroopa Parlamendi ja nõukogu 17. detsembri 2013. aasta otsus nr 1313/2013/EL, liidu kodanikukaitse mehhanismi kohta;</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Euroopa Parlamendi ja nõukogu 3. aprilli 2014. aasta määrus (EL) nr 375/2014, millega asutatakse Euroopa vabatahtlik humanitaarabikorpus (ELi humanitaarabi vabatahtlikke käsitlev algatus);</w:t>
      </w:r>
    </w:p>
    <w:p>
      <w:pPr>
        <w:pBdr>
          <w:top w:val="single" w:sz="4" w:space="1" w:color="auto"/>
          <w:left w:val="single" w:sz="4" w:space="4" w:color="auto"/>
          <w:bottom w:val="single" w:sz="4" w:space="0" w:color="auto"/>
          <w:right w:val="single" w:sz="4" w:space="4" w:color="auto"/>
        </w:pBdr>
        <w:ind w:left="850"/>
        <w:rPr>
          <w:noProof/>
          <w:sz w:val="22"/>
        </w:rPr>
      </w:pPr>
      <w:r>
        <w:rPr>
          <w:noProof/>
          <w:sz w:val="22"/>
        </w:rPr>
        <w:t>- nõukogu 15. märtsi 2016. aasta määrus (EL) 2016/369, erakorralise toetuse andmise kohta liidus.</w:t>
      </w:r>
    </w:p>
    <w:p>
      <w:pPr>
        <w:pStyle w:val="ManualNumPar2"/>
        <w:rPr>
          <w:noProof/>
        </w:rPr>
      </w:pPr>
      <w:r>
        <w:rPr>
          <w:noProof/>
        </w:rPr>
        <w:br w:type="page"/>
      </w:r>
      <w:r>
        <w:t>1.6.</w:t>
      </w:r>
      <w:r>
        <w:tab/>
      </w:r>
      <w:r>
        <w:rPr>
          <w:noProof/>
        </w:rPr>
        <w:t xml:space="preserve">Meetme kestus ja finantsmõju </w:t>
      </w:r>
    </w:p>
    <w:p>
      <w:pPr>
        <w:ind w:left="850"/>
        <w:rPr>
          <w:noProof/>
        </w:rPr>
      </w:pPr>
      <w:r>
        <w:rPr>
          <w:noProof/>
        </w:rPr>
        <w:sym w:font="Wingdings" w:char="F0A8"/>
      </w:r>
      <w:r>
        <w:rPr>
          <w:b/>
          <w:i/>
          <w:noProof/>
        </w:rPr>
        <w:t xml:space="preserve"> </w:t>
      </w:r>
      <w:r>
        <w:rPr>
          <w:b/>
          <w:noProof/>
        </w:rPr>
        <w:t>Piiratud kestusega</w:t>
      </w:r>
      <w:r>
        <w:rPr>
          <w:noProof/>
        </w:rPr>
        <w:t xml:space="preserve"> ettepanek/algatus</w:t>
      </w:r>
      <w:r>
        <w:rPr>
          <w:b/>
          <w:noProof/>
        </w:rPr>
        <w:t xml:space="preserve"> </w:t>
      </w:r>
    </w:p>
    <w:p>
      <w:pPr>
        <w:tabs>
          <w:tab w:val="num" w:pos="1134"/>
        </w:tabs>
        <w:ind w:left="1134" w:hanging="283"/>
        <w:rPr>
          <w:rFonts w:eastAsia="Times New Roman"/>
          <w:noProof/>
        </w:rPr>
      </w:pPr>
      <w:r>
        <w:rPr>
          <w:rFonts w:eastAsia="Times New Roman"/>
          <w:noProof/>
        </w:rPr>
        <w:sym w:font="Wingdings" w:char="F0A8"/>
      </w:r>
      <w:r>
        <w:rPr>
          <w:noProof/>
        </w:rPr>
        <w:tab/>
        <w:t xml:space="preserve">Ettepanek/algatus hõlmab ajavahemikku [PP/KK]AAAA–[PP/KK]AAAA </w:t>
      </w:r>
    </w:p>
    <w:p>
      <w:pPr>
        <w:tabs>
          <w:tab w:val="num" w:pos="1134"/>
        </w:tabs>
        <w:ind w:left="1134" w:hanging="283"/>
        <w:rPr>
          <w:rFonts w:eastAsia="Times New Roman"/>
          <w:noProof/>
        </w:rPr>
      </w:pPr>
      <w:r>
        <w:rPr>
          <w:rFonts w:eastAsia="Times New Roman"/>
          <w:noProof/>
        </w:rPr>
        <w:sym w:font="Wingdings" w:char="F0A8"/>
      </w:r>
      <w:r>
        <w:rPr>
          <w:noProof/>
        </w:rPr>
        <w:tab/>
        <w:t>Finantsmõju avaldub ajavahemikul [PP/KK]AAAA–[PP/KK]AAAA</w:t>
      </w:r>
    </w:p>
    <w:p>
      <w:pPr>
        <w:ind w:left="850"/>
        <w:rPr>
          <w:noProof/>
        </w:rPr>
      </w:pPr>
      <w:r>
        <w:rPr>
          <w:noProof/>
        </w:rPr>
        <w:t>X</w:t>
      </w:r>
      <w:r>
        <w:rPr>
          <w:b/>
          <w:i/>
          <w:noProof/>
        </w:rPr>
        <w:t xml:space="preserve"> </w:t>
      </w:r>
      <w:r>
        <w:rPr>
          <w:b/>
          <w:noProof/>
        </w:rPr>
        <w:t>Piiramatu kestusega</w:t>
      </w:r>
      <w:r>
        <w:rPr>
          <w:noProof/>
        </w:rPr>
        <w:t xml:space="preserve"> ettepanek/algatus</w:t>
      </w:r>
    </w:p>
    <w:p>
      <w:pPr>
        <w:tabs>
          <w:tab w:val="num" w:pos="1134"/>
        </w:tabs>
        <w:ind w:left="1134" w:hanging="283"/>
        <w:rPr>
          <w:rFonts w:eastAsia="Times New Roman"/>
          <w:noProof/>
        </w:rPr>
      </w:pPr>
      <w:r>
        <w:rPr>
          <w:noProof/>
        </w:rPr>
        <w:t>X rakendamise käivitumisperiood hõlmab ajavahemikku 1.1.2018–31.12.2020,</w:t>
      </w:r>
    </w:p>
    <w:p>
      <w:pPr>
        <w:tabs>
          <w:tab w:val="num" w:pos="1134"/>
        </w:tabs>
        <w:ind w:left="1134" w:hanging="283"/>
        <w:rPr>
          <w:rFonts w:eastAsia="Times New Roman"/>
          <w:noProof/>
        </w:rPr>
      </w:pPr>
      <w:r>
        <w:rPr>
          <w:noProof/>
        </w:rPr>
        <w:t>millele järgneb täieulatuslik rakendamine.</w:t>
      </w:r>
    </w:p>
    <w:p>
      <w:pPr>
        <w:pStyle w:val="ManualNumPar2"/>
        <w:rPr>
          <w:noProof/>
        </w:rPr>
      </w:pPr>
      <w:r>
        <w:t>1.7.</w:t>
      </w:r>
      <w:r>
        <w:tab/>
      </w:r>
      <w:r>
        <w:rPr>
          <w:noProof/>
        </w:rPr>
        <w:t>Ettenähtud eelarve täitmise viisid</w:t>
      </w:r>
      <w:r>
        <w:rPr>
          <w:rStyle w:val="FootnoteReference"/>
          <w:noProof/>
        </w:rPr>
        <w:footnoteReference w:id="19"/>
      </w:r>
      <w:r>
        <w:rPr>
          <w:noProof/>
          <w:vertAlign w:val="superscript"/>
        </w:rPr>
        <w:t xml:space="preserve"> </w:t>
      </w:r>
    </w:p>
    <w:p>
      <w:pPr>
        <w:ind w:left="850"/>
        <w:rPr>
          <w:noProof/>
        </w:rPr>
      </w:pPr>
      <w:r>
        <w:rPr>
          <w:noProof/>
        </w:rPr>
        <w:t>X</w:t>
      </w:r>
      <w:r>
        <w:rPr>
          <w:i/>
          <w:noProof/>
        </w:rPr>
        <w:t xml:space="preserve"> </w:t>
      </w:r>
      <w:r>
        <w:rPr>
          <w:b/>
          <w:noProof/>
        </w:rPr>
        <w:t>Otsene eelarve täitmine</w:t>
      </w:r>
      <w:r>
        <w:rPr>
          <w:noProof/>
        </w:rPr>
        <w:t xml:space="preserve"> komisjoni poolt</w:t>
      </w:r>
    </w:p>
    <w:p>
      <w:pPr>
        <w:tabs>
          <w:tab w:val="num" w:pos="1134"/>
        </w:tabs>
        <w:ind w:left="1134" w:hanging="283"/>
        <w:rPr>
          <w:rFonts w:eastAsia="Times New Roman" w:cs="EUAlbertina"/>
          <w:noProof/>
        </w:rPr>
      </w:pPr>
      <w:r>
        <w:rPr>
          <w:noProof/>
        </w:rPr>
        <w:t xml:space="preserve">X oma talituste kaudu, sealhulgas kasutades liidu delegatsioonides töötavat komisjoni personali; </w:t>
      </w:r>
    </w:p>
    <w:p>
      <w:pPr>
        <w:tabs>
          <w:tab w:val="num" w:pos="1134"/>
        </w:tabs>
        <w:ind w:left="1134" w:hanging="283"/>
        <w:rPr>
          <w:rFonts w:eastAsia="Times New Roman"/>
          <w:noProof/>
        </w:rPr>
      </w:pPr>
      <w:r>
        <w:rPr>
          <w:rFonts w:eastAsia="Times New Roman"/>
          <w:noProof/>
        </w:rPr>
        <w:sym w:font="Wingdings" w:char="F0A8"/>
      </w:r>
      <w:r>
        <w:rPr>
          <w:noProof/>
        </w:rPr>
        <w:tab/>
        <w:t xml:space="preserve">rakendusametite kaudu </w:t>
      </w:r>
    </w:p>
    <w:p>
      <w:pPr>
        <w:ind w:left="850"/>
        <w:rPr>
          <w:noProof/>
        </w:rPr>
      </w:pPr>
      <w:r>
        <w:rPr>
          <w:noProof/>
        </w:rPr>
        <w:sym w:font="Wingdings" w:char="F0A8"/>
      </w:r>
      <w:r>
        <w:rPr>
          <w:b/>
          <w:i/>
          <w:noProof/>
        </w:rPr>
        <w:t xml:space="preserve"> </w:t>
      </w:r>
      <w:r>
        <w:rPr>
          <w:b/>
          <w:noProof/>
        </w:rPr>
        <w:t>Eelarve täitmine</w:t>
      </w:r>
      <w:r>
        <w:rPr>
          <w:noProof/>
        </w:rPr>
        <w:t xml:space="preserve"> koostöös liikmesriikidega </w:t>
      </w:r>
    </w:p>
    <w:p>
      <w:pPr>
        <w:ind w:left="850"/>
        <w:rPr>
          <w:noProof/>
        </w:rPr>
      </w:pPr>
      <w:r>
        <w:rPr>
          <w:noProof/>
        </w:rPr>
        <w:t>X</w:t>
      </w:r>
      <w:r>
        <w:rPr>
          <w:i/>
          <w:noProof/>
        </w:rPr>
        <w:t xml:space="preserve"> </w:t>
      </w:r>
      <w:r>
        <w:rPr>
          <w:b/>
          <w:noProof/>
        </w:rPr>
        <w:t>Kaudne eelarve täitmine</w:t>
      </w:r>
      <w:r>
        <w:rPr>
          <w:noProof/>
        </w:rPr>
        <w:t>, mille puhul eelarve täitmise ülesanded on usaldatud:</w:t>
      </w:r>
    </w:p>
    <w:p>
      <w:pPr>
        <w:tabs>
          <w:tab w:val="num" w:pos="1134"/>
        </w:tabs>
        <w:ind w:left="1134" w:hanging="283"/>
        <w:rPr>
          <w:rFonts w:eastAsia="Times New Roman"/>
          <w:noProof/>
        </w:rPr>
      </w:pPr>
      <w:r>
        <w:rPr>
          <w:rFonts w:eastAsia="Times New Roman"/>
          <w:noProof/>
        </w:rPr>
        <w:sym w:font="Wingdings" w:char="F0A8"/>
      </w:r>
      <w:r>
        <w:rPr>
          <w:noProof/>
        </w:rPr>
        <w:t xml:space="preserve"> kolmandatele riikidele või nende määratud asutustele;</w:t>
      </w:r>
    </w:p>
    <w:p>
      <w:pPr>
        <w:tabs>
          <w:tab w:val="num" w:pos="1134"/>
        </w:tabs>
        <w:ind w:left="1134" w:hanging="283"/>
        <w:rPr>
          <w:rFonts w:eastAsia="Times New Roman"/>
          <w:noProof/>
        </w:rPr>
      </w:pPr>
      <w:r>
        <w:rPr>
          <w:noProof/>
        </w:rPr>
        <w:t>X rahvusvahelistele organisatsioonidele ja nende esindajatele (täpsustage);</w:t>
      </w:r>
    </w:p>
    <w:p>
      <w:pPr>
        <w:tabs>
          <w:tab w:val="num" w:pos="1134"/>
        </w:tabs>
        <w:ind w:left="1134" w:hanging="283"/>
        <w:rPr>
          <w:rFonts w:eastAsia="Times New Roman"/>
          <w:noProof/>
        </w:rPr>
      </w:pPr>
      <w:r>
        <w:rPr>
          <w:rFonts w:eastAsia="Times New Roman"/>
          <w:noProof/>
        </w:rPr>
        <w:sym w:font="Wingdings" w:char="F0A8"/>
      </w:r>
      <w:r>
        <w:rPr>
          <w:noProof/>
        </w:rPr>
        <w:t>Euroopa Investeerimispangale ja Euroopa Investeerimisfondile;</w:t>
      </w:r>
    </w:p>
    <w:p>
      <w:pPr>
        <w:tabs>
          <w:tab w:val="num" w:pos="1134"/>
        </w:tabs>
        <w:ind w:left="1134" w:hanging="283"/>
        <w:rPr>
          <w:rFonts w:eastAsia="Times New Roman"/>
          <w:noProof/>
        </w:rPr>
      </w:pPr>
      <w:r>
        <w:rPr>
          <w:rFonts w:eastAsia="Times New Roman"/>
          <w:noProof/>
        </w:rPr>
        <w:sym w:font="Wingdings" w:char="F0A8"/>
      </w:r>
      <w:r>
        <w:rPr>
          <w:noProof/>
        </w:rPr>
        <w:t xml:space="preserve"> finantsmääruse artiklites 208 ja 209 osutatud asutustele;</w:t>
      </w:r>
    </w:p>
    <w:p>
      <w:pPr>
        <w:tabs>
          <w:tab w:val="num" w:pos="1134"/>
        </w:tabs>
        <w:ind w:left="1134" w:hanging="283"/>
        <w:rPr>
          <w:rFonts w:eastAsia="Times New Roman"/>
          <w:noProof/>
        </w:rPr>
      </w:pPr>
      <w:r>
        <w:rPr>
          <w:rFonts w:eastAsia="Times New Roman"/>
          <w:noProof/>
        </w:rPr>
        <w:sym w:font="Wingdings" w:char="F0A8"/>
      </w:r>
      <w:r>
        <w:rPr>
          <w:noProof/>
        </w:rPr>
        <w:t xml:space="preserve"> avalik-õiguslikele asutustele;</w:t>
      </w:r>
    </w:p>
    <w:p>
      <w:pPr>
        <w:tabs>
          <w:tab w:val="num" w:pos="1134"/>
        </w:tabs>
        <w:ind w:left="1134" w:hanging="283"/>
        <w:rPr>
          <w:rFonts w:eastAsia="Times New Roman"/>
          <w:noProof/>
        </w:rPr>
      </w:pPr>
      <w:r>
        <w:rPr>
          <w:rFonts w:eastAsia="Times New Roman"/>
          <w:noProof/>
        </w:rPr>
        <w:sym w:font="Wingdings" w:char="F0A8"/>
      </w:r>
      <w:r>
        <w:rPr>
          <w:noProof/>
        </w:rPr>
        <w:t xml:space="preserve"> avalikke teenuseid osutavatele eraõiguslikele asutustele, kuivõrd nad esitavad piisavad finantstagatised;</w:t>
      </w:r>
    </w:p>
    <w:p>
      <w:pPr>
        <w:tabs>
          <w:tab w:val="num" w:pos="1134"/>
        </w:tabs>
        <w:ind w:left="1134" w:hanging="283"/>
        <w:rPr>
          <w:rFonts w:eastAsia="Times New Roman"/>
          <w:noProof/>
        </w:rPr>
      </w:pPr>
      <w:r>
        <w:rPr>
          <w:rFonts w:eastAsia="Times New Roman"/>
          <w:noProof/>
        </w:rPr>
        <w:sym w:font="Wingdings" w:char="F0A8"/>
      </w:r>
      <w:r>
        <w:rPr>
          <w:noProof/>
        </w:rPr>
        <w:t xml:space="preserve"> liikmesriigi eraõigusega reguleeritud asutustele, kellele on delegeeritud avaliku ja erasektori partnerluse rakendamine ja kes esitavad piisavad finantstagatised;</w:t>
      </w:r>
    </w:p>
    <w:p>
      <w:pPr>
        <w:tabs>
          <w:tab w:val="num" w:pos="1134"/>
        </w:tabs>
        <w:ind w:left="1134" w:hanging="283"/>
        <w:rPr>
          <w:rFonts w:eastAsia="Times New Roman"/>
          <w:noProof/>
        </w:rPr>
      </w:pPr>
      <w:r>
        <w:rPr>
          <w:rFonts w:eastAsia="Times New Roman"/>
          <w:noProof/>
        </w:rPr>
        <w:sym w:font="Wingdings" w:char="F0A8"/>
      </w:r>
      <w:r>
        <w:rPr>
          <w:noProof/>
        </w:rPr>
        <w:t xml:space="preserve"> isikutele, kellele on delegeeritud Euroopa Liidu lepingu V jaotise kohaste ÜVJP erimeetmete rakendamine ja kes on kindlaks määratud asjaomases alusaktis.</w:t>
      </w:r>
    </w:p>
    <w:p>
      <w:pPr>
        <w:tabs>
          <w:tab w:val="num" w:pos="1134"/>
        </w:tabs>
        <w:ind w:left="1134" w:hanging="283"/>
        <w:rPr>
          <w:rFonts w:eastAsia="Times New Roman"/>
          <w:i/>
          <w:noProof/>
          <w:sz w:val="18"/>
          <w:u w:val="single"/>
        </w:rPr>
      </w:pPr>
      <w:r>
        <w:rPr>
          <w:i/>
          <w:noProof/>
          <w:sz w:val="18"/>
        </w:rPr>
        <w:t>Mitme eelarve täitmise viisi valimise korral esitage üksikasjad rubriigis „Märkused“.</w:t>
      </w:r>
    </w:p>
    <w:p>
      <w:pPr>
        <w:rPr>
          <w:noProof/>
        </w:rPr>
      </w:pPr>
      <w:r>
        <w:rPr>
          <w:noProof/>
        </w:rPr>
        <w:t xml:space="preserve">Märkused </w:t>
      </w:r>
    </w:p>
    <w:p>
      <w:pPr>
        <w:pBdr>
          <w:top w:val="single" w:sz="4" w:space="1" w:color="auto"/>
          <w:left w:val="single" w:sz="4" w:space="4" w:color="auto"/>
          <w:bottom w:val="single" w:sz="4" w:space="1" w:color="auto"/>
          <w:right w:val="single" w:sz="4" w:space="4" w:color="auto"/>
        </w:pBdr>
        <w:rPr>
          <w:noProof/>
        </w:rPr>
      </w:pPr>
      <w:r>
        <w:rPr>
          <w:noProof/>
          <w:color w:val="0000FF"/>
        </w:rPr>
        <w:t>[…]</w:t>
      </w:r>
    </w:p>
    <w:p>
      <w:pPr>
        <w:pBdr>
          <w:top w:val="single" w:sz="4" w:space="1" w:color="auto"/>
          <w:left w:val="single" w:sz="4" w:space="4" w:color="auto"/>
          <w:bottom w:val="single" w:sz="4" w:space="1" w:color="auto"/>
          <w:right w:val="single" w:sz="4" w:space="4" w:color="auto"/>
        </w:pBdr>
        <w:rPr>
          <w:noProof/>
        </w:rPr>
      </w:pPr>
      <w:r>
        <w:rPr>
          <w:noProof/>
          <w:color w:val="0000FF"/>
        </w:rPr>
        <w:t>[…]</w:t>
      </w:r>
    </w:p>
    <w:p>
      <w:pPr>
        <w:rPr>
          <w:noProof/>
        </w:rPr>
        <w:sectPr>
          <w:pgSz w:w="11907" w:h="16840" w:code="9"/>
          <w:pgMar w:top="1134" w:right="1418" w:bottom="1134" w:left="1418" w:header="709" w:footer="709" w:gutter="0"/>
          <w:cols w:space="708"/>
          <w:docGrid w:linePitch="360"/>
        </w:sectPr>
      </w:pPr>
    </w:p>
    <w:p>
      <w:pPr>
        <w:pStyle w:val="ManualNumPar1"/>
        <w:rPr>
          <w:noProof/>
        </w:rPr>
      </w:pPr>
      <w:r>
        <w:t>2.</w:t>
      </w:r>
      <w:r>
        <w:tab/>
      </w:r>
      <w:r>
        <w:rPr>
          <w:noProof/>
        </w:rPr>
        <w:t xml:space="preserve">HALDUSMEETMED </w:t>
      </w:r>
    </w:p>
    <w:p>
      <w:pPr>
        <w:pStyle w:val="ManualNumPar2"/>
        <w:rPr>
          <w:noProof/>
        </w:rPr>
      </w:pPr>
      <w:r>
        <w:t>2.1.</w:t>
      </w:r>
      <w:r>
        <w:tab/>
      </w:r>
      <w:r>
        <w:rPr>
          <w:noProof/>
        </w:rPr>
        <w:t xml:space="preserve">Järelevalve ja aruandluse eeskirjad </w:t>
      </w:r>
    </w:p>
    <w:p>
      <w:pPr>
        <w:ind w:left="850"/>
        <w:rPr>
          <w:i/>
          <w:noProof/>
          <w:sz w:val="20"/>
          <w:u w:val="single"/>
        </w:rPr>
      </w:pPr>
      <w:r>
        <w:rPr>
          <w:i/>
          <w:noProof/>
          <w:sz w:val="20"/>
        </w:rPr>
        <w:t>Täpsustage tingimused ja sagedus.</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xml:space="preserve">Käesolevate otsuste alusel rahalist abi saavaid meetmeid kontrollitakse regulaarselt. </w:t>
      </w:r>
    </w:p>
    <w:p>
      <w:pPr>
        <w:pBdr>
          <w:top w:val="single" w:sz="4" w:space="1" w:color="auto"/>
          <w:left w:val="single" w:sz="4" w:space="4" w:color="auto"/>
          <w:bottom w:val="single" w:sz="4" w:space="1" w:color="auto"/>
          <w:right w:val="single" w:sz="4" w:space="4" w:color="auto"/>
        </w:pBdr>
        <w:ind w:left="850"/>
        <w:rPr>
          <w:noProof/>
          <w:sz w:val="22"/>
        </w:rPr>
      </w:pPr>
      <w:r>
        <w:rPr>
          <w:noProof/>
          <w:sz w:val="22"/>
        </w:rPr>
        <w:t>Komisjon koostab ning esitab Euroopa Parlamendile ja nõukogule järgmised dokumendid:</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vahehindamise aruanne hiljemalt 30. juuniks 2017 (juba esitatud);</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teatis käesoleva otsuse rakendamise jätkamise kohta hiljemalt 31. detsembriks 2018;</w:t>
      </w:r>
    </w:p>
    <w:p>
      <w:pPr>
        <w:pBdr>
          <w:top w:val="single" w:sz="4" w:space="1" w:color="auto"/>
          <w:left w:val="single" w:sz="4" w:space="4" w:color="auto"/>
          <w:bottom w:val="single" w:sz="4" w:space="1" w:color="auto"/>
          <w:right w:val="single" w:sz="4" w:space="4" w:color="auto"/>
        </w:pBdr>
        <w:ind w:left="850"/>
        <w:rPr>
          <w:noProof/>
        </w:rPr>
      </w:pPr>
      <w:r>
        <w:rPr>
          <w:noProof/>
          <w:sz w:val="22"/>
        </w:rPr>
        <w:t>- järelhindamise aruanne hiljemalt 31. detsembriks 2021.</w:t>
      </w:r>
    </w:p>
    <w:p>
      <w:pPr>
        <w:pStyle w:val="ManualNumPar2"/>
        <w:rPr>
          <w:noProof/>
        </w:rPr>
      </w:pPr>
      <w:r>
        <w:t>2.2.</w:t>
      </w:r>
      <w:r>
        <w:tab/>
      </w:r>
      <w:r>
        <w:rPr>
          <w:noProof/>
        </w:rPr>
        <w:t xml:space="preserve">Haldus- ja kontrollisüsteem </w:t>
      </w:r>
    </w:p>
    <w:p>
      <w:pPr>
        <w:pStyle w:val="ManualNumPar3"/>
        <w:rPr>
          <w:noProof/>
        </w:rPr>
      </w:pPr>
      <w:r>
        <w:t>2.2.1.</w:t>
      </w:r>
      <w:r>
        <w:tab/>
      </w:r>
      <w:r>
        <w:rPr>
          <w:noProof/>
        </w:rPr>
        <w:t xml:space="preserve">Tuvastatud ohud. </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xml:space="preserve">Juhul kui ei tagata piisavate ametikohtade olemasolu, võib töötajate nappus seoses hädaolukordadele reageerimise koordineerimiskeskusele antud uute ja vastutusrikkamate ülesannetega kaasa tuua ohu, et: </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ei suudeta enam reageerida kõigile kodanikukaitsemissioonide arvu suurenemisest tulenevatele väljakutsetele, ning kõigile poliitilistele vajadustele, mis tekivad kriisidele poliitilist reageerimist käsitleva integreeritud korra ning solidaarsusklausli alusel;</w:t>
      </w:r>
      <w:r>
        <w:rPr>
          <w:noProof/>
          <w:sz w:val="22"/>
        </w:rPr>
        <w:br/>
        <w:t>- ei suudeta meetmeid luua või edasi arendada;</w:t>
      </w:r>
      <w:r>
        <w:rPr>
          <w:noProof/>
          <w:sz w:val="22"/>
        </w:rPr>
        <w:br/>
        <w:t>- ei suudeta saada kasu uutest, katkematut kättesaadavust tagavatest tehnoloogilistest süsteemidest ega neid arendada;</w:t>
      </w:r>
      <w:r>
        <w:rPr>
          <w:noProof/>
          <w:sz w:val="22"/>
        </w:rPr>
        <w:br/>
        <w:t>- ei suudeta õigesti reageerida ohustavatele hädaolukordadele kodanikukaitse valdkonnas.</w:t>
      </w:r>
      <w:r>
        <w:rPr>
          <w:noProof/>
          <w:sz w:val="22"/>
        </w:rPr>
        <w:br/>
        <w:t>- ei suudeta asjakohaselt rakendada punktis 2.2.2 kirjeldatud sisekontrollisüsteemi.</w:t>
      </w:r>
    </w:p>
    <w:p>
      <w:pPr>
        <w:pStyle w:val="ManualNumPar3"/>
        <w:rPr>
          <w:noProof/>
        </w:rPr>
      </w:pPr>
      <w:r>
        <w:t>2.2.2.</w:t>
      </w:r>
      <w:r>
        <w:tab/>
      </w:r>
      <w:r>
        <w:rPr>
          <w:noProof/>
        </w:rPr>
        <w:t>Teave loodud sisekontrollisüsteemi kohta</w:t>
      </w:r>
    </w:p>
    <w:p>
      <w:pPr>
        <w:pBdr>
          <w:top w:val="single" w:sz="4" w:space="1" w:color="auto"/>
          <w:left w:val="single" w:sz="4" w:space="0" w:color="auto"/>
          <w:bottom w:val="single" w:sz="4" w:space="1" w:color="auto"/>
          <w:right w:val="single" w:sz="4" w:space="4" w:color="auto"/>
        </w:pBdr>
        <w:ind w:left="709"/>
        <w:rPr>
          <w:noProof/>
          <w:sz w:val="22"/>
        </w:rPr>
      </w:pPr>
      <w:r>
        <w:rPr>
          <w:noProof/>
          <w:sz w:val="22"/>
        </w:rPr>
        <w:t xml:space="preserve">Euroopa kodanikukaitse ja humanitaarabioperatsioonide peadirektoraadi olemasoleva sisekontrollisüsteemi eesmärk on tagada, et rahalisi vahendeid kasutatakse uue rahastamisvahendi raames nõuetekohaselt ja kooskõlas asjaomaste õigusaktidega. </w:t>
      </w:r>
    </w:p>
    <w:p>
      <w:pPr>
        <w:pBdr>
          <w:top w:val="single" w:sz="4" w:space="1" w:color="auto"/>
          <w:left w:val="single" w:sz="4" w:space="0" w:color="auto"/>
          <w:bottom w:val="single" w:sz="4" w:space="1" w:color="auto"/>
          <w:right w:val="single" w:sz="4" w:space="4" w:color="auto"/>
        </w:pBdr>
        <w:ind w:left="709"/>
        <w:rPr>
          <w:noProof/>
          <w:sz w:val="22"/>
        </w:rPr>
      </w:pPr>
      <w:r>
        <w:rPr>
          <w:noProof/>
          <w:sz w:val="22"/>
        </w:rPr>
        <w:t>Kehtiv süsteem hõlmab järgmist:</w:t>
      </w:r>
    </w:p>
    <w:p>
      <w:pPr>
        <w:pBdr>
          <w:top w:val="single" w:sz="4" w:space="1" w:color="auto"/>
          <w:left w:val="single" w:sz="4" w:space="0" w:color="auto"/>
          <w:bottom w:val="single" w:sz="4" w:space="1" w:color="auto"/>
          <w:right w:val="single" w:sz="4" w:space="4" w:color="auto"/>
        </w:pBdr>
        <w:ind w:left="709"/>
        <w:rPr>
          <w:noProof/>
          <w:sz w:val="22"/>
        </w:rPr>
      </w:pPr>
      <w:r>
        <w:rPr>
          <w:noProof/>
          <w:sz w:val="22"/>
        </w:rPr>
        <w:t xml:space="preserve">1. Euroopa kodanikukaitse ja humanitaarabioperatsioonide peadirektoraadi sisekontrollisüsteem, mis keskendub kodanikukaitse vallas kehtivatest haldusmenetlustest ja õigusaktidest kinnipidamise kontrollimisele. Selleks kasutatakse komisjoni sisekontrolliraamistikku. </w:t>
      </w:r>
    </w:p>
    <w:p>
      <w:pPr>
        <w:pBdr>
          <w:top w:val="single" w:sz="4" w:space="1" w:color="auto"/>
          <w:left w:val="single" w:sz="4" w:space="0" w:color="auto"/>
          <w:bottom w:val="single" w:sz="4" w:space="1" w:color="auto"/>
          <w:right w:val="single" w:sz="4" w:space="4" w:color="auto"/>
        </w:pBdr>
        <w:ind w:left="709"/>
        <w:rPr>
          <w:noProof/>
          <w:sz w:val="22"/>
        </w:rPr>
      </w:pPr>
      <w:r>
        <w:rPr>
          <w:noProof/>
          <w:sz w:val="22"/>
        </w:rPr>
        <w:t>2. Õigusakti raames antud toetuste ja sõlmitud lepingute korrapärane audit Euroopa kodanikukaitse ja humanitaarabioperatsioonide peadirektoraadi välisaudiitorite poolt, mis on täielikult inkorporeeritud Euroopa kodanikukaitse ja humanitaarabioperatsioonide peadirektoraadi iga-aastasesse auditikavasse.</w:t>
      </w:r>
    </w:p>
    <w:p>
      <w:pPr>
        <w:pBdr>
          <w:top w:val="single" w:sz="4" w:space="1" w:color="auto"/>
          <w:left w:val="single" w:sz="4" w:space="0" w:color="auto"/>
          <w:bottom w:val="single" w:sz="4" w:space="1" w:color="auto"/>
          <w:right w:val="single" w:sz="4" w:space="4" w:color="auto"/>
        </w:pBdr>
        <w:ind w:left="709"/>
        <w:rPr>
          <w:noProof/>
          <w:sz w:val="22"/>
        </w:rPr>
      </w:pPr>
      <w:r>
        <w:rPr>
          <w:noProof/>
          <w:sz w:val="22"/>
        </w:rPr>
        <w:t>3. Tegevuse hindamine välispartnerite poolt.</w:t>
      </w:r>
    </w:p>
    <w:p>
      <w:pPr>
        <w:pBdr>
          <w:top w:val="single" w:sz="4" w:space="1" w:color="auto"/>
          <w:left w:val="single" w:sz="4" w:space="0" w:color="auto"/>
          <w:bottom w:val="single" w:sz="4" w:space="1" w:color="auto"/>
          <w:right w:val="single" w:sz="4" w:space="4" w:color="auto"/>
        </w:pBdr>
        <w:ind w:left="709"/>
        <w:rPr>
          <w:noProof/>
          <w:sz w:val="22"/>
        </w:rPr>
      </w:pPr>
      <w:r>
        <w:rPr>
          <w:noProof/>
          <w:sz w:val="22"/>
        </w:rPr>
        <w:t>Tegevust võib auditeerida ka OLAF (pettused) ja kontrollikoda.</w:t>
      </w:r>
    </w:p>
    <w:p>
      <w:pPr>
        <w:pStyle w:val="ManualNumPar3"/>
        <w:rPr>
          <w:noProof/>
        </w:rPr>
      </w:pPr>
      <w:r>
        <w:t>2.2.3.</w:t>
      </w:r>
      <w:r>
        <w:tab/>
      </w:r>
      <w:r>
        <w:rPr>
          <w:noProof/>
        </w:rPr>
        <w:t xml:space="preserve">Kontrolliga kaasnevate kulude ja sellest saadava kasu hinnang ning veariski taseme prognoos </w:t>
      </w:r>
    </w:p>
    <w:p>
      <w:pPr>
        <w:pBdr>
          <w:top w:val="single" w:sz="4" w:space="1" w:color="auto"/>
          <w:left w:val="single" w:sz="4" w:space="0" w:color="auto"/>
          <w:bottom w:val="single" w:sz="4" w:space="1" w:color="auto"/>
          <w:right w:val="single" w:sz="4" w:space="4" w:color="auto"/>
        </w:pBdr>
        <w:ind w:left="709"/>
        <w:rPr>
          <w:noProof/>
        </w:rPr>
      </w:pPr>
      <w:r>
        <w:rPr>
          <w:noProof/>
        </w:rPr>
        <w:t>Euroopa kodanikukaitse ja humanitaarabioperatsioonide peadirektoraadi kontrollistrateegia hinnanguline maksumus moodustas 1,9 % peadirektoraadi 2016. aasta eelarvest. See näitaja moodustub peamiselt järgmistest osadest:</w:t>
      </w:r>
    </w:p>
    <w:p>
      <w:pPr>
        <w:pBdr>
          <w:top w:val="single" w:sz="4" w:space="1" w:color="auto"/>
          <w:left w:val="single" w:sz="4" w:space="0" w:color="auto"/>
          <w:bottom w:val="single" w:sz="4" w:space="1" w:color="auto"/>
          <w:right w:val="single" w:sz="4" w:space="4" w:color="auto"/>
        </w:pBdr>
        <w:ind w:left="709"/>
        <w:rPr>
          <w:noProof/>
        </w:rPr>
      </w:pPr>
      <w:r>
        <w:rPr>
          <w:noProof/>
        </w:rPr>
        <w:t>- kõnealuse valdkonna Euroopa kodanikukaitse ja humanitaarabioperatsioonide peadirektoraadi ekspertide personalikulu kokku pluss finants- ja tegevusüksuste personalikulud korrutatuna ajahulgaga (50 %), mis hinnanguliselt kulub kvaliteedi tagamisele ning kontrolli- ja järelevalvetegevusele;</w:t>
      </w:r>
    </w:p>
    <w:p>
      <w:pPr>
        <w:pBdr>
          <w:top w:val="single" w:sz="4" w:space="1" w:color="auto"/>
          <w:left w:val="single" w:sz="4" w:space="0" w:color="auto"/>
          <w:bottom w:val="single" w:sz="4" w:space="1" w:color="auto"/>
          <w:right w:val="single" w:sz="4" w:space="4" w:color="auto"/>
        </w:pBdr>
        <w:ind w:left="709"/>
        <w:rPr>
          <w:noProof/>
          <w:sz w:val="22"/>
        </w:rPr>
      </w:pPr>
      <w:r>
        <w:rPr>
          <w:noProof/>
          <w:sz w:val="22"/>
        </w:rPr>
        <w:t>- Euroopa kodanikukaitse ja humanitaarabioperatsioonide peadirektoraadi välisauditi sektoris audititele ja kontrollidele pühendatud vahendid kokku.</w:t>
      </w:r>
    </w:p>
    <w:p>
      <w:pPr>
        <w:pBdr>
          <w:top w:val="single" w:sz="4" w:space="1" w:color="auto"/>
          <w:left w:val="single" w:sz="4" w:space="0" w:color="auto"/>
          <w:bottom w:val="single" w:sz="4" w:space="1" w:color="auto"/>
          <w:right w:val="single" w:sz="4" w:space="4" w:color="auto"/>
        </w:pBdr>
        <w:ind w:left="709"/>
        <w:rPr>
          <w:noProof/>
          <w:sz w:val="22"/>
        </w:rPr>
      </w:pPr>
      <w:r>
        <w:rPr>
          <w:noProof/>
          <w:sz w:val="22"/>
        </w:rPr>
        <w:t>Võttes arvesse selliste kontrollide kokkuvõttes väga väikest maksumust koos nendega seotud mõõdetava (parandused ja sissenõudmised) ja mittemõõdetava (kontrollide hoiatav ja kvaliteeti tagav mõju) kasuga, võib komisjon järeldada, et kontrollidest tulenev mõõdetav ja mittemõõdetav kasu ületab oluliselt nende väikest maksumust.</w:t>
      </w:r>
    </w:p>
    <w:p>
      <w:pPr>
        <w:pBdr>
          <w:top w:val="single" w:sz="4" w:space="1" w:color="auto"/>
          <w:left w:val="single" w:sz="4" w:space="0" w:color="auto"/>
          <w:bottom w:val="single" w:sz="4" w:space="1" w:color="auto"/>
          <w:right w:val="single" w:sz="4" w:space="4" w:color="auto"/>
        </w:pBdr>
        <w:ind w:left="709"/>
        <w:rPr>
          <w:noProof/>
          <w:sz w:val="22"/>
        </w:rPr>
      </w:pPr>
      <w:r>
        <w:rPr>
          <w:noProof/>
          <w:sz w:val="22"/>
        </w:rPr>
        <w:t>Seda kinnitab mitmeaastane jääkvigade määr 1,02 % komisjoni humanitaarabi ja kodanikukaitse talitustes 2016. aastal.</w:t>
      </w:r>
    </w:p>
    <w:p>
      <w:pPr>
        <w:keepNext/>
        <w:ind w:left="850"/>
        <w:outlineLvl w:val="1"/>
        <w:rPr>
          <w:b/>
          <w:noProof/>
        </w:rPr>
      </w:pPr>
    </w:p>
    <w:p>
      <w:pPr>
        <w:pStyle w:val="ManualNumPar2"/>
        <w:rPr>
          <w:noProof/>
        </w:rPr>
      </w:pPr>
      <w:r>
        <w:t>2.3.</w:t>
      </w:r>
      <w:r>
        <w:tab/>
      </w:r>
      <w:r>
        <w:rPr>
          <w:noProof/>
        </w:rPr>
        <w:t xml:space="preserve">Pettuse ja eeskirjade eiramise ärahoidmise meetmed </w:t>
      </w:r>
    </w:p>
    <w:p>
      <w:pPr>
        <w:ind w:left="850"/>
        <w:rPr>
          <w:i/>
          <w:noProof/>
          <w:sz w:val="20"/>
        </w:rPr>
      </w:pPr>
      <w:r>
        <w:rPr>
          <w:i/>
          <w:noProof/>
          <w:sz w:val="20"/>
        </w:rPr>
        <w:t>Täpsustage rakendatavad või kavandatud ennetus- ja kaitsemeetmed.</w:t>
      </w:r>
    </w:p>
    <w:p>
      <w:pPr>
        <w:pBdr>
          <w:top w:val="single" w:sz="4" w:space="1" w:color="auto"/>
          <w:left w:val="single" w:sz="4" w:space="4" w:color="auto"/>
          <w:bottom w:val="single" w:sz="4" w:space="1" w:color="auto"/>
          <w:right w:val="single" w:sz="4" w:space="4" w:color="auto"/>
        </w:pBdr>
        <w:ind w:left="850"/>
        <w:rPr>
          <w:noProof/>
          <w:sz w:val="22"/>
        </w:rPr>
      </w:pPr>
      <w:r>
        <w:rPr>
          <w:noProof/>
          <w:sz w:val="22"/>
        </w:rPr>
        <w:t>Komisjoni pettusevastase võitluse strateegiaga kooskõlas oleva Euroopa kodanikukaitse ja humanitaarabioperatsioonide peadirektoraadi pettusevastase võitluse strateegiaga tagatakse muuhulgas järgmist:</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Euroopa kodanikukaitse ja humanitaarabioperatsioonide peadirektoraadi pettusevastase võitlusega seotud sisekontrollimeetmed on täielikult kooskõlas komisjoni pettusevastase võitluse strateegiaga;</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xml:space="preserve">- Euroopa kodanikukaitse ja humanitaarabioperatsioonide peadirektoraadi lähenemisviis pettuseriski juhtimisele on suunatud pettuseriski valdkondade ja kohaste meetmete väljaselgitamisele; </w:t>
      </w:r>
    </w:p>
    <w:p>
      <w:pPr>
        <w:pBdr>
          <w:top w:val="single" w:sz="4" w:space="1" w:color="auto"/>
          <w:left w:val="single" w:sz="4" w:space="4" w:color="auto"/>
          <w:bottom w:val="single" w:sz="4" w:space="1" w:color="auto"/>
          <w:right w:val="single" w:sz="4" w:space="4" w:color="auto"/>
        </w:pBdr>
        <w:ind w:left="850"/>
        <w:rPr>
          <w:noProof/>
          <w:sz w:val="22"/>
        </w:rPr>
      </w:pPr>
      <w:r>
        <w:rPr>
          <w:noProof/>
          <w:sz w:val="22"/>
        </w:rPr>
        <w:t>- ELi rahaliste vahendite kasutamise süsteemid kolmandates riikides tagavad asjaomaste andmete kogumise, mida saab kasutada pettuseriski juhtimiseks (näiteks topeltrahastamise tuvastamiseks).</w:t>
      </w:r>
    </w:p>
    <w:p>
      <w:pPr>
        <w:pBdr>
          <w:top w:val="single" w:sz="4" w:space="1" w:color="auto"/>
          <w:left w:val="single" w:sz="4" w:space="4" w:color="auto"/>
          <w:bottom w:val="single" w:sz="4" w:space="1" w:color="auto"/>
          <w:right w:val="single" w:sz="4" w:space="4" w:color="auto"/>
        </w:pBdr>
        <w:ind w:left="850"/>
        <w:rPr>
          <w:noProof/>
          <w:sz w:val="22"/>
        </w:rPr>
      </w:pPr>
      <w:r>
        <w:rPr>
          <w:noProof/>
          <w:sz w:val="22"/>
        </w:rPr>
        <w:t>Vajaduse korral luuakse kõnealuse valdkonnaga seotud pettusejuhtumite analüüsiks võrgustikud ja vajalikud IT-vahendid.</w:t>
      </w:r>
    </w:p>
    <w:p>
      <w:pPr>
        <w:rPr>
          <w:noProof/>
        </w:rPr>
        <w:sectPr>
          <w:pgSz w:w="11907" w:h="16840" w:code="9"/>
          <w:pgMar w:top="1134" w:right="1418" w:bottom="1134" w:left="1418" w:header="709" w:footer="709" w:gutter="0"/>
          <w:cols w:space="708"/>
          <w:docGrid w:linePitch="360"/>
        </w:sectPr>
      </w:pPr>
    </w:p>
    <w:p>
      <w:pPr>
        <w:pStyle w:val="ManualNumPar1"/>
        <w:rPr>
          <w:noProof/>
        </w:rPr>
      </w:pPr>
      <w:r>
        <w:t>3.</w:t>
      </w:r>
      <w:r>
        <w:tab/>
      </w:r>
      <w:r>
        <w:rPr>
          <w:noProof/>
        </w:rPr>
        <w:t xml:space="preserve">ETTEPANEKU/ALGATUSE HINNANGULINE FINANTSMÕJU </w:t>
      </w:r>
    </w:p>
    <w:p>
      <w:pPr>
        <w:pStyle w:val="ManualNumPar2"/>
        <w:rPr>
          <w:noProof/>
        </w:rPr>
      </w:pPr>
      <w:r>
        <w:t>3.1.</w:t>
      </w:r>
      <w:r>
        <w:tab/>
      </w:r>
      <w:r>
        <w:rPr>
          <w:noProof/>
        </w:rPr>
        <w:t xml:space="preserve">Mitmeaastase finantsraamistiku rubriigid ja kulude eelarveread, millele mõju avaldub </w:t>
      </w:r>
    </w:p>
    <w:p>
      <w:pPr>
        <w:tabs>
          <w:tab w:val="num" w:pos="1134"/>
        </w:tabs>
        <w:ind w:left="1134" w:hanging="283"/>
        <w:rPr>
          <w:rFonts w:eastAsia="Times New Roman"/>
          <w:noProof/>
        </w:rPr>
      </w:pPr>
      <w:r>
        <w:rPr>
          <w:noProof/>
        </w:rPr>
        <w:t xml:space="preserve">Olemasolevad eelarveread </w:t>
      </w:r>
    </w:p>
    <w:p>
      <w:pPr>
        <w:ind w:left="850"/>
        <w:rPr>
          <w:noProof/>
        </w:rPr>
      </w:pPr>
      <w:r>
        <w:rPr>
          <w:noProof/>
          <w:u w:val="single"/>
        </w:rPr>
        <w:t>Järjestage</w:t>
      </w:r>
      <w:r>
        <w:rPr>
          <w:noProof/>
        </w:rPr>
        <w:t xml:space="preserve"> mitmeaastase finantsraamistiku rubriikide ja iga rubriigi sees eelarveridade kaupa.</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tcBorders>
              <w:top w:val="single" w:sz="4" w:space="0" w:color="auto"/>
              <w:left w:val="single" w:sz="4" w:space="0" w:color="auto"/>
              <w:bottom w:val="single" w:sz="4" w:space="0" w:color="auto"/>
              <w:right w:val="single" w:sz="4" w:space="0" w:color="auto"/>
            </w:tcBorders>
            <w:vAlign w:val="center"/>
          </w:tcPr>
          <w:p>
            <w:pPr>
              <w:spacing w:before="60" w:after="60"/>
              <w:jc w:val="center"/>
              <w:rPr>
                <w:noProof/>
                <w:sz w:val="18"/>
              </w:rPr>
            </w:pPr>
            <w:r>
              <w:rPr>
                <w:noProof/>
                <w:sz w:val="18"/>
              </w:rPr>
              <w:t>Mitmeaastase finantsraamistiku rubriik</w:t>
            </w:r>
          </w:p>
        </w:tc>
        <w:tc>
          <w:tcPr>
            <w:tcW w:w="3960" w:type="dxa"/>
            <w:tcBorders>
              <w:top w:val="single" w:sz="4" w:space="0" w:color="auto"/>
              <w:left w:val="single" w:sz="4" w:space="0" w:color="auto"/>
              <w:bottom w:val="single" w:sz="4" w:space="0" w:color="auto"/>
              <w:right w:val="single" w:sz="4" w:space="0" w:color="auto"/>
            </w:tcBorders>
            <w:vAlign w:val="center"/>
          </w:tcPr>
          <w:p>
            <w:pPr>
              <w:spacing w:before="60" w:after="60"/>
              <w:jc w:val="center"/>
              <w:rPr>
                <w:noProof/>
                <w:sz w:val="20"/>
              </w:rPr>
            </w:pPr>
            <w:r>
              <w:rPr>
                <w:noProof/>
                <w:sz w:val="20"/>
              </w:rPr>
              <w:t>Eelarverida</w:t>
            </w:r>
          </w:p>
        </w:tc>
        <w:tc>
          <w:tcPr>
            <w:tcW w:w="1080" w:type="dxa"/>
            <w:tcBorders>
              <w:top w:val="single" w:sz="4" w:space="0" w:color="auto"/>
              <w:left w:val="single" w:sz="4" w:space="0" w:color="auto"/>
              <w:bottom w:val="single" w:sz="4" w:space="0" w:color="auto"/>
              <w:right w:val="single" w:sz="4" w:space="0" w:color="auto"/>
            </w:tcBorders>
            <w:vAlign w:val="center"/>
          </w:tcPr>
          <w:p>
            <w:pPr>
              <w:spacing w:before="60" w:after="60"/>
              <w:jc w:val="center"/>
              <w:rPr>
                <w:noProof/>
                <w:sz w:val="18"/>
              </w:rPr>
            </w:pPr>
            <w:r>
              <w:rPr>
                <w:noProof/>
                <w:sz w:val="18"/>
              </w:rPr>
              <w:t xml:space="preserve">Assigneeringute </w:t>
            </w:r>
            <w:r>
              <w:rPr>
                <w:noProof/>
                <w:sz w:val="18"/>
              </w:rPr>
              <w:br/>
              <w:t>liik</w:t>
            </w:r>
          </w:p>
        </w:tc>
        <w:tc>
          <w:tcPr>
            <w:tcW w:w="4440" w:type="dxa"/>
            <w:gridSpan w:val="4"/>
            <w:tcBorders>
              <w:top w:val="single" w:sz="4" w:space="0" w:color="auto"/>
              <w:left w:val="single" w:sz="4" w:space="0" w:color="auto"/>
              <w:bottom w:val="single" w:sz="4" w:space="0" w:color="auto"/>
              <w:right w:val="single" w:sz="4" w:space="0" w:color="auto"/>
            </w:tcBorders>
            <w:vAlign w:val="center"/>
          </w:tcPr>
          <w:p>
            <w:pPr>
              <w:spacing w:before="60" w:after="60"/>
              <w:jc w:val="center"/>
              <w:rPr>
                <w:noProof/>
                <w:sz w:val="20"/>
              </w:rPr>
            </w:pPr>
            <w:r>
              <w:rPr>
                <w:noProof/>
                <w:sz w:val="20"/>
              </w:rPr>
              <w:t xml:space="preserve">Rahaline osalus </w:t>
            </w:r>
          </w:p>
        </w:tc>
      </w:tr>
      <w:tr>
        <w:tc>
          <w:tcPr>
            <w:tcW w:w="1080" w:type="dxa"/>
            <w:vMerge/>
            <w:vAlign w:val="center"/>
          </w:tcPr>
          <w:p>
            <w:pPr>
              <w:jc w:val="center"/>
              <w:rPr>
                <w:noProof/>
                <w:sz w:val="22"/>
              </w:rPr>
            </w:pPr>
          </w:p>
        </w:tc>
        <w:tc>
          <w:tcPr>
            <w:tcW w:w="3960" w:type="dxa"/>
            <w:vAlign w:val="center"/>
          </w:tcPr>
          <w:p>
            <w:pPr>
              <w:rPr>
                <w:noProof/>
                <w:sz w:val="22"/>
              </w:rPr>
            </w:pPr>
            <w:r>
              <w:rPr>
                <w:noProof/>
                <w:sz w:val="20"/>
              </w:rPr>
              <w:t>Nr ja nimetus</w:t>
            </w:r>
          </w:p>
        </w:tc>
        <w:tc>
          <w:tcPr>
            <w:tcW w:w="1080" w:type="dxa"/>
            <w:vAlign w:val="center"/>
          </w:tcPr>
          <w:p>
            <w:pPr>
              <w:jc w:val="center"/>
              <w:rPr>
                <w:noProof/>
                <w:sz w:val="22"/>
              </w:rPr>
            </w:pPr>
            <w:r>
              <w:rPr>
                <w:noProof/>
                <w:sz w:val="18"/>
              </w:rPr>
              <w:t>Liigendatud/liigendamata</w:t>
            </w:r>
            <w:r>
              <w:rPr>
                <w:rStyle w:val="FootnoteReference"/>
                <w:noProof/>
              </w:rPr>
              <w:footnoteReference w:id="20"/>
            </w:r>
          </w:p>
        </w:tc>
        <w:tc>
          <w:tcPr>
            <w:tcW w:w="956" w:type="dxa"/>
            <w:vAlign w:val="center"/>
          </w:tcPr>
          <w:p>
            <w:pPr>
              <w:jc w:val="center"/>
              <w:rPr>
                <w:noProof/>
                <w:sz w:val="22"/>
              </w:rPr>
            </w:pPr>
            <w:r>
              <w:rPr>
                <w:noProof/>
                <w:sz w:val="18"/>
              </w:rPr>
              <w:t>EFTA riigid</w:t>
            </w:r>
            <w:r>
              <w:rPr>
                <w:rStyle w:val="FootnoteReference"/>
                <w:noProof/>
              </w:rPr>
              <w:footnoteReference w:id="21"/>
            </w:r>
          </w:p>
          <w:p>
            <w:pPr>
              <w:spacing w:before="0" w:after="0"/>
              <w:jc w:val="center"/>
              <w:rPr>
                <w:b/>
                <w:noProof/>
                <w:sz w:val="18"/>
              </w:rPr>
            </w:pPr>
          </w:p>
        </w:tc>
        <w:tc>
          <w:tcPr>
            <w:tcW w:w="1080" w:type="dxa"/>
            <w:vAlign w:val="center"/>
          </w:tcPr>
          <w:p>
            <w:pPr>
              <w:jc w:val="center"/>
              <w:rPr>
                <w:noProof/>
                <w:sz w:val="22"/>
              </w:rPr>
            </w:pPr>
            <w:r>
              <w:rPr>
                <w:noProof/>
                <w:sz w:val="18"/>
              </w:rPr>
              <w:t>Kandidaatriigid</w:t>
            </w:r>
            <w:r>
              <w:rPr>
                <w:rStyle w:val="FootnoteReference"/>
                <w:noProof/>
              </w:rPr>
              <w:footnoteReference w:id="22"/>
            </w:r>
          </w:p>
          <w:p>
            <w:pPr>
              <w:spacing w:before="0" w:after="0"/>
              <w:jc w:val="center"/>
              <w:rPr>
                <w:noProof/>
                <w:sz w:val="18"/>
              </w:rPr>
            </w:pPr>
          </w:p>
        </w:tc>
        <w:tc>
          <w:tcPr>
            <w:tcW w:w="956" w:type="dxa"/>
            <w:vAlign w:val="center"/>
          </w:tcPr>
          <w:p>
            <w:pPr>
              <w:jc w:val="center"/>
              <w:rPr>
                <w:noProof/>
                <w:sz w:val="18"/>
              </w:rPr>
            </w:pPr>
            <w:r>
              <w:rPr>
                <w:noProof/>
                <w:sz w:val="18"/>
              </w:rPr>
              <w:t>Kolmandad riigid</w:t>
            </w:r>
          </w:p>
        </w:tc>
        <w:tc>
          <w:tcPr>
            <w:tcW w:w="1448" w:type="dxa"/>
            <w:vAlign w:val="center"/>
          </w:tcPr>
          <w:p>
            <w:pPr>
              <w:jc w:val="center"/>
              <w:rPr>
                <w:noProof/>
                <w:sz w:val="22"/>
              </w:rPr>
            </w:pPr>
            <w:r>
              <w:rPr>
                <w:noProof/>
                <w:sz w:val="16"/>
              </w:rPr>
              <w:t xml:space="preserve">Rahaline osalus finantsmääruse artikli 21 lõike 2 punkti b tähenduses </w:t>
            </w:r>
          </w:p>
        </w:tc>
      </w:tr>
      <w:tr>
        <w:tc>
          <w:tcPr>
            <w:tcW w:w="1080" w:type="dxa"/>
            <w:vAlign w:val="center"/>
          </w:tcPr>
          <w:p>
            <w:pPr>
              <w:jc w:val="center"/>
              <w:rPr>
                <w:noProof/>
                <w:sz w:val="22"/>
              </w:rPr>
            </w:pPr>
            <w:r>
              <w:rPr>
                <w:noProof/>
                <w:sz w:val="22"/>
              </w:rPr>
              <w:t>3</w:t>
            </w:r>
          </w:p>
        </w:tc>
        <w:tc>
          <w:tcPr>
            <w:tcW w:w="3960" w:type="dxa"/>
            <w:vAlign w:val="center"/>
          </w:tcPr>
          <w:p>
            <w:pPr>
              <w:autoSpaceDE w:val="0"/>
              <w:autoSpaceDN w:val="0"/>
              <w:adjustRightInd w:val="0"/>
              <w:spacing w:before="0" w:after="0"/>
              <w:jc w:val="left"/>
              <w:rPr>
                <w:noProof/>
                <w:sz w:val="22"/>
              </w:rPr>
            </w:pPr>
            <w:r>
              <w:rPr>
                <w:noProof/>
                <w:sz w:val="22"/>
              </w:rPr>
              <w:t>23 03 01 01 - Suurõnnetuste ärahoidmine liidus</w:t>
            </w:r>
          </w:p>
          <w:p>
            <w:pPr>
              <w:autoSpaceDE w:val="0"/>
              <w:autoSpaceDN w:val="0"/>
              <w:adjustRightInd w:val="0"/>
              <w:spacing w:before="0" w:after="0"/>
              <w:jc w:val="left"/>
              <w:rPr>
                <w:noProof/>
                <w:sz w:val="22"/>
              </w:rPr>
            </w:pPr>
            <w:r>
              <w:rPr>
                <w:noProof/>
                <w:sz w:val="22"/>
              </w:rPr>
              <w:t xml:space="preserve">ja nendeks valmisolek </w:t>
            </w:r>
          </w:p>
        </w:tc>
        <w:tc>
          <w:tcPr>
            <w:tcW w:w="1080" w:type="dxa"/>
            <w:vAlign w:val="center"/>
          </w:tcPr>
          <w:p>
            <w:pPr>
              <w:jc w:val="center"/>
              <w:rPr>
                <w:noProof/>
                <w:color w:val="0000FF"/>
                <w:sz w:val="22"/>
              </w:rPr>
            </w:pPr>
            <w:r>
              <w:rPr>
                <w:noProof/>
                <w:sz w:val="22"/>
              </w:rPr>
              <w:t>Liigendatud</w:t>
            </w:r>
          </w:p>
        </w:tc>
        <w:tc>
          <w:tcPr>
            <w:tcW w:w="956" w:type="dxa"/>
            <w:vAlign w:val="center"/>
          </w:tcPr>
          <w:p>
            <w:pPr>
              <w:jc w:val="center"/>
              <w:rPr>
                <w:noProof/>
                <w:sz w:val="22"/>
              </w:rPr>
            </w:pPr>
            <w:r>
              <w:rPr>
                <w:noProof/>
                <w:sz w:val="22"/>
              </w:rPr>
              <w:t>JAH</w:t>
            </w:r>
          </w:p>
        </w:tc>
        <w:tc>
          <w:tcPr>
            <w:tcW w:w="1080" w:type="dxa"/>
            <w:vAlign w:val="center"/>
          </w:tcPr>
          <w:p>
            <w:pPr>
              <w:jc w:val="center"/>
              <w:rPr>
                <w:noProof/>
                <w:sz w:val="22"/>
              </w:rPr>
            </w:pPr>
            <w:r>
              <w:rPr>
                <w:noProof/>
                <w:sz w:val="22"/>
              </w:rPr>
              <w:t>JAH</w:t>
            </w:r>
          </w:p>
        </w:tc>
        <w:tc>
          <w:tcPr>
            <w:tcW w:w="956" w:type="dxa"/>
            <w:vAlign w:val="center"/>
          </w:tcPr>
          <w:p>
            <w:pPr>
              <w:jc w:val="center"/>
              <w:rPr>
                <w:noProof/>
                <w:sz w:val="22"/>
              </w:rPr>
            </w:pPr>
            <w:r>
              <w:rPr>
                <w:noProof/>
                <w:sz w:val="22"/>
              </w:rPr>
              <w:t>EI</w:t>
            </w:r>
          </w:p>
        </w:tc>
        <w:tc>
          <w:tcPr>
            <w:tcW w:w="1448" w:type="dxa"/>
            <w:vAlign w:val="center"/>
          </w:tcPr>
          <w:p>
            <w:pPr>
              <w:jc w:val="center"/>
              <w:rPr>
                <w:noProof/>
                <w:sz w:val="22"/>
              </w:rPr>
            </w:pPr>
            <w:r>
              <w:rPr>
                <w:noProof/>
                <w:sz w:val="22"/>
              </w:rPr>
              <w:t>EI</w:t>
            </w:r>
          </w:p>
        </w:tc>
      </w:tr>
      <w:tr>
        <w:tc>
          <w:tcPr>
            <w:tcW w:w="1080" w:type="dxa"/>
            <w:vAlign w:val="center"/>
          </w:tcPr>
          <w:p>
            <w:pPr>
              <w:jc w:val="center"/>
              <w:rPr>
                <w:noProof/>
                <w:sz w:val="22"/>
              </w:rPr>
            </w:pPr>
            <w:r>
              <w:rPr>
                <w:noProof/>
                <w:sz w:val="22"/>
              </w:rPr>
              <w:t>4</w:t>
            </w:r>
          </w:p>
        </w:tc>
        <w:tc>
          <w:tcPr>
            <w:tcW w:w="3960" w:type="dxa"/>
            <w:vAlign w:val="center"/>
          </w:tcPr>
          <w:p>
            <w:pPr>
              <w:autoSpaceDE w:val="0"/>
              <w:autoSpaceDN w:val="0"/>
              <w:adjustRightInd w:val="0"/>
              <w:spacing w:before="0" w:after="0"/>
              <w:jc w:val="left"/>
              <w:rPr>
                <w:noProof/>
                <w:sz w:val="22"/>
              </w:rPr>
            </w:pPr>
            <w:r>
              <w:rPr>
                <w:noProof/>
                <w:sz w:val="22"/>
              </w:rPr>
              <w:t>23 03 01 01 - Suurõnnetuste ärahoidmine ja</w:t>
            </w:r>
          </w:p>
          <w:p>
            <w:pPr>
              <w:autoSpaceDE w:val="0"/>
              <w:autoSpaceDN w:val="0"/>
              <w:adjustRightInd w:val="0"/>
              <w:spacing w:before="0" w:after="0"/>
              <w:jc w:val="left"/>
              <w:rPr>
                <w:noProof/>
                <w:sz w:val="22"/>
              </w:rPr>
            </w:pPr>
            <w:r>
              <w:rPr>
                <w:noProof/>
                <w:sz w:val="22"/>
              </w:rPr>
              <w:t>nendeks valmisolek kolmandates riikides</w:t>
            </w:r>
          </w:p>
        </w:tc>
        <w:tc>
          <w:tcPr>
            <w:tcW w:w="1080" w:type="dxa"/>
            <w:vAlign w:val="center"/>
          </w:tcPr>
          <w:p>
            <w:pPr>
              <w:jc w:val="center"/>
              <w:rPr>
                <w:noProof/>
                <w:color w:val="0000FF"/>
                <w:sz w:val="22"/>
              </w:rPr>
            </w:pPr>
            <w:r>
              <w:rPr>
                <w:noProof/>
                <w:sz w:val="22"/>
              </w:rPr>
              <w:t>Liigendatud</w:t>
            </w:r>
          </w:p>
        </w:tc>
        <w:tc>
          <w:tcPr>
            <w:tcW w:w="956" w:type="dxa"/>
            <w:vAlign w:val="center"/>
          </w:tcPr>
          <w:p>
            <w:pPr>
              <w:jc w:val="center"/>
              <w:rPr>
                <w:noProof/>
                <w:sz w:val="22"/>
              </w:rPr>
            </w:pPr>
            <w:r>
              <w:rPr>
                <w:noProof/>
                <w:sz w:val="22"/>
              </w:rPr>
              <w:t>JAH</w:t>
            </w:r>
          </w:p>
        </w:tc>
        <w:tc>
          <w:tcPr>
            <w:tcW w:w="1080" w:type="dxa"/>
            <w:vAlign w:val="center"/>
          </w:tcPr>
          <w:p>
            <w:pPr>
              <w:jc w:val="center"/>
              <w:rPr>
                <w:noProof/>
                <w:sz w:val="22"/>
              </w:rPr>
            </w:pPr>
            <w:r>
              <w:rPr>
                <w:noProof/>
                <w:sz w:val="22"/>
              </w:rPr>
              <w:t>JAH</w:t>
            </w:r>
          </w:p>
        </w:tc>
        <w:tc>
          <w:tcPr>
            <w:tcW w:w="956" w:type="dxa"/>
            <w:vAlign w:val="center"/>
          </w:tcPr>
          <w:p>
            <w:pPr>
              <w:jc w:val="center"/>
              <w:rPr>
                <w:noProof/>
                <w:sz w:val="22"/>
              </w:rPr>
            </w:pPr>
            <w:r>
              <w:rPr>
                <w:noProof/>
                <w:sz w:val="22"/>
              </w:rPr>
              <w:t>EI</w:t>
            </w:r>
          </w:p>
        </w:tc>
        <w:tc>
          <w:tcPr>
            <w:tcW w:w="1448" w:type="dxa"/>
            <w:vAlign w:val="center"/>
          </w:tcPr>
          <w:p>
            <w:pPr>
              <w:jc w:val="center"/>
              <w:rPr>
                <w:noProof/>
                <w:sz w:val="22"/>
              </w:rPr>
            </w:pPr>
            <w:r>
              <w:rPr>
                <w:noProof/>
                <w:sz w:val="22"/>
              </w:rPr>
              <w:t>EI</w:t>
            </w:r>
          </w:p>
        </w:tc>
      </w:tr>
      <w:tr>
        <w:tc>
          <w:tcPr>
            <w:tcW w:w="1080" w:type="dxa"/>
            <w:vAlign w:val="center"/>
          </w:tcPr>
          <w:p>
            <w:pPr>
              <w:jc w:val="center"/>
              <w:rPr>
                <w:noProof/>
                <w:sz w:val="22"/>
              </w:rPr>
            </w:pPr>
            <w:r>
              <w:rPr>
                <w:noProof/>
                <w:sz w:val="22"/>
              </w:rPr>
              <w:t>3</w:t>
            </w:r>
          </w:p>
        </w:tc>
        <w:tc>
          <w:tcPr>
            <w:tcW w:w="3960" w:type="dxa"/>
            <w:vAlign w:val="center"/>
          </w:tcPr>
          <w:p>
            <w:pPr>
              <w:autoSpaceDE w:val="0"/>
              <w:autoSpaceDN w:val="0"/>
              <w:adjustRightInd w:val="0"/>
              <w:spacing w:before="0" w:after="0"/>
              <w:jc w:val="left"/>
              <w:rPr>
                <w:noProof/>
                <w:sz w:val="22"/>
              </w:rPr>
            </w:pPr>
            <w:r>
              <w:rPr>
                <w:noProof/>
                <w:sz w:val="22"/>
              </w:rPr>
              <w:t>23 03 02 01 Kiire ja tõhus hädaolukordadele reageerimine suurõnnetuste korral liidus</w:t>
            </w:r>
          </w:p>
        </w:tc>
        <w:tc>
          <w:tcPr>
            <w:tcW w:w="1080" w:type="dxa"/>
            <w:vAlign w:val="center"/>
          </w:tcPr>
          <w:p>
            <w:pPr>
              <w:jc w:val="center"/>
              <w:rPr>
                <w:noProof/>
                <w:color w:val="0000FF"/>
                <w:sz w:val="22"/>
              </w:rPr>
            </w:pPr>
            <w:r>
              <w:rPr>
                <w:noProof/>
                <w:sz w:val="22"/>
              </w:rPr>
              <w:t>Liigendatud</w:t>
            </w:r>
          </w:p>
        </w:tc>
        <w:tc>
          <w:tcPr>
            <w:tcW w:w="956" w:type="dxa"/>
            <w:vAlign w:val="center"/>
          </w:tcPr>
          <w:p>
            <w:pPr>
              <w:jc w:val="center"/>
              <w:rPr>
                <w:noProof/>
                <w:sz w:val="22"/>
              </w:rPr>
            </w:pPr>
            <w:r>
              <w:rPr>
                <w:noProof/>
                <w:sz w:val="22"/>
              </w:rPr>
              <w:t>JAH</w:t>
            </w:r>
          </w:p>
        </w:tc>
        <w:tc>
          <w:tcPr>
            <w:tcW w:w="1080" w:type="dxa"/>
            <w:vAlign w:val="center"/>
          </w:tcPr>
          <w:p>
            <w:pPr>
              <w:jc w:val="center"/>
              <w:rPr>
                <w:noProof/>
                <w:sz w:val="22"/>
              </w:rPr>
            </w:pPr>
            <w:r>
              <w:rPr>
                <w:noProof/>
                <w:sz w:val="22"/>
              </w:rPr>
              <w:t>JAH</w:t>
            </w:r>
          </w:p>
        </w:tc>
        <w:tc>
          <w:tcPr>
            <w:tcW w:w="956" w:type="dxa"/>
            <w:vAlign w:val="center"/>
          </w:tcPr>
          <w:p>
            <w:pPr>
              <w:jc w:val="center"/>
              <w:rPr>
                <w:noProof/>
                <w:sz w:val="22"/>
              </w:rPr>
            </w:pPr>
            <w:r>
              <w:rPr>
                <w:noProof/>
                <w:sz w:val="22"/>
              </w:rPr>
              <w:t>EI</w:t>
            </w:r>
          </w:p>
        </w:tc>
        <w:tc>
          <w:tcPr>
            <w:tcW w:w="1448" w:type="dxa"/>
            <w:vAlign w:val="center"/>
          </w:tcPr>
          <w:p>
            <w:pPr>
              <w:jc w:val="center"/>
              <w:rPr>
                <w:noProof/>
                <w:sz w:val="22"/>
              </w:rPr>
            </w:pPr>
            <w:r>
              <w:rPr>
                <w:noProof/>
                <w:sz w:val="22"/>
              </w:rPr>
              <w:t>EI</w:t>
            </w:r>
          </w:p>
        </w:tc>
      </w:tr>
      <w:tr>
        <w:tc>
          <w:tcPr>
            <w:tcW w:w="1080" w:type="dxa"/>
            <w:vAlign w:val="center"/>
          </w:tcPr>
          <w:p>
            <w:pPr>
              <w:jc w:val="center"/>
              <w:rPr>
                <w:noProof/>
                <w:sz w:val="22"/>
              </w:rPr>
            </w:pPr>
            <w:r>
              <w:rPr>
                <w:noProof/>
                <w:sz w:val="22"/>
              </w:rPr>
              <w:t>4</w:t>
            </w:r>
          </w:p>
        </w:tc>
        <w:tc>
          <w:tcPr>
            <w:tcW w:w="3960" w:type="dxa"/>
            <w:vAlign w:val="center"/>
          </w:tcPr>
          <w:p>
            <w:pPr>
              <w:autoSpaceDE w:val="0"/>
              <w:autoSpaceDN w:val="0"/>
              <w:adjustRightInd w:val="0"/>
              <w:spacing w:before="0" w:after="0"/>
              <w:jc w:val="left"/>
              <w:rPr>
                <w:noProof/>
                <w:sz w:val="22"/>
              </w:rPr>
            </w:pPr>
            <w:r>
              <w:rPr>
                <w:noProof/>
                <w:sz w:val="22"/>
              </w:rPr>
              <w:t>23 03 02 02 Kiire ja tõhus hädaolukordadele reageerimine suurõnnetuste korral kolmandates riikides</w:t>
            </w:r>
          </w:p>
        </w:tc>
        <w:tc>
          <w:tcPr>
            <w:tcW w:w="1080" w:type="dxa"/>
            <w:vAlign w:val="center"/>
          </w:tcPr>
          <w:p>
            <w:pPr>
              <w:jc w:val="center"/>
              <w:rPr>
                <w:noProof/>
                <w:color w:val="0000FF"/>
                <w:sz w:val="22"/>
              </w:rPr>
            </w:pPr>
            <w:r>
              <w:rPr>
                <w:noProof/>
                <w:sz w:val="22"/>
              </w:rPr>
              <w:t>Liigendatud</w:t>
            </w:r>
          </w:p>
        </w:tc>
        <w:tc>
          <w:tcPr>
            <w:tcW w:w="956" w:type="dxa"/>
            <w:vAlign w:val="center"/>
          </w:tcPr>
          <w:p>
            <w:pPr>
              <w:jc w:val="center"/>
              <w:rPr>
                <w:noProof/>
                <w:sz w:val="22"/>
              </w:rPr>
            </w:pPr>
            <w:r>
              <w:rPr>
                <w:noProof/>
                <w:sz w:val="22"/>
              </w:rPr>
              <w:t>JAH</w:t>
            </w:r>
          </w:p>
        </w:tc>
        <w:tc>
          <w:tcPr>
            <w:tcW w:w="1080" w:type="dxa"/>
            <w:vAlign w:val="center"/>
          </w:tcPr>
          <w:p>
            <w:pPr>
              <w:jc w:val="center"/>
              <w:rPr>
                <w:noProof/>
                <w:sz w:val="22"/>
              </w:rPr>
            </w:pPr>
            <w:r>
              <w:rPr>
                <w:noProof/>
                <w:sz w:val="22"/>
              </w:rPr>
              <w:t>JAH</w:t>
            </w:r>
          </w:p>
        </w:tc>
        <w:tc>
          <w:tcPr>
            <w:tcW w:w="956" w:type="dxa"/>
            <w:vAlign w:val="center"/>
          </w:tcPr>
          <w:p>
            <w:pPr>
              <w:jc w:val="center"/>
              <w:rPr>
                <w:noProof/>
                <w:sz w:val="22"/>
              </w:rPr>
            </w:pPr>
            <w:r>
              <w:rPr>
                <w:noProof/>
                <w:sz w:val="22"/>
              </w:rPr>
              <w:t>EI</w:t>
            </w:r>
          </w:p>
        </w:tc>
        <w:tc>
          <w:tcPr>
            <w:tcW w:w="1448" w:type="dxa"/>
            <w:vAlign w:val="center"/>
          </w:tcPr>
          <w:p>
            <w:pPr>
              <w:jc w:val="center"/>
              <w:rPr>
                <w:noProof/>
                <w:sz w:val="22"/>
              </w:rPr>
            </w:pPr>
            <w:r>
              <w:rPr>
                <w:noProof/>
                <w:sz w:val="22"/>
              </w:rPr>
              <w:t>EI</w:t>
            </w:r>
          </w:p>
        </w:tc>
      </w:tr>
      <w:tr>
        <w:tc>
          <w:tcPr>
            <w:tcW w:w="1080" w:type="dxa"/>
            <w:vAlign w:val="center"/>
          </w:tcPr>
          <w:p>
            <w:pPr>
              <w:jc w:val="center"/>
              <w:rPr>
                <w:noProof/>
                <w:sz w:val="22"/>
              </w:rPr>
            </w:pPr>
            <w:r>
              <w:rPr>
                <w:noProof/>
                <w:sz w:val="22"/>
              </w:rPr>
              <w:t>4</w:t>
            </w:r>
          </w:p>
        </w:tc>
        <w:tc>
          <w:tcPr>
            <w:tcW w:w="3960" w:type="dxa"/>
            <w:vAlign w:val="center"/>
          </w:tcPr>
          <w:p>
            <w:pPr>
              <w:autoSpaceDE w:val="0"/>
              <w:autoSpaceDN w:val="0"/>
              <w:adjustRightInd w:val="0"/>
              <w:spacing w:before="0" w:after="0"/>
              <w:jc w:val="left"/>
              <w:rPr>
                <w:noProof/>
                <w:sz w:val="22"/>
              </w:rPr>
            </w:pPr>
            <w:r>
              <w:rPr>
                <w:noProof/>
                <w:sz w:val="22"/>
              </w:rPr>
              <w:t>23 01 04 - Humanitaarabi ja kodanikukaitse poliitikavaldkonna meetmete ja programmide toetuskulud</w:t>
            </w:r>
          </w:p>
        </w:tc>
        <w:tc>
          <w:tcPr>
            <w:tcW w:w="1080" w:type="dxa"/>
            <w:vAlign w:val="center"/>
          </w:tcPr>
          <w:p>
            <w:pPr>
              <w:jc w:val="center"/>
              <w:rPr>
                <w:noProof/>
                <w:sz w:val="22"/>
              </w:rPr>
            </w:pPr>
            <w:r>
              <w:rPr>
                <w:noProof/>
                <w:sz w:val="22"/>
              </w:rPr>
              <w:t>Liigendamata</w:t>
            </w:r>
          </w:p>
        </w:tc>
        <w:tc>
          <w:tcPr>
            <w:tcW w:w="956" w:type="dxa"/>
            <w:vAlign w:val="center"/>
          </w:tcPr>
          <w:p>
            <w:pPr>
              <w:jc w:val="center"/>
              <w:rPr>
                <w:noProof/>
                <w:sz w:val="22"/>
              </w:rPr>
            </w:pPr>
            <w:r>
              <w:rPr>
                <w:noProof/>
                <w:sz w:val="22"/>
              </w:rPr>
              <w:t>EI</w:t>
            </w:r>
          </w:p>
        </w:tc>
        <w:tc>
          <w:tcPr>
            <w:tcW w:w="1080" w:type="dxa"/>
            <w:vAlign w:val="center"/>
          </w:tcPr>
          <w:p>
            <w:pPr>
              <w:jc w:val="center"/>
              <w:rPr>
                <w:noProof/>
                <w:sz w:val="22"/>
              </w:rPr>
            </w:pPr>
            <w:r>
              <w:rPr>
                <w:noProof/>
                <w:sz w:val="22"/>
              </w:rPr>
              <w:t>EI</w:t>
            </w:r>
          </w:p>
        </w:tc>
        <w:tc>
          <w:tcPr>
            <w:tcW w:w="956" w:type="dxa"/>
            <w:vAlign w:val="center"/>
          </w:tcPr>
          <w:p>
            <w:pPr>
              <w:jc w:val="center"/>
              <w:rPr>
                <w:noProof/>
                <w:sz w:val="22"/>
              </w:rPr>
            </w:pPr>
            <w:r>
              <w:rPr>
                <w:noProof/>
                <w:sz w:val="22"/>
              </w:rPr>
              <w:t>EI</w:t>
            </w:r>
          </w:p>
        </w:tc>
        <w:tc>
          <w:tcPr>
            <w:tcW w:w="1448" w:type="dxa"/>
            <w:vAlign w:val="center"/>
          </w:tcPr>
          <w:p>
            <w:pPr>
              <w:jc w:val="center"/>
              <w:rPr>
                <w:noProof/>
                <w:sz w:val="22"/>
              </w:rPr>
            </w:pPr>
            <w:r>
              <w:rPr>
                <w:noProof/>
                <w:sz w:val="22"/>
              </w:rPr>
              <w:t>EI</w:t>
            </w:r>
          </w:p>
        </w:tc>
      </w:tr>
    </w:tbl>
    <w:p>
      <w:pPr>
        <w:rPr>
          <w:noProof/>
        </w:rPr>
        <w:sectPr>
          <w:pgSz w:w="11907" w:h="16840" w:code="1"/>
          <w:pgMar w:top="1134" w:right="1418" w:bottom="1134" w:left="1418" w:header="709" w:footer="709" w:gutter="0"/>
          <w:cols w:space="708"/>
          <w:docGrid w:linePitch="360"/>
        </w:sectPr>
      </w:pPr>
    </w:p>
    <w:p>
      <w:pPr>
        <w:pStyle w:val="ManualNumPar2"/>
        <w:rPr>
          <w:noProof/>
        </w:rPr>
      </w:pPr>
      <w:r>
        <w:t>3.2.</w:t>
      </w:r>
      <w:r>
        <w:tab/>
      </w:r>
      <w:r>
        <w:rPr>
          <w:noProof/>
        </w:rPr>
        <w:t xml:space="preserve">Hinnanguline mõju kuludele </w:t>
      </w:r>
    </w:p>
    <w:p>
      <w:pPr>
        <w:pStyle w:val="ManualNumPar3"/>
        <w:rPr>
          <w:noProof/>
          <w:u w:val="single"/>
        </w:rPr>
      </w:pPr>
      <w:r>
        <w:t>3.2.1.</w:t>
      </w:r>
      <w:r>
        <w:tab/>
      </w:r>
      <w:r>
        <w:rPr>
          <w:noProof/>
        </w:rPr>
        <w:t xml:space="preserve">Üldine hinnanguline mõju kuludele </w:t>
      </w:r>
    </w:p>
    <w:p>
      <w:pPr>
        <w:jc w:val="right"/>
        <w:rPr>
          <w:noProof/>
          <w:sz w:val="20"/>
        </w:rPr>
      </w:pPr>
      <w:r>
        <w:rPr>
          <w:noProof/>
          <w:sz w:val="20"/>
        </w:rPr>
        <w:t>miljonites eurodes (kolm kohta pärast koma)</w:t>
      </w: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b/>
                <w:noProof/>
                <w:sz w:val="22"/>
              </w:rPr>
              <w:t>Mitmeaastase finantsraamistiku</w:t>
            </w:r>
            <w:r>
              <w:rPr>
                <w:noProof/>
                <w:sz w:val="22"/>
              </w:rPr>
              <w:br/>
            </w:r>
            <w:r>
              <w:rPr>
                <w:b/>
                <w:noProof/>
                <w:sz w:val="22"/>
              </w:rPr>
              <w:t xml:space="preserve">rubriik </w:t>
            </w:r>
          </w:p>
        </w:tc>
        <w:tc>
          <w:tcPr>
            <w:tcW w:w="1080" w:type="dxa"/>
            <w:vAlign w:val="center"/>
          </w:tcPr>
          <w:p>
            <w:pPr>
              <w:spacing w:before="60" w:after="60"/>
              <w:jc w:val="center"/>
              <w:rPr>
                <w:noProof/>
                <w:sz w:val="22"/>
              </w:rPr>
            </w:pPr>
            <w:r>
              <w:rPr>
                <w:noProof/>
                <w:sz w:val="22"/>
              </w:rPr>
              <w:t>Nr</w:t>
            </w:r>
          </w:p>
        </w:tc>
        <w:tc>
          <w:tcPr>
            <w:tcW w:w="7817" w:type="dxa"/>
            <w:vAlign w:val="center"/>
          </w:tcPr>
          <w:p>
            <w:pPr>
              <w:spacing w:before="60" w:after="60"/>
              <w:rPr>
                <w:noProof/>
                <w:sz w:val="22"/>
              </w:rPr>
            </w:pPr>
            <w:r>
              <w:rPr>
                <w:noProof/>
              </w:rPr>
              <w:t>Rubriik 3 „Turvalisus ja kodakondsus”</w:t>
            </w:r>
          </w:p>
        </w:tc>
      </w:tr>
    </w:tbl>
    <w:p>
      <w:pPr>
        <w:rPr>
          <w:noProof/>
          <w:sz w:val="16"/>
        </w:rPr>
      </w:pPr>
    </w:p>
    <w:tbl>
      <w:tblPr>
        <w:tblW w:w="0" w:type="auto"/>
        <w:jc w:val="center"/>
        <w:tblInd w:w="-2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3"/>
        <w:gridCol w:w="1417"/>
        <w:gridCol w:w="851"/>
        <w:gridCol w:w="1134"/>
        <w:gridCol w:w="1134"/>
        <w:gridCol w:w="1134"/>
        <w:gridCol w:w="1777"/>
      </w:tblGrid>
      <w:tr>
        <w:trPr>
          <w:jc w:val="center"/>
        </w:trPr>
        <w:tc>
          <w:tcPr>
            <w:tcW w:w="5543" w:type="dxa"/>
            <w:vAlign w:val="center"/>
          </w:tcPr>
          <w:p>
            <w:pPr>
              <w:jc w:val="center"/>
              <w:rPr>
                <w:b/>
                <w:noProof/>
                <w:sz w:val="22"/>
              </w:rPr>
            </w:pPr>
            <w:r>
              <w:rPr>
                <w:b/>
                <w:noProof/>
                <w:sz w:val="22"/>
              </w:rPr>
              <w:t>Euroopa kodanikukaitse ja humanitaarabioperatsioonide peadirektoraat (ECHO)</w:t>
            </w:r>
          </w:p>
        </w:tc>
        <w:tc>
          <w:tcPr>
            <w:tcW w:w="1417" w:type="dxa"/>
          </w:tcPr>
          <w:p>
            <w:pPr>
              <w:rPr>
                <w:noProof/>
                <w:sz w:val="20"/>
              </w:rPr>
            </w:pPr>
          </w:p>
        </w:tc>
        <w:tc>
          <w:tcPr>
            <w:tcW w:w="851" w:type="dxa"/>
          </w:tcPr>
          <w:p>
            <w:pPr>
              <w:jc w:val="center"/>
              <w:rPr>
                <w:noProof/>
                <w:sz w:val="20"/>
              </w:rPr>
            </w:pPr>
          </w:p>
        </w:tc>
        <w:tc>
          <w:tcPr>
            <w:tcW w:w="1134" w:type="dxa"/>
            <w:vAlign w:val="center"/>
          </w:tcPr>
          <w:p>
            <w:pPr>
              <w:jc w:val="center"/>
              <w:rPr>
                <w:noProof/>
                <w:sz w:val="20"/>
              </w:rPr>
            </w:pPr>
            <w:r>
              <w:rPr>
                <w:noProof/>
                <w:sz w:val="20"/>
              </w:rPr>
              <w:t>2018</w:t>
            </w:r>
          </w:p>
        </w:tc>
        <w:tc>
          <w:tcPr>
            <w:tcW w:w="1134" w:type="dxa"/>
            <w:vAlign w:val="center"/>
          </w:tcPr>
          <w:p>
            <w:pPr>
              <w:jc w:val="center"/>
              <w:rPr>
                <w:noProof/>
                <w:sz w:val="20"/>
              </w:rPr>
            </w:pPr>
            <w:r>
              <w:rPr>
                <w:noProof/>
                <w:sz w:val="20"/>
              </w:rPr>
              <w:t>2019</w:t>
            </w:r>
          </w:p>
        </w:tc>
        <w:tc>
          <w:tcPr>
            <w:tcW w:w="1134" w:type="dxa"/>
            <w:vAlign w:val="center"/>
          </w:tcPr>
          <w:p>
            <w:pPr>
              <w:jc w:val="center"/>
              <w:rPr>
                <w:noProof/>
                <w:sz w:val="20"/>
              </w:rPr>
            </w:pPr>
            <w:r>
              <w:rPr>
                <w:noProof/>
                <w:sz w:val="20"/>
              </w:rPr>
              <w:t>2020</w:t>
            </w:r>
          </w:p>
        </w:tc>
        <w:tc>
          <w:tcPr>
            <w:tcW w:w="1777" w:type="dxa"/>
            <w:vAlign w:val="center"/>
          </w:tcPr>
          <w:p>
            <w:pPr>
              <w:jc w:val="center"/>
              <w:rPr>
                <w:b/>
                <w:noProof/>
                <w:sz w:val="20"/>
              </w:rPr>
            </w:pPr>
            <w:r>
              <w:rPr>
                <w:b/>
                <w:noProof/>
                <w:sz w:val="20"/>
              </w:rPr>
              <w:t>KOKKU</w:t>
            </w:r>
          </w:p>
        </w:tc>
      </w:tr>
      <w:tr>
        <w:trPr>
          <w:trHeight w:val="213"/>
          <w:jc w:val="center"/>
        </w:trPr>
        <w:tc>
          <w:tcPr>
            <w:tcW w:w="7811" w:type="dxa"/>
            <w:gridSpan w:val="3"/>
            <w:vAlign w:val="center"/>
          </w:tcPr>
          <w:p>
            <w:pPr>
              <w:spacing w:before="20" w:after="20"/>
              <w:rPr>
                <w:noProof/>
                <w:sz w:val="21"/>
              </w:rPr>
            </w:pPr>
            <w:r>
              <w:rPr>
                <w:noProof/>
                <w:sz w:val="21"/>
              </w:rPr>
              <w:sym w:font="Wingdings" w:char="F09F"/>
            </w:r>
            <w:r>
              <w:rPr>
                <w:noProof/>
                <w:sz w:val="21"/>
              </w:rPr>
              <w:t>Tegevusassigneeringud</w:t>
            </w:r>
          </w:p>
        </w:tc>
        <w:tc>
          <w:tcPr>
            <w:tcW w:w="1134" w:type="dxa"/>
            <w:vAlign w:val="center"/>
          </w:tcPr>
          <w:p>
            <w:pPr>
              <w:rPr>
                <w:noProof/>
                <w:sz w:val="20"/>
              </w:rPr>
            </w:pPr>
          </w:p>
        </w:tc>
        <w:tc>
          <w:tcPr>
            <w:tcW w:w="1134" w:type="dxa"/>
            <w:vAlign w:val="center"/>
          </w:tcPr>
          <w:p>
            <w:pPr>
              <w:rPr>
                <w:noProof/>
                <w:sz w:val="20"/>
              </w:rPr>
            </w:pPr>
          </w:p>
        </w:tc>
        <w:tc>
          <w:tcPr>
            <w:tcW w:w="1134" w:type="dxa"/>
            <w:vAlign w:val="center"/>
          </w:tcPr>
          <w:p>
            <w:pPr>
              <w:rPr>
                <w:noProof/>
                <w:sz w:val="20"/>
              </w:rPr>
            </w:pPr>
          </w:p>
        </w:tc>
        <w:tc>
          <w:tcPr>
            <w:tcW w:w="1777" w:type="dxa"/>
            <w:vAlign w:val="center"/>
          </w:tcPr>
          <w:p>
            <w:pPr>
              <w:rPr>
                <w:b/>
                <w:noProof/>
                <w:sz w:val="20"/>
              </w:rPr>
            </w:pPr>
          </w:p>
        </w:tc>
      </w:tr>
      <w:tr>
        <w:trPr>
          <w:trHeight w:val="277"/>
          <w:jc w:val="center"/>
        </w:trPr>
        <w:tc>
          <w:tcPr>
            <w:tcW w:w="5543" w:type="dxa"/>
            <w:vMerge w:val="restart"/>
            <w:vAlign w:val="center"/>
          </w:tcPr>
          <w:p>
            <w:pPr>
              <w:rPr>
                <w:noProof/>
                <w:sz w:val="22"/>
              </w:rPr>
            </w:pPr>
            <w:r>
              <w:rPr>
                <w:noProof/>
                <w:sz w:val="20"/>
              </w:rPr>
              <w:t>23 03 01 01</w:t>
            </w:r>
          </w:p>
        </w:tc>
        <w:tc>
          <w:tcPr>
            <w:tcW w:w="1417" w:type="dxa"/>
            <w:vAlign w:val="center"/>
          </w:tcPr>
          <w:p>
            <w:pPr>
              <w:spacing w:before="20" w:after="20"/>
              <w:rPr>
                <w:noProof/>
                <w:sz w:val="18"/>
              </w:rPr>
            </w:pPr>
            <w:r>
              <w:rPr>
                <w:noProof/>
                <w:sz w:val="18"/>
              </w:rPr>
              <w:t>Kulukohustused</w:t>
            </w:r>
          </w:p>
        </w:tc>
        <w:tc>
          <w:tcPr>
            <w:tcW w:w="851" w:type="dxa"/>
            <w:vAlign w:val="center"/>
          </w:tcPr>
          <w:p>
            <w:pPr>
              <w:spacing w:before="20" w:after="20"/>
              <w:jc w:val="center"/>
              <w:rPr>
                <w:noProof/>
                <w:sz w:val="14"/>
              </w:rPr>
            </w:pPr>
            <w:r>
              <w:rPr>
                <w:noProof/>
                <w:sz w:val="14"/>
              </w:rPr>
              <w:t>1)</w:t>
            </w:r>
          </w:p>
        </w:tc>
        <w:tc>
          <w:tcPr>
            <w:tcW w:w="1134" w:type="dxa"/>
            <w:vAlign w:val="bottom"/>
          </w:tcPr>
          <w:p>
            <w:pPr>
              <w:spacing w:before="20" w:after="20"/>
              <w:jc w:val="right"/>
              <w:rPr>
                <w:noProof/>
                <w:sz w:val="20"/>
              </w:rPr>
            </w:pPr>
            <w:r>
              <w:rPr>
                <w:noProof/>
                <w:sz w:val="20"/>
              </w:rPr>
              <w:t>14,000</w:t>
            </w:r>
          </w:p>
        </w:tc>
        <w:tc>
          <w:tcPr>
            <w:tcW w:w="1134" w:type="dxa"/>
            <w:vAlign w:val="bottom"/>
          </w:tcPr>
          <w:p>
            <w:pPr>
              <w:spacing w:before="20" w:after="20"/>
              <w:jc w:val="right"/>
              <w:rPr>
                <w:noProof/>
                <w:sz w:val="20"/>
              </w:rPr>
            </w:pPr>
            <w:r>
              <w:rPr>
                <w:noProof/>
                <w:sz w:val="20"/>
              </w:rPr>
              <w:t>105,900</w:t>
            </w:r>
          </w:p>
        </w:tc>
        <w:tc>
          <w:tcPr>
            <w:tcW w:w="1134" w:type="dxa"/>
            <w:vAlign w:val="bottom"/>
          </w:tcPr>
          <w:p>
            <w:pPr>
              <w:spacing w:before="20" w:after="20"/>
              <w:jc w:val="right"/>
              <w:rPr>
                <w:noProof/>
                <w:sz w:val="20"/>
              </w:rPr>
            </w:pPr>
            <w:r>
              <w:rPr>
                <w:noProof/>
                <w:sz w:val="20"/>
              </w:rPr>
              <w:t>109,279</w:t>
            </w:r>
          </w:p>
        </w:tc>
        <w:tc>
          <w:tcPr>
            <w:tcW w:w="1777" w:type="dxa"/>
            <w:vAlign w:val="bottom"/>
          </w:tcPr>
          <w:p>
            <w:pPr>
              <w:spacing w:before="20" w:after="20"/>
              <w:jc w:val="right"/>
              <w:rPr>
                <w:b/>
                <w:noProof/>
                <w:sz w:val="20"/>
              </w:rPr>
            </w:pPr>
            <w:r>
              <w:rPr>
                <w:b/>
                <w:noProof/>
                <w:sz w:val="20"/>
              </w:rPr>
              <w:t>229,179</w:t>
            </w:r>
          </w:p>
        </w:tc>
      </w:tr>
      <w:tr>
        <w:trPr>
          <w:jc w:val="center"/>
        </w:trPr>
        <w:tc>
          <w:tcPr>
            <w:tcW w:w="5543" w:type="dxa"/>
            <w:vMerge/>
          </w:tcPr>
          <w:p>
            <w:pPr>
              <w:jc w:val="center"/>
              <w:rPr>
                <w:noProof/>
                <w:sz w:val="20"/>
              </w:rPr>
            </w:pPr>
          </w:p>
        </w:tc>
        <w:tc>
          <w:tcPr>
            <w:tcW w:w="1417" w:type="dxa"/>
            <w:vAlign w:val="center"/>
          </w:tcPr>
          <w:p>
            <w:pPr>
              <w:spacing w:before="20" w:after="20"/>
              <w:rPr>
                <w:noProof/>
                <w:sz w:val="18"/>
              </w:rPr>
            </w:pPr>
            <w:r>
              <w:rPr>
                <w:noProof/>
                <w:sz w:val="18"/>
              </w:rPr>
              <w:t>Maksed</w:t>
            </w:r>
          </w:p>
        </w:tc>
        <w:tc>
          <w:tcPr>
            <w:tcW w:w="851" w:type="dxa"/>
            <w:vAlign w:val="center"/>
          </w:tcPr>
          <w:p>
            <w:pPr>
              <w:spacing w:before="20" w:after="20"/>
              <w:jc w:val="center"/>
              <w:rPr>
                <w:noProof/>
                <w:sz w:val="14"/>
              </w:rPr>
            </w:pPr>
            <w:r>
              <w:rPr>
                <w:noProof/>
                <w:sz w:val="14"/>
              </w:rPr>
              <w:t>2)</w:t>
            </w:r>
          </w:p>
        </w:tc>
        <w:tc>
          <w:tcPr>
            <w:tcW w:w="1134" w:type="dxa"/>
            <w:vAlign w:val="bottom"/>
          </w:tcPr>
          <w:p>
            <w:pPr>
              <w:spacing w:before="20" w:after="20"/>
              <w:jc w:val="right"/>
              <w:rPr>
                <w:noProof/>
                <w:sz w:val="20"/>
              </w:rPr>
            </w:pPr>
            <w:r>
              <w:rPr>
                <w:noProof/>
                <w:sz w:val="20"/>
              </w:rPr>
              <w:t>7,000</w:t>
            </w:r>
          </w:p>
        </w:tc>
        <w:tc>
          <w:tcPr>
            <w:tcW w:w="1134" w:type="dxa"/>
            <w:vAlign w:val="bottom"/>
          </w:tcPr>
          <w:p>
            <w:pPr>
              <w:spacing w:before="20" w:after="20"/>
              <w:jc w:val="right"/>
              <w:rPr>
                <w:noProof/>
                <w:sz w:val="20"/>
              </w:rPr>
            </w:pPr>
            <w:r>
              <w:rPr>
                <w:noProof/>
                <w:sz w:val="20"/>
              </w:rPr>
              <w:t>46,560</w:t>
            </w:r>
          </w:p>
        </w:tc>
        <w:tc>
          <w:tcPr>
            <w:tcW w:w="1134" w:type="dxa"/>
            <w:vAlign w:val="bottom"/>
          </w:tcPr>
          <w:p>
            <w:pPr>
              <w:spacing w:before="20" w:after="20"/>
              <w:jc w:val="right"/>
              <w:rPr>
                <w:noProof/>
                <w:sz w:val="20"/>
              </w:rPr>
            </w:pPr>
            <w:r>
              <w:rPr>
                <w:noProof/>
                <w:sz w:val="20"/>
              </w:rPr>
              <w:t>104,395</w:t>
            </w:r>
          </w:p>
        </w:tc>
        <w:tc>
          <w:tcPr>
            <w:tcW w:w="1777" w:type="dxa"/>
            <w:vAlign w:val="bottom"/>
          </w:tcPr>
          <w:p>
            <w:pPr>
              <w:spacing w:before="20" w:after="20"/>
              <w:jc w:val="right"/>
              <w:rPr>
                <w:b/>
                <w:noProof/>
                <w:sz w:val="20"/>
              </w:rPr>
            </w:pPr>
            <w:r>
              <w:rPr>
                <w:b/>
                <w:noProof/>
                <w:sz w:val="20"/>
              </w:rPr>
              <w:t>157,955</w:t>
            </w:r>
          </w:p>
        </w:tc>
      </w:tr>
      <w:tr>
        <w:trPr>
          <w:jc w:val="center"/>
        </w:trPr>
        <w:tc>
          <w:tcPr>
            <w:tcW w:w="5543" w:type="dxa"/>
            <w:vMerge w:val="restart"/>
            <w:vAlign w:val="center"/>
          </w:tcPr>
          <w:p>
            <w:pPr>
              <w:rPr>
                <w:noProof/>
                <w:sz w:val="22"/>
              </w:rPr>
            </w:pPr>
            <w:r>
              <w:rPr>
                <w:noProof/>
                <w:sz w:val="20"/>
              </w:rPr>
              <w:t>23 03 02 01</w:t>
            </w:r>
          </w:p>
        </w:tc>
        <w:tc>
          <w:tcPr>
            <w:tcW w:w="1417" w:type="dxa"/>
            <w:vAlign w:val="center"/>
          </w:tcPr>
          <w:p>
            <w:pPr>
              <w:spacing w:before="20" w:after="20"/>
              <w:rPr>
                <w:noProof/>
                <w:sz w:val="18"/>
              </w:rPr>
            </w:pPr>
            <w:r>
              <w:rPr>
                <w:noProof/>
                <w:sz w:val="18"/>
              </w:rPr>
              <w:t>Kulukohustused</w:t>
            </w:r>
          </w:p>
        </w:tc>
        <w:tc>
          <w:tcPr>
            <w:tcW w:w="851" w:type="dxa"/>
            <w:vAlign w:val="center"/>
          </w:tcPr>
          <w:p>
            <w:pPr>
              <w:spacing w:before="20" w:after="20"/>
              <w:jc w:val="center"/>
              <w:rPr>
                <w:noProof/>
                <w:sz w:val="14"/>
              </w:rPr>
            </w:pPr>
            <w:r>
              <w:rPr>
                <w:noProof/>
                <w:sz w:val="14"/>
              </w:rPr>
              <w:t>(1a)</w:t>
            </w:r>
          </w:p>
        </w:tc>
        <w:tc>
          <w:tcPr>
            <w:tcW w:w="1134" w:type="dxa"/>
          </w:tcPr>
          <w:p>
            <w:pPr>
              <w:spacing w:before="20" w:after="20"/>
              <w:jc w:val="right"/>
              <w:rPr>
                <w:noProof/>
                <w:sz w:val="20"/>
              </w:rPr>
            </w:pPr>
            <w:r>
              <w:rPr>
                <w:noProof/>
                <w:sz w:val="20"/>
              </w:rPr>
              <w:t>5,157</w:t>
            </w:r>
          </w:p>
        </w:tc>
        <w:tc>
          <w:tcPr>
            <w:tcW w:w="1134" w:type="dxa"/>
          </w:tcPr>
          <w:p>
            <w:pPr>
              <w:spacing w:before="20" w:after="20"/>
              <w:jc w:val="right"/>
              <w:rPr>
                <w:noProof/>
                <w:sz w:val="20"/>
              </w:rPr>
            </w:pPr>
            <w:r>
              <w:rPr>
                <w:noProof/>
                <w:sz w:val="20"/>
              </w:rPr>
              <w:t>9,300</w:t>
            </w:r>
          </w:p>
        </w:tc>
        <w:tc>
          <w:tcPr>
            <w:tcW w:w="1134" w:type="dxa"/>
          </w:tcPr>
          <w:p>
            <w:pPr>
              <w:spacing w:before="20" w:after="20"/>
              <w:jc w:val="right"/>
              <w:rPr>
                <w:noProof/>
                <w:sz w:val="20"/>
              </w:rPr>
            </w:pPr>
            <w:r>
              <w:rPr>
                <w:noProof/>
                <w:sz w:val="20"/>
              </w:rPr>
              <w:t>13,218</w:t>
            </w:r>
          </w:p>
        </w:tc>
        <w:tc>
          <w:tcPr>
            <w:tcW w:w="1777" w:type="dxa"/>
          </w:tcPr>
          <w:p>
            <w:pPr>
              <w:spacing w:before="20" w:after="20"/>
              <w:jc w:val="right"/>
              <w:rPr>
                <w:b/>
                <w:noProof/>
                <w:sz w:val="20"/>
              </w:rPr>
            </w:pPr>
            <w:r>
              <w:rPr>
                <w:b/>
                <w:noProof/>
                <w:sz w:val="20"/>
              </w:rPr>
              <w:t>27,675</w:t>
            </w:r>
          </w:p>
        </w:tc>
      </w:tr>
      <w:tr>
        <w:trPr>
          <w:jc w:val="center"/>
        </w:trPr>
        <w:tc>
          <w:tcPr>
            <w:tcW w:w="5543" w:type="dxa"/>
            <w:vMerge/>
          </w:tcPr>
          <w:p>
            <w:pPr>
              <w:jc w:val="center"/>
              <w:rPr>
                <w:noProof/>
                <w:sz w:val="20"/>
              </w:rPr>
            </w:pPr>
          </w:p>
        </w:tc>
        <w:tc>
          <w:tcPr>
            <w:tcW w:w="1417" w:type="dxa"/>
            <w:vAlign w:val="center"/>
          </w:tcPr>
          <w:p>
            <w:pPr>
              <w:spacing w:before="20" w:after="20"/>
              <w:rPr>
                <w:noProof/>
                <w:sz w:val="18"/>
              </w:rPr>
            </w:pPr>
            <w:r>
              <w:rPr>
                <w:noProof/>
                <w:sz w:val="18"/>
              </w:rPr>
              <w:t>Maksed</w:t>
            </w:r>
          </w:p>
        </w:tc>
        <w:tc>
          <w:tcPr>
            <w:tcW w:w="851" w:type="dxa"/>
            <w:vAlign w:val="center"/>
          </w:tcPr>
          <w:p>
            <w:pPr>
              <w:spacing w:before="20" w:after="20"/>
              <w:jc w:val="center"/>
              <w:rPr>
                <w:noProof/>
                <w:sz w:val="14"/>
              </w:rPr>
            </w:pPr>
            <w:r>
              <w:rPr>
                <w:noProof/>
                <w:sz w:val="14"/>
              </w:rPr>
              <w:t>(2 a)</w:t>
            </w:r>
          </w:p>
        </w:tc>
        <w:tc>
          <w:tcPr>
            <w:tcW w:w="1134" w:type="dxa"/>
          </w:tcPr>
          <w:p>
            <w:pPr>
              <w:spacing w:before="20" w:after="20"/>
              <w:jc w:val="right"/>
              <w:rPr>
                <w:noProof/>
                <w:sz w:val="20"/>
              </w:rPr>
            </w:pPr>
            <w:r>
              <w:rPr>
                <w:noProof/>
                <w:sz w:val="20"/>
              </w:rPr>
              <w:t>4,000</w:t>
            </w:r>
          </w:p>
        </w:tc>
        <w:tc>
          <w:tcPr>
            <w:tcW w:w="1134" w:type="dxa"/>
          </w:tcPr>
          <w:p>
            <w:pPr>
              <w:spacing w:before="20" w:after="20"/>
              <w:jc w:val="right"/>
              <w:rPr>
                <w:noProof/>
                <w:sz w:val="20"/>
              </w:rPr>
            </w:pPr>
            <w:r>
              <w:rPr>
                <w:noProof/>
                <w:sz w:val="20"/>
              </w:rPr>
              <w:t>10,000</w:t>
            </w:r>
          </w:p>
        </w:tc>
        <w:tc>
          <w:tcPr>
            <w:tcW w:w="1134" w:type="dxa"/>
          </w:tcPr>
          <w:p>
            <w:pPr>
              <w:spacing w:before="20" w:after="20"/>
              <w:jc w:val="right"/>
              <w:rPr>
                <w:noProof/>
                <w:sz w:val="20"/>
              </w:rPr>
            </w:pPr>
            <w:r>
              <w:rPr>
                <w:noProof/>
                <w:sz w:val="20"/>
              </w:rPr>
              <w:t>11,000</w:t>
            </w:r>
          </w:p>
        </w:tc>
        <w:tc>
          <w:tcPr>
            <w:tcW w:w="1777" w:type="dxa"/>
          </w:tcPr>
          <w:p>
            <w:pPr>
              <w:spacing w:before="20" w:after="20"/>
              <w:jc w:val="right"/>
              <w:rPr>
                <w:b/>
                <w:noProof/>
                <w:sz w:val="20"/>
              </w:rPr>
            </w:pPr>
            <w:r>
              <w:rPr>
                <w:b/>
                <w:noProof/>
                <w:sz w:val="20"/>
              </w:rPr>
              <w:t>25,000</w:t>
            </w:r>
          </w:p>
        </w:tc>
      </w:tr>
      <w:tr>
        <w:trPr>
          <w:trHeight w:val="231"/>
          <w:jc w:val="center"/>
        </w:trPr>
        <w:tc>
          <w:tcPr>
            <w:tcW w:w="7811" w:type="dxa"/>
            <w:gridSpan w:val="3"/>
            <w:vAlign w:val="center"/>
          </w:tcPr>
          <w:p>
            <w:pPr>
              <w:spacing w:before="20" w:after="20"/>
              <w:rPr>
                <w:noProof/>
                <w:sz w:val="22"/>
              </w:rPr>
            </w:pPr>
            <w:r>
              <w:rPr>
                <w:noProof/>
                <w:sz w:val="21"/>
              </w:rPr>
              <w:t>Eriprogrammide vahenditest rahastatavad haldusassigneeringud</w:t>
            </w:r>
            <w:r>
              <w:rPr>
                <w:rStyle w:val="FootnoteReference"/>
                <w:noProof/>
              </w:rPr>
              <w:footnoteReference w:id="23"/>
            </w:r>
            <w:r>
              <w:rPr>
                <w:noProof/>
                <w:sz w:val="21"/>
              </w:rPr>
              <w:t xml:space="preserve"> </w:t>
            </w:r>
          </w:p>
          <w:p>
            <w:pPr>
              <w:spacing w:before="0" w:after="0"/>
              <w:rPr>
                <w:noProof/>
                <w:sz w:val="22"/>
              </w:rPr>
            </w:pPr>
          </w:p>
        </w:tc>
        <w:tc>
          <w:tcPr>
            <w:tcW w:w="1134" w:type="dxa"/>
            <w:vAlign w:val="center"/>
          </w:tcPr>
          <w:p>
            <w:pPr>
              <w:rPr>
                <w:b/>
                <w:noProof/>
                <w:sz w:val="20"/>
              </w:rPr>
            </w:pPr>
          </w:p>
        </w:tc>
        <w:tc>
          <w:tcPr>
            <w:tcW w:w="1134" w:type="dxa"/>
            <w:vAlign w:val="center"/>
          </w:tcPr>
          <w:p>
            <w:pPr>
              <w:rPr>
                <w:b/>
                <w:noProof/>
                <w:sz w:val="20"/>
              </w:rPr>
            </w:pPr>
          </w:p>
        </w:tc>
        <w:tc>
          <w:tcPr>
            <w:tcW w:w="1134" w:type="dxa"/>
            <w:vAlign w:val="center"/>
          </w:tcPr>
          <w:p>
            <w:pPr>
              <w:rPr>
                <w:b/>
                <w:noProof/>
                <w:sz w:val="20"/>
              </w:rPr>
            </w:pPr>
          </w:p>
        </w:tc>
        <w:tc>
          <w:tcPr>
            <w:tcW w:w="1777" w:type="dxa"/>
            <w:vAlign w:val="center"/>
          </w:tcPr>
          <w:p>
            <w:pPr>
              <w:rPr>
                <w:b/>
                <w:noProof/>
                <w:sz w:val="20"/>
              </w:rPr>
            </w:pPr>
          </w:p>
        </w:tc>
      </w:tr>
      <w:tr>
        <w:trPr>
          <w:trHeight w:val="319"/>
          <w:jc w:val="center"/>
        </w:trPr>
        <w:tc>
          <w:tcPr>
            <w:tcW w:w="5543" w:type="dxa"/>
            <w:vAlign w:val="center"/>
          </w:tcPr>
          <w:p>
            <w:pPr>
              <w:spacing w:before="60" w:after="60"/>
              <w:rPr>
                <w:noProof/>
                <w:sz w:val="22"/>
              </w:rPr>
            </w:pPr>
            <w:r>
              <w:rPr>
                <w:noProof/>
                <w:sz w:val="20"/>
              </w:rPr>
              <w:t>Eelarverida nr</w:t>
            </w:r>
          </w:p>
        </w:tc>
        <w:tc>
          <w:tcPr>
            <w:tcW w:w="1417" w:type="dxa"/>
            <w:vAlign w:val="center"/>
          </w:tcPr>
          <w:p>
            <w:pPr>
              <w:spacing w:before="40" w:after="40"/>
              <w:jc w:val="right"/>
              <w:rPr>
                <w:noProof/>
                <w:sz w:val="18"/>
              </w:rPr>
            </w:pPr>
          </w:p>
        </w:tc>
        <w:tc>
          <w:tcPr>
            <w:tcW w:w="851" w:type="dxa"/>
            <w:vAlign w:val="center"/>
          </w:tcPr>
          <w:p>
            <w:pPr>
              <w:spacing w:before="40" w:after="40"/>
              <w:jc w:val="center"/>
              <w:rPr>
                <w:noProof/>
                <w:sz w:val="14"/>
              </w:rPr>
            </w:pPr>
            <w:r>
              <w:rPr>
                <w:noProof/>
                <w:sz w:val="14"/>
              </w:rPr>
              <w:t>3)</w:t>
            </w:r>
          </w:p>
        </w:tc>
        <w:tc>
          <w:tcPr>
            <w:tcW w:w="1134" w:type="dxa"/>
            <w:vAlign w:val="center"/>
          </w:tcPr>
          <w:p>
            <w:pPr>
              <w:jc w:val="center"/>
              <w:rPr>
                <w:noProof/>
                <w:sz w:val="20"/>
              </w:rPr>
            </w:pPr>
            <w:r>
              <w:rPr>
                <w:noProof/>
                <w:sz w:val="20"/>
              </w:rPr>
              <w:t>2018</w:t>
            </w:r>
          </w:p>
        </w:tc>
        <w:tc>
          <w:tcPr>
            <w:tcW w:w="1134" w:type="dxa"/>
            <w:vAlign w:val="center"/>
          </w:tcPr>
          <w:p>
            <w:pPr>
              <w:jc w:val="center"/>
              <w:rPr>
                <w:noProof/>
                <w:sz w:val="20"/>
              </w:rPr>
            </w:pPr>
            <w:r>
              <w:rPr>
                <w:noProof/>
                <w:sz w:val="20"/>
              </w:rPr>
              <w:t>2019</w:t>
            </w:r>
          </w:p>
        </w:tc>
        <w:tc>
          <w:tcPr>
            <w:tcW w:w="1134" w:type="dxa"/>
            <w:vAlign w:val="center"/>
          </w:tcPr>
          <w:p>
            <w:pPr>
              <w:jc w:val="center"/>
              <w:rPr>
                <w:noProof/>
                <w:sz w:val="20"/>
              </w:rPr>
            </w:pPr>
            <w:r>
              <w:rPr>
                <w:noProof/>
                <w:sz w:val="20"/>
              </w:rPr>
              <w:t>2020</w:t>
            </w:r>
          </w:p>
        </w:tc>
        <w:tc>
          <w:tcPr>
            <w:tcW w:w="1777" w:type="dxa"/>
            <w:vAlign w:val="center"/>
          </w:tcPr>
          <w:p>
            <w:pPr>
              <w:jc w:val="center"/>
              <w:rPr>
                <w:b/>
                <w:noProof/>
                <w:sz w:val="20"/>
              </w:rPr>
            </w:pPr>
            <w:r>
              <w:rPr>
                <w:b/>
                <w:noProof/>
                <w:sz w:val="20"/>
              </w:rPr>
              <w:t>KOKKU</w:t>
            </w:r>
          </w:p>
        </w:tc>
      </w:tr>
      <w:tr>
        <w:trPr>
          <w:jc w:val="center"/>
        </w:trPr>
        <w:tc>
          <w:tcPr>
            <w:tcW w:w="5543" w:type="dxa"/>
            <w:vMerge w:val="restart"/>
            <w:vAlign w:val="center"/>
          </w:tcPr>
          <w:p>
            <w:pPr>
              <w:jc w:val="center"/>
              <w:rPr>
                <w:b/>
                <w:noProof/>
                <w:sz w:val="22"/>
              </w:rPr>
            </w:pPr>
            <w:r>
              <w:rPr>
                <w:b/>
                <w:noProof/>
                <w:sz w:val="22"/>
              </w:rPr>
              <w:t>Euroopa kodanikukaitse ja humanitaarabioperatsioonide peadirektoraadi assigneeringud KOKKU</w:t>
            </w:r>
          </w:p>
        </w:tc>
        <w:tc>
          <w:tcPr>
            <w:tcW w:w="1417" w:type="dxa"/>
            <w:vAlign w:val="center"/>
          </w:tcPr>
          <w:p>
            <w:pPr>
              <w:rPr>
                <w:noProof/>
                <w:sz w:val="18"/>
              </w:rPr>
            </w:pPr>
            <w:r>
              <w:rPr>
                <w:noProof/>
                <w:sz w:val="18"/>
              </w:rPr>
              <w:t>Kulukohustused</w:t>
            </w:r>
          </w:p>
        </w:tc>
        <w:tc>
          <w:tcPr>
            <w:tcW w:w="851" w:type="dxa"/>
            <w:vAlign w:val="center"/>
          </w:tcPr>
          <w:p>
            <w:pPr>
              <w:jc w:val="center"/>
              <w:rPr>
                <w:noProof/>
                <w:sz w:val="14"/>
              </w:rPr>
            </w:pPr>
            <w:r>
              <w:rPr>
                <w:noProof/>
                <w:sz w:val="14"/>
              </w:rPr>
              <w:t>=1+1 a +3</w:t>
            </w:r>
          </w:p>
        </w:tc>
        <w:tc>
          <w:tcPr>
            <w:tcW w:w="1134" w:type="dxa"/>
            <w:vAlign w:val="bottom"/>
          </w:tcPr>
          <w:p>
            <w:pPr>
              <w:spacing w:before="20" w:after="20"/>
              <w:jc w:val="right"/>
              <w:rPr>
                <w:noProof/>
                <w:sz w:val="20"/>
              </w:rPr>
            </w:pPr>
            <w:r>
              <w:rPr>
                <w:noProof/>
                <w:sz w:val="20"/>
              </w:rPr>
              <w:t>19,157</w:t>
            </w:r>
          </w:p>
        </w:tc>
        <w:tc>
          <w:tcPr>
            <w:tcW w:w="1134" w:type="dxa"/>
            <w:vAlign w:val="bottom"/>
          </w:tcPr>
          <w:p>
            <w:pPr>
              <w:spacing w:before="20" w:after="20"/>
              <w:jc w:val="right"/>
              <w:rPr>
                <w:noProof/>
                <w:sz w:val="20"/>
              </w:rPr>
            </w:pPr>
            <w:r>
              <w:rPr>
                <w:noProof/>
                <w:sz w:val="20"/>
              </w:rPr>
              <w:t>115,200</w:t>
            </w:r>
          </w:p>
        </w:tc>
        <w:tc>
          <w:tcPr>
            <w:tcW w:w="1134" w:type="dxa"/>
            <w:vAlign w:val="bottom"/>
          </w:tcPr>
          <w:p>
            <w:pPr>
              <w:spacing w:before="20" w:after="20"/>
              <w:jc w:val="right"/>
              <w:rPr>
                <w:noProof/>
                <w:sz w:val="20"/>
              </w:rPr>
            </w:pPr>
            <w:r>
              <w:rPr>
                <w:noProof/>
                <w:sz w:val="20"/>
              </w:rPr>
              <w:t>122,497</w:t>
            </w:r>
          </w:p>
        </w:tc>
        <w:tc>
          <w:tcPr>
            <w:tcW w:w="1777" w:type="dxa"/>
            <w:vAlign w:val="bottom"/>
          </w:tcPr>
          <w:p>
            <w:pPr>
              <w:spacing w:before="20" w:after="20"/>
              <w:jc w:val="right"/>
              <w:rPr>
                <w:b/>
                <w:noProof/>
                <w:sz w:val="20"/>
              </w:rPr>
            </w:pPr>
            <w:r>
              <w:rPr>
                <w:b/>
                <w:noProof/>
                <w:sz w:val="20"/>
              </w:rPr>
              <w:t>256,854</w:t>
            </w:r>
          </w:p>
        </w:tc>
      </w:tr>
      <w:tr>
        <w:trPr>
          <w:jc w:val="center"/>
        </w:trPr>
        <w:tc>
          <w:tcPr>
            <w:tcW w:w="5543" w:type="dxa"/>
            <w:vMerge/>
          </w:tcPr>
          <w:p>
            <w:pPr>
              <w:rPr>
                <w:noProof/>
                <w:sz w:val="20"/>
              </w:rPr>
            </w:pPr>
          </w:p>
        </w:tc>
        <w:tc>
          <w:tcPr>
            <w:tcW w:w="1417" w:type="dxa"/>
            <w:vAlign w:val="center"/>
          </w:tcPr>
          <w:p>
            <w:pPr>
              <w:rPr>
                <w:noProof/>
                <w:sz w:val="18"/>
              </w:rPr>
            </w:pPr>
            <w:r>
              <w:rPr>
                <w:noProof/>
                <w:sz w:val="18"/>
              </w:rPr>
              <w:t>Maksed</w:t>
            </w:r>
          </w:p>
        </w:tc>
        <w:tc>
          <w:tcPr>
            <w:tcW w:w="851" w:type="dxa"/>
            <w:vAlign w:val="center"/>
          </w:tcPr>
          <w:p>
            <w:pPr>
              <w:jc w:val="center"/>
              <w:rPr>
                <w:noProof/>
                <w:sz w:val="14"/>
              </w:rPr>
            </w:pPr>
            <w:r>
              <w:rPr>
                <w:noProof/>
                <w:sz w:val="14"/>
              </w:rPr>
              <w:t>=2+2a</w:t>
            </w:r>
          </w:p>
          <w:p>
            <w:pPr>
              <w:jc w:val="center"/>
              <w:rPr>
                <w:noProof/>
                <w:sz w:val="14"/>
              </w:rPr>
            </w:pPr>
            <w:r>
              <w:rPr>
                <w:noProof/>
                <w:sz w:val="14"/>
              </w:rPr>
              <w:t>+3</w:t>
            </w:r>
          </w:p>
        </w:tc>
        <w:tc>
          <w:tcPr>
            <w:tcW w:w="1134" w:type="dxa"/>
            <w:vAlign w:val="bottom"/>
          </w:tcPr>
          <w:p>
            <w:pPr>
              <w:spacing w:before="20" w:after="20"/>
              <w:jc w:val="right"/>
              <w:rPr>
                <w:noProof/>
                <w:sz w:val="20"/>
              </w:rPr>
            </w:pPr>
            <w:r>
              <w:rPr>
                <w:noProof/>
                <w:sz w:val="20"/>
              </w:rPr>
              <w:t>11,000</w:t>
            </w:r>
          </w:p>
        </w:tc>
        <w:tc>
          <w:tcPr>
            <w:tcW w:w="1134" w:type="dxa"/>
            <w:vAlign w:val="bottom"/>
          </w:tcPr>
          <w:p>
            <w:pPr>
              <w:spacing w:before="20" w:after="20"/>
              <w:jc w:val="right"/>
              <w:rPr>
                <w:noProof/>
                <w:sz w:val="20"/>
              </w:rPr>
            </w:pPr>
            <w:r>
              <w:rPr>
                <w:noProof/>
                <w:sz w:val="20"/>
              </w:rPr>
              <w:t>56,560</w:t>
            </w:r>
          </w:p>
        </w:tc>
        <w:tc>
          <w:tcPr>
            <w:tcW w:w="1134" w:type="dxa"/>
            <w:vAlign w:val="bottom"/>
          </w:tcPr>
          <w:p>
            <w:pPr>
              <w:spacing w:before="20" w:after="20"/>
              <w:jc w:val="right"/>
              <w:rPr>
                <w:noProof/>
                <w:sz w:val="20"/>
              </w:rPr>
            </w:pPr>
            <w:r>
              <w:rPr>
                <w:noProof/>
                <w:sz w:val="20"/>
              </w:rPr>
              <w:t>115,395</w:t>
            </w:r>
          </w:p>
        </w:tc>
        <w:tc>
          <w:tcPr>
            <w:tcW w:w="1777" w:type="dxa"/>
            <w:vAlign w:val="bottom"/>
          </w:tcPr>
          <w:p>
            <w:pPr>
              <w:spacing w:before="20" w:after="20"/>
              <w:jc w:val="right"/>
              <w:rPr>
                <w:b/>
                <w:noProof/>
                <w:sz w:val="20"/>
              </w:rPr>
            </w:pPr>
            <w:r>
              <w:rPr>
                <w:b/>
                <w:noProof/>
                <w:sz w:val="20"/>
              </w:rPr>
              <w:t>182,955</w:t>
            </w:r>
          </w:p>
        </w:tc>
      </w:tr>
    </w:tbl>
    <w:p>
      <w:pPr>
        <w:rPr>
          <w:noProof/>
        </w:rPr>
      </w:pPr>
      <w:r>
        <w:rPr>
          <w:noProof/>
        </w:rPr>
        <w:br/>
      </w:r>
      <w:r>
        <w:rPr>
          <w:noProof/>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1417"/>
        <w:gridCol w:w="851"/>
        <w:gridCol w:w="1134"/>
        <w:gridCol w:w="1134"/>
        <w:gridCol w:w="1134"/>
        <w:gridCol w:w="1701"/>
      </w:tblGrid>
      <w:tr>
        <w:trPr>
          <w:trHeight w:val="277"/>
        </w:trPr>
        <w:tc>
          <w:tcPr>
            <w:tcW w:w="5529" w:type="dxa"/>
            <w:vMerge w:val="restart"/>
            <w:vAlign w:val="center"/>
          </w:tcPr>
          <w:p>
            <w:pPr>
              <w:spacing w:before="20" w:after="20"/>
              <w:rPr>
                <w:noProof/>
                <w:sz w:val="22"/>
              </w:rPr>
            </w:pPr>
            <w:r>
              <w:rPr>
                <w:noProof/>
              </w:rPr>
              <w:br w:type="page"/>
            </w:r>
            <w:r>
              <w:rPr>
                <w:noProof/>
                <w:sz w:val="21"/>
              </w:rPr>
              <w:sym w:font="Wingdings" w:char="F09F"/>
            </w:r>
            <w:r>
              <w:rPr>
                <w:noProof/>
                <w:sz w:val="21"/>
              </w:rPr>
              <w:t>Tegevusassigneeringud KOKKU</w:t>
            </w:r>
          </w:p>
        </w:tc>
        <w:tc>
          <w:tcPr>
            <w:tcW w:w="1417" w:type="dxa"/>
            <w:vAlign w:val="center"/>
          </w:tcPr>
          <w:p>
            <w:pPr>
              <w:spacing w:beforeLines="20" w:before="48" w:afterLines="20" w:after="48"/>
              <w:rPr>
                <w:noProof/>
                <w:sz w:val="18"/>
              </w:rPr>
            </w:pPr>
            <w:r>
              <w:rPr>
                <w:noProof/>
                <w:sz w:val="18"/>
              </w:rPr>
              <w:t>Kulukohustused</w:t>
            </w:r>
          </w:p>
        </w:tc>
        <w:tc>
          <w:tcPr>
            <w:tcW w:w="851" w:type="dxa"/>
            <w:vAlign w:val="center"/>
          </w:tcPr>
          <w:p>
            <w:pPr>
              <w:spacing w:beforeLines="20" w:before="48" w:afterLines="20" w:after="48"/>
              <w:jc w:val="center"/>
              <w:rPr>
                <w:noProof/>
                <w:sz w:val="14"/>
              </w:rPr>
            </w:pPr>
            <w:r>
              <w:rPr>
                <w:noProof/>
                <w:sz w:val="14"/>
              </w:rPr>
              <w:t>4)</w:t>
            </w:r>
          </w:p>
        </w:tc>
        <w:tc>
          <w:tcPr>
            <w:tcW w:w="1134" w:type="dxa"/>
            <w:vAlign w:val="bottom"/>
          </w:tcPr>
          <w:p>
            <w:pPr>
              <w:spacing w:before="20" w:after="20"/>
              <w:jc w:val="right"/>
              <w:rPr>
                <w:noProof/>
                <w:sz w:val="20"/>
              </w:rPr>
            </w:pPr>
            <w:r>
              <w:rPr>
                <w:noProof/>
                <w:sz w:val="20"/>
              </w:rPr>
              <w:t>19,157</w:t>
            </w:r>
          </w:p>
        </w:tc>
        <w:tc>
          <w:tcPr>
            <w:tcW w:w="1134" w:type="dxa"/>
            <w:vAlign w:val="bottom"/>
          </w:tcPr>
          <w:p>
            <w:pPr>
              <w:spacing w:before="20" w:after="20"/>
              <w:jc w:val="right"/>
              <w:rPr>
                <w:noProof/>
                <w:sz w:val="20"/>
              </w:rPr>
            </w:pPr>
            <w:r>
              <w:rPr>
                <w:noProof/>
                <w:sz w:val="20"/>
              </w:rPr>
              <w:t>115,200</w:t>
            </w:r>
          </w:p>
        </w:tc>
        <w:tc>
          <w:tcPr>
            <w:tcW w:w="1134" w:type="dxa"/>
            <w:vAlign w:val="bottom"/>
          </w:tcPr>
          <w:p>
            <w:pPr>
              <w:spacing w:before="20" w:after="20"/>
              <w:jc w:val="right"/>
              <w:rPr>
                <w:noProof/>
                <w:sz w:val="20"/>
              </w:rPr>
            </w:pPr>
            <w:r>
              <w:rPr>
                <w:noProof/>
                <w:sz w:val="20"/>
              </w:rPr>
              <w:t>122,497</w:t>
            </w:r>
          </w:p>
        </w:tc>
        <w:tc>
          <w:tcPr>
            <w:tcW w:w="1701" w:type="dxa"/>
            <w:vAlign w:val="bottom"/>
          </w:tcPr>
          <w:p>
            <w:pPr>
              <w:spacing w:before="20" w:after="20"/>
              <w:jc w:val="right"/>
              <w:rPr>
                <w:b/>
                <w:noProof/>
                <w:sz w:val="20"/>
              </w:rPr>
            </w:pPr>
            <w:r>
              <w:rPr>
                <w:b/>
                <w:noProof/>
                <w:sz w:val="20"/>
              </w:rPr>
              <w:t>256,854</w:t>
            </w:r>
          </w:p>
        </w:tc>
      </w:tr>
      <w:tr>
        <w:tc>
          <w:tcPr>
            <w:tcW w:w="5529" w:type="dxa"/>
            <w:vMerge/>
          </w:tcPr>
          <w:p>
            <w:pPr>
              <w:jc w:val="center"/>
              <w:rPr>
                <w:noProof/>
                <w:sz w:val="20"/>
              </w:rPr>
            </w:pPr>
          </w:p>
        </w:tc>
        <w:tc>
          <w:tcPr>
            <w:tcW w:w="1417" w:type="dxa"/>
            <w:vAlign w:val="center"/>
          </w:tcPr>
          <w:p>
            <w:pPr>
              <w:spacing w:beforeLines="20" w:before="48" w:afterLines="20" w:after="48"/>
              <w:rPr>
                <w:noProof/>
                <w:sz w:val="18"/>
              </w:rPr>
            </w:pPr>
            <w:r>
              <w:rPr>
                <w:noProof/>
                <w:sz w:val="18"/>
              </w:rPr>
              <w:t>Maksed</w:t>
            </w:r>
          </w:p>
        </w:tc>
        <w:tc>
          <w:tcPr>
            <w:tcW w:w="851" w:type="dxa"/>
            <w:vAlign w:val="center"/>
          </w:tcPr>
          <w:p>
            <w:pPr>
              <w:spacing w:beforeLines="20" w:before="48" w:afterLines="20" w:after="48"/>
              <w:jc w:val="center"/>
              <w:rPr>
                <w:noProof/>
                <w:sz w:val="14"/>
              </w:rPr>
            </w:pPr>
            <w:r>
              <w:rPr>
                <w:noProof/>
                <w:sz w:val="14"/>
              </w:rPr>
              <w:t>5)</w:t>
            </w:r>
          </w:p>
        </w:tc>
        <w:tc>
          <w:tcPr>
            <w:tcW w:w="1134" w:type="dxa"/>
            <w:vAlign w:val="bottom"/>
          </w:tcPr>
          <w:p>
            <w:pPr>
              <w:spacing w:before="20" w:after="20"/>
              <w:jc w:val="right"/>
              <w:rPr>
                <w:noProof/>
                <w:sz w:val="20"/>
              </w:rPr>
            </w:pPr>
            <w:r>
              <w:rPr>
                <w:noProof/>
                <w:sz w:val="20"/>
              </w:rPr>
              <w:t>11,000</w:t>
            </w:r>
          </w:p>
        </w:tc>
        <w:tc>
          <w:tcPr>
            <w:tcW w:w="1134" w:type="dxa"/>
            <w:vAlign w:val="bottom"/>
          </w:tcPr>
          <w:p>
            <w:pPr>
              <w:spacing w:before="20" w:after="20"/>
              <w:jc w:val="right"/>
              <w:rPr>
                <w:noProof/>
                <w:sz w:val="20"/>
              </w:rPr>
            </w:pPr>
            <w:r>
              <w:rPr>
                <w:noProof/>
                <w:sz w:val="20"/>
              </w:rPr>
              <w:t>56,560</w:t>
            </w:r>
          </w:p>
        </w:tc>
        <w:tc>
          <w:tcPr>
            <w:tcW w:w="1134" w:type="dxa"/>
            <w:vAlign w:val="bottom"/>
          </w:tcPr>
          <w:p>
            <w:pPr>
              <w:spacing w:before="20" w:after="20"/>
              <w:jc w:val="right"/>
              <w:rPr>
                <w:noProof/>
                <w:sz w:val="20"/>
              </w:rPr>
            </w:pPr>
            <w:r>
              <w:rPr>
                <w:noProof/>
                <w:sz w:val="20"/>
              </w:rPr>
              <w:t>115,395</w:t>
            </w:r>
          </w:p>
        </w:tc>
        <w:tc>
          <w:tcPr>
            <w:tcW w:w="1701" w:type="dxa"/>
            <w:vAlign w:val="bottom"/>
          </w:tcPr>
          <w:p>
            <w:pPr>
              <w:spacing w:before="20" w:after="20"/>
              <w:jc w:val="right"/>
              <w:rPr>
                <w:b/>
                <w:noProof/>
                <w:sz w:val="20"/>
              </w:rPr>
            </w:pPr>
            <w:r>
              <w:rPr>
                <w:b/>
                <w:noProof/>
                <w:sz w:val="20"/>
              </w:rPr>
              <w:t>182,955</w:t>
            </w:r>
          </w:p>
        </w:tc>
      </w:tr>
      <w:tr>
        <w:trPr>
          <w:trHeight w:val="533"/>
        </w:trPr>
        <w:tc>
          <w:tcPr>
            <w:tcW w:w="6946" w:type="dxa"/>
            <w:gridSpan w:val="2"/>
            <w:vAlign w:val="center"/>
          </w:tcPr>
          <w:p>
            <w:pPr>
              <w:spacing w:beforeLines="20" w:before="48" w:afterLines="20" w:after="48"/>
              <w:rPr>
                <w:noProof/>
                <w:sz w:val="22"/>
              </w:rPr>
            </w:pPr>
            <w:r>
              <w:rPr>
                <w:noProof/>
                <w:sz w:val="21"/>
              </w:rPr>
              <w:sym w:font="Wingdings" w:char="F09F"/>
            </w:r>
            <w:r>
              <w:rPr>
                <w:noProof/>
                <w:sz w:val="21"/>
              </w:rPr>
              <w:t>Eriprogrammide vahenditest rahastatavad haldusassigneeringud KOKKU</w:t>
            </w:r>
          </w:p>
        </w:tc>
        <w:tc>
          <w:tcPr>
            <w:tcW w:w="851" w:type="dxa"/>
            <w:vAlign w:val="center"/>
          </w:tcPr>
          <w:p>
            <w:pPr>
              <w:spacing w:beforeLines="20" w:before="48" w:afterLines="20" w:after="48"/>
              <w:jc w:val="center"/>
              <w:rPr>
                <w:noProof/>
                <w:sz w:val="14"/>
              </w:rPr>
            </w:pPr>
            <w:r>
              <w:rPr>
                <w:noProof/>
                <w:sz w:val="14"/>
              </w:rPr>
              <w:t>6)</w:t>
            </w:r>
          </w:p>
        </w:tc>
        <w:tc>
          <w:tcPr>
            <w:tcW w:w="1134" w:type="dxa"/>
            <w:vAlign w:val="center"/>
          </w:tcPr>
          <w:p>
            <w:pPr>
              <w:jc w:val="center"/>
              <w:rPr>
                <w:noProof/>
                <w:sz w:val="20"/>
              </w:rPr>
            </w:pPr>
            <w:r>
              <w:rPr>
                <w:noProof/>
                <w:sz w:val="20"/>
              </w:rPr>
              <w:t>0</w:t>
            </w:r>
          </w:p>
        </w:tc>
        <w:tc>
          <w:tcPr>
            <w:tcW w:w="1134" w:type="dxa"/>
            <w:vAlign w:val="center"/>
          </w:tcPr>
          <w:p>
            <w:pPr>
              <w:jc w:val="center"/>
              <w:rPr>
                <w:noProof/>
                <w:sz w:val="20"/>
              </w:rPr>
            </w:pPr>
            <w:r>
              <w:rPr>
                <w:noProof/>
                <w:sz w:val="20"/>
              </w:rPr>
              <w:t>0</w:t>
            </w:r>
          </w:p>
        </w:tc>
        <w:tc>
          <w:tcPr>
            <w:tcW w:w="1134" w:type="dxa"/>
            <w:vAlign w:val="center"/>
          </w:tcPr>
          <w:p>
            <w:pPr>
              <w:jc w:val="center"/>
              <w:rPr>
                <w:noProof/>
                <w:sz w:val="20"/>
              </w:rPr>
            </w:pPr>
            <w:r>
              <w:rPr>
                <w:noProof/>
                <w:sz w:val="20"/>
              </w:rPr>
              <w:t>0</w:t>
            </w:r>
          </w:p>
        </w:tc>
        <w:tc>
          <w:tcPr>
            <w:tcW w:w="1701" w:type="dxa"/>
            <w:vAlign w:val="center"/>
          </w:tcPr>
          <w:p>
            <w:pPr>
              <w:jc w:val="center"/>
              <w:rPr>
                <w:b/>
                <w:noProof/>
                <w:sz w:val="20"/>
              </w:rPr>
            </w:pPr>
            <w:r>
              <w:rPr>
                <w:b/>
                <w:noProof/>
                <w:sz w:val="20"/>
              </w:rPr>
              <w:t>KOKKU</w:t>
            </w:r>
          </w:p>
        </w:tc>
      </w:tr>
      <w:tr>
        <w:tc>
          <w:tcPr>
            <w:tcW w:w="5529" w:type="dxa"/>
            <w:vMerge w:val="restart"/>
            <w:shd w:val="thinDiagStripe" w:color="C0C0C0" w:fill="auto"/>
            <w:vAlign w:val="center"/>
          </w:tcPr>
          <w:p>
            <w:pPr>
              <w:jc w:val="center"/>
              <w:rPr>
                <w:b/>
                <w:noProof/>
                <w:sz w:val="22"/>
              </w:rPr>
            </w:pPr>
            <w:r>
              <w:rPr>
                <w:noProof/>
                <w:sz w:val="22"/>
              </w:rPr>
              <w:t>Mitmeaastase finantsraamistiku</w:t>
            </w:r>
            <w:r>
              <w:rPr>
                <w:noProof/>
                <w:sz w:val="22"/>
              </w:rPr>
              <w:br/>
            </w:r>
            <w:r>
              <w:rPr>
                <w:b/>
                <w:noProof/>
                <w:sz w:val="22"/>
              </w:rPr>
              <w:t>rubriigi 3 assigneeringud KOKKU</w:t>
            </w:r>
          </w:p>
        </w:tc>
        <w:tc>
          <w:tcPr>
            <w:tcW w:w="1417" w:type="dxa"/>
            <w:vAlign w:val="center"/>
          </w:tcPr>
          <w:p>
            <w:pPr>
              <w:rPr>
                <w:noProof/>
                <w:sz w:val="18"/>
              </w:rPr>
            </w:pPr>
            <w:r>
              <w:rPr>
                <w:noProof/>
                <w:sz w:val="18"/>
              </w:rPr>
              <w:t>Kulukohustused</w:t>
            </w:r>
          </w:p>
        </w:tc>
        <w:tc>
          <w:tcPr>
            <w:tcW w:w="851" w:type="dxa"/>
            <w:vAlign w:val="center"/>
          </w:tcPr>
          <w:p>
            <w:pPr>
              <w:jc w:val="center"/>
              <w:rPr>
                <w:noProof/>
                <w:sz w:val="14"/>
              </w:rPr>
            </w:pPr>
            <w:r>
              <w:rPr>
                <w:noProof/>
                <w:sz w:val="14"/>
              </w:rPr>
              <w:t>=4+ 6</w:t>
            </w:r>
          </w:p>
        </w:tc>
        <w:tc>
          <w:tcPr>
            <w:tcW w:w="1134" w:type="dxa"/>
            <w:vAlign w:val="bottom"/>
          </w:tcPr>
          <w:p>
            <w:pPr>
              <w:spacing w:before="20" w:after="20"/>
              <w:jc w:val="right"/>
              <w:rPr>
                <w:noProof/>
                <w:sz w:val="20"/>
              </w:rPr>
            </w:pPr>
            <w:r>
              <w:rPr>
                <w:noProof/>
                <w:sz w:val="20"/>
              </w:rPr>
              <w:t>19,157</w:t>
            </w:r>
          </w:p>
        </w:tc>
        <w:tc>
          <w:tcPr>
            <w:tcW w:w="1134" w:type="dxa"/>
            <w:vAlign w:val="bottom"/>
          </w:tcPr>
          <w:p>
            <w:pPr>
              <w:spacing w:before="20" w:after="20"/>
              <w:jc w:val="right"/>
              <w:rPr>
                <w:noProof/>
                <w:sz w:val="20"/>
              </w:rPr>
            </w:pPr>
            <w:r>
              <w:rPr>
                <w:noProof/>
                <w:sz w:val="20"/>
              </w:rPr>
              <w:t>115,200</w:t>
            </w:r>
          </w:p>
        </w:tc>
        <w:tc>
          <w:tcPr>
            <w:tcW w:w="1134" w:type="dxa"/>
            <w:vAlign w:val="bottom"/>
          </w:tcPr>
          <w:p>
            <w:pPr>
              <w:spacing w:before="20" w:after="20"/>
              <w:jc w:val="right"/>
              <w:rPr>
                <w:noProof/>
                <w:sz w:val="20"/>
              </w:rPr>
            </w:pPr>
            <w:r>
              <w:rPr>
                <w:noProof/>
                <w:sz w:val="20"/>
              </w:rPr>
              <w:t>122,497</w:t>
            </w:r>
          </w:p>
        </w:tc>
        <w:tc>
          <w:tcPr>
            <w:tcW w:w="1701" w:type="dxa"/>
            <w:vAlign w:val="bottom"/>
          </w:tcPr>
          <w:p>
            <w:pPr>
              <w:spacing w:before="20" w:after="20"/>
              <w:jc w:val="right"/>
              <w:rPr>
                <w:b/>
                <w:noProof/>
                <w:sz w:val="20"/>
              </w:rPr>
            </w:pPr>
            <w:r>
              <w:rPr>
                <w:b/>
                <w:noProof/>
                <w:sz w:val="20"/>
              </w:rPr>
              <w:t>256,854</w:t>
            </w:r>
          </w:p>
        </w:tc>
      </w:tr>
      <w:tr>
        <w:tc>
          <w:tcPr>
            <w:tcW w:w="5529" w:type="dxa"/>
            <w:vMerge/>
            <w:shd w:val="thinDiagStripe" w:color="C0C0C0" w:fill="auto"/>
          </w:tcPr>
          <w:p>
            <w:pPr>
              <w:rPr>
                <w:noProof/>
                <w:sz w:val="20"/>
              </w:rPr>
            </w:pPr>
          </w:p>
        </w:tc>
        <w:tc>
          <w:tcPr>
            <w:tcW w:w="1417" w:type="dxa"/>
            <w:vAlign w:val="center"/>
          </w:tcPr>
          <w:p>
            <w:pPr>
              <w:rPr>
                <w:noProof/>
                <w:sz w:val="18"/>
              </w:rPr>
            </w:pPr>
            <w:r>
              <w:rPr>
                <w:noProof/>
                <w:sz w:val="18"/>
              </w:rPr>
              <w:t>Maksed</w:t>
            </w:r>
          </w:p>
        </w:tc>
        <w:tc>
          <w:tcPr>
            <w:tcW w:w="851" w:type="dxa"/>
            <w:vAlign w:val="center"/>
          </w:tcPr>
          <w:p>
            <w:pPr>
              <w:jc w:val="center"/>
              <w:rPr>
                <w:noProof/>
                <w:sz w:val="14"/>
              </w:rPr>
            </w:pPr>
            <w:r>
              <w:rPr>
                <w:noProof/>
                <w:sz w:val="14"/>
              </w:rPr>
              <w:t>=5+ 6</w:t>
            </w:r>
          </w:p>
        </w:tc>
        <w:tc>
          <w:tcPr>
            <w:tcW w:w="1134" w:type="dxa"/>
            <w:vAlign w:val="bottom"/>
          </w:tcPr>
          <w:p>
            <w:pPr>
              <w:spacing w:before="20" w:after="20"/>
              <w:jc w:val="right"/>
              <w:rPr>
                <w:noProof/>
                <w:sz w:val="20"/>
              </w:rPr>
            </w:pPr>
            <w:r>
              <w:rPr>
                <w:noProof/>
                <w:sz w:val="20"/>
              </w:rPr>
              <w:t>11,000</w:t>
            </w:r>
          </w:p>
        </w:tc>
        <w:tc>
          <w:tcPr>
            <w:tcW w:w="1134" w:type="dxa"/>
            <w:vAlign w:val="bottom"/>
          </w:tcPr>
          <w:p>
            <w:pPr>
              <w:spacing w:before="20" w:after="20"/>
              <w:jc w:val="right"/>
              <w:rPr>
                <w:noProof/>
                <w:sz w:val="20"/>
              </w:rPr>
            </w:pPr>
            <w:r>
              <w:rPr>
                <w:noProof/>
                <w:sz w:val="20"/>
              </w:rPr>
              <w:t>56,560</w:t>
            </w:r>
          </w:p>
        </w:tc>
        <w:tc>
          <w:tcPr>
            <w:tcW w:w="1134" w:type="dxa"/>
            <w:vAlign w:val="bottom"/>
          </w:tcPr>
          <w:p>
            <w:pPr>
              <w:spacing w:before="20" w:after="20"/>
              <w:jc w:val="right"/>
              <w:rPr>
                <w:noProof/>
                <w:sz w:val="20"/>
              </w:rPr>
            </w:pPr>
            <w:r>
              <w:rPr>
                <w:noProof/>
                <w:sz w:val="20"/>
              </w:rPr>
              <w:t>115,395</w:t>
            </w:r>
          </w:p>
        </w:tc>
        <w:tc>
          <w:tcPr>
            <w:tcW w:w="1701" w:type="dxa"/>
            <w:vAlign w:val="bottom"/>
          </w:tcPr>
          <w:p>
            <w:pPr>
              <w:spacing w:before="20" w:after="20"/>
              <w:jc w:val="right"/>
              <w:rPr>
                <w:b/>
                <w:noProof/>
                <w:sz w:val="20"/>
              </w:rPr>
            </w:pPr>
            <w:r>
              <w:rPr>
                <w:b/>
                <w:noProof/>
                <w:sz w:val="20"/>
              </w:rPr>
              <w:t>182,955</w:t>
            </w:r>
          </w:p>
        </w:tc>
      </w:tr>
    </w:tbl>
    <w:p>
      <w:pPr>
        <w:rPr>
          <w:noProof/>
        </w:rPr>
      </w:pPr>
    </w:p>
    <w:p>
      <w:pPr>
        <w:rPr>
          <w:noProof/>
        </w:rPr>
      </w:pPr>
    </w:p>
    <w:p>
      <w:pPr>
        <w:jc w:val="right"/>
        <w:rPr>
          <w:noProof/>
          <w:sz w:val="20"/>
        </w:rPr>
      </w:pPr>
      <w:r>
        <w:rPr>
          <w:noProof/>
          <w:sz w:val="20"/>
        </w:rPr>
        <w:t>miljonites eurodes (kolm kohta pärast koma)</w:t>
      </w: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b/>
                <w:noProof/>
                <w:sz w:val="22"/>
              </w:rPr>
              <w:t>Mitmeaastase finantsraamistiku</w:t>
            </w:r>
            <w:r>
              <w:rPr>
                <w:noProof/>
                <w:sz w:val="22"/>
              </w:rPr>
              <w:br/>
            </w:r>
            <w:r>
              <w:rPr>
                <w:b/>
                <w:noProof/>
                <w:sz w:val="22"/>
              </w:rPr>
              <w:t xml:space="preserve">rubriik </w:t>
            </w:r>
          </w:p>
        </w:tc>
        <w:tc>
          <w:tcPr>
            <w:tcW w:w="1080" w:type="dxa"/>
            <w:vAlign w:val="center"/>
          </w:tcPr>
          <w:p>
            <w:pPr>
              <w:spacing w:before="60" w:after="60"/>
              <w:jc w:val="center"/>
              <w:rPr>
                <w:noProof/>
                <w:sz w:val="22"/>
              </w:rPr>
            </w:pPr>
            <w:r>
              <w:rPr>
                <w:noProof/>
                <w:sz w:val="22"/>
              </w:rPr>
              <w:t>Nr</w:t>
            </w:r>
          </w:p>
        </w:tc>
        <w:tc>
          <w:tcPr>
            <w:tcW w:w="7817" w:type="dxa"/>
            <w:vAlign w:val="center"/>
          </w:tcPr>
          <w:p>
            <w:pPr>
              <w:spacing w:before="60" w:after="60"/>
              <w:rPr>
                <w:noProof/>
                <w:sz w:val="22"/>
              </w:rPr>
            </w:pPr>
            <w:r>
              <w:rPr>
                <w:noProof/>
              </w:rPr>
              <w:t>Rubriik 4 – Globaalne Euroopa</w:t>
            </w:r>
          </w:p>
        </w:tc>
      </w:tr>
    </w:tbl>
    <w:p>
      <w:pPr>
        <w:rPr>
          <w:noProof/>
          <w:sz w:val="16"/>
        </w:rPr>
      </w:pPr>
    </w:p>
    <w:tbl>
      <w:tblPr>
        <w:tblW w:w="0" w:type="auto"/>
        <w:jc w:val="center"/>
        <w:tblInd w:w="-2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3"/>
        <w:gridCol w:w="1417"/>
        <w:gridCol w:w="851"/>
        <w:gridCol w:w="1134"/>
        <w:gridCol w:w="1134"/>
        <w:gridCol w:w="1134"/>
        <w:gridCol w:w="1777"/>
      </w:tblGrid>
      <w:tr>
        <w:trPr>
          <w:jc w:val="center"/>
        </w:trPr>
        <w:tc>
          <w:tcPr>
            <w:tcW w:w="5543" w:type="dxa"/>
            <w:vAlign w:val="center"/>
          </w:tcPr>
          <w:p>
            <w:pPr>
              <w:jc w:val="center"/>
              <w:rPr>
                <w:b/>
                <w:noProof/>
                <w:sz w:val="22"/>
              </w:rPr>
            </w:pPr>
            <w:r>
              <w:rPr>
                <w:b/>
                <w:noProof/>
                <w:sz w:val="22"/>
              </w:rPr>
              <w:t>Euroopa kodanikukaitse ja humanitaarabioperatsioonide peadirektoraat (ECHO)</w:t>
            </w:r>
          </w:p>
        </w:tc>
        <w:tc>
          <w:tcPr>
            <w:tcW w:w="1417" w:type="dxa"/>
          </w:tcPr>
          <w:p>
            <w:pPr>
              <w:rPr>
                <w:noProof/>
                <w:sz w:val="20"/>
              </w:rPr>
            </w:pPr>
          </w:p>
        </w:tc>
        <w:tc>
          <w:tcPr>
            <w:tcW w:w="851" w:type="dxa"/>
          </w:tcPr>
          <w:p>
            <w:pPr>
              <w:jc w:val="center"/>
              <w:rPr>
                <w:noProof/>
                <w:sz w:val="20"/>
              </w:rPr>
            </w:pPr>
          </w:p>
        </w:tc>
        <w:tc>
          <w:tcPr>
            <w:tcW w:w="1134" w:type="dxa"/>
            <w:vAlign w:val="center"/>
          </w:tcPr>
          <w:p>
            <w:pPr>
              <w:jc w:val="center"/>
              <w:rPr>
                <w:noProof/>
                <w:sz w:val="20"/>
              </w:rPr>
            </w:pPr>
            <w:r>
              <w:rPr>
                <w:noProof/>
                <w:sz w:val="20"/>
              </w:rPr>
              <w:t>2018</w:t>
            </w:r>
          </w:p>
        </w:tc>
        <w:tc>
          <w:tcPr>
            <w:tcW w:w="1134" w:type="dxa"/>
            <w:vAlign w:val="center"/>
          </w:tcPr>
          <w:p>
            <w:pPr>
              <w:jc w:val="center"/>
              <w:rPr>
                <w:noProof/>
                <w:sz w:val="20"/>
              </w:rPr>
            </w:pPr>
            <w:r>
              <w:rPr>
                <w:noProof/>
                <w:sz w:val="20"/>
              </w:rPr>
              <w:t>2019</w:t>
            </w:r>
          </w:p>
        </w:tc>
        <w:tc>
          <w:tcPr>
            <w:tcW w:w="1134" w:type="dxa"/>
            <w:vAlign w:val="center"/>
          </w:tcPr>
          <w:p>
            <w:pPr>
              <w:jc w:val="center"/>
              <w:rPr>
                <w:noProof/>
                <w:sz w:val="20"/>
              </w:rPr>
            </w:pPr>
            <w:r>
              <w:rPr>
                <w:noProof/>
                <w:sz w:val="20"/>
              </w:rPr>
              <w:t>2020</w:t>
            </w:r>
          </w:p>
        </w:tc>
        <w:tc>
          <w:tcPr>
            <w:tcW w:w="1777" w:type="dxa"/>
            <w:vAlign w:val="center"/>
          </w:tcPr>
          <w:p>
            <w:pPr>
              <w:jc w:val="center"/>
              <w:rPr>
                <w:b/>
                <w:noProof/>
                <w:sz w:val="20"/>
              </w:rPr>
            </w:pPr>
            <w:r>
              <w:rPr>
                <w:b/>
                <w:noProof/>
                <w:sz w:val="20"/>
              </w:rPr>
              <w:t>KOKKU</w:t>
            </w:r>
          </w:p>
        </w:tc>
      </w:tr>
      <w:tr>
        <w:trPr>
          <w:trHeight w:val="213"/>
          <w:jc w:val="center"/>
        </w:trPr>
        <w:tc>
          <w:tcPr>
            <w:tcW w:w="7811" w:type="dxa"/>
            <w:gridSpan w:val="3"/>
            <w:vAlign w:val="center"/>
          </w:tcPr>
          <w:p>
            <w:pPr>
              <w:spacing w:before="20" w:after="20"/>
              <w:rPr>
                <w:noProof/>
                <w:sz w:val="21"/>
              </w:rPr>
            </w:pPr>
            <w:r>
              <w:rPr>
                <w:noProof/>
                <w:sz w:val="21"/>
              </w:rPr>
              <w:sym w:font="Wingdings" w:char="F09F"/>
            </w:r>
            <w:r>
              <w:rPr>
                <w:noProof/>
                <w:sz w:val="21"/>
              </w:rPr>
              <w:t>Tegevusassigneeringud</w:t>
            </w:r>
          </w:p>
        </w:tc>
        <w:tc>
          <w:tcPr>
            <w:tcW w:w="1134" w:type="dxa"/>
            <w:vAlign w:val="center"/>
          </w:tcPr>
          <w:p>
            <w:pPr>
              <w:rPr>
                <w:noProof/>
                <w:sz w:val="20"/>
              </w:rPr>
            </w:pPr>
          </w:p>
        </w:tc>
        <w:tc>
          <w:tcPr>
            <w:tcW w:w="1134" w:type="dxa"/>
            <w:vAlign w:val="center"/>
          </w:tcPr>
          <w:p>
            <w:pPr>
              <w:rPr>
                <w:noProof/>
                <w:sz w:val="20"/>
              </w:rPr>
            </w:pPr>
          </w:p>
        </w:tc>
        <w:tc>
          <w:tcPr>
            <w:tcW w:w="1134" w:type="dxa"/>
            <w:vAlign w:val="center"/>
          </w:tcPr>
          <w:p>
            <w:pPr>
              <w:rPr>
                <w:noProof/>
                <w:sz w:val="20"/>
              </w:rPr>
            </w:pPr>
          </w:p>
        </w:tc>
        <w:tc>
          <w:tcPr>
            <w:tcW w:w="1777" w:type="dxa"/>
            <w:vAlign w:val="center"/>
          </w:tcPr>
          <w:p>
            <w:pPr>
              <w:rPr>
                <w:b/>
                <w:noProof/>
                <w:sz w:val="20"/>
              </w:rPr>
            </w:pPr>
          </w:p>
        </w:tc>
      </w:tr>
      <w:tr>
        <w:trPr>
          <w:trHeight w:val="277"/>
          <w:jc w:val="center"/>
        </w:trPr>
        <w:tc>
          <w:tcPr>
            <w:tcW w:w="5543" w:type="dxa"/>
            <w:vMerge w:val="restart"/>
            <w:vAlign w:val="center"/>
          </w:tcPr>
          <w:p>
            <w:pPr>
              <w:rPr>
                <w:noProof/>
                <w:sz w:val="22"/>
              </w:rPr>
            </w:pPr>
            <w:r>
              <w:rPr>
                <w:noProof/>
                <w:sz w:val="20"/>
              </w:rPr>
              <w:t>23 03 01 02</w:t>
            </w:r>
          </w:p>
        </w:tc>
        <w:tc>
          <w:tcPr>
            <w:tcW w:w="1417" w:type="dxa"/>
            <w:vAlign w:val="center"/>
          </w:tcPr>
          <w:p>
            <w:pPr>
              <w:spacing w:before="20" w:after="20"/>
              <w:rPr>
                <w:noProof/>
                <w:sz w:val="18"/>
              </w:rPr>
            </w:pPr>
            <w:r>
              <w:rPr>
                <w:noProof/>
                <w:sz w:val="18"/>
              </w:rPr>
              <w:t>Kulukohustused</w:t>
            </w:r>
          </w:p>
        </w:tc>
        <w:tc>
          <w:tcPr>
            <w:tcW w:w="851" w:type="dxa"/>
            <w:vAlign w:val="center"/>
          </w:tcPr>
          <w:p>
            <w:pPr>
              <w:spacing w:before="20" w:after="20"/>
              <w:jc w:val="center"/>
              <w:rPr>
                <w:noProof/>
                <w:sz w:val="14"/>
              </w:rPr>
            </w:pPr>
            <w:r>
              <w:rPr>
                <w:noProof/>
                <w:sz w:val="14"/>
              </w:rPr>
              <w:t>1)</w:t>
            </w:r>
          </w:p>
        </w:tc>
        <w:tc>
          <w:tcPr>
            <w:tcW w:w="1134" w:type="dxa"/>
            <w:vAlign w:val="center"/>
          </w:tcPr>
          <w:p>
            <w:pPr>
              <w:spacing w:before="20" w:after="20"/>
              <w:jc w:val="right"/>
              <w:rPr>
                <w:noProof/>
                <w:sz w:val="20"/>
              </w:rPr>
            </w:pPr>
            <w:r>
              <w:rPr>
                <w:noProof/>
                <w:sz w:val="20"/>
              </w:rPr>
              <w:t>-</w:t>
            </w:r>
          </w:p>
        </w:tc>
        <w:tc>
          <w:tcPr>
            <w:tcW w:w="1134" w:type="dxa"/>
            <w:vAlign w:val="center"/>
          </w:tcPr>
          <w:p>
            <w:pPr>
              <w:spacing w:before="20" w:after="20"/>
              <w:jc w:val="right"/>
              <w:rPr>
                <w:noProof/>
                <w:sz w:val="20"/>
              </w:rPr>
            </w:pPr>
            <w:r>
              <w:rPr>
                <w:noProof/>
                <w:sz w:val="20"/>
              </w:rPr>
              <w:t>-</w:t>
            </w:r>
          </w:p>
        </w:tc>
        <w:tc>
          <w:tcPr>
            <w:tcW w:w="1134" w:type="dxa"/>
            <w:vAlign w:val="center"/>
          </w:tcPr>
          <w:p>
            <w:pPr>
              <w:spacing w:before="20" w:after="20"/>
              <w:jc w:val="right"/>
              <w:rPr>
                <w:noProof/>
                <w:sz w:val="20"/>
              </w:rPr>
            </w:pPr>
            <w:r>
              <w:rPr>
                <w:noProof/>
                <w:sz w:val="20"/>
              </w:rPr>
              <w:t>-</w:t>
            </w:r>
          </w:p>
        </w:tc>
        <w:tc>
          <w:tcPr>
            <w:tcW w:w="1777" w:type="dxa"/>
            <w:vAlign w:val="center"/>
          </w:tcPr>
          <w:p>
            <w:pPr>
              <w:spacing w:before="20" w:after="20"/>
              <w:jc w:val="right"/>
              <w:rPr>
                <w:b/>
                <w:noProof/>
                <w:sz w:val="20"/>
              </w:rPr>
            </w:pPr>
            <w:r>
              <w:rPr>
                <w:b/>
                <w:noProof/>
                <w:sz w:val="20"/>
              </w:rPr>
              <w:t>-</w:t>
            </w:r>
          </w:p>
        </w:tc>
      </w:tr>
      <w:tr>
        <w:trPr>
          <w:jc w:val="center"/>
        </w:trPr>
        <w:tc>
          <w:tcPr>
            <w:tcW w:w="5543" w:type="dxa"/>
            <w:vMerge/>
          </w:tcPr>
          <w:p>
            <w:pPr>
              <w:jc w:val="center"/>
              <w:rPr>
                <w:noProof/>
                <w:sz w:val="20"/>
              </w:rPr>
            </w:pPr>
          </w:p>
        </w:tc>
        <w:tc>
          <w:tcPr>
            <w:tcW w:w="1417" w:type="dxa"/>
            <w:vAlign w:val="center"/>
          </w:tcPr>
          <w:p>
            <w:pPr>
              <w:spacing w:before="20" w:after="20"/>
              <w:rPr>
                <w:noProof/>
                <w:sz w:val="18"/>
              </w:rPr>
            </w:pPr>
            <w:r>
              <w:rPr>
                <w:noProof/>
                <w:sz w:val="18"/>
              </w:rPr>
              <w:t>Maksed</w:t>
            </w:r>
          </w:p>
        </w:tc>
        <w:tc>
          <w:tcPr>
            <w:tcW w:w="851" w:type="dxa"/>
            <w:vAlign w:val="center"/>
          </w:tcPr>
          <w:p>
            <w:pPr>
              <w:spacing w:before="20" w:after="20"/>
              <w:jc w:val="center"/>
              <w:rPr>
                <w:noProof/>
                <w:sz w:val="14"/>
              </w:rPr>
            </w:pPr>
            <w:r>
              <w:rPr>
                <w:noProof/>
                <w:sz w:val="14"/>
              </w:rPr>
              <w:t>2)</w:t>
            </w:r>
          </w:p>
        </w:tc>
        <w:tc>
          <w:tcPr>
            <w:tcW w:w="1134" w:type="dxa"/>
            <w:vAlign w:val="center"/>
          </w:tcPr>
          <w:p>
            <w:pPr>
              <w:spacing w:before="20" w:after="20"/>
              <w:jc w:val="right"/>
              <w:rPr>
                <w:noProof/>
                <w:sz w:val="20"/>
              </w:rPr>
            </w:pPr>
            <w:r>
              <w:rPr>
                <w:noProof/>
                <w:sz w:val="20"/>
              </w:rPr>
              <w:t>-</w:t>
            </w:r>
          </w:p>
        </w:tc>
        <w:tc>
          <w:tcPr>
            <w:tcW w:w="1134" w:type="dxa"/>
            <w:vAlign w:val="center"/>
          </w:tcPr>
          <w:p>
            <w:pPr>
              <w:spacing w:before="20" w:after="20"/>
              <w:jc w:val="right"/>
              <w:rPr>
                <w:noProof/>
                <w:sz w:val="20"/>
              </w:rPr>
            </w:pPr>
            <w:r>
              <w:rPr>
                <w:noProof/>
                <w:sz w:val="20"/>
              </w:rPr>
              <w:t>-</w:t>
            </w:r>
          </w:p>
        </w:tc>
        <w:tc>
          <w:tcPr>
            <w:tcW w:w="1134" w:type="dxa"/>
            <w:vAlign w:val="center"/>
          </w:tcPr>
          <w:p>
            <w:pPr>
              <w:spacing w:before="20" w:after="20"/>
              <w:jc w:val="right"/>
              <w:rPr>
                <w:noProof/>
                <w:sz w:val="20"/>
              </w:rPr>
            </w:pPr>
            <w:r>
              <w:rPr>
                <w:noProof/>
                <w:sz w:val="20"/>
              </w:rPr>
              <w:t>-</w:t>
            </w:r>
          </w:p>
        </w:tc>
        <w:tc>
          <w:tcPr>
            <w:tcW w:w="1777" w:type="dxa"/>
            <w:vAlign w:val="center"/>
          </w:tcPr>
          <w:p>
            <w:pPr>
              <w:spacing w:before="20" w:after="20"/>
              <w:jc w:val="right"/>
              <w:rPr>
                <w:b/>
                <w:noProof/>
                <w:sz w:val="20"/>
              </w:rPr>
            </w:pPr>
            <w:r>
              <w:rPr>
                <w:b/>
                <w:noProof/>
                <w:sz w:val="20"/>
              </w:rPr>
              <w:t>-</w:t>
            </w:r>
          </w:p>
        </w:tc>
      </w:tr>
      <w:tr>
        <w:trPr>
          <w:jc w:val="center"/>
        </w:trPr>
        <w:tc>
          <w:tcPr>
            <w:tcW w:w="5543" w:type="dxa"/>
            <w:vMerge w:val="restart"/>
            <w:vAlign w:val="center"/>
          </w:tcPr>
          <w:p>
            <w:pPr>
              <w:rPr>
                <w:noProof/>
                <w:sz w:val="22"/>
              </w:rPr>
            </w:pPr>
            <w:r>
              <w:rPr>
                <w:noProof/>
                <w:sz w:val="20"/>
              </w:rPr>
              <w:t>23 03 02 02</w:t>
            </w:r>
          </w:p>
        </w:tc>
        <w:tc>
          <w:tcPr>
            <w:tcW w:w="1417" w:type="dxa"/>
            <w:vAlign w:val="center"/>
          </w:tcPr>
          <w:p>
            <w:pPr>
              <w:spacing w:before="20" w:after="20"/>
              <w:rPr>
                <w:noProof/>
                <w:sz w:val="18"/>
              </w:rPr>
            </w:pPr>
            <w:r>
              <w:rPr>
                <w:noProof/>
                <w:sz w:val="18"/>
              </w:rPr>
              <w:t>Kulukohustused</w:t>
            </w:r>
          </w:p>
        </w:tc>
        <w:tc>
          <w:tcPr>
            <w:tcW w:w="851" w:type="dxa"/>
            <w:vAlign w:val="center"/>
          </w:tcPr>
          <w:p>
            <w:pPr>
              <w:spacing w:before="20" w:after="20"/>
              <w:jc w:val="center"/>
              <w:rPr>
                <w:noProof/>
                <w:sz w:val="14"/>
              </w:rPr>
            </w:pPr>
            <w:r>
              <w:rPr>
                <w:noProof/>
                <w:sz w:val="14"/>
              </w:rPr>
              <w:t>(1 a)</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2,284</w:t>
            </w:r>
          </w:p>
        </w:tc>
        <w:tc>
          <w:tcPr>
            <w:tcW w:w="1777" w:type="dxa"/>
            <w:vAlign w:val="center"/>
          </w:tcPr>
          <w:p>
            <w:pPr>
              <w:spacing w:before="20" w:after="20"/>
              <w:jc w:val="right"/>
              <w:rPr>
                <w:b/>
                <w:noProof/>
                <w:sz w:val="20"/>
              </w:rPr>
            </w:pPr>
            <w:r>
              <w:rPr>
                <w:b/>
                <w:noProof/>
                <w:sz w:val="20"/>
              </w:rPr>
              <w:t>6,284</w:t>
            </w:r>
          </w:p>
        </w:tc>
      </w:tr>
      <w:tr>
        <w:trPr>
          <w:jc w:val="center"/>
        </w:trPr>
        <w:tc>
          <w:tcPr>
            <w:tcW w:w="5543" w:type="dxa"/>
            <w:vMerge/>
          </w:tcPr>
          <w:p>
            <w:pPr>
              <w:jc w:val="center"/>
              <w:rPr>
                <w:noProof/>
                <w:sz w:val="20"/>
              </w:rPr>
            </w:pPr>
          </w:p>
        </w:tc>
        <w:tc>
          <w:tcPr>
            <w:tcW w:w="1417" w:type="dxa"/>
            <w:vAlign w:val="center"/>
          </w:tcPr>
          <w:p>
            <w:pPr>
              <w:spacing w:before="20" w:after="20"/>
              <w:rPr>
                <w:noProof/>
                <w:sz w:val="18"/>
              </w:rPr>
            </w:pPr>
            <w:r>
              <w:rPr>
                <w:noProof/>
                <w:sz w:val="18"/>
              </w:rPr>
              <w:t>Maksed</w:t>
            </w:r>
          </w:p>
        </w:tc>
        <w:tc>
          <w:tcPr>
            <w:tcW w:w="851" w:type="dxa"/>
            <w:vAlign w:val="center"/>
          </w:tcPr>
          <w:p>
            <w:pPr>
              <w:spacing w:before="20" w:after="20"/>
              <w:jc w:val="center"/>
              <w:rPr>
                <w:noProof/>
                <w:sz w:val="14"/>
              </w:rPr>
            </w:pPr>
            <w:r>
              <w:rPr>
                <w:noProof/>
                <w:sz w:val="14"/>
              </w:rPr>
              <w:t>(2 a)</w:t>
            </w:r>
          </w:p>
        </w:tc>
        <w:tc>
          <w:tcPr>
            <w:tcW w:w="1134" w:type="dxa"/>
            <w:vAlign w:val="bottom"/>
          </w:tcPr>
          <w:p>
            <w:pPr>
              <w:spacing w:before="20" w:after="20"/>
              <w:jc w:val="right"/>
              <w:rPr>
                <w:noProof/>
                <w:sz w:val="20"/>
              </w:rPr>
            </w:pPr>
            <w:r>
              <w:rPr>
                <w:noProof/>
                <w:sz w:val="20"/>
              </w:rPr>
              <w:t>0,8</w:t>
            </w:r>
          </w:p>
        </w:tc>
        <w:tc>
          <w:tcPr>
            <w:tcW w:w="1134" w:type="dxa"/>
            <w:vAlign w:val="bottom"/>
          </w:tcPr>
          <w:p>
            <w:pPr>
              <w:spacing w:before="20" w:after="20"/>
              <w:jc w:val="right"/>
              <w:rPr>
                <w:noProof/>
                <w:sz w:val="20"/>
              </w:rPr>
            </w:pPr>
            <w:r>
              <w:rPr>
                <w:noProof/>
                <w:sz w:val="20"/>
              </w:rPr>
              <w:t>1,8</w:t>
            </w:r>
          </w:p>
        </w:tc>
        <w:tc>
          <w:tcPr>
            <w:tcW w:w="1134" w:type="dxa"/>
            <w:vAlign w:val="bottom"/>
          </w:tcPr>
          <w:p>
            <w:pPr>
              <w:spacing w:before="20" w:after="20"/>
              <w:jc w:val="right"/>
              <w:rPr>
                <w:noProof/>
                <w:sz w:val="20"/>
              </w:rPr>
            </w:pPr>
            <w:r>
              <w:rPr>
                <w:noProof/>
                <w:sz w:val="20"/>
              </w:rPr>
              <w:t>2,014</w:t>
            </w:r>
          </w:p>
        </w:tc>
        <w:tc>
          <w:tcPr>
            <w:tcW w:w="1777" w:type="dxa"/>
            <w:vAlign w:val="center"/>
          </w:tcPr>
          <w:p>
            <w:pPr>
              <w:spacing w:before="20" w:after="20"/>
              <w:jc w:val="right"/>
              <w:rPr>
                <w:b/>
                <w:noProof/>
                <w:sz w:val="20"/>
              </w:rPr>
            </w:pPr>
            <w:r>
              <w:rPr>
                <w:b/>
                <w:noProof/>
                <w:sz w:val="20"/>
              </w:rPr>
              <w:t>4,614</w:t>
            </w:r>
          </w:p>
        </w:tc>
      </w:tr>
      <w:tr>
        <w:trPr>
          <w:trHeight w:val="231"/>
          <w:jc w:val="center"/>
        </w:trPr>
        <w:tc>
          <w:tcPr>
            <w:tcW w:w="7811" w:type="dxa"/>
            <w:gridSpan w:val="3"/>
            <w:vAlign w:val="center"/>
          </w:tcPr>
          <w:p>
            <w:pPr>
              <w:spacing w:before="20" w:after="20"/>
              <w:rPr>
                <w:noProof/>
                <w:sz w:val="22"/>
              </w:rPr>
            </w:pPr>
            <w:r>
              <w:rPr>
                <w:noProof/>
                <w:sz w:val="21"/>
              </w:rPr>
              <w:t>Eriprogrammide vahenditest rahastatavad haldusassigneeringud</w:t>
            </w:r>
            <w:r>
              <w:rPr>
                <w:rStyle w:val="FootnoteReference"/>
                <w:noProof/>
              </w:rPr>
              <w:footnoteReference w:id="24"/>
            </w:r>
            <w:r>
              <w:rPr>
                <w:noProof/>
                <w:sz w:val="21"/>
              </w:rPr>
              <w:t xml:space="preserve"> </w:t>
            </w:r>
          </w:p>
          <w:p>
            <w:pPr>
              <w:spacing w:before="0" w:after="0"/>
              <w:rPr>
                <w:noProof/>
                <w:sz w:val="22"/>
              </w:rPr>
            </w:pPr>
          </w:p>
        </w:tc>
        <w:tc>
          <w:tcPr>
            <w:tcW w:w="1134" w:type="dxa"/>
            <w:vAlign w:val="center"/>
          </w:tcPr>
          <w:p>
            <w:pPr>
              <w:rPr>
                <w:b/>
                <w:noProof/>
                <w:sz w:val="20"/>
              </w:rPr>
            </w:pPr>
          </w:p>
        </w:tc>
        <w:tc>
          <w:tcPr>
            <w:tcW w:w="1134" w:type="dxa"/>
            <w:vAlign w:val="center"/>
          </w:tcPr>
          <w:p>
            <w:pPr>
              <w:rPr>
                <w:b/>
                <w:noProof/>
                <w:sz w:val="20"/>
              </w:rPr>
            </w:pPr>
          </w:p>
        </w:tc>
        <w:tc>
          <w:tcPr>
            <w:tcW w:w="1134" w:type="dxa"/>
            <w:vAlign w:val="center"/>
          </w:tcPr>
          <w:p>
            <w:pPr>
              <w:rPr>
                <w:b/>
                <w:noProof/>
                <w:sz w:val="20"/>
              </w:rPr>
            </w:pPr>
          </w:p>
        </w:tc>
        <w:tc>
          <w:tcPr>
            <w:tcW w:w="1777" w:type="dxa"/>
            <w:vAlign w:val="center"/>
          </w:tcPr>
          <w:p>
            <w:pPr>
              <w:rPr>
                <w:b/>
                <w:noProof/>
                <w:sz w:val="20"/>
              </w:rPr>
            </w:pPr>
          </w:p>
        </w:tc>
      </w:tr>
      <w:tr>
        <w:trPr>
          <w:trHeight w:val="319"/>
          <w:jc w:val="center"/>
        </w:trPr>
        <w:tc>
          <w:tcPr>
            <w:tcW w:w="5543" w:type="dxa"/>
            <w:vAlign w:val="center"/>
          </w:tcPr>
          <w:p>
            <w:pPr>
              <w:spacing w:before="60" w:after="60"/>
              <w:rPr>
                <w:noProof/>
                <w:sz w:val="22"/>
              </w:rPr>
            </w:pPr>
            <w:r>
              <w:rPr>
                <w:noProof/>
                <w:sz w:val="20"/>
              </w:rPr>
              <w:t>Eelarverida nr</w:t>
            </w:r>
          </w:p>
        </w:tc>
        <w:tc>
          <w:tcPr>
            <w:tcW w:w="1417" w:type="dxa"/>
            <w:vAlign w:val="center"/>
          </w:tcPr>
          <w:p>
            <w:pPr>
              <w:spacing w:before="40" w:after="40"/>
              <w:jc w:val="right"/>
              <w:rPr>
                <w:noProof/>
                <w:sz w:val="18"/>
              </w:rPr>
            </w:pPr>
          </w:p>
        </w:tc>
        <w:tc>
          <w:tcPr>
            <w:tcW w:w="851" w:type="dxa"/>
            <w:vAlign w:val="center"/>
          </w:tcPr>
          <w:p>
            <w:pPr>
              <w:spacing w:before="40" w:after="40"/>
              <w:jc w:val="center"/>
              <w:rPr>
                <w:noProof/>
                <w:sz w:val="14"/>
              </w:rPr>
            </w:pPr>
            <w:r>
              <w:rPr>
                <w:noProof/>
                <w:sz w:val="14"/>
              </w:rPr>
              <w:t>3)</w:t>
            </w:r>
          </w:p>
        </w:tc>
        <w:tc>
          <w:tcPr>
            <w:tcW w:w="1134" w:type="dxa"/>
            <w:vAlign w:val="center"/>
          </w:tcPr>
          <w:p>
            <w:pPr>
              <w:jc w:val="center"/>
              <w:rPr>
                <w:noProof/>
                <w:sz w:val="20"/>
              </w:rPr>
            </w:pPr>
            <w:r>
              <w:rPr>
                <w:noProof/>
                <w:sz w:val="20"/>
              </w:rPr>
              <w:t>2018</w:t>
            </w:r>
          </w:p>
        </w:tc>
        <w:tc>
          <w:tcPr>
            <w:tcW w:w="1134" w:type="dxa"/>
            <w:vAlign w:val="center"/>
          </w:tcPr>
          <w:p>
            <w:pPr>
              <w:jc w:val="center"/>
              <w:rPr>
                <w:noProof/>
                <w:sz w:val="20"/>
              </w:rPr>
            </w:pPr>
            <w:r>
              <w:rPr>
                <w:noProof/>
                <w:sz w:val="20"/>
              </w:rPr>
              <w:t>2019</w:t>
            </w:r>
          </w:p>
        </w:tc>
        <w:tc>
          <w:tcPr>
            <w:tcW w:w="1134" w:type="dxa"/>
            <w:vAlign w:val="center"/>
          </w:tcPr>
          <w:p>
            <w:pPr>
              <w:jc w:val="center"/>
              <w:rPr>
                <w:noProof/>
                <w:sz w:val="20"/>
              </w:rPr>
            </w:pPr>
            <w:r>
              <w:rPr>
                <w:noProof/>
                <w:sz w:val="20"/>
              </w:rPr>
              <w:t>2020</w:t>
            </w:r>
          </w:p>
        </w:tc>
        <w:tc>
          <w:tcPr>
            <w:tcW w:w="1777" w:type="dxa"/>
            <w:vAlign w:val="center"/>
          </w:tcPr>
          <w:p>
            <w:pPr>
              <w:jc w:val="center"/>
              <w:rPr>
                <w:b/>
                <w:noProof/>
                <w:sz w:val="20"/>
              </w:rPr>
            </w:pPr>
            <w:r>
              <w:rPr>
                <w:b/>
                <w:noProof/>
                <w:sz w:val="20"/>
              </w:rPr>
              <w:t>KOKKU</w:t>
            </w:r>
          </w:p>
        </w:tc>
      </w:tr>
      <w:tr>
        <w:trPr>
          <w:jc w:val="center"/>
        </w:trPr>
        <w:tc>
          <w:tcPr>
            <w:tcW w:w="5543" w:type="dxa"/>
            <w:vMerge w:val="restart"/>
            <w:vAlign w:val="center"/>
          </w:tcPr>
          <w:p>
            <w:pPr>
              <w:jc w:val="center"/>
              <w:rPr>
                <w:b/>
                <w:noProof/>
                <w:sz w:val="22"/>
              </w:rPr>
            </w:pPr>
            <w:r>
              <w:rPr>
                <w:b/>
                <w:noProof/>
                <w:sz w:val="22"/>
              </w:rPr>
              <w:t>Humanitaarabi ja kodanikukaitse peadirektoraadi assigneeringud KOKKU</w:t>
            </w:r>
          </w:p>
        </w:tc>
        <w:tc>
          <w:tcPr>
            <w:tcW w:w="1417" w:type="dxa"/>
            <w:vAlign w:val="center"/>
          </w:tcPr>
          <w:p>
            <w:pPr>
              <w:rPr>
                <w:noProof/>
                <w:sz w:val="18"/>
              </w:rPr>
            </w:pPr>
            <w:r>
              <w:rPr>
                <w:noProof/>
                <w:sz w:val="18"/>
              </w:rPr>
              <w:t>Kulukohustused</w:t>
            </w:r>
          </w:p>
        </w:tc>
        <w:tc>
          <w:tcPr>
            <w:tcW w:w="851" w:type="dxa"/>
            <w:vAlign w:val="center"/>
          </w:tcPr>
          <w:p>
            <w:pPr>
              <w:jc w:val="center"/>
              <w:rPr>
                <w:noProof/>
                <w:sz w:val="14"/>
              </w:rPr>
            </w:pPr>
            <w:r>
              <w:rPr>
                <w:noProof/>
                <w:sz w:val="14"/>
              </w:rPr>
              <w:t>=1+1 a +3</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2,284</w:t>
            </w:r>
          </w:p>
        </w:tc>
        <w:tc>
          <w:tcPr>
            <w:tcW w:w="1777" w:type="dxa"/>
            <w:vAlign w:val="center"/>
          </w:tcPr>
          <w:p>
            <w:pPr>
              <w:spacing w:before="20" w:after="20"/>
              <w:jc w:val="right"/>
              <w:rPr>
                <w:b/>
                <w:noProof/>
                <w:sz w:val="20"/>
              </w:rPr>
            </w:pPr>
            <w:r>
              <w:rPr>
                <w:b/>
                <w:noProof/>
                <w:sz w:val="20"/>
              </w:rPr>
              <w:t>6,284</w:t>
            </w:r>
          </w:p>
        </w:tc>
      </w:tr>
      <w:tr>
        <w:trPr>
          <w:jc w:val="center"/>
        </w:trPr>
        <w:tc>
          <w:tcPr>
            <w:tcW w:w="5543" w:type="dxa"/>
            <w:vMerge/>
          </w:tcPr>
          <w:p>
            <w:pPr>
              <w:rPr>
                <w:noProof/>
                <w:sz w:val="20"/>
              </w:rPr>
            </w:pPr>
          </w:p>
        </w:tc>
        <w:tc>
          <w:tcPr>
            <w:tcW w:w="1417" w:type="dxa"/>
            <w:vAlign w:val="center"/>
          </w:tcPr>
          <w:p>
            <w:pPr>
              <w:rPr>
                <w:noProof/>
                <w:sz w:val="18"/>
              </w:rPr>
            </w:pPr>
            <w:r>
              <w:rPr>
                <w:noProof/>
                <w:sz w:val="18"/>
              </w:rPr>
              <w:t>Maksed</w:t>
            </w:r>
          </w:p>
        </w:tc>
        <w:tc>
          <w:tcPr>
            <w:tcW w:w="851" w:type="dxa"/>
            <w:vAlign w:val="center"/>
          </w:tcPr>
          <w:p>
            <w:pPr>
              <w:jc w:val="center"/>
              <w:rPr>
                <w:noProof/>
                <w:sz w:val="14"/>
              </w:rPr>
            </w:pPr>
            <w:r>
              <w:rPr>
                <w:noProof/>
                <w:sz w:val="14"/>
              </w:rPr>
              <w:t>=2+2a</w:t>
            </w:r>
          </w:p>
          <w:p>
            <w:pPr>
              <w:jc w:val="center"/>
              <w:rPr>
                <w:noProof/>
                <w:sz w:val="14"/>
              </w:rPr>
            </w:pPr>
            <w:r>
              <w:rPr>
                <w:noProof/>
                <w:sz w:val="14"/>
              </w:rPr>
              <w:t>+3</w:t>
            </w:r>
          </w:p>
        </w:tc>
        <w:tc>
          <w:tcPr>
            <w:tcW w:w="1134" w:type="dxa"/>
            <w:vAlign w:val="center"/>
          </w:tcPr>
          <w:p>
            <w:pPr>
              <w:spacing w:before="20" w:after="20"/>
              <w:jc w:val="right"/>
              <w:rPr>
                <w:noProof/>
                <w:sz w:val="20"/>
              </w:rPr>
            </w:pPr>
            <w:r>
              <w:rPr>
                <w:noProof/>
                <w:sz w:val="20"/>
              </w:rPr>
              <w:t>0,8</w:t>
            </w:r>
          </w:p>
        </w:tc>
        <w:tc>
          <w:tcPr>
            <w:tcW w:w="1134" w:type="dxa"/>
            <w:vAlign w:val="center"/>
          </w:tcPr>
          <w:p>
            <w:pPr>
              <w:spacing w:before="20" w:after="20"/>
              <w:jc w:val="right"/>
              <w:rPr>
                <w:noProof/>
                <w:sz w:val="20"/>
              </w:rPr>
            </w:pPr>
            <w:r>
              <w:rPr>
                <w:noProof/>
                <w:sz w:val="20"/>
              </w:rPr>
              <w:t>1,8</w:t>
            </w:r>
          </w:p>
        </w:tc>
        <w:tc>
          <w:tcPr>
            <w:tcW w:w="1134" w:type="dxa"/>
            <w:vAlign w:val="center"/>
          </w:tcPr>
          <w:p>
            <w:pPr>
              <w:spacing w:before="20" w:after="20"/>
              <w:jc w:val="right"/>
              <w:rPr>
                <w:noProof/>
                <w:sz w:val="20"/>
              </w:rPr>
            </w:pPr>
            <w:r>
              <w:rPr>
                <w:noProof/>
                <w:sz w:val="20"/>
              </w:rPr>
              <w:t>2,014</w:t>
            </w:r>
          </w:p>
        </w:tc>
        <w:tc>
          <w:tcPr>
            <w:tcW w:w="1777" w:type="dxa"/>
            <w:vAlign w:val="center"/>
          </w:tcPr>
          <w:p>
            <w:pPr>
              <w:spacing w:before="20" w:after="20"/>
              <w:jc w:val="right"/>
              <w:rPr>
                <w:b/>
                <w:noProof/>
                <w:sz w:val="20"/>
              </w:rPr>
            </w:pPr>
            <w:r>
              <w:rPr>
                <w:b/>
                <w:noProof/>
                <w:sz w:val="20"/>
              </w:rPr>
              <w:t>4,614</w:t>
            </w:r>
          </w:p>
        </w:tc>
      </w:tr>
    </w:tbl>
    <w:p>
      <w:pPr>
        <w:rPr>
          <w:noProof/>
        </w:rPr>
      </w:pPr>
      <w:r>
        <w:rPr>
          <w:noProof/>
        </w:rPr>
        <w:br/>
      </w:r>
      <w:r>
        <w:rPr>
          <w:noProof/>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1417"/>
        <w:gridCol w:w="851"/>
        <w:gridCol w:w="1134"/>
        <w:gridCol w:w="1134"/>
        <w:gridCol w:w="1134"/>
        <w:gridCol w:w="1701"/>
      </w:tblGrid>
      <w:tr>
        <w:trPr>
          <w:trHeight w:val="277"/>
        </w:trPr>
        <w:tc>
          <w:tcPr>
            <w:tcW w:w="5529" w:type="dxa"/>
            <w:vMerge w:val="restart"/>
            <w:vAlign w:val="center"/>
          </w:tcPr>
          <w:p>
            <w:pPr>
              <w:spacing w:before="20" w:after="20"/>
              <w:rPr>
                <w:noProof/>
                <w:sz w:val="22"/>
              </w:rPr>
            </w:pPr>
            <w:r>
              <w:rPr>
                <w:noProof/>
              </w:rPr>
              <w:br w:type="page"/>
            </w:r>
            <w:r>
              <w:rPr>
                <w:noProof/>
                <w:sz w:val="21"/>
              </w:rPr>
              <w:sym w:font="Wingdings" w:char="F09F"/>
            </w:r>
            <w:r>
              <w:rPr>
                <w:noProof/>
                <w:sz w:val="21"/>
              </w:rPr>
              <w:t>Tegevusassigneeringud KOKKU</w:t>
            </w:r>
          </w:p>
        </w:tc>
        <w:tc>
          <w:tcPr>
            <w:tcW w:w="1417" w:type="dxa"/>
            <w:vAlign w:val="center"/>
          </w:tcPr>
          <w:p>
            <w:pPr>
              <w:spacing w:beforeLines="20" w:before="48" w:afterLines="20" w:after="48"/>
              <w:rPr>
                <w:noProof/>
                <w:sz w:val="18"/>
              </w:rPr>
            </w:pPr>
            <w:r>
              <w:rPr>
                <w:noProof/>
                <w:sz w:val="18"/>
              </w:rPr>
              <w:t>Kulukohustused</w:t>
            </w:r>
          </w:p>
        </w:tc>
        <w:tc>
          <w:tcPr>
            <w:tcW w:w="851" w:type="dxa"/>
            <w:vAlign w:val="center"/>
          </w:tcPr>
          <w:p>
            <w:pPr>
              <w:spacing w:beforeLines="20" w:before="48" w:afterLines="20" w:after="48"/>
              <w:jc w:val="center"/>
              <w:rPr>
                <w:noProof/>
                <w:sz w:val="14"/>
              </w:rPr>
            </w:pPr>
            <w:r>
              <w:rPr>
                <w:noProof/>
                <w:sz w:val="14"/>
              </w:rPr>
              <w:t>4)</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2,284</w:t>
            </w:r>
          </w:p>
        </w:tc>
        <w:tc>
          <w:tcPr>
            <w:tcW w:w="1701" w:type="dxa"/>
            <w:vAlign w:val="center"/>
          </w:tcPr>
          <w:p>
            <w:pPr>
              <w:spacing w:before="20" w:after="20"/>
              <w:jc w:val="right"/>
              <w:rPr>
                <w:b/>
                <w:noProof/>
                <w:sz w:val="20"/>
              </w:rPr>
            </w:pPr>
            <w:r>
              <w:rPr>
                <w:b/>
                <w:noProof/>
                <w:sz w:val="20"/>
              </w:rPr>
              <w:t>6,284</w:t>
            </w:r>
          </w:p>
        </w:tc>
      </w:tr>
      <w:tr>
        <w:tc>
          <w:tcPr>
            <w:tcW w:w="5529" w:type="dxa"/>
            <w:vMerge/>
          </w:tcPr>
          <w:p>
            <w:pPr>
              <w:jc w:val="center"/>
              <w:rPr>
                <w:noProof/>
                <w:sz w:val="20"/>
              </w:rPr>
            </w:pPr>
          </w:p>
        </w:tc>
        <w:tc>
          <w:tcPr>
            <w:tcW w:w="1417" w:type="dxa"/>
            <w:vAlign w:val="center"/>
          </w:tcPr>
          <w:p>
            <w:pPr>
              <w:spacing w:beforeLines="20" w:before="48" w:afterLines="20" w:after="48"/>
              <w:rPr>
                <w:noProof/>
                <w:sz w:val="18"/>
              </w:rPr>
            </w:pPr>
            <w:r>
              <w:rPr>
                <w:noProof/>
                <w:sz w:val="18"/>
              </w:rPr>
              <w:t>Maksed</w:t>
            </w:r>
          </w:p>
        </w:tc>
        <w:tc>
          <w:tcPr>
            <w:tcW w:w="851" w:type="dxa"/>
            <w:vAlign w:val="center"/>
          </w:tcPr>
          <w:p>
            <w:pPr>
              <w:spacing w:beforeLines="20" w:before="48" w:afterLines="20" w:after="48"/>
              <w:jc w:val="center"/>
              <w:rPr>
                <w:noProof/>
                <w:sz w:val="14"/>
              </w:rPr>
            </w:pPr>
            <w:r>
              <w:rPr>
                <w:noProof/>
                <w:sz w:val="14"/>
              </w:rPr>
              <w:t>5)</w:t>
            </w:r>
          </w:p>
        </w:tc>
        <w:tc>
          <w:tcPr>
            <w:tcW w:w="1134" w:type="dxa"/>
            <w:vAlign w:val="center"/>
          </w:tcPr>
          <w:p>
            <w:pPr>
              <w:spacing w:before="20" w:after="20"/>
              <w:jc w:val="right"/>
              <w:rPr>
                <w:noProof/>
                <w:sz w:val="20"/>
              </w:rPr>
            </w:pPr>
            <w:r>
              <w:rPr>
                <w:noProof/>
                <w:sz w:val="20"/>
              </w:rPr>
              <w:t>0,8</w:t>
            </w:r>
          </w:p>
        </w:tc>
        <w:tc>
          <w:tcPr>
            <w:tcW w:w="1134" w:type="dxa"/>
            <w:vAlign w:val="center"/>
          </w:tcPr>
          <w:p>
            <w:pPr>
              <w:spacing w:before="20" w:after="20"/>
              <w:jc w:val="right"/>
              <w:rPr>
                <w:noProof/>
                <w:sz w:val="20"/>
              </w:rPr>
            </w:pPr>
            <w:r>
              <w:rPr>
                <w:noProof/>
                <w:sz w:val="20"/>
              </w:rPr>
              <w:t>1,8</w:t>
            </w:r>
          </w:p>
        </w:tc>
        <w:tc>
          <w:tcPr>
            <w:tcW w:w="1134" w:type="dxa"/>
            <w:vAlign w:val="center"/>
          </w:tcPr>
          <w:p>
            <w:pPr>
              <w:spacing w:before="20" w:after="20"/>
              <w:jc w:val="right"/>
              <w:rPr>
                <w:noProof/>
                <w:sz w:val="20"/>
              </w:rPr>
            </w:pPr>
            <w:r>
              <w:rPr>
                <w:noProof/>
                <w:sz w:val="20"/>
              </w:rPr>
              <w:t>2,014</w:t>
            </w:r>
          </w:p>
        </w:tc>
        <w:tc>
          <w:tcPr>
            <w:tcW w:w="1701" w:type="dxa"/>
            <w:vAlign w:val="center"/>
          </w:tcPr>
          <w:p>
            <w:pPr>
              <w:spacing w:before="20" w:after="20"/>
              <w:jc w:val="right"/>
              <w:rPr>
                <w:b/>
                <w:noProof/>
                <w:sz w:val="20"/>
              </w:rPr>
            </w:pPr>
            <w:r>
              <w:rPr>
                <w:b/>
                <w:noProof/>
                <w:sz w:val="20"/>
              </w:rPr>
              <w:t>4,614</w:t>
            </w:r>
          </w:p>
        </w:tc>
      </w:tr>
      <w:tr>
        <w:trPr>
          <w:trHeight w:val="533"/>
        </w:trPr>
        <w:tc>
          <w:tcPr>
            <w:tcW w:w="6946" w:type="dxa"/>
            <w:gridSpan w:val="2"/>
            <w:vAlign w:val="center"/>
          </w:tcPr>
          <w:p>
            <w:pPr>
              <w:spacing w:beforeLines="20" w:before="48" w:afterLines="20" w:after="48"/>
              <w:rPr>
                <w:noProof/>
                <w:sz w:val="22"/>
              </w:rPr>
            </w:pPr>
            <w:r>
              <w:rPr>
                <w:noProof/>
                <w:sz w:val="21"/>
              </w:rPr>
              <w:sym w:font="Wingdings" w:char="F09F"/>
            </w:r>
            <w:r>
              <w:rPr>
                <w:noProof/>
                <w:sz w:val="21"/>
              </w:rPr>
              <w:t>Eriprogrammide vahenditest rahastatavad haldusassigneeringud KOKKU</w:t>
            </w:r>
          </w:p>
        </w:tc>
        <w:tc>
          <w:tcPr>
            <w:tcW w:w="851" w:type="dxa"/>
            <w:vAlign w:val="center"/>
          </w:tcPr>
          <w:p>
            <w:pPr>
              <w:spacing w:beforeLines="20" w:before="48" w:afterLines="20" w:after="48"/>
              <w:jc w:val="center"/>
              <w:rPr>
                <w:noProof/>
                <w:sz w:val="14"/>
              </w:rPr>
            </w:pPr>
            <w:r>
              <w:rPr>
                <w:noProof/>
                <w:sz w:val="14"/>
              </w:rPr>
              <w:t>6)</w:t>
            </w:r>
          </w:p>
        </w:tc>
        <w:tc>
          <w:tcPr>
            <w:tcW w:w="1134" w:type="dxa"/>
            <w:vAlign w:val="center"/>
          </w:tcPr>
          <w:p>
            <w:pPr>
              <w:jc w:val="center"/>
              <w:rPr>
                <w:noProof/>
                <w:sz w:val="20"/>
              </w:rPr>
            </w:pPr>
            <w:r>
              <w:rPr>
                <w:noProof/>
                <w:sz w:val="20"/>
              </w:rPr>
              <w:t>0</w:t>
            </w:r>
          </w:p>
        </w:tc>
        <w:tc>
          <w:tcPr>
            <w:tcW w:w="1134" w:type="dxa"/>
            <w:vAlign w:val="center"/>
          </w:tcPr>
          <w:p>
            <w:pPr>
              <w:jc w:val="center"/>
              <w:rPr>
                <w:noProof/>
                <w:sz w:val="20"/>
              </w:rPr>
            </w:pPr>
            <w:r>
              <w:rPr>
                <w:noProof/>
                <w:sz w:val="20"/>
              </w:rPr>
              <w:t>0</w:t>
            </w:r>
          </w:p>
        </w:tc>
        <w:tc>
          <w:tcPr>
            <w:tcW w:w="1134" w:type="dxa"/>
            <w:vAlign w:val="center"/>
          </w:tcPr>
          <w:p>
            <w:pPr>
              <w:jc w:val="center"/>
              <w:rPr>
                <w:noProof/>
                <w:sz w:val="20"/>
              </w:rPr>
            </w:pPr>
            <w:r>
              <w:rPr>
                <w:noProof/>
                <w:sz w:val="20"/>
              </w:rPr>
              <w:t>0</w:t>
            </w:r>
          </w:p>
        </w:tc>
        <w:tc>
          <w:tcPr>
            <w:tcW w:w="1701" w:type="dxa"/>
            <w:vAlign w:val="center"/>
          </w:tcPr>
          <w:p>
            <w:pPr>
              <w:jc w:val="center"/>
              <w:rPr>
                <w:b/>
                <w:noProof/>
                <w:sz w:val="20"/>
              </w:rPr>
            </w:pPr>
            <w:r>
              <w:rPr>
                <w:b/>
                <w:noProof/>
                <w:sz w:val="20"/>
              </w:rPr>
              <w:t>KOKKU</w:t>
            </w:r>
          </w:p>
        </w:tc>
      </w:tr>
      <w:tr>
        <w:tc>
          <w:tcPr>
            <w:tcW w:w="5529" w:type="dxa"/>
            <w:vMerge w:val="restart"/>
            <w:shd w:val="thinDiagStripe" w:color="C0C0C0" w:fill="auto"/>
            <w:vAlign w:val="center"/>
          </w:tcPr>
          <w:p>
            <w:pPr>
              <w:jc w:val="center"/>
              <w:rPr>
                <w:b/>
                <w:noProof/>
                <w:sz w:val="22"/>
              </w:rPr>
            </w:pPr>
            <w:r>
              <w:rPr>
                <w:noProof/>
                <w:sz w:val="22"/>
              </w:rPr>
              <w:t xml:space="preserve">Mitmeaastase finantsraamistiku </w:t>
            </w:r>
            <w:r>
              <w:rPr>
                <w:b/>
                <w:noProof/>
                <w:sz w:val="22"/>
              </w:rPr>
              <w:t>rubriigi 4</w:t>
            </w:r>
            <w:r>
              <w:rPr>
                <w:noProof/>
              </w:rPr>
              <w:t xml:space="preserve"> </w:t>
            </w:r>
            <w:r>
              <w:rPr>
                <w:b/>
                <w:noProof/>
                <w:sz w:val="22"/>
              </w:rPr>
              <w:t>assigneeringud kokku</w:t>
            </w:r>
          </w:p>
        </w:tc>
        <w:tc>
          <w:tcPr>
            <w:tcW w:w="1417" w:type="dxa"/>
            <w:vAlign w:val="center"/>
          </w:tcPr>
          <w:p>
            <w:pPr>
              <w:rPr>
                <w:noProof/>
                <w:sz w:val="18"/>
              </w:rPr>
            </w:pPr>
            <w:r>
              <w:rPr>
                <w:noProof/>
                <w:sz w:val="18"/>
              </w:rPr>
              <w:t>Kulukohustused</w:t>
            </w:r>
          </w:p>
        </w:tc>
        <w:tc>
          <w:tcPr>
            <w:tcW w:w="851" w:type="dxa"/>
            <w:vAlign w:val="center"/>
          </w:tcPr>
          <w:p>
            <w:pPr>
              <w:jc w:val="center"/>
              <w:rPr>
                <w:noProof/>
                <w:sz w:val="14"/>
              </w:rPr>
            </w:pPr>
            <w:r>
              <w:rPr>
                <w:noProof/>
                <w:sz w:val="14"/>
              </w:rPr>
              <w:t>=4+ 6</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w:t>
            </w:r>
          </w:p>
        </w:tc>
        <w:tc>
          <w:tcPr>
            <w:tcW w:w="1134" w:type="dxa"/>
            <w:vAlign w:val="center"/>
          </w:tcPr>
          <w:p>
            <w:pPr>
              <w:spacing w:before="20" w:after="20"/>
              <w:jc w:val="right"/>
              <w:rPr>
                <w:noProof/>
                <w:sz w:val="20"/>
              </w:rPr>
            </w:pPr>
            <w:r>
              <w:rPr>
                <w:noProof/>
                <w:sz w:val="20"/>
              </w:rPr>
              <w:t>2,284</w:t>
            </w:r>
          </w:p>
        </w:tc>
        <w:tc>
          <w:tcPr>
            <w:tcW w:w="1701" w:type="dxa"/>
            <w:vAlign w:val="center"/>
          </w:tcPr>
          <w:p>
            <w:pPr>
              <w:spacing w:before="20" w:after="20"/>
              <w:jc w:val="right"/>
              <w:rPr>
                <w:b/>
                <w:noProof/>
                <w:sz w:val="20"/>
              </w:rPr>
            </w:pPr>
            <w:r>
              <w:rPr>
                <w:b/>
                <w:noProof/>
                <w:sz w:val="20"/>
              </w:rPr>
              <w:t>6,284</w:t>
            </w:r>
          </w:p>
        </w:tc>
      </w:tr>
      <w:tr>
        <w:tc>
          <w:tcPr>
            <w:tcW w:w="5529" w:type="dxa"/>
            <w:vMerge/>
            <w:shd w:val="thinDiagStripe" w:color="C0C0C0" w:fill="auto"/>
          </w:tcPr>
          <w:p>
            <w:pPr>
              <w:rPr>
                <w:noProof/>
                <w:sz w:val="20"/>
              </w:rPr>
            </w:pPr>
          </w:p>
        </w:tc>
        <w:tc>
          <w:tcPr>
            <w:tcW w:w="1417" w:type="dxa"/>
            <w:vAlign w:val="center"/>
          </w:tcPr>
          <w:p>
            <w:pPr>
              <w:rPr>
                <w:noProof/>
                <w:sz w:val="18"/>
              </w:rPr>
            </w:pPr>
            <w:r>
              <w:rPr>
                <w:noProof/>
                <w:sz w:val="18"/>
              </w:rPr>
              <w:t>Maksed</w:t>
            </w:r>
          </w:p>
        </w:tc>
        <w:tc>
          <w:tcPr>
            <w:tcW w:w="851" w:type="dxa"/>
            <w:vAlign w:val="center"/>
          </w:tcPr>
          <w:p>
            <w:pPr>
              <w:jc w:val="center"/>
              <w:rPr>
                <w:noProof/>
                <w:sz w:val="14"/>
              </w:rPr>
            </w:pPr>
            <w:r>
              <w:rPr>
                <w:noProof/>
                <w:sz w:val="14"/>
              </w:rPr>
              <w:t>=5+ 6</w:t>
            </w:r>
          </w:p>
        </w:tc>
        <w:tc>
          <w:tcPr>
            <w:tcW w:w="1134" w:type="dxa"/>
            <w:vAlign w:val="center"/>
          </w:tcPr>
          <w:p>
            <w:pPr>
              <w:spacing w:before="20" w:after="20"/>
              <w:jc w:val="right"/>
              <w:rPr>
                <w:noProof/>
                <w:sz w:val="20"/>
              </w:rPr>
            </w:pPr>
            <w:r>
              <w:rPr>
                <w:noProof/>
                <w:sz w:val="20"/>
              </w:rPr>
              <w:t>0,8</w:t>
            </w:r>
          </w:p>
        </w:tc>
        <w:tc>
          <w:tcPr>
            <w:tcW w:w="1134" w:type="dxa"/>
            <w:vAlign w:val="center"/>
          </w:tcPr>
          <w:p>
            <w:pPr>
              <w:spacing w:before="20" w:after="20"/>
              <w:jc w:val="right"/>
              <w:rPr>
                <w:noProof/>
                <w:sz w:val="20"/>
              </w:rPr>
            </w:pPr>
            <w:r>
              <w:rPr>
                <w:noProof/>
                <w:sz w:val="20"/>
              </w:rPr>
              <w:t>1,8</w:t>
            </w:r>
          </w:p>
        </w:tc>
        <w:tc>
          <w:tcPr>
            <w:tcW w:w="1134" w:type="dxa"/>
            <w:vAlign w:val="center"/>
          </w:tcPr>
          <w:p>
            <w:pPr>
              <w:spacing w:before="20" w:after="20"/>
              <w:jc w:val="right"/>
              <w:rPr>
                <w:noProof/>
                <w:sz w:val="20"/>
              </w:rPr>
            </w:pPr>
            <w:r>
              <w:rPr>
                <w:noProof/>
                <w:sz w:val="20"/>
              </w:rPr>
              <w:t>2,014</w:t>
            </w:r>
          </w:p>
        </w:tc>
        <w:tc>
          <w:tcPr>
            <w:tcW w:w="1701" w:type="dxa"/>
            <w:vAlign w:val="center"/>
          </w:tcPr>
          <w:p>
            <w:pPr>
              <w:spacing w:before="20" w:after="20"/>
              <w:jc w:val="right"/>
              <w:rPr>
                <w:b/>
                <w:noProof/>
                <w:sz w:val="20"/>
              </w:rPr>
            </w:pPr>
            <w:r>
              <w:rPr>
                <w:b/>
                <w:noProof/>
                <w:sz w:val="20"/>
              </w:rPr>
              <w:t>4,614</w:t>
            </w:r>
          </w:p>
        </w:tc>
      </w:tr>
    </w:tbl>
    <w:p>
      <w:pPr>
        <w:rPr>
          <w:noProof/>
        </w:rPr>
      </w:pPr>
    </w:p>
    <w:p>
      <w:pPr>
        <w:rPr>
          <w:noProof/>
        </w:rPr>
      </w:pPr>
    </w:p>
    <w:p>
      <w:pPr>
        <w:rPr>
          <w:noProof/>
        </w:rPr>
      </w:pPr>
    </w:p>
    <w:p>
      <w:pPr>
        <w:rPr>
          <w:noProof/>
        </w:rPr>
      </w:pPr>
    </w:p>
    <w:p>
      <w:pPr>
        <w:rPr>
          <w:noProof/>
        </w:rPr>
      </w:pPr>
    </w:p>
    <w:p>
      <w:pPr>
        <w:rPr>
          <w:noProof/>
        </w:rPr>
      </w:pPr>
    </w:p>
    <w:p>
      <w:pPr>
        <w:rPr>
          <w:noProof/>
        </w:rPr>
      </w:pPr>
    </w:p>
    <w:p>
      <w:pPr>
        <w:rPr>
          <w:noProof/>
        </w:rPr>
      </w:pP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noProof/>
              </w:rPr>
              <w:br w:type="page"/>
            </w:r>
            <w:r>
              <w:rPr>
                <w:b/>
                <w:noProof/>
                <w:sz w:val="22"/>
              </w:rPr>
              <w:t>Mitmeaastase finantsraamistiku</w:t>
            </w:r>
            <w:r>
              <w:rPr>
                <w:noProof/>
                <w:sz w:val="22"/>
              </w:rPr>
              <w:br/>
            </w:r>
            <w:r>
              <w:rPr>
                <w:b/>
                <w:noProof/>
                <w:sz w:val="22"/>
              </w:rPr>
              <w:t xml:space="preserve">rubriik </w:t>
            </w:r>
          </w:p>
        </w:tc>
        <w:tc>
          <w:tcPr>
            <w:tcW w:w="1080" w:type="dxa"/>
            <w:shd w:val="thinDiagStripe" w:color="C0C0C0" w:fill="auto"/>
            <w:vAlign w:val="center"/>
          </w:tcPr>
          <w:p>
            <w:pPr>
              <w:spacing w:before="60" w:after="60"/>
              <w:jc w:val="center"/>
              <w:rPr>
                <w:noProof/>
                <w:sz w:val="22"/>
              </w:rPr>
            </w:pPr>
            <w:r>
              <w:rPr>
                <w:b/>
                <w:noProof/>
                <w:sz w:val="22"/>
              </w:rPr>
              <w:t>5</w:t>
            </w:r>
          </w:p>
        </w:tc>
        <w:tc>
          <w:tcPr>
            <w:tcW w:w="7817" w:type="dxa"/>
            <w:vAlign w:val="center"/>
          </w:tcPr>
          <w:p>
            <w:pPr>
              <w:spacing w:before="60" w:after="60"/>
              <w:rPr>
                <w:noProof/>
                <w:sz w:val="22"/>
              </w:rPr>
            </w:pPr>
            <w:r>
              <w:rPr>
                <w:noProof/>
                <w:sz w:val="22"/>
              </w:rPr>
              <w:t>„Halduskulud“</w:t>
            </w:r>
          </w:p>
        </w:tc>
      </w:tr>
    </w:tbl>
    <w:p>
      <w:pPr>
        <w:jc w:val="right"/>
        <w:rPr>
          <w:noProof/>
          <w:sz w:val="20"/>
        </w:rPr>
      </w:pPr>
      <w:r>
        <w:rPr>
          <w:noProof/>
          <w:sz w:val="20"/>
        </w:rPr>
        <w:t>miljonites eurodes (kolm kohta pärast koma)</w:t>
      </w:r>
    </w:p>
    <w:tbl>
      <w:tblPr>
        <w:tblW w:w="141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496"/>
        <w:gridCol w:w="236"/>
        <w:gridCol w:w="2032"/>
        <w:gridCol w:w="1134"/>
        <w:gridCol w:w="1134"/>
        <w:gridCol w:w="1134"/>
        <w:gridCol w:w="1984"/>
      </w:tblGrid>
      <w:tr>
        <w:tc>
          <w:tcPr>
            <w:tcW w:w="6456" w:type="dxa"/>
            <w:gridSpan w:val="2"/>
            <w:tcBorders>
              <w:top w:val="nil"/>
              <w:left w:val="nil"/>
              <w:right w:val="nil"/>
            </w:tcBorders>
            <w:vAlign w:val="center"/>
          </w:tcPr>
          <w:p>
            <w:pPr>
              <w:jc w:val="center"/>
              <w:rPr>
                <w:noProof/>
                <w:sz w:val="22"/>
              </w:rPr>
            </w:pPr>
          </w:p>
        </w:tc>
        <w:tc>
          <w:tcPr>
            <w:tcW w:w="236" w:type="dxa"/>
            <w:tcBorders>
              <w:top w:val="nil"/>
              <w:left w:val="nil"/>
              <w:right w:val="nil"/>
            </w:tcBorders>
          </w:tcPr>
          <w:p>
            <w:pPr>
              <w:rPr>
                <w:noProof/>
                <w:sz w:val="20"/>
              </w:rPr>
            </w:pPr>
          </w:p>
        </w:tc>
        <w:tc>
          <w:tcPr>
            <w:tcW w:w="2032" w:type="dxa"/>
            <w:tcBorders>
              <w:top w:val="nil"/>
              <w:left w:val="nil"/>
            </w:tcBorders>
          </w:tcPr>
          <w:p>
            <w:pPr>
              <w:jc w:val="center"/>
              <w:rPr>
                <w:noProof/>
                <w:sz w:val="20"/>
              </w:rPr>
            </w:pPr>
          </w:p>
        </w:tc>
        <w:tc>
          <w:tcPr>
            <w:tcW w:w="1134" w:type="dxa"/>
            <w:vAlign w:val="center"/>
          </w:tcPr>
          <w:p>
            <w:pPr>
              <w:jc w:val="center"/>
              <w:rPr>
                <w:noProof/>
                <w:sz w:val="20"/>
              </w:rPr>
            </w:pPr>
            <w:r>
              <w:rPr>
                <w:noProof/>
                <w:sz w:val="20"/>
              </w:rPr>
              <w:t>2018</w:t>
            </w:r>
          </w:p>
        </w:tc>
        <w:tc>
          <w:tcPr>
            <w:tcW w:w="1134" w:type="dxa"/>
            <w:vAlign w:val="center"/>
          </w:tcPr>
          <w:p>
            <w:pPr>
              <w:jc w:val="center"/>
              <w:rPr>
                <w:noProof/>
                <w:sz w:val="20"/>
              </w:rPr>
            </w:pPr>
            <w:r>
              <w:rPr>
                <w:noProof/>
                <w:sz w:val="20"/>
              </w:rPr>
              <w:t>2019</w:t>
            </w:r>
          </w:p>
        </w:tc>
        <w:tc>
          <w:tcPr>
            <w:tcW w:w="1134" w:type="dxa"/>
            <w:vAlign w:val="center"/>
          </w:tcPr>
          <w:p>
            <w:pPr>
              <w:jc w:val="center"/>
              <w:rPr>
                <w:noProof/>
                <w:sz w:val="20"/>
              </w:rPr>
            </w:pPr>
            <w:r>
              <w:rPr>
                <w:noProof/>
                <w:sz w:val="20"/>
              </w:rPr>
              <w:t>2020</w:t>
            </w:r>
          </w:p>
        </w:tc>
        <w:tc>
          <w:tcPr>
            <w:tcW w:w="1984" w:type="dxa"/>
            <w:vAlign w:val="center"/>
          </w:tcPr>
          <w:p>
            <w:pPr>
              <w:jc w:val="center"/>
              <w:rPr>
                <w:b/>
                <w:noProof/>
                <w:sz w:val="20"/>
              </w:rPr>
            </w:pPr>
            <w:r>
              <w:rPr>
                <w:b/>
                <w:noProof/>
                <w:sz w:val="20"/>
              </w:rPr>
              <w:t>KOKKU</w:t>
            </w:r>
          </w:p>
        </w:tc>
      </w:tr>
      <w:tr>
        <w:trPr>
          <w:gridAfter w:val="6"/>
          <w:wAfter w:w="7654" w:type="dxa"/>
        </w:trPr>
        <w:tc>
          <w:tcPr>
            <w:tcW w:w="6456" w:type="dxa"/>
            <w:gridSpan w:val="2"/>
            <w:vAlign w:val="center"/>
          </w:tcPr>
          <w:p>
            <w:pPr>
              <w:spacing w:before="60" w:after="60"/>
              <w:jc w:val="center"/>
              <w:rPr>
                <w:noProof/>
                <w:sz w:val="22"/>
              </w:rPr>
            </w:pPr>
            <w:r>
              <w:rPr>
                <w:b/>
                <w:noProof/>
                <w:sz w:val="22"/>
              </w:rPr>
              <w:t>Euroopa kodanikukaitse ja humanitaarabioperatsioonide peadirektoraat (ECHO)</w:t>
            </w:r>
          </w:p>
        </w:tc>
      </w:tr>
      <w:tr>
        <w:trPr>
          <w:trHeight w:val="313"/>
        </w:trPr>
        <w:tc>
          <w:tcPr>
            <w:tcW w:w="8724" w:type="dxa"/>
            <w:gridSpan w:val="4"/>
            <w:vAlign w:val="center"/>
          </w:tcPr>
          <w:p>
            <w:pPr>
              <w:spacing w:before="20" w:after="20"/>
              <w:rPr>
                <w:noProof/>
                <w:sz w:val="22"/>
              </w:rPr>
            </w:pPr>
            <w:r>
              <w:rPr>
                <w:noProof/>
                <w:sz w:val="22"/>
              </w:rPr>
              <w:sym w:font="Wingdings" w:char="F09F"/>
            </w:r>
            <w:r>
              <w:rPr>
                <w:noProof/>
                <w:sz w:val="22"/>
              </w:rPr>
              <w:t xml:space="preserve"> Personalikulud </w:t>
            </w:r>
          </w:p>
        </w:tc>
        <w:tc>
          <w:tcPr>
            <w:tcW w:w="1134" w:type="dxa"/>
            <w:vAlign w:val="bottom"/>
          </w:tcPr>
          <w:p>
            <w:pPr>
              <w:spacing w:before="20" w:after="20"/>
              <w:jc w:val="right"/>
              <w:rPr>
                <w:noProof/>
                <w:sz w:val="20"/>
              </w:rPr>
            </w:pPr>
            <w:r>
              <w:rPr>
                <w:noProof/>
                <w:sz w:val="20"/>
              </w:rPr>
              <w:t xml:space="preserve">            1,682 </w:t>
            </w:r>
          </w:p>
        </w:tc>
        <w:tc>
          <w:tcPr>
            <w:tcW w:w="1134" w:type="dxa"/>
            <w:vAlign w:val="bottom"/>
          </w:tcPr>
          <w:p>
            <w:pPr>
              <w:spacing w:before="20" w:after="20"/>
              <w:jc w:val="right"/>
              <w:rPr>
                <w:noProof/>
                <w:sz w:val="20"/>
              </w:rPr>
            </w:pPr>
            <w:r>
              <w:rPr>
                <w:noProof/>
                <w:sz w:val="20"/>
              </w:rPr>
              <w:t xml:space="preserve">     5,034 </w:t>
            </w:r>
          </w:p>
        </w:tc>
        <w:tc>
          <w:tcPr>
            <w:tcW w:w="1134" w:type="dxa"/>
            <w:vAlign w:val="bottom"/>
          </w:tcPr>
          <w:p>
            <w:pPr>
              <w:spacing w:before="20" w:after="20"/>
              <w:jc w:val="right"/>
              <w:rPr>
                <w:noProof/>
                <w:sz w:val="20"/>
              </w:rPr>
            </w:pPr>
            <w:r>
              <w:rPr>
                <w:noProof/>
                <w:sz w:val="20"/>
              </w:rPr>
              <w:t xml:space="preserve">       9,436 </w:t>
            </w:r>
          </w:p>
        </w:tc>
        <w:tc>
          <w:tcPr>
            <w:tcW w:w="1984" w:type="dxa"/>
            <w:vAlign w:val="bottom"/>
          </w:tcPr>
          <w:p>
            <w:pPr>
              <w:spacing w:before="20" w:after="20"/>
              <w:jc w:val="right"/>
              <w:rPr>
                <w:b/>
                <w:noProof/>
                <w:sz w:val="20"/>
              </w:rPr>
            </w:pPr>
            <w:r>
              <w:rPr>
                <w:b/>
                <w:noProof/>
                <w:sz w:val="20"/>
              </w:rPr>
              <w:t xml:space="preserve">                       16,152 </w:t>
            </w:r>
          </w:p>
        </w:tc>
      </w:tr>
      <w:tr>
        <w:trPr>
          <w:trHeight w:val="351"/>
        </w:trPr>
        <w:tc>
          <w:tcPr>
            <w:tcW w:w="8724" w:type="dxa"/>
            <w:gridSpan w:val="4"/>
            <w:vAlign w:val="center"/>
          </w:tcPr>
          <w:p>
            <w:pPr>
              <w:spacing w:before="20" w:after="20"/>
              <w:rPr>
                <w:noProof/>
                <w:sz w:val="22"/>
              </w:rPr>
            </w:pPr>
            <w:r>
              <w:rPr>
                <w:noProof/>
                <w:sz w:val="22"/>
              </w:rPr>
              <w:sym w:font="Wingdings" w:char="F09F"/>
            </w:r>
            <w:r>
              <w:rPr>
                <w:noProof/>
                <w:sz w:val="22"/>
              </w:rPr>
              <w:t xml:space="preserve"> Muud halduskulud </w:t>
            </w:r>
          </w:p>
        </w:tc>
        <w:tc>
          <w:tcPr>
            <w:tcW w:w="1134" w:type="dxa"/>
            <w:vAlign w:val="bottom"/>
          </w:tcPr>
          <w:p>
            <w:pPr>
              <w:spacing w:before="20" w:after="20"/>
              <w:jc w:val="right"/>
              <w:rPr>
                <w:noProof/>
                <w:sz w:val="20"/>
              </w:rPr>
            </w:pPr>
            <w:r>
              <w:rPr>
                <w:noProof/>
                <w:sz w:val="20"/>
              </w:rPr>
              <w:t>0,1500</w:t>
            </w:r>
          </w:p>
        </w:tc>
        <w:tc>
          <w:tcPr>
            <w:tcW w:w="1134" w:type="dxa"/>
            <w:vAlign w:val="bottom"/>
          </w:tcPr>
          <w:p>
            <w:pPr>
              <w:spacing w:before="20" w:after="20"/>
              <w:jc w:val="right"/>
              <w:rPr>
                <w:noProof/>
                <w:sz w:val="20"/>
              </w:rPr>
            </w:pPr>
            <w:r>
              <w:rPr>
                <w:noProof/>
                <w:sz w:val="20"/>
              </w:rPr>
              <w:t>0,230</w:t>
            </w:r>
          </w:p>
        </w:tc>
        <w:tc>
          <w:tcPr>
            <w:tcW w:w="1134" w:type="dxa"/>
            <w:vAlign w:val="bottom"/>
          </w:tcPr>
          <w:p>
            <w:pPr>
              <w:spacing w:before="20" w:after="20"/>
              <w:jc w:val="right"/>
              <w:rPr>
                <w:noProof/>
                <w:sz w:val="20"/>
              </w:rPr>
            </w:pPr>
            <w:r>
              <w:rPr>
                <w:noProof/>
                <w:sz w:val="20"/>
              </w:rPr>
              <w:t>0,330</w:t>
            </w:r>
          </w:p>
        </w:tc>
        <w:tc>
          <w:tcPr>
            <w:tcW w:w="1984" w:type="dxa"/>
            <w:vAlign w:val="center"/>
          </w:tcPr>
          <w:p>
            <w:pPr>
              <w:spacing w:before="20" w:after="20"/>
              <w:jc w:val="right"/>
              <w:rPr>
                <w:b/>
                <w:noProof/>
                <w:sz w:val="20"/>
              </w:rPr>
            </w:pPr>
            <w:r>
              <w:rPr>
                <w:b/>
                <w:noProof/>
                <w:sz w:val="20"/>
              </w:rPr>
              <w:t>0,710</w:t>
            </w:r>
          </w:p>
        </w:tc>
      </w:tr>
      <w:tr>
        <w:tc>
          <w:tcPr>
            <w:tcW w:w="3960" w:type="dxa"/>
            <w:vAlign w:val="center"/>
          </w:tcPr>
          <w:p>
            <w:pPr>
              <w:jc w:val="center"/>
              <w:rPr>
                <w:b/>
                <w:noProof/>
                <w:sz w:val="22"/>
              </w:rPr>
            </w:pPr>
            <w:r>
              <w:rPr>
                <w:noProof/>
              </w:rPr>
              <w:t xml:space="preserve">Euroopa kodanikukaitse ja humanitaarabioperatsioonide peadirektoraat </w:t>
            </w:r>
            <w:r>
              <w:rPr>
                <w:b/>
                <w:noProof/>
              </w:rPr>
              <w:t>KOKKU</w:t>
            </w:r>
          </w:p>
        </w:tc>
        <w:tc>
          <w:tcPr>
            <w:tcW w:w="4764" w:type="dxa"/>
            <w:gridSpan w:val="3"/>
            <w:vAlign w:val="center"/>
          </w:tcPr>
          <w:p>
            <w:pPr>
              <w:rPr>
                <w:noProof/>
                <w:sz w:val="14"/>
              </w:rPr>
            </w:pPr>
            <w:r>
              <w:rPr>
                <w:noProof/>
                <w:sz w:val="18"/>
              </w:rPr>
              <w:t xml:space="preserve">Assigneeringud </w:t>
            </w:r>
          </w:p>
        </w:tc>
        <w:tc>
          <w:tcPr>
            <w:tcW w:w="1134" w:type="dxa"/>
            <w:vAlign w:val="bottom"/>
          </w:tcPr>
          <w:p>
            <w:pPr>
              <w:spacing w:before="20" w:after="20"/>
              <w:jc w:val="right"/>
              <w:rPr>
                <w:noProof/>
                <w:sz w:val="20"/>
              </w:rPr>
            </w:pPr>
            <w:r>
              <w:rPr>
                <w:noProof/>
                <w:sz w:val="20"/>
              </w:rPr>
              <w:t xml:space="preserve">              1,832 </w:t>
            </w:r>
          </w:p>
        </w:tc>
        <w:tc>
          <w:tcPr>
            <w:tcW w:w="1134" w:type="dxa"/>
            <w:vAlign w:val="bottom"/>
          </w:tcPr>
          <w:p>
            <w:pPr>
              <w:spacing w:before="20" w:after="20"/>
              <w:jc w:val="right"/>
              <w:rPr>
                <w:noProof/>
                <w:sz w:val="20"/>
              </w:rPr>
            </w:pPr>
            <w:r>
              <w:rPr>
                <w:noProof/>
                <w:sz w:val="20"/>
              </w:rPr>
              <w:t xml:space="preserve">      5,264 </w:t>
            </w:r>
          </w:p>
        </w:tc>
        <w:tc>
          <w:tcPr>
            <w:tcW w:w="1134" w:type="dxa"/>
            <w:vAlign w:val="bottom"/>
          </w:tcPr>
          <w:p>
            <w:pPr>
              <w:spacing w:before="20" w:after="20"/>
              <w:jc w:val="right"/>
              <w:rPr>
                <w:noProof/>
                <w:sz w:val="20"/>
              </w:rPr>
            </w:pPr>
            <w:r>
              <w:rPr>
                <w:noProof/>
                <w:sz w:val="20"/>
              </w:rPr>
              <w:t xml:space="preserve">        9,766 </w:t>
            </w:r>
          </w:p>
        </w:tc>
        <w:tc>
          <w:tcPr>
            <w:tcW w:w="1984" w:type="dxa"/>
            <w:vAlign w:val="bottom"/>
          </w:tcPr>
          <w:p>
            <w:pPr>
              <w:spacing w:before="20" w:after="20"/>
              <w:jc w:val="right"/>
              <w:rPr>
                <w:b/>
                <w:noProof/>
                <w:sz w:val="20"/>
              </w:rPr>
            </w:pPr>
            <w:r>
              <w:rPr>
                <w:noProof/>
                <w:sz w:val="20"/>
              </w:rPr>
              <w:t xml:space="preserve">               </w:t>
            </w:r>
            <w:r>
              <w:rPr>
                <w:b/>
                <w:noProof/>
                <w:sz w:val="20"/>
              </w:rPr>
              <w:t xml:space="preserve">16,862 </w:t>
            </w:r>
          </w:p>
        </w:tc>
      </w:tr>
    </w:tbl>
    <w:p>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4764"/>
        <w:gridCol w:w="1134"/>
        <w:gridCol w:w="1134"/>
        <w:gridCol w:w="1134"/>
        <w:gridCol w:w="1984"/>
      </w:tblGrid>
      <w:tr>
        <w:tc>
          <w:tcPr>
            <w:tcW w:w="3960" w:type="dxa"/>
            <w:shd w:val="thinDiagStripe" w:color="C0C0C0" w:fill="auto"/>
            <w:vAlign w:val="center"/>
          </w:tcPr>
          <w:p>
            <w:pPr>
              <w:jc w:val="center"/>
              <w:rPr>
                <w:b/>
                <w:noProof/>
                <w:sz w:val="22"/>
              </w:rPr>
            </w:pPr>
            <w:r>
              <w:rPr>
                <w:noProof/>
                <w:sz w:val="22"/>
              </w:rPr>
              <w:t xml:space="preserve">Mitmeaastase finantsraamistiku </w:t>
            </w:r>
            <w:r>
              <w:rPr>
                <w:b/>
                <w:noProof/>
                <w:sz w:val="22"/>
              </w:rPr>
              <w:t>rubriigi 5</w:t>
            </w:r>
            <w:r>
              <w:rPr>
                <w:noProof/>
              </w:rPr>
              <w:t xml:space="preserve"> </w:t>
            </w:r>
            <w:r>
              <w:rPr>
                <w:b/>
                <w:noProof/>
                <w:sz w:val="22"/>
              </w:rPr>
              <w:t xml:space="preserve">assigneeringud KOKKU </w:t>
            </w:r>
          </w:p>
        </w:tc>
        <w:tc>
          <w:tcPr>
            <w:tcW w:w="4764" w:type="dxa"/>
            <w:vAlign w:val="center"/>
          </w:tcPr>
          <w:p>
            <w:pPr>
              <w:spacing w:before="40" w:after="40"/>
              <w:rPr>
                <w:noProof/>
                <w:sz w:val="22"/>
              </w:rPr>
            </w:pPr>
            <w:r>
              <w:rPr>
                <w:noProof/>
                <w:sz w:val="18"/>
              </w:rPr>
              <w:t>(Kulukohustused kokku = maksed kokku)</w:t>
            </w:r>
          </w:p>
        </w:tc>
        <w:tc>
          <w:tcPr>
            <w:tcW w:w="1134" w:type="dxa"/>
            <w:vAlign w:val="center"/>
          </w:tcPr>
          <w:p>
            <w:pPr>
              <w:spacing w:before="20" w:after="20"/>
              <w:jc w:val="right"/>
              <w:rPr>
                <w:noProof/>
                <w:sz w:val="20"/>
              </w:rPr>
            </w:pPr>
            <w:r>
              <w:rPr>
                <w:noProof/>
                <w:sz w:val="20"/>
              </w:rPr>
              <w:t>1,832</w:t>
            </w:r>
          </w:p>
        </w:tc>
        <w:tc>
          <w:tcPr>
            <w:tcW w:w="1134" w:type="dxa"/>
            <w:vAlign w:val="center"/>
          </w:tcPr>
          <w:p>
            <w:pPr>
              <w:spacing w:before="20" w:after="20"/>
              <w:jc w:val="right"/>
              <w:rPr>
                <w:noProof/>
                <w:sz w:val="20"/>
              </w:rPr>
            </w:pPr>
            <w:r>
              <w:rPr>
                <w:noProof/>
                <w:sz w:val="20"/>
              </w:rPr>
              <w:t>5,264</w:t>
            </w:r>
          </w:p>
        </w:tc>
        <w:tc>
          <w:tcPr>
            <w:tcW w:w="1134" w:type="dxa"/>
            <w:vAlign w:val="center"/>
          </w:tcPr>
          <w:p>
            <w:pPr>
              <w:spacing w:before="20" w:after="20"/>
              <w:jc w:val="right"/>
              <w:rPr>
                <w:noProof/>
                <w:sz w:val="20"/>
              </w:rPr>
            </w:pPr>
            <w:r>
              <w:rPr>
                <w:noProof/>
                <w:sz w:val="20"/>
              </w:rPr>
              <w:t>9,766</w:t>
            </w:r>
          </w:p>
        </w:tc>
        <w:tc>
          <w:tcPr>
            <w:tcW w:w="1984" w:type="dxa"/>
            <w:vAlign w:val="center"/>
          </w:tcPr>
          <w:p>
            <w:pPr>
              <w:spacing w:before="20" w:after="20"/>
              <w:jc w:val="right"/>
              <w:rPr>
                <w:b/>
                <w:noProof/>
                <w:sz w:val="20"/>
              </w:rPr>
            </w:pPr>
            <w:r>
              <w:rPr>
                <w:b/>
                <w:noProof/>
                <w:sz w:val="20"/>
              </w:rPr>
              <w:t>16,862</w:t>
            </w:r>
          </w:p>
        </w:tc>
      </w:tr>
    </w:tbl>
    <w:p>
      <w:pPr>
        <w:jc w:val="right"/>
        <w:rPr>
          <w:noProof/>
          <w:sz w:val="20"/>
        </w:rPr>
      </w:pPr>
      <w:r>
        <w:rPr>
          <w:noProof/>
          <w:sz w:val="20"/>
        </w:rPr>
        <w:t>miljonites eurodes (kolm kohta pärast koma)</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3204"/>
        <w:gridCol w:w="1134"/>
        <w:gridCol w:w="1134"/>
        <w:gridCol w:w="1134"/>
        <w:gridCol w:w="1984"/>
      </w:tblGrid>
      <w:tr>
        <w:tc>
          <w:tcPr>
            <w:tcW w:w="3960" w:type="dxa"/>
            <w:tcBorders>
              <w:top w:val="nil"/>
              <w:left w:val="nil"/>
              <w:right w:val="nil"/>
            </w:tcBorders>
            <w:vAlign w:val="center"/>
          </w:tcPr>
          <w:p>
            <w:pPr>
              <w:jc w:val="center"/>
              <w:rPr>
                <w:noProof/>
                <w:sz w:val="22"/>
              </w:rPr>
            </w:pPr>
          </w:p>
        </w:tc>
        <w:tc>
          <w:tcPr>
            <w:tcW w:w="1560" w:type="dxa"/>
            <w:tcBorders>
              <w:top w:val="nil"/>
              <w:left w:val="nil"/>
              <w:right w:val="nil"/>
            </w:tcBorders>
          </w:tcPr>
          <w:p>
            <w:pPr>
              <w:rPr>
                <w:noProof/>
                <w:sz w:val="20"/>
              </w:rPr>
            </w:pPr>
          </w:p>
        </w:tc>
        <w:tc>
          <w:tcPr>
            <w:tcW w:w="3204" w:type="dxa"/>
            <w:tcBorders>
              <w:top w:val="nil"/>
              <w:left w:val="nil"/>
            </w:tcBorders>
          </w:tcPr>
          <w:p>
            <w:pPr>
              <w:jc w:val="center"/>
              <w:rPr>
                <w:noProof/>
                <w:sz w:val="20"/>
              </w:rPr>
            </w:pPr>
          </w:p>
        </w:tc>
        <w:tc>
          <w:tcPr>
            <w:tcW w:w="1134" w:type="dxa"/>
            <w:vAlign w:val="center"/>
          </w:tcPr>
          <w:p>
            <w:pPr>
              <w:jc w:val="center"/>
              <w:rPr>
                <w:noProof/>
                <w:sz w:val="20"/>
              </w:rPr>
            </w:pPr>
            <w:r>
              <w:rPr>
                <w:noProof/>
                <w:sz w:val="20"/>
              </w:rPr>
              <w:t>2018</w:t>
            </w:r>
          </w:p>
        </w:tc>
        <w:tc>
          <w:tcPr>
            <w:tcW w:w="1134" w:type="dxa"/>
            <w:vAlign w:val="center"/>
          </w:tcPr>
          <w:p>
            <w:pPr>
              <w:jc w:val="center"/>
              <w:rPr>
                <w:noProof/>
                <w:sz w:val="20"/>
              </w:rPr>
            </w:pPr>
            <w:r>
              <w:rPr>
                <w:noProof/>
                <w:sz w:val="20"/>
              </w:rPr>
              <w:t>2019</w:t>
            </w:r>
          </w:p>
        </w:tc>
        <w:tc>
          <w:tcPr>
            <w:tcW w:w="1134" w:type="dxa"/>
            <w:vAlign w:val="center"/>
          </w:tcPr>
          <w:p>
            <w:pPr>
              <w:jc w:val="center"/>
              <w:rPr>
                <w:noProof/>
                <w:sz w:val="20"/>
              </w:rPr>
            </w:pPr>
            <w:r>
              <w:rPr>
                <w:noProof/>
                <w:sz w:val="20"/>
              </w:rPr>
              <w:t>2020</w:t>
            </w:r>
          </w:p>
        </w:tc>
        <w:tc>
          <w:tcPr>
            <w:tcW w:w="1984" w:type="dxa"/>
            <w:vAlign w:val="center"/>
          </w:tcPr>
          <w:p>
            <w:pPr>
              <w:jc w:val="center"/>
              <w:rPr>
                <w:b/>
                <w:noProof/>
                <w:sz w:val="20"/>
              </w:rPr>
            </w:pPr>
            <w:r>
              <w:rPr>
                <w:b/>
                <w:noProof/>
                <w:sz w:val="20"/>
              </w:rPr>
              <w:t>KOKKU</w:t>
            </w:r>
          </w:p>
        </w:tc>
      </w:tr>
      <w:tr>
        <w:tc>
          <w:tcPr>
            <w:tcW w:w="3960" w:type="dxa"/>
            <w:vMerge w:val="restart"/>
            <w:shd w:val="clear" w:color="auto" w:fill="C0C0C0"/>
            <w:vAlign w:val="center"/>
          </w:tcPr>
          <w:p>
            <w:pPr>
              <w:jc w:val="center"/>
              <w:rPr>
                <w:b/>
                <w:noProof/>
                <w:sz w:val="22"/>
              </w:rPr>
            </w:pPr>
            <w:r>
              <w:rPr>
                <w:noProof/>
                <w:sz w:val="22"/>
              </w:rPr>
              <w:t xml:space="preserve">Mitmeaastase finantsraamistiku </w:t>
            </w:r>
            <w:r>
              <w:rPr>
                <w:b/>
                <w:noProof/>
                <w:sz w:val="22"/>
              </w:rPr>
              <w:t>rubriikide 1–5</w:t>
            </w:r>
            <w:r>
              <w:rPr>
                <w:noProof/>
              </w:rPr>
              <w:t xml:space="preserve"> </w:t>
            </w:r>
            <w:r>
              <w:rPr>
                <w:b/>
                <w:noProof/>
                <w:sz w:val="22"/>
              </w:rPr>
              <w:t xml:space="preserve">assigneeringud KOKKU </w:t>
            </w:r>
          </w:p>
        </w:tc>
        <w:tc>
          <w:tcPr>
            <w:tcW w:w="4764" w:type="dxa"/>
            <w:gridSpan w:val="2"/>
            <w:vAlign w:val="center"/>
          </w:tcPr>
          <w:p>
            <w:pPr>
              <w:rPr>
                <w:noProof/>
                <w:sz w:val="14"/>
              </w:rPr>
            </w:pPr>
            <w:r>
              <w:rPr>
                <w:noProof/>
                <w:sz w:val="18"/>
              </w:rPr>
              <w:t>Kulukohustused</w:t>
            </w:r>
          </w:p>
        </w:tc>
        <w:tc>
          <w:tcPr>
            <w:tcW w:w="1134" w:type="dxa"/>
            <w:vAlign w:val="center"/>
          </w:tcPr>
          <w:p>
            <w:pPr>
              <w:spacing w:before="20" w:after="20"/>
              <w:jc w:val="right"/>
              <w:rPr>
                <w:noProof/>
                <w:sz w:val="20"/>
              </w:rPr>
            </w:pPr>
            <w:r>
              <w:rPr>
                <w:noProof/>
                <w:sz w:val="20"/>
              </w:rPr>
              <w:t>22,989</w:t>
            </w:r>
          </w:p>
        </w:tc>
        <w:tc>
          <w:tcPr>
            <w:tcW w:w="1134" w:type="dxa"/>
            <w:vAlign w:val="center"/>
          </w:tcPr>
          <w:p>
            <w:pPr>
              <w:spacing w:before="20" w:after="20"/>
              <w:jc w:val="right"/>
              <w:rPr>
                <w:noProof/>
                <w:sz w:val="20"/>
              </w:rPr>
            </w:pPr>
            <w:r>
              <w:rPr>
                <w:noProof/>
                <w:sz w:val="20"/>
              </w:rPr>
              <w:t>122,464</w:t>
            </w:r>
          </w:p>
        </w:tc>
        <w:tc>
          <w:tcPr>
            <w:tcW w:w="1134" w:type="dxa"/>
            <w:vAlign w:val="center"/>
          </w:tcPr>
          <w:p>
            <w:pPr>
              <w:spacing w:before="20" w:after="20"/>
              <w:jc w:val="right"/>
              <w:rPr>
                <w:noProof/>
                <w:sz w:val="20"/>
              </w:rPr>
            </w:pPr>
            <w:r>
              <w:rPr>
                <w:noProof/>
                <w:sz w:val="20"/>
              </w:rPr>
              <w:t>134,547</w:t>
            </w:r>
          </w:p>
        </w:tc>
        <w:tc>
          <w:tcPr>
            <w:tcW w:w="1984" w:type="dxa"/>
            <w:vAlign w:val="center"/>
          </w:tcPr>
          <w:p>
            <w:pPr>
              <w:spacing w:before="20" w:after="20"/>
              <w:jc w:val="right"/>
              <w:rPr>
                <w:b/>
                <w:noProof/>
                <w:sz w:val="20"/>
              </w:rPr>
            </w:pPr>
            <w:r>
              <w:rPr>
                <w:b/>
                <w:noProof/>
                <w:sz w:val="20"/>
              </w:rPr>
              <w:t>280,000</w:t>
            </w:r>
          </w:p>
        </w:tc>
      </w:tr>
      <w:tr>
        <w:tc>
          <w:tcPr>
            <w:tcW w:w="3960" w:type="dxa"/>
            <w:vMerge/>
            <w:shd w:val="clear" w:color="auto" w:fill="C0C0C0"/>
          </w:tcPr>
          <w:p>
            <w:pPr>
              <w:rPr>
                <w:noProof/>
                <w:sz w:val="20"/>
              </w:rPr>
            </w:pPr>
          </w:p>
        </w:tc>
        <w:tc>
          <w:tcPr>
            <w:tcW w:w="4764" w:type="dxa"/>
            <w:gridSpan w:val="2"/>
            <w:vAlign w:val="center"/>
          </w:tcPr>
          <w:p>
            <w:pPr>
              <w:rPr>
                <w:noProof/>
                <w:sz w:val="14"/>
              </w:rPr>
            </w:pPr>
            <w:r>
              <w:rPr>
                <w:noProof/>
                <w:sz w:val="18"/>
              </w:rPr>
              <w:t>Maksed</w:t>
            </w:r>
          </w:p>
        </w:tc>
        <w:tc>
          <w:tcPr>
            <w:tcW w:w="1134" w:type="dxa"/>
            <w:vAlign w:val="center"/>
          </w:tcPr>
          <w:p>
            <w:pPr>
              <w:spacing w:before="20" w:after="20"/>
              <w:jc w:val="right"/>
              <w:rPr>
                <w:noProof/>
                <w:sz w:val="20"/>
              </w:rPr>
            </w:pPr>
            <w:r>
              <w:rPr>
                <w:noProof/>
                <w:sz w:val="20"/>
              </w:rPr>
              <w:t>13,632</w:t>
            </w:r>
          </w:p>
        </w:tc>
        <w:tc>
          <w:tcPr>
            <w:tcW w:w="1134" w:type="dxa"/>
            <w:vAlign w:val="center"/>
          </w:tcPr>
          <w:p>
            <w:pPr>
              <w:spacing w:before="20" w:after="20"/>
              <w:jc w:val="right"/>
              <w:rPr>
                <w:noProof/>
                <w:sz w:val="20"/>
              </w:rPr>
            </w:pPr>
            <w:r>
              <w:rPr>
                <w:noProof/>
                <w:sz w:val="20"/>
              </w:rPr>
              <w:t>63,624</w:t>
            </w:r>
          </w:p>
        </w:tc>
        <w:tc>
          <w:tcPr>
            <w:tcW w:w="1134" w:type="dxa"/>
            <w:vAlign w:val="center"/>
          </w:tcPr>
          <w:p>
            <w:pPr>
              <w:spacing w:before="20" w:after="20"/>
              <w:jc w:val="right"/>
              <w:rPr>
                <w:noProof/>
                <w:sz w:val="20"/>
              </w:rPr>
            </w:pPr>
            <w:r>
              <w:rPr>
                <w:noProof/>
                <w:sz w:val="20"/>
              </w:rPr>
              <w:t>127,174</w:t>
            </w:r>
          </w:p>
        </w:tc>
        <w:tc>
          <w:tcPr>
            <w:tcW w:w="1984" w:type="dxa"/>
            <w:vAlign w:val="center"/>
          </w:tcPr>
          <w:p>
            <w:pPr>
              <w:spacing w:before="20" w:after="20"/>
              <w:jc w:val="right"/>
              <w:rPr>
                <w:b/>
                <w:noProof/>
                <w:sz w:val="20"/>
              </w:rPr>
            </w:pPr>
            <w:r>
              <w:rPr>
                <w:b/>
                <w:noProof/>
                <w:sz w:val="20"/>
              </w:rPr>
              <w:t>204,430</w:t>
            </w:r>
          </w:p>
        </w:tc>
      </w:tr>
    </w:tbl>
    <w:p>
      <w:pPr>
        <w:rPr>
          <w:noProof/>
        </w:rPr>
        <w:sectPr>
          <w:headerReference w:type="default" r:id="rId18"/>
          <w:footerReference w:type="default" r:id="rId19"/>
          <w:headerReference w:type="first" r:id="rId20"/>
          <w:footerReference w:type="first" r:id="rId21"/>
          <w:pgSz w:w="16840" w:h="11907" w:orient="landscape" w:code="9"/>
          <w:pgMar w:top="1134" w:right="1418" w:bottom="1134" w:left="1418" w:header="709" w:footer="709" w:gutter="0"/>
          <w:cols w:space="708"/>
          <w:docGrid w:linePitch="360"/>
        </w:sectPr>
      </w:pPr>
    </w:p>
    <w:p>
      <w:pPr>
        <w:pStyle w:val="ManualNumPar3"/>
        <w:rPr>
          <w:noProof/>
        </w:rPr>
      </w:pPr>
      <w:r>
        <w:t>3.2.2.</w:t>
      </w:r>
      <w:r>
        <w:tab/>
      </w:r>
      <w:r>
        <w:rPr>
          <w:noProof/>
        </w:rPr>
        <w:t xml:space="preserve">Hinnanguline mõju tegevusassigneeringutele </w:t>
      </w:r>
    </w:p>
    <w:p>
      <w:pPr>
        <w:tabs>
          <w:tab w:val="num" w:pos="1134"/>
        </w:tabs>
        <w:ind w:left="1134" w:hanging="283"/>
        <w:rPr>
          <w:rFonts w:eastAsia="Times New Roman"/>
          <w:noProof/>
        </w:rPr>
      </w:pPr>
      <w:r>
        <w:rPr>
          <w:rFonts w:eastAsia="Times New Roman"/>
          <w:noProof/>
        </w:rPr>
        <w:sym w:font="Wingdings" w:char="F0A8"/>
      </w:r>
      <w:r>
        <w:rPr>
          <w:noProof/>
        </w:rPr>
        <w:tab/>
        <w:t xml:space="preserve">Ettepanek/algatus ei hõlma tegevusassigneeringute kasutamist </w:t>
      </w:r>
    </w:p>
    <w:p>
      <w:pPr>
        <w:tabs>
          <w:tab w:val="num" w:pos="1134"/>
        </w:tabs>
        <w:ind w:left="1134" w:hanging="283"/>
        <w:rPr>
          <w:rFonts w:eastAsia="Times New Roman"/>
          <w:noProof/>
        </w:rPr>
      </w:pPr>
      <w:r>
        <w:rPr>
          <w:rFonts w:eastAsia="Times New Roman"/>
          <w:noProof/>
        </w:rPr>
        <w:sym w:font="Wingdings" w:char="F0A8"/>
      </w:r>
      <w:r>
        <w:rPr>
          <w:noProof/>
        </w:rPr>
        <w:tab/>
        <w:t>Ettepanek/algatus hõlmab tegevusassigneeringute kasutamist, mis toimub järgmiselt.</w:t>
      </w:r>
    </w:p>
    <w:p>
      <w:pPr>
        <w:jc w:val="right"/>
        <w:rPr>
          <w:noProof/>
          <w:sz w:val="20"/>
        </w:rPr>
      </w:pPr>
      <w:r>
        <w:rPr>
          <w:noProof/>
          <w:sz w:val="20"/>
        </w:rPr>
        <w:t>kulukohustuste assigneeringud miljonites eurodes (kolm kohta pärast koma)</w:t>
      </w:r>
    </w:p>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925"/>
        <w:gridCol w:w="103"/>
        <w:gridCol w:w="701"/>
        <w:gridCol w:w="504"/>
        <w:gridCol w:w="720"/>
        <w:gridCol w:w="540"/>
        <w:gridCol w:w="720"/>
        <w:gridCol w:w="720"/>
        <w:gridCol w:w="720"/>
        <w:gridCol w:w="900"/>
        <w:gridCol w:w="38"/>
        <w:gridCol w:w="682"/>
        <w:gridCol w:w="10"/>
        <w:gridCol w:w="31"/>
        <w:gridCol w:w="499"/>
        <w:gridCol w:w="648"/>
        <w:gridCol w:w="539"/>
        <w:gridCol w:w="613"/>
        <w:gridCol w:w="540"/>
        <w:gridCol w:w="720"/>
        <w:gridCol w:w="878"/>
        <w:gridCol w:w="236"/>
      </w:tblGrid>
      <w:tr>
        <w:trPr>
          <w:gridAfter w:val="10"/>
          <w:wAfter w:w="4714" w:type="dxa"/>
          <w:jc w:val="center"/>
        </w:trPr>
        <w:tc>
          <w:tcPr>
            <w:tcW w:w="1218" w:type="dxa"/>
            <w:vMerge w:val="restart"/>
            <w:vAlign w:val="center"/>
          </w:tcPr>
          <w:p>
            <w:pPr>
              <w:ind w:right="-29"/>
              <w:jc w:val="center"/>
              <w:rPr>
                <w:b/>
                <w:bCs/>
                <w:noProof/>
                <w:sz w:val="18"/>
                <w:szCs w:val="18"/>
              </w:rPr>
            </w:pPr>
            <w:r>
              <w:rPr>
                <w:b/>
                <w:noProof/>
                <w:sz w:val="18"/>
              </w:rPr>
              <w:t xml:space="preserve">Täpsustage eesmärgid ja väljundid </w:t>
            </w:r>
          </w:p>
          <w:p>
            <w:pPr>
              <w:ind w:right="-29"/>
              <w:jc w:val="center"/>
              <w:rPr>
                <w:b/>
                <w:bCs/>
                <w:noProof/>
                <w:sz w:val="18"/>
                <w:szCs w:val="18"/>
              </w:rPr>
            </w:pPr>
          </w:p>
          <w:p>
            <w:pPr>
              <w:ind w:right="-29"/>
              <w:jc w:val="center"/>
              <w:rPr>
                <w:noProof/>
                <w:sz w:val="18"/>
                <w:szCs w:val="18"/>
              </w:rPr>
            </w:pPr>
            <w:r>
              <w:rPr>
                <w:noProof/>
                <w:sz w:val="18"/>
                <w:szCs w:val="18"/>
              </w:rPr>
              <w:sym w:font="Wingdings" w:char="F0F2"/>
            </w:r>
          </w:p>
        </w:tc>
        <w:tc>
          <w:tcPr>
            <w:tcW w:w="1028" w:type="dxa"/>
            <w:gridSpan w:val="2"/>
            <w:vAlign w:val="center"/>
          </w:tcPr>
          <w:p>
            <w:pPr>
              <w:ind w:right="-29"/>
              <w:jc w:val="center"/>
              <w:rPr>
                <w:noProof/>
                <w:sz w:val="18"/>
                <w:szCs w:val="18"/>
              </w:rPr>
            </w:pPr>
          </w:p>
        </w:tc>
        <w:tc>
          <w:tcPr>
            <w:tcW w:w="701" w:type="dxa"/>
            <w:vAlign w:val="center"/>
          </w:tcPr>
          <w:p>
            <w:pPr>
              <w:ind w:right="-29"/>
              <w:jc w:val="center"/>
              <w:rPr>
                <w:noProof/>
                <w:sz w:val="18"/>
                <w:szCs w:val="18"/>
              </w:rPr>
            </w:pPr>
          </w:p>
        </w:tc>
        <w:tc>
          <w:tcPr>
            <w:tcW w:w="1224" w:type="dxa"/>
            <w:gridSpan w:val="2"/>
            <w:tcBorders>
              <w:left w:val="nil"/>
            </w:tcBorders>
            <w:vAlign w:val="center"/>
          </w:tcPr>
          <w:p>
            <w:pPr>
              <w:jc w:val="center"/>
              <w:rPr>
                <w:b/>
                <w:noProof/>
                <w:sz w:val="18"/>
                <w:szCs w:val="18"/>
              </w:rPr>
            </w:pPr>
            <w:r>
              <w:rPr>
                <w:noProof/>
                <w:sz w:val="18"/>
              </w:rPr>
              <w:t>Aasta</w:t>
            </w:r>
            <w:r>
              <w:rPr>
                <w:noProof/>
                <w:sz w:val="18"/>
                <w:szCs w:val="18"/>
              </w:rPr>
              <w:br/>
            </w:r>
            <w:r>
              <w:rPr>
                <w:b/>
                <w:noProof/>
                <w:sz w:val="18"/>
              </w:rPr>
              <w:t>2018</w:t>
            </w:r>
          </w:p>
        </w:tc>
        <w:tc>
          <w:tcPr>
            <w:tcW w:w="1260" w:type="dxa"/>
            <w:gridSpan w:val="2"/>
            <w:vAlign w:val="center"/>
          </w:tcPr>
          <w:p>
            <w:pPr>
              <w:jc w:val="center"/>
              <w:rPr>
                <w:b/>
                <w:noProof/>
                <w:sz w:val="18"/>
                <w:szCs w:val="18"/>
              </w:rPr>
            </w:pPr>
            <w:r>
              <w:rPr>
                <w:noProof/>
                <w:sz w:val="18"/>
              </w:rPr>
              <w:t>Aasta</w:t>
            </w:r>
            <w:r>
              <w:rPr>
                <w:noProof/>
                <w:sz w:val="18"/>
                <w:szCs w:val="18"/>
              </w:rPr>
              <w:br/>
            </w:r>
            <w:r>
              <w:rPr>
                <w:b/>
                <w:noProof/>
                <w:sz w:val="18"/>
              </w:rPr>
              <w:t>2019</w:t>
            </w:r>
          </w:p>
        </w:tc>
        <w:tc>
          <w:tcPr>
            <w:tcW w:w="1440" w:type="dxa"/>
            <w:gridSpan w:val="2"/>
            <w:vAlign w:val="center"/>
          </w:tcPr>
          <w:p>
            <w:pPr>
              <w:jc w:val="center"/>
              <w:rPr>
                <w:b/>
                <w:noProof/>
                <w:sz w:val="18"/>
                <w:szCs w:val="18"/>
              </w:rPr>
            </w:pPr>
            <w:r>
              <w:rPr>
                <w:noProof/>
                <w:sz w:val="18"/>
              </w:rPr>
              <w:t>Aasta</w:t>
            </w:r>
            <w:r>
              <w:rPr>
                <w:noProof/>
                <w:sz w:val="18"/>
                <w:szCs w:val="18"/>
              </w:rPr>
              <w:br/>
            </w:r>
            <w:r>
              <w:rPr>
                <w:b/>
                <w:noProof/>
                <w:sz w:val="18"/>
              </w:rPr>
              <w:t>2020</w:t>
            </w:r>
          </w:p>
        </w:tc>
        <w:tc>
          <w:tcPr>
            <w:tcW w:w="1620" w:type="dxa"/>
            <w:gridSpan w:val="3"/>
            <w:vAlign w:val="center"/>
          </w:tcPr>
          <w:p>
            <w:pPr>
              <w:ind w:right="-29"/>
              <w:jc w:val="center"/>
              <w:rPr>
                <w:noProof/>
                <w:sz w:val="18"/>
                <w:szCs w:val="18"/>
              </w:rPr>
            </w:pPr>
            <w:r>
              <w:rPr>
                <w:b/>
                <w:noProof/>
                <w:sz w:val="18"/>
              </w:rPr>
              <w:t>KOKKU</w:t>
            </w:r>
          </w:p>
        </w:tc>
      </w:tr>
      <w:tr>
        <w:trPr>
          <w:gridAfter w:val="9"/>
          <w:wAfter w:w="4704" w:type="dxa"/>
          <w:jc w:val="center"/>
        </w:trPr>
        <w:tc>
          <w:tcPr>
            <w:tcW w:w="1218" w:type="dxa"/>
            <w:vMerge/>
            <w:vAlign w:val="center"/>
          </w:tcPr>
          <w:p>
            <w:pPr>
              <w:rPr>
                <w:noProof/>
                <w:sz w:val="18"/>
                <w:szCs w:val="18"/>
              </w:rPr>
            </w:pPr>
          </w:p>
        </w:tc>
        <w:tc>
          <w:tcPr>
            <w:tcW w:w="7283" w:type="dxa"/>
            <w:gridSpan w:val="13"/>
            <w:vAlign w:val="center"/>
          </w:tcPr>
          <w:p>
            <w:pPr>
              <w:spacing w:before="60" w:after="60"/>
              <w:ind w:right="-29"/>
              <w:jc w:val="center"/>
              <w:rPr>
                <w:noProof/>
                <w:color w:val="FF0000"/>
                <w:sz w:val="18"/>
                <w:szCs w:val="18"/>
              </w:rPr>
            </w:pPr>
            <w:r>
              <w:rPr>
                <w:b/>
                <w:noProof/>
                <w:color w:val="FF0000"/>
                <w:sz w:val="18"/>
              </w:rPr>
              <w:t>VÄLJUNDID</w:t>
            </w:r>
          </w:p>
        </w:tc>
      </w:tr>
      <w:tr>
        <w:trPr>
          <w:gridAfter w:val="10"/>
          <w:wAfter w:w="4714" w:type="dxa"/>
          <w:cantSplit/>
          <w:trHeight w:val="1134"/>
          <w:jc w:val="center"/>
        </w:trPr>
        <w:tc>
          <w:tcPr>
            <w:tcW w:w="1218" w:type="dxa"/>
            <w:vMerge/>
            <w:vAlign w:val="center"/>
          </w:tcPr>
          <w:p>
            <w:pPr>
              <w:rPr>
                <w:noProof/>
                <w:sz w:val="18"/>
                <w:szCs w:val="18"/>
              </w:rPr>
            </w:pPr>
          </w:p>
        </w:tc>
        <w:tc>
          <w:tcPr>
            <w:tcW w:w="925" w:type="dxa"/>
            <w:vAlign w:val="center"/>
          </w:tcPr>
          <w:p>
            <w:pPr>
              <w:ind w:right="-263"/>
              <w:rPr>
                <w:noProof/>
                <w:sz w:val="18"/>
                <w:szCs w:val="18"/>
              </w:rPr>
            </w:pPr>
            <w:r>
              <w:rPr>
                <w:noProof/>
                <w:sz w:val="18"/>
              </w:rPr>
              <w:t>Väljundi liik</w:t>
            </w:r>
            <w:r>
              <w:rPr>
                <w:rStyle w:val="FootnoteReference"/>
                <w:noProof/>
              </w:rPr>
              <w:footnoteReference w:id="25"/>
            </w:r>
          </w:p>
        </w:tc>
        <w:tc>
          <w:tcPr>
            <w:tcW w:w="804" w:type="dxa"/>
            <w:gridSpan w:val="2"/>
            <w:vAlign w:val="center"/>
          </w:tcPr>
          <w:p>
            <w:pPr>
              <w:jc w:val="center"/>
              <w:rPr>
                <w:noProof/>
                <w:sz w:val="18"/>
                <w:szCs w:val="18"/>
              </w:rPr>
            </w:pPr>
            <w:r>
              <w:rPr>
                <w:noProof/>
                <w:sz w:val="18"/>
              </w:rPr>
              <w:t>Väljundi keskmine kulu</w:t>
            </w:r>
          </w:p>
        </w:tc>
        <w:tc>
          <w:tcPr>
            <w:tcW w:w="504" w:type="dxa"/>
            <w:tcBorders>
              <w:left w:val="nil"/>
              <w:right w:val="dashSmallGap" w:sz="4" w:space="0" w:color="auto"/>
            </w:tcBorders>
            <w:shd w:val="pct10" w:color="auto" w:fill="auto"/>
            <w:textDirection w:val="btLr"/>
            <w:vAlign w:val="center"/>
          </w:tcPr>
          <w:p>
            <w:pPr>
              <w:ind w:left="113" w:right="113"/>
              <w:jc w:val="center"/>
              <w:rPr>
                <w:noProof/>
                <w:sz w:val="18"/>
                <w:szCs w:val="18"/>
              </w:rPr>
            </w:pPr>
            <w:r>
              <w:rPr>
                <w:noProof/>
                <w:sz w:val="18"/>
              </w:rPr>
              <w:t>Väljundite 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54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Väljundite 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72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Väljundite 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900" w:type="dxa"/>
            <w:tcBorders>
              <w:right w:val="dashSmallGap" w:sz="4" w:space="0" w:color="auto"/>
            </w:tcBorders>
            <w:shd w:val="pct10" w:color="auto" w:fill="auto"/>
            <w:vAlign w:val="center"/>
          </w:tcPr>
          <w:p>
            <w:pPr>
              <w:jc w:val="center"/>
              <w:rPr>
                <w:noProof/>
                <w:sz w:val="18"/>
                <w:szCs w:val="18"/>
              </w:rPr>
            </w:pPr>
            <w:r>
              <w:rPr>
                <w:noProof/>
                <w:sz w:val="18"/>
              </w:rPr>
              <w:t>Väljundite arv kokku</w:t>
            </w:r>
          </w:p>
        </w:tc>
        <w:tc>
          <w:tcPr>
            <w:tcW w:w="720" w:type="dxa"/>
            <w:gridSpan w:val="2"/>
            <w:tcBorders>
              <w:left w:val="dashSmallGap" w:sz="4" w:space="0" w:color="auto"/>
            </w:tcBorders>
            <w:shd w:val="pct10" w:color="auto" w:fill="auto"/>
            <w:vAlign w:val="center"/>
          </w:tcPr>
          <w:p>
            <w:pPr>
              <w:jc w:val="center"/>
              <w:rPr>
                <w:noProof/>
                <w:sz w:val="18"/>
                <w:szCs w:val="18"/>
              </w:rPr>
            </w:pPr>
            <w:r>
              <w:rPr>
                <w:noProof/>
                <w:sz w:val="18"/>
              </w:rPr>
              <w:t>Kulud kokku</w:t>
            </w:r>
          </w:p>
        </w:tc>
      </w:tr>
      <w:tr>
        <w:trPr>
          <w:jc w:val="center"/>
        </w:trPr>
        <w:tc>
          <w:tcPr>
            <w:tcW w:w="2947" w:type="dxa"/>
            <w:gridSpan w:val="4"/>
            <w:vAlign w:val="center"/>
          </w:tcPr>
          <w:p>
            <w:pPr>
              <w:spacing w:before="60" w:after="60"/>
              <w:ind w:right="-29"/>
              <w:jc w:val="center"/>
              <w:rPr>
                <w:noProof/>
                <w:sz w:val="18"/>
                <w:szCs w:val="18"/>
              </w:rPr>
            </w:pPr>
            <w:r>
              <w:rPr>
                <w:noProof/>
                <w:sz w:val="18"/>
              </w:rPr>
              <w:t>ERIEESMÄRK nr 1 – ennetamine</w:t>
            </w:r>
            <w:r>
              <w:rPr>
                <w:rStyle w:val="FootnoteReference"/>
                <w:noProof/>
              </w:rPr>
              <w:footnoteReference w:id="26"/>
            </w:r>
          </w:p>
        </w:tc>
        <w:tc>
          <w:tcPr>
            <w:tcW w:w="504" w:type="dxa"/>
            <w:tcBorders>
              <w:top w:val="nil"/>
              <w:left w:val="nil"/>
              <w:bottom w:val="nil"/>
              <w:right w:val="nil"/>
            </w:tcBorders>
          </w:tcPr>
          <w:p>
            <w:pPr>
              <w:spacing w:before="60" w:after="60"/>
              <w:ind w:right="-29"/>
              <w:jc w:val="center"/>
              <w:rPr>
                <w:noProof/>
                <w:color w:val="FF0000"/>
                <w:sz w:val="18"/>
                <w:szCs w:val="18"/>
              </w:rPr>
            </w:pPr>
          </w:p>
        </w:tc>
        <w:tc>
          <w:tcPr>
            <w:tcW w:w="720" w:type="dxa"/>
            <w:tcBorders>
              <w:top w:val="nil"/>
              <w:left w:val="nil"/>
              <w:bottom w:val="nil"/>
              <w:right w:val="nil"/>
            </w:tcBorders>
          </w:tcPr>
          <w:p>
            <w:pPr>
              <w:spacing w:before="60" w:after="60"/>
              <w:ind w:right="-29"/>
              <w:jc w:val="center"/>
              <w:rPr>
                <w:noProof/>
                <w:color w:val="FF0000"/>
                <w:sz w:val="18"/>
                <w:szCs w:val="18"/>
              </w:rPr>
            </w:pPr>
          </w:p>
        </w:tc>
        <w:tc>
          <w:tcPr>
            <w:tcW w:w="540" w:type="dxa"/>
            <w:tcBorders>
              <w:top w:val="nil"/>
              <w:left w:val="nil"/>
              <w:bottom w:val="nil"/>
              <w:right w:val="nil"/>
            </w:tcBorders>
          </w:tcPr>
          <w:p>
            <w:pPr>
              <w:spacing w:before="60" w:after="60"/>
              <w:ind w:right="-29"/>
              <w:jc w:val="center"/>
              <w:rPr>
                <w:noProof/>
                <w:color w:val="FF0000"/>
                <w:sz w:val="18"/>
                <w:szCs w:val="18"/>
              </w:rPr>
            </w:pPr>
          </w:p>
        </w:tc>
        <w:tc>
          <w:tcPr>
            <w:tcW w:w="720" w:type="dxa"/>
            <w:tcBorders>
              <w:top w:val="nil"/>
              <w:left w:val="nil"/>
              <w:bottom w:val="nil"/>
              <w:right w:val="nil"/>
            </w:tcBorders>
          </w:tcPr>
          <w:p>
            <w:pPr>
              <w:spacing w:before="60" w:after="60"/>
              <w:ind w:right="-29"/>
              <w:jc w:val="center"/>
              <w:rPr>
                <w:noProof/>
                <w:color w:val="FF0000"/>
                <w:sz w:val="18"/>
                <w:szCs w:val="18"/>
              </w:rPr>
            </w:pPr>
          </w:p>
        </w:tc>
        <w:tc>
          <w:tcPr>
            <w:tcW w:w="720" w:type="dxa"/>
            <w:tcBorders>
              <w:top w:val="nil"/>
              <w:left w:val="nil"/>
              <w:bottom w:val="nil"/>
              <w:right w:val="nil"/>
            </w:tcBorders>
          </w:tcPr>
          <w:p>
            <w:pPr>
              <w:spacing w:before="60" w:after="60"/>
              <w:ind w:right="-29"/>
              <w:jc w:val="center"/>
              <w:rPr>
                <w:noProof/>
                <w:color w:val="FF0000"/>
                <w:sz w:val="18"/>
                <w:szCs w:val="18"/>
              </w:rPr>
            </w:pPr>
          </w:p>
        </w:tc>
        <w:tc>
          <w:tcPr>
            <w:tcW w:w="720" w:type="dxa"/>
            <w:tcBorders>
              <w:top w:val="nil"/>
              <w:left w:val="nil"/>
              <w:bottom w:val="nil"/>
              <w:right w:val="nil"/>
            </w:tcBorders>
          </w:tcPr>
          <w:p>
            <w:pPr>
              <w:spacing w:before="60" w:after="60"/>
              <w:ind w:right="-29"/>
              <w:jc w:val="center"/>
              <w:rPr>
                <w:noProof/>
                <w:color w:val="FF0000"/>
                <w:sz w:val="18"/>
                <w:szCs w:val="18"/>
              </w:rPr>
            </w:pPr>
          </w:p>
        </w:tc>
        <w:tc>
          <w:tcPr>
            <w:tcW w:w="900" w:type="dxa"/>
            <w:tcBorders>
              <w:top w:val="nil"/>
              <w:left w:val="nil"/>
              <w:bottom w:val="nil"/>
              <w:right w:val="nil"/>
            </w:tcBorders>
          </w:tcPr>
          <w:p>
            <w:pPr>
              <w:spacing w:before="60" w:after="60"/>
              <w:ind w:right="-29"/>
              <w:jc w:val="center"/>
              <w:rPr>
                <w:noProof/>
                <w:color w:val="FF0000"/>
                <w:sz w:val="18"/>
                <w:szCs w:val="18"/>
              </w:rPr>
            </w:pPr>
          </w:p>
        </w:tc>
        <w:tc>
          <w:tcPr>
            <w:tcW w:w="720" w:type="dxa"/>
            <w:gridSpan w:val="2"/>
            <w:tcBorders>
              <w:top w:val="nil"/>
              <w:left w:val="nil"/>
              <w:bottom w:val="nil"/>
              <w:right w:val="nil"/>
            </w:tcBorders>
          </w:tcPr>
          <w:p>
            <w:pPr>
              <w:spacing w:before="60" w:after="60"/>
              <w:ind w:right="-29"/>
              <w:jc w:val="center"/>
              <w:rPr>
                <w:noProof/>
                <w:color w:val="FF0000"/>
                <w:sz w:val="18"/>
                <w:szCs w:val="18"/>
              </w:rPr>
            </w:pPr>
          </w:p>
        </w:tc>
        <w:tc>
          <w:tcPr>
            <w:tcW w:w="540" w:type="dxa"/>
            <w:gridSpan w:val="3"/>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539" w:type="dxa"/>
            <w:tcBorders>
              <w:top w:val="nil"/>
              <w:left w:val="nil"/>
              <w:bottom w:val="nil"/>
              <w:right w:val="nil"/>
            </w:tcBorders>
          </w:tcPr>
          <w:p>
            <w:pPr>
              <w:spacing w:before="60" w:after="60"/>
              <w:ind w:right="-29"/>
              <w:jc w:val="center"/>
              <w:rPr>
                <w:noProof/>
                <w:sz w:val="18"/>
                <w:szCs w:val="18"/>
              </w:rPr>
            </w:pPr>
          </w:p>
        </w:tc>
        <w:tc>
          <w:tcPr>
            <w:tcW w:w="613"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878" w:type="dxa"/>
            <w:tcBorders>
              <w:top w:val="nil"/>
              <w:left w:val="nil"/>
              <w:bottom w:val="nil"/>
              <w:right w:val="nil"/>
            </w:tcBorders>
          </w:tcPr>
          <w:p>
            <w:pPr>
              <w:spacing w:before="60" w:after="60"/>
              <w:ind w:right="-29"/>
              <w:jc w:val="center"/>
              <w:rPr>
                <w:noProof/>
                <w:sz w:val="18"/>
                <w:szCs w:val="18"/>
              </w:rPr>
            </w:pPr>
          </w:p>
        </w:tc>
        <w:tc>
          <w:tcPr>
            <w:tcW w:w="236" w:type="dxa"/>
            <w:tcBorders>
              <w:top w:val="nil"/>
              <w:left w:val="nil"/>
              <w:bottom w:val="nil"/>
              <w:right w:val="nil"/>
            </w:tcBorders>
          </w:tcPr>
          <w:p>
            <w:pPr>
              <w:spacing w:before="60" w:after="60"/>
              <w:ind w:right="-29"/>
              <w:jc w:val="center"/>
              <w:rPr>
                <w:noProof/>
                <w:sz w:val="18"/>
                <w:szCs w:val="18"/>
              </w:rPr>
            </w:pPr>
          </w:p>
        </w:tc>
      </w:tr>
      <w:tr>
        <w:trPr>
          <w:gridAfter w:val="10"/>
          <w:wAfter w:w="4714" w:type="dxa"/>
          <w:trHeight w:hRule="exact" w:val="936"/>
          <w:jc w:val="center"/>
        </w:trPr>
        <w:tc>
          <w:tcPr>
            <w:tcW w:w="1218" w:type="dxa"/>
          </w:tcPr>
          <w:p>
            <w:pPr>
              <w:ind w:right="-29"/>
              <w:rPr>
                <w:noProof/>
                <w:sz w:val="18"/>
                <w:szCs w:val="18"/>
              </w:rPr>
            </w:pPr>
            <w:r>
              <w:rPr>
                <w:noProof/>
                <w:sz w:val="18"/>
              </w:rPr>
              <w:t>Ennetusalaseks tegevuseks rahastatud projektide arv</w:t>
            </w:r>
          </w:p>
        </w:tc>
        <w:tc>
          <w:tcPr>
            <w:tcW w:w="1028" w:type="dxa"/>
            <w:gridSpan w:val="2"/>
          </w:tcPr>
          <w:p>
            <w:pPr>
              <w:ind w:right="-29"/>
              <w:rPr>
                <w:noProof/>
                <w:sz w:val="18"/>
                <w:szCs w:val="18"/>
              </w:rPr>
            </w:pPr>
            <w:r>
              <w:rPr>
                <w:noProof/>
                <w:sz w:val="18"/>
              </w:rPr>
              <w:t>Toetuslepingud</w:t>
            </w:r>
          </w:p>
        </w:tc>
        <w:tc>
          <w:tcPr>
            <w:tcW w:w="701" w:type="dxa"/>
          </w:tcPr>
          <w:p>
            <w:pPr>
              <w:ind w:right="-29"/>
              <w:rPr>
                <w:noProof/>
                <w:sz w:val="18"/>
                <w:szCs w:val="18"/>
              </w:rPr>
            </w:pPr>
            <w:r>
              <w:rPr>
                <w:noProof/>
                <w:sz w:val="18"/>
              </w:rPr>
              <w:t>0,3</w:t>
            </w:r>
          </w:p>
        </w:tc>
        <w:tc>
          <w:tcPr>
            <w:tcW w:w="504" w:type="dxa"/>
            <w:tcBorders>
              <w:right w:val="dashSmallGap" w:sz="4" w:space="0" w:color="auto"/>
            </w:tcBorders>
          </w:tcPr>
          <w:p>
            <w:pPr>
              <w:ind w:right="-29"/>
              <w:rPr>
                <w:noProof/>
                <w:sz w:val="18"/>
                <w:szCs w:val="18"/>
              </w:rPr>
            </w:pPr>
            <w:r>
              <w:rPr>
                <w:noProof/>
                <w:sz w:val="18"/>
              </w:rPr>
              <w:t>15</w:t>
            </w:r>
          </w:p>
        </w:tc>
        <w:tc>
          <w:tcPr>
            <w:tcW w:w="720" w:type="dxa"/>
            <w:tcBorders>
              <w:left w:val="dashSmallGap" w:sz="4" w:space="0" w:color="auto"/>
            </w:tcBorders>
          </w:tcPr>
          <w:p>
            <w:pPr>
              <w:ind w:right="-29"/>
              <w:rPr>
                <w:noProof/>
                <w:sz w:val="18"/>
                <w:szCs w:val="18"/>
              </w:rPr>
            </w:pPr>
            <w:r>
              <w:rPr>
                <w:noProof/>
                <w:sz w:val="18"/>
              </w:rPr>
              <w:t>3</w:t>
            </w:r>
          </w:p>
        </w:tc>
        <w:tc>
          <w:tcPr>
            <w:tcW w:w="540" w:type="dxa"/>
            <w:tcBorders>
              <w:right w:val="dashSmallGap" w:sz="4" w:space="0" w:color="auto"/>
            </w:tcBorders>
          </w:tcPr>
          <w:p>
            <w:pPr>
              <w:ind w:right="-29"/>
              <w:rPr>
                <w:noProof/>
                <w:sz w:val="18"/>
                <w:szCs w:val="18"/>
              </w:rPr>
            </w:pPr>
            <w:r>
              <w:rPr>
                <w:noProof/>
                <w:sz w:val="18"/>
              </w:rPr>
              <w:t>15</w:t>
            </w:r>
          </w:p>
        </w:tc>
        <w:tc>
          <w:tcPr>
            <w:tcW w:w="720" w:type="dxa"/>
            <w:tcBorders>
              <w:left w:val="dashSmallGap" w:sz="4" w:space="0" w:color="auto"/>
            </w:tcBorders>
          </w:tcPr>
          <w:p>
            <w:pPr>
              <w:ind w:right="-29"/>
              <w:rPr>
                <w:noProof/>
                <w:sz w:val="18"/>
                <w:szCs w:val="18"/>
              </w:rPr>
            </w:pPr>
            <w:r>
              <w:rPr>
                <w:noProof/>
                <w:sz w:val="18"/>
              </w:rPr>
              <w:t>3</w:t>
            </w:r>
          </w:p>
        </w:tc>
        <w:tc>
          <w:tcPr>
            <w:tcW w:w="720" w:type="dxa"/>
            <w:tcBorders>
              <w:right w:val="dashSmallGap" w:sz="4" w:space="0" w:color="auto"/>
            </w:tcBorders>
          </w:tcPr>
          <w:p>
            <w:pPr>
              <w:ind w:right="-29"/>
              <w:rPr>
                <w:noProof/>
                <w:sz w:val="18"/>
                <w:szCs w:val="18"/>
              </w:rPr>
            </w:pPr>
            <w:r>
              <w:rPr>
                <w:noProof/>
                <w:sz w:val="18"/>
              </w:rPr>
              <w:t>15</w:t>
            </w:r>
          </w:p>
        </w:tc>
        <w:tc>
          <w:tcPr>
            <w:tcW w:w="720" w:type="dxa"/>
            <w:tcBorders>
              <w:left w:val="dashSmallGap" w:sz="4" w:space="0" w:color="auto"/>
            </w:tcBorders>
          </w:tcPr>
          <w:p>
            <w:pPr>
              <w:ind w:right="-29"/>
              <w:rPr>
                <w:noProof/>
                <w:sz w:val="18"/>
                <w:szCs w:val="18"/>
              </w:rPr>
            </w:pPr>
            <w:r>
              <w:rPr>
                <w:noProof/>
                <w:sz w:val="18"/>
              </w:rPr>
              <w:t>3</w:t>
            </w:r>
          </w:p>
        </w:tc>
        <w:tc>
          <w:tcPr>
            <w:tcW w:w="900" w:type="dxa"/>
            <w:tcBorders>
              <w:right w:val="dashSmallGap" w:sz="4" w:space="0" w:color="auto"/>
            </w:tcBorders>
          </w:tcPr>
          <w:p>
            <w:pPr>
              <w:ind w:right="-29"/>
              <w:rPr>
                <w:noProof/>
                <w:sz w:val="18"/>
                <w:szCs w:val="18"/>
              </w:rPr>
            </w:pPr>
            <w:r>
              <w:rPr>
                <w:noProof/>
                <w:sz w:val="18"/>
              </w:rPr>
              <w:t>45</w:t>
            </w:r>
          </w:p>
        </w:tc>
        <w:tc>
          <w:tcPr>
            <w:tcW w:w="720" w:type="dxa"/>
            <w:gridSpan w:val="2"/>
            <w:tcBorders>
              <w:left w:val="dashSmallGap" w:sz="4" w:space="0" w:color="auto"/>
            </w:tcBorders>
          </w:tcPr>
          <w:p>
            <w:pPr>
              <w:ind w:right="-29"/>
              <w:jc w:val="center"/>
              <w:rPr>
                <w:noProof/>
                <w:sz w:val="18"/>
                <w:szCs w:val="18"/>
              </w:rPr>
            </w:pPr>
            <w:r>
              <w:rPr>
                <w:noProof/>
                <w:sz w:val="18"/>
              </w:rPr>
              <w:t>9</w:t>
            </w:r>
          </w:p>
        </w:tc>
      </w:tr>
      <w:tr>
        <w:trPr>
          <w:gridAfter w:val="10"/>
          <w:wAfter w:w="4714" w:type="dxa"/>
          <w:trHeight w:hRule="exact" w:val="719"/>
          <w:jc w:val="center"/>
        </w:trPr>
        <w:tc>
          <w:tcPr>
            <w:tcW w:w="1218" w:type="dxa"/>
          </w:tcPr>
          <w:p>
            <w:pPr>
              <w:ind w:right="-29"/>
              <w:rPr>
                <w:noProof/>
                <w:sz w:val="18"/>
                <w:szCs w:val="18"/>
              </w:rPr>
            </w:pPr>
            <w:r>
              <w:rPr>
                <w:noProof/>
                <w:sz w:val="18"/>
              </w:rPr>
              <w:t>Uuringud</w:t>
            </w:r>
          </w:p>
        </w:tc>
        <w:tc>
          <w:tcPr>
            <w:tcW w:w="1028" w:type="dxa"/>
            <w:gridSpan w:val="2"/>
          </w:tcPr>
          <w:p>
            <w:pPr>
              <w:ind w:right="-29"/>
              <w:rPr>
                <w:noProof/>
                <w:sz w:val="18"/>
                <w:szCs w:val="18"/>
              </w:rPr>
            </w:pPr>
            <w:r>
              <w:rPr>
                <w:noProof/>
                <w:sz w:val="18"/>
              </w:rPr>
              <w:t>Lepingute arv</w:t>
            </w:r>
          </w:p>
        </w:tc>
        <w:tc>
          <w:tcPr>
            <w:tcW w:w="701" w:type="dxa"/>
          </w:tcPr>
          <w:p>
            <w:pPr>
              <w:ind w:right="-29"/>
              <w:jc w:val="center"/>
              <w:rPr>
                <w:noProof/>
                <w:sz w:val="18"/>
                <w:szCs w:val="18"/>
              </w:rPr>
            </w:pPr>
            <w:r>
              <w:rPr>
                <w:noProof/>
                <w:sz w:val="18"/>
              </w:rPr>
              <w:t>0,1</w:t>
            </w:r>
          </w:p>
        </w:tc>
        <w:tc>
          <w:tcPr>
            <w:tcW w:w="504" w:type="dxa"/>
          </w:tcPr>
          <w:p>
            <w:pPr>
              <w:ind w:right="-29"/>
              <w:jc w:val="center"/>
              <w:rPr>
                <w:noProof/>
                <w:sz w:val="18"/>
                <w:szCs w:val="18"/>
              </w:rPr>
            </w:pPr>
            <w:r>
              <w:rPr>
                <w:noProof/>
                <w:sz w:val="18"/>
              </w:rPr>
              <w:t>5</w:t>
            </w:r>
          </w:p>
        </w:tc>
        <w:tc>
          <w:tcPr>
            <w:tcW w:w="720" w:type="dxa"/>
          </w:tcPr>
          <w:p>
            <w:pPr>
              <w:ind w:right="-29"/>
              <w:jc w:val="center"/>
              <w:rPr>
                <w:noProof/>
                <w:sz w:val="18"/>
                <w:szCs w:val="18"/>
              </w:rPr>
            </w:pPr>
            <w:r>
              <w:rPr>
                <w:noProof/>
                <w:sz w:val="18"/>
              </w:rPr>
              <w:t>0,5</w:t>
            </w:r>
          </w:p>
        </w:tc>
        <w:tc>
          <w:tcPr>
            <w:tcW w:w="540" w:type="dxa"/>
          </w:tcPr>
          <w:p>
            <w:pPr>
              <w:ind w:right="-29"/>
              <w:jc w:val="center"/>
              <w:rPr>
                <w:noProof/>
                <w:sz w:val="18"/>
                <w:szCs w:val="18"/>
              </w:rPr>
            </w:pPr>
            <w:r>
              <w:rPr>
                <w:noProof/>
                <w:sz w:val="18"/>
              </w:rPr>
              <w:t>5</w:t>
            </w:r>
          </w:p>
        </w:tc>
        <w:tc>
          <w:tcPr>
            <w:tcW w:w="720" w:type="dxa"/>
          </w:tcPr>
          <w:p>
            <w:pPr>
              <w:ind w:right="-29"/>
              <w:jc w:val="center"/>
              <w:rPr>
                <w:noProof/>
                <w:sz w:val="18"/>
                <w:szCs w:val="18"/>
              </w:rPr>
            </w:pPr>
            <w:r>
              <w:rPr>
                <w:noProof/>
                <w:sz w:val="18"/>
              </w:rPr>
              <w:t>0,5</w:t>
            </w:r>
          </w:p>
        </w:tc>
        <w:tc>
          <w:tcPr>
            <w:tcW w:w="720" w:type="dxa"/>
          </w:tcPr>
          <w:p>
            <w:pPr>
              <w:ind w:right="-29"/>
              <w:jc w:val="center"/>
              <w:rPr>
                <w:noProof/>
                <w:sz w:val="18"/>
                <w:szCs w:val="18"/>
              </w:rPr>
            </w:pPr>
            <w:r>
              <w:rPr>
                <w:noProof/>
                <w:sz w:val="18"/>
              </w:rPr>
              <w:t>5</w:t>
            </w:r>
          </w:p>
        </w:tc>
        <w:tc>
          <w:tcPr>
            <w:tcW w:w="720" w:type="dxa"/>
          </w:tcPr>
          <w:p>
            <w:pPr>
              <w:ind w:right="-29"/>
              <w:jc w:val="center"/>
              <w:rPr>
                <w:noProof/>
                <w:sz w:val="18"/>
                <w:szCs w:val="18"/>
              </w:rPr>
            </w:pPr>
            <w:r>
              <w:rPr>
                <w:noProof/>
                <w:sz w:val="18"/>
              </w:rPr>
              <w:t>0,5</w:t>
            </w:r>
          </w:p>
        </w:tc>
        <w:tc>
          <w:tcPr>
            <w:tcW w:w="900" w:type="dxa"/>
          </w:tcPr>
          <w:p>
            <w:pPr>
              <w:ind w:right="-29"/>
              <w:jc w:val="center"/>
              <w:rPr>
                <w:noProof/>
                <w:sz w:val="18"/>
                <w:szCs w:val="18"/>
              </w:rPr>
            </w:pPr>
            <w:r>
              <w:rPr>
                <w:noProof/>
                <w:sz w:val="18"/>
              </w:rPr>
              <w:t>15</w:t>
            </w:r>
          </w:p>
        </w:tc>
        <w:tc>
          <w:tcPr>
            <w:tcW w:w="720" w:type="dxa"/>
            <w:gridSpan w:val="2"/>
          </w:tcPr>
          <w:p>
            <w:pPr>
              <w:ind w:right="-29"/>
              <w:jc w:val="center"/>
              <w:rPr>
                <w:noProof/>
                <w:sz w:val="18"/>
                <w:szCs w:val="18"/>
              </w:rPr>
            </w:pPr>
            <w:r>
              <w:rPr>
                <w:noProof/>
                <w:sz w:val="18"/>
              </w:rPr>
              <w:t>1,5</w:t>
            </w:r>
          </w:p>
        </w:tc>
      </w:tr>
      <w:tr>
        <w:trPr>
          <w:gridAfter w:val="10"/>
          <w:wAfter w:w="4714" w:type="dxa"/>
          <w:trHeight w:val="1060"/>
          <w:jc w:val="center"/>
        </w:trPr>
        <w:tc>
          <w:tcPr>
            <w:tcW w:w="2947" w:type="dxa"/>
            <w:gridSpan w:val="4"/>
            <w:vAlign w:val="center"/>
          </w:tcPr>
          <w:p>
            <w:pPr>
              <w:ind w:right="-29"/>
              <w:jc w:val="center"/>
              <w:rPr>
                <w:noProof/>
                <w:sz w:val="18"/>
                <w:szCs w:val="18"/>
              </w:rPr>
            </w:pPr>
            <w:r>
              <w:rPr>
                <w:noProof/>
                <w:sz w:val="18"/>
              </w:rPr>
              <w:t>Erieesmärk nr 1 kokku</w:t>
            </w:r>
          </w:p>
        </w:tc>
        <w:tc>
          <w:tcPr>
            <w:tcW w:w="504" w:type="dxa"/>
          </w:tcPr>
          <w:p>
            <w:pPr>
              <w:ind w:right="-29"/>
              <w:jc w:val="center"/>
              <w:rPr>
                <w:noProof/>
                <w:sz w:val="18"/>
                <w:szCs w:val="18"/>
              </w:rPr>
            </w:pPr>
            <w:r>
              <w:rPr>
                <w:noProof/>
                <w:sz w:val="18"/>
              </w:rPr>
              <w:t>20</w:t>
            </w:r>
          </w:p>
        </w:tc>
        <w:tc>
          <w:tcPr>
            <w:tcW w:w="720" w:type="dxa"/>
            <w:tcBorders>
              <w:bottom w:val="single" w:sz="12" w:space="0" w:color="auto"/>
            </w:tcBorders>
          </w:tcPr>
          <w:p>
            <w:pPr>
              <w:ind w:right="-29"/>
              <w:jc w:val="center"/>
              <w:rPr>
                <w:noProof/>
                <w:sz w:val="18"/>
                <w:szCs w:val="18"/>
              </w:rPr>
            </w:pPr>
            <w:r>
              <w:rPr>
                <w:noProof/>
                <w:sz w:val="18"/>
              </w:rPr>
              <w:t>3,5</w:t>
            </w:r>
          </w:p>
        </w:tc>
        <w:tc>
          <w:tcPr>
            <w:tcW w:w="540" w:type="dxa"/>
            <w:tcBorders>
              <w:bottom w:val="single" w:sz="12" w:space="0" w:color="auto"/>
            </w:tcBorders>
          </w:tcPr>
          <w:p>
            <w:pPr>
              <w:ind w:right="-29"/>
              <w:jc w:val="center"/>
              <w:rPr>
                <w:noProof/>
                <w:sz w:val="18"/>
                <w:szCs w:val="18"/>
              </w:rPr>
            </w:pPr>
            <w:r>
              <w:rPr>
                <w:noProof/>
                <w:sz w:val="18"/>
              </w:rPr>
              <w:t>20</w:t>
            </w:r>
          </w:p>
        </w:tc>
        <w:tc>
          <w:tcPr>
            <w:tcW w:w="720" w:type="dxa"/>
            <w:tcBorders>
              <w:bottom w:val="single" w:sz="12" w:space="0" w:color="auto"/>
            </w:tcBorders>
          </w:tcPr>
          <w:p>
            <w:pPr>
              <w:ind w:right="-29"/>
              <w:jc w:val="center"/>
              <w:rPr>
                <w:noProof/>
                <w:sz w:val="18"/>
                <w:szCs w:val="18"/>
              </w:rPr>
            </w:pPr>
            <w:r>
              <w:rPr>
                <w:noProof/>
                <w:sz w:val="18"/>
              </w:rPr>
              <w:t>3,5</w:t>
            </w:r>
          </w:p>
        </w:tc>
        <w:tc>
          <w:tcPr>
            <w:tcW w:w="720" w:type="dxa"/>
            <w:tcBorders>
              <w:bottom w:val="single" w:sz="12" w:space="0" w:color="auto"/>
            </w:tcBorders>
          </w:tcPr>
          <w:p>
            <w:pPr>
              <w:ind w:right="-29"/>
              <w:jc w:val="center"/>
              <w:rPr>
                <w:noProof/>
                <w:sz w:val="18"/>
                <w:szCs w:val="18"/>
              </w:rPr>
            </w:pPr>
            <w:r>
              <w:rPr>
                <w:noProof/>
                <w:sz w:val="18"/>
              </w:rPr>
              <w:t>20</w:t>
            </w:r>
          </w:p>
        </w:tc>
        <w:tc>
          <w:tcPr>
            <w:tcW w:w="720" w:type="dxa"/>
            <w:tcBorders>
              <w:bottom w:val="single" w:sz="12" w:space="0" w:color="auto"/>
            </w:tcBorders>
          </w:tcPr>
          <w:p>
            <w:pPr>
              <w:ind w:right="-29"/>
              <w:jc w:val="center"/>
              <w:rPr>
                <w:noProof/>
                <w:sz w:val="18"/>
                <w:szCs w:val="18"/>
              </w:rPr>
            </w:pPr>
            <w:r>
              <w:rPr>
                <w:noProof/>
                <w:sz w:val="18"/>
              </w:rPr>
              <w:t>3,5</w:t>
            </w:r>
          </w:p>
        </w:tc>
        <w:tc>
          <w:tcPr>
            <w:tcW w:w="900" w:type="dxa"/>
            <w:tcBorders>
              <w:bottom w:val="single" w:sz="12" w:space="0" w:color="auto"/>
            </w:tcBorders>
          </w:tcPr>
          <w:p>
            <w:pPr>
              <w:ind w:right="-29"/>
              <w:jc w:val="center"/>
              <w:rPr>
                <w:noProof/>
                <w:sz w:val="18"/>
                <w:szCs w:val="18"/>
              </w:rPr>
            </w:pPr>
            <w:r>
              <w:rPr>
                <w:noProof/>
                <w:sz w:val="18"/>
              </w:rPr>
              <w:t>60</w:t>
            </w:r>
          </w:p>
        </w:tc>
        <w:tc>
          <w:tcPr>
            <w:tcW w:w="720" w:type="dxa"/>
            <w:gridSpan w:val="2"/>
            <w:tcBorders>
              <w:bottom w:val="single" w:sz="12" w:space="0" w:color="auto"/>
            </w:tcBorders>
          </w:tcPr>
          <w:p>
            <w:pPr>
              <w:ind w:right="-29"/>
              <w:jc w:val="center"/>
              <w:rPr>
                <w:noProof/>
                <w:sz w:val="18"/>
                <w:szCs w:val="18"/>
              </w:rPr>
            </w:pPr>
            <w:r>
              <w:rPr>
                <w:noProof/>
                <w:sz w:val="18"/>
              </w:rPr>
              <w:t>10,5</w:t>
            </w:r>
          </w:p>
        </w:tc>
      </w:tr>
      <w:tr>
        <w:trPr>
          <w:trHeight w:val="1402"/>
          <w:jc w:val="center"/>
        </w:trPr>
        <w:tc>
          <w:tcPr>
            <w:tcW w:w="2947" w:type="dxa"/>
            <w:gridSpan w:val="4"/>
            <w:tcBorders>
              <w:top w:val="nil"/>
              <w:left w:val="nil"/>
              <w:bottom w:val="nil"/>
              <w:right w:val="nil"/>
            </w:tcBorders>
            <w:vAlign w:val="center"/>
          </w:tcPr>
          <w:p>
            <w:pPr>
              <w:spacing w:before="60" w:after="60"/>
              <w:ind w:right="-29"/>
              <w:rPr>
                <w:noProof/>
                <w:sz w:val="18"/>
                <w:szCs w:val="18"/>
              </w:rPr>
            </w:pPr>
          </w:p>
        </w:tc>
        <w:tc>
          <w:tcPr>
            <w:tcW w:w="504"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tcBorders>
              <w:top w:val="nil"/>
              <w:left w:val="nil"/>
              <w:bottom w:val="nil"/>
              <w:right w:val="nil"/>
            </w:tcBorders>
          </w:tcPr>
          <w:p>
            <w:pPr>
              <w:spacing w:before="60" w:after="60"/>
              <w:ind w:right="-29"/>
              <w:jc w:val="center"/>
              <w:rPr>
                <w:noProof/>
                <w:sz w:val="18"/>
                <w:szCs w:val="18"/>
              </w:rPr>
            </w:pPr>
          </w:p>
        </w:tc>
        <w:tc>
          <w:tcPr>
            <w:tcW w:w="720" w:type="dxa"/>
            <w:gridSpan w:val="2"/>
            <w:tcBorders>
              <w:top w:val="nil"/>
              <w:left w:val="nil"/>
              <w:bottom w:val="nil"/>
              <w:right w:val="nil"/>
            </w:tcBorders>
          </w:tcPr>
          <w:p>
            <w:pPr>
              <w:spacing w:before="60" w:after="60"/>
              <w:ind w:right="-29"/>
              <w:jc w:val="center"/>
              <w:rPr>
                <w:noProof/>
                <w:sz w:val="18"/>
                <w:szCs w:val="18"/>
              </w:rPr>
            </w:pPr>
          </w:p>
        </w:tc>
        <w:tc>
          <w:tcPr>
            <w:tcW w:w="540" w:type="dxa"/>
            <w:gridSpan w:val="3"/>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539" w:type="dxa"/>
            <w:tcBorders>
              <w:top w:val="nil"/>
              <w:left w:val="nil"/>
              <w:bottom w:val="nil"/>
              <w:right w:val="nil"/>
            </w:tcBorders>
          </w:tcPr>
          <w:p>
            <w:pPr>
              <w:spacing w:before="60" w:after="60"/>
              <w:ind w:right="-29"/>
              <w:jc w:val="center"/>
              <w:rPr>
                <w:noProof/>
                <w:sz w:val="18"/>
                <w:szCs w:val="18"/>
              </w:rPr>
            </w:pPr>
          </w:p>
        </w:tc>
        <w:tc>
          <w:tcPr>
            <w:tcW w:w="613"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878" w:type="dxa"/>
            <w:tcBorders>
              <w:top w:val="nil"/>
              <w:left w:val="nil"/>
              <w:bottom w:val="nil"/>
              <w:right w:val="nil"/>
            </w:tcBorders>
          </w:tcPr>
          <w:p>
            <w:pPr>
              <w:spacing w:before="60" w:after="60"/>
              <w:ind w:right="-29"/>
              <w:jc w:val="center"/>
              <w:rPr>
                <w:noProof/>
                <w:sz w:val="18"/>
                <w:szCs w:val="18"/>
              </w:rPr>
            </w:pPr>
          </w:p>
        </w:tc>
        <w:tc>
          <w:tcPr>
            <w:tcW w:w="236" w:type="dxa"/>
            <w:tcBorders>
              <w:top w:val="nil"/>
              <w:left w:val="nil"/>
              <w:bottom w:val="nil"/>
              <w:right w:val="nil"/>
            </w:tcBorders>
          </w:tcPr>
          <w:p>
            <w:pPr>
              <w:spacing w:before="60" w:after="60"/>
              <w:ind w:right="-29"/>
              <w:jc w:val="center"/>
              <w:rPr>
                <w:noProof/>
                <w:sz w:val="18"/>
                <w:szCs w:val="18"/>
              </w:rPr>
            </w:pPr>
          </w:p>
        </w:tc>
      </w:tr>
      <w:tr>
        <w:trPr>
          <w:jc w:val="center"/>
        </w:trPr>
        <w:tc>
          <w:tcPr>
            <w:tcW w:w="2947" w:type="dxa"/>
            <w:gridSpan w:val="4"/>
            <w:tcBorders>
              <w:top w:val="nil"/>
            </w:tcBorders>
            <w:vAlign w:val="center"/>
          </w:tcPr>
          <w:p>
            <w:pPr>
              <w:spacing w:before="60" w:after="60"/>
              <w:ind w:right="-29"/>
              <w:rPr>
                <w:noProof/>
                <w:sz w:val="18"/>
                <w:szCs w:val="18"/>
              </w:rPr>
            </w:pPr>
            <w:r>
              <w:rPr>
                <w:noProof/>
                <w:sz w:val="18"/>
              </w:rPr>
              <w:t>ERIEESMÄRK nr 2 – valmisolek</w:t>
            </w:r>
          </w:p>
        </w:tc>
        <w:tc>
          <w:tcPr>
            <w:tcW w:w="504"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tcBorders>
              <w:top w:val="nil"/>
              <w:left w:val="nil"/>
              <w:bottom w:val="nil"/>
              <w:right w:val="nil"/>
            </w:tcBorders>
          </w:tcPr>
          <w:p>
            <w:pPr>
              <w:spacing w:before="60" w:after="60"/>
              <w:ind w:right="-29"/>
              <w:jc w:val="center"/>
              <w:rPr>
                <w:noProof/>
                <w:sz w:val="18"/>
                <w:szCs w:val="18"/>
              </w:rPr>
            </w:pPr>
          </w:p>
        </w:tc>
        <w:tc>
          <w:tcPr>
            <w:tcW w:w="720" w:type="dxa"/>
            <w:gridSpan w:val="2"/>
            <w:tcBorders>
              <w:top w:val="nil"/>
              <w:left w:val="nil"/>
              <w:bottom w:val="nil"/>
              <w:right w:val="nil"/>
            </w:tcBorders>
          </w:tcPr>
          <w:p>
            <w:pPr>
              <w:spacing w:before="60" w:after="60"/>
              <w:ind w:right="-29"/>
              <w:jc w:val="center"/>
              <w:rPr>
                <w:noProof/>
                <w:sz w:val="18"/>
                <w:szCs w:val="18"/>
              </w:rPr>
            </w:pPr>
          </w:p>
        </w:tc>
        <w:tc>
          <w:tcPr>
            <w:tcW w:w="540" w:type="dxa"/>
            <w:gridSpan w:val="3"/>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539" w:type="dxa"/>
            <w:tcBorders>
              <w:top w:val="nil"/>
              <w:left w:val="nil"/>
              <w:bottom w:val="nil"/>
              <w:right w:val="nil"/>
            </w:tcBorders>
          </w:tcPr>
          <w:p>
            <w:pPr>
              <w:spacing w:before="60" w:after="60"/>
              <w:ind w:right="-29"/>
              <w:jc w:val="center"/>
              <w:rPr>
                <w:noProof/>
                <w:sz w:val="18"/>
                <w:szCs w:val="18"/>
              </w:rPr>
            </w:pPr>
          </w:p>
        </w:tc>
        <w:tc>
          <w:tcPr>
            <w:tcW w:w="613"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878" w:type="dxa"/>
            <w:tcBorders>
              <w:top w:val="nil"/>
              <w:left w:val="nil"/>
              <w:bottom w:val="nil"/>
              <w:right w:val="nil"/>
            </w:tcBorders>
          </w:tcPr>
          <w:p>
            <w:pPr>
              <w:spacing w:before="60" w:after="60"/>
              <w:ind w:right="-29"/>
              <w:jc w:val="center"/>
              <w:rPr>
                <w:noProof/>
                <w:sz w:val="18"/>
                <w:szCs w:val="18"/>
              </w:rPr>
            </w:pPr>
          </w:p>
        </w:tc>
        <w:tc>
          <w:tcPr>
            <w:tcW w:w="236" w:type="dxa"/>
            <w:tcBorders>
              <w:top w:val="nil"/>
              <w:left w:val="nil"/>
              <w:bottom w:val="nil"/>
              <w:right w:val="nil"/>
            </w:tcBorders>
          </w:tcPr>
          <w:p>
            <w:pPr>
              <w:spacing w:before="60" w:after="60"/>
              <w:ind w:right="-29"/>
              <w:jc w:val="center"/>
              <w:rPr>
                <w:noProof/>
                <w:sz w:val="18"/>
                <w:szCs w:val="18"/>
              </w:rPr>
            </w:pPr>
          </w:p>
        </w:tc>
      </w:tr>
      <w:tr>
        <w:trPr>
          <w:gridAfter w:val="10"/>
          <w:wAfter w:w="4714" w:type="dxa"/>
          <w:trHeight w:hRule="exact" w:val="1450"/>
          <w:jc w:val="center"/>
        </w:trPr>
        <w:tc>
          <w:tcPr>
            <w:tcW w:w="1218" w:type="dxa"/>
          </w:tcPr>
          <w:p>
            <w:pPr>
              <w:ind w:right="-29"/>
              <w:rPr>
                <w:noProof/>
                <w:sz w:val="18"/>
                <w:szCs w:val="18"/>
              </w:rPr>
            </w:pPr>
            <w:r>
              <w:rPr>
                <w:noProof/>
                <w:sz w:val="18"/>
              </w:rPr>
              <w:t>Valmisoleku tõhustamiseks rahastatud projektide arv (sealhulgas koolitus ja õppused)</w:t>
            </w:r>
          </w:p>
        </w:tc>
        <w:tc>
          <w:tcPr>
            <w:tcW w:w="1028" w:type="dxa"/>
            <w:gridSpan w:val="2"/>
          </w:tcPr>
          <w:p>
            <w:pPr>
              <w:ind w:right="-29"/>
              <w:rPr>
                <w:noProof/>
                <w:sz w:val="18"/>
                <w:szCs w:val="18"/>
              </w:rPr>
            </w:pPr>
            <w:r>
              <w:rPr>
                <w:noProof/>
                <w:sz w:val="18"/>
              </w:rPr>
              <w:t>Toetuslepingud ja lepingud</w:t>
            </w:r>
          </w:p>
        </w:tc>
        <w:tc>
          <w:tcPr>
            <w:tcW w:w="701" w:type="dxa"/>
          </w:tcPr>
          <w:p>
            <w:pPr>
              <w:ind w:right="-29"/>
              <w:jc w:val="center"/>
              <w:rPr>
                <w:noProof/>
                <w:sz w:val="18"/>
                <w:szCs w:val="18"/>
              </w:rPr>
            </w:pPr>
            <w:r>
              <w:rPr>
                <w:noProof/>
                <w:sz w:val="18"/>
              </w:rPr>
              <w:t>0,5</w:t>
            </w:r>
          </w:p>
        </w:tc>
        <w:tc>
          <w:tcPr>
            <w:tcW w:w="504" w:type="dxa"/>
            <w:tcBorders>
              <w:right w:val="dashSmallGap" w:sz="4" w:space="0" w:color="auto"/>
            </w:tcBorders>
          </w:tcPr>
          <w:p>
            <w:pPr>
              <w:ind w:right="-29"/>
              <w:jc w:val="center"/>
              <w:rPr>
                <w:noProof/>
                <w:sz w:val="18"/>
                <w:szCs w:val="18"/>
              </w:rPr>
            </w:pPr>
            <w:r>
              <w:rPr>
                <w:noProof/>
                <w:sz w:val="18"/>
              </w:rPr>
              <w:t>100</w:t>
            </w:r>
          </w:p>
        </w:tc>
        <w:tc>
          <w:tcPr>
            <w:tcW w:w="720" w:type="dxa"/>
            <w:tcBorders>
              <w:left w:val="dashSmallGap" w:sz="4" w:space="0" w:color="auto"/>
            </w:tcBorders>
          </w:tcPr>
          <w:p>
            <w:pPr>
              <w:ind w:right="-29"/>
              <w:jc w:val="center"/>
              <w:rPr>
                <w:noProof/>
                <w:sz w:val="18"/>
                <w:szCs w:val="18"/>
              </w:rPr>
            </w:pPr>
            <w:r>
              <w:rPr>
                <w:noProof/>
                <w:sz w:val="18"/>
              </w:rPr>
              <w:t>5</w:t>
            </w:r>
          </w:p>
        </w:tc>
        <w:tc>
          <w:tcPr>
            <w:tcW w:w="540" w:type="dxa"/>
            <w:tcBorders>
              <w:right w:val="dashSmallGap" w:sz="4" w:space="0" w:color="auto"/>
            </w:tcBorders>
          </w:tcPr>
          <w:p>
            <w:pPr>
              <w:ind w:right="-29"/>
              <w:jc w:val="center"/>
              <w:rPr>
                <w:noProof/>
                <w:sz w:val="18"/>
                <w:szCs w:val="18"/>
              </w:rPr>
            </w:pPr>
            <w:r>
              <w:rPr>
                <w:noProof/>
                <w:sz w:val="18"/>
              </w:rPr>
              <w:t>100</w:t>
            </w:r>
          </w:p>
        </w:tc>
        <w:tc>
          <w:tcPr>
            <w:tcW w:w="720" w:type="dxa"/>
            <w:tcBorders>
              <w:left w:val="dashSmallGap" w:sz="4" w:space="0" w:color="auto"/>
            </w:tcBorders>
          </w:tcPr>
          <w:p>
            <w:pPr>
              <w:ind w:right="-29"/>
              <w:jc w:val="center"/>
              <w:rPr>
                <w:noProof/>
                <w:sz w:val="18"/>
                <w:szCs w:val="18"/>
              </w:rPr>
            </w:pPr>
            <w:r>
              <w:rPr>
                <w:noProof/>
                <w:sz w:val="18"/>
              </w:rPr>
              <w:t>5</w:t>
            </w:r>
          </w:p>
        </w:tc>
        <w:tc>
          <w:tcPr>
            <w:tcW w:w="720" w:type="dxa"/>
            <w:tcBorders>
              <w:right w:val="dashSmallGap" w:sz="4" w:space="0" w:color="auto"/>
            </w:tcBorders>
          </w:tcPr>
          <w:p>
            <w:pPr>
              <w:ind w:right="-29"/>
              <w:jc w:val="center"/>
              <w:rPr>
                <w:noProof/>
                <w:sz w:val="18"/>
                <w:szCs w:val="18"/>
              </w:rPr>
            </w:pPr>
            <w:r>
              <w:rPr>
                <w:noProof/>
                <w:sz w:val="18"/>
              </w:rPr>
              <w:t>100</w:t>
            </w:r>
          </w:p>
        </w:tc>
        <w:tc>
          <w:tcPr>
            <w:tcW w:w="720" w:type="dxa"/>
            <w:tcBorders>
              <w:left w:val="dashSmallGap" w:sz="4" w:space="0" w:color="auto"/>
            </w:tcBorders>
          </w:tcPr>
          <w:p>
            <w:pPr>
              <w:ind w:right="-29"/>
              <w:jc w:val="center"/>
              <w:rPr>
                <w:noProof/>
                <w:sz w:val="18"/>
                <w:szCs w:val="18"/>
              </w:rPr>
            </w:pPr>
            <w:r>
              <w:rPr>
                <w:noProof/>
                <w:sz w:val="18"/>
              </w:rPr>
              <w:t>5</w:t>
            </w:r>
          </w:p>
        </w:tc>
        <w:tc>
          <w:tcPr>
            <w:tcW w:w="900" w:type="dxa"/>
            <w:tcBorders>
              <w:right w:val="dashSmallGap" w:sz="4" w:space="0" w:color="auto"/>
            </w:tcBorders>
          </w:tcPr>
          <w:p>
            <w:pPr>
              <w:ind w:right="-29"/>
              <w:jc w:val="center"/>
              <w:rPr>
                <w:noProof/>
                <w:sz w:val="18"/>
                <w:szCs w:val="18"/>
              </w:rPr>
            </w:pPr>
            <w:r>
              <w:rPr>
                <w:noProof/>
                <w:sz w:val="18"/>
              </w:rPr>
              <w:t>300</w:t>
            </w:r>
          </w:p>
        </w:tc>
        <w:tc>
          <w:tcPr>
            <w:tcW w:w="720" w:type="dxa"/>
            <w:gridSpan w:val="2"/>
            <w:tcBorders>
              <w:left w:val="dashSmallGap" w:sz="4" w:space="0" w:color="auto"/>
            </w:tcBorders>
          </w:tcPr>
          <w:p>
            <w:pPr>
              <w:ind w:right="-29"/>
              <w:jc w:val="center"/>
              <w:rPr>
                <w:noProof/>
                <w:sz w:val="18"/>
                <w:szCs w:val="18"/>
              </w:rPr>
            </w:pPr>
            <w:r>
              <w:rPr>
                <w:noProof/>
                <w:sz w:val="18"/>
              </w:rPr>
              <w:t>15</w:t>
            </w:r>
          </w:p>
        </w:tc>
      </w:tr>
      <w:tr>
        <w:trPr>
          <w:gridAfter w:val="10"/>
          <w:wAfter w:w="4714" w:type="dxa"/>
          <w:trHeight w:hRule="exact" w:val="714"/>
          <w:jc w:val="center"/>
        </w:trPr>
        <w:tc>
          <w:tcPr>
            <w:tcW w:w="1218" w:type="dxa"/>
          </w:tcPr>
          <w:p>
            <w:pPr>
              <w:ind w:right="-29"/>
              <w:rPr>
                <w:noProof/>
                <w:sz w:val="18"/>
                <w:szCs w:val="18"/>
              </w:rPr>
            </w:pPr>
            <w:r>
              <w:rPr>
                <w:noProof/>
                <w:sz w:val="18"/>
              </w:rPr>
              <w:t>Varajase hoiatamise süsteemid</w:t>
            </w:r>
          </w:p>
        </w:tc>
        <w:tc>
          <w:tcPr>
            <w:tcW w:w="1028" w:type="dxa"/>
            <w:gridSpan w:val="2"/>
          </w:tcPr>
          <w:p>
            <w:pPr>
              <w:ind w:right="-29"/>
              <w:rPr>
                <w:noProof/>
                <w:sz w:val="18"/>
                <w:szCs w:val="18"/>
              </w:rPr>
            </w:pPr>
            <w:r>
              <w:rPr>
                <w:noProof/>
                <w:sz w:val="18"/>
              </w:rPr>
              <w:t>Halduskokkulepete arv</w:t>
            </w:r>
          </w:p>
        </w:tc>
        <w:tc>
          <w:tcPr>
            <w:tcW w:w="701" w:type="dxa"/>
          </w:tcPr>
          <w:p>
            <w:pPr>
              <w:ind w:right="-29"/>
              <w:rPr>
                <w:noProof/>
                <w:sz w:val="18"/>
                <w:szCs w:val="18"/>
              </w:rPr>
            </w:pPr>
            <w:r>
              <w:rPr>
                <w:noProof/>
                <w:sz w:val="18"/>
              </w:rPr>
              <w:t>1,25</w:t>
            </w:r>
          </w:p>
        </w:tc>
        <w:tc>
          <w:tcPr>
            <w:tcW w:w="504" w:type="dxa"/>
            <w:tcBorders>
              <w:right w:val="dashSmallGap" w:sz="4" w:space="0" w:color="auto"/>
            </w:tcBorders>
          </w:tcPr>
          <w:p>
            <w:pPr>
              <w:ind w:right="-29"/>
              <w:jc w:val="center"/>
              <w:rPr>
                <w:noProof/>
                <w:sz w:val="18"/>
                <w:szCs w:val="18"/>
              </w:rPr>
            </w:pPr>
            <w:r>
              <w:rPr>
                <w:noProof/>
                <w:sz w:val="18"/>
              </w:rPr>
              <w:t>2</w:t>
            </w:r>
          </w:p>
        </w:tc>
        <w:tc>
          <w:tcPr>
            <w:tcW w:w="720" w:type="dxa"/>
            <w:tcBorders>
              <w:left w:val="dashSmallGap" w:sz="4" w:space="0" w:color="auto"/>
            </w:tcBorders>
          </w:tcPr>
          <w:p>
            <w:pPr>
              <w:ind w:right="-29"/>
              <w:jc w:val="center"/>
              <w:rPr>
                <w:noProof/>
                <w:sz w:val="18"/>
                <w:szCs w:val="18"/>
              </w:rPr>
            </w:pPr>
            <w:r>
              <w:rPr>
                <w:noProof/>
                <w:sz w:val="18"/>
              </w:rPr>
              <w:t>2,5</w:t>
            </w:r>
          </w:p>
        </w:tc>
        <w:tc>
          <w:tcPr>
            <w:tcW w:w="540" w:type="dxa"/>
            <w:tcBorders>
              <w:right w:val="dashSmallGap" w:sz="4" w:space="0" w:color="auto"/>
            </w:tcBorders>
          </w:tcPr>
          <w:p>
            <w:pPr>
              <w:ind w:right="-29"/>
              <w:jc w:val="center"/>
              <w:rPr>
                <w:noProof/>
                <w:sz w:val="18"/>
                <w:szCs w:val="18"/>
              </w:rPr>
            </w:pPr>
            <w:r>
              <w:rPr>
                <w:noProof/>
                <w:sz w:val="18"/>
              </w:rPr>
              <w:t>2</w:t>
            </w:r>
          </w:p>
        </w:tc>
        <w:tc>
          <w:tcPr>
            <w:tcW w:w="720" w:type="dxa"/>
            <w:tcBorders>
              <w:left w:val="dashSmallGap" w:sz="4" w:space="0" w:color="auto"/>
            </w:tcBorders>
          </w:tcPr>
          <w:p>
            <w:pPr>
              <w:ind w:right="-29"/>
              <w:jc w:val="center"/>
              <w:rPr>
                <w:noProof/>
                <w:sz w:val="18"/>
                <w:szCs w:val="18"/>
              </w:rPr>
            </w:pPr>
            <w:r>
              <w:rPr>
                <w:noProof/>
                <w:sz w:val="18"/>
              </w:rPr>
              <w:t>2,5</w:t>
            </w:r>
          </w:p>
        </w:tc>
        <w:tc>
          <w:tcPr>
            <w:tcW w:w="720" w:type="dxa"/>
            <w:tcBorders>
              <w:right w:val="dashSmallGap" w:sz="4" w:space="0" w:color="auto"/>
            </w:tcBorders>
          </w:tcPr>
          <w:p>
            <w:pPr>
              <w:ind w:right="-29"/>
              <w:jc w:val="center"/>
              <w:rPr>
                <w:noProof/>
                <w:sz w:val="18"/>
                <w:szCs w:val="18"/>
              </w:rPr>
            </w:pPr>
            <w:r>
              <w:rPr>
                <w:noProof/>
                <w:sz w:val="18"/>
              </w:rPr>
              <w:t>2</w:t>
            </w:r>
          </w:p>
        </w:tc>
        <w:tc>
          <w:tcPr>
            <w:tcW w:w="720" w:type="dxa"/>
            <w:tcBorders>
              <w:left w:val="dashSmallGap" w:sz="4" w:space="0" w:color="auto"/>
            </w:tcBorders>
          </w:tcPr>
          <w:p>
            <w:pPr>
              <w:ind w:right="-29"/>
              <w:jc w:val="center"/>
              <w:rPr>
                <w:noProof/>
                <w:sz w:val="18"/>
                <w:szCs w:val="18"/>
              </w:rPr>
            </w:pPr>
            <w:r>
              <w:rPr>
                <w:noProof/>
                <w:sz w:val="18"/>
              </w:rPr>
              <w:t>2,5</w:t>
            </w:r>
          </w:p>
        </w:tc>
        <w:tc>
          <w:tcPr>
            <w:tcW w:w="900" w:type="dxa"/>
            <w:tcBorders>
              <w:right w:val="dashSmallGap" w:sz="4" w:space="0" w:color="auto"/>
            </w:tcBorders>
          </w:tcPr>
          <w:p>
            <w:pPr>
              <w:ind w:right="-29"/>
              <w:jc w:val="center"/>
              <w:rPr>
                <w:noProof/>
                <w:sz w:val="18"/>
                <w:szCs w:val="18"/>
              </w:rPr>
            </w:pPr>
            <w:r>
              <w:rPr>
                <w:noProof/>
                <w:sz w:val="18"/>
              </w:rPr>
              <w:t>6</w:t>
            </w:r>
          </w:p>
        </w:tc>
        <w:tc>
          <w:tcPr>
            <w:tcW w:w="720" w:type="dxa"/>
            <w:gridSpan w:val="2"/>
            <w:tcBorders>
              <w:left w:val="dashSmallGap" w:sz="4" w:space="0" w:color="auto"/>
            </w:tcBorders>
          </w:tcPr>
          <w:p>
            <w:pPr>
              <w:ind w:right="-29"/>
              <w:jc w:val="center"/>
              <w:rPr>
                <w:noProof/>
                <w:sz w:val="18"/>
                <w:szCs w:val="18"/>
              </w:rPr>
            </w:pPr>
            <w:r>
              <w:rPr>
                <w:noProof/>
                <w:sz w:val="18"/>
              </w:rPr>
              <w:t>7,5</w:t>
            </w:r>
          </w:p>
        </w:tc>
      </w:tr>
      <w:tr>
        <w:trPr>
          <w:gridAfter w:val="10"/>
          <w:wAfter w:w="4714" w:type="dxa"/>
          <w:trHeight w:hRule="exact" w:val="1071"/>
          <w:jc w:val="center"/>
        </w:trPr>
        <w:tc>
          <w:tcPr>
            <w:tcW w:w="1218" w:type="dxa"/>
          </w:tcPr>
          <w:p>
            <w:pPr>
              <w:ind w:right="-29"/>
              <w:rPr>
                <w:noProof/>
                <w:sz w:val="18"/>
                <w:szCs w:val="18"/>
              </w:rPr>
            </w:pPr>
            <w:r>
              <w:rPr>
                <w:noProof/>
                <w:sz w:val="18"/>
              </w:rPr>
              <w:t>Hädaolukordadele reageerimise suutlikkus</w:t>
            </w:r>
          </w:p>
        </w:tc>
        <w:tc>
          <w:tcPr>
            <w:tcW w:w="1028" w:type="dxa"/>
            <w:gridSpan w:val="2"/>
          </w:tcPr>
          <w:p>
            <w:pPr>
              <w:ind w:right="-29"/>
              <w:rPr>
                <w:noProof/>
                <w:sz w:val="18"/>
                <w:szCs w:val="18"/>
              </w:rPr>
            </w:pPr>
            <w:r>
              <w:rPr>
                <w:noProof/>
                <w:sz w:val="18"/>
              </w:rPr>
              <w:t>Toetuslepingute ja lepingute arv</w:t>
            </w:r>
          </w:p>
        </w:tc>
        <w:tc>
          <w:tcPr>
            <w:tcW w:w="701" w:type="dxa"/>
          </w:tcPr>
          <w:p>
            <w:pPr>
              <w:ind w:right="-29"/>
              <w:jc w:val="center"/>
              <w:rPr>
                <w:noProof/>
                <w:sz w:val="18"/>
                <w:szCs w:val="18"/>
              </w:rPr>
            </w:pPr>
            <w:r>
              <w:rPr>
                <w:noProof/>
                <w:sz w:val="18"/>
              </w:rPr>
              <w:t>1</w:t>
            </w:r>
          </w:p>
        </w:tc>
        <w:tc>
          <w:tcPr>
            <w:tcW w:w="504" w:type="dxa"/>
          </w:tcPr>
          <w:p>
            <w:pPr>
              <w:ind w:right="-29"/>
              <w:jc w:val="center"/>
              <w:rPr>
                <w:noProof/>
                <w:sz w:val="18"/>
                <w:szCs w:val="18"/>
              </w:rPr>
            </w:pPr>
            <w:r>
              <w:rPr>
                <w:noProof/>
                <w:sz w:val="18"/>
              </w:rPr>
              <w:t>7</w:t>
            </w:r>
          </w:p>
        </w:tc>
        <w:tc>
          <w:tcPr>
            <w:tcW w:w="720" w:type="dxa"/>
          </w:tcPr>
          <w:p>
            <w:pPr>
              <w:ind w:right="-29"/>
              <w:jc w:val="center"/>
              <w:rPr>
                <w:noProof/>
                <w:sz w:val="18"/>
                <w:szCs w:val="18"/>
              </w:rPr>
            </w:pPr>
            <w:r>
              <w:rPr>
                <w:noProof/>
                <w:sz w:val="18"/>
              </w:rPr>
              <w:t>7</w:t>
            </w:r>
          </w:p>
        </w:tc>
        <w:tc>
          <w:tcPr>
            <w:tcW w:w="540" w:type="dxa"/>
          </w:tcPr>
          <w:p>
            <w:pPr>
              <w:ind w:right="-29"/>
              <w:jc w:val="center"/>
              <w:rPr>
                <w:noProof/>
                <w:sz w:val="18"/>
                <w:szCs w:val="18"/>
              </w:rPr>
            </w:pPr>
            <w:r>
              <w:rPr>
                <w:noProof/>
                <w:sz w:val="18"/>
              </w:rPr>
              <w:t>13</w:t>
            </w:r>
          </w:p>
        </w:tc>
        <w:tc>
          <w:tcPr>
            <w:tcW w:w="720" w:type="dxa"/>
          </w:tcPr>
          <w:p>
            <w:pPr>
              <w:ind w:right="-29"/>
              <w:jc w:val="center"/>
              <w:rPr>
                <w:noProof/>
                <w:sz w:val="18"/>
                <w:szCs w:val="18"/>
              </w:rPr>
            </w:pPr>
            <w:r>
              <w:rPr>
                <w:noProof/>
                <w:sz w:val="18"/>
              </w:rPr>
              <w:t>13</w:t>
            </w:r>
          </w:p>
        </w:tc>
        <w:tc>
          <w:tcPr>
            <w:tcW w:w="720" w:type="dxa"/>
          </w:tcPr>
          <w:p>
            <w:pPr>
              <w:ind w:right="-29"/>
              <w:jc w:val="center"/>
              <w:rPr>
                <w:noProof/>
                <w:sz w:val="18"/>
                <w:szCs w:val="18"/>
              </w:rPr>
            </w:pPr>
            <w:r>
              <w:rPr>
                <w:noProof/>
                <w:sz w:val="18"/>
              </w:rPr>
              <w:t>20</w:t>
            </w:r>
          </w:p>
        </w:tc>
        <w:tc>
          <w:tcPr>
            <w:tcW w:w="720" w:type="dxa"/>
          </w:tcPr>
          <w:p>
            <w:pPr>
              <w:ind w:right="-29"/>
              <w:jc w:val="center"/>
              <w:rPr>
                <w:noProof/>
                <w:sz w:val="18"/>
                <w:szCs w:val="18"/>
              </w:rPr>
            </w:pPr>
            <w:r>
              <w:rPr>
                <w:noProof/>
                <w:sz w:val="18"/>
              </w:rPr>
              <w:t>20</w:t>
            </w:r>
          </w:p>
        </w:tc>
        <w:tc>
          <w:tcPr>
            <w:tcW w:w="900" w:type="dxa"/>
          </w:tcPr>
          <w:p>
            <w:pPr>
              <w:ind w:right="-29"/>
              <w:jc w:val="center"/>
              <w:rPr>
                <w:noProof/>
                <w:sz w:val="18"/>
                <w:szCs w:val="18"/>
              </w:rPr>
            </w:pPr>
            <w:r>
              <w:rPr>
                <w:noProof/>
                <w:sz w:val="18"/>
              </w:rPr>
              <w:t>40</w:t>
            </w:r>
          </w:p>
        </w:tc>
        <w:tc>
          <w:tcPr>
            <w:tcW w:w="720" w:type="dxa"/>
            <w:gridSpan w:val="2"/>
          </w:tcPr>
          <w:p>
            <w:pPr>
              <w:ind w:right="-29"/>
              <w:jc w:val="center"/>
              <w:rPr>
                <w:noProof/>
                <w:sz w:val="18"/>
                <w:szCs w:val="18"/>
              </w:rPr>
            </w:pPr>
            <w:r>
              <w:rPr>
                <w:noProof/>
                <w:sz w:val="18"/>
              </w:rPr>
              <w:t>40</w:t>
            </w:r>
          </w:p>
        </w:tc>
      </w:tr>
      <w:tr>
        <w:trPr>
          <w:gridAfter w:val="10"/>
          <w:wAfter w:w="4714" w:type="dxa"/>
          <w:jc w:val="center"/>
        </w:trPr>
        <w:tc>
          <w:tcPr>
            <w:tcW w:w="2947" w:type="dxa"/>
            <w:gridSpan w:val="4"/>
            <w:tcBorders>
              <w:bottom w:val="single" w:sz="12" w:space="0" w:color="auto"/>
            </w:tcBorders>
            <w:vAlign w:val="center"/>
          </w:tcPr>
          <w:p>
            <w:pPr>
              <w:jc w:val="center"/>
              <w:rPr>
                <w:noProof/>
                <w:sz w:val="18"/>
                <w:szCs w:val="18"/>
              </w:rPr>
            </w:pPr>
            <w:r>
              <w:rPr>
                <w:noProof/>
                <w:sz w:val="18"/>
              </w:rPr>
              <w:t>Erieesmärk nr 2 kokku</w:t>
            </w:r>
          </w:p>
        </w:tc>
        <w:tc>
          <w:tcPr>
            <w:tcW w:w="504" w:type="dxa"/>
            <w:tcBorders>
              <w:bottom w:val="single" w:sz="12" w:space="0" w:color="auto"/>
            </w:tcBorders>
          </w:tcPr>
          <w:p>
            <w:pPr>
              <w:ind w:right="-29"/>
              <w:jc w:val="center"/>
              <w:rPr>
                <w:noProof/>
                <w:sz w:val="18"/>
                <w:szCs w:val="18"/>
              </w:rPr>
            </w:pPr>
            <w:r>
              <w:rPr>
                <w:noProof/>
                <w:sz w:val="18"/>
              </w:rPr>
              <w:t>109</w:t>
            </w:r>
          </w:p>
        </w:tc>
        <w:tc>
          <w:tcPr>
            <w:tcW w:w="720" w:type="dxa"/>
            <w:tcBorders>
              <w:bottom w:val="single" w:sz="12" w:space="0" w:color="auto"/>
            </w:tcBorders>
          </w:tcPr>
          <w:p>
            <w:pPr>
              <w:ind w:right="-29"/>
              <w:jc w:val="center"/>
              <w:rPr>
                <w:noProof/>
                <w:sz w:val="18"/>
                <w:szCs w:val="18"/>
              </w:rPr>
            </w:pPr>
            <w:r>
              <w:rPr>
                <w:noProof/>
                <w:sz w:val="18"/>
              </w:rPr>
              <w:t>14,5</w:t>
            </w:r>
          </w:p>
        </w:tc>
        <w:tc>
          <w:tcPr>
            <w:tcW w:w="540" w:type="dxa"/>
            <w:tcBorders>
              <w:bottom w:val="single" w:sz="12" w:space="0" w:color="auto"/>
            </w:tcBorders>
          </w:tcPr>
          <w:p>
            <w:pPr>
              <w:ind w:right="-29"/>
              <w:jc w:val="center"/>
              <w:rPr>
                <w:noProof/>
                <w:sz w:val="18"/>
                <w:szCs w:val="18"/>
              </w:rPr>
            </w:pPr>
            <w:r>
              <w:rPr>
                <w:noProof/>
                <w:sz w:val="18"/>
              </w:rPr>
              <w:t>115</w:t>
            </w:r>
          </w:p>
        </w:tc>
        <w:tc>
          <w:tcPr>
            <w:tcW w:w="720" w:type="dxa"/>
            <w:tcBorders>
              <w:bottom w:val="single" w:sz="12" w:space="0" w:color="auto"/>
            </w:tcBorders>
          </w:tcPr>
          <w:p>
            <w:pPr>
              <w:ind w:right="-29"/>
              <w:jc w:val="center"/>
              <w:rPr>
                <w:noProof/>
                <w:sz w:val="18"/>
                <w:szCs w:val="18"/>
              </w:rPr>
            </w:pPr>
            <w:r>
              <w:rPr>
                <w:noProof/>
                <w:sz w:val="18"/>
              </w:rPr>
              <w:t>20,5</w:t>
            </w:r>
          </w:p>
        </w:tc>
        <w:tc>
          <w:tcPr>
            <w:tcW w:w="720" w:type="dxa"/>
            <w:tcBorders>
              <w:bottom w:val="single" w:sz="12" w:space="0" w:color="auto"/>
            </w:tcBorders>
          </w:tcPr>
          <w:p>
            <w:pPr>
              <w:ind w:right="-29"/>
              <w:jc w:val="center"/>
              <w:rPr>
                <w:noProof/>
                <w:sz w:val="18"/>
                <w:szCs w:val="18"/>
              </w:rPr>
            </w:pPr>
            <w:r>
              <w:rPr>
                <w:noProof/>
                <w:sz w:val="18"/>
              </w:rPr>
              <w:t>122</w:t>
            </w:r>
          </w:p>
        </w:tc>
        <w:tc>
          <w:tcPr>
            <w:tcW w:w="720" w:type="dxa"/>
            <w:tcBorders>
              <w:bottom w:val="single" w:sz="12" w:space="0" w:color="auto"/>
            </w:tcBorders>
          </w:tcPr>
          <w:p>
            <w:pPr>
              <w:ind w:right="-29"/>
              <w:jc w:val="center"/>
              <w:rPr>
                <w:noProof/>
                <w:sz w:val="18"/>
                <w:szCs w:val="18"/>
              </w:rPr>
            </w:pPr>
            <w:r>
              <w:rPr>
                <w:noProof/>
                <w:sz w:val="18"/>
              </w:rPr>
              <w:t>27,5</w:t>
            </w:r>
          </w:p>
        </w:tc>
        <w:tc>
          <w:tcPr>
            <w:tcW w:w="938" w:type="dxa"/>
            <w:gridSpan w:val="2"/>
            <w:tcBorders>
              <w:bottom w:val="single" w:sz="12" w:space="0" w:color="auto"/>
            </w:tcBorders>
          </w:tcPr>
          <w:p>
            <w:pPr>
              <w:ind w:right="-29"/>
              <w:jc w:val="center"/>
              <w:rPr>
                <w:noProof/>
                <w:sz w:val="18"/>
                <w:szCs w:val="18"/>
              </w:rPr>
            </w:pPr>
            <w:r>
              <w:rPr>
                <w:noProof/>
                <w:sz w:val="18"/>
              </w:rPr>
              <w:t>346</w:t>
            </w:r>
          </w:p>
        </w:tc>
        <w:tc>
          <w:tcPr>
            <w:tcW w:w="682" w:type="dxa"/>
            <w:tcBorders>
              <w:bottom w:val="single" w:sz="12" w:space="0" w:color="auto"/>
            </w:tcBorders>
          </w:tcPr>
          <w:p>
            <w:pPr>
              <w:ind w:right="-29"/>
              <w:jc w:val="center"/>
              <w:rPr>
                <w:noProof/>
                <w:sz w:val="18"/>
                <w:szCs w:val="18"/>
              </w:rPr>
            </w:pPr>
            <w:r>
              <w:rPr>
                <w:noProof/>
                <w:sz w:val="18"/>
              </w:rPr>
              <w:t>62,5</w:t>
            </w:r>
          </w:p>
        </w:tc>
      </w:tr>
      <w:tr>
        <w:trPr>
          <w:jc w:val="center"/>
        </w:trPr>
        <w:tc>
          <w:tcPr>
            <w:tcW w:w="2947" w:type="dxa"/>
            <w:gridSpan w:val="4"/>
            <w:vAlign w:val="center"/>
          </w:tcPr>
          <w:p>
            <w:pPr>
              <w:spacing w:before="60" w:after="60"/>
              <w:ind w:right="-29"/>
              <w:jc w:val="center"/>
              <w:rPr>
                <w:noProof/>
                <w:sz w:val="18"/>
                <w:szCs w:val="18"/>
              </w:rPr>
            </w:pPr>
          </w:p>
        </w:tc>
        <w:tc>
          <w:tcPr>
            <w:tcW w:w="504"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tcBorders>
              <w:top w:val="nil"/>
              <w:left w:val="nil"/>
              <w:bottom w:val="nil"/>
              <w:right w:val="nil"/>
            </w:tcBorders>
          </w:tcPr>
          <w:p>
            <w:pPr>
              <w:spacing w:before="60" w:after="60"/>
              <w:ind w:right="-29"/>
              <w:jc w:val="center"/>
              <w:rPr>
                <w:noProof/>
                <w:sz w:val="18"/>
                <w:szCs w:val="18"/>
              </w:rPr>
            </w:pPr>
          </w:p>
        </w:tc>
        <w:tc>
          <w:tcPr>
            <w:tcW w:w="720" w:type="dxa"/>
            <w:gridSpan w:val="2"/>
            <w:tcBorders>
              <w:top w:val="nil"/>
              <w:left w:val="nil"/>
              <w:bottom w:val="nil"/>
              <w:right w:val="nil"/>
            </w:tcBorders>
          </w:tcPr>
          <w:p>
            <w:pPr>
              <w:spacing w:before="60" w:after="60"/>
              <w:ind w:right="-29"/>
              <w:jc w:val="center"/>
              <w:rPr>
                <w:noProof/>
                <w:sz w:val="18"/>
                <w:szCs w:val="18"/>
              </w:rPr>
            </w:pPr>
          </w:p>
        </w:tc>
        <w:tc>
          <w:tcPr>
            <w:tcW w:w="540" w:type="dxa"/>
            <w:gridSpan w:val="3"/>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539" w:type="dxa"/>
            <w:tcBorders>
              <w:top w:val="nil"/>
              <w:left w:val="nil"/>
              <w:bottom w:val="nil"/>
              <w:right w:val="nil"/>
            </w:tcBorders>
          </w:tcPr>
          <w:p>
            <w:pPr>
              <w:spacing w:before="60" w:after="60"/>
              <w:ind w:right="-29"/>
              <w:jc w:val="center"/>
              <w:rPr>
                <w:noProof/>
                <w:sz w:val="18"/>
                <w:szCs w:val="18"/>
              </w:rPr>
            </w:pPr>
          </w:p>
        </w:tc>
        <w:tc>
          <w:tcPr>
            <w:tcW w:w="613"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878" w:type="dxa"/>
            <w:tcBorders>
              <w:top w:val="nil"/>
              <w:left w:val="nil"/>
              <w:bottom w:val="nil"/>
              <w:right w:val="nil"/>
            </w:tcBorders>
          </w:tcPr>
          <w:p>
            <w:pPr>
              <w:spacing w:before="60" w:after="60"/>
              <w:ind w:right="-29"/>
              <w:jc w:val="center"/>
              <w:rPr>
                <w:noProof/>
                <w:sz w:val="18"/>
                <w:szCs w:val="18"/>
              </w:rPr>
            </w:pPr>
          </w:p>
        </w:tc>
        <w:tc>
          <w:tcPr>
            <w:tcW w:w="236" w:type="dxa"/>
            <w:tcBorders>
              <w:top w:val="nil"/>
              <w:left w:val="nil"/>
              <w:bottom w:val="nil"/>
              <w:right w:val="nil"/>
            </w:tcBorders>
          </w:tcPr>
          <w:p>
            <w:pPr>
              <w:spacing w:before="60" w:after="60"/>
              <w:ind w:right="-29"/>
              <w:jc w:val="center"/>
              <w:rPr>
                <w:noProof/>
                <w:sz w:val="18"/>
                <w:szCs w:val="18"/>
              </w:rPr>
            </w:pPr>
          </w:p>
        </w:tc>
      </w:tr>
      <w:tr>
        <w:trPr>
          <w:jc w:val="center"/>
        </w:trPr>
        <w:tc>
          <w:tcPr>
            <w:tcW w:w="2947" w:type="dxa"/>
            <w:gridSpan w:val="4"/>
            <w:vAlign w:val="center"/>
          </w:tcPr>
          <w:p>
            <w:pPr>
              <w:spacing w:before="60" w:after="60"/>
              <w:ind w:right="-29"/>
              <w:jc w:val="center"/>
              <w:rPr>
                <w:noProof/>
                <w:sz w:val="18"/>
                <w:szCs w:val="18"/>
              </w:rPr>
            </w:pPr>
            <w:r>
              <w:rPr>
                <w:noProof/>
                <w:sz w:val="18"/>
              </w:rPr>
              <w:t>ERIEESMÄRK nr 3 – reageerimine</w:t>
            </w:r>
            <w:r>
              <w:rPr>
                <w:rStyle w:val="FootnoteReference"/>
                <w:noProof/>
              </w:rPr>
              <w:footnoteReference w:id="27"/>
            </w:r>
          </w:p>
        </w:tc>
        <w:tc>
          <w:tcPr>
            <w:tcW w:w="504"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tcBorders>
              <w:top w:val="nil"/>
              <w:left w:val="nil"/>
              <w:bottom w:val="nil"/>
              <w:right w:val="nil"/>
            </w:tcBorders>
          </w:tcPr>
          <w:p>
            <w:pPr>
              <w:spacing w:before="60" w:after="60"/>
              <w:ind w:right="-29"/>
              <w:jc w:val="center"/>
              <w:rPr>
                <w:noProof/>
                <w:sz w:val="18"/>
                <w:szCs w:val="18"/>
              </w:rPr>
            </w:pPr>
          </w:p>
        </w:tc>
        <w:tc>
          <w:tcPr>
            <w:tcW w:w="720" w:type="dxa"/>
            <w:gridSpan w:val="2"/>
            <w:tcBorders>
              <w:top w:val="nil"/>
              <w:left w:val="nil"/>
              <w:bottom w:val="nil"/>
              <w:right w:val="nil"/>
            </w:tcBorders>
          </w:tcPr>
          <w:p>
            <w:pPr>
              <w:spacing w:before="60" w:after="60"/>
              <w:ind w:right="-29"/>
              <w:jc w:val="center"/>
              <w:rPr>
                <w:noProof/>
                <w:sz w:val="18"/>
                <w:szCs w:val="18"/>
              </w:rPr>
            </w:pPr>
          </w:p>
        </w:tc>
        <w:tc>
          <w:tcPr>
            <w:tcW w:w="540" w:type="dxa"/>
            <w:gridSpan w:val="3"/>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539" w:type="dxa"/>
            <w:tcBorders>
              <w:top w:val="nil"/>
              <w:left w:val="nil"/>
              <w:bottom w:val="nil"/>
              <w:right w:val="nil"/>
            </w:tcBorders>
          </w:tcPr>
          <w:p>
            <w:pPr>
              <w:spacing w:before="60" w:after="60"/>
              <w:ind w:right="-29"/>
              <w:jc w:val="center"/>
              <w:rPr>
                <w:noProof/>
                <w:sz w:val="18"/>
                <w:szCs w:val="18"/>
              </w:rPr>
            </w:pPr>
          </w:p>
        </w:tc>
        <w:tc>
          <w:tcPr>
            <w:tcW w:w="613"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878" w:type="dxa"/>
            <w:tcBorders>
              <w:top w:val="nil"/>
              <w:left w:val="nil"/>
              <w:bottom w:val="nil"/>
              <w:right w:val="nil"/>
            </w:tcBorders>
          </w:tcPr>
          <w:p>
            <w:pPr>
              <w:spacing w:before="60" w:after="60"/>
              <w:ind w:right="-29"/>
              <w:jc w:val="center"/>
              <w:rPr>
                <w:noProof/>
                <w:sz w:val="18"/>
                <w:szCs w:val="18"/>
              </w:rPr>
            </w:pPr>
          </w:p>
        </w:tc>
        <w:tc>
          <w:tcPr>
            <w:tcW w:w="236" w:type="dxa"/>
            <w:tcBorders>
              <w:top w:val="nil"/>
              <w:left w:val="nil"/>
              <w:bottom w:val="nil"/>
              <w:right w:val="nil"/>
            </w:tcBorders>
          </w:tcPr>
          <w:p>
            <w:pPr>
              <w:spacing w:before="60" w:after="60"/>
              <w:ind w:right="-29"/>
              <w:jc w:val="center"/>
              <w:rPr>
                <w:noProof/>
                <w:sz w:val="18"/>
                <w:szCs w:val="18"/>
              </w:rPr>
            </w:pPr>
          </w:p>
        </w:tc>
      </w:tr>
      <w:tr>
        <w:trPr>
          <w:gridAfter w:val="10"/>
          <w:wAfter w:w="4714" w:type="dxa"/>
          <w:trHeight w:hRule="exact" w:val="628"/>
          <w:jc w:val="center"/>
        </w:trPr>
        <w:tc>
          <w:tcPr>
            <w:tcW w:w="1218" w:type="dxa"/>
          </w:tcPr>
          <w:p>
            <w:pPr>
              <w:ind w:right="-29"/>
              <w:rPr>
                <w:noProof/>
                <w:sz w:val="18"/>
                <w:szCs w:val="18"/>
              </w:rPr>
            </w:pPr>
            <w:r>
              <w:rPr>
                <w:noProof/>
                <w:sz w:val="18"/>
              </w:rPr>
              <w:t xml:space="preserve">Ekspertide kasutamine </w:t>
            </w:r>
          </w:p>
        </w:tc>
        <w:tc>
          <w:tcPr>
            <w:tcW w:w="1028" w:type="dxa"/>
            <w:gridSpan w:val="2"/>
          </w:tcPr>
          <w:p>
            <w:pPr>
              <w:ind w:right="-160"/>
              <w:jc w:val="center"/>
              <w:rPr>
                <w:noProof/>
                <w:sz w:val="18"/>
                <w:szCs w:val="18"/>
              </w:rPr>
            </w:pPr>
            <w:r>
              <w:rPr>
                <w:noProof/>
                <w:sz w:val="18"/>
              </w:rPr>
              <w:t>Lepingute arv</w:t>
            </w:r>
          </w:p>
        </w:tc>
        <w:tc>
          <w:tcPr>
            <w:tcW w:w="701" w:type="dxa"/>
          </w:tcPr>
          <w:p>
            <w:pPr>
              <w:ind w:left="-56" w:right="-29"/>
              <w:jc w:val="center"/>
              <w:rPr>
                <w:noProof/>
                <w:sz w:val="18"/>
                <w:szCs w:val="18"/>
              </w:rPr>
            </w:pPr>
            <w:r>
              <w:rPr>
                <w:noProof/>
                <w:sz w:val="18"/>
              </w:rPr>
              <w:t>0,005</w:t>
            </w:r>
          </w:p>
        </w:tc>
        <w:tc>
          <w:tcPr>
            <w:tcW w:w="504" w:type="dxa"/>
            <w:tcBorders>
              <w:right w:val="dashSmallGap" w:sz="4" w:space="0" w:color="auto"/>
            </w:tcBorders>
          </w:tcPr>
          <w:p>
            <w:pPr>
              <w:ind w:right="-29"/>
              <w:jc w:val="center"/>
              <w:rPr>
                <w:noProof/>
                <w:sz w:val="18"/>
                <w:szCs w:val="18"/>
              </w:rPr>
            </w:pPr>
            <w:r>
              <w:rPr>
                <w:noProof/>
                <w:sz w:val="18"/>
              </w:rPr>
              <w:t>200</w:t>
            </w:r>
          </w:p>
        </w:tc>
        <w:tc>
          <w:tcPr>
            <w:tcW w:w="720" w:type="dxa"/>
            <w:tcBorders>
              <w:left w:val="dashSmallGap" w:sz="4" w:space="0" w:color="auto"/>
            </w:tcBorders>
          </w:tcPr>
          <w:p>
            <w:pPr>
              <w:ind w:right="-29"/>
              <w:jc w:val="center"/>
              <w:rPr>
                <w:noProof/>
                <w:sz w:val="18"/>
                <w:szCs w:val="18"/>
              </w:rPr>
            </w:pPr>
            <w:r>
              <w:rPr>
                <w:noProof/>
                <w:sz w:val="18"/>
              </w:rPr>
              <w:t>1</w:t>
            </w:r>
          </w:p>
        </w:tc>
        <w:tc>
          <w:tcPr>
            <w:tcW w:w="540" w:type="dxa"/>
            <w:tcBorders>
              <w:right w:val="dashSmallGap" w:sz="4" w:space="0" w:color="auto"/>
            </w:tcBorders>
          </w:tcPr>
          <w:p>
            <w:pPr>
              <w:ind w:right="-29"/>
              <w:jc w:val="center"/>
              <w:rPr>
                <w:noProof/>
                <w:sz w:val="18"/>
                <w:szCs w:val="18"/>
              </w:rPr>
            </w:pPr>
            <w:r>
              <w:rPr>
                <w:noProof/>
                <w:sz w:val="18"/>
              </w:rPr>
              <w:t>200</w:t>
            </w:r>
          </w:p>
        </w:tc>
        <w:tc>
          <w:tcPr>
            <w:tcW w:w="720" w:type="dxa"/>
            <w:tcBorders>
              <w:left w:val="dashSmallGap" w:sz="4" w:space="0" w:color="auto"/>
            </w:tcBorders>
          </w:tcPr>
          <w:p>
            <w:pPr>
              <w:ind w:right="-29"/>
              <w:jc w:val="center"/>
              <w:rPr>
                <w:noProof/>
                <w:sz w:val="18"/>
                <w:szCs w:val="18"/>
              </w:rPr>
            </w:pPr>
            <w:r>
              <w:rPr>
                <w:noProof/>
                <w:sz w:val="18"/>
              </w:rPr>
              <w:t>1</w:t>
            </w:r>
          </w:p>
        </w:tc>
        <w:tc>
          <w:tcPr>
            <w:tcW w:w="720" w:type="dxa"/>
            <w:tcBorders>
              <w:right w:val="dashSmallGap" w:sz="4" w:space="0" w:color="auto"/>
            </w:tcBorders>
          </w:tcPr>
          <w:p>
            <w:pPr>
              <w:ind w:right="-29"/>
              <w:jc w:val="center"/>
              <w:rPr>
                <w:noProof/>
                <w:sz w:val="18"/>
                <w:szCs w:val="18"/>
              </w:rPr>
            </w:pPr>
            <w:r>
              <w:rPr>
                <w:noProof/>
                <w:sz w:val="18"/>
              </w:rPr>
              <w:t>200</w:t>
            </w:r>
          </w:p>
        </w:tc>
        <w:tc>
          <w:tcPr>
            <w:tcW w:w="720" w:type="dxa"/>
            <w:tcBorders>
              <w:left w:val="dashSmallGap" w:sz="4" w:space="0" w:color="auto"/>
            </w:tcBorders>
          </w:tcPr>
          <w:p>
            <w:pPr>
              <w:ind w:right="-29"/>
              <w:jc w:val="center"/>
              <w:rPr>
                <w:noProof/>
                <w:sz w:val="18"/>
                <w:szCs w:val="18"/>
              </w:rPr>
            </w:pPr>
            <w:r>
              <w:rPr>
                <w:noProof/>
                <w:sz w:val="18"/>
              </w:rPr>
              <w:t>1</w:t>
            </w:r>
          </w:p>
        </w:tc>
        <w:tc>
          <w:tcPr>
            <w:tcW w:w="900" w:type="dxa"/>
            <w:tcBorders>
              <w:right w:val="dashSmallGap" w:sz="4" w:space="0" w:color="auto"/>
            </w:tcBorders>
          </w:tcPr>
          <w:p>
            <w:pPr>
              <w:ind w:right="-29"/>
              <w:jc w:val="center"/>
              <w:rPr>
                <w:noProof/>
                <w:sz w:val="18"/>
                <w:szCs w:val="18"/>
              </w:rPr>
            </w:pPr>
            <w:r>
              <w:rPr>
                <w:noProof/>
                <w:sz w:val="18"/>
              </w:rPr>
              <w:t>600</w:t>
            </w:r>
          </w:p>
        </w:tc>
        <w:tc>
          <w:tcPr>
            <w:tcW w:w="720" w:type="dxa"/>
            <w:gridSpan w:val="2"/>
            <w:tcBorders>
              <w:left w:val="dashSmallGap" w:sz="4" w:space="0" w:color="auto"/>
            </w:tcBorders>
          </w:tcPr>
          <w:p>
            <w:pPr>
              <w:ind w:right="-29"/>
              <w:jc w:val="center"/>
              <w:rPr>
                <w:noProof/>
                <w:sz w:val="18"/>
                <w:szCs w:val="18"/>
              </w:rPr>
            </w:pPr>
            <w:r>
              <w:rPr>
                <w:noProof/>
                <w:sz w:val="18"/>
              </w:rPr>
              <w:t>3</w:t>
            </w:r>
          </w:p>
        </w:tc>
      </w:tr>
      <w:tr>
        <w:trPr>
          <w:gridAfter w:val="10"/>
          <w:wAfter w:w="4714" w:type="dxa"/>
          <w:trHeight w:hRule="exact" w:val="930"/>
          <w:jc w:val="center"/>
        </w:trPr>
        <w:tc>
          <w:tcPr>
            <w:tcW w:w="1218" w:type="dxa"/>
          </w:tcPr>
          <w:p>
            <w:pPr>
              <w:ind w:right="-29"/>
              <w:rPr>
                <w:noProof/>
                <w:sz w:val="18"/>
                <w:szCs w:val="18"/>
              </w:rPr>
            </w:pPr>
            <w:r>
              <w:rPr>
                <w:noProof/>
                <w:sz w:val="18"/>
              </w:rPr>
              <w:t xml:space="preserve"> Operatsioonide arv ELis</w:t>
            </w:r>
          </w:p>
        </w:tc>
        <w:tc>
          <w:tcPr>
            <w:tcW w:w="1028" w:type="dxa"/>
            <w:gridSpan w:val="2"/>
          </w:tcPr>
          <w:p>
            <w:pPr>
              <w:ind w:right="-29"/>
              <w:rPr>
                <w:noProof/>
                <w:sz w:val="18"/>
                <w:szCs w:val="18"/>
              </w:rPr>
            </w:pPr>
            <w:r>
              <w:rPr>
                <w:noProof/>
                <w:sz w:val="18"/>
              </w:rPr>
              <w:t>Toetusleping/teenuste hankeleping</w:t>
            </w:r>
          </w:p>
        </w:tc>
        <w:tc>
          <w:tcPr>
            <w:tcW w:w="701" w:type="dxa"/>
          </w:tcPr>
          <w:p>
            <w:pPr>
              <w:ind w:right="-29"/>
              <w:jc w:val="center"/>
              <w:rPr>
                <w:noProof/>
                <w:sz w:val="18"/>
                <w:szCs w:val="18"/>
              </w:rPr>
            </w:pPr>
            <w:r>
              <w:rPr>
                <w:noProof/>
                <w:sz w:val="18"/>
              </w:rPr>
              <w:t>0,1</w:t>
            </w:r>
          </w:p>
        </w:tc>
        <w:tc>
          <w:tcPr>
            <w:tcW w:w="504" w:type="dxa"/>
          </w:tcPr>
          <w:p>
            <w:pPr>
              <w:ind w:right="-29"/>
              <w:jc w:val="center"/>
              <w:rPr>
                <w:noProof/>
                <w:sz w:val="18"/>
                <w:szCs w:val="18"/>
              </w:rPr>
            </w:pPr>
            <w:r>
              <w:rPr>
                <w:noProof/>
                <w:sz w:val="18"/>
              </w:rPr>
              <w:t>80</w:t>
            </w:r>
          </w:p>
        </w:tc>
        <w:tc>
          <w:tcPr>
            <w:tcW w:w="720" w:type="dxa"/>
          </w:tcPr>
          <w:p>
            <w:pPr>
              <w:ind w:right="-29"/>
              <w:jc w:val="center"/>
              <w:rPr>
                <w:noProof/>
                <w:sz w:val="18"/>
                <w:szCs w:val="18"/>
              </w:rPr>
            </w:pPr>
            <w:r>
              <w:rPr>
                <w:noProof/>
                <w:sz w:val="18"/>
              </w:rPr>
              <w:t>8</w:t>
            </w:r>
          </w:p>
        </w:tc>
        <w:tc>
          <w:tcPr>
            <w:tcW w:w="540" w:type="dxa"/>
          </w:tcPr>
          <w:p>
            <w:pPr>
              <w:ind w:right="-29"/>
              <w:jc w:val="center"/>
              <w:rPr>
                <w:noProof/>
                <w:sz w:val="18"/>
                <w:szCs w:val="18"/>
              </w:rPr>
            </w:pPr>
            <w:r>
              <w:rPr>
                <w:noProof/>
                <w:sz w:val="18"/>
              </w:rPr>
              <w:t>80</w:t>
            </w:r>
          </w:p>
        </w:tc>
        <w:tc>
          <w:tcPr>
            <w:tcW w:w="720" w:type="dxa"/>
          </w:tcPr>
          <w:p>
            <w:pPr>
              <w:ind w:right="-29"/>
              <w:jc w:val="center"/>
              <w:rPr>
                <w:noProof/>
                <w:sz w:val="18"/>
                <w:szCs w:val="18"/>
              </w:rPr>
            </w:pPr>
            <w:r>
              <w:rPr>
                <w:noProof/>
                <w:sz w:val="18"/>
              </w:rPr>
              <w:t>8</w:t>
            </w:r>
          </w:p>
        </w:tc>
        <w:tc>
          <w:tcPr>
            <w:tcW w:w="720" w:type="dxa"/>
          </w:tcPr>
          <w:p>
            <w:pPr>
              <w:ind w:right="-29"/>
              <w:jc w:val="center"/>
              <w:rPr>
                <w:noProof/>
                <w:sz w:val="18"/>
                <w:szCs w:val="18"/>
              </w:rPr>
            </w:pPr>
            <w:r>
              <w:rPr>
                <w:noProof/>
                <w:sz w:val="18"/>
              </w:rPr>
              <w:t>80</w:t>
            </w:r>
          </w:p>
        </w:tc>
        <w:tc>
          <w:tcPr>
            <w:tcW w:w="720" w:type="dxa"/>
          </w:tcPr>
          <w:p>
            <w:pPr>
              <w:ind w:right="-29"/>
              <w:jc w:val="center"/>
              <w:rPr>
                <w:noProof/>
                <w:sz w:val="18"/>
                <w:szCs w:val="18"/>
              </w:rPr>
            </w:pPr>
            <w:r>
              <w:rPr>
                <w:noProof/>
                <w:sz w:val="18"/>
              </w:rPr>
              <w:t>8</w:t>
            </w:r>
          </w:p>
        </w:tc>
        <w:tc>
          <w:tcPr>
            <w:tcW w:w="900" w:type="dxa"/>
          </w:tcPr>
          <w:p>
            <w:pPr>
              <w:ind w:right="-29"/>
              <w:jc w:val="center"/>
              <w:rPr>
                <w:noProof/>
                <w:sz w:val="18"/>
                <w:szCs w:val="18"/>
              </w:rPr>
            </w:pPr>
            <w:r>
              <w:rPr>
                <w:noProof/>
                <w:sz w:val="18"/>
              </w:rPr>
              <w:t>240</w:t>
            </w:r>
          </w:p>
        </w:tc>
        <w:tc>
          <w:tcPr>
            <w:tcW w:w="720" w:type="dxa"/>
            <w:gridSpan w:val="2"/>
          </w:tcPr>
          <w:p>
            <w:pPr>
              <w:ind w:right="-29"/>
              <w:jc w:val="center"/>
              <w:rPr>
                <w:noProof/>
                <w:sz w:val="18"/>
                <w:szCs w:val="18"/>
              </w:rPr>
            </w:pPr>
            <w:r>
              <w:rPr>
                <w:noProof/>
                <w:sz w:val="18"/>
              </w:rPr>
              <w:t>24</w:t>
            </w:r>
          </w:p>
        </w:tc>
      </w:tr>
      <w:tr>
        <w:trPr>
          <w:gridAfter w:val="10"/>
          <w:wAfter w:w="4714" w:type="dxa"/>
          <w:trHeight w:hRule="exact" w:val="1227"/>
          <w:jc w:val="center"/>
        </w:trPr>
        <w:tc>
          <w:tcPr>
            <w:tcW w:w="1218" w:type="dxa"/>
          </w:tcPr>
          <w:p>
            <w:pPr>
              <w:ind w:right="-29"/>
              <w:rPr>
                <w:noProof/>
                <w:sz w:val="18"/>
                <w:szCs w:val="18"/>
              </w:rPr>
            </w:pPr>
            <w:r>
              <w:rPr>
                <w:noProof/>
                <w:sz w:val="18"/>
              </w:rPr>
              <w:t xml:space="preserve"> Transpordioperatsioonide arv väljaspool ELi</w:t>
            </w:r>
          </w:p>
        </w:tc>
        <w:tc>
          <w:tcPr>
            <w:tcW w:w="1028" w:type="dxa"/>
            <w:gridSpan w:val="2"/>
          </w:tcPr>
          <w:p>
            <w:pPr>
              <w:ind w:right="-29"/>
              <w:rPr>
                <w:noProof/>
                <w:sz w:val="18"/>
                <w:szCs w:val="18"/>
              </w:rPr>
            </w:pPr>
            <w:r>
              <w:rPr>
                <w:noProof/>
                <w:sz w:val="18"/>
              </w:rPr>
              <w:t>Toetusleping/teenuste hankeleping</w:t>
            </w:r>
          </w:p>
        </w:tc>
        <w:tc>
          <w:tcPr>
            <w:tcW w:w="701" w:type="dxa"/>
          </w:tcPr>
          <w:p>
            <w:pPr>
              <w:ind w:right="-29"/>
              <w:rPr>
                <w:noProof/>
                <w:sz w:val="18"/>
                <w:szCs w:val="18"/>
              </w:rPr>
            </w:pPr>
            <w:r>
              <w:rPr>
                <w:noProof/>
                <w:sz w:val="18"/>
              </w:rPr>
              <w:t>0,13</w:t>
            </w:r>
          </w:p>
        </w:tc>
        <w:tc>
          <w:tcPr>
            <w:tcW w:w="504" w:type="dxa"/>
          </w:tcPr>
          <w:p>
            <w:pPr>
              <w:ind w:right="-29"/>
              <w:jc w:val="center"/>
              <w:rPr>
                <w:noProof/>
                <w:sz w:val="18"/>
                <w:szCs w:val="18"/>
              </w:rPr>
            </w:pPr>
            <w:r>
              <w:rPr>
                <w:noProof/>
                <w:sz w:val="18"/>
              </w:rPr>
              <w:t>40</w:t>
            </w:r>
          </w:p>
        </w:tc>
        <w:tc>
          <w:tcPr>
            <w:tcW w:w="720" w:type="dxa"/>
          </w:tcPr>
          <w:p>
            <w:pPr>
              <w:ind w:right="-29"/>
              <w:jc w:val="center"/>
              <w:rPr>
                <w:noProof/>
                <w:sz w:val="18"/>
                <w:szCs w:val="18"/>
              </w:rPr>
            </w:pPr>
            <w:r>
              <w:rPr>
                <w:noProof/>
                <w:sz w:val="18"/>
              </w:rPr>
              <w:t>5,2</w:t>
            </w:r>
          </w:p>
        </w:tc>
        <w:tc>
          <w:tcPr>
            <w:tcW w:w="540" w:type="dxa"/>
          </w:tcPr>
          <w:p>
            <w:pPr>
              <w:ind w:right="-29"/>
              <w:jc w:val="center"/>
              <w:rPr>
                <w:noProof/>
                <w:sz w:val="18"/>
                <w:szCs w:val="18"/>
              </w:rPr>
            </w:pPr>
            <w:r>
              <w:rPr>
                <w:noProof/>
                <w:sz w:val="18"/>
              </w:rPr>
              <w:t>40</w:t>
            </w:r>
          </w:p>
        </w:tc>
        <w:tc>
          <w:tcPr>
            <w:tcW w:w="720" w:type="dxa"/>
          </w:tcPr>
          <w:p>
            <w:pPr>
              <w:ind w:right="-29"/>
              <w:rPr>
                <w:noProof/>
                <w:sz w:val="18"/>
                <w:szCs w:val="18"/>
              </w:rPr>
            </w:pPr>
            <w:r>
              <w:rPr>
                <w:noProof/>
                <w:sz w:val="18"/>
              </w:rPr>
              <w:t>5,2</w:t>
            </w:r>
          </w:p>
        </w:tc>
        <w:tc>
          <w:tcPr>
            <w:tcW w:w="720" w:type="dxa"/>
          </w:tcPr>
          <w:p>
            <w:pPr>
              <w:ind w:right="-29"/>
              <w:jc w:val="center"/>
              <w:rPr>
                <w:noProof/>
                <w:sz w:val="18"/>
                <w:szCs w:val="18"/>
              </w:rPr>
            </w:pPr>
            <w:r>
              <w:rPr>
                <w:noProof/>
                <w:sz w:val="18"/>
              </w:rPr>
              <w:t>40</w:t>
            </w:r>
          </w:p>
        </w:tc>
        <w:tc>
          <w:tcPr>
            <w:tcW w:w="720" w:type="dxa"/>
          </w:tcPr>
          <w:p>
            <w:pPr>
              <w:ind w:right="-29"/>
              <w:jc w:val="center"/>
              <w:rPr>
                <w:noProof/>
                <w:sz w:val="18"/>
                <w:szCs w:val="18"/>
              </w:rPr>
            </w:pPr>
            <w:r>
              <w:rPr>
                <w:noProof/>
                <w:sz w:val="18"/>
              </w:rPr>
              <w:t>5,2</w:t>
            </w:r>
          </w:p>
        </w:tc>
        <w:tc>
          <w:tcPr>
            <w:tcW w:w="900" w:type="dxa"/>
          </w:tcPr>
          <w:p>
            <w:pPr>
              <w:ind w:right="-29"/>
              <w:jc w:val="center"/>
              <w:rPr>
                <w:noProof/>
                <w:sz w:val="18"/>
                <w:szCs w:val="18"/>
              </w:rPr>
            </w:pPr>
            <w:r>
              <w:rPr>
                <w:noProof/>
                <w:sz w:val="18"/>
              </w:rPr>
              <w:t>120</w:t>
            </w:r>
          </w:p>
        </w:tc>
        <w:tc>
          <w:tcPr>
            <w:tcW w:w="720" w:type="dxa"/>
            <w:gridSpan w:val="2"/>
          </w:tcPr>
          <w:p>
            <w:pPr>
              <w:ind w:right="-29"/>
              <w:jc w:val="center"/>
              <w:rPr>
                <w:noProof/>
                <w:sz w:val="18"/>
                <w:szCs w:val="18"/>
              </w:rPr>
            </w:pPr>
            <w:r>
              <w:rPr>
                <w:noProof/>
                <w:sz w:val="18"/>
              </w:rPr>
              <w:t>15,6</w:t>
            </w:r>
          </w:p>
        </w:tc>
      </w:tr>
      <w:tr>
        <w:trPr>
          <w:gridAfter w:val="10"/>
          <w:wAfter w:w="4714" w:type="dxa"/>
          <w:jc w:val="center"/>
        </w:trPr>
        <w:tc>
          <w:tcPr>
            <w:tcW w:w="2947" w:type="dxa"/>
            <w:gridSpan w:val="4"/>
            <w:tcBorders>
              <w:bottom w:val="single" w:sz="12" w:space="0" w:color="auto"/>
            </w:tcBorders>
            <w:vAlign w:val="center"/>
          </w:tcPr>
          <w:p>
            <w:pPr>
              <w:jc w:val="center"/>
              <w:rPr>
                <w:noProof/>
                <w:sz w:val="18"/>
                <w:szCs w:val="18"/>
              </w:rPr>
            </w:pPr>
            <w:r>
              <w:rPr>
                <w:noProof/>
                <w:sz w:val="18"/>
              </w:rPr>
              <w:t>Erieesmärk nr 3 kokku</w:t>
            </w:r>
          </w:p>
        </w:tc>
        <w:tc>
          <w:tcPr>
            <w:tcW w:w="504" w:type="dxa"/>
            <w:tcBorders>
              <w:bottom w:val="single" w:sz="12" w:space="0" w:color="auto"/>
            </w:tcBorders>
          </w:tcPr>
          <w:p>
            <w:pPr>
              <w:ind w:right="-29"/>
              <w:jc w:val="center"/>
              <w:rPr>
                <w:noProof/>
                <w:sz w:val="18"/>
                <w:szCs w:val="18"/>
              </w:rPr>
            </w:pPr>
            <w:r>
              <w:rPr>
                <w:noProof/>
                <w:sz w:val="18"/>
              </w:rPr>
              <w:t>320</w:t>
            </w:r>
          </w:p>
        </w:tc>
        <w:tc>
          <w:tcPr>
            <w:tcW w:w="720" w:type="dxa"/>
            <w:tcBorders>
              <w:bottom w:val="single" w:sz="12" w:space="0" w:color="auto"/>
            </w:tcBorders>
          </w:tcPr>
          <w:p>
            <w:pPr>
              <w:ind w:right="-29"/>
              <w:jc w:val="center"/>
              <w:rPr>
                <w:noProof/>
                <w:sz w:val="18"/>
                <w:szCs w:val="18"/>
              </w:rPr>
            </w:pPr>
            <w:r>
              <w:rPr>
                <w:noProof/>
                <w:sz w:val="18"/>
              </w:rPr>
              <w:t>14,2</w:t>
            </w:r>
          </w:p>
        </w:tc>
        <w:tc>
          <w:tcPr>
            <w:tcW w:w="540" w:type="dxa"/>
            <w:tcBorders>
              <w:bottom w:val="single" w:sz="12" w:space="0" w:color="auto"/>
            </w:tcBorders>
          </w:tcPr>
          <w:p>
            <w:pPr>
              <w:ind w:right="-29"/>
              <w:jc w:val="center"/>
              <w:rPr>
                <w:noProof/>
                <w:sz w:val="18"/>
                <w:szCs w:val="18"/>
              </w:rPr>
            </w:pPr>
            <w:r>
              <w:rPr>
                <w:noProof/>
                <w:sz w:val="18"/>
              </w:rPr>
              <w:t>320</w:t>
            </w:r>
          </w:p>
        </w:tc>
        <w:tc>
          <w:tcPr>
            <w:tcW w:w="720" w:type="dxa"/>
            <w:tcBorders>
              <w:bottom w:val="single" w:sz="12" w:space="0" w:color="auto"/>
            </w:tcBorders>
          </w:tcPr>
          <w:p>
            <w:pPr>
              <w:ind w:right="-29"/>
              <w:jc w:val="center"/>
              <w:rPr>
                <w:noProof/>
                <w:sz w:val="18"/>
                <w:szCs w:val="18"/>
              </w:rPr>
            </w:pPr>
            <w:r>
              <w:rPr>
                <w:noProof/>
                <w:sz w:val="18"/>
              </w:rPr>
              <w:t>14,2</w:t>
            </w:r>
          </w:p>
        </w:tc>
        <w:tc>
          <w:tcPr>
            <w:tcW w:w="720" w:type="dxa"/>
            <w:tcBorders>
              <w:bottom w:val="single" w:sz="12" w:space="0" w:color="auto"/>
            </w:tcBorders>
          </w:tcPr>
          <w:p>
            <w:pPr>
              <w:ind w:right="-29"/>
              <w:jc w:val="center"/>
              <w:rPr>
                <w:noProof/>
                <w:sz w:val="18"/>
                <w:szCs w:val="18"/>
              </w:rPr>
            </w:pPr>
            <w:r>
              <w:rPr>
                <w:noProof/>
                <w:sz w:val="18"/>
              </w:rPr>
              <w:t>320</w:t>
            </w:r>
          </w:p>
        </w:tc>
        <w:tc>
          <w:tcPr>
            <w:tcW w:w="720" w:type="dxa"/>
            <w:tcBorders>
              <w:bottom w:val="single" w:sz="12" w:space="0" w:color="auto"/>
            </w:tcBorders>
          </w:tcPr>
          <w:p>
            <w:pPr>
              <w:ind w:right="-29"/>
              <w:jc w:val="center"/>
              <w:rPr>
                <w:noProof/>
                <w:sz w:val="18"/>
                <w:szCs w:val="18"/>
              </w:rPr>
            </w:pPr>
            <w:r>
              <w:rPr>
                <w:noProof/>
                <w:sz w:val="18"/>
              </w:rPr>
              <w:t>14,2</w:t>
            </w:r>
          </w:p>
        </w:tc>
        <w:tc>
          <w:tcPr>
            <w:tcW w:w="938" w:type="dxa"/>
            <w:gridSpan w:val="2"/>
            <w:tcBorders>
              <w:bottom w:val="single" w:sz="12" w:space="0" w:color="auto"/>
            </w:tcBorders>
          </w:tcPr>
          <w:p>
            <w:pPr>
              <w:ind w:right="-29"/>
              <w:jc w:val="center"/>
              <w:rPr>
                <w:noProof/>
                <w:sz w:val="18"/>
                <w:szCs w:val="18"/>
              </w:rPr>
            </w:pPr>
            <w:r>
              <w:rPr>
                <w:noProof/>
                <w:sz w:val="18"/>
              </w:rPr>
              <w:t>960</w:t>
            </w:r>
          </w:p>
        </w:tc>
        <w:tc>
          <w:tcPr>
            <w:tcW w:w="682" w:type="dxa"/>
            <w:tcBorders>
              <w:bottom w:val="single" w:sz="12" w:space="0" w:color="auto"/>
            </w:tcBorders>
          </w:tcPr>
          <w:p>
            <w:pPr>
              <w:ind w:right="-29"/>
              <w:jc w:val="center"/>
              <w:rPr>
                <w:noProof/>
                <w:sz w:val="18"/>
                <w:szCs w:val="18"/>
              </w:rPr>
            </w:pPr>
            <w:r>
              <w:rPr>
                <w:noProof/>
                <w:sz w:val="18"/>
              </w:rPr>
              <w:t>42,6</w:t>
            </w:r>
          </w:p>
        </w:tc>
      </w:tr>
      <w:tr>
        <w:trPr>
          <w:gridAfter w:val="10"/>
          <w:wAfter w:w="4714" w:type="dxa"/>
          <w:jc w:val="center"/>
        </w:trPr>
        <w:tc>
          <w:tcPr>
            <w:tcW w:w="2947" w:type="dxa"/>
            <w:gridSpan w:val="4"/>
            <w:tcBorders>
              <w:top w:val="single" w:sz="12" w:space="0" w:color="auto"/>
              <w:left w:val="single" w:sz="12" w:space="0" w:color="auto"/>
              <w:bottom w:val="single" w:sz="12" w:space="0" w:color="auto"/>
            </w:tcBorders>
            <w:vAlign w:val="center"/>
          </w:tcPr>
          <w:p>
            <w:pPr>
              <w:ind w:right="-29"/>
              <w:jc w:val="center"/>
              <w:rPr>
                <w:noProof/>
                <w:sz w:val="18"/>
                <w:szCs w:val="18"/>
              </w:rPr>
            </w:pPr>
            <w:r>
              <w:rPr>
                <w:b/>
                <w:noProof/>
                <w:sz w:val="18"/>
              </w:rPr>
              <w:t>KULUD KOKKU</w:t>
            </w:r>
          </w:p>
        </w:tc>
        <w:tc>
          <w:tcPr>
            <w:tcW w:w="504" w:type="dxa"/>
            <w:tcBorders>
              <w:top w:val="single" w:sz="12" w:space="0" w:color="auto"/>
              <w:bottom w:val="single" w:sz="12" w:space="0" w:color="auto"/>
            </w:tcBorders>
          </w:tcPr>
          <w:p>
            <w:pPr>
              <w:spacing w:before="180" w:after="180"/>
              <w:ind w:right="-29"/>
              <w:jc w:val="center"/>
              <w:rPr>
                <w:noProof/>
                <w:sz w:val="18"/>
                <w:szCs w:val="18"/>
              </w:rPr>
            </w:pPr>
            <w:r>
              <w:rPr>
                <w:noProof/>
                <w:sz w:val="18"/>
              </w:rPr>
              <w:t>449</w:t>
            </w:r>
          </w:p>
        </w:tc>
        <w:tc>
          <w:tcPr>
            <w:tcW w:w="720" w:type="dxa"/>
            <w:tcBorders>
              <w:top w:val="single" w:sz="12" w:space="0" w:color="auto"/>
              <w:bottom w:val="single" w:sz="12" w:space="0" w:color="auto"/>
            </w:tcBorders>
          </w:tcPr>
          <w:p>
            <w:pPr>
              <w:spacing w:before="180" w:after="180"/>
              <w:ind w:right="-29"/>
              <w:jc w:val="center"/>
              <w:rPr>
                <w:noProof/>
                <w:sz w:val="18"/>
                <w:szCs w:val="18"/>
              </w:rPr>
            </w:pPr>
            <w:r>
              <w:rPr>
                <w:noProof/>
                <w:sz w:val="18"/>
              </w:rPr>
              <w:t>32,2</w:t>
            </w:r>
          </w:p>
        </w:tc>
        <w:tc>
          <w:tcPr>
            <w:tcW w:w="540" w:type="dxa"/>
            <w:tcBorders>
              <w:top w:val="single" w:sz="12" w:space="0" w:color="auto"/>
              <w:bottom w:val="single" w:sz="12" w:space="0" w:color="auto"/>
            </w:tcBorders>
          </w:tcPr>
          <w:p>
            <w:pPr>
              <w:spacing w:before="180" w:after="180"/>
              <w:ind w:right="-29"/>
              <w:jc w:val="center"/>
              <w:rPr>
                <w:noProof/>
                <w:sz w:val="18"/>
                <w:szCs w:val="18"/>
              </w:rPr>
            </w:pPr>
            <w:r>
              <w:rPr>
                <w:noProof/>
                <w:sz w:val="18"/>
              </w:rPr>
              <w:t>455</w:t>
            </w:r>
          </w:p>
        </w:tc>
        <w:tc>
          <w:tcPr>
            <w:tcW w:w="720" w:type="dxa"/>
            <w:tcBorders>
              <w:top w:val="single" w:sz="12" w:space="0" w:color="auto"/>
              <w:bottom w:val="single" w:sz="12" w:space="0" w:color="auto"/>
            </w:tcBorders>
          </w:tcPr>
          <w:p>
            <w:pPr>
              <w:spacing w:before="180" w:after="180"/>
              <w:ind w:right="-29"/>
              <w:jc w:val="center"/>
              <w:rPr>
                <w:noProof/>
                <w:sz w:val="18"/>
                <w:szCs w:val="18"/>
              </w:rPr>
            </w:pPr>
            <w:r>
              <w:rPr>
                <w:noProof/>
                <w:sz w:val="18"/>
              </w:rPr>
              <w:t>38,2</w:t>
            </w:r>
          </w:p>
        </w:tc>
        <w:tc>
          <w:tcPr>
            <w:tcW w:w="720" w:type="dxa"/>
            <w:tcBorders>
              <w:top w:val="single" w:sz="12" w:space="0" w:color="auto"/>
              <w:bottom w:val="single" w:sz="12" w:space="0" w:color="auto"/>
            </w:tcBorders>
          </w:tcPr>
          <w:p>
            <w:pPr>
              <w:spacing w:before="180" w:after="180"/>
              <w:ind w:right="-29"/>
              <w:jc w:val="center"/>
              <w:rPr>
                <w:noProof/>
                <w:sz w:val="18"/>
                <w:szCs w:val="18"/>
              </w:rPr>
            </w:pPr>
            <w:r>
              <w:rPr>
                <w:noProof/>
                <w:sz w:val="18"/>
              </w:rPr>
              <w:t>462</w:t>
            </w:r>
          </w:p>
        </w:tc>
        <w:tc>
          <w:tcPr>
            <w:tcW w:w="720" w:type="dxa"/>
            <w:tcBorders>
              <w:top w:val="single" w:sz="12" w:space="0" w:color="auto"/>
              <w:bottom w:val="single" w:sz="12" w:space="0" w:color="auto"/>
            </w:tcBorders>
          </w:tcPr>
          <w:p>
            <w:pPr>
              <w:spacing w:before="180" w:after="180"/>
              <w:ind w:right="-29"/>
              <w:jc w:val="center"/>
              <w:rPr>
                <w:noProof/>
                <w:sz w:val="18"/>
                <w:szCs w:val="18"/>
              </w:rPr>
            </w:pPr>
            <w:r>
              <w:rPr>
                <w:noProof/>
                <w:sz w:val="18"/>
              </w:rPr>
              <w:t>45,2</w:t>
            </w:r>
          </w:p>
        </w:tc>
        <w:tc>
          <w:tcPr>
            <w:tcW w:w="900" w:type="dxa"/>
            <w:tcBorders>
              <w:top w:val="single" w:sz="12" w:space="0" w:color="auto"/>
              <w:bottom w:val="single" w:sz="12" w:space="0" w:color="auto"/>
            </w:tcBorders>
          </w:tcPr>
          <w:p>
            <w:pPr>
              <w:spacing w:before="180" w:after="180"/>
              <w:ind w:right="-29"/>
              <w:jc w:val="center"/>
              <w:rPr>
                <w:noProof/>
                <w:sz w:val="18"/>
                <w:szCs w:val="18"/>
              </w:rPr>
            </w:pPr>
            <w:r>
              <w:rPr>
                <w:noProof/>
                <w:sz w:val="18"/>
              </w:rPr>
              <w:t>1366</w:t>
            </w:r>
          </w:p>
        </w:tc>
        <w:tc>
          <w:tcPr>
            <w:tcW w:w="720" w:type="dxa"/>
            <w:gridSpan w:val="2"/>
            <w:tcBorders>
              <w:top w:val="single" w:sz="12" w:space="0" w:color="auto"/>
              <w:bottom w:val="single" w:sz="12" w:space="0" w:color="auto"/>
            </w:tcBorders>
          </w:tcPr>
          <w:p>
            <w:pPr>
              <w:spacing w:before="180" w:after="180"/>
              <w:ind w:right="-29"/>
              <w:jc w:val="center"/>
              <w:rPr>
                <w:noProof/>
                <w:sz w:val="18"/>
                <w:szCs w:val="18"/>
              </w:rPr>
            </w:pPr>
            <w:r>
              <w:rPr>
                <w:noProof/>
                <w:sz w:val="18"/>
              </w:rPr>
              <w:t>115,6</w:t>
            </w:r>
          </w:p>
        </w:tc>
      </w:tr>
      <w:tr>
        <w:trPr>
          <w:gridAfter w:val="8"/>
          <w:wAfter w:w="4673" w:type="dxa"/>
          <w:jc w:val="center"/>
        </w:trPr>
        <w:tc>
          <w:tcPr>
            <w:tcW w:w="8532" w:type="dxa"/>
            <w:gridSpan w:val="15"/>
            <w:vAlign w:val="center"/>
          </w:tcPr>
          <w:p>
            <w:pPr>
              <w:spacing w:before="60" w:after="60"/>
              <w:ind w:right="-29"/>
              <w:rPr>
                <w:noProof/>
                <w:sz w:val="18"/>
                <w:szCs w:val="18"/>
              </w:rPr>
            </w:pPr>
          </w:p>
        </w:tc>
      </w:tr>
    </w:tbl>
    <w:p>
      <w:pPr>
        <w:rPr>
          <w:noProof/>
        </w:rPr>
        <w:sectPr>
          <w:pgSz w:w="16840" w:h="11907" w:orient="landscape" w:code="9"/>
          <w:pgMar w:top="1134" w:right="1418" w:bottom="567" w:left="1418" w:header="709" w:footer="709" w:gutter="0"/>
          <w:cols w:space="708"/>
          <w:docGrid w:linePitch="360"/>
        </w:sectPr>
      </w:pPr>
    </w:p>
    <w:p>
      <w:pPr>
        <w:pStyle w:val="ManualNumPar3"/>
        <w:rPr>
          <w:noProof/>
        </w:rPr>
      </w:pPr>
      <w:r>
        <w:t>3.2.3.</w:t>
      </w:r>
      <w:r>
        <w:tab/>
      </w:r>
      <w:r>
        <w:rPr>
          <w:noProof/>
        </w:rPr>
        <w:t>Hinnanguline mõju haldusassigneeringutele</w:t>
      </w:r>
    </w:p>
    <w:p>
      <w:pPr>
        <w:pStyle w:val="ManualNumPar4"/>
        <w:rPr>
          <w:noProof/>
        </w:rPr>
      </w:pPr>
      <w:r>
        <w:t>3.2.3.1.</w:t>
      </w:r>
      <w:r>
        <w:tab/>
      </w:r>
      <w:r>
        <w:rPr>
          <w:noProof/>
        </w:rPr>
        <w:t xml:space="preserve">Kokkuvõte </w:t>
      </w:r>
    </w:p>
    <w:p>
      <w:pPr>
        <w:tabs>
          <w:tab w:val="num" w:pos="1134"/>
        </w:tabs>
        <w:ind w:left="1134" w:hanging="283"/>
        <w:rPr>
          <w:rFonts w:eastAsia="Times New Roman"/>
          <w:noProof/>
        </w:rPr>
      </w:pPr>
      <w:r>
        <w:rPr>
          <w:rFonts w:eastAsia="Times New Roman"/>
          <w:noProof/>
        </w:rPr>
        <w:sym w:font="Wingdings" w:char="F0A8"/>
      </w:r>
      <w:r>
        <w:rPr>
          <w:noProof/>
        </w:rPr>
        <w:tab/>
        <w:t xml:space="preserve">Ettepanek/algatus ei hõlma haldusassigneeringute kasutamist </w:t>
      </w:r>
    </w:p>
    <w:p>
      <w:pPr>
        <w:tabs>
          <w:tab w:val="num" w:pos="1134"/>
        </w:tabs>
        <w:ind w:left="1134" w:hanging="283"/>
        <w:rPr>
          <w:rFonts w:eastAsia="Times New Roman"/>
          <w:noProof/>
        </w:rPr>
      </w:pPr>
      <w:r>
        <w:rPr>
          <w:noProof/>
        </w:rPr>
        <w:t>X</w:t>
      </w:r>
      <w:r>
        <w:rPr>
          <w:noProof/>
        </w:rPr>
        <w:tab/>
        <w:t>Ettepanek/algatus hõlmab haldusassigneeringute kasutamist, mis toimub järgmiselt:</w:t>
      </w:r>
    </w:p>
    <w:p>
      <w:pPr>
        <w:rPr>
          <w:noProof/>
          <w:sz w:val="20"/>
        </w:rPr>
      </w:pPr>
      <w:r>
        <w:rPr>
          <w:noProof/>
          <w:sz w:val="20"/>
        </w:rPr>
        <w:t>miljonites eurodes (kolm kohta pärast koma)</w:t>
      </w:r>
    </w:p>
    <w:tbl>
      <w:tblPr>
        <w:tblW w:w="630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tblGrid>
      <w:tr>
        <w:trPr>
          <w:trHeight w:val="585"/>
        </w:trPr>
        <w:tc>
          <w:tcPr>
            <w:tcW w:w="1980" w:type="dxa"/>
          </w:tcPr>
          <w:p>
            <w:pPr>
              <w:spacing w:before="60" w:after="60" w:line="200" w:lineRule="exact"/>
              <w:rPr>
                <w:noProof/>
                <w:sz w:val="16"/>
                <w:szCs w:val="16"/>
              </w:rPr>
            </w:pPr>
          </w:p>
        </w:tc>
        <w:tc>
          <w:tcPr>
            <w:tcW w:w="1080" w:type="dxa"/>
            <w:vAlign w:val="center"/>
          </w:tcPr>
          <w:p>
            <w:pPr>
              <w:spacing w:before="60" w:after="60" w:line="200" w:lineRule="exact"/>
              <w:jc w:val="center"/>
              <w:rPr>
                <w:noProof/>
                <w:sz w:val="16"/>
                <w:szCs w:val="16"/>
              </w:rPr>
            </w:pPr>
            <w:r>
              <w:rPr>
                <w:noProof/>
                <w:sz w:val="16"/>
              </w:rPr>
              <w:t>2018</w:t>
            </w:r>
          </w:p>
        </w:tc>
        <w:tc>
          <w:tcPr>
            <w:tcW w:w="1080" w:type="dxa"/>
            <w:vAlign w:val="center"/>
          </w:tcPr>
          <w:p>
            <w:pPr>
              <w:spacing w:before="60" w:after="60" w:line="200" w:lineRule="exact"/>
              <w:jc w:val="center"/>
              <w:rPr>
                <w:noProof/>
                <w:sz w:val="16"/>
                <w:szCs w:val="16"/>
              </w:rPr>
            </w:pPr>
            <w:r>
              <w:rPr>
                <w:noProof/>
                <w:sz w:val="16"/>
              </w:rPr>
              <w:t>2019</w:t>
            </w:r>
          </w:p>
        </w:tc>
        <w:tc>
          <w:tcPr>
            <w:tcW w:w="1080" w:type="dxa"/>
            <w:vAlign w:val="center"/>
          </w:tcPr>
          <w:p>
            <w:pPr>
              <w:spacing w:before="60" w:after="60" w:line="200" w:lineRule="exact"/>
              <w:jc w:val="center"/>
              <w:rPr>
                <w:noProof/>
                <w:sz w:val="16"/>
                <w:szCs w:val="16"/>
              </w:rPr>
            </w:pPr>
            <w:r>
              <w:rPr>
                <w:noProof/>
                <w:sz w:val="16"/>
              </w:rPr>
              <w:t>2020</w:t>
            </w:r>
          </w:p>
        </w:tc>
        <w:tc>
          <w:tcPr>
            <w:tcW w:w="1080" w:type="dxa"/>
            <w:vAlign w:val="center"/>
          </w:tcPr>
          <w:p>
            <w:pPr>
              <w:spacing w:before="60" w:after="60" w:line="200" w:lineRule="exact"/>
              <w:jc w:val="center"/>
              <w:rPr>
                <w:noProof/>
                <w:sz w:val="16"/>
                <w:szCs w:val="16"/>
              </w:rPr>
            </w:pPr>
            <w:r>
              <w:rPr>
                <w:b/>
                <w:noProof/>
                <w:sz w:val="16"/>
              </w:rPr>
              <w:t>KOKKU</w:t>
            </w:r>
          </w:p>
        </w:tc>
      </w:tr>
    </w:tbl>
    <w:p>
      <w:pPr>
        <w:spacing w:line="200" w:lineRule="exact"/>
        <w:rPr>
          <w:noProof/>
          <w:sz w:val="16"/>
          <w:szCs w:val="16"/>
        </w:rPr>
      </w:pPr>
    </w:p>
    <w:tbl>
      <w:tblPr>
        <w:tblW w:w="630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Mitmeaastase finantsraamistiku RUBRIIK 5</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Personalikulud </w:t>
            </w:r>
          </w:p>
        </w:tc>
        <w:tc>
          <w:tcPr>
            <w:tcW w:w="1080" w:type="dxa"/>
            <w:vAlign w:val="center"/>
          </w:tcPr>
          <w:p>
            <w:pPr>
              <w:spacing w:before="20" w:after="20"/>
              <w:jc w:val="center"/>
              <w:rPr>
                <w:noProof/>
                <w:sz w:val="20"/>
              </w:rPr>
            </w:pPr>
            <w:r>
              <w:rPr>
                <w:noProof/>
                <w:sz w:val="20"/>
              </w:rPr>
              <w:t>1,682</w:t>
            </w:r>
          </w:p>
        </w:tc>
        <w:tc>
          <w:tcPr>
            <w:tcW w:w="1080" w:type="dxa"/>
            <w:vAlign w:val="center"/>
          </w:tcPr>
          <w:p>
            <w:pPr>
              <w:spacing w:before="20" w:after="20"/>
              <w:jc w:val="center"/>
              <w:rPr>
                <w:noProof/>
                <w:sz w:val="20"/>
              </w:rPr>
            </w:pPr>
            <w:r>
              <w:rPr>
                <w:noProof/>
                <w:sz w:val="20"/>
              </w:rPr>
              <w:t>5,034</w:t>
            </w:r>
          </w:p>
        </w:tc>
        <w:tc>
          <w:tcPr>
            <w:tcW w:w="1080" w:type="dxa"/>
            <w:vAlign w:val="center"/>
          </w:tcPr>
          <w:p>
            <w:pPr>
              <w:spacing w:before="20" w:after="20"/>
              <w:jc w:val="center"/>
              <w:rPr>
                <w:noProof/>
                <w:sz w:val="20"/>
              </w:rPr>
            </w:pPr>
            <w:r>
              <w:rPr>
                <w:noProof/>
                <w:sz w:val="20"/>
              </w:rPr>
              <w:t>9,436</w:t>
            </w:r>
          </w:p>
        </w:tc>
        <w:tc>
          <w:tcPr>
            <w:tcW w:w="1080" w:type="dxa"/>
            <w:vAlign w:val="center"/>
          </w:tcPr>
          <w:p>
            <w:pPr>
              <w:spacing w:before="20" w:after="20"/>
              <w:jc w:val="center"/>
              <w:rPr>
                <w:b/>
                <w:noProof/>
                <w:sz w:val="20"/>
              </w:rPr>
            </w:pPr>
            <w:r>
              <w:rPr>
                <w:b/>
                <w:noProof/>
                <w:sz w:val="20"/>
              </w:rPr>
              <w:t>16,152</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Muud halduskulud </w:t>
            </w:r>
          </w:p>
        </w:tc>
        <w:tc>
          <w:tcPr>
            <w:tcW w:w="1080" w:type="dxa"/>
            <w:vAlign w:val="center"/>
          </w:tcPr>
          <w:p>
            <w:pPr>
              <w:spacing w:before="20" w:after="20"/>
              <w:jc w:val="center"/>
              <w:rPr>
                <w:noProof/>
                <w:sz w:val="20"/>
              </w:rPr>
            </w:pPr>
            <w:r>
              <w:rPr>
                <w:noProof/>
                <w:sz w:val="20"/>
              </w:rPr>
              <w:t>0,15</w:t>
            </w:r>
          </w:p>
        </w:tc>
        <w:tc>
          <w:tcPr>
            <w:tcW w:w="1080" w:type="dxa"/>
            <w:vAlign w:val="center"/>
          </w:tcPr>
          <w:p>
            <w:pPr>
              <w:spacing w:before="20" w:after="20"/>
              <w:jc w:val="center"/>
              <w:rPr>
                <w:noProof/>
                <w:sz w:val="20"/>
              </w:rPr>
            </w:pPr>
            <w:r>
              <w:rPr>
                <w:noProof/>
                <w:sz w:val="20"/>
              </w:rPr>
              <w:t>0,23</w:t>
            </w:r>
          </w:p>
        </w:tc>
        <w:tc>
          <w:tcPr>
            <w:tcW w:w="1080" w:type="dxa"/>
            <w:vAlign w:val="center"/>
          </w:tcPr>
          <w:p>
            <w:pPr>
              <w:spacing w:before="20" w:after="20"/>
              <w:jc w:val="center"/>
              <w:rPr>
                <w:noProof/>
                <w:sz w:val="20"/>
              </w:rPr>
            </w:pPr>
            <w:r>
              <w:rPr>
                <w:noProof/>
                <w:sz w:val="20"/>
              </w:rPr>
              <w:t>0,33</w:t>
            </w:r>
          </w:p>
        </w:tc>
        <w:tc>
          <w:tcPr>
            <w:tcW w:w="1080" w:type="dxa"/>
            <w:vAlign w:val="center"/>
          </w:tcPr>
          <w:p>
            <w:pPr>
              <w:spacing w:before="20" w:after="20"/>
              <w:jc w:val="center"/>
              <w:rPr>
                <w:b/>
                <w:noProof/>
                <w:sz w:val="20"/>
              </w:rPr>
            </w:pPr>
            <w:r>
              <w:rPr>
                <w:b/>
                <w:noProof/>
                <w:sz w:val="20"/>
              </w:rPr>
              <w:t>0,710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Mitmeaastase finantsraamistiku rubriigi 5 vahesumma </w:t>
            </w:r>
          </w:p>
        </w:tc>
        <w:tc>
          <w:tcPr>
            <w:tcW w:w="1080" w:type="dxa"/>
            <w:vAlign w:val="center"/>
          </w:tcPr>
          <w:p>
            <w:pPr>
              <w:spacing w:before="20" w:after="20"/>
              <w:jc w:val="center"/>
              <w:rPr>
                <w:noProof/>
                <w:sz w:val="20"/>
              </w:rPr>
            </w:pPr>
            <w:r>
              <w:rPr>
                <w:noProof/>
                <w:sz w:val="20"/>
              </w:rPr>
              <w:t>1,832</w:t>
            </w:r>
          </w:p>
        </w:tc>
        <w:tc>
          <w:tcPr>
            <w:tcW w:w="1080" w:type="dxa"/>
            <w:vAlign w:val="center"/>
          </w:tcPr>
          <w:p>
            <w:pPr>
              <w:spacing w:before="20" w:after="20"/>
              <w:jc w:val="center"/>
              <w:rPr>
                <w:noProof/>
                <w:sz w:val="20"/>
              </w:rPr>
            </w:pPr>
            <w:r>
              <w:rPr>
                <w:noProof/>
                <w:sz w:val="20"/>
              </w:rPr>
              <w:t>5,264</w:t>
            </w:r>
          </w:p>
        </w:tc>
        <w:tc>
          <w:tcPr>
            <w:tcW w:w="1080" w:type="dxa"/>
            <w:vAlign w:val="center"/>
          </w:tcPr>
          <w:p>
            <w:pPr>
              <w:spacing w:before="20" w:after="20"/>
              <w:jc w:val="center"/>
              <w:rPr>
                <w:noProof/>
                <w:sz w:val="20"/>
              </w:rPr>
            </w:pPr>
            <w:r>
              <w:rPr>
                <w:noProof/>
                <w:sz w:val="20"/>
              </w:rPr>
              <w:t>9,766</w:t>
            </w:r>
          </w:p>
        </w:tc>
        <w:tc>
          <w:tcPr>
            <w:tcW w:w="1080" w:type="dxa"/>
            <w:vAlign w:val="center"/>
          </w:tcPr>
          <w:p>
            <w:pPr>
              <w:spacing w:before="20" w:after="20"/>
              <w:jc w:val="center"/>
              <w:rPr>
                <w:b/>
                <w:noProof/>
                <w:sz w:val="20"/>
              </w:rPr>
            </w:pPr>
            <w:r>
              <w:rPr>
                <w:b/>
                <w:noProof/>
                <w:sz w:val="20"/>
              </w:rPr>
              <w:t>16,862</w:t>
            </w:r>
          </w:p>
        </w:tc>
      </w:tr>
    </w:tbl>
    <w:p>
      <w:pPr>
        <w:spacing w:line="200" w:lineRule="exact"/>
        <w:rPr>
          <w:noProof/>
          <w:sz w:val="16"/>
          <w:szCs w:val="16"/>
        </w:rPr>
      </w:pPr>
    </w:p>
    <w:tbl>
      <w:tblPr>
        <w:tblW w:w="630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Mitmeaastase finantsraamistiku rubriigist 5</w:t>
            </w:r>
            <w:r>
              <w:rPr>
                <w:rStyle w:val="FootnoteReference"/>
                <w:noProof/>
              </w:rPr>
              <w:footnoteReference w:id="28"/>
            </w:r>
            <w:r>
              <w:rPr>
                <w:b/>
                <w:noProof/>
                <w:sz w:val="16"/>
              </w:rPr>
              <w:t xml:space="preserve"> välja jäävad kulud </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Personalikulud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Muud halduskulud</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Mitmeaastase finantsraamistiku rubriigist 5 välja jäävate kulude vahesumma </w:t>
            </w:r>
          </w:p>
        </w:tc>
        <w:tc>
          <w:tcPr>
            <w:tcW w:w="1080" w:type="dxa"/>
            <w:vAlign w:val="center"/>
          </w:tcPr>
          <w:p>
            <w:pPr>
              <w:spacing w:before="60" w:after="60" w:line="200" w:lineRule="exact"/>
              <w:jc w:val="right"/>
              <w:rPr>
                <w:noProof/>
                <w:sz w:val="16"/>
                <w:szCs w:val="16"/>
              </w:rPr>
            </w:pPr>
            <w:r>
              <w:rPr>
                <w:noProof/>
                <w:sz w:val="16"/>
              </w:rPr>
              <w:t>0</w:t>
            </w:r>
          </w:p>
        </w:tc>
        <w:tc>
          <w:tcPr>
            <w:tcW w:w="1080" w:type="dxa"/>
            <w:vAlign w:val="center"/>
          </w:tcPr>
          <w:p>
            <w:pPr>
              <w:spacing w:before="60" w:after="60" w:line="200" w:lineRule="exact"/>
              <w:jc w:val="right"/>
              <w:rPr>
                <w:noProof/>
                <w:sz w:val="16"/>
                <w:szCs w:val="16"/>
              </w:rPr>
            </w:pPr>
            <w:r>
              <w:rPr>
                <w:noProof/>
                <w:sz w:val="16"/>
              </w:rPr>
              <w:t>0</w:t>
            </w:r>
          </w:p>
        </w:tc>
        <w:tc>
          <w:tcPr>
            <w:tcW w:w="1080" w:type="dxa"/>
            <w:vAlign w:val="center"/>
          </w:tcPr>
          <w:p>
            <w:pPr>
              <w:spacing w:before="60" w:after="60" w:line="200" w:lineRule="exact"/>
              <w:jc w:val="right"/>
              <w:rPr>
                <w:noProof/>
                <w:sz w:val="16"/>
                <w:szCs w:val="16"/>
              </w:rPr>
            </w:pPr>
            <w:r>
              <w:rPr>
                <w:noProof/>
                <w:sz w:val="16"/>
              </w:rPr>
              <w:t>0</w:t>
            </w:r>
          </w:p>
        </w:tc>
        <w:tc>
          <w:tcPr>
            <w:tcW w:w="1080" w:type="dxa"/>
            <w:vAlign w:val="center"/>
          </w:tcPr>
          <w:p>
            <w:pPr>
              <w:spacing w:before="60" w:after="60" w:line="200" w:lineRule="exact"/>
              <w:jc w:val="right"/>
              <w:rPr>
                <w:noProof/>
                <w:sz w:val="16"/>
                <w:szCs w:val="16"/>
              </w:rPr>
            </w:pPr>
            <w:r>
              <w:rPr>
                <w:noProof/>
                <w:sz w:val="16"/>
              </w:rPr>
              <w:t>0</w:t>
            </w:r>
          </w:p>
        </w:tc>
      </w:tr>
    </w:tbl>
    <w:p>
      <w:pPr>
        <w:spacing w:line="200" w:lineRule="exact"/>
        <w:rPr>
          <w:noProof/>
          <w:sz w:val="16"/>
          <w:szCs w:val="16"/>
        </w:rPr>
      </w:pPr>
    </w:p>
    <w:tbl>
      <w:tblPr>
        <w:tblW w:w="6300" w:type="dxa"/>
        <w:tblInd w:w="-612" w:type="dxa"/>
        <w:tblLayout w:type="fixed"/>
        <w:tblLook w:val="01E0" w:firstRow="1" w:lastRow="1" w:firstColumn="1" w:lastColumn="1" w:noHBand="0" w:noVBand="0"/>
      </w:tblPr>
      <w:tblGrid>
        <w:gridCol w:w="19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KOKKU</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20" w:after="20"/>
              <w:jc w:val="center"/>
              <w:rPr>
                <w:noProof/>
                <w:sz w:val="20"/>
              </w:rPr>
            </w:pPr>
            <w:r>
              <w:rPr>
                <w:noProof/>
                <w:sz w:val="20"/>
              </w:rPr>
              <w:t>1,832</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20" w:after="20"/>
              <w:jc w:val="center"/>
              <w:rPr>
                <w:noProof/>
                <w:sz w:val="20"/>
              </w:rPr>
            </w:pPr>
            <w:r>
              <w:rPr>
                <w:noProof/>
                <w:sz w:val="20"/>
              </w:rPr>
              <w:t>5,264</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20" w:after="20"/>
              <w:jc w:val="center"/>
              <w:rPr>
                <w:noProof/>
                <w:sz w:val="20"/>
              </w:rPr>
            </w:pPr>
            <w:r>
              <w:rPr>
                <w:noProof/>
                <w:sz w:val="20"/>
              </w:rPr>
              <w:t>9,766</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20" w:after="20"/>
              <w:jc w:val="center"/>
              <w:rPr>
                <w:b/>
                <w:noProof/>
                <w:sz w:val="20"/>
              </w:rPr>
            </w:pPr>
            <w:r>
              <w:rPr>
                <w:b/>
                <w:noProof/>
                <w:sz w:val="20"/>
              </w:rPr>
              <w:t>16,862</w:t>
            </w:r>
          </w:p>
        </w:tc>
      </w:tr>
    </w:tbl>
    <w:p>
      <w:pPr>
        <w:rPr>
          <w:noProof/>
          <w:sz w:val="18"/>
        </w:rPr>
        <w:sectPr>
          <w:headerReference w:type="default" r:id="rId22"/>
          <w:footerReference w:type="default" r:id="rId23"/>
          <w:headerReference w:type="first" r:id="rId24"/>
          <w:footerReference w:type="first" r:id="rId25"/>
          <w:pgSz w:w="11907" w:h="16840"/>
          <w:pgMar w:top="1134" w:right="1418" w:bottom="1134" w:left="1418" w:header="709" w:footer="709" w:gutter="0"/>
          <w:cols w:space="708"/>
          <w:docGrid w:linePitch="360"/>
        </w:sectPr>
      </w:pPr>
      <w:r>
        <w:rPr>
          <w:noProof/>
          <w:sz w:val="18"/>
        </w:rPr>
        <w:t>Personali ja muude halduskuludega seotud assigneeringute vajadused kaetakse asjaomase peadirektoraadi poolt kõnealuse meetme haldamiseks juba antud ja/või ümberpaigutatud assigneeringute raames, täiendades neid vajaduse korral täiendavate assigneeringutega, mida võidakse anda haldavale peadirektoraadile iga-aastase vahendite eraldamise menetluse käigus, arvestades eelarvepiirangutega.</w:t>
      </w:r>
    </w:p>
    <w:p>
      <w:pPr>
        <w:pStyle w:val="ManualNumPar4"/>
        <w:rPr>
          <w:noProof/>
          <w:szCs w:val="24"/>
        </w:rPr>
      </w:pPr>
      <w:r>
        <w:t>3.2.3.2.</w:t>
      </w:r>
      <w:r>
        <w:tab/>
      </w:r>
      <w:r>
        <w:rPr>
          <w:noProof/>
        </w:rPr>
        <w:t>Hinnanguline personalivajadus</w:t>
      </w:r>
    </w:p>
    <w:p>
      <w:pPr>
        <w:tabs>
          <w:tab w:val="num" w:pos="1134"/>
        </w:tabs>
        <w:ind w:left="1134" w:hanging="283"/>
        <w:rPr>
          <w:rFonts w:eastAsia="Times New Roman"/>
          <w:noProof/>
        </w:rPr>
      </w:pPr>
      <w:r>
        <w:rPr>
          <w:rFonts w:eastAsia="Times New Roman"/>
          <w:noProof/>
        </w:rPr>
        <w:sym w:font="Wingdings" w:char="F0A8"/>
      </w:r>
      <w:r>
        <w:rPr>
          <w:noProof/>
        </w:rPr>
        <w:tab/>
        <w:t xml:space="preserve">Ettepanek/algatus ei hõlma personali kasutamist </w:t>
      </w:r>
    </w:p>
    <w:p>
      <w:pPr>
        <w:tabs>
          <w:tab w:val="num" w:pos="1134"/>
        </w:tabs>
        <w:ind w:left="1134" w:hanging="283"/>
        <w:rPr>
          <w:rFonts w:eastAsia="Times New Roman"/>
          <w:noProof/>
        </w:rPr>
      </w:pPr>
      <w:r>
        <w:rPr>
          <w:noProof/>
        </w:rPr>
        <w:t>X</w:t>
      </w:r>
      <w:r>
        <w:rPr>
          <w:noProof/>
        </w:rPr>
        <w:tab/>
        <w:t>Ettepanek/algatus hõlmab personali kasutamist, mis toimub järgmiselt:</w:t>
      </w:r>
      <w:r>
        <w:rPr>
          <w:noProof/>
          <w:sz w:val="28"/>
        </w:rPr>
        <w:t>*</w:t>
      </w:r>
    </w:p>
    <w:p>
      <w:pPr>
        <w:spacing w:after="60"/>
        <w:jc w:val="right"/>
        <w:rPr>
          <w:i/>
          <w:noProof/>
          <w:sz w:val="20"/>
        </w:rPr>
      </w:pPr>
      <w:r>
        <w:rPr>
          <w:i/>
          <w:noProof/>
          <w:sz w:val="20"/>
        </w:rPr>
        <w:t>Hinnanguline väärtus täistööaja ekvivalendina</w:t>
      </w:r>
    </w:p>
    <w:tbl>
      <w:tblPr>
        <w:tblW w:w="3096" w:type="pct"/>
        <w:jc w:val="center"/>
        <w:tblInd w:w="-18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40"/>
        <w:gridCol w:w="2536"/>
        <w:gridCol w:w="592"/>
        <w:gridCol w:w="24"/>
        <w:gridCol w:w="565"/>
        <w:gridCol w:w="52"/>
        <w:gridCol w:w="577"/>
        <w:gridCol w:w="25"/>
        <w:gridCol w:w="15"/>
      </w:tblGrid>
      <w:tr>
        <w:trPr>
          <w:trHeight w:val="289"/>
          <w:jc w:val="center"/>
        </w:trPr>
        <w:tc>
          <w:tcPr>
            <w:tcW w:w="3382" w:type="pct"/>
            <w:gridSpan w:val="2"/>
            <w:shd w:val="clear" w:color="auto" w:fill="auto"/>
          </w:tcPr>
          <w:p>
            <w:pPr>
              <w:spacing w:before="40" w:after="40"/>
              <w:jc w:val="center"/>
              <w:rPr>
                <w:i/>
                <w:noProof/>
                <w:sz w:val="20"/>
                <w:szCs w:val="20"/>
              </w:rPr>
            </w:pPr>
          </w:p>
        </w:tc>
        <w:tc>
          <w:tcPr>
            <w:tcW w:w="536" w:type="pct"/>
            <w:gridSpan w:val="2"/>
            <w:shd w:val="clear" w:color="auto" w:fill="auto"/>
            <w:vAlign w:val="center"/>
          </w:tcPr>
          <w:p>
            <w:pPr>
              <w:spacing w:before="20" w:after="20"/>
              <w:jc w:val="center"/>
              <w:rPr>
                <w:noProof/>
                <w:sz w:val="16"/>
                <w:szCs w:val="16"/>
              </w:rPr>
            </w:pPr>
            <w:r>
              <w:rPr>
                <w:noProof/>
                <w:sz w:val="16"/>
              </w:rPr>
              <w:t>Aasta</w:t>
            </w:r>
            <w:r>
              <w:rPr>
                <w:noProof/>
                <w:sz w:val="22"/>
              </w:rPr>
              <w:br/>
            </w:r>
            <w:r>
              <w:rPr>
                <w:b/>
                <w:noProof/>
                <w:sz w:val="16"/>
              </w:rPr>
              <w:t>N</w:t>
            </w:r>
          </w:p>
        </w:tc>
        <w:tc>
          <w:tcPr>
            <w:tcW w:w="537" w:type="pct"/>
            <w:gridSpan w:val="2"/>
            <w:shd w:val="clear" w:color="auto" w:fill="auto"/>
            <w:vAlign w:val="center"/>
          </w:tcPr>
          <w:p>
            <w:pPr>
              <w:spacing w:before="20" w:after="20"/>
              <w:jc w:val="center"/>
              <w:rPr>
                <w:noProof/>
                <w:sz w:val="16"/>
                <w:szCs w:val="16"/>
              </w:rPr>
            </w:pPr>
            <w:r>
              <w:rPr>
                <w:noProof/>
                <w:sz w:val="16"/>
              </w:rPr>
              <w:t xml:space="preserve">Aasta </w:t>
            </w:r>
            <w:r>
              <w:rPr>
                <w:b/>
                <w:noProof/>
                <w:sz w:val="16"/>
              </w:rPr>
              <w:t>N+1</w:t>
            </w:r>
          </w:p>
        </w:tc>
        <w:tc>
          <w:tcPr>
            <w:tcW w:w="545" w:type="pct"/>
            <w:gridSpan w:val="3"/>
            <w:shd w:val="clear" w:color="auto" w:fill="auto"/>
            <w:vAlign w:val="center"/>
          </w:tcPr>
          <w:p>
            <w:pPr>
              <w:spacing w:before="20" w:after="20"/>
              <w:jc w:val="center"/>
              <w:rPr>
                <w:noProof/>
                <w:sz w:val="16"/>
                <w:szCs w:val="16"/>
              </w:rPr>
            </w:pPr>
            <w:r>
              <w:rPr>
                <w:noProof/>
                <w:sz w:val="16"/>
              </w:rPr>
              <w:t xml:space="preserve">Aasta </w:t>
            </w:r>
            <w:r>
              <w:rPr>
                <w:b/>
                <w:noProof/>
                <w:sz w:val="16"/>
              </w:rPr>
              <w:t>N+2</w:t>
            </w:r>
          </w:p>
        </w:tc>
      </w:tr>
      <w:tr>
        <w:trPr>
          <w:trHeight w:val="289"/>
          <w:jc w:val="center"/>
        </w:trPr>
        <w:tc>
          <w:tcPr>
            <w:tcW w:w="3382" w:type="pct"/>
            <w:gridSpan w:val="2"/>
            <w:shd w:val="clear" w:color="auto" w:fill="auto"/>
          </w:tcPr>
          <w:p>
            <w:pPr>
              <w:spacing w:before="40" w:after="40"/>
              <w:jc w:val="center"/>
              <w:rPr>
                <w:i/>
                <w:noProof/>
                <w:sz w:val="20"/>
                <w:szCs w:val="20"/>
              </w:rPr>
            </w:pPr>
          </w:p>
        </w:tc>
        <w:tc>
          <w:tcPr>
            <w:tcW w:w="536" w:type="pct"/>
            <w:gridSpan w:val="2"/>
            <w:shd w:val="clear" w:color="auto" w:fill="auto"/>
            <w:vAlign w:val="center"/>
          </w:tcPr>
          <w:p>
            <w:pPr>
              <w:jc w:val="center"/>
              <w:rPr>
                <w:noProof/>
                <w:sz w:val="20"/>
                <w:szCs w:val="20"/>
              </w:rPr>
            </w:pPr>
            <w:r>
              <w:rPr>
                <w:noProof/>
                <w:sz w:val="20"/>
              </w:rPr>
              <w:t>2018</w:t>
            </w:r>
          </w:p>
        </w:tc>
        <w:tc>
          <w:tcPr>
            <w:tcW w:w="537" w:type="pct"/>
            <w:gridSpan w:val="2"/>
            <w:shd w:val="clear" w:color="auto" w:fill="auto"/>
            <w:vAlign w:val="center"/>
          </w:tcPr>
          <w:p>
            <w:pPr>
              <w:jc w:val="center"/>
              <w:rPr>
                <w:noProof/>
                <w:sz w:val="20"/>
                <w:szCs w:val="20"/>
              </w:rPr>
            </w:pPr>
            <w:r>
              <w:rPr>
                <w:noProof/>
                <w:sz w:val="20"/>
              </w:rPr>
              <w:t>2019</w:t>
            </w:r>
          </w:p>
        </w:tc>
        <w:tc>
          <w:tcPr>
            <w:tcW w:w="545" w:type="pct"/>
            <w:gridSpan w:val="3"/>
            <w:shd w:val="clear" w:color="auto" w:fill="auto"/>
            <w:vAlign w:val="center"/>
          </w:tcPr>
          <w:p>
            <w:pPr>
              <w:jc w:val="center"/>
              <w:rPr>
                <w:noProof/>
                <w:sz w:val="20"/>
                <w:szCs w:val="20"/>
              </w:rPr>
            </w:pPr>
            <w:r>
              <w:rPr>
                <w:noProof/>
                <w:sz w:val="20"/>
              </w:rPr>
              <w:t>2020</w:t>
            </w:r>
          </w:p>
        </w:tc>
      </w:tr>
      <w:tr>
        <w:trPr>
          <w:trHeight w:val="289"/>
          <w:jc w:val="center"/>
        </w:trPr>
        <w:tc>
          <w:tcPr>
            <w:tcW w:w="5000" w:type="pct"/>
            <w:gridSpan w:val="9"/>
            <w:shd w:val="clear" w:color="auto" w:fill="auto"/>
            <w:vAlign w:val="center"/>
          </w:tcPr>
          <w:p>
            <w:pPr>
              <w:spacing w:before="60" w:after="60"/>
              <w:jc w:val="left"/>
              <w:rPr>
                <w:i/>
                <w:noProof/>
                <w:sz w:val="20"/>
                <w:szCs w:val="20"/>
              </w:rPr>
            </w:pPr>
            <w:r>
              <w:rPr>
                <w:b/>
                <w:noProof/>
                <w:sz w:val="20"/>
                <w:szCs w:val="20"/>
              </w:rPr>
              <w:sym w:font="Wingdings" w:char="F09F"/>
            </w:r>
            <w:r>
              <w:rPr>
                <w:b/>
                <w:noProof/>
                <w:sz w:val="20"/>
              </w:rPr>
              <w:t>Ametikohtade loeteluga ette nähtud ametikohad (ametnikud ja ajutised töötajad)</w:t>
            </w:r>
          </w:p>
        </w:tc>
      </w:tr>
      <w:tr>
        <w:trPr>
          <w:trHeight w:val="289"/>
          <w:jc w:val="center"/>
        </w:trPr>
        <w:tc>
          <w:tcPr>
            <w:tcW w:w="3382" w:type="pct"/>
            <w:gridSpan w:val="2"/>
            <w:shd w:val="clear" w:color="auto" w:fill="auto"/>
            <w:vAlign w:val="center"/>
          </w:tcPr>
          <w:p>
            <w:pPr>
              <w:spacing w:beforeLines="20" w:before="48" w:afterLines="20" w:after="48"/>
              <w:ind w:left="984"/>
              <w:jc w:val="left"/>
              <w:rPr>
                <w:b/>
                <w:noProof/>
                <w:sz w:val="20"/>
                <w:szCs w:val="20"/>
              </w:rPr>
            </w:pPr>
            <w:r>
              <w:rPr>
                <w:noProof/>
                <w:sz w:val="20"/>
              </w:rPr>
              <w:t>23 01 01 01 (komisjoni peakorteris ja esindustes)</w:t>
            </w:r>
          </w:p>
        </w:tc>
        <w:tc>
          <w:tcPr>
            <w:tcW w:w="536" w:type="pct"/>
            <w:gridSpan w:val="2"/>
            <w:shd w:val="clear" w:color="auto" w:fill="auto"/>
            <w:vAlign w:val="center"/>
          </w:tcPr>
          <w:p>
            <w:pPr>
              <w:spacing w:beforeLines="20" w:before="48" w:afterLines="20" w:after="48"/>
              <w:jc w:val="center"/>
              <w:rPr>
                <w:noProof/>
                <w:sz w:val="20"/>
                <w:szCs w:val="20"/>
              </w:rPr>
            </w:pPr>
            <w:r>
              <w:rPr>
                <w:noProof/>
                <w:sz w:val="20"/>
              </w:rPr>
              <w:t>7</w:t>
            </w:r>
          </w:p>
        </w:tc>
        <w:tc>
          <w:tcPr>
            <w:tcW w:w="537" w:type="pct"/>
            <w:gridSpan w:val="2"/>
            <w:shd w:val="clear" w:color="auto" w:fill="auto"/>
            <w:vAlign w:val="center"/>
          </w:tcPr>
          <w:p>
            <w:pPr>
              <w:spacing w:beforeLines="20" w:before="48" w:afterLines="20" w:after="48"/>
              <w:jc w:val="center"/>
              <w:rPr>
                <w:noProof/>
                <w:sz w:val="20"/>
                <w:szCs w:val="20"/>
              </w:rPr>
            </w:pPr>
            <w:r>
              <w:rPr>
                <w:noProof/>
                <w:sz w:val="20"/>
              </w:rPr>
              <w:t>12</w:t>
            </w:r>
          </w:p>
        </w:tc>
        <w:tc>
          <w:tcPr>
            <w:tcW w:w="545" w:type="pct"/>
            <w:gridSpan w:val="3"/>
            <w:shd w:val="clear" w:color="auto" w:fill="auto"/>
            <w:vAlign w:val="center"/>
          </w:tcPr>
          <w:p>
            <w:pPr>
              <w:spacing w:beforeLines="20" w:before="48" w:afterLines="20" w:after="48"/>
              <w:jc w:val="center"/>
              <w:rPr>
                <w:noProof/>
                <w:sz w:val="20"/>
                <w:szCs w:val="20"/>
              </w:rPr>
            </w:pPr>
            <w:r>
              <w:rPr>
                <w:noProof/>
                <w:sz w:val="20"/>
              </w:rPr>
              <w:t>16</w:t>
            </w:r>
          </w:p>
        </w:tc>
      </w:tr>
      <w:tr>
        <w:trPr>
          <w:trHeight w:val="289"/>
          <w:jc w:val="center"/>
        </w:trPr>
        <w:tc>
          <w:tcPr>
            <w:tcW w:w="3382" w:type="pct"/>
            <w:gridSpan w:val="2"/>
            <w:shd w:val="clear" w:color="auto" w:fill="auto"/>
            <w:vAlign w:val="center"/>
          </w:tcPr>
          <w:p>
            <w:pPr>
              <w:spacing w:beforeLines="20" w:before="48" w:afterLines="20" w:after="48"/>
              <w:ind w:left="984"/>
              <w:jc w:val="left"/>
              <w:rPr>
                <w:noProof/>
                <w:sz w:val="20"/>
                <w:szCs w:val="20"/>
              </w:rPr>
            </w:pPr>
            <w:r>
              <w:rPr>
                <w:noProof/>
                <w:sz w:val="20"/>
              </w:rPr>
              <w:t>XX 01 01 02 (delegatsioonides)</w:t>
            </w:r>
          </w:p>
        </w:tc>
        <w:tc>
          <w:tcPr>
            <w:tcW w:w="536" w:type="pct"/>
            <w:gridSpan w:val="2"/>
            <w:shd w:val="clear" w:color="auto" w:fill="auto"/>
            <w:vAlign w:val="center"/>
          </w:tcPr>
          <w:p>
            <w:pPr>
              <w:spacing w:beforeLines="20" w:before="48" w:afterLines="20" w:after="48"/>
              <w:jc w:val="center"/>
              <w:rPr>
                <w:noProof/>
                <w:sz w:val="20"/>
                <w:szCs w:val="20"/>
              </w:rPr>
            </w:pPr>
          </w:p>
        </w:tc>
        <w:tc>
          <w:tcPr>
            <w:tcW w:w="537" w:type="pct"/>
            <w:gridSpan w:val="2"/>
            <w:shd w:val="clear" w:color="auto" w:fill="auto"/>
            <w:vAlign w:val="center"/>
          </w:tcPr>
          <w:p>
            <w:pPr>
              <w:spacing w:beforeLines="20" w:before="48" w:afterLines="20" w:after="48"/>
              <w:jc w:val="center"/>
              <w:rPr>
                <w:noProof/>
                <w:sz w:val="20"/>
                <w:szCs w:val="20"/>
              </w:rPr>
            </w:pPr>
          </w:p>
        </w:tc>
        <w:tc>
          <w:tcPr>
            <w:tcW w:w="545" w:type="pct"/>
            <w:gridSpan w:val="3"/>
            <w:shd w:val="clear" w:color="auto" w:fill="auto"/>
            <w:vAlign w:val="center"/>
          </w:tcPr>
          <w:p>
            <w:pPr>
              <w:spacing w:beforeLines="20" w:before="48" w:afterLines="20" w:after="48"/>
              <w:jc w:val="center"/>
              <w:rPr>
                <w:noProof/>
                <w:sz w:val="20"/>
                <w:szCs w:val="20"/>
              </w:rPr>
            </w:pPr>
          </w:p>
        </w:tc>
      </w:tr>
      <w:tr>
        <w:trPr>
          <w:trHeight w:val="289"/>
          <w:jc w:val="center"/>
        </w:trPr>
        <w:tc>
          <w:tcPr>
            <w:tcW w:w="3382" w:type="pct"/>
            <w:gridSpan w:val="2"/>
            <w:shd w:val="clear" w:color="auto" w:fill="auto"/>
            <w:vAlign w:val="center"/>
          </w:tcPr>
          <w:p>
            <w:pPr>
              <w:spacing w:beforeLines="20" w:before="48" w:afterLines="20" w:after="48"/>
              <w:ind w:left="984"/>
              <w:jc w:val="left"/>
              <w:rPr>
                <w:noProof/>
                <w:sz w:val="20"/>
                <w:szCs w:val="20"/>
              </w:rPr>
            </w:pPr>
            <w:r>
              <w:rPr>
                <w:noProof/>
                <w:sz w:val="20"/>
              </w:rPr>
              <w:t>XX 01 05 01 (kaudne teadustegevus)</w:t>
            </w:r>
          </w:p>
        </w:tc>
        <w:tc>
          <w:tcPr>
            <w:tcW w:w="536" w:type="pct"/>
            <w:gridSpan w:val="2"/>
            <w:shd w:val="clear" w:color="auto" w:fill="auto"/>
            <w:vAlign w:val="center"/>
          </w:tcPr>
          <w:p>
            <w:pPr>
              <w:spacing w:beforeLines="20" w:before="48" w:afterLines="20" w:after="48"/>
              <w:jc w:val="center"/>
              <w:rPr>
                <w:noProof/>
                <w:sz w:val="20"/>
                <w:szCs w:val="20"/>
              </w:rPr>
            </w:pPr>
          </w:p>
        </w:tc>
        <w:tc>
          <w:tcPr>
            <w:tcW w:w="537" w:type="pct"/>
            <w:gridSpan w:val="2"/>
            <w:shd w:val="clear" w:color="auto" w:fill="auto"/>
            <w:vAlign w:val="center"/>
          </w:tcPr>
          <w:p>
            <w:pPr>
              <w:spacing w:beforeLines="20" w:before="48" w:afterLines="20" w:after="48"/>
              <w:jc w:val="center"/>
              <w:rPr>
                <w:noProof/>
                <w:sz w:val="20"/>
                <w:szCs w:val="20"/>
              </w:rPr>
            </w:pPr>
          </w:p>
        </w:tc>
        <w:tc>
          <w:tcPr>
            <w:tcW w:w="545" w:type="pct"/>
            <w:gridSpan w:val="3"/>
            <w:shd w:val="clear" w:color="auto" w:fill="auto"/>
            <w:vAlign w:val="center"/>
          </w:tcPr>
          <w:p>
            <w:pPr>
              <w:spacing w:beforeLines="20" w:before="48" w:afterLines="20" w:after="48"/>
              <w:jc w:val="center"/>
              <w:rPr>
                <w:noProof/>
                <w:sz w:val="20"/>
                <w:szCs w:val="20"/>
              </w:rPr>
            </w:pPr>
          </w:p>
        </w:tc>
      </w:tr>
      <w:tr>
        <w:trPr>
          <w:trHeight w:val="289"/>
          <w:jc w:val="center"/>
        </w:trPr>
        <w:tc>
          <w:tcPr>
            <w:tcW w:w="3382" w:type="pct"/>
            <w:gridSpan w:val="2"/>
            <w:shd w:val="clear" w:color="auto" w:fill="auto"/>
            <w:vAlign w:val="center"/>
          </w:tcPr>
          <w:p>
            <w:pPr>
              <w:spacing w:beforeLines="20" w:before="48" w:afterLines="20" w:after="48"/>
              <w:ind w:left="984"/>
              <w:jc w:val="left"/>
              <w:rPr>
                <w:noProof/>
                <w:sz w:val="20"/>
                <w:szCs w:val="20"/>
              </w:rPr>
            </w:pPr>
            <w:r>
              <w:rPr>
                <w:noProof/>
                <w:sz w:val="20"/>
              </w:rPr>
              <w:t>10 01 05 01 (otsene teadustegevus)</w:t>
            </w:r>
          </w:p>
        </w:tc>
        <w:tc>
          <w:tcPr>
            <w:tcW w:w="536" w:type="pct"/>
            <w:gridSpan w:val="2"/>
            <w:shd w:val="clear" w:color="auto" w:fill="auto"/>
            <w:vAlign w:val="center"/>
          </w:tcPr>
          <w:p>
            <w:pPr>
              <w:spacing w:beforeLines="20" w:before="48" w:afterLines="20" w:after="48"/>
              <w:jc w:val="center"/>
              <w:rPr>
                <w:noProof/>
                <w:sz w:val="20"/>
                <w:szCs w:val="20"/>
              </w:rPr>
            </w:pPr>
          </w:p>
        </w:tc>
        <w:tc>
          <w:tcPr>
            <w:tcW w:w="537" w:type="pct"/>
            <w:gridSpan w:val="2"/>
            <w:shd w:val="clear" w:color="auto" w:fill="auto"/>
            <w:vAlign w:val="center"/>
          </w:tcPr>
          <w:p>
            <w:pPr>
              <w:spacing w:beforeLines="20" w:before="48" w:afterLines="20" w:after="48"/>
              <w:jc w:val="center"/>
              <w:rPr>
                <w:noProof/>
                <w:sz w:val="20"/>
                <w:szCs w:val="20"/>
              </w:rPr>
            </w:pPr>
          </w:p>
        </w:tc>
        <w:tc>
          <w:tcPr>
            <w:tcW w:w="545" w:type="pct"/>
            <w:gridSpan w:val="3"/>
            <w:shd w:val="clear" w:color="auto" w:fill="auto"/>
            <w:vAlign w:val="center"/>
          </w:tcPr>
          <w:p>
            <w:pPr>
              <w:spacing w:beforeLines="20" w:before="48" w:afterLines="20" w:after="48"/>
              <w:jc w:val="center"/>
              <w:rPr>
                <w:noProof/>
                <w:sz w:val="20"/>
                <w:szCs w:val="20"/>
              </w:rPr>
            </w:pPr>
          </w:p>
        </w:tc>
      </w:tr>
      <w:tr>
        <w:trPr>
          <w:trHeight w:val="289"/>
          <w:jc w:val="center"/>
        </w:trPr>
        <w:tc>
          <w:tcPr>
            <w:tcW w:w="5000" w:type="pct"/>
            <w:gridSpan w:val="9"/>
            <w:shd w:val="clear" w:color="auto" w:fill="auto"/>
            <w:vAlign w:val="center"/>
          </w:tcPr>
          <w:p>
            <w:pPr>
              <w:spacing w:beforeLines="20" w:before="48" w:afterLines="20" w:after="48"/>
              <w:jc w:val="left"/>
              <w:rPr>
                <w:noProof/>
                <w:sz w:val="20"/>
                <w:szCs w:val="20"/>
              </w:rPr>
            </w:pPr>
            <w:r>
              <w:rPr>
                <w:b/>
                <w:noProof/>
                <w:sz w:val="20"/>
                <w:szCs w:val="20"/>
              </w:rPr>
              <w:sym w:font="Wingdings" w:char="F09F"/>
            </w:r>
            <w:r>
              <w:rPr>
                <w:b/>
                <w:noProof/>
                <w:sz w:val="20"/>
              </w:rPr>
              <w:t>Koosseisuväline personal (täistööajale taandatud töötajad)</w:t>
            </w:r>
            <w:r>
              <w:rPr>
                <w:rStyle w:val="FootnoteReference"/>
                <w:noProof/>
              </w:rPr>
              <w:footnoteReference w:id="29"/>
            </w:r>
          </w:p>
        </w:tc>
      </w:tr>
      <w:tr>
        <w:trPr>
          <w:gridAfter w:val="1"/>
          <w:wAfter w:w="12" w:type="pct"/>
          <w:trHeight w:val="289"/>
          <w:jc w:val="center"/>
        </w:trPr>
        <w:tc>
          <w:tcPr>
            <w:tcW w:w="3382" w:type="pct"/>
            <w:gridSpan w:val="2"/>
            <w:shd w:val="clear" w:color="auto" w:fill="auto"/>
            <w:vAlign w:val="center"/>
          </w:tcPr>
          <w:p>
            <w:pPr>
              <w:spacing w:beforeLines="20" w:before="48" w:afterLines="20" w:after="48"/>
              <w:ind w:left="986"/>
              <w:jc w:val="left"/>
              <w:rPr>
                <w:b/>
                <w:noProof/>
                <w:sz w:val="20"/>
                <w:szCs w:val="20"/>
              </w:rPr>
            </w:pPr>
            <w:r>
              <w:rPr>
                <w:noProof/>
                <w:sz w:val="20"/>
              </w:rPr>
              <w:t>23 01 02 01 (üldvahenditest rahastatavad lepingulised töötajad, riikide lähetatud eksperdid ja renditööjõud)</w:t>
            </w:r>
          </w:p>
        </w:tc>
        <w:tc>
          <w:tcPr>
            <w:tcW w:w="515" w:type="pct"/>
            <w:shd w:val="clear" w:color="auto" w:fill="auto"/>
            <w:vAlign w:val="center"/>
          </w:tcPr>
          <w:p>
            <w:pPr>
              <w:spacing w:beforeLines="20" w:before="48" w:afterLines="20" w:after="48"/>
              <w:jc w:val="center"/>
              <w:rPr>
                <w:noProof/>
                <w:sz w:val="20"/>
                <w:szCs w:val="20"/>
              </w:rPr>
            </w:pPr>
            <w:r>
              <w:rPr>
                <w:noProof/>
                <w:sz w:val="20"/>
              </w:rPr>
              <w:t>10</w:t>
            </w:r>
          </w:p>
        </w:tc>
        <w:tc>
          <w:tcPr>
            <w:tcW w:w="513" w:type="pct"/>
            <w:gridSpan w:val="2"/>
            <w:shd w:val="clear" w:color="auto" w:fill="auto"/>
            <w:vAlign w:val="center"/>
          </w:tcPr>
          <w:p>
            <w:pPr>
              <w:spacing w:beforeLines="20" w:before="48" w:afterLines="20" w:after="48"/>
              <w:jc w:val="center"/>
              <w:rPr>
                <w:noProof/>
                <w:sz w:val="20"/>
                <w:szCs w:val="20"/>
              </w:rPr>
            </w:pPr>
            <w:r>
              <w:rPr>
                <w:noProof/>
                <w:sz w:val="20"/>
              </w:rPr>
              <w:t>24</w:t>
            </w:r>
          </w:p>
        </w:tc>
        <w:tc>
          <w:tcPr>
            <w:tcW w:w="578" w:type="pct"/>
            <w:gridSpan w:val="3"/>
            <w:shd w:val="clear" w:color="auto" w:fill="auto"/>
            <w:vAlign w:val="center"/>
          </w:tcPr>
          <w:p>
            <w:pPr>
              <w:spacing w:beforeLines="20" w:before="48" w:afterLines="20" w:after="48"/>
              <w:jc w:val="center"/>
              <w:rPr>
                <w:noProof/>
                <w:sz w:val="20"/>
                <w:szCs w:val="20"/>
              </w:rPr>
            </w:pPr>
            <w:r>
              <w:rPr>
                <w:noProof/>
                <w:sz w:val="20"/>
              </w:rPr>
              <w:t>31</w:t>
            </w:r>
          </w:p>
        </w:tc>
      </w:tr>
      <w:tr>
        <w:trPr>
          <w:gridAfter w:val="1"/>
          <w:wAfter w:w="12" w:type="pct"/>
          <w:trHeight w:val="289"/>
          <w:jc w:val="center"/>
        </w:trPr>
        <w:tc>
          <w:tcPr>
            <w:tcW w:w="3382" w:type="pct"/>
            <w:gridSpan w:val="2"/>
            <w:shd w:val="clear" w:color="auto" w:fill="auto"/>
            <w:vAlign w:val="center"/>
          </w:tcPr>
          <w:p>
            <w:pPr>
              <w:spacing w:beforeLines="20" w:before="48" w:afterLines="20" w:after="48"/>
              <w:ind w:left="986"/>
              <w:jc w:val="left"/>
              <w:rPr>
                <w:noProof/>
                <w:sz w:val="20"/>
                <w:szCs w:val="20"/>
              </w:rPr>
            </w:pPr>
            <w:r>
              <w:rPr>
                <w:noProof/>
                <w:sz w:val="20"/>
              </w:rPr>
              <w:t>XX 01 02 02 (lepingulised töötajad, kohalikud töötajad, riikide lähetatud eksperdid, renditööjõud ja noored eksperdid delegatsioonides)</w:t>
            </w:r>
          </w:p>
        </w:tc>
        <w:tc>
          <w:tcPr>
            <w:tcW w:w="515" w:type="pct"/>
            <w:shd w:val="clear" w:color="auto" w:fill="auto"/>
            <w:vAlign w:val="center"/>
          </w:tcPr>
          <w:p>
            <w:pPr>
              <w:spacing w:beforeLines="20" w:before="48" w:afterLines="20" w:after="48"/>
              <w:jc w:val="center"/>
              <w:rPr>
                <w:noProof/>
                <w:sz w:val="20"/>
                <w:szCs w:val="20"/>
              </w:rPr>
            </w:pPr>
          </w:p>
        </w:tc>
        <w:tc>
          <w:tcPr>
            <w:tcW w:w="513" w:type="pct"/>
            <w:gridSpan w:val="2"/>
            <w:shd w:val="clear" w:color="auto" w:fill="auto"/>
            <w:vAlign w:val="center"/>
          </w:tcPr>
          <w:p>
            <w:pPr>
              <w:spacing w:beforeLines="20" w:before="48" w:afterLines="20" w:after="48"/>
              <w:jc w:val="center"/>
              <w:rPr>
                <w:noProof/>
                <w:sz w:val="20"/>
                <w:szCs w:val="20"/>
              </w:rPr>
            </w:pPr>
          </w:p>
        </w:tc>
        <w:tc>
          <w:tcPr>
            <w:tcW w:w="578" w:type="pct"/>
            <w:gridSpan w:val="3"/>
            <w:shd w:val="clear" w:color="auto" w:fill="auto"/>
            <w:vAlign w:val="center"/>
          </w:tcPr>
          <w:p>
            <w:pPr>
              <w:spacing w:beforeLines="20" w:before="48" w:afterLines="20" w:after="48"/>
              <w:jc w:val="center"/>
              <w:rPr>
                <w:noProof/>
                <w:sz w:val="20"/>
                <w:szCs w:val="20"/>
              </w:rPr>
            </w:pPr>
          </w:p>
        </w:tc>
      </w:tr>
      <w:tr>
        <w:trPr>
          <w:gridAfter w:val="1"/>
          <w:wAfter w:w="12" w:type="pct"/>
          <w:trHeight w:val="289"/>
          <w:jc w:val="center"/>
        </w:trPr>
        <w:tc>
          <w:tcPr>
            <w:tcW w:w="1296" w:type="pct"/>
            <w:vMerge w:val="restart"/>
            <w:shd w:val="clear" w:color="auto" w:fill="auto"/>
            <w:vAlign w:val="center"/>
          </w:tcPr>
          <w:p>
            <w:pPr>
              <w:spacing w:beforeLines="20" w:before="48" w:afterLines="20" w:after="48"/>
              <w:ind w:left="986"/>
              <w:jc w:val="left"/>
              <w:rPr>
                <w:b/>
                <w:noProof/>
                <w:sz w:val="20"/>
                <w:szCs w:val="20"/>
              </w:rPr>
            </w:pPr>
            <w:r>
              <w:rPr>
                <w:b/>
                <w:noProof/>
                <w:sz w:val="20"/>
              </w:rPr>
              <w:t>XX</w:t>
            </w:r>
            <w:r>
              <w:rPr>
                <w:noProof/>
                <w:sz w:val="20"/>
              </w:rPr>
              <w:t xml:space="preserve"> 01 04 </w:t>
            </w:r>
            <w:r>
              <w:rPr>
                <w:b/>
                <w:i/>
                <w:noProof/>
                <w:sz w:val="20"/>
              </w:rPr>
              <w:t>yy</w:t>
            </w:r>
            <w:r>
              <w:rPr>
                <w:rStyle w:val="FootnoteReference"/>
                <w:noProof/>
              </w:rPr>
              <w:footnoteReference w:id="30"/>
            </w:r>
          </w:p>
        </w:tc>
        <w:tc>
          <w:tcPr>
            <w:tcW w:w="2086" w:type="pct"/>
            <w:shd w:val="clear" w:color="auto" w:fill="auto"/>
            <w:vAlign w:val="center"/>
          </w:tcPr>
          <w:p>
            <w:pPr>
              <w:spacing w:beforeLines="20" w:before="48" w:afterLines="20" w:after="48"/>
              <w:ind w:left="986"/>
              <w:jc w:val="left"/>
              <w:rPr>
                <w:b/>
                <w:noProof/>
                <w:sz w:val="20"/>
                <w:szCs w:val="20"/>
              </w:rPr>
            </w:pPr>
            <w:r>
              <w:rPr>
                <w:noProof/>
                <w:sz w:val="20"/>
              </w:rPr>
              <w:t>- peakorteris</w:t>
            </w:r>
            <w:r>
              <w:rPr>
                <w:rStyle w:val="FootnoteReference"/>
                <w:noProof/>
              </w:rPr>
              <w:footnoteReference w:id="31"/>
            </w:r>
          </w:p>
        </w:tc>
        <w:tc>
          <w:tcPr>
            <w:tcW w:w="515" w:type="pct"/>
            <w:shd w:val="clear" w:color="auto" w:fill="auto"/>
            <w:vAlign w:val="center"/>
          </w:tcPr>
          <w:p>
            <w:pPr>
              <w:spacing w:beforeLines="20" w:before="48" w:afterLines="20" w:after="48"/>
              <w:jc w:val="center"/>
              <w:rPr>
                <w:noProof/>
                <w:sz w:val="20"/>
                <w:szCs w:val="20"/>
              </w:rPr>
            </w:pPr>
          </w:p>
        </w:tc>
        <w:tc>
          <w:tcPr>
            <w:tcW w:w="513" w:type="pct"/>
            <w:gridSpan w:val="2"/>
            <w:shd w:val="clear" w:color="auto" w:fill="auto"/>
            <w:vAlign w:val="center"/>
          </w:tcPr>
          <w:p>
            <w:pPr>
              <w:spacing w:beforeLines="20" w:before="48" w:afterLines="20" w:after="48"/>
              <w:jc w:val="center"/>
              <w:rPr>
                <w:noProof/>
                <w:sz w:val="20"/>
                <w:szCs w:val="20"/>
              </w:rPr>
            </w:pPr>
          </w:p>
        </w:tc>
        <w:tc>
          <w:tcPr>
            <w:tcW w:w="578" w:type="pct"/>
            <w:gridSpan w:val="3"/>
            <w:shd w:val="clear" w:color="auto" w:fill="auto"/>
            <w:vAlign w:val="center"/>
          </w:tcPr>
          <w:p>
            <w:pPr>
              <w:spacing w:beforeLines="20" w:before="48" w:afterLines="20" w:after="48"/>
              <w:jc w:val="center"/>
              <w:rPr>
                <w:noProof/>
                <w:sz w:val="20"/>
                <w:szCs w:val="20"/>
              </w:rPr>
            </w:pPr>
          </w:p>
        </w:tc>
      </w:tr>
      <w:tr>
        <w:trPr>
          <w:gridAfter w:val="1"/>
          <w:wAfter w:w="12" w:type="pct"/>
          <w:trHeight w:val="289"/>
          <w:jc w:val="center"/>
        </w:trPr>
        <w:tc>
          <w:tcPr>
            <w:tcW w:w="0" w:type="auto"/>
            <w:vMerge/>
            <w:shd w:val="clear" w:color="auto" w:fill="auto"/>
            <w:vAlign w:val="center"/>
          </w:tcPr>
          <w:p>
            <w:pPr>
              <w:rPr>
                <w:b/>
                <w:noProof/>
                <w:sz w:val="20"/>
                <w:szCs w:val="20"/>
              </w:rPr>
            </w:pPr>
          </w:p>
        </w:tc>
        <w:tc>
          <w:tcPr>
            <w:tcW w:w="2086" w:type="pct"/>
            <w:shd w:val="clear" w:color="auto" w:fill="auto"/>
            <w:vAlign w:val="center"/>
          </w:tcPr>
          <w:p>
            <w:pPr>
              <w:spacing w:beforeLines="20" w:before="48" w:afterLines="20" w:after="48"/>
              <w:ind w:left="986"/>
              <w:jc w:val="left"/>
              <w:rPr>
                <w:b/>
                <w:noProof/>
                <w:sz w:val="20"/>
                <w:szCs w:val="20"/>
              </w:rPr>
            </w:pPr>
            <w:r>
              <w:rPr>
                <w:noProof/>
                <w:sz w:val="20"/>
              </w:rPr>
              <w:t xml:space="preserve">- delegatsioonides </w:t>
            </w:r>
          </w:p>
        </w:tc>
        <w:tc>
          <w:tcPr>
            <w:tcW w:w="515" w:type="pct"/>
            <w:shd w:val="clear" w:color="auto" w:fill="auto"/>
            <w:vAlign w:val="center"/>
          </w:tcPr>
          <w:p>
            <w:pPr>
              <w:spacing w:beforeLines="20" w:before="48" w:afterLines="20" w:after="48"/>
              <w:jc w:val="center"/>
              <w:rPr>
                <w:noProof/>
                <w:sz w:val="20"/>
                <w:szCs w:val="20"/>
              </w:rPr>
            </w:pPr>
          </w:p>
        </w:tc>
        <w:tc>
          <w:tcPr>
            <w:tcW w:w="513" w:type="pct"/>
            <w:gridSpan w:val="2"/>
            <w:shd w:val="clear" w:color="auto" w:fill="auto"/>
            <w:vAlign w:val="center"/>
          </w:tcPr>
          <w:p>
            <w:pPr>
              <w:spacing w:beforeLines="20" w:before="48" w:afterLines="20" w:after="48"/>
              <w:jc w:val="center"/>
              <w:rPr>
                <w:noProof/>
                <w:sz w:val="20"/>
                <w:szCs w:val="20"/>
              </w:rPr>
            </w:pPr>
          </w:p>
        </w:tc>
        <w:tc>
          <w:tcPr>
            <w:tcW w:w="578" w:type="pct"/>
            <w:gridSpan w:val="3"/>
            <w:shd w:val="clear" w:color="auto" w:fill="auto"/>
            <w:vAlign w:val="center"/>
          </w:tcPr>
          <w:p>
            <w:pPr>
              <w:spacing w:beforeLines="20" w:before="48" w:afterLines="20" w:after="48"/>
              <w:jc w:val="center"/>
              <w:rPr>
                <w:noProof/>
                <w:sz w:val="20"/>
                <w:szCs w:val="20"/>
              </w:rPr>
            </w:pPr>
          </w:p>
        </w:tc>
      </w:tr>
      <w:tr>
        <w:trPr>
          <w:gridAfter w:val="1"/>
          <w:wAfter w:w="12" w:type="pct"/>
          <w:trHeight w:val="289"/>
          <w:jc w:val="center"/>
        </w:trPr>
        <w:tc>
          <w:tcPr>
            <w:tcW w:w="3382" w:type="pct"/>
            <w:gridSpan w:val="2"/>
            <w:shd w:val="clear" w:color="auto" w:fill="auto"/>
            <w:vAlign w:val="center"/>
          </w:tcPr>
          <w:p>
            <w:pPr>
              <w:spacing w:beforeLines="20" w:before="48" w:afterLines="20" w:after="48"/>
              <w:ind w:left="986"/>
              <w:jc w:val="left"/>
              <w:rPr>
                <w:noProof/>
                <w:sz w:val="20"/>
                <w:szCs w:val="20"/>
              </w:rPr>
            </w:pPr>
            <w:r>
              <w:rPr>
                <w:b/>
                <w:noProof/>
              </w:rPr>
              <w:t>XX</w:t>
            </w:r>
            <w:r>
              <w:rPr>
                <w:noProof/>
              </w:rPr>
              <w:t xml:space="preserve"> </w:t>
            </w:r>
            <w:r>
              <w:rPr>
                <w:noProof/>
                <w:sz w:val="20"/>
              </w:rPr>
              <w:t>01 05 02 (lepingulised töötajad, riikide lähetatud eksperdid ja renditööjõud kaudse teadustegevuse valdkonnas)</w:t>
            </w:r>
          </w:p>
        </w:tc>
        <w:tc>
          <w:tcPr>
            <w:tcW w:w="515" w:type="pct"/>
            <w:shd w:val="clear" w:color="auto" w:fill="auto"/>
            <w:vAlign w:val="center"/>
          </w:tcPr>
          <w:p>
            <w:pPr>
              <w:spacing w:beforeLines="20" w:before="48" w:afterLines="20" w:after="48"/>
              <w:jc w:val="center"/>
              <w:rPr>
                <w:noProof/>
                <w:sz w:val="20"/>
                <w:szCs w:val="20"/>
              </w:rPr>
            </w:pPr>
          </w:p>
        </w:tc>
        <w:tc>
          <w:tcPr>
            <w:tcW w:w="513" w:type="pct"/>
            <w:gridSpan w:val="2"/>
            <w:shd w:val="clear" w:color="auto" w:fill="auto"/>
            <w:vAlign w:val="center"/>
          </w:tcPr>
          <w:p>
            <w:pPr>
              <w:spacing w:beforeLines="20" w:before="48" w:afterLines="20" w:after="48"/>
              <w:jc w:val="center"/>
              <w:rPr>
                <w:noProof/>
                <w:sz w:val="20"/>
                <w:szCs w:val="20"/>
              </w:rPr>
            </w:pPr>
          </w:p>
        </w:tc>
        <w:tc>
          <w:tcPr>
            <w:tcW w:w="578" w:type="pct"/>
            <w:gridSpan w:val="3"/>
            <w:shd w:val="clear" w:color="auto" w:fill="auto"/>
            <w:vAlign w:val="center"/>
          </w:tcPr>
          <w:p>
            <w:pPr>
              <w:spacing w:beforeLines="20" w:before="48" w:afterLines="20" w:after="48"/>
              <w:jc w:val="center"/>
              <w:rPr>
                <w:noProof/>
                <w:sz w:val="20"/>
                <w:szCs w:val="20"/>
              </w:rPr>
            </w:pPr>
          </w:p>
        </w:tc>
      </w:tr>
      <w:tr>
        <w:trPr>
          <w:gridAfter w:val="1"/>
          <w:wAfter w:w="12" w:type="pct"/>
          <w:trHeight w:val="289"/>
          <w:jc w:val="center"/>
        </w:trPr>
        <w:tc>
          <w:tcPr>
            <w:tcW w:w="3382" w:type="pct"/>
            <w:gridSpan w:val="2"/>
            <w:shd w:val="clear" w:color="auto" w:fill="auto"/>
            <w:vAlign w:val="center"/>
          </w:tcPr>
          <w:p>
            <w:pPr>
              <w:spacing w:beforeLines="20" w:before="48" w:afterLines="20" w:after="48"/>
              <w:ind w:left="986"/>
              <w:jc w:val="left"/>
              <w:rPr>
                <w:noProof/>
                <w:sz w:val="20"/>
                <w:szCs w:val="20"/>
              </w:rPr>
            </w:pPr>
            <w:r>
              <w:rPr>
                <w:noProof/>
                <w:sz w:val="20"/>
              </w:rPr>
              <w:t>10 01 05 02 (lepingulised töötajad, riikide lähetatud eksperdid ja renditööjõud otsese teadustegevuse valdkonnas)</w:t>
            </w:r>
          </w:p>
        </w:tc>
        <w:tc>
          <w:tcPr>
            <w:tcW w:w="515" w:type="pct"/>
            <w:shd w:val="clear" w:color="auto" w:fill="auto"/>
            <w:vAlign w:val="center"/>
          </w:tcPr>
          <w:p>
            <w:pPr>
              <w:spacing w:beforeLines="20" w:before="48" w:afterLines="20" w:after="48"/>
              <w:jc w:val="center"/>
              <w:rPr>
                <w:noProof/>
                <w:sz w:val="20"/>
                <w:szCs w:val="20"/>
              </w:rPr>
            </w:pPr>
          </w:p>
        </w:tc>
        <w:tc>
          <w:tcPr>
            <w:tcW w:w="513" w:type="pct"/>
            <w:gridSpan w:val="2"/>
            <w:shd w:val="clear" w:color="auto" w:fill="auto"/>
            <w:vAlign w:val="center"/>
          </w:tcPr>
          <w:p>
            <w:pPr>
              <w:spacing w:beforeLines="20" w:before="48" w:afterLines="20" w:after="48"/>
              <w:jc w:val="center"/>
              <w:rPr>
                <w:noProof/>
                <w:sz w:val="20"/>
                <w:szCs w:val="20"/>
              </w:rPr>
            </w:pPr>
          </w:p>
        </w:tc>
        <w:tc>
          <w:tcPr>
            <w:tcW w:w="578" w:type="pct"/>
            <w:gridSpan w:val="3"/>
            <w:shd w:val="clear" w:color="auto" w:fill="auto"/>
            <w:vAlign w:val="center"/>
          </w:tcPr>
          <w:p>
            <w:pPr>
              <w:spacing w:beforeLines="20" w:before="48" w:afterLines="20" w:after="48"/>
              <w:jc w:val="center"/>
              <w:rPr>
                <w:noProof/>
                <w:sz w:val="20"/>
                <w:szCs w:val="20"/>
              </w:rPr>
            </w:pPr>
          </w:p>
        </w:tc>
      </w:tr>
      <w:tr>
        <w:trPr>
          <w:gridAfter w:val="1"/>
          <w:wAfter w:w="12" w:type="pct"/>
          <w:trHeight w:val="289"/>
          <w:jc w:val="center"/>
        </w:trPr>
        <w:tc>
          <w:tcPr>
            <w:tcW w:w="3382" w:type="pct"/>
            <w:gridSpan w:val="2"/>
            <w:tcBorders>
              <w:bottom w:val="double" w:sz="4" w:space="0" w:color="auto"/>
            </w:tcBorders>
            <w:shd w:val="clear" w:color="auto" w:fill="auto"/>
            <w:vAlign w:val="center"/>
          </w:tcPr>
          <w:p>
            <w:pPr>
              <w:spacing w:beforeLines="20" w:before="48" w:afterLines="20" w:after="48"/>
              <w:ind w:left="984"/>
              <w:jc w:val="left"/>
              <w:rPr>
                <w:noProof/>
                <w:sz w:val="20"/>
                <w:szCs w:val="20"/>
              </w:rPr>
            </w:pPr>
            <w:r>
              <w:rPr>
                <w:noProof/>
                <w:sz w:val="20"/>
              </w:rPr>
              <w:t>Muud eelarveread (täpsustage)</w:t>
            </w:r>
          </w:p>
        </w:tc>
        <w:tc>
          <w:tcPr>
            <w:tcW w:w="515" w:type="pct"/>
            <w:tcBorders>
              <w:bottom w:val="double" w:sz="4" w:space="0" w:color="auto"/>
            </w:tcBorders>
            <w:shd w:val="clear" w:color="auto" w:fill="auto"/>
            <w:vAlign w:val="center"/>
          </w:tcPr>
          <w:p>
            <w:pPr>
              <w:spacing w:beforeLines="20" w:before="48" w:afterLines="20" w:after="48"/>
              <w:jc w:val="center"/>
              <w:rPr>
                <w:noProof/>
                <w:sz w:val="20"/>
                <w:szCs w:val="20"/>
              </w:rPr>
            </w:pPr>
          </w:p>
        </w:tc>
        <w:tc>
          <w:tcPr>
            <w:tcW w:w="513" w:type="pct"/>
            <w:gridSpan w:val="2"/>
            <w:tcBorders>
              <w:bottom w:val="double" w:sz="4" w:space="0" w:color="auto"/>
            </w:tcBorders>
            <w:shd w:val="clear" w:color="auto" w:fill="auto"/>
            <w:vAlign w:val="center"/>
          </w:tcPr>
          <w:p>
            <w:pPr>
              <w:spacing w:beforeLines="20" w:before="48" w:afterLines="20" w:after="48"/>
              <w:jc w:val="center"/>
              <w:rPr>
                <w:noProof/>
                <w:sz w:val="20"/>
                <w:szCs w:val="20"/>
              </w:rPr>
            </w:pPr>
          </w:p>
        </w:tc>
        <w:tc>
          <w:tcPr>
            <w:tcW w:w="578" w:type="pct"/>
            <w:gridSpan w:val="3"/>
            <w:tcBorders>
              <w:bottom w:val="double" w:sz="4" w:space="0" w:color="auto"/>
            </w:tcBorders>
            <w:shd w:val="clear" w:color="auto" w:fill="auto"/>
            <w:vAlign w:val="center"/>
          </w:tcPr>
          <w:p>
            <w:pPr>
              <w:spacing w:beforeLines="20" w:before="48" w:afterLines="20" w:after="48"/>
              <w:jc w:val="center"/>
              <w:rPr>
                <w:noProof/>
                <w:sz w:val="20"/>
                <w:szCs w:val="20"/>
              </w:rPr>
            </w:pPr>
          </w:p>
        </w:tc>
      </w:tr>
      <w:tr>
        <w:trPr>
          <w:gridAfter w:val="2"/>
          <w:wAfter w:w="35" w:type="pct"/>
          <w:trHeight w:val="289"/>
          <w:jc w:val="center"/>
        </w:trPr>
        <w:tc>
          <w:tcPr>
            <w:tcW w:w="3382" w:type="pct"/>
            <w:gridSpan w:val="2"/>
            <w:tcBorders>
              <w:top w:val="double" w:sz="4" w:space="0" w:color="auto"/>
            </w:tcBorders>
            <w:shd w:val="clear" w:color="auto" w:fill="auto"/>
            <w:vAlign w:val="center"/>
          </w:tcPr>
          <w:p>
            <w:pPr>
              <w:spacing w:beforeLines="20" w:before="48" w:afterLines="20" w:after="48"/>
              <w:ind w:left="986"/>
              <w:jc w:val="left"/>
              <w:rPr>
                <w:noProof/>
                <w:sz w:val="20"/>
                <w:szCs w:val="20"/>
              </w:rPr>
            </w:pPr>
            <w:r>
              <w:rPr>
                <w:b/>
                <w:noProof/>
                <w:sz w:val="20"/>
              </w:rPr>
              <w:t>KOKKU</w:t>
            </w:r>
          </w:p>
        </w:tc>
        <w:tc>
          <w:tcPr>
            <w:tcW w:w="515" w:type="pct"/>
            <w:tcBorders>
              <w:top w:val="double" w:sz="4" w:space="0" w:color="auto"/>
            </w:tcBorders>
            <w:shd w:val="clear" w:color="auto" w:fill="auto"/>
            <w:vAlign w:val="center"/>
          </w:tcPr>
          <w:p>
            <w:pPr>
              <w:spacing w:beforeLines="20" w:before="48" w:afterLines="20" w:after="48"/>
              <w:jc w:val="center"/>
              <w:rPr>
                <w:b/>
                <w:noProof/>
                <w:sz w:val="20"/>
                <w:szCs w:val="20"/>
              </w:rPr>
            </w:pPr>
            <w:r>
              <w:rPr>
                <w:b/>
                <w:noProof/>
                <w:sz w:val="20"/>
              </w:rPr>
              <w:t>17</w:t>
            </w:r>
          </w:p>
        </w:tc>
        <w:tc>
          <w:tcPr>
            <w:tcW w:w="513" w:type="pct"/>
            <w:gridSpan w:val="2"/>
            <w:tcBorders>
              <w:top w:val="double" w:sz="4" w:space="0" w:color="auto"/>
            </w:tcBorders>
            <w:shd w:val="clear" w:color="auto" w:fill="auto"/>
            <w:vAlign w:val="center"/>
          </w:tcPr>
          <w:p>
            <w:pPr>
              <w:spacing w:beforeLines="20" w:before="48" w:afterLines="20" w:after="48"/>
              <w:jc w:val="center"/>
              <w:rPr>
                <w:b/>
                <w:noProof/>
                <w:sz w:val="20"/>
                <w:szCs w:val="20"/>
              </w:rPr>
            </w:pPr>
            <w:r>
              <w:rPr>
                <w:b/>
                <w:noProof/>
                <w:sz w:val="20"/>
              </w:rPr>
              <w:t>36</w:t>
            </w:r>
          </w:p>
        </w:tc>
        <w:tc>
          <w:tcPr>
            <w:tcW w:w="556" w:type="pct"/>
            <w:gridSpan w:val="2"/>
            <w:tcBorders>
              <w:top w:val="double" w:sz="4" w:space="0" w:color="auto"/>
            </w:tcBorders>
            <w:shd w:val="clear" w:color="auto" w:fill="auto"/>
            <w:vAlign w:val="center"/>
          </w:tcPr>
          <w:p>
            <w:pPr>
              <w:spacing w:beforeLines="20" w:before="48" w:afterLines="20" w:after="48"/>
              <w:jc w:val="center"/>
              <w:rPr>
                <w:b/>
                <w:noProof/>
                <w:sz w:val="20"/>
                <w:szCs w:val="20"/>
              </w:rPr>
            </w:pPr>
            <w:r>
              <w:rPr>
                <w:b/>
                <w:noProof/>
                <w:sz w:val="20"/>
              </w:rPr>
              <w:t>47</w:t>
            </w:r>
          </w:p>
        </w:tc>
      </w:tr>
    </w:tbl>
    <w:p>
      <w:pPr>
        <w:spacing w:after="60"/>
        <w:jc w:val="left"/>
        <w:rPr>
          <w:i/>
          <w:noProof/>
          <w:sz w:val="20"/>
        </w:rPr>
      </w:pPr>
      <w:r>
        <w:rPr>
          <w:i/>
          <w:noProof/>
          <w:sz w:val="22"/>
        </w:rPr>
        <w:t>*</w:t>
      </w:r>
      <w:r>
        <w:rPr>
          <w:noProof/>
        </w:rPr>
        <w:t xml:space="preserve"> </w:t>
      </w:r>
      <w:r>
        <w:rPr>
          <w:i/>
          <w:noProof/>
          <w:sz w:val="20"/>
        </w:rPr>
        <w:t>Kõnealuseid andmeid võidakse täiendada veel 15 täistööajale taandatud töötajaga, kes paigutatakse ümber teistest peadirektoraatidest konkursi alusel</w:t>
      </w:r>
      <w:r>
        <w:rPr>
          <w:noProof/>
        </w:rPr>
        <w:t>.</w:t>
      </w:r>
    </w:p>
    <w:p>
      <w:pPr>
        <w:spacing w:after="60"/>
        <w:jc w:val="left"/>
        <w:rPr>
          <w:i/>
          <w:noProof/>
          <w:sz w:val="20"/>
        </w:rPr>
      </w:pPr>
    </w:p>
    <w:p>
      <w:pPr>
        <w:spacing w:before="60" w:after="60"/>
        <w:ind w:left="851"/>
        <w:rPr>
          <w:noProof/>
          <w:sz w:val="18"/>
          <w:szCs w:val="18"/>
        </w:rPr>
      </w:pPr>
      <w:r>
        <w:rPr>
          <w:b/>
          <w:noProof/>
          <w:sz w:val="18"/>
        </w:rPr>
        <w:t>XX</w:t>
      </w:r>
      <w:r>
        <w:rPr>
          <w:noProof/>
        </w:rPr>
        <w:t xml:space="preserve"> </w:t>
      </w:r>
      <w:r>
        <w:rPr>
          <w:noProof/>
          <w:sz w:val="18"/>
        </w:rPr>
        <w:t>osutab asjaomasele poliitikavaldkonnale või eelarvejaotisele.</w:t>
      </w:r>
    </w:p>
    <w:p>
      <w:pPr>
        <w:ind w:left="850"/>
        <w:rPr>
          <w:noProof/>
          <w:sz w:val="18"/>
          <w:szCs w:val="18"/>
        </w:rPr>
      </w:pPr>
      <w:r>
        <w:rPr>
          <w:noProof/>
          <w:sz w:val="18"/>
        </w:rPr>
        <w:t>Personalivajadused kaetakse juba meedet haldavate peadirektoraadi töötajatega ja/või töötajate ümberpaigutamise teel peadirektoraadi siseselt. Vajaduse korral võidakse personali täiendada meedet haldavale peadirektoraadile iga-aastase vahendite eraldamise menetluse käigus, arvestades olemasolevate eelarvepiirangutega.</w:t>
      </w:r>
    </w:p>
    <w:p>
      <w:pPr>
        <w:rPr>
          <w:noProof/>
          <w:sz w:val="20"/>
        </w:rPr>
      </w:pPr>
      <w:r>
        <w:rPr>
          <w:noProof/>
          <w:sz w:val="20"/>
        </w:rPr>
        <w:t>Ülesannete kirjeldus:</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sz w:val="20"/>
              </w:rPr>
            </w:pPr>
            <w:r>
              <w:rPr>
                <w:noProof/>
                <w:sz w:val="20"/>
              </w:rPr>
              <w:t>Ametnikud ja ajutised töötajad</w:t>
            </w:r>
          </w:p>
        </w:tc>
        <w:tc>
          <w:tcPr>
            <w:tcW w:w="7200" w:type="dxa"/>
          </w:tcPr>
          <w:p>
            <w:pPr>
              <w:rPr>
                <w:noProof/>
                <w:sz w:val="20"/>
                <w:szCs w:val="20"/>
              </w:rPr>
            </w:pPr>
            <w:r>
              <w:rPr>
                <w:noProof/>
                <w:sz w:val="20"/>
              </w:rPr>
              <w:t>Ajavahemikuks 2018–2020 taotletud täiendavaid töötajaid on vaja järgmiste ülesannete täitmiseks: a) äsja loodud rescEU arendamine ja juhtimine; b) vabatahtlikkuse alusel eraldatud reageerimisvahendite tõhustamine; c) poliitikaüksuste, sealhulgas ennetustegevuste toetamine; d) Euroopa kodanikekaitse akadeemia kontseptsiooni edasiarendamine; ning e) juhtimis- ja tugiteenuste tagamine.</w:t>
            </w:r>
          </w:p>
          <w:p>
            <w:pPr>
              <w:rPr>
                <w:noProof/>
                <w:sz w:val="20"/>
              </w:rPr>
            </w:pPr>
            <w:r>
              <w:rPr>
                <w:noProof/>
                <w:sz w:val="20"/>
              </w:rPr>
              <w:t>Suurem osa täiendavatest töötajatest suunatakse rescEU arendamisse tegelema selliste ülesannetega nagu vahendite soetamine ja/või liisimine (lepingud), vahendite haldamine, järelevalve ja ülesannete koordineerimine ning teavitamisega seotud ülesanded.</w:t>
            </w:r>
          </w:p>
        </w:tc>
      </w:tr>
      <w:tr>
        <w:tc>
          <w:tcPr>
            <w:tcW w:w="3240" w:type="dxa"/>
          </w:tcPr>
          <w:p>
            <w:pPr>
              <w:spacing w:before="60" w:after="60"/>
              <w:rPr>
                <w:noProof/>
                <w:sz w:val="20"/>
              </w:rPr>
            </w:pPr>
            <w:r>
              <w:rPr>
                <w:noProof/>
                <w:sz w:val="20"/>
              </w:rPr>
              <w:t>Koosseisuvälised töötajad</w:t>
            </w:r>
          </w:p>
        </w:tc>
        <w:tc>
          <w:tcPr>
            <w:tcW w:w="7200" w:type="dxa"/>
          </w:tcPr>
          <w:p>
            <w:pPr>
              <w:rPr>
                <w:noProof/>
                <w:sz w:val="20"/>
              </w:rPr>
            </w:pPr>
            <w:r>
              <w:rPr>
                <w:noProof/>
                <w:sz w:val="20"/>
              </w:rPr>
              <w:t>Hädaolukordadele reageerimise keskuse ööpäevaringse töö tagamine; vajalikud välitööd; haldustugi.</w:t>
            </w:r>
          </w:p>
        </w:tc>
      </w:tr>
    </w:tbl>
    <w:p>
      <w:pPr>
        <w:rPr>
          <w:noProof/>
        </w:rPr>
        <w:sectPr>
          <w:pgSz w:w="11907" w:h="16840"/>
          <w:pgMar w:top="1134" w:right="1418" w:bottom="1134" w:left="1418" w:header="709" w:footer="709" w:gutter="0"/>
          <w:cols w:space="708"/>
          <w:docGrid w:linePitch="360"/>
        </w:sectPr>
      </w:pPr>
    </w:p>
    <w:p>
      <w:pPr>
        <w:pStyle w:val="ManualNumPar3"/>
        <w:rPr>
          <w:noProof/>
        </w:rPr>
      </w:pPr>
      <w:r>
        <w:t>3.2.4.</w:t>
      </w:r>
      <w:r>
        <w:tab/>
      </w:r>
      <w:r>
        <w:rPr>
          <w:noProof/>
        </w:rPr>
        <w:t xml:space="preserve">Kooskõla kehtiva mitmeaastase finantsraamistikuga </w:t>
      </w:r>
    </w:p>
    <w:p>
      <w:pPr>
        <w:tabs>
          <w:tab w:val="num" w:pos="1134"/>
        </w:tabs>
        <w:ind w:left="1134" w:hanging="283"/>
        <w:rPr>
          <w:rFonts w:eastAsia="Times New Roman"/>
          <w:noProof/>
        </w:rPr>
      </w:pPr>
      <w:r>
        <w:rPr>
          <w:rFonts w:eastAsia="Times New Roman"/>
          <w:noProof/>
        </w:rPr>
        <w:sym w:font="Wingdings" w:char="F0A8"/>
      </w:r>
      <w:r>
        <w:rPr>
          <w:noProof/>
        </w:rPr>
        <w:tab/>
        <w:t>Ettepanek/algatus on kooskõlas kehtiva mitmeaastase finantsraamistikuga.</w:t>
      </w:r>
    </w:p>
    <w:p>
      <w:pPr>
        <w:tabs>
          <w:tab w:val="num" w:pos="1134"/>
        </w:tabs>
        <w:ind w:left="1134" w:hanging="283"/>
        <w:rPr>
          <w:rFonts w:eastAsia="Times New Roman"/>
          <w:noProof/>
        </w:rPr>
      </w:pPr>
      <w:r>
        <w:rPr>
          <w:noProof/>
        </w:rPr>
        <w:t>X</w:t>
      </w:r>
      <w:r>
        <w:rPr>
          <w:noProof/>
        </w:rPr>
        <w:tab/>
        <w:t>Ettepanekuga/algatusega kaasneb mitmeaastase finantsraamistiku asjaomase rubriigi ümberplaneerimine. Ümber paigutatakse järgmised summad:</w:t>
      </w:r>
    </w:p>
    <w:tbl>
      <w:tblPr>
        <w:tblW w:w="8378" w:type="dxa"/>
        <w:tblInd w:w="93" w:type="dxa"/>
        <w:tblLook w:val="04A0" w:firstRow="1" w:lastRow="0" w:firstColumn="1" w:lastColumn="0" w:noHBand="0" w:noVBand="1"/>
      </w:tblPr>
      <w:tblGrid>
        <w:gridCol w:w="1163"/>
        <w:gridCol w:w="3560"/>
        <w:gridCol w:w="960"/>
        <w:gridCol w:w="960"/>
        <w:gridCol w:w="960"/>
        <w:gridCol w:w="960"/>
      </w:tblGrid>
      <w:tr>
        <w:trPr>
          <w:trHeight w:val="300"/>
        </w:trPr>
        <w:tc>
          <w:tcPr>
            <w:tcW w:w="978" w:type="dxa"/>
            <w:tcBorders>
              <w:top w:val="single" w:sz="8" w:space="0" w:color="auto"/>
              <w:left w:val="single" w:sz="8" w:space="0" w:color="auto"/>
              <w:bottom w:val="nil"/>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3560" w:type="dxa"/>
            <w:tcBorders>
              <w:top w:val="single" w:sz="8" w:space="0" w:color="auto"/>
              <w:left w:val="nil"/>
              <w:bottom w:val="nil"/>
              <w:right w:val="single" w:sz="4" w:space="0" w:color="auto"/>
            </w:tcBorders>
            <w:shd w:val="clear" w:color="auto" w:fill="auto"/>
            <w:noWrap/>
            <w:vAlign w:val="bottom"/>
            <w:hideMark/>
          </w:tcPr>
          <w:p>
            <w:pPr>
              <w:spacing w:before="0" w:after="0"/>
              <w:jc w:val="left"/>
              <w:rPr>
                <w:rFonts w:ascii="Calibri" w:eastAsia="Times New Roman" w:hAnsi="Calibri"/>
                <w:b/>
                <w:bCs/>
                <w:noProof/>
                <w:color w:val="000000"/>
                <w:sz w:val="22"/>
              </w:rPr>
            </w:pPr>
            <w:r>
              <w:rPr>
                <w:rFonts w:ascii="Calibri" w:hAnsi="Calibri"/>
                <w:b/>
                <w:noProof/>
                <w:color w:val="000000"/>
                <w:sz w:val="22"/>
              </w:rPr>
              <w:t>Rubriik 3</w:t>
            </w:r>
          </w:p>
        </w:tc>
        <w:tc>
          <w:tcPr>
            <w:tcW w:w="960" w:type="dxa"/>
            <w:tcBorders>
              <w:top w:val="single" w:sz="8" w:space="0" w:color="auto"/>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2018</w:t>
            </w:r>
          </w:p>
        </w:tc>
        <w:tc>
          <w:tcPr>
            <w:tcW w:w="960" w:type="dxa"/>
            <w:tcBorders>
              <w:top w:val="single" w:sz="8" w:space="0" w:color="auto"/>
              <w:left w:val="nil"/>
              <w:bottom w:val="nil"/>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2019</w:t>
            </w:r>
          </w:p>
        </w:tc>
        <w:tc>
          <w:tcPr>
            <w:tcW w:w="960" w:type="dxa"/>
            <w:tcBorders>
              <w:top w:val="single" w:sz="8" w:space="0" w:color="auto"/>
              <w:left w:val="nil"/>
              <w:bottom w:val="nil"/>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2020</w:t>
            </w:r>
          </w:p>
        </w:tc>
        <w:tc>
          <w:tcPr>
            <w:tcW w:w="960" w:type="dxa"/>
            <w:tcBorders>
              <w:top w:val="single" w:sz="8" w:space="0" w:color="auto"/>
              <w:left w:val="nil"/>
              <w:bottom w:val="nil"/>
              <w:right w:val="single" w:sz="8"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Kokku</w:t>
            </w:r>
          </w:p>
        </w:tc>
      </w:tr>
      <w:tr>
        <w:trPr>
          <w:trHeight w:val="300"/>
        </w:trPr>
        <w:tc>
          <w:tcPr>
            <w:tcW w:w="978" w:type="dxa"/>
            <w:tcBorders>
              <w:top w:val="single" w:sz="4" w:space="0" w:color="auto"/>
              <w:left w:val="single" w:sz="4" w:space="0" w:color="auto"/>
              <w:bottom w:val="single" w:sz="4"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3560" w:type="dxa"/>
            <w:tcBorders>
              <w:top w:val="single" w:sz="4" w:space="0" w:color="auto"/>
              <w:left w:val="nil"/>
              <w:bottom w:val="single" w:sz="4" w:space="0" w:color="auto"/>
              <w:right w:val="single" w:sz="4" w:space="0" w:color="auto"/>
            </w:tcBorders>
            <w:shd w:val="clear" w:color="auto" w:fill="auto"/>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Õigused, võrdõiguslikkus ja kodakondsus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r>
      <w:tr>
        <w:trPr>
          <w:trHeight w:val="600"/>
        </w:trPr>
        <w:tc>
          <w:tcPr>
            <w:tcW w:w="978" w:type="dxa"/>
            <w:tcBorders>
              <w:top w:val="nil"/>
              <w:left w:val="single" w:sz="4" w:space="0" w:color="auto"/>
              <w:bottom w:val="nil"/>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33,0201</w:t>
            </w:r>
          </w:p>
        </w:tc>
        <w:tc>
          <w:tcPr>
            <w:tcW w:w="3560" w:type="dxa"/>
            <w:tcBorders>
              <w:top w:val="nil"/>
              <w:left w:val="nil"/>
              <w:bottom w:val="nil"/>
              <w:right w:val="single" w:sz="4" w:space="0" w:color="auto"/>
            </w:tcBorders>
            <w:shd w:val="clear" w:color="auto" w:fill="auto"/>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Õiguste kaitse tagamine ja kodanikuaktiivsuse edendamine</w:t>
            </w:r>
          </w:p>
        </w:tc>
        <w:tc>
          <w:tcPr>
            <w:tcW w:w="960" w:type="dxa"/>
            <w:tcBorders>
              <w:top w:val="nil"/>
              <w:left w:val="nil"/>
              <w:bottom w:val="nil"/>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1,34</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1,55</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2,89</w:t>
            </w:r>
          </w:p>
        </w:tc>
      </w:tr>
      <w:tr>
        <w:trPr>
          <w:trHeight w:val="600"/>
        </w:trPr>
        <w:tc>
          <w:tcPr>
            <w:tcW w:w="978" w:type="dxa"/>
            <w:tcBorders>
              <w:top w:val="nil"/>
              <w:left w:val="single" w:sz="4" w:space="0" w:color="auto"/>
              <w:bottom w:val="single" w:sz="4"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33,0202</w:t>
            </w:r>
          </w:p>
        </w:tc>
        <w:tc>
          <w:tcPr>
            <w:tcW w:w="3560" w:type="dxa"/>
            <w:tcBorders>
              <w:top w:val="nil"/>
              <w:left w:val="nil"/>
              <w:bottom w:val="single" w:sz="4" w:space="0" w:color="auto"/>
              <w:right w:val="single" w:sz="4" w:space="0" w:color="auto"/>
            </w:tcBorders>
            <w:shd w:val="clear" w:color="auto" w:fill="auto"/>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Mittediskrimineerimise ja võrdsuse põhimõtte edendamine</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0,98</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1,22</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2,2</w:t>
            </w:r>
          </w:p>
        </w:tc>
      </w:tr>
      <w:tr>
        <w:trPr>
          <w:trHeight w:val="300"/>
        </w:trPr>
        <w:tc>
          <w:tcPr>
            <w:tcW w:w="978" w:type="dxa"/>
            <w:tcBorders>
              <w:top w:val="nil"/>
              <w:left w:val="single" w:sz="4" w:space="0" w:color="auto"/>
              <w:bottom w:val="single" w:sz="4"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3560" w:type="dxa"/>
            <w:tcBorders>
              <w:top w:val="nil"/>
              <w:left w:val="nil"/>
              <w:bottom w:val="single" w:sz="4" w:space="0" w:color="auto"/>
              <w:right w:val="single" w:sz="4" w:space="0" w:color="auto"/>
            </w:tcBorders>
            <w:shd w:val="clear" w:color="auto" w:fill="auto"/>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Õigusküsimused</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r>
      <w:tr>
        <w:trPr>
          <w:trHeight w:val="600"/>
        </w:trPr>
        <w:tc>
          <w:tcPr>
            <w:tcW w:w="978" w:type="dxa"/>
            <w:tcBorders>
              <w:top w:val="nil"/>
              <w:left w:val="single" w:sz="4" w:space="0" w:color="auto"/>
              <w:bottom w:val="nil"/>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33,0301</w:t>
            </w:r>
          </w:p>
        </w:tc>
        <w:tc>
          <w:tcPr>
            <w:tcW w:w="3560" w:type="dxa"/>
            <w:tcBorders>
              <w:top w:val="nil"/>
              <w:left w:val="nil"/>
              <w:bottom w:val="nil"/>
              <w:right w:val="single" w:sz="4" w:space="0" w:color="auto"/>
            </w:tcBorders>
            <w:shd w:val="clear" w:color="auto" w:fill="auto"/>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Õiguskoolituse toetamine ja edendamine</w:t>
            </w:r>
          </w:p>
        </w:tc>
        <w:tc>
          <w:tcPr>
            <w:tcW w:w="960" w:type="dxa"/>
            <w:tcBorders>
              <w:top w:val="nil"/>
              <w:left w:val="nil"/>
              <w:bottom w:val="nil"/>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4,93</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5,25</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10,18</w:t>
            </w:r>
          </w:p>
        </w:tc>
      </w:tr>
      <w:tr>
        <w:trPr>
          <w:trHeight w:val="600"/>
        </w:trPr>
        <w:tc>
          <w:tcPr>
            <w:tcW w:w="978" w:type="dxa"/>
            <w:tcBorders>
              <w:top w:val="nil"/>
              <w:left w:val="single" w:sz="4" w:space="0" w:color="auto"/>
              <w:bottom w:val="single" w:sz="4"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33,0302</w:t>
            </w:r>
          </w:p>
        </w:tc>
        <w:tc>
          <w:tcPr>
            <w:tcW w:w="3560" w:type="dxa"/>
            <w:tcBorders>
              <w:top w:val="nil"/>
              <w:left w:val="nil"/>
              <w:bottom w:val="single" w:sz="4" w:space="0" w:color="auto"/>
              <w:right w:val="single" w:sz="4" w:space="0" w:color="auto"/>
            </w:tcBorders>
            <w:shd w:val="clear" w:color="auto" w:fill="auto"/>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Kriminaal- ja tsiviilasjades tehtava õigusalase koostöö hõlbustamine ja toetamine</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4,77</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5,02</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9,79</w:t>
            </w:r>
          </w:p>
        </w:tc>
      </w:tr>
      <w:tr>
        <w:trPr>
          <w:trHeight w:val="315"/>
        </w:trPr>
        <w:tc>
          <w:tcPr>
            <w:tcW w:w="978" w:type="dxa"/>
            <w:tcBorders>
              <w:top w:val="nil"/>
              <w:left w:val="single" w:sz="8" w:space="0" w:color="auto"/>
              <w:bottom w:val="single" w:sz="8"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3560" w:type="dxa"/>
            <w:tcBorders>
              <w:top w:val="nil"/>
              <w:left w:val="nil"/>
              <w:bottom w:val="single" w:sz="8" w:space="0" w:color="auto"/>
              <w:right w:val="single" w:sz="4" w:space="0" w:color="auto"/>
            </w:tcBorders>
            <w:shd w:val="clear" w:color="auto" w:fill="auto"/>
            <w:vAlign w:val="bottom"/>
            <w:hideMark/>
          </w:tcPr>
          <w:p>
            <w:pPr>
              <w:spacing w:before="0" w:after="0"/>
              <w:jc w:val="left"/>
              <w:rPr>
                <w:rFonts w:ascii="Calibri" w:eastAsia="Times New Roman" w:hAnsi="Calibri"/>
                <w:b/>
                <w:bCs/>
                <w:noProof/>
                <w:color w:val="000000"/>
                <w:sz w:val="22"/>
              </w:rPr>
            </w:pPr>
            <w:r>
              <w:rPr>
                <w:rFonts w:ascii="Calibri" w:hAnsi="Calibri"/>
                <w:b/>
                <w:noProof/>
                <w:color w:val="000000"/>
                <w:sz w:val="22"/>
              </w:rPr>
              <w:t>Rubriik 3 kokku</w:t>
            </w:r>
          </w:p>
        </w:tc>
        <w:tc>
          <w:tcPr>
            <w:tcW w:w="960" w:type="dxa"/>
            <w:tcBorders>
              <w:top w:val="nil"/>
              <w:left w:val="nil"/>
              <w:bottom w:val="single" w:sz="8"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8" w:space="0" w:color="auto"/>
              <w:right w:val="single" w:sz="4"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12,02</w:t>
            </w:r>
          </w:p>
        </w:tc>
        <w:tc>
          <w:tcPr>
            <w:tcW w:w="960" w:type="dxa"/>
            <w:tcBorders>
              <w:top w:val="nil"/>
              <w:left w:val="nil"/>
              <w:bottom w:val="single" w:sz="8" w:space="0" w:color="auto"/>
              <w:right w:val="single" w:sz="4"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13,04</w:t>
            </w:r>
          </w:p>
        </w:tc>
        <w:tc>
          <w:tcPr>
            <w:tcW w:w="960" w:type="dxa"/>
            <w:tcBorders>
              <w:top w:val="nil"/>
              <w:left w:val="nil"/>
              <w:bottom w:val="single" w:sz="8" w:space="0" w:color="auto"/>
              <w:right w:val="single" w:sz="8"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25,06</w:t>
            </w:r>
          </w:p>
        </w:tc>
      </w:tr>
      <w:tr>
        <w:trPr>
          <w:trHeight w:val="300"/>
        </w:trPr>
        <w:tc>
          <w:tcPr>
            <w:tcW w:w="978" w:type="dxa"/>
            <w:tcBorders>
              <w:top w:val="nil"/>
              <w:left w:val="single" w:sz="8" w:space="0" w:color="auto"/>
              <w:bottom w:val="nil"/>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3560" w:type="dxa"/>
            <w:tcBorders>
              <w:top w:val="nil"/>
              <w:left w:val="nil"/>
              <w:bottom w:val="nil"/>
              <w:right w:val="single" w:sz="4" w:space="0" w:color="auto"/>
            </w:tcBorders>
            <w:shd w:val="clear" w:color="auto" w:fill="auto"/>
            <w:vAlign w:val="bottom"/>
            <w:hideMark/>
          </w:tcPr>
          <w:p>
            <w:pPr>
              <w:spacing w:before="0" w:after="0"/>
              <w:jc w:val="left"/>
              <w:rPr>
                <w:rFonts w:ascii="Calibri" w:eastAsia="Times New Roman" w:hAnsi="Calibri"/>
                <w:b/>
                <w:bCs/>
                <w:noProof/>
                <w:color w:val="000000"/>
                <w:sz w:val="22"/>
              </w:rPr>
            </w:pPr>
            <w:r>
              <w:rPr>
                <w:rFonts w:ascii="Calibri" w:hAnsi="Calibri"/>
                <w:b/>
                <w:noProof/>
                <w:color w:val="000000"/>
                <w:sz w:val="22"/>
              </w:rPr>
              <w:t>Rubriik 4</w:t>
            </w:r>
          </w:p>
        </w:tc>
        <w:tc>
          <w:tcPr>
            <w:tcW w:w="960" w:type="dxa"/>
            <w:tcBorders>
              <w:top w:val="nil"/>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2018</w:t>
            </w:r>
          </w:p>
        </w:tc>
        <w:tc>
          <w:tcPr>
            <w:tcW w:w="960" w:type="dxa"/>
            <w:tcBorders>
              <w:top w:val="nil"/>
              <w:left w:val="nil"/>
              <w:bottom w:val="nil"/>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2019</w:t>
            </w:r>
          </w:p>
        </w:tc>
        <w:tc>
          <w:tcPr>
            <w:tcW w:w="960" w:type="dxa"/>
            <w:tcBorders>
              <w:top w:val="nil"/>
              <w:left w:val="nil"/>
              <w:bottom w:val="nil"/>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2020</w:t>
            </w:r>
          </w:p>
        </w:tc>
        <w:tc>
          <w:tcPr>
            <w:tcW w:w="960" w:type="dxa"/>
            <w:tcBorders>
              <w:top w:val="nil"/>
              <w:left w:val="nil"/>
              <w:bottom w:val="nil"/>
              <w:right w:val="single" w:sz="8"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Kokku</w:t>
            </w:r>
          </w:p>
        </w:tc>
      </w:tr>
      <w:tr>
        <w:trPr>
          <w:trHeight w:val="300"/>
        </w:trPr>
        <w:tc>
          <w:tcPr>
            <w:tcW w:w="978" w:type="dxa"/>
            <w:tcBorders>
              <w:top w:val="single" w:sz="4" w:space="0" w:color="auto"/>
              <w:left w:val="single" w:sz="4" w:space="0" w:color="auto"/>
              <w:bottom w:val="nil"/>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21,020703</w:t>
            </w:r>
          </w:p>
        </w:tc>
        <w:tc>
          <w:tcPr>
            <w:tcW w:w="3560" w:type="dxa"/>
            <w:tcBorders>
              <w:top w:val="single" w:sz="4" w:space="0" w:color="auto"/>
              <w:left w:val="nil"/>
              <w:bottom w:val="nil"/>
              <w:right w:val="single" w:sz="4" w:space="0" w:color="auto"/>
            </w:tcBorders>
            <w:shd w:val="clear" w:color="auto" w:fill="auto"/>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Inimareng (DCI)</w:t>
            </w:r>
          </w:p>
        </w:tc>
        <w:tc>
          <w:tcPr>
            <w:tcW w:w="960" w:type="dxa"/>
            <w:tcBorders>
              <w:top w:val="single" w:sz="4" w:space="0" w:color="auto"/>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2,00</w:t>
            </w:r>
          </w:p>
        </w:tc>
        <w:tc>
          <w:tcPr>
            <w:tcW w:w="960" w:type="dxa"/>
            <w:tcBorders>
              <w:top w:val="single" w:sz="4" w:space="0" w:color="auto"/>
              <w:left w:val="nil"/>
              <w:bottom w:val="nil"/>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single" w:sz="4" w:space="0" w:color="auto"/>
              <w:left w:val="nil"/>
              <w:bottom w:val="nil"/>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single" w:sz="4" w:space="0" w:color="auto"/>
              <w:left w:val="nil"/>
              <w:bottom w:val="nil"/>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2,00</w:t>
            </w:r>
          </w:p>
        </w:tc>
      </w:tr>
      <w:tr>
        <w:trPr>
          <w:trHeight w:val="930"/>
        </w:trPr>
        <w:tc>
          <w:tcPr>
            <w:tcW w:w="978" w:type="dxa"/>
            <w:tcBorders>
              <w:top w:val="nil"/>
              <w:left w:val="single" w:sz="4" w:space="0" w:color="auto"/>
              <w:bottom w:val="single" w:sz="4"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22,020302</w:t>
            </w:r>
          </w:p>
        </w:tc>
        <w:tc>
          <w:tcPr>
            <w:tcW w:w="3560" w:type="dxa"/>
            <w:tcBorders>
              <w:top w:val="nil"/>
              <w:left w:val="nil"/>
              <w:bottom w:val="single" w:sz="4" w:space="0" w:color="auto"/>
              <w:right w:val="single" w:sz="4" w:space="0" w:color="auto"/>
            </w:tcBorders>
            <w:shd w:val="clear" w:color="auto" w:fill="auto"/>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Toetus Türgi majanduslikule, sotsiaalsele ja territoriaalsele arengule ning sellega seotud õigusaktide järkjärgulisele vastavusse viimisele liidu õigustikuga (IPA II - Türgi)</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2,00</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2,28</w:t>
            </w:r>
          </w:p>
        </w:tc>
        <w:tc>
          <w:tcPr>
            <w:tcW w:w="960" w:type="dxa"/>
            <w:tcBorders>
              <w:top w:val="nil"/>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4 284</w:t>
            </w:r>
          </w:p>
        </w:tc>
      </w:tr>
      <w:tr>
        <w:trPr>
          <w:trHeight w:val="315"/>
        </w:trPr>
        <w:tc>
          <w:tcPr>
            <w:tcW w:w="978" w:type="dxa"/>
            <w:tcBorders>
              <w:top w:val="nil"/>
              <w:left w:val="single" w:sz="8" w:space="0" w:color="auto"/>
              <w:bottom w:val="single" w:sz="8" w:space="0" w:color="auto"/>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3560" w:type="dxa"/>
            <w:tcBorders>
              <w:top w:val="nil"/>
              <w:left w:val="nil"/>
              <w:bottom w:val="single" w:sz="8" w:space="0" w:color="auto"/>
              <w:right w:val="single" w:sz="4" w:space="0" w:color="auto"/>
            </w:tcBorders>
            <w:shd w:val="clear" w:color="auto" w:fill="auto"/>
            <w:vAlign w:val="bottom"/>
            <w:hideMark/>
          </w:tcPr>
          <w:p>
            <w:pPr>
              <w:spacing w:before="0" w:after="0"/>
              <w:jc w:val="left"/>
              <w:rPr>
                <w:rFonts w:ascii="Calibri" w:eastAsia="Times New Roman" w:hAnsi="Calibri"/>
                <w:b/>
                <w:bCs/>
                <w:noProof/>
                <w:color w:val="000000"/>
                <w:sz w:val="22"/>
              </w:rPr>
            </w:pPr>
            <w:r>
              <w:rPr>
                <w:rFonts w:ascii="Calibri" w:hAnsi="Calibri"/>
                <w:b/>
                <w:noProof/>
                <w:color w:val="000000"/>
                <w:sz w:val="22"/>
              </w:rPr>
              <w:t>Rubriik 4 kokku</w:t>
            </w:r>
          </w:p>
        </w:tc>
        <w:tc>
          <w:tcPr>
            <w:tcW w:w="960" w:type="dxa"/>
            <w:tcBorders>
              <w:top w:val="nil"/>
              <w:left w:val="nil"/>
              <w:bottom w:val="single" w:sz="8" w:space="0" w:color="auto"/>
              <w:right w:val="single" w:sz="4"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2,00</w:t>
            </w:r>
          </w:p>
        </w:tc>
        <w:tc>
          <w:tcPr>
            <w:tcW w:w="960" w:type="dxa"/>
            <w:tcBorders>
              <w:top w:val="nil"/>
              <w:left w:val="nil"/>
              <w:bottom w:val="single" w:sz="8" w:space="0" w:color="auto"/>
              <w:right w:val="single" w:sz="4"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2,00</w:t>
            </w:r>
          </w:p>
        </w:tc>
        <w:tc>
          <w:tcPr>
            <w:tcW w:w="960" w:type="dxa"/>
            <w:tcBorders>
              <w:top w:val="nil"/>
              <w:left w:val="nil"/>
              <w:bottom w:val="single" w:sz="8" w:space="0" w:color="auto"/>
              <w:right w:val="single" w:sz="4"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2,28</w:t>
            </w:r>
          </w:p>
        </w:tc>
        <w:tc>
          <w:tcPr>
            <w:tcW w:w="960" w:type="dxa"/>
            <w:tcBorders>
              <w:top w:val="nil"/>
              <w:left w:val="nil"/>
              <w:bottom w:val="single" w:sz="8" w:space="0" w:color="auto"/>
              <w:right w:val="single" w:sz="8" w:space="0" w:color="auto"/>
            </w:tcBorders>
            <w:shd w:val="clear" w:color="auto" w:fill="auto"/>
            <w:noWrap/>
            <w:vAlign w:val="bottom"/>
            <w:hideMark/>
          </w:tcPr>
          <w:p>
            <w:pPr>
              <w:spacing w:before="0" w:after="0"/>
              <w:jc w:val="right"/>
              <w:rPr>
                <w:rFonts w:ascii="Calibri" w:eastAsia="Times New Roman" w:hAnsi="Calibri"/>
                <w:b/>
                <w:bCs/>
                <w:noProof/>
                <w:color w:val="000000"/>
                <w:sz w:val="22"/>
              </w:rPr>
            </w:pPr>
            <w:r>
              <w:rPr>
                <w:rFonts w:ascii="Calibri" w:hAnsi="Calibri"/>
                <w:b/>
                <w:noProof/>
                <w:color w:val="000000"/>
                <w:sz w:val="22"/>
              </w:rPr>
              <w:t>6,284</w:t>
            </w:r>
          </w:p>
        </w:tc>
      </w:tr>
    </w:tbl>
    <w:p>
      <w:pPr>
        <w:ind w:left="283" w:hanging="283"/>
        <w:rPr>
          <w:rFonts w:eastAsia="Times New Roman"/>
          <w:noProof/>
        </w:rPr>
      </w:pPr>
    </w:p>
    <w:p>
      <w:pPr>
        <w:ind w:left="851"/>
        <w:rPr>
          <w:rFonts w:eastAsia="Times New Roman"/>
          <w:noProof/>
        </w:rPr>
      </w:pPr>
      <w:r>
        <w:rPr>
          <w:noProof/>
        </w:rPr>
        <w:t>X</w:t>
      </w:r>
      <w:r>
        <w:rPr>
          <w:noProof/>
        </w:rPr>
        <w:tab/>
        <w:t>Ettepanek/algatus eeldab paindlikkusinstrumendi kohaldamist.</w:t>
      </w:r>
    </w:p>
    <w:tbl>
      <w:tblPr>
        <w:tblW w:w="9855" w:type="dxa"/>
        <w:tblInd w:w="93" w:type="dxa"/>
        <w:tblLook w:val="04A0" w:firstRow="1" w:lastRow="0" w:firstColumn="1" w:lastColumn="0" w:noHBand="0" w:noVBand="1"/>
      </w:tblPr>
      <w:tblGrid>
        <w:gridCol w:w="5415"/>
        <w:gridCol w:w="2280"/>
        <w:gridCol w:w="1080"/>
        <w:gridCol w:w="120"/>
        <w:gridCol w:w="960"/>
      </w:tblGrid>
      <w:tr>
        <w:trPr>
          <w:trHeight w:val="300"/>
        </w:trPr>
        <w:tc>
          <w:tcPr>
            <w:tcW w:w="5415" w:type="dxa"/>
            <w:tcBorders>
              <w:top w:val="single" w:sz="4" w:space="0" w:color="auto"/>
              <w:left w:val="single" w:sz="4" w:space="0" w:color="auto"/>
              <w:bottom w:val="nil"/>
              <w:right w:val="nil"/>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 </w:t>
            </w:r>
          </w:p>
        </w:tc>
        <w:tc>
          <w:tcPr>
            <w:tcW w:w="2280" w:type="dxa"/>
            <w:tcBorders>
              <w:top w:val="single" w:sz="4" w:space="0" w:color="auto"/>
              <w:left w:val="single" w:sz="4" w:space="0" w:color="auto"/>
              <w:bottom w:val="single" w:sz="4" w:space="0" w:color="auto"/>
              <w:right w:val="nil"/>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 xml:space="preserve">       2018</w:t>
            </w:r>
          </w:p>
        </w:tc>
        <w:tc>
          <w:tcPr>
            <w:tcW w:w="1200" w:type="dxa"/>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 xml:space="preserve">       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2020</w:t>
            </w:r>
          </w:p>
        </w:tc>
      </w:tr>
      <w:tr>
        <w:trPr>
          <w:trHeight w:val="300"/>
        </w:trPr>
        <w:tc>
          <w:tcPr>
            <w:tcW w:w="5415" w:type="dxa"/>
            <w:tcBorders>
              <w:top w:val="nil"/>
              <w:left w:val="single" w:sz="4" w:space="0" w:color="auto"/>
              <w:bottom w:val="single" w:sz="4" w:space="0" w:color="auto"/>
              <w:right w:val="single" w:sz="4" w:space="0" w:color="auto"/>
            </w:tcBorders>
            <w:shd w:val="clear" w:color="auto" w:fill="auto"/>
            <w:noWrap/>
            <w:vAlign w:val="bottom"/>
            <w:hideMark/>
          </w:tcPr>
          <w:p>
            <w:pPr>
              <w:spacing w:before="0" w:after="0"/>
              <w:jc w:val="left"/>
              <w:rPr>
                <w:rFonts w:ascii="Calibri" w:eastAsia="Times New Roman" w:hAnsi="Calibri"/>
                <w:noProof/>
                <w:color w:val="000000"/>
                <w:sz w:val="22"/>
              </w:rPr>
            </w:pPr>
            <w:r>
              <w:rPr>
                <w:rFonts w:ascii="Calibri" w:hAnsi="Calibri"/>
                <w:noProof/>
                <w:color w:val="000000"/>
                <w:sz w:val="22"/>
              </w:rPr>
              <w:t>Paindlikkusinstrumendi kasutamine</w:t>
            </w:r>
          </w:p>
        </w:tc>
        <w:tc>
          <w:tcPr>
            <w:tcW w:w="2280" w:type="dxa"/>
            <w:tcBorders>
              <w:top w:val="single" w:sz="4" w:space="0" w:color="auto"/>
              <w:left w:val="single" w:sz="4" w:space="0" w:color="auto"/>
              <w:bottom w:val="single" w:sz="4" w:space="0" w:color="auto"/>
              <w:right w:val="nil"/>
            </w:tcBorders>
            <w:shd w:val="clear" w:color="auto" w:fill="auto"/>
            <w:noWrap/>
            <w:vAlign w:val="bottom"/>
            <w:hideMark/>
          </w:tcPr>
          <w:p>
            <w:pPr>
              <w:spacing w:before="0" w:after="0"/>
              <w:jc w:val="center"/>
              <w:rPr>
                <w:rFonts w:ascii="Calibri" w:eastAsia="Times New Roman" w:hAnsi="Calibri"/>
                <w:noProof/>
                <w:color w:val="000000"/>
                <w:sz w:val="22"/>
              </w:rPr>
            </w:pPr>
            <w:r>
              <w:rPr>
                <w:rFonts w:ascii="Calibri" w:hAnsi="Calibri"/>
                <w:noProof/>
                <w:color w:val="000000"/>
                <w:sz w:val="22"/>
              </w:rPr>
              <w:t>19,157</w:t>
            </w:r>
          </w:p>
        </w:tc>
        <w:tc>
          <w:tcPr>
            <w:tcW w:w="1080" w:type="dxa"/>
            <w:tcBorders>
              <w:top w:val="single" w:sz="4" w:space="0" w:color="auto"/>
              <w:left w:val="nil"/>
              <w:bottom w:val="single" w:sz="4" w:space="0" w:color="auto"/>
              <w:right w:val="nil"/>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103,18</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hideMark/>
          </w:tcPr>
          <w:p>
            <w:pPr>
              <w:spacing w:before="0" w:after="0"/>
              <w:jc w:val="right"/>
              <w:rPr>
                <w:rFonts w:ascii="Calibri" w:eastAsia="Times New Roman" w:hAnsi="Calibri"/>
                <w:noProof/>
                <w:color w:val="000000"/>
                <w:sz w:val="22"/>
              </w:rPr>
            </w:pPr>
            <w:r>
              <w:rPr>
                <w:rFonts w:ascii="Calibri" w:hAnsi="Calibri"/>
                <w:noProof/>
                <w:color w:val="000000"/>
                <w:sz w:val="22"/>
              </w:rPr>
              <w:t>109,457</w:t>
            </w:r>
          </w:p>
        </w:tc>
      </w:tr>
    </w:tbl>
    <w:p>
      <w:pPr>
        <w:rPr>
          <w:rFonts w:eastAsia="Times New Roman"/>
          <w:noProof/>
        </w:rPr>
      </w:pPr>
    </w:p>
    <w:p>
      <w:pPr>
        <w:pStyle w:val="ManualNumPar3"/>
        <w:rPr>
          <w:noProof/>
        </w:rPr>
      </w:pPr>
      <w:r>
        <w:t>3.2.5.</w:t>
      </w:r>
      <w:r>
        <w:tab/>
      </w:r>
      <w:r>
        <w:rPr>
          <w:noProof/>
        </w:rPr>
        <w:t xml:space="preserve">Kolmandate isikute rahaline osalus </w:t>
      </w:r>
    </w:p>
    <w:p>
      <w:pPr>
        <w:tabs>
          <w:tab w:val="num" w:pos="1134"/>
        </w:tabs>
        <w:ind w:left="1134" w:hanging="283"/>
        <w:rPr>
          <w:rFonts w:eastAsia="Times New Roman"/>
          <w:noProof/>
        </w:rPr>
      </w:pPr>
      <w:r>
        <w:rPr>
          <w:noProof/>
        </w:rPr>
        <w:t xml:space="preserve">Ettepanek/algatus ei hõlma kolmandate isikute poolset kaasrahastamist. </w:t>
      </w:r>
    </w:p>
    <w:p>
      <w:pPr>
        <w:tabs>
          <w:tab w:val="num" w:pos="1134"/>
        </w:tabs>
        <w:ind w:left="1134" w:hanging="283"/>
        <w:rPr>
          <w:rFonts w:eastAsia="Times New Roman"/>
          <w:noProof/>
        </w:rPr>
      </w:pPr>
      <w:r>
        <w:rPr>
          <w:noProof/>
        </w:rPr>
        <w:t>Ettepanek/algatus hõlmab kaasrahastamist, mille hinnanguline summa on järgmine:</w:t>
      </w:r>
    </w:p>
    <w:p>
      <w:pPr>
        <w:jc w:val="right"/>
        <w:rPr>
          <w:noProof/>
          <w:sz w:val="20"/>
        </w:rPr>
      </w:pPr>
      <w:r>
        <w:rPr>
          <w:noProof/>
          <w:sz w:val="20"/>
        </w:rPr>
        <w:t>assigneeringud miljonites eurodes (kolm kohta pärast koma)</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Aasta</w:t>
            </w:r>
            <w:r>
              <w:rPr>
                <w:noProof/>
                <w:sz w:val="22"/>
              </w:rPr>
              <w:br/>
            </w:r>
            <w:r>
              <w:rPr>
                <w:b/>
                <w:noProof/>
                <w:sz w:val="20"/>
              </w:rPr>
              <w:t>N</w:t>
            </w:r>
          </w:p>
        </w:tc>
        <w:tc>
          <w:tcPr>
            <w:tcW w:w="964" w:type="dxa"/>
            <w:vAlign w:val="center"/>
          </w:tcPr>
          <w:p>
            <w:pPr>
              <w:jc w:val="center"/>
              <w:rPr>
                <w:noProof/>
                <w:sz w:val="20"/>
              </w:rPr>
            </w:pPr>
            <w:r>
              <w:rPr>
                <w:noProof/>
                <w:sz w:val="20"/>
              </w:rPr>
              <w:t>Aasta</w:t>
            </w:r>
            <w:r>
              <w:rPr>
                <w:noProof/>
                <w:sz w:val="22"/>
              </w:rPr>
              <w:br/>
            </w:r>
            <w:r>
              <w:rPr>
                <w:b/>
                <w:noProof/>
                <w:sz w:val="20"/>
              </w:rPr>
              <w:t>N+1</w:t>
            </w:r>
          </w:p>
        </w:tc>
        <w:tc>
          <w:tcPr>
            <w:tcW w:w="964" w:type="dxa"/>
            <w:vAlign w:val="center"/>
          </w:tcPr>
          <w:p>
            <w:pPr>
              <w:jc w:val="center"/>
              <w:rPr>
                <w:noProof/>
                <w:sz w:val="20"/>
              </w:rPr>
            </w:pPr>
            <w:r>
              <w:rPr>
                <w:noProof/>
                <w:sz w:val="20"/>
              </w:rPr>
              <w:t>Aasta</w:t>
            </w:r>
            <w:r>
              <w:rPr>
                <w:noProof/>
                <w:sz w:val="22"/>
              </w:rPr>
              <w:br/>
            </w:r>
            <w:r>
              <w:rPr>
                <w:b/>
                <w:noProof/>
                <w:sz w:val="20"/>
              </w:rPr>
              <w:t>N+2</w:t>
            </w:r>
          </w:p>
        </w:tc>
        <w:tc>
          <w:tcPr>
            <w:tcW w:w="964" w:type="dxa"/>
            <w:vAlign w:val="center"/>
          </w:tcPr>
          <w:p>
            <w:pPr>
              <w:jc w:val="center"/>
              <w:rPr>
                <w:noProof/>
                <w:sz w:val="20"/>
              </w:rPr>
            </w:pPr>
            <w:r>
              <w:rPr>
                <w:noProof/>
                <w:sz w:val="20"/>
              </w:rPr>
              <w:t>Aasta</w:t>
            </w:r>
            <w:r>
              <w:rPr>
                <w:noProof/>
                <w:sz w:val="22"/>
              </w:rPr>
              <w:br/>
            </w:r>
            <w:r>
              <w:rPr>
                <w:b/>
                <w:noProof/>
                <w:sz w:val="20"/>
              </w:rPr>
              <w:t>N+3</w:t>
            </w:r>
          </w:p>
        </w:tc>
        <w:tc>
          <w:tcPr>
            <w:tcW w:w="2892" w:type="dxa"/>
            <w:gridSpan w:val="3"/>
            <w:vAlign w:val="center"/>
          </w:tcPr>
          <w:p>
            <w:pPr>
              <w:jc w:val="center"/>
              <w:rPr>
                <w:b/>
                <w:noProof/>
                <w:sz w:val="20"/>
              </w:rPr>
            </w:pPr>
            <w:r>
              <w:rPr>
                <w:noProof/>
                <w:sz w:val="20"/>
              </w:rPr>
              <w:t>Lisage vajalik arv aastaid, et kajastada kogu finantsmõju kestust (vrd punkt 1.6)</w:t>
            </w:r>
          </w:p>
        </w:tc>
        <w:tc>
          <w:tcPr>
            <w:tcW w:w="1158" w:type="dxa"/>
            <w:vAlign w:val="center"/>
          </w:tcPr>
          <w:p>
            <w:pPr>
              <w:spacing w:before="60" w:after="60"/>
              <w:jc w:val="center"/>
              <w:rPr>
                <w:noProof/>
                <w:sz w:val="20"/>
              </w:rPr>
            </w:pPr>
            <w:r>
              <w:rPr>
                <w:noProof/>
                <w:sz w:val="20"/>
              </w:rPr>
              <w:t>Kokku</w:t>
            </w:r>
          </w:p>
        </w:tc>
      </w:tr>
      <w:tr>
        <w:trPr>
          <w:cantSplit/>
        </w:trPr>
        <w:tc>
          <w:tcPr>
            <w:tcW w:w="2340" w:type="dxa"/>
          </w:tcPr>
          <w:p>
            <w:pPr>
              <w:rPr>
                <w:noProof/>
                <w:sz w:val="22"/>
              </w:rPr>
            </w:pPr>
            <w:r>
              <w:rPr>
                <w:noProof/>
                <w:sz w:val="20"/>
              </w:rPr>
              <w:t>Täpsustage kaasrahastav asutus</w:t>
            </w:r>
            <w:r>
              <w:rPr>
                <w:i/>
                <w:noProof/>
                <w:sz w:val="20"/>
              </w:rPr>
              <w:t xml:space="preserve">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r>
        <w:trPr>
          <w:cantSplit/>
        </w:trPr>
        <w:tc>
          <w:tcPr>
            <w:tcW w:w="2340" w:type="dxa"/>
          </w:tcPr>
          <w:p>
            <w:pPr>
              <w:spacing w:before="60" w:after="60"/>
              <w:jc w:val="left"/>
              <w:rPr>
                <w:noProof/>
                <w:sz w:val="20"/>
              </w:rPr>
            </w:pPr>
            <w:r>
              <w:rPr>
                <w:noProof/>
                <w:sz w:val="20"/>
              </w:rPr>
              <w:t xml:space="preserve">Kaasrahastatavad assigneeringud KOKKU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bl>
    <w:p>
      <w:pPr>
        <w:rPr>
          <w:noProof/>
        </w:rPr>
      </w:pPr>
      <w:r>
        <w:rPr>
          <w:noProof/>
        </w:rPr>
        <w:br/>
      </w:r>
    </w:p>
    <w:p>
      <w:pPr>
        <w:pStyle w:val="ManualNumPar2"/>
        <w:rPr>
          <w:noProof/>
        </w:rPr>
      </w:pPr>
      <w:r>
        <w:rPr>
          <w:noProof/>
        </w:rPr>
        <w:br w:type="page"/>
      </w:r>
      <w:r>
        <w:t>3.3.</w:t>
      </w:r>
      <w:r>
        <w:tab/>
      </w:r>
      <w:r>
        <w:rPr>
          <w:noProof/>
        </w:rPr>
        <w:t xml:space="preserve">Hinnanguline mõju tuludele </w:t>
      </w:r>
    </w:p>
    <w:p>
      <w:pPr>
        <w:tabs>
          <w:tab w:val="num" w:pos="1134"/>
        </w:tabs>
        <w:ind w:left="1134" w:hanging="283"/>
        <w:rPr>
          <w:rFonts w:eastAsia="Times New Roman"/>
          <w:noProof/>
        </w:rPr>
      </w:pPr>
      <w:r>
        <w:rPr>
          <w:noProof/>
        </w:rPr>
        <w:t>X</w:t>
      </w:r>
      <w:r>
        <w:rPr>
          <w:noProof/>
        </w:rPr>
        <w:tab/>
        <w:t>Ettepanekul/algatusel puudub finantsmõju tuludele.</w:t>
      </w:r>
    </w:p>
    <w:p>
      <w:pPr>
        <w:tabs>
          <w:tab w:val="num" w:pos="1134"/>
        </w:tabs>
        <w:ind w:left="1134" w:hanging="283"/>
        <w:rPr>
          <w:rFonts w:eastAsia="Times New Roman"/>
          <w:noProof/>
        </w:rPr>
      </w:pPr>
      <w:r>
        <w:rPr>
          <w:rFonts w:eastAsia="Times New Roman"/>
          <w:noProof/>
        </w:rPr>
        <w:sym w:font="Wingdings" w:char="F0A8"/>
      </w:r>
      <w:r>
        <w:rPr>
          <w:noProof/>
        </w:rPr>
        <w:tab/>
        <w:t>Ettepanekul/algatusel on järgmine finantsmõju:</w:t>
      </w:r>
    </w:p>
    <w:p>
      <w:pPr>
        <w:numPr>
          <w:ilvl w:val="2"/>
          <w:numId w:val="0"/>
        </w:numPr>
        <w:tabs>
          <w:tab w:val="num" w:pos="2126"/>
        </w:tabs>
        <w:ind w:left="2126" w:hanging="709"/>
        <w:rPr>
          <w:rFonts w:eastAsia="Times New Roman"/>
          <w:noProof/>
        </w:rPr>
      </w:pPr>
      <w:r>
        <w:rPr>
          <w:rFonts w:eastAsia="Times New Roman"/>
          <w:noProof/>
        </w:rPr>
        <w:sym w:font="Wingdings" w:char="F0A8"/>
      </w:r>
      <w:r>
        <w:rPr>
          <w:noProof/>
        </w:rPr>
        <w:tab/>
        <w:t xml:space="preserve">omavahenditele </w:t>
      </w:r>
    </w:p>
    <w:p>
      <w:pPr>
        <w:numPr>
          <w:ilvl w:val="2"/>
          <w:numId w:val="0"/>
        </w:numPr>
        <w:tabs>
          <w:tab w:val="num" w:pos="2126"/>
        </w:tabs>
        <w:ind w:left="2126" w:hanging="709"/>
        <w:rPr>
          <w:rFonts w:eastAsia="Times New Roman"/>
          <w:noProof/>
        </w:rPr>
      </w:pPr>
      <w:r>
        <w:rPr>
          <w:rFonts w:eastAsia="Times New Roman"/>
          <w:noProof/>
        </w:rPr>
        <w:sym w:font="Wingdings" w:char="F0A8"/>
      </w:r>
      <w:r>
        <w:rPr>
          <w:noProof/>
        </w:rPr>
        <w:tab/>
        <w:t xml:space="preserve">mitmesugustele tuludele </w:t>
      </w:r>
    </w:p>
    <w:p>
      <w:pPr>
        <w:jc w:val="right"/>
        <w:rPr>
          <w:i/>
          <w:noProof/>
          <w:sz w:val="20"/>
        </w:rPr>
      </w:pPr>
      <w:r>
        <w:rPr>
          <w:noProof/>
        </w:rPr>
        <w:t>miljonites eurodes (kolm kohta pärast koma)</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trPr>
          <w:trHeight w:val="388"/>
        </w:trPr>
        <w:tc>
          <w:tcPr>
            <w:tcW w:w="2144" w:type="dxa"/>
            <w:vMerge w:val="restart"/>
            <w:vAlign w:val="center"/>
          </w:tcPr>
          <w:p>
            <w:pPr>
              <w:spacing w:before="40" w:after="40"/>
              <w:rPr>
                <w:noProof/>
                <w:sz w:val="18"/>
              </w:rPr>
            </w:pPr>
            <w:r>
              <w:rPr>
                <w:noProof/>
                <w:sz w:val="18"/>
              </w:rPr>
              <w:t>Tulude eelarverida:</w:t>
            </w:r>
          </w:p>
        </w:tc>
        <w:tc>
          <w:tcPr>
            <w:tcW w:w="1276" w:type="dxa"/>
            <w:vMerge w:val="restart"/>
            <w:vAlign w:val="center"/>
          </w:tcPr>
          <w:p>
            <w:pPr>
              <w:jc w:val="center"/>
              <w:rPr>
                <w:noProof/>
                <w:sz w:val="18"/>
              </w:rPr>
            </w:pPr>
            <w:r>
              <w:rPr>
                <w:noProof/>
                <w:sz w:val="18"/>
              </w:rPr>
              <w:t>Jooksva aasta eelarves kättesaadavad assigneeringud</w:t>
            </w:r>
          </w:p>
        </w:tc>
        <w:tc>
          <w:tcPr>
            <w:tcW w:w="7200" w:type="dxa"/>
            <w:gridSpan w:val="7"/>
            <w:vAlign w:val="center"/>
          </w:tcPr>
          <w:p>
            <w:pPr>
              <w:jc w:val="center"/>
              <w:rPr>
                <w:noProof/>
                <w:sz w:val="18"/>
              </w:rPr>
            </w:pPr>
            <w:r>
              <w:rPr>
                <w:noProof/>
                <w:sz w:val="18"/>
              </w:rPr>
              <w:t>Ettepaneku/algatuse mõju</w:t>
            </w:r>
            <w:r>
              <w:rPr>
                <w:rStyle w:val="FootnoteReference"/>
                <w:noProof/>
              </w:rPr>
              <w:footnoteReference w:id="32"/>
            </w:r>
          </w:p>
        </w:tc>
      </w:tr>
      <w:tr>
        <w:trPr>
          <w:trHeight w:val="388"/>
        </w:trPr>
        <w:tc>
          <w:tcPr>
            <w:tcW w:w="2144" w:type="dxa"/>
            <w:vMerge/>
          </w:tcPr>
          <w:p>
            <w:pPr>
              <w:spacing w:before="40" w:after="40"/>
              <w:rPr>
                <w:noProof/>
                <w:sz w:val="18"/>
              </w:rPr>
            </w:pPr>
          </w:p>
        </w:tc>
        <w:tc>
          <w:tcPr>
            <w:tcW w:w="1276" w:type="dxa"/>
            <w:vMerge/>
          </w:tcPr>
          <w:p>
            <w:pPr>
              <w:spacing w:beforeLines="40" w:before="96" w:afterLines="40" w:after="96"/>
              <w:rPr>
                <w:i/>
                <w:noProof/>
                <w:sz w:val="18"/>
              </w:rPr>
            </w:pPr>
          </w:p>
        </w:tc>
        <w:tc>
          <w:tcPr>
            <w:tcW w:w="1080" w:type="dxa"/>
            <w:vAlign w:val="center"/>
          </w:tcPr>
          <w:p>
            <w:pPr>
              <w:jc w:val="center"/>
              <w:rPr>
                <w:noProof/>
                <w:sz w:val="18"/>
              </w:rPr>
            </w:pPr>
            <w:r>
              <w:rPr>
                <w:noProof/>
                <w:sz w:val="18"/>
              </w:rPr>
              <w:t>Aasta</w:t>
            </w:r>
            <w:r>
              <w:rPr>
                <w:noProof/>
                <w:sz w:val="22"/>
              </w:rPr>
              <w:br/>
            </w:r>
            <w:r>
              <w:rPr>
                <w:b/>
                <w:noProof/>
                <w:sz w:val="18"/>
              </w:rPr>
              <w:t>N</w:t>
            </w:r>
          </w:p>
        </w:tc>
        <w:tc>
          <w:tcPr>
            <w:tcW w:w="900" w:type="dxa"/>
            <w:vAlign w:val="center"/>
          </w:tcPr>
          <w:p>
            <w:pPr>
              <w:jc w:val="center"/>
              <w:rPr>
                <w:noProof/>
                <w:sz w:val="18"/>
              </w:rPr>
            </w:pPr>
            <w:r>
              <w:rPr>
                <w:noProof/>
                <w:sz w:val="18"/>
              </w:rPr>
              <w:t>Aasta</w:t>
            </w:r>
            <w:r>
              <w:rPr>
                <w:noProof/>
                <w:sz w:val="22"/>
              </w:rPr>
              <w:br/>
            </w:r>
            <w:r>
              <w:rPr>
                <w:b/>
                <w:noProof/>
                <w:sz w:val="18"/>
              </w:rPr>
              <w:t>N+1</w:t>
            </w:r>
          </w:p>
        </w:tc>
        <w:tc>
          <w:tcPr>
            <w:tcW w:w="900" w:type="dxa"/>
            <w:vAlign w:val="center"/>
          </w:tcPr>
          <w:p>
            <w:pPr>
              <w:jc w:val="center"/>
              <w:rPr>
                <w:noProof/>
                <w:sz w:val="18"/>
              </w:rPr>
            </w:pPr>
            <w:r>
              <w:rPr>
                <w:noProof/>
                <w:sz w:val="18"/>
              </w:rPr>
              <w:t>Aasta</w:t>
            </w:r>
            <w:r>
              <w:rPr>
                <w:noProof/>
                <w:sz w:val="22"/>
              </w:rPr>
              <w:br/>
            </w:r>
            <w:r>
              <w:rPr>
                <w:b/>
                <w:noProof/>
                <w:sz w:val="18"/>
              </w:rPr>
              <w:t>N+2</w:t>
            </w:r>
          </w:p>
        </w:tc>
        <w:tc>
          <w:tcPr>
            <w:tcW w:w="1080" w:type="dxa"/>
            <w:vAlign w:val="center"/>
          </w:tcPr>
          <w:p>
            <w:pPr>
              <w:jc w:val="center"/>
              <w:rPr>
                <w:noProof/>
                <w:sz w:val="18"/>
              </w:rPr>
            </w:pPr>
            <w:r>
              <w:rPr>
                <w:noProof/>
                <w:sz w:val="18"/>
              </w:rPr>
              <w:t>Aasta</w:t>
            </w:r>
            <w:r>
              <w:rPr>
                <w:noProof/>
                <w:sz w:val="22"/>
              </w:rPr>
              <w:br/>
            </w:r>
            <w:r>
              <w:rPr>
                <w:b/>
                <w:noProof/>
                <w:sz w:val="18"/>
              </w:rPr>
              <w:t>N+3</w:t>
            </w:r>
          </w:p>
        </w:tc>
        <w:tc>
          <w:tcPr>
            <w:tcW w:w="3240" w:type="dxa"/>
            <w:gridSpan w:val="3"/>
            <w:vAlign w:val="center"/>
          </w:tcPr>
          <w:p>
            <w:pPr>
              <w:jc w:val="center"/>
              <w:rPr>
                <w:b/>
                <w:noProof/>
                <w:sz w:val="18"/>
              </w:rPr>
            </w:pPr>
            <w:r>
              <w:rPr>
                <w:noProof/>
                <w:sz w:val="18"/>
              </w:rPr>
              <w:t>Lisage vajalik arv aastaid, et kajastada kogu finantsmõju kestust (vrd punkt 1.6)</w:t>
            </w:r>
          </w:p>
        </w:tc>
      </w:tr>
      <w:tr>
        <w:trPr>
          <w:trHeight w:val="388"/>
        </w:trPr>
        <w:tc>
          <w:tcPr>
            <w:tcW w:w="2144" w:type="dxa"/>
            <w:vAlign w:val="center"/>
          </w:tcPr>
          <w:p>
            <w:pPr>
              <w:spacing w:before="40" w:after="40"/>
              <w:rPr>
                <w:noProof/>
                <w:sz w:val="18"/>
              </w:rPr>
            </w:pPr>
            <w:r>
              <w:rPr>
                <w:noProof/>
                <w:sz w:val="18"/>
              </w:rPr>
              <w:t>Artikkel ………….</w:t>
            </w:r>
          </w:p>
        </w:tc>
        <w:tc>
          <w:tcPr>
            <w:tcW w:w="1276" w:type="dxa"/>
          </w:tcPr>
          <w:p>
            <w:pPr>
              <w:spacing w:beforeLines="40" w:before="96" w:afterLines="40" w:after="96"/>
              <w:jc w:val="center"/>
              <w:rPr>
                <w:i/>
                <w:noProof/>
                <w:sz w:val="18"/>
              </w:rPr>
            </w:pP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ind w:left="850"/>
        <w:rPr>
          <w:noProof/>
          <w:sz w:val="20"/>
        </w:rPr>
      </w:pPr>
      <w:r>
        <w:rPr>
          <w:noProof/>
          <w:sz w:val="20"/>
        </w:rPr>
        <w:t>Mitmesuguste sihtotstarbeliste tulude puhul täpsustage, milliseid kulude eelarveridasid ettepanek mõjutab.</w:t>
      </w:r>
    </w:p>
    <w:p>
      <w:pPr>
        <w:pBdr>
          <w:top w:val="single" w:sz="4" w:space="1" w:color="auto"/>
          <w:left w:val="single" w:sz="4" w:space="4" w:color="auto"/>
          <w:bottom w:val="single" w:sz="4" w:space="1" w:color="auto"/>
          <w:right w:val="single" w:sz="4" w:space="4" w:color="auto"/>
        </w:pBdr>
        <w:ind w:left="850"/>
        <w:rPr>
          <w:noProof/>
        </w:rPr>
      </w:pPr>
      <w:r>
        <w:rPr>
          <w:noProof/>
          <w:color w:val="0000FF"/>
        </w:rPr>
        <w:t>[…]</w:t>
      </w:r>
    </w:p>
    <w:p>
      <w:pPr>
        <w:ind w:left="850"/>
        <w:rPr>
          <w:noProof/>
          <w:sz w:val="20"/>
        </w:rPr>
      </w:pPr>
      <w:r>
        <w:rPr>
          <w:noProof/>
          <w:sz w:val="20"/>
        </w:rPr>
        <w:t>Täpsustage tuludele avalduva mõju arvutusmeetod.</w:t>
      </w:r>
    </w:p>
    <w:p>
      <w:pPr>
        <w:pBdr>
          <w:top w:val="single" w:sz="4" w:space="1" w:color="auto"/>
          <w:left w:val="single" w:sz="4" w:space="4" w:color="auto"/>
          <w:bottom w:val="single" w:sz="4" w:space="1" w:color="auto"/>
          <w:right w:val="single" w:sz="4" w:space="4" w:color="auto"/>
        </w:pBdr>
        <w:ind w:left="850"/>
        <w:rPr>
          <w:noProof/>
        </w:rPr>
      </w:pPr>
      <w:r>
        <w:rPr>
          <w:noProof/>
          <w:color w:val="0000FF"/>
        </w:rPr>
        <w:t>[…]</w:t>
      </w:r>
    </w:p>
    <w:p>
      <w:pPr>
        <w:rPr>
          <w:noProof/>
        </w:rPr>
      </w:pPr>
    </w:p>
    <w:sectPr>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17</w:t>
    </w:r>
    <w:r>
      <w:fldChar w:fldCharType="end"/>
    </w:r>
    <w:r>
      <w:tab/>
    </w:r>
    <w:r>
      <w:tab/>
    </w:r>
    <w:r>
      <w:rPr>
        <w:rFonts w:ascii="Arial" w:hAnsi="Arial" w:cs="Arial"/>
        <w:b/>
        <w:sz w:val="48"/>
      </w:rPr>
      <w:t>ET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ind w:left="0" w:firstLine="0"/>
        <w:rPr>
          <w:sz w:val="18"/>
        </w:rPr>
      </w:pPr>
      <w:r>
        <w:rPr>
          <w:rStyle w:val="FootnoteReference"/>
        </w:rPr>
        <w:footnoteRef/>
      </w:r>
      <w:r>
        <w:tab/>
      </w:r>
      <w:r>
        <w:rPr>
          <w:sz w:val="18"/>
        </w:rPr>
        <w:t>ICF, „Liidu kodanikukaitse mehhanismi vahehindamine. 2014–2016“, lõpparuanne, august 2017 (edaspidi „vahehindamine“). Vahehindamise lõpparuanne on kättesaadav aadressil: https://publications.europa.eu/en/publication-detail/-/publication/eb41bfee-78c3-11e7-b2f2-01aa75ed71a1/language-en/format-PDF</w:t>
      </w:r>
    </w:p>
  </w:footnote>
  <w:footnote w:id="3">
    <w:p>
      <w:pPr>
        <w:pStyle w:val="FootnoteText"/>
        <w:ind w:left="0" w:firstLine="0"/>
        <w:rPr>
          <w:sz w:val="18"/>
        </w:rPr>
      </w:pPr>
      <w:r>
        <w:rPr>
          <w:rStyle w:val="FootnoteReference"/>
        </w:rPr>
        <w:footnoteRef/>
      </w:r>
      <w:r>
        <w:tab/>
      </w:r>
      <w:r>
        <w:rPr>
          <w:sz w:val="18"/>
        </w:rPr>
        <w:t>Euroopa Kontrollikoda, eriaruanne (2016), ELi kodanikukaitse mehhanism: väljaspool ELi toimunud katastroofidele reageerimise koordineerimine on olnud üldjoontes mõjus. Kättesaadav aadressil: http://www.eca.europa.eu/Lists/ECADocuments/SR16_33/SR_DISASTER_RESPONSE_ET.pdf</w:t>
      </w:r>
    </w:p>
  </w:footnote>
  <w:footnote w:id="4">
    <w:p>
      <w:pPr>
        <w:pStyle w:val="FootnoteText"/>
        <w:ind w:left="0" w:firstLine="0"/>
      </w:pPr>
      <w:r>
        <w:rPr>
          <w:rStyle w:val="FootnoteReference"/>
        </w:rPr>
        <w:footnoteRef/>
      </w:r>
      <w:r>
        <w:tab/>
      </w:r>
      <w:r>
        <w:rPr>
          <w:sz w:val="18"/>
        </w:rPr>
        <w:t>Komisjoni aruanne Euroopa Parlamendile ja nõukogule Euroopa hädaolukordadele reageerimise suutlikkusega seoses tehtud edusammude ja allesjäänud puudujääkide kohta, 17.2.2017.</w:t>
      </w:r>
    </w:p>
  </w:footnote>
  <w:footnote w:id="5">
    <w:p>
      <w:pPr>
        <w:pStyle w:val="FootnoteText"/>
      </w:pPr>
      <w:r>
        <w:rPr>
          <w:rStyle w:val="FootnoteReference"/>
        </w:rPr>
        <w:footnoteRef/>
      </w:r>
      <w:r>
        <w:tab/>
      </w:r>
      <w:r>
        <w:rPr>
          <w:sz w:val="16"/>
        </w:rPr>
        <w:t>Vt joonealune märkus nr 2.</w:t>
      </w:r>
    </w:p>
  </w:footnote>
  <w:footnote w:id="6">
    <w:p>
      <w:pPr>
        <w:pStyle w:val="FootnoteText"/>
      </w:pPr>
      <w:r>
        <w:rPr>
          <w:rStyle w:val="FootnoteReference"/>
        </w:rPr>
        <w:footnoteRef/>
      </w:r>
      <w:r>
        <w:tab/>
      </w:r>
      <w:r>
        <w:rPr>
          <w:sz w:val="16"/>
        </w:rPr>
        <w:t>Vt joonealune märkus nr 3.</w:t>
      </w:r>
    </w:p>
  </w:footnote>
  <w:footnote w:id="7">
    <w:p>
      <w:pPr>
        <w:pStyle w:val="FootnoteText"/>
      </w:pPr>
      <w:r>
        <w:rPr>
          <w:rStyle w:val="FootnoteReference"/>
        </w:rPr>
        <w:footnoteRef/>
      </w:r>
      <w:r>
        <w:tab/>
      </w:r>
      <w:r>
        <w:rPr>
          <w:sz w:val="16"/>
        </w:rPr>
        <w:t>Komisjoni talituste töödokument, „Overview of Natural and Man-made Disaster Risks the European Union may face“ (Euroopa Liidu võimalike looduslike ja inimtekkeliste katastroofide riskide ülevaade), 23.5.2017, SWD(2017) 176 final.</w:t>
      </w:r>
    </w:p>
  </w:footnote>
  <w:footnote w:id="8">
    <w:p>
      <w:pPr>
        <w:pStyle w:val="FootnoteText"/>
      </w:pPr>
      <w:r>
        <w:rPr>
          <w:rStyle w:val="FootnoteReference"/>
        </w:rPr>
        <w:footnoteRef/>
      </w:r>
      <w:r>
        <w:tab/>
      </w:r>
      <w:r>
        <w:rPr>
          <w:sz w:val="16"/>
        </w:rPr>
        <w:t>Komisjoni aruanne Euroopa Parlamendile ja nõukogule liidu kodanikukaitse mehhanismi vahehindamise kohta ajavahemikus 2014–2016, 30.8.2017, COM(2017) 460 final.</w:t>
      </w:r>
    </w:p>
  </w:footnote>
  <w:footnote w:id="9">
    <w:p>
      <w:pPr>
        <w:pStyle w:val="FootnoteText"/>
      </w:pPr>
      <w:r>
        <w:rPr>
          <w:rStyle w:val="FootnoteReference"/>
        </w:rPr>
        <w:footnoteRef/>
      </w:r>
      <w:r>
        <w:tab/>
      </w:r>
      <w:r>
        <w:rPr>
          <w:sz w:val="16"/>
        </w:rPr>
        <w:t>endine Jugoslaavia Makedoonia vabariik, Island, Montenegro, Norra, Serbia ja Türgi.</w:t>
      </w:r>
    </w:p>
  </w:footnote>
  <w:footnote w:id="10">
    <w:p>
      <w:pPr>
        <w:pStyle w:val="FootnoteText"/>
      </w:pPr>
      <w:r>
        <w:rPr>
          <w:rStyle w:val="FootnoteReference"/>
        </w:rPr>
        <w:footnoteRef/>
      </w:r>
      <w:r>
        <w:tab/>
      </w:r>
      <w:r>
        <w:rPr>
          <w:sz w:val="16"/>
        </w:rPr>
        <w:t>Vastanud sidusrühmade hulka kuulusid: 26 osaleva riigi kodanikukaitseasutused (veebipõhised uuringud); 17 osaleva riigi kodanikukaitseasutused (intervjuud); 21 osaleva riigi riiklikud koolituskoordinaatorid (veebipõhised uuringud); 137 ekspertide vahetamise programmis osalenud eksperti ja 23 projektijuhti 13 osalevast riigist, mida rahastati liidu kodanikukaitse mehhanismist (veebipõhised uuringud); 14 rahvusvahelist partnerit, sealhulgas ÜRO ametid, OECD, Maailmapank, Punane Rist jne (intervjuud); 15 ELi peadirektoraati ja talitust (intervjuud).</w:t>
      </w:r>
    </w:p>
  </w:footnote>
  <w:footnote w:id="11">
    <w:p>
      <w:pPr>
        <w:pStyle w:val="FootnoteText"/>
      </w:pPr>
      <w:r>
        <w:rPr>
          <w:rStyle w:val="FootnoteReference"/>
        </w:rPr>
        <w:footnoteRef/>
      </w:r>
      <w:r>
        <w:tab/>
      </w:r>
      <w:r>
        <w:rPr>
          <w:color w:val="000000"/>
          <w:sz w:val="16"/>
        </w:rPr>
        <w:t>Aruanne on kättesaadav aadressil:</w:t>
      </w:r>
      <w:r>
        <w:rPr>
          <w:color w:val="000000"/>
        </w:rPr>
        <w:t xml:space="preserve"> </w:t>
      </w:r>
      <w:hyperlink r:id="rId1">
        <w:r>
          <w:rPr>
            <w:rStyle w:val="Hyperlink"/>
          </w:rPr>
          <w:t>http://ec.europa.eu/echo/EUCPM-consult_en</w:t>
        </w:r>
      </w:hyperlink>
      <w:r>
        <w:t>.</w:t>
      </w:r>
    </w:p>
  </w:footnote>
  <w:footnote w:id="12">
    <w:p>
      <w:pPr>
        <w:autoSpaceDE w:val="0"/>
        <w:autoSpaceDN w:val="0"/>
        <w:adjustRightInd w:val="0"/>
        <w:spacing w:before="0" w:after="0"/>
        <w:jc w:val="left"/>
        <w:rPr>
          <w:sz w:val="16"/>
          <w:szCs w:val="16"/>
        </w:rPr>
      </w:pPr>
      <w:r>
        <w:rPr>
          <w:rStyle w:val="FootnoteReference"/>
        </w:rPr>
        <w:footnoteRef/>
      </w:r>
      <w:r>
        <w:tab/>
      </w:r>
      <w:r>
        <w:rPr>
          <w:sz w:val="16"/>
        </w:rPr>
        <w:t>Euroopa Parlamendi ja nõukogu 25. oktoobri 2012. aasta määrus (EL, Euratom) nr 966/2012, mis käsitleb Euroopa Liidu üldeelarve suhtes kohaldatavaid finantseeskirju ning millega muudetakse nõukogu määrust (EÜ, Euratom) nr 1605/2002, ELT L 298, 26.10.2012, lk 1.</w:t>
      </w:r>
    </w:p>
  </w:footnote>
  <w:footnote w:id="13">
    <w:p>
      <w:pPr>
        <w:pStyle w:val="FootnoteText"/>
      </w:pPr>
      <w:r>
        <w:rPr>
          <w:rStyle w:val="FootnoteReference"/>
        </w:rPr>
        <w:footnoteRef/>
      </w:r>
      <w:r>
        <w:tab/>
      </w:r>
      <w:r>
        <w:rPr>
          <w:sz w:val="16"/>
        </w:rPr>
        <w:t>Euroopa Parlamendi ja nõukogu 17. detsembri 2013. aasta otsus nr 1313/2013/EL liidu kodanikukaitse mehhanismi kohta (ELT L 347, 20.12.2013, lk 924).</w:t>
      </w:r>
    </w:p>
  </w:footnote>
  <w:footnote w:id="14">
    <w:p>
      <w:pPr>
        <w:pStyle w:val="FootnoteText"/>
      </w:pPr>
      <w:r>
        <w:rPr>
          <w:rStyle w:val="FootnoteReference"/>
        </w:rPr>
        <w:footnoteRef/>
      </w:r>
      <w:r>
        <w:tab/>
        <w:t>Euroopa Parlamendi ja nõukogu 17. detsembri 2013. aasta määrus (EL) nr 1303/2013, millega kehtestatakse ühissätted Euroopa Regionaalarengu Fondi, Euroopa Sotsiaalfondi, Ühtekuuluvusfondi, Euroopa Maaelu Arengu Euroopa Põllumajandusfondi ning Euroopa Merendus- ja Kalandusfondi kohta, nähakse ette üldsätted Euroopa Regionaalarengu Fondi, Euroopa Sotsiaalfondi, Ühtekuuluvusfondi ja Euroopa Merendus- ja Kalandusfondi kohta ning tunnistatakse kehtetuks nõukogu määrus (EÜ) nr 1083/2006, (ELT L 347, 20.12.2013, lk 320).</w:t>
      </w:r>
    </w:p>
  </w:footnote>
  <w:footnote w:id="15">
    <w:p>
      <w:pPr>
        <w:pStyle w:val="FootnoteText"/>
      </w:pPr>
      <w:r>
        <w:rPr>
          <w:rStyle w:val="FootnoteReference"/>
        </w:rPr>
        <w:footnoteRef/>
      </w:r>
      <w:r>
        <w:tab/>
        <w:t>Euroopa Parlamendi ja nõukogu 25. oktoobri 2012. aasta määrus (EL, Euratom) nr 966/2012, mis käsitleb Euroopa Liidu üldeelarve suhtes kohaldatavaid finantseeskirju ning millega muudetakse nõukogu määrust (EÜ, Euratom) nr 1605/2002, (ELT L 298, 26.10.2012, lk 1).</w:t>
      </w:r>
    </w:p>
  </w:footnote>
  <w:footnote w:id="16">
    <w:p>
      <w:pPr>
        <w:pStyle w:val="FootnoteText"/>
      </w:pPr>
      <w:r>
        <w:rPr>
          <w:rStyle w:val="FootnoteReference"/>
        </w:rPr>
        <w:footnoteRef/>
      </w:r>
      <w:r>
        <w:tab/>
        <w:t>Euroopa Parlamendi ja nõukogu 22. oktoobri 2013. aasta otsus nr 1082/2013/EL tõsiste piiriüleste terviseohtude kohta ja millega tunnistatakse kehtetuks otsus nr 2119/98/EÜ (ELT L 293, 5.11.2013, lk 1).</w:t>
      </w:r>
    </w:p>
  </w:footnote>
  <w:footnote w:id="17">
    <w:p>
      <w:pPr>
        <w:pStyle w:val="FootnoteText"/>
        <w:rPr>
          <w:szCs w:val="24"/>
        </w:rPr>
      </w:pPr>
      <w:r>
        <w:rPr>
          <w:rStyle w:val="FootnoteReference"/>
        </w:rPr>
        <w:footnoteRef/>
      </w:r>
      <w:r>
        <w:tab/>
        <w:t>ABM: tegevuspõhine juhtimine; ABB: tegevuspõhine eelarvestamine.</w:t>
      </w:r>
    </w:p>
  </w:footnote>
  <w:footnote w:id="18">
    <w:p>
      <w:pPr>
        <w:pStyle w:val="FootnoteText"/>
        <w:rPr>
          <w:szCs w:val="24"/>
        </w:rPr>
      </w:pPr>
      <w:r>
        <w:rPr>
          <w:rStyle w:val="FootnoteReference"/>
        </w:rPr>
        <w:footnoteRef/>
      </w:r>
      <w:r>
        <w:tab/>
        <w:t>Vastavalt finantsmääruse artikli 54 lõike 2 punktile a või b.</w:t>
      </w:r>
    </w:p>
  </w:footnote>
  <w:footnote w:id="19">
    <w:p>
      <w:pPr>
        <w:pStyle w:val="FootnoteText"/>
        <w:rPr>
          <w:szCs w:val="24"/>
        </w:rPr>
      </w:pPr>
      <w:r>
        <w:rPr>
          <w:rStyle w:val="FootnoteReference"/>
        </w:rPr>
        <w:footnoteRef/>
      </w:r>
      <w:r>
        <w:tab/>
        <w:t xml:space="preserve">Eelarve täitmise viise selgitatakse koos viidetega finantsmäärusele veebisaidil BudgWeb: </w:t>
      </w:r>
      <w:hyperlink r:id="rId2">
        <w:r>
          <w:rPr>
            <w:rStyle w:val="Hyperlink"/>
            <w:sz w:val="18"/>
          </w:rPr>
          <w:t>http://www.cc.cec/budg/man/budgmanag/budgmanag_en.html</w:t>
        </w:r>
      </w:hyperlink>
    </w:p>
  </w:footnote>
  <w:footnote w:id="20">
    <w:p>
      <w:pPr>
        <w:pStyle w:val="FootnoteText"/>
        <w:rPr>
          <w:szCs w:val="24"/>
        </w:rPr>
      </w:pPr>
      <w:r>
        <w:rPr>
          <w:rStyle w:val="FootnoteReference"/>
        </w:rPr>
        <w:footnoteRef/>
      </w:r>
      <w:r>
        <w:tab/>
        <w:t>Liigendatud assigneeringud / liigendamata assigneeringud.</w:t>
      </w:r>
    </w:p>
  </w:footnote>
  <w:footnote w:id="21">
    <w:p>
      <w:pPr>
        <w:pStyle w:val="FootnoteText"/>
        <w:rPr>
          <w:szCs w:val="24"/>
        </w:rPr>
      </w:pPr>
      <w:r>
        <w:rPr>
          <w:rStyle w:val="FootnoteReference"/>
        </w:rPr>
        <w:footnoteRef/>
      </w:r>
      <w:r>
        <w:tab/>
        <w:t xml:space="preserve">EFTA Euroopa Vabakaubanduse Assotsiatsioon </w:t>
      </w:r>
    </w:p>
  </w:footnote>
  <w:footnote w:id="22">
    <w:p>
      <w:pPr>
        <w:pStyle w:val="FootnoteText"/>
        <w:rPr>
          <w:szCs w:val="24"/>
        </w:rPr>
      </w:pPr>
      <w:r>
        <w:rPr>
          <w:rStyle w:val="FootnoteReference"/>
        </w:rPr>
        <w:footnoteRef/>
      </w:r>
      <w:r>
        <w:tab/>
        <w:t>Kandidaatriigid ja vajaduse korral Lääne-Balkani potentsiaalsed kandidaatriigid.</w:t>
      </w:r>
    </w:p>
  </w:footnote>
  <w:footnote w:id="23">
    <w:p>
      <w:pPr>
        <w:pStyle w:val="FootnoteText"/>
        <w:rPr>
          <w:szCs w:val="24"/>
        </w:rPr>
      </w:pPr>
      <w:r>
        <w:rPr>
          <w:rStyle w:val="FootnoteReference"/>
        </w:rPr>
        <w:footnoteRef/>
      </w:r>
      <w:r>
        <w:tab/>
        <w:t>Tehniline ja/või haldusabi ning ELi programmide ja/või meetmete rakendamiseks antava toetusega seotud kulud (endised B..A read), kaudne teadustegevus, otsene teadustegevus.</w:t>
      </w:r>
    </w:p>
  </w:footnote>
  <w:footnote w:id="24">
    <w:p>
      <w:pPr>
        <w:pStyle w:val="FootnoteText"/>
        <w:rPr>
          <w:szCs w:val="24"/>
        </w:rPr>
      </w:pPr>
      <w:r>
        <w:rPr>
          <w:rStyle w:val="FootnoteReference"/>
        </w:rPr>
        <w:footnoteRef/>
      </w:r>
      <w:r>
        <w:tab/>
        <w:t>Tehniline ja/või haldusabi ning ELi programmide ja/või meetmete rakendamiseks antava toetusega seotud kulud (endised B..A read), kaudne teadustegevus, otsene teadustegevus.</w:t>
      </w:r>
    </w:p>
  </w:footnote>
  <w:footnote w:id="25">
    <w:p>
      <w:pPr>
        <w:pStyle w:val="FootnoteText"/>
      </w:pPr>
      <w:r>
        <w:rPr>
          <w:rStyle w:val="FootnoteReference"/>
        </w:rPr>
        <w:footnoteRef/>
      </w:r>
      <w:r>
        <w:tab/>
        <w:t>Väljunditena käsitatakse tarnitavaid tooteid ja osutatavaid teenuseid (nt rahastatud üliõpilasvahetuste arv, ehitatud teede pikkus kilomeetrites jms).</w:t>
      </w:r>
    </w:p>
  </w:footnote>
  <w:footnote w:id="26">
    <w:p>
      <w:pPr>
        <w:pStyle w:val="FootnoteText"/>
      </w:pPr>
      <w:r>
        <w:rPr>
          <w:rStyle w:val="FootnoteReference"/>
        </w:rPr>
        <w:footnoteRef/>
      </w:r>
      <w:r>
        <w:tab/>
        <w:t>Vastavalt punktis 1.4.2 nimetatud erieesmärkidele. „Erieesmärk/eesmärgid...”</w:t>
      </w:r>
    </w:p>
  </w:footnote>
  <w:footnote w:id="27">
    <w:p>
      <w:pPr>
        <w:pStyle w:val="FootnoteText"/>
      </w:pPr>
      <w:r>
        <w:rPr>
          <w:rStyle w:val="FootnoteReference"/>
        </w:rPr>
        <w:footnoteRef/>
      </w:r>
      <w:r>
        <w:tab/>
        <w:t>Vastavalt punktis 1.4.2 nimetatud erieesmärkidele. „Erieesmärk/eesmärgid...”</w:t>
      </w:r>
    </w:p>
  </w:footnote>
  <w:footnote w:id="28">
    <w:p>
      <w:pPr>
        <w:pStyle w:val="FootnoteText"/>
        <w:rPr>
          <w:szCs w:val="24"/>
        </w:rPr>
      </w:pPr>
      <w:r>
        <w:rPr>
          <w:rStyle w:val="FootnoteReference"/>
        </w:rPr>
        <w:footnoteRef/>
      </w:r>
      <w:r>
        <w:tab/>
        <w:t>Tehniline ja/või haldusabi ning ELi programmide ja/või meetmete rakendamiseks antava toetusega seotud kulud (endised B..A read), otsene teadustegevus, kaudne teadustegevus.</w:t>
      </w:r>
    </w:p>
  </w:footnote>
  <w:footnote w:id="29">
    <w:p>
      <w:pPr>
        <w:pStyle w:val="FootnoteText"/>
      </w:pPr>
      <w:r>
        <w:rPr>
          <w:rStyle w:val="FootnoteReference"/>
        </w:rPr>
        <w:footnoteRef/>
      </w:r>
      <w:r>
        <w:tab/>
        <w:t>Lepingulised töötajad, kohalik töötaja (</w:t>
      </w:r>
      <w:r>
        <w:rPr>
          <w:i/>
        </w:rPr>
        <w:t>Intérimaire</w:t>
      </w:r>
      <w:r>
        <w:t xml:space="preserve">), noored eksperdid delegatsioonides, kohalikud töötajad, riikide lähetatud eksperdid. </w:t>
      </w:r>
    </w:p>
  </w:footnote>
  <w:footnote w:id="30">
    <w:p>
      <w:pPr>
        <w:pStyle w:val="FootnoteText"/>
      </w:pPr>
      <w:r>
        <w:rPr>
          <w:rStyle w:val="FootnoteReference"/>
        </w:rPr>
        <w:footnoteRef/>
      </w:r>
      <w:r>
        <w:tab/>
        <w:t>Tegevusassigneeringutest rahastatavate koosseisuväliste töötajate ülempiiri arvestades (endised B..A read).</w:t>
      </w:r>
    </w:p>
  </w:footnote>
  <w:footnote w:id="31">
    <w:p>
      <w:pPr>
        <w:pStyle w:val="FootnoteText"/>
      </w:pPr>
      <w:r>
        <w:rPr>
          <w:rStyle w:val="FootnoteReference"/>
        </w:rPr>
        <w:footnoteRef/>
      </w:r>
      <w:r>
        <w:tab/>
        <w:t>Peamiselt struktuurifondid, Euroopa Maaelu Arengu Põllumajandusfond (EAFRD) ja Euroopa Kalandusfond (EFF).</w:t>
      </w:r>
    </w:p>
  </w:footnote>
  <w:footnote w:id="32">
    <w:p>
      <w:pPr>
        <w:pStyle w:val="FootnoteText"/>
        <w:rPr>
          <w:szCs w:val="24"/>
        </w:rPr>
      </w:pPr>
      <w:r>
        <w:rPr>
          <w:rStyle w:val="FootnoteReference"/>
        </w:rPr>
        <w:footnoteRef/>
      </w:r>
      <w:r>
        <w:tab/>
        <w:t>Traditsiooniliste omavahendite (tollimaksud, suhkrumaksud) korral peab märgitud olema netosumma, s.t brutosumma pärast 25 % sissenõudmiskulude mahaarvamist.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E962EB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096FA3E"/>
    <w:lvl w:ilvl="0">
      <w:start w:val="1"/>
      <w:numFmt w:val="decimal"/>
      <w:pStyle w:val="ListNumber3"/>
      <w:lvlText w:val="%1."/>
      <w:lvlJc w:val="left"/>
      <w:pPr>
        <w:tabs>
          <w:tab w:val="num" w:pos="926"/>
        </w:tabs>
        <w:ind w:left="926" w:hanging="360"/>
      </w:pPr>
    </w:lvl>
  </w:abstractNum>
  <w:abstractNum w:abstractNumId="2">
    <w:nsid w:val="FFFFFF7F"/>
    <w:multiLevelType w:val="singleLevel"/>
    <w:tmpl w:val="4FE2013E"/>
    <w:lvl w:ilvl="0">
      <w:start w:val="1"/>
      <w:numFmt w:val="decimal"/>
      <w:pStyle w:val="ListNumber2"/>
      <w:lvlText w:val="%1."/>
      <w:lvlJc w:val="left"/>
      <w:pPr>
        <w:tabs>
          <w:tab w:val="num" w:pos="643"/>
        </w:tabs>
        <w:ind w:left="643" w:hanging="360"/>
      </w:pPr>
    </w:lvl>
  </w:abstractNum>
  <w:abstractNum w:abstractNumId="3">
    <w:nsid w:val="FFFFFF81"/>
    <w:multiLevelType w:val="singleLevel"/>
    <w:tmpl w:val="5F76992E"/>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C522588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D47A05B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57B06832"/>
    <w:lvl w:ilvl="0">
      <w:start w:val="1"/>
      <w:numFmt w:val="decimal"/>
      <w:pStyle w:val="ListNumber"/>
      <w:lvlText w:val="%1."/>
      <w:lvlJc w:val="left"/>
      <w:pPr>
        <w:tabs>
          <w:tab w:val="num" w:pos="360"/>
        </w:tabs>
        <w:ind w:left="360" w:hanging="360"/>
      </w:pPr>
    </w:lvl>
  </w:abstractNum>
  <w:abstractNum w:abstractNumId="7">
    <w:nsid w:val="FFFFFF89"/>
    <w:multiLevelType w:val="singleLevel"/>
    <w:tmpl w:val="AE8EEED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9">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24"/>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1"/>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num>
  <w:num w:numId="12">
    <w:abstractNumId w:val="8"/>
  </w:num>
  <w:num w:numId="13">
    <w:abstractNumId w:val="17"/>
  </w:num>
  <w:num w:numId="14">
    <w:abstractNumId w:val="1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3"/>
  </w:num>
  <w:num w:numId="18">
    <w:abstractNumId w:val="23"/>
  </w:num>
  <w:num w:numId="19">
    <w:abstractNumId w:val="12"/>
  </w:num>
  <w:num w:numId="20">
    <w:abstractNumId w:val="14"/>
  </w:num>
  <w:num w:numId="21">
    <w:abstractNumId w:val="10"/>
  </w:num>
  <w:num w:numId="22">
    <w:abstractNumId w:val="22"/>
  </w:num>
  <w:num w:numId="23">
    <w:abstractNumId w:val="9"/>
  </w:num>
  <w:num w:numId="24">
    <w:abstractNumId w:val="15"/>
  </w:num>
  <w:num w:numId="25">
    <w:abstractNumId w:val="19"/>
  </w:num>
  <w:num w:numId="26">
    <w:abstractNumId w:val="20"/>
  </w:num>
  <w:num w:numId="27">
    <w:abstractNumId w:val="11"/>
  </w:num>
  <w:num w:numId="28">
    <w:abstractNumId w:val="18"/>
  </w:num>
  <w:num w:numId="29">
    <w:abstractNumId w:val="24"/>
  </w:num>
  <w:num w:numId="30">
    <w:abstractNumId w:val="21"/>
  </w:num>
  <w:num w:numId="31">
    <w:abstractNumId w:val="13"/>
  </w:num>
  <w:num w:numId="32">
    <w:abstractNumId w:val="23"/>
  </w:num>
  <w:num w:numId="33">
    <w:abstractNumId w:val="12"/>
  </w:num>
  <w:num w:numId="34">
    <w:abstractNumId w:val="14"/>
  </w:num>
  <w:num w:numId="35">
    <w:abstractNumId w:val="10"/>
  </w:num>
  <w:num w:numId="36">
    <w:abstractNumId w:val="22"/>
  </w:num>
  <w:num w:numId="37">
    <w:abstractNumId w:val="9"/>
  </w:num>
  <w:num w:numId="38">
    <w:abstractNumId w:val="15"/>
  </w:num>
  <w:num w:numId="39">
    <w:abstractNumId w:val="19"/>
  </w:num>
  <w:num w:numId="40">
    <w:abstractNumId w:val="20"/>
  </w:num>
  <w:num w:numId="41">
    <w:abstractNumId w:val="11"/>
  </w:num>
  <w:num w:numId="42">
    <w:abstractNumId w:val="18"/>
  </w:num>
  <w:num w:numId="4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hideSpellingErrors/>
  <w:hideGrammaticalErrors/>
  <w:attachedTemplate r:id="rId1"/>
  <w:revisionView w:markup="0"/>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7-12-11 09:31:1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85"/>
    <w:docVar w:name="DQCResult_ModifiedMarkers" w:val="0;0"/>
    <w:docVar w:name="DQCResult_ModifiedNumbering" w:val="0;0"/>
    <w:docVar w:name="DQCResult_Objects" w:val="0;0"/>
    <w:docVar w:name="DQCResult_Sections" w:val="0;0"/>
    <w:docVar w:name="DQCResult_StructureCheck" w:val="0;0"/>
    <w:docVar w:name="DQCResult_SuperfluousWhitespace" w:val="0;35"/>
    <w:docVar w:name="DQCResult_UnknownFonts" w:val="0;0"/>
    <w:docVar w:name="DQCResult_UnknownStyles" w:val="0;1"/>
    <w:docVar w:name="DQCStatus" w:val="Green"/>
    <w:docVar w:name="DQCVersion" w:val="3"/>
    <w:docVar w:name="DQCWithWarnings" w:val="0"/>
    <w:docVar w:name="LW_CORRIGENDUM" w:val="&lt;UNUSED&gt;"/>
    <w:docVar w:name="LW_COVERPAGE_EXISTS" w:val="True"/>
    <w:docVar w:name="LW_COVERPAGE_GUID" w:val="0D3BBC59-5376-4C2B-ABE2-254291174279"/>
    <w:docVar w:name="LW_COVERPAGE_TYPE" w:val="1"/>
    <w:docVar w:name="LW_CROSSREFERENCE" w:val="&lt;UNUSED&gt;"/>
    <w:docVar w:name="LW_DocType" w:val="COM"/>
    <w:docVar w:name="LW_EMISSION" w:val="23.11.2017"/>
    <w:docVar w:name="LW_EMISSION_ISODATE" w:val="2017-11-23"/>
    <w:docVar w:name="LW_EMISSION_LOCATION" w:val="BRX"/>
    <w:docVar w:name="LW_EMISSION_PREFIX" w:val="Brüssel,"/>
    <w:docVar w:name="LW_EMISSION_SUFFIX" w:val="&lt;EMPTY&gt;"/>
    <w:docVar w:name="LW_ID_DOCMODEL" w:val="SJ-025"/>
    <w:docVar w:name="LW_ID_DOCSIGNATURE" w:val="SJ-025"/>
    <w:docVar w:name="LW_ID_DOCSTRUCTURE" w:val="COM/PL/ORG"/>
    <w:docVar w:name="LW_ID_DOCTYPE" w:val="SJ-025"/>
    <w:docVar w:name="LW_ID_EXP.MOTIFS.NEW" w:val="EM_PL_"/>
    <w:docVar w:name="LW_ID_STATUT" w:val="SJ-025"/>
    <w:docVar w:name="LW_INTERETEEE.CP" w:val="&lt;UNUSED&g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COD"/>
    <w:docVar w:name="LW_REF.II.NEW.CP_NUMBER" w:val="0309"/>
    <w:docVar w:name="LW_REF.II.NEW.CP_YEAR" w:val="2017"/>
    <w:docVar w:name="LW_REF.INST.NEW" w:val="COM"/>
    <w:docVar w:name="LW_REF.INST.NEW_ADOPTED" w:val="final"/>
    <w:docVar w:name="LW_REF.INST.NEW_TEXT" w:val="(2017) 77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Ettepanek:"/>
    <w:docVar w:name="LW_SUPERTITRE" w:val="&lt;UNUSED&gt;"/>
    <w:docVar w:name="LW_TITRE.OBJ.CP" w:val="millega muudetakse otsust nr 1313/2013/EL liidu kodanikukaitse mehhanismi kohta"/>
    <w:docVar w:name="LW_TYPE.DOC.CP" w:val="EUROOPA PARLAMENDI JA NÕUKOGU OTSU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t-EE"/>
    </w:rPr>
  </w:style>
  <w:style w:type="paragraph" w:styleId="ListParagraph">
    <w:name w:val="List Paragraph"/>
    <w:basedOn w:val="Normal"/>
    <w:uiPriority w:val="34"/>
    <w:qFormat/>
    <w:pPr>
      <w:spacing w:before="0" w:after="240"/>
      <w:ind w:left="720"/>
      <w:contextualSpacing/>
    </w:pPr>
    <w:rPr>
      <w:rFonts w:eastAsia="Times New Roman"/>
      <w:szCs w:val="20"/>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t-EE"/>
    </w:rPr>
  </w:style>
  <w:style w:type="paragraph" w:customStyle="1" w:styleId="normal2">
    <w:name w:val="normal2"/>
    <w:basedOn w:val="Normal"/>
    <w:pPr>
      <w:spacing w:after="0" w:line="312" w:lineRule="atLeast"/>
    </w:pPr>
    <w:rPr>
      <w:rFonts w:eastAsia="Times New Roman"/>
      <w:szCs w:val="24"/>
    </w:rPr>
  </w:style>
  <w:style w:type="paragraph" w:styleId="ListNumber2">
    <w:name w:val="List Number 2"/>
    <w:basedOn w:val="Normal"/>
    <w:uiPriority w:val="99"/>
    <w:semiHidden/>
    <w:unhideWhenUsed/>
    <w:pPr>
      <w:numPr>
        <w:numId w:val="1"/>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nhideWhenUsed/>
    <w:pPr>
      <w:numPr>
        <w:numId w:val="3"/>
      </w:numPr>
      <w:contextualSpacing/>
    </w:pPr>
  </w:style>
  <w:style w:type="paragraph" w:styleId="ListBullet2">
    <w:name w:val="List Bullet 2"/>
    <w:basedOn w:val="Normal"/>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t-EE"/>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ListBullet1">
    <w:name w:val="List Bullet 1"/>
    <w:basedOn w:val="Normal"/>
    <w:pPr>
      <w:numPr>
        <w:numId w:val="12"/>
      </w:numPr>
    </w:pPr>
    <w:rPr>
      <w:rFonts w:eastAsia="Times New Roman"/>
    </w:rPr>
  </w:style>
  <w:style w:type="paragraph" w:customStyle="1" w:styleId="ListDash1">
    <w:name w:val="List Dash 1"/>
    <w:basedOn w:val="Normal"/>
    <w:pPr>
      <w:numPr>
        <w:numId w:val="13"/>
      </w:numPr>
    </w:pPr>
    <w:rPr>
      <w:rFonts w:eastAsia="Times New Roman"/>
    </w:rPr>
  </w:style>
  <w:style w:type="paragraph" w:customStyle="1" w:styleId="ListDash2">
    <w:name w:val="List Dash 2"/>
    <w:basedOn w:val="Normal"/>
    <w:pPr>
      <w:numPr>
        <w:numId w:val="14"/>
      </w:numPr>
    </w:pPr>
    <w:rPr>
      <w:rFonts w:eastAsia="Times New Roman"/>
    </w:rPr>
  </w:style>
  <w:style w:type="paragraph" w:customStyle="1" w:styleId="ListNumberLevel2">
    <w:name w:val="List Number (Level 2)"/>
    <w:basedOn w:val="Normal"/>
    <w:pPr>
      <w:tabs>
        <w:tab w:val="num" w:pos="1417"/>
      </w:tabs>
      <w:ind w:left="1417" w:hanging="708"/>
    </w:pPr>
    <w:rPr>
      <w:rFonts w:eastAsia="Times New Roman"/>
    </w:rPr>
  </w:style>
  <w:style w:type="paragraph" w:customStyle="1" w:styleId="ListNumberLevel3">
    <w:name w:val="List Number (Level 3)"/>
    <w:basedOn w:val="Normal"/>
    <w:pPr>
      <w:tabs>
        <w:tab w:val="num" w:pos="2126"/>
      </w:tabs>
      <w:ind w:left="2126" w:hanging="709"/>
    </w:pPr>
    <w:rPr>
      <w:rFonts w:eastAsia="Times New Roman"/>
    </w:rPr>
  </w:style>
  <w:style w:type="paragraph" w:customStyle="1" w:styleId="ListNumberLevel4">
    <w:name w:val="List Number (Level 4)"/>
    <w:basedOn w:val="Normal"/>
    <w:pPr>
      <w:tabs>
        <w:tab w:val="num" w:pos="2835"/>
      </w:tabs>
      <w:ind w:left="2835" w:hanging="709"/>
    </w:pPr>
    <w:rPr>
      <w:rFonts w:eastAsia="Times New Roman"/>
    </w:rPr>
  </w:style>
  <w:style w:type="character" w:styleId="FollowedHyperlink">
    <w:name w:val="FollowedHyperlink"/>
    <w:basedOn w:val="DefaultParagraphFont"/>
    <w:uiPriority w:val="99"/>
    <w:semiHidden/>
    <w:unhideWhenUsed/>
    <w:rPr>
      <w:color w:val="800080" w:themeColor="followedHyperlink"/>
      <w:u w:val="single"/>
    </w:rPr>
  </w:style>
  <w:style w:type="character" w:styleId="PageNumber">
    <w:name w:val="page number"/>
    <w:rPr>
      <w:rFonts w:cs="Times New Roman"/>
      <w:lang w:val="et-EE" w:eastAsia="et-E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5"/>
      </w:numPr>
    </w:pPr>
  </w:style>
  <w:style w:type="paragraph" w:customStyle="1" w:styleId="NumPar2">
    <w:name w:val="NumPar 2"/>
    <w:basedOn w:val="Normal"/>
    <w:next w:val="Text1"/>
    <w:pPr>
      <w:numPr>
        <w:ilvl w:val="1"/>
        <w:numId w:val="35"/>
      </w:numPr>
    </w:pPr>
  </w:style>
  <w:style w:type="paragraph" w:customStyle="1" w:styleId="NumPar3">
    <w:name w:val="NumPar 3"/>
    <w:basedOn w:val="Normal"/>
    <w:next w:val="Text1"/>
    <w:pPr>
      <w:numPr>
        <w:ilvl w:val="2"/>
        <w:numId w:val="35"/>
      </w:numPr>
    </w:pPr>
  </w:style>
  <w:style w:type="paragraph" w:customStyle="1" w:styleId="NumPar4">
    <w:name w:val="NumPar 4"/>
    <w:basedOn w:val="Normal"/>
    <w:next w:val="Text1"/>
    <w:pPr>
      <w:numPr>
        <w:ilvl w:val="3"/>
        <w:numId w:val="3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7"/>
      </w:numPr>
    </w:pPr>
  </w:style>
  <w:style w:type="paragraph" w:customStyle="1" w:styleId="Point1number">
    <w:name w:val="Point 1 (number)"/>
    <w:basedOn w:val="Normal"/>
    <w:pPr>
      <w:numPr>
        <w:ilvl w:val="2"/>
        <w:numId w:val="37"/>
      </w:numPr>
    </w:pPr>
  </w:style>
  <w:style w:type="paragraph" w:customStyle="1" w:styleId="Point2number">
    <w:name w:val="Point 2 (number)"/>
    <w:basedOn w:val="Normal"/>
    <w:pPr>
      <w:numPr>
        <w:ilvl w:val="4"/>
        <w:numId w:val="37"/>
      </w:numPr>
    </w:pPr>
  </w:style>
  <w:style w:type="paragraph" w:customStyle="1" w:styleId="Point3number">
    <w:name w:val="Point 3 (number)"/>
    <w:basedOn w:val="Normal"/>
    <w:pPr>
      <w:numPr>
        <w:ilvl w:val="6"/>
        <w:numId w:val="37"/>
      </w:numPr>
    </w:pPr>
  </w:style>
  <w:style w:type="paragraph" w:customStyle="1" w:styleId="Point0letter">
    <w:name w:val="Point 0 (letter)"/>
    <w:basedOn w:val="Normal"/>
    <w:pPr>
      <w:numPr>
        <w:ilvl w:val="1"/>
        <w:numId w:val="37"/>
      </w:numPr>
    </w:pPr>
  </w:style>
  <w:style w:type="paragraph" w:customStyle="1" w:styleId="Point1letter">
    <w:name w:val="Point 1 (letter)"/>
    <w:basedOn w:val="Normal"/>
    <w:pPr>
      <w:numPr>
        <w:ilvl w:val="3"/>
        <w:numId w:val="37"/>
      </w:numPr>
    </w:pPr>
  </w:style>
  <w:style w:type="paragraph" w:customStyle="1" w:styleId="Point2letter">
    <w:name w:val="Point 2 (letter)"/>
    <w:basedOn w:val="Normal"/>
    <w:pPr>
      <w:numPr>
        <w:ilvl w:val="5"/>
        <w:numId w:val="37"/>
      </w:numPr>
    </w:pPr>
  </w:style>
  <w:style w:type="paragraph" w:customStyle="1" w:styleId="Point3letter">
    <w:name w:val="Point 3 (letter)"/>
    <w:basedOn w:val="Normal"/>
    <w:pPr>
      <w:numPr>
        <w:ilvl w:val="7"/>
        <w:numId w:val="37"/>
      </w:numPr>
    </w:pPr>
  </w:style>
  <w:style w:type="paragraph" w:customStyle="1" w:styleId="Point4letter">
    <w:name w:val="Point 4 (letter)"/>
    <w:basedOn w:val="Normal"/>
    <w:pPr>
      <w:numPr>
        <w:ilvl w:val="8"/>
        <w:numId w:val="37"/>
      </w:numPr>
    </w:pPr>
  </w:style>
  <w:style w:type="paragraph" w:customStyle="1" w:styleId="Bullet0">
    <w:name w:val="Bullet 0"/>
    <w:basedOn w:val="Normal"/>
    <w:pPr>
      <w:numPr>
        <w:numId w:val="38"/>
      </w:numPr>
    </w:pPr>
  </w:style>
  <w:style w:type="paragraph" w:customStyle="1" w:styleId="Bullet1">
    <w:name w:val="Bullet 1"/>
    <w:basedOn w:val="Normal"/>
    <w:pPr>
      <w:numPr>
        <w:numId w:val="39"/>
      </w:numPr>
    </w:pPr>
  </w:style>
  <w:style w:type="paragraph" w:customStyle="1" w:styleId="Bullet2">
    <w:name w:val="Bullet 2"/>
    <w:basedOn w:val="Normal"/>
    <w:pPr>
      <w:numPr>
        <w:numId w:val="40"/>
      </w:numPr>
    </w:pPr>
  </w:style>
  <w:style w:type="paragraph" w:customStyle="1" w:styleId="Bullet3">
    <w:name w:val="Bullet 3"/>
    <w:basedOn w:val="Normal"/>
    <w:pPr>
      <w:numPr>
        <w:numId w:val="41"/>
      </w:numPr>
    </w:pPr>
  </w:style>
  <w:style w:type="paragraph" w:customStyle="1" w:styleId="Bullet4">
    <w:name w:val="Bullet 4"/>
    <w:basedOn w:val="Normal"/>
    <w:pPr>
      <w:numPr>
        <w:numId w:val="4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t-EE"/>
    </w:rPr>
  </w:style>
  <w:style w:type="paragraph" w:styleId="ListParagraph">
    <w:name w:val="List Paragraph"/>
    <w:basedOn w:val="Normal"/>
    <w:uiPriority w:val="34"/>
    <w:qFormat/>
    <w:pPr>
      <w:spacing w:before="0" w:after="240"/>
      <w:ind w:left="720"/>
      <w:contextualSpacing/>
    </w:pPr>
    <w:rPr>
      <w:rFonts w:eastAsia="Times New Roman"/>
      <w:szCs w:val="20"/>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t-EE"/>
    </w:rPr>
  </w:style>
  <w:style w:type="paragraph" w:customStyle="1" w:styleId="normal2">
    <w:name w:val="normal2"/>
    <w:basedOn w:val="Normal"/>
    <w:pPr>
      <w:spacing w:after="0" w:line="312" w:lineRule="atLeast"/>
    </w:pPr>
    <w:rPr>
      <w:rFonts w:eastAsia="Times New Roman"/>
      <w:szCs w:val="24"/>
    </w:rPr>
  </w:style>
  <w:style w:type="paragraph" w:styleId="ListNumber2">
    <w:name w:val="List Number 2"/>
    <w:basedOn w:val="Normal"/>
    <w:uiPriority w:val="99"/>
    <w:semiHidden/>
    <w:unhideWhenUsed/>
    <w:pPr>
      <w:numPr>
        <w:numId w:val="1"/>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nhideWhenUsed/>
    <w:pPr>
      <w:numPr>
        <w:numId w:val="3"/>
      </w:numPr>
      <w:contextualSpacing/>
    </w:pPr>
  </w:style>
  <w:style w:type="paragraph" w:styleId="ListBullet2">
    <w:name w:val="List Bullet 2"/>
    <w:basedOn w:val="Normal"/>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t-EE"/>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ListBullet1">
    <w:name w:val="List Bullet 1"/>
    <w:basedOn w:val="Normal"/>
    <w:pPr>
      <w:numPr>
        <w:numId w:val="12"/>
      </w:numPr>
    </w:pPr>
    <w:rPr>
      <w:rFonts w:eastAsia="Times New Roman"/>
    </w:rPr>
  </w:style>
  <w:style w:type="paragraph" w:customStyle="1" w:styleId="ListDash1">
    <w:name w:val="List Dash 1"/>
    <w:basedOn w:val="Normal"/>
    <w:pPr>
      <w:numPr>
        <w:numId w:val="13"/>
      </w:numPr>
    </w:pPr>
    <w:rPr>
      <w:rFonts w:eastAsia="Times New Roman"/>
    </w:rPr>
  </w:style>
  <w:style w:type="paragraph" w:customStyle="1" w:styleId="ListDash2">
    <w:name w:val="List Dash 2"/>
    <w:basedOn w:val="Normal"/>
    <w:pPr>
      <w:numPr>
        <w:numId w:val="14"/>
      </w:numPr>
    </w:pPr>
    <w:rPr>
      <w:rFonts w:eastAsia="Times New Roman"/>
    </w:rPr>
  </w:style>
  <w:style w:type="paragraph" w:customStyle="1" w:styleId="ListNumberLevel2">
    <w:name w:val="List Number (Level 2)"/>
    <w:basedOn w:val="Normal"/>
    <w:pPr>
      <w:tabs>
        <w:tab w:val="num" w:pos="1417"/>
      </w:tabs>
      <w:ind w:left="1417" w:hanging="708"/>
    </w:pPr>
    <w:rPr>
      <w:rFonts w:eastAsia="Times New Roman"/>
    </w:rPr>
  </w:style>
  <w:style w:type="paragraph" w:customStyle="1" w:styleId="ListNumberLevel3">
    <w:name w:val="List Number (Level 3)"/>
    <w:basedOn w:val="Normal"/>
    <w:pPr>
      <w:tabs>
        <w:tab w:val="num" w:pos="2126"/>
      </w:tabs>
      <w:ind w:left="2126" w:hanging="709"/>
    </w:pPr>
    <w:rPr>
      <w:rFonts w:eastAsia="Times New Roman"/>
    </w:rPr>
  </w:style>
  <w:style w:type="paragraph" w:customStyle="1" w:styleId="ListNumberLevel4">
    <w:name w:val="List Number (Level 4)"/>
    <w:basedOn w:val="Normal"/>
    <w:pPr>
      <w:tabs>
        <w:tab w:val="num" w:pos="2835"/>
      </w:tabs>
      <w:ind w:left="2835" w:hanging="709"/>
    </w:pPr>
    <w:rPr>
      <w:rFonts w:eastAsia="Times New Roman"/>
    </w:rPr>
  </w:style>
  <w:style w:type="character" w:styleId="FollowedHyperlink">
    <w:name w:val="FollowedHyperlink"/>
    <w:basedOn w:val="DefaultParagraphFont"/>
    <w:uiPriority w:val="99"/>
    <w:semiHidden/>
    <w:unhideWhenUsed/>
    <w:rPr>
      <w:color w:val="800080" w:themeColor="followedHyperlink"/>
      <w:u w:val="single"/>
    </w:rPr>
  </w:style>
  <w:style w:type="character" w:styleId="PageNumber">
    <w:name w:val="page number"/>
    <w:rPr>
      <w:rFonts w:cs="Times New Roman"/>
      <w:lang w:val="et-EE" w:eastAsia="et-E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5"/>
      </w:numPr>
    </w:pPr>
  </w:style>
  <w:style w:type="paragraph" w:customStyle="1" w:styleId="NumPar2">
    <w:name w:val="NumPar 2"/>
    <w:basedOn w:val="Normal"/>
    <w:next w:val="Text1"/>
    <w:pPr>
      <w:numPr>
        <w:ilvl w:val="1"/>
        <w:numId w:val="35"/>
      </w:numPr>
    </w:pPr>
  </w:style>
  <w:style w:type="paragraph" w:customStyle="1" w:styleId="NumPar3">
    <w:name w:val="NumPar 3"/>
    <w:basedOn w:val="Normal"/>
    <w:next w:val="Text1"/>
    <w:pPr>
      <w:numPr>
        <w:ilvl w:val="2"/>
        <w:numId w:val="35"/>
      </w:numPr>
    </w:pPr>
  </w:style>
  <w:style w:type="paragraph" w:customStyle="1" w:styleId="NumPar4">
    <w:name w:val="NumPar 4"/>
    <w:basedOn w:val="Normal"/>
    <w:next w:val="Text1"/>
    <w:pPr>
      <w:numPr>
        <w:ilvl w:val="3"/>
        <w:numId w:val="3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7"/>
      </w:numPr>
    </w:pPr>
  </w:style>
  <w:style w:type="paragraph" w:customStyle="1" w:styleId="Point1number">
    <w:name w:val="Point 1 (number)"/>
    <w:basedOn w:val="Normal"/>
    <w:pPr>
      <w:numPr>
        <w:ilvl w:val="2"/>
        <w:numId w:val="37"/>
      </w:numPr>
    </w:pPr>
  </w:style>
  <w:style w:type="paragraph" w:customStyle="1" w:styleId="Point2number">
    <w:name w:val="Point 2 (number)"/>
    <w:basedOn w:val="Normal"/>
    <w:pPr>
      <w:numPr>
        <w:ilvl w:val="4"/>
        <w:numId w:val="37"/>
      </w:numPr>
    </w:pPr>
  </w:style>
  <w:style w:type="paragraph" w:customStyle="1" w:styleId="Point3number">
    <w:name w:val="Point 3 (number)"/>
    <w:basedOn w:val="Normal"/>
    <w:pPr>
      <w:numPr>
        <w:ilvl w:val="6"/>
        <w:numId w:val="37"/>
      </w:numPr>
    </w:pPr>
  </w:style>
  <w:style w:type="paragraph" w:customStyle="1" w:styleId="Point0letter">
    <w:name w:val="Point 0 (letter)"/>
    <w:basedOn w:val="Normal"/>
    <w:pPr>
      <w:numPr>
        <w:ilvl w:val="1"/>
        <w:numId w:val="37"/>
      </w:numPr>
    </w:pPr>
  </w:style>
  <w:style w:type="paragraph" w:customStyle="1" w:styleId="Point1letter">
    <w:name w:val="Point 1 (letter)"/>
    <w:basedOn w:val="Normal"/>
    <w:pPr>
      <w:numPr>
        <w:ilvl w:val="3"/>
        <w:numId w:val="37"/>
      </w:numPr>
    </w:pPr>
  </w:style>
  <w:style w:type="paragraph" w:customStyle="1" w:styleId="Point2letter">
    <w:name w:val="Point 2 (letter)"/>
    <w:basedOn w:val="Normal"/>
    <w:pPr>
      <w:numPr>
        <w:ilvl w:val="5"/>
        <w:numId w:val="37"/>
      </w:numPr>
    </w:pPr>
  </w:style>
  <w:style w:type="paragraph" w:customStyle="1" w:styleId="Point3letter">
    <w:name w:val="Point 3 (letter)"/>
    <w:basedOn w:val="Normal"/>
    <w:pPr>
      <w:numPr>
        <w:ilvl w:val="7"/>
        <w:numId w:val="37"/>
      </w:numPr>
    </w:pPr>
  </w:style>
  <w:style w:type="paragraph" w:customStyle="1" w:styleId="Point4letter">
    <w:name w:val="Point 4 (letter)"/>
    <w:basedOn w:val="Normal"/>
    <w:pPr>
      <w:numPr>
        <w:ilvl w:val="8"/>
        <w:numId w:val="37"/>
      </w:numPr>
    </w:pPr>
  </w:style>
  <w:style w:type="paragraph" w:customStyle="1" w:styleId="Bullet0">
    <w:name w:val="Bullet 0"/>
    <w:basedOn w:val="Normal"/>
    <w:pPr>
      <w:numPr>
        <w:numId w:val="38"/>
      </w:numPr>
    </w:pPr>
  </w:style>
  <w:style w:type="paragraph" w:customStyle="1" w:styleId="Bullet1">
    <w:name w:val="Bullet 1"/>
    <w:basedOn w:val="Normal"/>
    <w:pPr>
      <w:numPr>
        <w:numId w:val="39"/>
      </w:numPr>
    </w:pPr>
  </w:style>
  <w:style w:type="paragraph" w:customStyle="1" w:styleId="Bullet2">
    <w:name w:val="Bullet 2"/>
    <w:basedOn w:val="Normal"/>
    <w:pPr>
      <w:numPr>
        <w:numId w:val="40"/>
      </w:numPr>
    </w:pPr>
  </w:style>
  <w:style w:type="paragraph" w:customStyle="1" w:styleId="Bullet3">
    <w:name w:val="Bullet 3"/>
    <w:basedOn w:val="Normal"/>
    <w:pPr>
      <w:numPr>
        <w:numId w:val="41"/>
      </w:numPr>
    </w:pPr>
  </w:style>
  <w:style w:type="paragraph" w:customStyle="1" w:styleId="Bullet4">
    <w:name w:val="Bullet 4"/>
    <w:basedOn w:val="Normal"/>
    <w:pPr>
      <w:numPr>
        <w:numId w:val="4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c.cec/budg/man/budgmanag/budgmanag_en.html" TargetMode="External"/><Relationship Id="rId1" Type="http://schemas.openxmlformats.org/officeDocument/2006/relationships/hyperlink" Target="http://ec.europa.eu/echo/EUCPM-consult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E7596-DCFC-4EF6-AFFD-03F57400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34</Pages>
  <Words>8432</Words>
  <Characters>65183</Characters>
  <Application>Microsoft Office Word</Application>
  <DocSecurity>0</DocSecurity>
  <Lines>2036</Lines>
  <Paragraphs>1115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2017-11-18T13:25:00Z</cp:lastPrinted>
  <dcterms:created xsi:type="dcterms:W3CDTF">2017-12-08T12:40:00Z</dcterms:created>
  <dcterms:modified xsi:type="dcterms:W3CDTF">2017-12-11T08:31:00Z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SJ-025</vt:lpwstr>
  </property>
  <property fmtid="{D5CDD505-2E9C-101B-9397-08002B2CF9AE}" pid="10" name="DQCStatus">
    <vt:lpwstr>Green (DQC version 03)</vt:lpwstr>
  </property>
  <property name="OP_sanitized" fmtid="{D5CDD505-2E9C-101B-9397-08002B2CF9AE}" pid="11">
    <vt:lpwstr>True</vt:lpwstr>
  </property>
</Properties>
</file>