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54EAF0212834D58AF9AD78136EE4182" style="width:450.8pt;height:351.9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SELETUSKIRI</w:t>
      </w:r>
    </w:p>
    <w:p>
      <w:pPr>
        <w:pBdr>
          <w:top w:val="nil"/>
          <w:left w:val="nil"/>
          <w:bottom w:val="nil"/>
          <w:right w:val="nil"/>
          <w:between w:val="nil"/>
          <w:bar w:val="nil"/>
        </w:pBdr>
        <w:spacing w:before="0" w:after="240"/>
        <w:rPr>
          <w:rFonts w:eastAsia="Arial Unicode MS"/>
          <w:noProof/>
        </w:rPr>
      </w:pPr>
      <w:r>
        <w:rPr>
          <w:noProof/>
        </w:rPr>
        <w:t>Vastavalt 28. novembri 2006. aasta direktiivi 2006/112/EÜ (mis käsitleb ühist käibemaksusüsteemi) (edaspidi „käibemaksudirektiiv“) artikli 395 lõikele 1 võib nõukogu ühehäälselt komisjoni ettepaneku põhjal anda igale liikmesriigile loa võtta erimeetmeid kõnealuse direktiivi sätetest erandite tegemiseks, et lihtsustada käibemaksu kogumist või hoida ära teatavat liiki maksudest kõrvalehoidumist või maksustamise vältimist.</w:t>
      </w:r>
    </w:p>
    <w:p>
      <w:pPr>
        <w:pBdr>
          <w:top w:val="nil"/>
          <w:left w:val="nil"/>
          <w:bottom w:val="nil"/>
          <w:right w:val="nil"/>
          <w:between w:val="nil"/>
          <w:bar w:val="nil"/>
        </w:pBdr>
        <w:spacing w:before="0" w:after="240"/>
        <w:rPr>
          <w:noProof/>
          <w:color w:val="008000"/>
        </w:rPr>
      </w:pPr>
      <w:r>
        <w:rPr>
          <w:noProof/>
        </w:rPr>
        <w:t>Kirjas, mille komisjon registreeris 7. oktoobril 2016, taotles Poola erandit käibemaksudirektiivi artiklist 193, et kohaldada pöördmaksustamist kõvaketaste, nt pooljuhtketaste (SSD) ja kõvakettaseadmete (HDD) suhtes. Käibemaksudirektiivi artikli 395 lõike 2 kohaselt teavitas komisjon 12. ja 13. juuli 2017. aasta kirjadega teisi liikmesriike Poola taotlusest. Komisjon teatas 13. juuli 2017. aasta kirjas Poolale, et tal on taotluse hindamiseks kogu vajalik teave.</w:t>
      </w:r>
    </w:p>
    <w:p>
      <w:pPr>
        <w:pStyle w:val="ManualHeading1"/>
        <w:rPr>
          <w:noProof/>
        </w:rPr>
      </w:pPr>
      <w:r>
        <w:rPr>
          <w:noProof/>
        </w:rPr>
        <w:t>1.</w:t>
      </w:r>
      <w:r>
        <w:rPr>
          <w:noProof/>
        </w:rPr>
        <w:tab/>
        <w:t>ETTEPANEKU TAUST</w:t>
      </w:r>
    </w:p>
    <w:p>
      <w:pPr>
        <w:pStyle w:val="ManualHeading2"/>
        <w:rPr>
          <w:rFonts w:eastAsia="Arial Unicode MS"/>
          <w:noProof/>
        </w:rPr>
      </w:pPr>
      <w:r>
        <w:rPr>
          <w:noProof/>
          <w:color w:val="000000"/>
          <w:u w:color="000000"/>
          <w:bdr w:val="nil"/>
        </w:rPr>
        <w:t>•</w:t>
      </w:r>
      <w:r>
        <w:rPr>
          <w:noProof/>
        </w:rPr>
        <w:tab/>
        <w:t>Ettepaneku põhjused ja eesmärgid</w:t>
      </w:r>
    </w:p>
    <w:p>
      <w:pPr>
        <w:pBdr>
          <w:top w:val="nil"/>
          <w:left w:val="nil"/>
          <w:bottom w:val="nil"/>
          <w:right w:val="nil"/>
          <w:between w:val="nil"/>
          <w:bar w:val="nil"/>
        </w:pBdr>
        <w:spacing w:before="0" w:after="240"/>
        <w:rPr>
          <w:rFonts w:eastAsia="Arial Unicode MS"/>
          <w:noProof/>
        </w:rPr>
      </w:pPr>
      <w:r>
        <w:rPr>
          <w:noProof/>
        </w:rPr>
        <w:t>Käibemaksudirektiivi artiklis 193 on sätestatud, et tavaliselt tasub käibemaksu kaupu tarniv või teenuseid osutav maksukohustuslane.</w:t>
      </w:r>
    </w:p>
    <w:p>
      <w:pPr>
        <w:rPr>
          <w:noProof/>
        </w:rPr>
      </w:pPr>
      <w:r>
        <w:rPr>
          <w:noProof/>
        </w:rPr>
        <w:t xml:space="preserve">Käibemaksudirektiivi artikli 395 kohaselt taotleb Poola erandit käibemaksudirektiivi artiklist 193, et saada luba kohaldada pöördmaksustamist kõikide kõvaketaste (sh SSD ja HDD) suhtes, mis ei ole hõlmatud käibemaksudirektiivi artikliga 199a. Selle menetluse kohaselt vastutab maksukohustuslane, kellele tarneid tehakse, käibemaksu maksmise eest. Samal ajal kõnealune maksukohustuslane deklareeriks ja arvaks maha tarnele vastava käibemaksu, kui tal oleks täielik mahaarvamisõigus, mis viiks selleni, et riigikassasse käibemaksu tegelikult ei laekuks. </w:t>
      </w:r>
    </w:p>
    <w:p>
      <w:pPr>
        <w:pBdr>
          <w:top w:val="nil"/>
          <w:left w:val="nil"/>
          <w:bottom w:val="nil"/>
          <w:right w:val="nil"/>
          <w:between w:val="nil"/>
          <w:bar w:val="nil"/>
        </w:pBdr>
        <w:spacing w:before="0" w:after="240"/>
        <w:rPr>
          <w:rFonts w:eastAsia="Arial Unicode MS"/>
          <w:noProof/>
        </w:rPr>
      </w:pPr>
      <w:r>
        <w:rPr>
          <w:noProof/>
        </w:rPr>
        <w:t xml:space="preserve">Poola taotleb erandit, et takistada käibemaksupettuste edasist levikut kõvaketaste sektoris. Paljude elektroonikatoodete suhtes kohaldatakse Poolas pöördmaksustamise mehhanismi, mis põhineb käibemaksudirektiivi artiklil 199a (nutitelefonid, sülearvutid, videomängukonsoolid jne ning hiljuti protsessorid). Pärast pöördmaksustamise mehhanismi rakendamist viimati nimetatud toodete suhtes, hakati Poola sõnul elektrooniliste toodete kategoorias kasutama käibemaksupettuste sooritamiseks kõvakettaid. Käibemaksupettused hakkasid kõvaketaste turul kasvama, kui hakati kasutama „puuduva lüli“ (MTIC) mehhanismi. Selle tava mahul ja ulatusel on väga negatiivne mõju tarnijatele, kes ei osale pettuses, ja see võib vähendada käibemaksutulu. </w:t>
      </w:r>
    </w:p>
    <w:p>
      <w:pPr>
        <w:pBdr>
          <w:top w:val="nil"/>
          <w:left w:val="nil"/>
          <w:bottom w:val="nil"/>
          <w:right w:val="nil"/>
          <w:between w:val="nil"/>
          <w:bar w:val="nil"/>
        </w:pBdr>
        <w:spacing w:before="0" w:after="240"/>
        <w:rPr>
          <w:rFonts w:eastAsia="Arial Unicode MS"/>
          <w:noProof/>
        </w:rPr>
      </w:pPr>
      <w:r>
        <w:rPr>
          <w:noProof/>
        </w:rPr>
        <w:t xml:space="preserve">Tuginedes Poola esitatud teabele, koosneb pettuse mehhanism ettevõtjatest, kes registreerivad üksused konkreetsele aadressile ja esitavad maksudeklaratsioone teatava aja jooksul. Kõnealused üksused ootavad õiget aega, et teha mõni suur omamaine müük, kogudes käibemaksu oma klientidelt ja sulgedes ettevõtte, maksmata riigieelarvesse käibemaksu. Enamikul juhtudel on kõnealuseid üksusi võimatu kontrollida, sest virtuaalsete büroode tõttu on keeruline leida nende tegelikku tegevuskohta ja tegevuses osalevaid inimesi, registrijärgset asukohta muudetakse sageli, sooritatud tehingute dokumendid puuduvad jne. </w:t>
      </w:r>
    </w:p>
    <w:p>
      <w:pPr>
        <w:pBdr>
          <w:top w:val="nil"/>
          <w:left w:val="nil"/>
          <w:bottom w:val="nil"/>
          <w:right w:val="nil"/>
          <w:between w:val="nil"/>
          <w:bar w:val="nil"/>
        </w:pBdr>
        <w:spacing w:before="0" w:after="240"/>
        <w:rPr>
          <w:rFonts w:eastAsia="Arial Unicode MS"/>
          <w:noProof/>
        </w:rPr>
      </w:pPr>
      <w:r>
        <w:rPr>
          <w:noProof/>
        </w:rPr>
        <w:t xml:space="preserve">Poola on võtnud sellist liiki pettustega võitlemiseks mitmeid meetmeid (maksuameti reform, et koondada vahendid pettusevastaseks võitluseks, ühtse auditi toimiku kehtestamine, kohustuslikud igakuised käibemaksudeklaratsioonid, halduskaristuste kehtestamine jne), ning kavandatakse ka edasisi reforme (nt vabatahtlik jagatud maksete süsteem). Kuni meetmed annavad tõhusaid tulemusi, leiab Poola, et on vaja täiendavat toetust ajutise meetmena nagu siseriiklik pöördmaksustamismehhanism. </w:t>
      </w:r>
    </w:p>
    <w:p>
      <w:pPr>
        <w:rPr>
          <w:noProof/>
        </w:rPr>
      </w:pPr>
      <w:r>
        <w:rPr>
          <w:noProof/>
        </w:rPr>
        <w:t xml:space="preserve">Tehakse ettepanek lubada erand alates 1. jaanuarist 2018 kuni 31. detsembrini 2020. Kui erandi kehtivusaja lõpuni peaksid Poola võetavad meetmed andma oodatavaid tulemusi, ei ole vaja enam teha erandeid käibemaksudirektiivi artiklist 193 seoses tarnitavate kõvaketastega. Erandi pikendamine ei ole seega vajalik. </w:t>
      </w: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rPr>
        <w:t>•</w:t>
      </w:r>
      <w:r>
        <w:rPr>
          <w:noProof/>
        </w:rPr>
        <w:tab/>
        <w:t>Õiguslik alus</w:t>
      </w:r>
    </w:p>
    <w:p>
      <w:pPr>
        <w:rPr>
          <w:noProof/>
        </w:rPr>
      </w:pPr>
      <w:r>
        <w:rPr>
          <w:noProof/>
        </w:rPr>
        <w:t>Käibemaksudirektiivi artikkel 395.</w:t>
      </w:r>
    </w:p>
    <w:p>
      <w:pPr>
        <w:pStyle w:val="ManualHeading2"/>
        <w:rPr>
          <w:rFonts w:eastAsia="Arial Unicode MS"/>
          <w:noProof/>
          <w:u w:color="000000"/>
          <w:bdr w:val="nil"/>
        </w:rPr>
      </w:pPr>
      <w:r>
        <w:rPr>
          <w:noProof/>
        </w:rPr>
        <w:t>•</w:t>
      </w:r>
      <w:r>
        <w:rPr>
          <w:noProof/>
        </w:rPr>
        <w:tab/>
        <w:t xml:space="preserve">Subsidiaarsus (ainupädevusse mittekuuluva valdkonna puhul) </w:t>
      </w:r>
    </w:p>
    <w:p>
      <w:pPr>
        <w:rPr>
          <w:noProof/>
        </w:rPr>
      </w:pPr>
      <w:r>
        <w:rPr>
          <w:noProof/>
        </w:rPr>
        <w:t>Pidades silmas ettepaneku aluseks olevat käibemaksudirektiivi sätet, tehakse ettepanek ELi ainupädevusse kuuluvas valdkonnas. Subsidiaarsuse põhimõtet seetõttu ei kohaldata.</w:t>
      </w:r>
    </w:p>
    <w:p>
      <w:pPr>
        <w:pStyle w:val="ManualHeading2"/>
        <w:rPr>
          <w:rFonts w:eastAsia="Arial Unicode MS"/>
          <w:noProof/>
          <w:u w:color="000000"/>
          <w:bdr w:val="nil"/>
        </w:rPr>
      </w:pPr>
      <w:r>
        <w:rPr>
          <w:noProof/>
        </w:rPr>
        <w:t>•</w:t>
      </w:r>
      <w:r>
        <w:rPr>
          <w:noProof/>
        </w:rPr>
        <w:tab/>
        <w:t>Proportsionaalsus</w:t>
      </w:r>
    </w:p>
    <w:p>
      <w:pPr>
        <w:rPr>
          <w:noProof/>
        </w:rPr>
      </w:pPr>
      <w:r>
        <w:rPr>
          <w:noProof/>
        </w:rPr>
        <w:t>Otsus käsitleb liikmesriigile tema enda taotlusel antud luba ja sellega ei määrata mingeid kohustusi.</w:t>
      </w:r>
    </w:p>
    <w:p>
      <w:pPr>
        <w:rPr>
          <w:noProof/>
        </w:rPr>
      </w:pPr>
      <w:r>
        <w:rPr>
          <w:noProof/>
        </w:rPr>
        <w:t xml:space="preserve">Erandi piiratud ulatust arvestades on erimeede kooskõlas taotletava eesmärgiga, st hoida ära teatavat liiki maksudest kõrvalehoidumist või maksustamise vältimist konkreetses sektoris. </w:t>
      </w:r>
    </w:p>
    <w:p>
      <w:pPr>
        <w:pStyle w:val="ManualHeading2"/>
        <w:rPr>
          <w:rFonts w:eastAsia="Arial Unicode MS"/>
          <w:noProof/>
          <w:u w:color="000000"/>
          <w:bdr w:val="nil"/>
        </w:rPr>
      </w:pPr>
      <w:r>
        <w:rPr>
          <w:noProof/>
        </w:rPr>
        <w:t>•</w:t>
      </w:r>
      <w:r>
        <w:rPr>
          <w:noProof/>
        </w:rPr>
        <w:tab/>
        <w:t>Vahendi valik</w:t>
      </w:r>
    </w:p>
    <w:p>
      <w:pPr>
        <w:rPr>
          <w:noProof/>
        </w:rPr>
      </w:pPr>
      <w:r>
        <w:rPr>
          <w:noProof/>
        </w:rPr>
        <w:t>Käibemaksudirektiivi artikli 395 kohaselt on erandi tegemine ühistest käibemaksueeskirjadest võimalik vaid komisjoni ettepaneku põhjal nõukogus ühehäälselt antud loa alusel. Lisaks on nõukogu otsus sobivaim vahend, sest selle saab adresseerida üksikutele liikmesriikidele.</w:t>
      </w:r>
    </w:p>
    <w:p>
      <w:pPr>
        <w:pStyle w:val="ManualHeading1"/>
        <w:rPr>
          <w:noProof/>
        </w:rPr>
      </w:pPr>
      <w:r>
        <w:rPr>
          <w:noProof/>
        </w:rPr>
        <w:t>3.</w:t>
      </w:r>
      <w:r>
        <w:rPr>
          <w:noProof/>
        </w:rPr>
        <w:tab/>
        <w:t>JÄRELHINDAMISE, SIDUSRÜHMADEGA KONSULTEERIMISE JA MÕJU HINDAMISE TULEMUSED</w:t>
      </w:r>
    </w:p>
    <w:p>
      <w:pPr>
        <w:pStyle w:val="ManualHeading2"/>
        <w:rPr>
          <w:rFonts w:eastAsia="Arial Unicode MS"/>
          <w:noProof/>
          <w:u w:color="000000"/>
          <w:bdr w:val="nil"/>
        </w:rPr>
      </w:pPr>
      <w:r>
        <w:rPr>
          <w:noProof/>
        </w:rPr>
        <w:t>•</w:t>
      </w:r>
      <w:r>
        <w:rPr>
          <w:noProof/>
        </w:rPr>
        <w:tab/>
        <w:t>Konsulteerimine sidusrühmadega</w:t>
      </w:r>
    </w:p>
    <w:p>
      <w:pPr>
        <w:rPr>
          <w:noProof/>
        </w:rPr>
      </w:pPr>
      <w:r>
        <w:rPr>
          <w:noProof/>
        </w:rPr>
        <w:t>Käesolev ettepanek põhineb Poola esitatud taotlusel ja käsitleb ainult kõnealust liikmesriiki.</w:t>
      </w:r>
    </w:p>
    <w:p>
      <w:pPr>
        <w:pStyle w:val="ManualHeading2"/>
        <w:rPr>
          <w:rFonts w:eastAsia="Arial Unicode MS"/>
          <w:noProof/>
          <w:u w:color="000000"/>
          <w:bdr w:val="nil"/>
        </w:rPr>
      </w:pPr>
      <w:r>
        <w:rPr>
          <w:noProof/>
        </w:rPr>
        <w:t>•</w:t>
      </w:r>
      <w:r>
        <w:rPr>
          <w:noProof/>
        </w:rPr>
        <w:tab/>
        <w:t>Eksperdiarvamuste kogumine ja kasutamine</w:t>
      </w:r>
    </w:p>
    <w:p>
      <w:pPr>
        <w:rPr>
          <w:noProof/>
        </w:rPr>
      </w:pPr>
      <w:r>
        <w:rPr>
          <w:noProof/>
        </w:rPr>
        <w:t>Välisekspertide arvamusi ei olnud vaja kasutada.</w:t>
      </w:r>
    </w:p>
    <w:p>
      <w:pPr>
        <w:pStyle w:val="ManualHeading2"/>
        <w:rPr>
          <w:rFonts w:eastAsia="Arial Unicode MS"/>
          <w:noProof/>
          <w:u w:color="000000"/>
          <w:bdr w:val="nil"/>
        </w:rPr>
      </w:pPr>
      <w:r>
        <w:rPr>
          <w:noProof/>
        </w:rPr>
        <w:t>•</w:t>
      </w:r>
      <w:r>
        <w:rPr>
          <w:noProof/>
        </w:rPr>
        <w:tab/>
        <w:t>Mõju hindamine</w:t>
      </w:r>
    </w:p>
    <w:p>
      <w:pPr>
        <w:rPr>
          <w:noProof/>
        </w:rPr>
      </w:pPr>
      <w:r>
        <w:rPr>
          <w:noProof/>
        </w:rPr>
        <w:t xml:space="preserve">Rakendusotsuse ettepaneku eesmärk on hoida ära teatavat liiki maksudest kõrvalehoidumist või maksustamise vältimist kõvaketaste sektoris. Pöördmaksustamise mehhanism peaks aitama Poolal takistada pettuse edasist levikut ja vältida käibemaksupettusi kõvaketaste sektoris. Seega on erandit tegeval meetmel positiivne mõju. </w:t>
      </w:r>
    </w:p>
    <w:p>
      <w:pPr>
        <w:rPr>
          <w:noProof/>
        </w:rPr>
      </w:pPr>
      <w:r>
        <w:rPr>
          <w:noProof/>
        </w:rPr>
        <w:t>Erandi kitsa kohaldamisala ning piiratud kohaldamisaja tõttu on mõju igal juhul piiratud.</w:t>
      </w:r>
    </w:p>
    <w:p>
      <w:pPr>
        <w:pStyle w:val="ManualHeading1"/>
        <w:rPr>
          <w:noProof/>
        </w:rPr>
      </w:pPr>
      <w:r>
        <w:rPr>
          <w:noProof/>
        </w:rPr>
        <w:t>4.</w:t>
      </w:r>
      <w:r>
        <w:rPr>
          <w:noProof/>
        </w:rPr>
        <w:tab/>
        <w:t>MÕJU EELARVELE</w:t>
      </w:r>
    </w:p>
    <w:p>
      <w:pPr>
        <w:rPr>
          <w:noProof/>
        </w:rPr>
      </w:pPr>
      <w:r>
        <w:rPr>
          <w:noProof/>
        </w:rPr>
        <w:t xml:space="preserve">Ettepanek ei mõjuta ELi eelarvet. </w:t>
      </w:r>
    </w:p>
    <w:p>
      <w:pPr>
        <w:pStyle w:val="ManualHeading1"/>
        <w:rPr>
          <w:noProof/>
        </w:rPr>
      </w:pPr>
      <w:r>
        <w:rPr>
          <w:noProof/>
        </w:rPr>
        <w:t>5.</w:t>
      </w:r>
      <w:r>
        <w:rPr>
          <w:noProof/>
        </w:rPr>
        <w:tab/>
        <w:t>MUU TEAVE</w:t>
      </w:r>
    </w:p>
    <w:p>
      <w:pPr>
        <w:rPr>
          <w:noProof/>
        </w:rPr>
      </w:pPr>
      <w:r>
        <w:rPr>
          <w:noProof/>
        </w:rPr>
        <w:t>Ettepanek sisaldab aegumisklauslit, mille tähtpäevaks on 31. detsember 2020.</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2017/0205 (NLE)</w:t>
      </w:r>
    </w:p>
    <w:p>
      <w:pPr>
        <w:pStyle w:val="Statut"/>
        <w:rPr>
          <w:noProof/>
        </w:rPr>
      </w:pPr>
      <w:r>
        <w:rPr>
          <w:noProof/>
        </w:rPr>
        <w:t>Ettepanek:</w:t>
      </w:r>
    </w:p>
    <w:p>
      <w:pPr>
        <w:pStyle w:val="Typedudocument"/>
        <w:rPr>
          <w:noProof/>
        </w:rPr>
      </w:pPr>
      <w:r>
        <w:rPr>
          <w:noProof/>
        </w:rPr>
        <w:t>NÕUKOGU RAKENDUSOTSUS,</w:t>
      </w:r>
    </w:p>
    <w:p>
      <w:pPr>
        <w:pStyle w:val="Titreobjet"/>
        <w:rPr>
          <w:noProof/>
        </w:rPr>
      </w:pPr>
      <w:r>
        <w:rPr>
          <w:noProof/>
        </w:rPr>
        <w:t>mille kohaselt lubatakse Poolal kehtestada erimeede, millega tehakse erand direktiivi 2006/112/EÜ (mis käsitleb ühist käibemaksusüsteemi) artiklist 193</w:t>
      </w:r>
    </w:p>
    <w:p>
      <w:pPr>
        <w:pStyle w:val="Institutionquiagit"/>
        <w:rPr>
          <w:noProof/>
        </w:rPr>
      </w:pPr>
      <w:r>
        <w:rPr>
          <w:noProof/>
        </w:rPr>
        <w:t>EUROOPA LIIDU NÕUKOGU,</w:t>
      </w:r>
    </w:p>
    <w:p>
      <w:pPr>
        <w:rPr>
          <w:noProof/>
        </w:rPr>
      </w:pPr>
      <w:r>
        <w:rPr>
          <w:noProof/>
        </w:rPr>
        <w:t xml:space="preserve">võttes arvesse Euroopa Liidu toimimise lepingut, </w:t>
      </w:r>
    </w:p>
    <w:p>
      <w:pPr>
        <w:rPr>
          <w:noProof/>
        </w:rPr>
      </w:pPr>
      <w:r>
        <w:rPr>
          <w:noProof/>
        </w:rPr>
        <w:t>võttes arvesse nõukogu 28. novembri 2006. aasta direktiivi 2006/112/EÜ,</w:t>
      </w:r>
      <w:r>
        <w:rPr>
          <w:rStyle w:val="FootnoteReference"/>
          <w:noProof/>
        </w:rPr>
        <w:footnoteReference w:id="1"/>
      </w:r>
      <w:r>
        <w:rPr>
          <w:noProof/>
        </w:rPr>
        <w:t xml:space="preserve"> mis käsitleb ühist käibemaksusüsteemi, eriti selle artiklit 395,</w:t>
      </w:r>
    </w:p>
    <w:p>
      <w:pPr>
        <w:rPr>
          <w:noProof/>
        </w:rPr>
      </w:pPr>
      <w:r>
        <w:rPr>
          <w:noProof/>
        </w:rPr>
        <w:t>võttes arvesse Euroopa Komisjoni ettepanekut,</w:t>
      </w:r>
    </w:p>
    <w:p>
      <w:pPr>
        <w:rPr>
          <w:noProof/>
        </w:rPr>
      </w:pPr>
      <w:r>
        <w:rPr>
          <w:noProof/>
        </w:rPr>
        <w:t>ning arvestades järgmist:</w:t>
      </w:r>
    </w:p>
    <w:p>
      <w:pPr>
        <w:pStyle w:val="ManualConsidrant"/>
        <w:rPr>
          <w:noProof/>
        </w:rPr>
      </w:pPr>
      <w:r>
        <w:t>(1)</w:t>
      </w:r>
      <w:r>
        <w:tab/>
      </w:r>
      <w:r>
        <w:rPr>
          <w:noProof/>
        </w:rPr>
        <w:t>Direktiivi 2006/112/EÜ artikli 193 kohaselt on tavaliselt maksuhalduri ees käibemaksu tasuma kohustatud kaubatarneid tegev või teenuseid osutav maksukohustuslane.</w:t>
      </w:r>
    </w:p>
    <w:p>
      <w:pPr>
        <w:pStyle w:val="ManualConsidrant"/>
        <w:rPr>
          <w:noProof/>
        </w:rPr>
      </w:pPr>
      <w:r>
        <w:t>(2)</w:t>
      </w:r>
      <w:r>
        <w:tab/>
      </w:r>
      <w:r>
        <w:rPr>
          <w:noProof/>
        </w:rPr>
        <w:t xml:space="preserve">Kirjas, mille komisjon registreeris 7. oktoobril 2016, taotles Poola erandit direktiivi 2006/112/EÜ artiklist 193, et kohaldada pöördmaksustamist kõvaketaste, nt pooljuhtketaste ja kõvakettaseadmete suhtes. </w:t>
      </w:r>
    </w:p>
    <w:p>
      <w:pPr>
        <w:pStyle w:val="ManualConsidrant"/>
        <w:rPr>
          <w:noProof/>
        </w:rPr>
      </w:pPr>
      <w:r>
        <w:t>(3)</w:t>
      </w:r>
      <w:r>
        <w:tab/>
      </w:r>
      <w:r>
        <w:rPr>
          <w:noProof/>
        </w:rPr>
        <w:t>Käibemaksudirektiivi artikli 395 lõike 2 kohaselt teavitas komisjon 12. ja 13. juuli 2017. aasta kirjadega teisi liikmesriike Poola taotlusest. Komisjon teatas 13. juuli 2017. aasta kirjas Poolale, et tal on taotluse hindamiseks kogu vajalik teave.</w:t>
      </w:r>
    </w:p>
    <w:p>
      <w:pPr>
        <w:pStyle w:val="ManualConsidrant"/>
        <w:rPr>
          <w:noProof/>
        </w:rPr>
      </w:pPr>
      <w:r>
        <w:t>(4)</w:t>
      </w:r>
      <w:r>
        <w:tab/>
      </w:r>
      <w:r>
        <w:rPr>
          <w:noProof/>
        </w:rPr>
        <w:t>Kõvakettad, mis ei ole hõlmatud direktiivi 2006/112/EÜ artikliga 199a, muutusid elektrooniliste toodete kategoorias tooteks, mida kasutatakse käibemaksupettusteks Poolas. Poola väitel hakkasid kõvaketaste turul käibemaksupettused kasvama, kui hakati kasutama „puuduva lüli“ (MTIC) mehhanismi. Selle tava mahul ja ulatusel on väga negatiivne mõju tarnijatele, kes ei osale pettuses, ja see võib vähendada käibemaksutulu.</w:t>
      </w:r>
    </w:p>
    <w:p>
      <w:pPr>
        <w:pStyle w:val="ManualConsidrant"/>
        <w:rPr>
          <w:noProof/>
        </w:rPr>
      </w:pPr>
      <w:r>
        <w:t>(5)</w:t>
      </w:r>
      <w:r>
        <w:tab/>
      </w:r>
      <w:r>
        <w:rPr>
          <w:noProof/>
        </w:rPr>
        <w:t>Poola on võtnud mitmeid meetmeid, et võidelda käibemaksupettustega ja neid ennetada. Kuni meetmed annavad tõhusaid tulemusi, leiab Poola, et on vaja täiendavat toetust ajutise meetmena nagu pöördmaksustamismehhanism.</w:t>
      </w:r>
    </w:p>
    <w:p>
      <w:pPr>
        <w:pStyle w:val="ManualConsidrant"/>
        <w:rPr>
          <w:noProof/>
        </w:rPr>
      </w:pPr>
      <w:r>
        <w:t>(6)</w:t>
      </w:r>
      <w:r>
        <w:tab/>
      </w:r>
      <w:r>
        <w:rPr>
          <w:noProof/>
        </w:rPr>
        <w:t xml:space="preserve">Seepärast tuleks Poolale anda luba kohaldada pöördmaksustamist kõvaketaste, näiteks pooljuhtketaste ja kõvakettaseadmete suhtes, alates 1. jaanuarist 2018. Erand tuleks võimaldada üksnes piiratud ajaks, kuni 31. detsembrini 2020. </w:t>
      </w:r>
    </w:p>
    <w:p>
      <w:pPr>
        <w:pStyle w:val="ManualConsidrant"/>
        <w:rPr>
          <w:noProof/>
        </w:rPr>
      </w:pPr>
      <w:r>
        <w:t>(7)</w:t>
      </w:r>
      <w:r>
        <w:tab/>
      </w:r>
      <w:r>
        <w:rPr>
          <w:noProof/>
        </w:rPr>
        <w:t xml:space="preserve">Kuni erandi kehtivusaja lõpuni peaksid Poola võetavad meetmed takistama edasisi käibemaksupettusi kõvakettasektoris, mistõttu ei ole Poolale enam vaja teha erandeid käibemaksudirektiivi artiklist 193 seoses kõnealuste toodetega. Seega ei peaks Poola taotlema kõnealuse erandi pikendamist. </w:t>
      </w:r>
    </w:p>
    <w:p>
      <w:pPr>
        <w:pStyle w:val="ManualConsidrant"/>
        <w:rPr>
          <w:noProof/>
        </w:rPr>
      </w:pPr>
      <w:r>
        <w:t>(8)</w:t>
      </w:r>
      <w:r>
        <w:tab/>
      </w:r>
      <w:r>
        <w:rPr>
          <w:noProof/>
        </w:rPr>
        <w:t>Erandi kohaldamine ei mõjuta käibemaksust tulenevaid liidu omavahendeid,</w:t>
      </w:r>
    </w:p>
    <w:p>
      <w:pPr>
        <w:pStyle w:val="Formuledadoption"/>
        <w:rPr>
          <w:noProof/>
        </w:rPr>
      </w:pPr>
      <w:r>
        <w:rPr>
          <w:noProof/>
        </w:rPr>
        <w:t xml:space="preserve">ON VASTU VÕTNUD KÄESOLEVA OTSUSE: </w:t>
      </w:r>
    </w:p>
    <w:p>
      <w:pPr>
        <w:pStyle w:val="Titrearticle"/>
        <w:rPr>
          <w:noProof/>
        </w:rPr>
      </w:pPr>
      <w:r>
        <w:rPr>
          <w:noProof/>
        </w:rPr>
        <w:t>Artikkel 1</w:t>
      </w:r>
    </w:p>
    <w:p>
      <w:pPr>
        <w:rPr>
          <w:noProof/>
        </w:rPr>
      </w:pPr>
      <w:r>
        <w:rPr>
          <w:noProof/>
        </w:rPr>
        <w:t xml:space="preserve">Erandina direktiivi 2006/112/EÜ artiklist 193 lubatakse Poolal määrata kauba saaja käibemaksu tasumise eest vastutavaks isikuks kõvaketaste, näiteks pooljuhtketaste ja kõvakettaseadmete tarne puhul. </w:t>
      </w:r>
    </w:p>
    <w:p>
      <w:pPr>
        <w:pStyle w:val="Titrearticle"/>
        <w:rPr>
          <w:noProof/>
          <w:color w:val="000000" w:themeColor="text1"/>
        </w:rPr>
      </w:pPr>
      <w:r>
        <w:rPr>
          <w:noProof/>
        </w:rPr>
        <w:t>Artikkel 2</w:t>
      </w:r>
    </w:p>
    <w:p>
      <w:pPr>
        <w:rPr>
          <w:noProof/>
        </w:rPr>
      </w:pPr>
      <w:r>
        <w:rPr>
          <w:noProof/>
        </w:rPr>
        <w:t>Käesolevat otsust kohaldatakse alates 1. jaanuarist 2018 ja selle kehtivusaeg lõpeb 31. detsembril 2020.</w:t>
      </w:r>
    </w:p>
    <w:p>
      <w:pPr>
        <w:pStyle w:val="Titrearticle"/>
        <w:rPr>
          <w:noProof/>
        </w:rPr>
      </w:pPr>
      <w:r>
        <w:rPr>
          <w:noProof/>
        </w:rPr>
        <w:t>Artikkel 3</w:t>
      </w:r>
    </w:p>
    <w:p>
      <w:pPr>
        <w:keepNext/>
        <w:keepLines/>
        <w:rPr>
          <w:noProof/>
        </w:rPr>
      </w:pPr>
      <w:r>
        <w:rPr>
          <w:noProof/>
        </w:rPr>
        <w:t>Käesolev otsus on adresseeritud Poola Vabariigile</w:t>
      </w:r>
      <w:r>
        <w:t>.</w:t>
      </w:r>
    </w:p>
    <w:p>
      <w:pPr>
        <w:pStyle w:val="Fait"/>
        <w:rPr>
          <w:noProof/>
        </w:rPr>
      </w:pPr>
      <w:r>
        <w:rPr>
          <w:noProof/>
        </w:rPr>
        <w:t>Brüssel,</w:t>
      </w:r>
    </w:p>
    <w:p>
      <w:pPr>
        <w:pStyle w:val="Institutionquisigne"/>
        <w:rPr>
          <w:noProof/>
        </w:rPr>
      </w:pPr>
      <w:r>
        <w:rPr>
          <w:noProof/>
        </w:rPr>
        <w:tab/>
        <w:t>Nõukogu nimel</w:t>
      </w:r>
    </w:p>
    <w:p>
      <w:pPr>
        <w:pStyle w:val="Personnequisigne"/>
        <w:rPr>
          <w:noProof/>
        </w:rPr>
      </w:pPr>
      <w:r>
        <w:rPr>
          <w:noProof/>
        </w:rPr>
        <w:tab/>
        <w:t>eesistuja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ELT L 347, 11.12.2006, lk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F007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8CA6A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785A10"/>
    <w:lvl w:ilvl="0">
      <w:start w:val="1"/>
      <w:numFmt w:val="decimal"/>
      <w:pStyle w:val="ListNumber2"/>
      <w:lvlText w:val="%1."/>
      <w:lvlJc w:val="left"/>
      <w:pPr>
        <w:tabs>
          <w:tab w:val="num" w:pos="643"/>
        </w:tabs>
        <w:ind w:left="643" w:hanging="360"/>
      </w:pPr>
    </w:lvl>
  </w:abstractNum>
  <w:abstractNum w:abstractNumId="3">
    <w:nsid w:val="FFFFFF81"/>
    <w:multiLevelType w:val="singleLevel"/>
    <w:tmpl w:val="D6B210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5502E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F5A342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66E56DE"/>
    <w:lvl w:ilvl="0">
      <w:start w:val="1"/>
      <w:numFmt w:val="decimal"/>
      <w:pStyle w:val="ListNumber"/>
      <w:lvlText w:val="%1."/>
      <w:lvlJc w:val="left"/>
      <w:pPr>
        <w:tabs>
          <w:tab w:val="num" w:pos="360"/>
        </w:tabs>
        <w:ind w:left="360" w:hanging="360"/>
      </w:pPr>
    </w:lvl>
  </w:abstractNum>
  <w:abstractNum w:abstractNumId="7">
    <w:nsid w:val="FFFFFF89"/>
    <w:multiLevelType w:val="singleLevel"/>
    <w:tmpl w:val="627CA97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21 08:04:2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F54EAF0212834D58AF9AD78136EE4182"/>
    <w:docVar w:name="LW_CROSSREFERENCE" w:val="&lt;UNUSED&gt;"/>
    <w:docVar w:name="LW_DocType" w:val="COM"/>
    <w:docVar w:name="LW_EMISSION" w:val="23.8.2017"/>
    <w:docVar w:name="LW_EMISSION_ISODATE" w:val="2017-08-23"/>
    <w:docVar w:name="LW_EMISSION_LOCATION" w:val="BRX"/>
    <w:docVar w:name="LW_EMISSION_PREFIX" w:val="Brüssel,"/>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ET"/>
    <w:docVar w:name="LW_MARKING" w:val="&lt;UNUSED&gt;"/>
    <w:docVar w:name="LW_NOM.INST" w:val="EUROOPA KOMISJON"/>
    <w:docVar w:name="LW_NOM.INST_JOINTDOC" w:val="&lt;EMPTY&gt;"/>
    <w:docVar w:name="LW_PART_NBR" w:val="1"/>
    <w:docVar w:name="LW_PART_NBR_TOTAL" w:val="1"/>
    <w:docVar w:name="LW_REF.II.NEW.CP" w:val="NLE"/>
    <w:docVar w:name="LW_REF.II.NEW.CP_NUMBER" w:val="0205"/>
    <w:docVar w:name="LW_REF.II.NEW.CP_YEAR" w:val="2017"/>
    <w:docVar w:name="LW_REF.INST.NEW" w:val="COM"/>
    <w:docVar w:name="LW_REF.INST.NEW_ADOPTED" w:val="final"/>
    <w:docVar w:name="LW_REF.INST.NEW_TEXT" w:val="(2017) 451"/>
    <w:docVar w:name="LW_REF.INTERNE" w:val="&lt;UNUSED&gt;"/>
    <w:docVar w:name="LW_SOUS.TITRE.OBJ.CP" w:val="&lt;UNUSED&gt;"/>
    <w:docVar w:name="LW_STATUT.CP" w:val="Ettepanek:"/>
    <w:docVar w:name="LW_SUPERTITRE" w:val="&lt;UNUSED&gt;"/>
    <w:docVar w:name="LW_TITRE.OBJ.CP" w:val="mille kohaselt lubatakse Poolal kehtestada erimeede, millega tehakse erand direktiivi 2006/112/EÜ (mis käsitleb ühist käibemaksusüsteemi) artiklist 193"/>
    <w:docVar w:name="LW_TYPE.DOC.CP" w:val="NÕUKOGU RAKENDUSOTS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6</Pages>
  <Words>988</Words>
  <Characters>7438</Characters>
  <Application>Microsoft Office Word</Application>
  <DocSecurity>0</DocSecurity>
  <Lines>135</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2017-08-01T07:08:00Z</cp:lastPrinted>
  <dcterms:created xsi:type="dcterms:W3CDTF">2017-08-14T05:47:00Z</dcterms:created>
  <dcterms:modified xsi:type="dcterms:W3CDTF">2017-08-21T06:04:00Z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