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FDBC06F-8257-4BEB-94CB-734CAED6ABA8" style="width:450.8pt;height:320.5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rPr>
          <w:noProof/>
        </w:rPr>
      </w:pPr>
      <w:bookmarkStart w:id="1" w:name="_GoBack"/>
      <w:bookmarkEnd w:id="1"/>
    </w:p>
    <w:p>
      <w:pPr>
        <w:pStyle w:val="TOCHeading"/>
        <w:rPr>
          <w:noProof/>
        </w:rPr>
      </w:pPr>
      <w:r>
        <w:rPr>
          <w:noProof/>
        </w:rPr>
        <w:t>Sisukord</w:t>
      </w:r>
    </w:p>
    <w:p>
      <w:pPr>
        <w:pStyle w:val="TOC1"/>
        <w:rPr>
          <w:rFonts w:asciiTheme="minorHAnsi" w:eastAsiaTheme="minorEastAsia" w:hAnsiTheme="minorHAnsi" w:cstheme="minorBidi"/>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99024185" w:history="1">
        <w:r>
          <w:rPr>
            <w:rStyle w:val="Hyperlink"/>
            <w:noProof/>
          </w:rPr>
          <w:t>1.</w:t>
        </w:r>
        <w:r>
          <w:rPr>
            <w:rFonts w:asciiTheme="minorHAnsi" w:eastAsiaTheme="minorEastAsia" w:hAnsiTheme="minorHAnsi" w:cstheme="minorBidi"/>
            <w:noProof/>
            <w:sz w:val="22"/>
            <w:szCs w:val="22"/>
            <w:lang w:val="en-GB" w:eastAsia="en-GB" w:bidi="ar-SA"/>
          </w:rPr>
          <w:tab/>
        </w:r>
        <w:r>
          <w:rPr>
            <w:rStyle w:val="Hyperlink"/>
            <w:noProof/>
          </w:rPr>
          <w:t>Sissejuhatus</w:t>
        </w:r>
        <w:r>
          <w:rPr>
            <w:noProof/>
            <w:webHidden/>
          </w:rPr>
          <w:tab/>
        </w:r>
        <w:r>
          <w:rPr>
            <w:noProof/>
            <w:webHidden/>
          </w:rPr>
          <w:fldChar w:fldCharType="begin"/>
        </w:r>
        <w:r>
          <w:rPr>
            <w:noProof/>
            <w:webHidden/>
          </w:rPr>
          <w:instrText xml:space="preserve"> PAGEREF _Toc499024185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99024186" w:history="1">
        <w:r>
          <w:rPr>
            <w:rStyle w:val="Hyperlink"/>
            <w:noProof/>
          </w:rPr>
          <w:t>2.</w:t>
        </w:r>
        <w:r>
          <w:rPr>
            <w:rFonts w:asciiTheme="minorHAnsi" w:eastAsiaTheme="minorEastAsia" w:hAnsiTheme="minorHAnsi" w:cstheme="minorBidi"/>
            <w:noProof/>
            <w:sz w:val="22"/>
            <w:szCs w:val="22"/>
            <w:lang w:val="en-GB" w:eastAsia="en-GB" w:bidi="ar-SA"/>
          </w:rPr>
          <w:tab/>
        </w:r>
        <w:r>
          <w:rPr>
            <w:rStyle w:val="Hyperlink"/>
            <w:noProof/>
          </w:rPr>
          <w:t>ELi eelarve ja muude kriisiohjamismehhanismidega tagatud tehingud</w:t>
        </w:r>
        <w:r>
          <w:rPr>
            <w:noProof/>
            <w:webHidden/>
          </w:rPr>
          <w:tab/>
        </w:r>
        <w:r>
          <w:rPr>
            <w:noProof/>
            <w:webHidden/>
          </w:rPr>
          <w:fldChar w:fldCharType="begin"/>
        </w:r>
        <w:r>
          <w:rPr>
            <w:noProof/>
            <w:webHidden/>
          </w:rPr>
          <w:instrText xml:space="preserve"> PAGEREF _Toc499024186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99024187" w:history="1">
        <w:r>
          <w:rPr>
            <w:rStyle w:val="Hyperlink"/>
            <w:noProof/>
          </w:rPr>
          <w:t>3.</w:t>
        </w:r>
        <w:r>
          <w:rPr>
            <w:rFonts w:asciiTheme="minorHAnsi" w:eastAsiaTheme="minorEastAsia" w:hAnsiTheme="minorHAnsi" w:cstheme="minorBidi"/>
            <w:noProof/>
            <w:sz w:val="22"/>
            <w:szCs w:val="22"/>
            <w:lang w:val="en-GB" w:eastAsia="en-GB" w:bidi="ar-SA"/>
          </w:rPr>
          <w:tab/>
        </w:r>
        <w:r>
          <w:rPr>
            <w:rStyle w:val="Hyperlink"/>
            <w:noProof/>
          </w:rPr>
          <w:t>Sündmused tagatud tehingute valdkonnas</w:t>
        </w:r>
        <w:r>
          <w:rPr>
            <w:noProof/>
            <w:webHidden/>
          </w:rPr>
          <w:tab/>
        </w:r>
        <w:r>
          <w:rPr>
            <w:noProof/>
            <w:webHidden/>
          </w:rPr>
          <w:fldChar w:fldCharType="begin"/>
        </w:r>
        <w:r>
          <w:rPr>
            <w:noProof/>
            <w:webHidden/>
          </w:rPr>
          <w:instrText xml:space="preserve"> PAGEREF _Toc499024187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188" w:history="1">
        <w:r>
          <w:rPr>
            <w:rStyle w:val="Hyperlink"/>
            <w:noProof/>
          </w:rPr>
          <w:t>3.1</w:t>
        </w:r>
        <w:r>
          <w:rPr>
            <w:rFonts w:asciiTheme="minorHAnsi" w:eastAsiaTheme="minorEastAsia" w:hAnsiTheme="minorHAnsi" w:cstheme="minorBidi"/>
            <w:noProof/>
            <w:sz w:val="22"/>
            <w:szCs w:val="22"/>
            <w:lang w:val="en-GB" w:eastAsia="en-GB" w:bidi="ar-SA"/>
          </w:rPr>
          <w:tab/>
        </w:r>
        <w:r>
          <w:rPr>
            <w:rStyle w:val="Hyperlink"/>
            <w:noProof/>
          </w:rPr>
          <w:t>Komisjoni otseselt hallatavad tehingud</w:t>
        </w:r>
        <w:r>
          <w:rPr>
            <w:noProof/>
            <w:webHidden/>
          </w:rPr>
          <w:tab/>
        </w:r>
        <w:r>
          <w:rPr>
            <w:noProof/>
            <w:webHidden/>
          </w:rPr>
          <w:fldChar w:fldCharType="begin"/>
        </w:r>
        <w:r>
          <w:rPr>
            <w:noProof/>
            <w:webHidden/>
          </w:rPr>
          <w:instrText xml:space="preserve"> PAGEREF _Toc499024188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89" w:history="1">
        <w:r>
          <w:rPr>
            <w:rStyle w:val="Hyperlink"/>
            <w:noProof/>
          </w:rPr>
          <w:t>3.1.1.</w:t>
        </w:r>
        <w:r>
          <w:rPr>
            <w:rFonts w:asciiTheme="minorHAnsi" w:eastAsiaTheme="minorEastAsia" w:hAnsiTheme="minorHAnsi" w:cstheme="minorBidi"/>
            <w:noProof/>
            <w:sz w:val="22"/>
            <w:szCs w:val="22"/>
            <w:lang w:val="en-GB" w:eastAsia="en-GB" w:bidi="ar-SA"/>
          </w:rPr>
          <w:tab/>
        </w:r>
        <w:r>
          <w:rPr>
            <w:rStyle w:val="Hyperlink"/>
            <w:noProof/>
          </w:rPr>
          <w:t>Euroopa finantsstabiilsusmehhanism (EFSM)</w:t>
        </w:r>
        <w:r>
          <w:rPr>
            <w:noProof/>
            <w:webHidden/>
          </w:rPr>
          <w:tab/>
        </w:r>
        <w:r>
          <w:rPr>
            <w:noProof/>
            <w:webHidden/>
          </w:rPr>
          <w:fldChar w:fldCharType="begin"/>
        </w:r>
        <w:r>
          <w:rPr>
            <w:noProof/>
            <w:webHidden/>
          </w:rPr>
          <w:instrText xml:space="preserve"> PAGEREF _Toc499024189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90" w:history="1">
        <w:r>
          <w:rPr>
            <w:rStyle w:val="Hyperlink"/>
            <w:noProof/>
          </w:rPr>
          <w:t>3.1.2.</w:t>
        </w:r>
        <w:r>
          <w:rPr>
            <w:rFonts w:asciiTheme="minorHAnsi" w:eastAsiaTheme="minorEastAsia" w:hAnsiTheme="minorHAnsi" w:cstheme="minorBidi"/>
            <w:noProof/>
            <w:sz w:val="22"/>
            <w:szCs w:val="22"/>
            <w:lang w:val="en-GB" w:eastAsia="en-GB" w:bidi="ar-SA"/>
          </w:rPr>
          <w:tab/>
        </w:r>
        <w:r>
          <w:rPr>
            <w:rStyle w:val="Hyperlink"/>
            <w:noProof/>
          </w:rPr>
          <w:t>Maksebilansi tasakaalustamise vahend</w:t>
        </w:r>
        <w:r>
          <w:rPr>
            <w:noProof/>
            <w:webHidden/>
          </w:rPr>
          <w:tab/>
        </w:r>
        <w:r>
          <w:rPr>
            <w:noProof/>
            <w:webHidden/>
          </w:rPr>
          <w:fldChar w:fldCharType="begin"/>
        </w:r>
        <w:r>
          <w:rPr>
            <w:noProof/>
            <w:webHidden/>
          </w:rPr>
          <w:instrText xml:space="preserve"> PAGEREF _Toc499024190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91" w:history="1">
        <w:r>
          <w:rPr>
            <w:rStyle w:val="Hyperlink"/>
            <w:noProof/>
          </w:rPr>
          <w:t>3.1.3.</w:t>
        </w:r>
        <w:r>
          <w:rPr>
            <w:rFonts w:asciiTheme="minorHAnsi" w:eastAsiaTheme="minorEastAsia" w:hAnsiTheme="minorHAnsi" w:cstheme="minorBidi"/>
            <w:noProof/>
            <w:sz w:val="22"/>
            <w:szCs w:val="22"/>
            <w:lang w:val="en-GB" w:eastAsia="en-GB" w:bidi="ar-SA"/>
          </w:rPr>
          <w:tab/>
        </w:r>
        <w:r>
          <w:rPr>
            <w:rStyle w:val="Hyperlink"/>
            <w:noProof/>
          </w:rPr>
          <w:t>Makromajandusliku finantsabi laenud</w:t>
        </w:r>
        <w:r>
          <w:rPr>
            <w:noProof/>
            <w:webHidden/>
          </w:rPr>
          <w:tab/>
        </w:r>
        <w:r>
          <w:rPr>
            <w:noProof/>
            <w:webHidden/>
          </w:rPr>
          <w:fldChar w:fldCharType="begin"/>
        </w:r>
        <w:r>
          <w:rPr>
            <w:noProof/>
            <w:webHidden/>
          </w:rPr>
          <w:instrText xml:space="preserve"> PAGEREF _Toc499024191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92" w:history="1">
        <w:r>
          <w:rPr>
            <w:rStyle w:val="Hyperlink"/>
            <w:noProof/>
          </w:rPr>
          <w:t>3.1.4.</w:t>
        </w:r>
        <w:r>
          <w:rPr>
            <w:rFonts w:asciiTheme="minorHAnsi" w:eastAsiaTheme="minorEastAsia" w:hAnsiTheme="minorHAnsi" w:cstheme="minorBidi"/>
            <w:noProof/>
            <w:sz w:val="22"/>
            <w:szCs w:val="22"/>
            <w:lang w:val="en-GB" w:eastAsia="en-GB" w:bidi="ar-SA"/>
          </w:rPr>
          <w:tab/>
        </w:r>
        <w:r>
          <w:rPr>
            <w:rStyle w:val="Hyperlink"/>
            <w:noProof/>
          </w:rPr>
          <w:t>Euratomi laenud</w:t>
        </w:r>
        <w:r>
          <w:rPr>
            <w:noProof/>
            <w:webHidden/>
          </w:rPr>
          <w:tab/>
        </w:r>
        <w:r>
          <w:rPr>
            <w:noProof/>
            <w:webHidden/>
          </w:rPr>
          <w:fldChar w:fldCharType="begin"/>
        </w:r>
        <w:r>
          <w:rPr>
            <w:noProof/>
            <w:webHidden/>
          </w:rPr>
          <w:instrText xml:space="preserve"> PAGEREF _Toc499024192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193" w:history="1">
        <w:r>
          <w:rPr>
            <w:rStyle w:val="Hyperlink"/>
            <w:noProof/>
          </w:rPr>
          <w:t>3.2</w:t>
        </w:r>
        <w:r>
          <w:rPr>
            <w:rFonts w:asciiTheme="minorHAnsi" w:eastAsiaTheme="minorEastAsia" w:hAnsiTheme="minorHAnsi" w:cstheme="minorBidi"/>
            <w:noProof/>
            <w:sz w:val="22"/>
            <w:szCs w:val="22"/>
            <w:lang w:val="en-GB" w:eastAsia="en-GB" w:bidi="ar-SA"/>
          </w:rPr>
          <w:tab/>
        </w:r>
        <w:r>
          <w:rPr>
            <w:rStyle w:val="Hyperlink"/>
            <w:noProof/>
          </w:rPr>
          <w:t>EIP välisrahastamine</w:t>
        </w:r>
        <w:r>
          <w:rPr>
            <w:noProof/>
            <w:webHidden/>
          </w:rPr>
          <w:tab/>
        </w:r>
        <w:r>
          <w:rPr>
            <w:noProof/>
            <w:webHidden/>
          </w:rPr>
          <w:fldChar w:fldCharType="begin"/>
        </w:r>
        <w:r>
          <w:rPr>
            <w:noProof/>
            <w:webHidden/>
          </w:rPr>
          <w:instrText xml:space="preserve"> PAGEREF _Toc499024193 \h </w:instrText>
        </w:r>
        <w:r>
          <w:rPr>
            <w:noProof/>
            <w:webHidden/>
          </w:rPr>
        </w:r>
        <w:r>
          <w:rPr>
            <w:noProof/>
            <w:webHidden/>
          </w:rPr>
          <w:fldChar w:fldCharType="separate"/>
        </w:r>
        <w:r>
          <w:rPr>
            <w:noProof/>
            <w:webHidden/>
          </w:rPr>
          <w:t>8</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99024194" w:history="1">
        <w:r>
          <w:rPr>
            <w:rStyle w:val="Hyperlink"/>
            <w:noProof/>
          </w:rPr>
          <w:t>4.</w:t>
        </w:r>
        <w:r>
          <w:rPr>
            <w:rFonts w:asciiTheme="minorHAnsi" w:eastAsiaTheme="minorEastAsia" w:hAnsiTheme="minorHAnsi" w:cstheme="minorBidi"/>
            <w:noProof/>
            <w:sz w:val="22"/>
            <w:szCs w:val="22"/>
            <w:lang w:val="en-GB" w:eastAsia="en-GB" w:bidi="ar-SA"/>
          </w:rPr>
          <w:tab/>
        </w:r>
        <w:r>
          <w:rPr>
            <w:rStyle w:val="Hyperlink"/>
            <w:noProof/>
          </w:rPr>
          <w:t>ELi eelarvest kaetavad riskid</w:t>
        </w:r>
        <w:r>
          <w:rPr>
            <w:noProof/>
            <w:webHidden/>
          </w:rPr>
          <w:tab/>
        </w:r>
        <w:r>
          <w:rPr>
            <w:noProof/>
            <w:webHidden/>
          </w:rPr>
          <w:fldChar w:fldCharType="begin"/>
        </w:r>
        <w:r>
          <w:rPr>
            <w:noProof/>
            <w:webHidden/>
          </w:rPr>
          <w:instrText xml:space="preserve"> PAGEREF _Toc499024194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195" w:history="1">
        <w:r>
          <w:rPr>
            <w:rStyle w:val="Hyperlink"/>
            <w:noProof/>
          </w:rPr>
          <w:t>4.1</w:t>
        </w:r>
        <w:r>
          <w:rPr>
            <w:rFonts w:asciiTheme="minorHAnsi" w:eastAsiaTheme="minorEastAsia" w:hAnsiTheme="minorHAnsi" w:cstheme="minorBidi"/>
            <w:noProof/>
            <w:sz w:val="22"/>
            <w:szCs w:val="22"/>
            <w:lang w:val="en-GB" w:eastAsia="en-GB" w:bidi="ar-SA"/>
          </w:rPr>
          <w:tab/>
        </w:r>
        <w:r>
          <w:rPr>
            <w:rStyle w:val="Hyperlink"/>
            <w:noProof/>
          </w:rPr>
          <w:t>Riski mõiste</w:t>
        </w:r>
        <w:r>
          <w:rPr>
            <w:noProof/>
            <w:webHidden/>
          </w:rPr>
          <w:tab/>
        </w:r>
        <w:r>
          <w:rPr>
            <w:noProof/>
            <w:webHidden/>
          </w:rPr>
          <w:fldChar w:fldCharType="begin"/>
        </w:r>
        <w:r>
          <w:rPr>
            <w:noProof/>
            <w:webHidden/>
          </w:rPr>
          <w:instrText xml:space="preserve"> PAGEREF _Toc499024195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196" w:history="1">
        <w:r>
          <w:rPr>
            <w:rStyle w:val="Hyperlink"/>
            <w:noProof/>
          </w:rPr>
          <w:t>4.2</w:t>
        </w:r>
        <w:r>
          <w:rPr>
            <w:rFonts w:asciiTheme="minorHAnsi" w:eastAsiaTheme="minorEastAsia" w:hAnsiTheme="minorHAnsi" w:cstheme="minorBidi"/>
            <w:noProof/>
            <w:sz w:val="22"/>
            <w:szCs w:val="22"/>
            <w:lang w:val="en-GB" w:eastAsia="en-GB" w:bidi="ar-SA"/>
          </w:rPr>
          <w:tab/>
        </w:r>
        <w:r>
          <w:rPr>
            <w:rStyle w:val="Hyperlink"/>
            <w:noProof/>
          </w:rPr>
          <w:t>Koguriski komponendid</w:t>
        </w:r>
        <w:r>
          <w:rPr>
            <w:noProof/>
            <w:webHidden/>
          </w:rPr>
          <w:tab/>
        </w:r>
        <w:r>
          <w:rPr>
            <w:noProof/>
            <w:webHidden/>
          </w:rPr>
          <w:fldChar w:fldCharType="begin"/>
        </w:r>
        <w:r>
          <w:rPr>
            <w:noProof/>
            <w:webHidden/>
          </w:rPr>
          <w:instrText xml:space="preserve"> PAGEREF _Toc499024196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197" w:history="1">
        <w:r>
          <w:rPr>
            <w:rStyle w:val="Hyperlink"/>
            <w:noProof/>
          </w:rPr>
          <w:t>4.3</w:t>
        </w:r>
        <w:r>
          <w:rPr>
            <w:rFonts w:asciiTheme="minorHAnsi" w:eastAsiaTheme="minorEastAsia" w:hAnsiTheme="minorHAnsi" w:cstheme="minorBidi"/>
            <w:noProof/>
            <w:sz w:val="22"/>
            <w:szCs w:val="22"/>
            <w:lang w:val="en-GB" w:eastAsia="en-GB" w:bidi="ar-SA"/>
          </w:rPr>
          <w:tab/>
        </w:r>
        <w:r>
          <w:rPr>
            <w:rStyle w:val="Hyperlink"/>
            <w:noProof/>
          </w:rPr>
          <w:t>ELi eelarvest kaetav aastane risk</w:t>
        </w:r>
        <w:r>
          <w:rPr>
            <w:noProof/>
            <w:webHidden/>
          </w:rPr>
          <w:tab/>
        </w:r>
        <w:r>
          <w:rPr>
            <w:noProof/>
            <w:webHidden/>
          </w:rPr>
          <w:fldChar w:fldCharType="begin"/>
        </w:r>
        <w:r>
          <w:rPr>
            <w:noProof/>
            <w:webHidden/>
          </w:rPr>
          <w:instrText xml:space="preserve"> PAGEREF _Toc499024197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98" w:history="1">
        <w:r>
          <w:rPr>
            <w:rStyle w:val="Hyperlink"/>
            <w:noProof/>
          </w:rPr>
          <w:t>4.3.1.</w:t>
        </w:r>
        <w:r>
          <w:rPr>
            <w:rFonts w:asciiTheme="minorHAnsi" w:eastAsiaTheme="minorEastAsia" w:hAnsiTheme="minorHAnsi" w:cstheme="minorBidi"/>
            <w:noProof/>
            <w:sz w:val="22"/>
            <w:szCs w:val="22"/>
            <w:lang w:val="en-GB" w:eastAsia="en-GB" w:bidi="ar-SA"/>
          </w:rPr>
          <w:tab/>
        </w:r>
        <w:r>
          <w:rPr>
            <w:rStyle w:val="Hyperlink"/>
            <w:noProof/>
          </w:rPr>
          <w:t>Liikmesriikide riskipositsioonid</w:t>
        </w:r>
        <w:r>
          <w:rPr>
            <w:noProof/>
            <w:webHidden/>
          </w:rPr>
          <w:tab/>
        </w:r>
        <w:r>
          <w:rPr>
            <w:noProof/>
            <w:webHidden/>
          </w:rPr>
          <w:fldChar w:fldCharType="begin"/>
        </w:r>
        <w:r>
          <w:rPr>
            <w:noProof/>
            <w:webHidden/>
          </w:rPr>
          <w:instrText xml:space="preserve"> PAGEREF _Toc499024198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199" w:history="1">
        <w:r>
          <w:rPr>
            <w:rStyle w:val="Hyperlink"/>
            <w:noProof/>
          </w:rPr>
          <w:t>4.3.2.</w:t>
        </w:r>
        <w:r>
          <w:rPr>
            <w:rFonts w:asciiTheme="minorHAnsi" w:eastAsiaTheme="minorEastAsia" w:hAnsiTheme="minorHAnsi" w:cstheme="minorBidi"/>
            <w:noProof/>
            <w:sz w:val="22"/>
            <w:szCs w:val="22"/>
            <w:lang w:val="en-GB" w:eastAsia="en-GB" w:bidi="ar-SA"/>
          </w:rPr>
          <w:tab/>
        </w:r>
        <w:r>
          <w:rPr>
            <w:rStyle w:val="Hyperlink"/>
            <w:noProof/>
          </w:rPr>
          <w:t>Kolmandate riikide riskipositsioonid</w:t>
        </w:r>
        <w:r>
          <w:rPr>
            <w:noProof/>
            <w:webHidden/>
          </w:rPr>
          <w:tab/>
        </w:r>
        <w:r>
          <w:rPr>
            <w:noProof/>
            <w:webHidden/>
          </w:rPr>
          <w:fldChar w:fldCharType="begin"/>
        </w:r>
        <w:r>
          <w:rPr>
            <w:noProof/>
            <w:webHidden/>
          </w:rPr>
          <w:instrText xml:space="preserve"> PAGEREF _Toc499024199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99024200" w:history="1">
        <w:r>
          <w:rPr>
            <w:rStyle w:val="Hyperlink"/>
            <w:noProof/>
          </w:rPr>
          <w:t>5.</w:t>
        </w:r>
        <w:r>
          <w:rPr>
            <w:rFonts w:asciiTheme="minorHAnsi" w:eastAsiaTheme="minorEastAsia" w:hAnsiTheme="minorHAnsi" w:cstheme="minorBidi"/>
            <w:noProof/>
            <w:sz w:val="22"/>
            <w:szCs w:val="22"/>
            <w:lang w:val="en-GB" w:eastAsia="en-GB" w:bidi="ar-SA"/>
          </w:rPr>
          <w:tab/>
        </w:r>
        <w:r>
          <w:rPr>
            <w:rStyle w:val="Hyperlink"/>
            <w:noProof/>
          </w:rPr>
          <w:t>Välistegevuse tagatisfond</w:t>
        </w:r>
        <w:r>
          <w:rPr>
            <w:noProof/>
            <w:webHidden/>
          </w:rPr>
          <w:tab/>
        </w:r>
        <w:r>
          <w:rPr>
            <w:noProof/>
            <w:webHidden/>
          </w:rPr>
          <w:fldChar w:fldCharType="begin"/>
        </w:r>
        <w:r>
          <w:rPr>
            <w:noProof/>
            <w:webHidden/>
          </w:rPr>
          <w:instrText xml:space="preserve"> PAGEREF _Toc499024200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201" w:history="1">
        <w:r>
          <w:rPr>
            <w:rStyle w:val="Hyperlink"/>
            <w:noProof/>
          </w:rPr>
          <w:t>5.1</w:t>
        </w:r>
        <w:r>
          <w:rPr>
            <w:rFonts w:asciiTheme="minorHAnsi" w:eastAsiaTheme="minorEastAsia" w:hAnsiTheme="minorHAnsi" w:cstheme="minorBidi"/>
            <w:noProof/>
            <w:sz w:val="22"/>
            <w:szCs w:val="22"/>
            <w:lang w:val="en-GB" w:eastAsia="en-GB" w:bidi="ar-SA"/>
          </w:rPr>
          <w:tab/>
        </w:r>
        <w:r>
          <w:rPr>
            <w:rStyle w:val="Hyperlink"/>
            <w:noProof/>
          </w:rPr>
          <w:t>Tagatiste realiseerimine</w:t>
        </w:r>
        <w:r>
          <w:rPr>
            <w:noProof/>
            <w:webHidden/>
          </w:rPr>
          <w:tab/>
        </w:r>
        <w:r>
          <w:rPr>
            <w:noProof/>
            <w:webHidden/>
          </w:rPr>
          <w:fldChar w:fldCharType="begin"/>
        </w:r>
        <w:r>
          <w:rPr>
            <w:noProof/>
            <w:webHidden/>
          </w:rPr>
          <w:instrText xml:space="preserve"> PAGEREF _Toc499024201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202" w:history="1">
        <w:r>
          <w:rPr>
            <w:rStyle w:val="Hyperlink"/>
            <w:noProof/>
          </w:rPr>
          <w:t>5.1.1.</w:t>
        </w:r>
        <w:r>
          <w:rPr>
            <w:rFonts w:asciiTheme="minorHAnsi" w:eastAsiaTheme="minorEastAsia" w:hAnsiTheme="minorHAnsi" w:cstheme="minorBidi"/>
            <w:noProof/>
            <w:sz w:val="22"/>
            <w:szCs w:val="22"/>
            <w:lang w:val="en-GB" w:eastAsia="en-GB" w:bidi="ar-SA"/>
          </w:rPr>
          <w:tab/>
        </w:r>
        <w:r>
          <w:rPr>
            <w:rStyle w:val="Hyperlink"/>
            <w:noProof/>
          </w:rPr>
          <w:t>Väljamaksed rahavarudest</w:t>
        </w:r>
        <w:r>
          <w:rPr>
            <w:noProof/>
            <w:webHidden/>
          </w:rPr>
          <w:tab/>
        </w:r>
        <w:r>
          <w:rPr>
            <w:noProof/>
            <w:webHidden/>
          </w:rPr>
          <w:fldChar w:fldCharType="begin"/>
        </w:r>
        <w:r>
          <w:rPr>
            <w:noProof/>
            <w:webHidden/>
          </w:rPr>
          <w:instrText xml:space="preserve"> PAGEREF _Toc499024202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203" w:history="1">
        <w:r>
          <w:rPr>
            <w:rStyle w:val="Hyperlink"/>
            <w:noProof/>
          </w:rPr>
          <w:t>5.1.2.</w:t>
        </w:r>
        <w:r>
          <w:rPr>
            <w:rFonts w:asciiTheme="minorHAnsi" w:eastAsiaTheme="minorEastAsia" w:hAnsiTheme="minorHAnsi" w:cstheme="minorBidi"/>
            <w:noProof/>
            <w:sz w:val="22"/>
            <w:szCs w:val="22"/>
            <w:lang w:val="en-GB" w:eastAsia="en-GB" w:bidi="ar-SA"/>
          </w:rPr>
          <w:tab/>
        </w:r>
        <w:r>
          <w:rPr>
            <w:rStyle w:val="Hyperlink"/>
            <w:noProof/>
          </w:rPr>
          <w:t>Väljamaksed ELi eelarvest</w:t>
        </w:r>
        <w:r>
          <w:rPr>
            <w:noProof/>
            <w:webHidden/>
          </w:rPr>
          <w:tab/>
        </w:r>
        <w:r>
          <w:rPr>
            <w:noProof/>
            <w:webHidden/>
          </w:rPr>
          <w:fldChar w:fldCharType="begin"/>
        </w:r>
        <w:r>
          <w:rPr>
            <w:noProof/>
            <w:webHidden/>
          </w:rPr>
          <w:instrText xml:space="preserve"> PAGEREF _Toc499024203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99024204" w:history="1">
        <w:r>
          <w:rPr>
            <w:rStyle w:val="Hyperlink"/>
            <w:noProof/>
          </w:rPr>
          <w:t>5.1.3.</w:t>
        </w:r>
        <w:r>
          <w:rPr>
            <w:rFonts w:asciiTheme="minorHAnsi" w:eastAsiaTheme="minorEastAsia" w:hAnsiTheme="minorHAnsi" w:cstheme="minorBidi"/>
            <w:noProof/>
            <w:sz w:val="22"/>
            <w:szCs w:val="22"/>
            <w:lang w:val="en-GB" w:eastAsia="en-GB" w:bidi="ar-SA"/>
          </w:rPr>
          <w:tab/>
        </w:r>
        <w:r>
          <w:rPr>
            <w:rStyle w:val="Hyperlink"/>
            <w:noProof/>
          </w:rPr>
          <w:t>Taotlused tagatisfondile ja sissenõutud summad</w:t>
        </w:r>
        <w:r>
          <w:rPr>
            <w:noProof/>
            <w:webHidden/>
          </w:rPr>
          <w:tab/>
        </w:r>
        <w:r>
          <w:rPr>
            <w:noProof/>
            <w:webHidden/>
          </w:rPr>
          <w:fldChar w:fldCharType="begin"/>
        </w:r>
        <w:r>
          <w:rPr>
            <w:noProof/>
            <w:webHidden/>
          </w:rPr>
          <w:instrText xml:space="preserve"> PAGEREF _Toc499024204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99024205" w:history="1">
        <w:r>
          <w:rPr>
            <w:rStyle w:val="Hyperlink"/>
            <w:noProof/>
          </w:rPr>
          <w:t>5.2</w:t>
        </w:r>
        <w:r>
          <w:rPr>
            <w:rFonts w:asciiTheme="minorHAnsi" w:eastAsiaTheme="minorEastAsia" w:hAnsiTheme="minorHAnsi" w:cstheme="minorBidi"/>
            <w:noProof/>
            <w:sz w:val="22"/>
            <w:szCs w:val="22"/>
            <w:lang w:val="en-GB" w:eastAsia="en-GB" w:bidi="ar-SA"/>
          </w:rPr>
          <w:tab/>
        </w:r>
        <w:r>
          <w:rPr>
            <w:rStyle w:val="Hyperlink"/>
            <w:noProof/>
          </w:rPr>
          <w:t>Fondi tegevus</w:t>
        </w:r>
        <w:r>
          <w:rPr>
            <w:noProof/>
            <w:webHidden/>
          </w:rPr>
          <w:tab/>
        </w:r>
        <w:r>
          <w:rPr>
            <w:noProof/>
            <w:webHidden/>
          </w:rPr>
          <w:fldChar w:fldCharType="begin"/>
        </w:r>
        <w:r>
          <w:rPr>
            <w:noProof/>
            <w:webHidden/>
          </w:rPr>
          <w:instrText xml:space="preserve"> PAGEREF _Toc499024205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99024206" w:history="1">
        <w:r>
          <w:rPr>
            <w:rStyle w:val="Hyperlink"/>
            <w:noProof/>
          </w:rPr>
          <w:t>6.</w:t>
        </w:r>
        <w:r>
          <w:rPr>
            <w:rFonts w:asciiTheme="minorHAnsi" w:eastAsiaTheme="minorEastAsia" w:hAnsiTheme="minorHAnsi" w:cstheme="minorBidi"/>
            <w:noProof/>
            <w:sz w:val="22"/>
            <w:szCs w:val="22"/>
            <w:lang w:val="en-GB" w:eastAsia="en-GB" w:bidi="ar-SA"/>
          </w:rPr>
          <w:tab/>
        </w:r>
        <w:r>
          <w:rPr>
            <w:rStyle w:val="Hyperlink"/>
            <w:noProof/>
          </w:rPr>
          <w:t>Euroopa Strateegiliste Investeeringute Fond (EFSI)</w:t>
        </w:r>
        <w:r>
          <w:rPr>
            <w:noProof/>
            <w:webHidden/>
          </w:rPr>
          <w:tab/>
        </w:r>
        <w:r>
          <w:rPr>
            <w:noProof/>
            <w:webHidden/>
          </w:rPr>
          <w:fldChar w:fldCharType="begin"/>
        </w:r>
        <w:r>
          <w:rPr>
            <w:noProof/>
            <w:webHidden/>
          </w:rPr>
          <w:instrText xml:space="preserve"> PAGEREF _Toc499024206 \h </w:instrText>
        </w:r>
        <w:r>
          <w:rPr>
            <w:noProof/>
            <w:webHidden/>
          </w:rPr>
        </w:r>
        <w:r>
          <w:rPr>
            <w:noProof/>
            <w:webHidden/>
          </w:rPr>
          <w:fldChar w:fldCharType="separate"/>
        </w:r>
        <w:r>
          <w:rPr>
            <w:noProof/>
            <w:webHidden/>
          </w:rPr>
          <w:t>15</w:t>
        </w:r>
        <w:r>
          <w:rPr>
            <w:noProof/>
            <w:webHidden/>
          </w:rPr>
          <w:fldChar w:fldCharType="end"/>
        </w:r>
      </w:hyperlink>
    </w:p>
    <w:p>
      <w:pPr>
        <w:pStyle w:val="TOC1"/>
        <w:rPr>
          <w:rFonts w:asciiTheme="minorHAnsi" w:eastAsiaTheme="minorEastAsia" w:hAnsiTheme="minorHAnsi" w:cstheme="minorBidi"/>
          <w:noProof/>
          <w:sz w:val="22"/>
          <w:szCs w:val="22"/>
        </w:rPr>
      </w:pPr>
      <w:r>
        <w:rPr>
          <w:b/>
          <w:noProof/>
          <w:color w:val="00B050"/>
        </w:rPr>
        <w:fldChar w:fldCharType="end"/>
      </w:r>
    </w:p>
    <w:p>
      <w:pPr>
        <w:rPr>
          <w:noProof/>
        </w:rPr>
      </w:pPr>
    </w:p>
    <w:p>
      <w:pPr>
        <w:rPr>
          <w:noProof/>
        </w:rPr>
        <w:sectPr>
          <w:headerReference w:type="even" r:id="rId16"/>
          <w:headerReference w:type="default" r:id="rId17"/>
          <w:footerReference w:type="even" r:id="rId18"/>
          <w:footerReference w:type="default" r:id="rId19"/>
          <w:headerReference w:type="first" r:id="rId20"/>
          <w:footerReference w:type="first" r:id="rId21"/>
          <w:pgSz w:w="11907" w:h="16839"/>
          <w:pgMar w:top="1134" w:right="1417" w:bottom="1134" w:left="1417" w:header="709" w:footer="709" w:gutter="0"/>
          <w:pgNumType w:start="1"/>
          <w:cols w:space="708"/>
          <w:docGrid w:linePitch="360"/>
        </w:sectPr>
      </w:pPr>
    </w:p>
    <w:p>
      <w:pPr>
        <w:pStyle w:val="ManualHeading1"/>
        <w:ind w:left="851" w:hanging="851"/>
        <w:rPr>
          <w:noProof/>
        </w:rPr>
      </w:pPr>
      <w:bookmarkStart w:id="2" w:name="_Toc309831354"/>
      <w:bookmarkStart w:id="3" w:name="_Toc329261054"/>
      <w:bookmarkStart w:id="4" w:name="_Toc329855616"/>
      <w:bookmarkStart w:id="5" w:name="_Toc330551221"/>
      <w:bookmarkStart w:id="6" w:name="_Toc342470144"/>
      <w:bookmarkStart w:id="7" w:name="_Toc345073694"/>
      <w:bookmarkStart w:id="8" w:name="_Toc365986211"/>
      <w:bookmarkStart w:id="9" w:name="_Toc367869464"/>
      <w:bookmarkStart w:id="10" w:name="_Toc367869991"/>
      <w:bookmarkStart w:id="11" w:name="_Toc388973009"/>
      <w:bookmarkStart w:id="12" w:name="_Toc389474742"/>
      <w:bookmarkStart w:id="13" w:name="_Toc390944385"/>
      <w:bookmarkStart w:id="14" w:name="_Toc393969956"/>
      <w:bookmarkStart w:id="15" w:name="_Toc417461963"/>
      <w:bookmarkStart w:id="16" w:name="_Toc417998597"/>
      <w:bookmarkStart w:id="17" w:name="_Toc418157623"/>
      <w:bookmarkStart w:id="18" w:name="_Toc418160304"/>
      <w:bookmarkStart w:id="19" w:name="_Toc446577171"/>
      <w:bookmarkStart w:id="20" w:name="_Toc452646717"/>
      <w:bookmarkStart w:id="21" w:name="_Toc453161356"/>
      <w:bookmarkStart w:id="22" w:name="_Toc486601259"/>
      <w:bookmarkStart w:id="23" w:name="_Toc495658606"/>
      <w:bookmarkStart w:id="24" w:name="_Toc499024185"/>
      <w:r>
        <w:rPr>
          <w:noProof/>
        </w:rPr>
        <w:lastRenderedPageBreak/>
        <w:t>1.</w:t>
      </w:r>
      <w:r>
        <w:rPr>
          <w:noProof/>
        </w:rPr>
        <w:tab/>
        <w:t>Sissejuhatus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rPr>
          <w:noProof/>
        </w:rPr>
      </w:pPr>
      <w:r>
        <w:rPr>
          <w:noProof/>
        </w:rPr>
        <w:t>Käesoleva aruande eesmärk on jälgida ELi eelarvest kaetavaid krediidiriske, mis on tekkinud otseselt Euroopa Liidu laenutehingute ja antud tagatiste või kaudselt Euroopa Investeerimispanga liiduvälistele rahastamisprojektidele antud tagatise tõttu.</w:t>
      </w:r>
    </w:p>
    <w:p>
      <w:pPr>
        <w:rPr>
          <w:noProof/>
        </w:rPr>
      </w:pPr>
      <w:r>
        <w:rPr>
          <w:noProof/>
        </w:rPr>
        <w:t>Käesolev aruanne on esitatud vastavalt finantsmääruse artiklile 149,</w:t>
      </w:r>
      <w:r>
        <w:rPr>
          <w:rStyle w:val="FootnoteReference"/>
          <w:noProof/>
        </w:rPr>
        <w:footnoteReference w:id="2"/>
      </w:r>
      <w:r>
        <w:rPr>
          <w:noProof/>
        </w:rPr>
        <w:t xml:space="preserve"> mille kohaselt peab komisjon esitama Euroopa Parlamendile ja nõukogule kord aastas aruande ELi eelarveliste tagatiste ja nendega seotud riskide kohta.</w:t>
      </w:r>
    </w:p>
    <w:p>
      <w:pPr>
        <w:rPr>
          <w:noProof/>
        </w:rPr>
      </w:pPr>
      <w:r>
        <w:rPr>
          <w:noProof/>
        </w:rPr>
        <w:t>Aruanne on üles ehitatud järgmiselt: 2. punktis on esitatud ELi eelarvest tagatud tehingute peamised tunnused ja lisaks on käsitletud mitut muud kriisiohjamismehhanismi, millega ei kaasne ELi eelarvele mingit riski. 3. punktis on kirjeldatud sündmusi tagatisega tehingute valdkonnas. 4. punktis on toodud esile peamised ELi eelarvest kaetavad riskid. 5. punktis on keskendutud tagatiste realiseerimisele ja välistegevuse tagatisfondi</w:t>
      </w:r>
      <w:r>
        <w:rPr>
          <w:noProof/>
          <w:vertAlign w:val="superscript"/>
        </w:rPr>
        <w:footnoteReference w:id="3"/>
      </w:r>
      <w:r>
        <w:rPr>
          <w:noProof/>
        </w:rPr>
        <w:t xml:space="preserve"> (edaspidi „fond“), 6. punktis aga Euroopa Strateegiliste Investeeringute Fondi (EFSI)</w:t>
      </w:r>
      <w:r>
        <w:rPr>
          <w:rStyle w:val="FootnoteReference"/>
          <w:noProof/>
        </w:rPr>
        <w:footnoteReference w:id="4"/>
      </w:r>
      <w:r>
        <w:rPr>
          <w:noProof/>
        </w:rPr>
        <w:t xml:space="preserve"> tegevusele.</w:t>
      </w:r>
    </w:p>
    <w:p>
      <w:pPr>
        <w:rPr>
          <w:noProof/>
        </w:rPr>
      </w:pPr>
      <w:r>
        <w:rPr>
          <w:noProof/>
        </w:rPr>
        <w:t>Käesoleva aruandega koos esitatakse komisjoni talituste töödokument, mis sisaldab üksikasjalikke tabeleid ja selgitavaid märkusi. See sisaldab ka nende riikide makromajanduslikku analüüsi, kes kasutavad ELi laene ja/või tagatisi, mis moodustavad fondi riskipositsiooni põhiosa.</w:t>
      </w:r>
    </w:p>
    <w:p>
      <w:pPr>
        <w:pStyle w:val="ManualHeading1"/>
        <w:ind w:left="851" w:hanging="851"/>
        <w:rPr>
          <w:noProof/>
        </w:rPr>
      </w:pPr>
      <w:bookmarkStart w:id="25" w:name="_Toc309831355"/>
      <w:bookmarkStart w:id="26" w:name="_Toc329261055"/>
      <w:bookmarkStart w:id="27" w:name="_Toc329855617"/>
      <w:bookmarkStart w:id="28" w:name="_Toc330551222"/>
      <w:bookmarkStart w:id="29" w:name="_Toc342470145"/>
      <w:bookmarkStart w:id="30" w:name="_Toc345073695"/>
      <w:bookmarkStart w:id="31" w:name="_Toc365986212"/>
      <w:bookmarkStart w:id="32" w:name="_Toc367869465"/>
      <w:bookmarkStart w:id="33" w:name="_Toc367869992"/>
      <w:bookmarkStart w:id="34" w:name="_Toc388973010"/>
      <w:bookmarkStart w:id="35" w:name="_Toc389474743"/>
      <w:bookmarkStart w:id="36" w:name="_Toc390944386"/>
      <w:bookmarkStart w:id="37" w:name="_Toc393969957"/>
      <w:bookmarkStart w:id="38" w:name="_Toc417461964"/>
      <w:bookmarkStart w:id="39" w:name="_Toc417998598"/>
      <w:bookmarkStart w:id="40" w:name="_Toc418157624"/>
      <w:bookmarkStart w:id="41" w:name="_Toc418160305"/>
      <w:bookmarkStart w:id="42" w:name="_Toc446577172"/>
      <w:bookmarkStart w:id="43" w:name="_Toc452646718"/>
      <w:bookmarkStart w:id="44" w:name="_Toc453161357"/>
      <w:bookmarkStart w:id="45" w:name="_Toc486601260"/>
      <w:bookmarkStart w:id="46" w:name="_Toc495658607"/>
      <w:bookmarkStart w:id="47" w:name="_Toc499024186"/>
      <w:r>
        <w:rPr>
          <w:noProof/>
        </w:rPr>
        <w:t>2.</w:t>
      </w:r>
      <w:r>
        <w:rPr>
          <w:noProof/>
        </w:rPr>
        <w:tab/>
      </w:r>
      <w:bookmarkEnd w:id="25"/>
      <w:bookmarkEnd w:id="26"/>
      <w:bookmarkEnd w:id="27"/>
      <w:bookmarkEnd w:id="28"/>
      <w:bookmarkEnd w:id="29"/>
      <w:bookmarkEnd w:id="30"/>
      <w:bookmarkEnd w:id="31"/>
      <w:bookmarkEnd w:id="32"/>
      <w:bookmarkEnd w:id="33"/>
      <w:bookmarkEnd w:id="34"/>
      <w:bookmarkEnd w:id="35"/>
      <w:r>
        <w:rPr>
          <w:noProof/>
        </w:rPr>
        <w:t xml:space="preserve">ELi eelarve </w:t>
      </w:r>
      <w:bookmarkEnd w:id="36"/>
      <w:bookmarkEnd w:id="37"/>
      <w:bookmarkEnd w:id="38"/>
      <w:bookmarkEnd w:id="39"/>
      <w:bookmarkEnd w:id="40"/>
      <w:bookmarkEnd w:id="41"/>
      <w:bookmarkEnd w:id="42"/>
      <w:bookmarkEnd w:id="43"/>
      <w:bookmarkEnd w:id="44"/>
      <w:bookmarkEnd w:id="45"/>
      <w:r>
        <w:rPr>
          <w:noProof/>
        </w:rPr>
        <w:t>ja muude kriisiohjamismehhanismidega tagatud tehingud</w:t>
      </w:r>
      <w:bookmarkEnd w:id="46"/>
      <w:bookmarkEnd w:id="47"/>
    </w:p>
    <w:p>
      <w:pPr>
        <w:autoSpaceDE w:val="0"/>
        <w:rPr>
          <w:noProof/>
        </w:rPr>
      </w:pPr>
      <w:r>
        <w:rPr>
          <w:noProof/>
        </w:rPr>
        <w:t xml:space="preserve">Euroopa Liidu eelarvest kaetavad riskid tulenevad mitmesugustest laenu- ja tagatistehingutest, mida saab jaotada nelja rühma. </w:t>
      </w:r>
    </w:p>
    <w:p>
      <w:pPr>
        <w:autoSpaceDE w:val="0"/>
        <w:rPr>
          <w:b/>
          <w:noProof/>
        </w:rPr>
      </w:pPr>
      <w:r>
        <w:rPr>
          <w:b/>
          <w:noProof/>
        </w:rPr>
        <w:t xml:space="preserve">2.1 Euroopa Liidu antud laenud, millel on makromajanduslikud eesmärgid </w:t>
      </w:r>
    </w:p>
    <w:p>
      <w:pPr>
        <w:autoSpaceDE w:val="0"/>
        <w:rPr>
          <w:noProof/>
        </w:rPr>
      </w:pPr>
      <w:r>
        <w:rPr>
          <w:noProof/>
        </w:rPr>
        <w:t>Sellised laenud on 1) makromajandusliku finantsabi laenud</w:t>
      </w:r>
      <w:r>
        <w:rPr>
          <w:rStyle w:val="Funotenzeichen"/>
          <w:noProof/>
        </w:rPr>
        <w:footnoteReference w:id="5"/>
      </w:r>
      <w:r>
        <w:rPr>
          <w:noProof/>
        </w:rPr>
        <w:t xml:space="preserve"> kolmandatele riikidele, 2) maksebilansi tasakaalustamiseks antavad laenud</w:t>
      </w:r>
      <w:r>
        <w:rPr>
          <w:rStyle w:val="FootnoteReference"/>
          <w:noProof/>
        </w:rPr>
        <w:footnoteReference w:id="6"/>
      </w:r>
      <w:r>
        <w:rPr>
          <w:noProof/>
        </w:rPr>
        <w:t xml:space="preserve"> euroalavälistele maksebilansiraskustes ELi liikmesriikidele, 3) laenud Euroopa finantsstabiilsusmehhanismi</w:t>
      </w:r>
      <w:r>
        <w:rPr>
          <w:rStyle w:val="Funotenzeichen"/>
          <w:noProof/>
        </w:rPr>
        <w:footnoteReference w:id="7"/>
      </w:r>
      <w:r>
        <w:rPr>
          <w:noProof/>
        </w:rPr>
        <w:t xml:space="preserve"> (EFSM) raames, millega toetatakse kõiki liikmesriike, kellel on või keda ohustavad tõsiselt nende kontrolli alt väljas olevatest erakorralistest sündmustest tingitud suured majandus- ja finantshäired. Neid laenusid antakse tavaliselt koos Rahvusvahelise Valuutafondi (IMF) finantsabiga.</w:t>
      </w:r>
    </w:p>
    <w:p>
      <w:pPr>
        <w:autoSpaceDE w:val="0"/>
        <w:rPr>
          <w:b/>
          <w:noProof/>
        </w:rPr>
      </w:pPr>
      <w:r>
        <w:rPr>
          <w:b/>
          <w:noProof/>
        </w:rPr>
        <w:lastRenderedPageBreak/>
        <w:t xml:space="preserve">2.2 Mikromajanduslikel eesmärkidel antavad laenud </w:t>
      </w:r>
    </w:p>
    <w:p>
      <w:pPr>
        <w:autoSpaceDE w:val="0"/>
        <w:rPr>
          <w:noProof/>
        </w:rPr>
      </w:pPr>
      <w:r>
        <w:rPr>
          <w:noProof/>
        </w:rPr>
        <w:t>Need on Euratomi laenud.</w:t>
      </w:r>
    </w:p>
    <w:p>
      <w:pPr>
        <w:autoSpaceDE w:val="0"/>
        <w:rPr>
          <w:noProof/>
        </w:rPr>
      </w:pPr>
      <w:r>
        <w:rPr>
          <w:b/>
          <w:noProof/>
        </w:rPr>
        <w:t>2.3</w:t>
      </w:r>
      <w:r>
        <w:rPr>
          <w:noProof/>
        </w:rPr>
        <w:t xml:space="preserve"> </w:t>
      </w:r>
      <w:r>
        <w:rPr>
          <w:b/>
          <w:noProof/>
        </w:rPr>
        <w:t>Euroopa Investeerimispanga (edaspidi „EIP“) poolt ELi tagatistega kaetud tehingute rahastamine ELi mittekuuluvates riikides (edaspidi „EIP-poolne välisrahastamine“)</w:t>
      </w:r>
      <w:r>
        <w:rPr>
          <w:rStyle w:val="Funotenzeichen"/>
          <w:noProof/>
        </w:rPr>
        <w:footnoteReference w:id="8"/>
      </w:r>
    </w:p>
    <w:p>
      <w:pPr>
        <w:rPr>
          <w:noProof/>
        </w:rPr>
      </w:pPr>
      <w:r>
        <w:rPr>
          <w:noProof/>
        </w:rPr>
        <w:t>Tagatud EIP välisrahastamine, makromajanduslik finantsabi ja Euratomi laenud kolmandatele riikidele on alates 1994. aastast olnud kaetud välistegevuse tagatisfondist (edaspidi „fond“). Maksebilansi tasakaalustamiseks antud laenud ning EFSMi ja Euratomi laenud liikmesriikidele on kaetud otse ELi eelarvest.</w:t>
      </w:r>
    </w:p>
    <w:p>
      <w:pPr>
        <w:rPr>
          <w:noProof/>
        </w:rPr>
      </w:pPr>
      <w:r>
        <w:rPr>
          <w:noProof/>
        </w:rPr>
        <w:t>Fond katab nende kohustuste täitmata jätmise, mis kaasnevad ELi mittekuuluvatele riikidele või nendes riikides rakendatavate projektide jaoks antud laenude ja laenutagatistega. Fond loodi selleks, et</w:t>
      </w:r>
    </w:p>
    <w:p>
      <w:pPr>
        <w:pStyle w:val="ListDash"/>
        <w:numPr>
          <w:ilvl w:val="0"/>
          <w:numId w:val="36"/>
        </w:numPr>
        <w:ind w:left="851"/>
        <w:rPr>
          <w:noProof/>
        </w:rPr>
      </w:pPr>
      <w:r>
        <w:rPr>
          <w:noProof/>
        </w:rPr>
        <w:t>pakkuda likviidsuspuhvrit, et vältida ELi eelarve kasutamist iga kord, kui seoses tagatud laenuga jäetakse kohustused täitmata või viivitatakse nende tasumisega, ning</w:t>
      </w:r>
    </w:p>
    <w:p>
      <w:pPr>
        <w:pStyle w:val="ListDash"/>
        <w:numPr>
          <w:ilvl w:val="0"/>
          <w:numId w:val="36"/>
        </w:numPr>
        <w:ind w:left="851"/>
        <w:rPr>
          <w:noProof/>
        </w:rPr>
      </w:pPr>
      <w:r>
        <w:rPr>
          <w:noProof/>
        </w:rPr>
        <w:t>luua eelarvedistsipliini vahend, kehtestades finantsraamistiku sellise ELi poliitika arendamiseks, mis käsitleb ELi ja EIP kolmandatele riikidele antavate laenude tagatisi</w:t>
      </w:r>
      <w:r>
        <w:rPr>
          <w:rStyle w:val="Funotenzeichen"/>
          <w:noProof/>
        </w:rPr>
        <w:footnoteReference w:id="9"/>
      </w:r>
      <w:r>
        <w:rPr>
          <w:noProof/>
        </w:rPr>
        <w:t>.</w:t>
      </w:r>
    </w:p>
    <w:p>
      <w:pPr>
        <w:rPr>
          <w:noProof/>
        </w:rPr>
      </w:pPr>
      <w:r>
        <w:rPr>
          <w:noProof/>
        </w:rPr>
        <w:t>Kui kolmas riik saab Euroopa Liidu liikmesriigiks, ei kaeta temaga seotud laene enam fondist ja risk tuleb katta otse ELi eelarvest. Fondi rahastatakse ELi eelarvest ning selle vahendid peavad pidevalt vastama teatavale protsendile nende tagasimaksmata laenude ja laenutagatiste põhisummast, mida fondist kaetakse. Kõnealune protsent ehk sihtmäär on praegu 9 %</w:t>
      </w:r>
      <w:r>
        <w:rPr>
          <w:rStyle w:val="FootnoteReference"/>
          <w:noProof/>
        </w:rPr>
        <w:footnoteReference w:id="10"/>
      </w:r>
      <w:r>
        <w:rPr>
          <w:noProof/>
        </w:rPr>
        <w:t>. Kui fondis ei ole piisavalt vahendeid, leitakse need ELi eelarvest.</w:t>
      </w:r>
    </w:p>
    <w:p>
      <w:pPr>
        <w:rPr>
          <w:b/>
          <w:noProof/>
        </w:rPr>
      </w:pPr>
      <w:r>
        <w:rPr>
          <w:b/>
          <w:noProof/>
        </w:rPr>
        <w:t>2.4 Liikmesriikides ELi tagatistega kaetud tehingute rahastamine Euroopa Investeerimispanga (edaspidi „EIP“) ja Euroopa Investeerimisfondi (edaspidi „EIF“) poolt – Euroopa Strateegiliste Investeeringute Fond (EFSI)</w:t>
      </w:r>
    </w:p>
    <w:p>
      <w:pPr>
        <w:rPr>
          <w:noProof/>
        </w:rPr>
      </w:pPr>
      <w:r>
        <w:rPr>
          <w:noProof/>
        </w:rPr>
        <w:t>Euroopa Strateegiliste Investeeringute Fond (EFSI) on väga oluline osa Euroopa investeerimiskavast, mille eesmärk on edendada Euroopa Liidu pikaajalist majanduskasvu ja konkurentsivõimet.</w:t>
      </w:r>
    </w:p>
    <w:p>
      <w:pPr>
        <w:rPr>
          <w:noProof/>
        </w:rPr>
      </w:pPr>
      <w:r>
        <w:rPr>
          <w:noProof/>
        </w:rPr>
        <w:t>ELi tagatisega on kaetud osa rahastamis- ja investeerimistehinguid, mille EIP teostab infrastruktuuri ja innovatsiooni programmi ning Euroopa Investeerimisfondi VKEde programmi raames, teise osa teostab EIP grupp oma vastutusel.</w:t>
      </w:r>
    </w:p>
    <w:p>
      <w:pPr>
        <w:rPr>
          <w:noProof/>
        </w:rPr>
      </w:pPr>
      <w:r>
        <w:rPr>
          <w:noProof/>
        </w:rPr>
        <w:t>EIP ja EIF vastutavad iga üksiku tehinguga seotud riskide hindamise ja kontrollimise ning komisjonile ja kontrollikojale aruande esitamise eest.</w:t>
      </w:r>
    </w:p>
    <w:p>
      <w:pPr>
        <w:rPr>
          <w:noProof/>
        </w:rPr>
      </w:pPr>
      <w:r>
        <w:rPr>
          <w:noProof/>
          <w:u w:val="single"/>
        </w:rPr>
        <w:t>Euroopa Strateegiliste Investeeringute Fondi tagatisfond</w:t>
      </w:r>
      <w:r>
        <w:rPr>
          <w:rStyle w:val="FootnoteReference"/>
          <w:noProof/>
        </w:rPr>
        <w:footnoteReference w:id="11"/>
      </w:r>
    </w:p>
    <w:p>
      <w:pPr>
        <w:rPr>
          <w:noProof/>
        </w:rPr>
      </w:pPr>
      <w:r>
        <w:rPr>
          <w:noProof/>
        </w:rPr>
        <w:t>Vastavalt EFSI määruse</w:t>
      </w:r>
      <w:r>
        <w:rPr>
          <w:rStyle w:val="FootnoteReference"/>
          <w:noProof/>
        </w:rPr>
        <w:footnoteReference w:id="12"/>
      </w:r>
      <w:r>
        <w:rPr>
          <w:noProof/>
        </w:rPr>
        <w:t xml:space="preserve"> artiklile 12 on EFSI tagatisfond likviidsuspuhver, millest tehakse EIP-le väljamakseid ELi tagatise realiseerimise korral. Kui realiseeritud tagatise summa ületab EFSI kontol EIP käsutuses olevate vahendite summa, makstakse see vastavalt ELi ja EIP vahelisele EFSI lepingule välja EFSI tagatisfondist. EIP hallatav EFSI konto loodi eesmärgiga koguda sellele ELi tulud, mis saadakse ELi tagatisega tagatud EFSI toimingutest ja sissenõutud summadest, ning maksta kasutada olevate vahendite ulatuses välja realiseeritud ELi tagatis. </w:t>
      </w:r>
    </w:p>
    <w:p>
      <w:pPr>
        <w:rPr>
          <w:noProof/>
        </w:rPr>
      </w:pPr>
      <w:r>
        <w:rPr>
          <w:noProof/>
        </w:rPr>
        <w:t>Makseid EFSI tagatisfondi tehakse järk-järgult, võttes arvesse ELi tagatisest tulenevat riskipositsiooni suurenemist.</w:t>
      </w:r>
    </w:p>
    <w:p>
      <w:pPr>
        <w:rPr>
          <w:noProof/>
        </w:rPr>
      </w:pPr>
      <w:r>
        <w:rPr>
          <w:noProof/>
        </w:rPr>
        <w:t>Kooskõlas artikli 12 lõikega 4 haldab EFSI tagatisfondi vahendeid komisjon otse ja neid investeeritakse kooskõlas usaldusväärse finantsjuhtimise põhimõttega, järgides asjakohaseid usaldatavusnõudeid.</w:t>
      </w:r>
    </w:p>
    <w:p>
      <w:pPr>
        <w:rPr>
          <w:b/>
          <w:noProof/>
        </w:rPr>
      </w:pPr>
      <w:r>
        <w:rPr>
          <w:b/>
          <w:noProof/>
        </w:rPr>
        <w:t>2.5 Muud kriisiohjamismehhanismid, mida ei kaeta ELi eelarvest</w:t>
      </w:r>
    </w:p>
    <w:p>
      <w:pPr>
        <w:rPr>
          <w:noProof/>
        </w:rPr>
      </w:pPr>
      <w:r>
        <w:rPr>
          <w:noProof/>
        </w:rPr>
        <w:t xml:space="preserve">Kriisi ohjamiseks on käivitatud veel mitu mehhanismi, millega </w:t>
      </w:r>
      <w:r>
        <w:rPr>
          <w:i/>
          <w:noProof/>
        </w:rPr>
        <w:t>ei</w:t>
      </w:r>
      <w:r>
        <w:rPr>
          <w:noProof/>
        </w:rPr>
        <w:t xml:space="preserve"> kaasne riske ELi eelarvele:</w:t>
      </w:r>
    </w:p>
    <w:p>
      <w:pPr>
        <w:pStyle w:val="NormalWeb"/>
        <w:jc w:val="both"/>
        <w:rPr>
          <w:noProof/>
        </w:rPr>
      </w:pPr>
      <w:r>
        <w:rPr>
          <w:noProof/>
        </w:rPr>
        <w:t xml:space="preserve">- </w:t>
      </w:r>
      <w:r>
        <w:rPr>
          <w:i/>
          <w:noProof/>
        </w:rPr>
        <w:t>Kreeka laenuleping</w:t>
      </w:r>
      <w:r>
        <w:rPr>
          <w:rStyle w:val="FootnoteReference"/>
          <w:i/>
          <w:noProof/>
        </w:rPr>
        <w:footnoteReference w:id="13"/>
      </w:r>
      <w:r>
        <w:rPr>
          <w:noProof/>
        </w:rPr>
        <w:t>, mida rahastatakse teiste euroala liikmesriikide poolt Kreekale antavate kahepoolsete laenudega ja mida haldab keskselt komisjon.</w:t>
      </w:r>
    </w:p>
    <w:p>
      <w:pPr>
        <w:pStyle w:val="NormalWeb"/>
        <w:jc w:val="both"/>
        <w:rPr>
          <w:noProof/>
        </w:rPr>
      </w:pPr>
      <w:r>
        <w:rPr>
          <w:i/>
          <w:noProof/>
        </w:rPr>
        <w:t>- Euroopa finantsstabiilsusvahend (EFSF)</w:t>
      </w:r>
      <w:r>
        <w:rPr>
          <w:rStyle w:val="FootnoteReference"/>
          <w:i/>
          <w:noProof/>
        </w:rPr>
        <w:footnoteReference w:id="14"/>
      </w:r>
      <w:r>
        <w:rPr>
          <w:noProof/>
        </w:rPr>
        <w:t xml:space="preserve">: euroala liikmesriigid lõid EFSFi 2010. aasta juunis ajutise päästemehhanismina, et pakkuda euroala liikmesriikidele finantsabi makromajandusliku kohandamisprogrammi raames. Alalise päästemehhanismi – Euroopa stabiilsusmehhanismi (ESM) – leping jõustus 27. septembril 2012. EFSF jätkab alates </w:t>
      </w:r>
      <w:r>
        <w:rPr>
          <w:rStyle w:val="Strong"/>
          <w:b w:val="0"/>
          <w:noProof/>
        </w:rPr>
        <w:t>1. juulist 2013</w:t>
      </w:r>
      <w:r>
        <w:rPr>
          <w:noProof/>
        </w:rPr>
        <w:t xml:space="preserve"> käimasolevate Kreeka programmidega (koos IMFi ja mõnede liikmesriikidega), samuti Iirimaa ja Portugali programmidega (koos IMFi, mõnede liikmesriikide ning ELi/EFSMiga)</w:t>
      </w:r>
      <w:r>
        <w:rPr>
          <w:rStyle w:val="FootnoteReference"/>
          <w:noProof/>
        </w:rPr>
        <w:footnoteReference w:id="15"/>
      </w:r>
      <w:r>
        <w:rPr>
          <w:noProof/>
        </w:rPr>
        <w:t xml:space="preserve">, kuid ei osale enam uutes rahastamisprogrammides ega laenulepingutes. </w:t>
      </w:r>
    </w:p>
    <w:p>
      <w:pPr>
        <w:pStyle w:val="NormalWeb"/>
        <w:jc w:val="both"/>
        <w:rPr>
          <w:noProof/>
        </w:rPr>
      </w:pPr>
      <w:r>
        <w:rPr>
          <w:i/>
          <w:noProof/>
        </w:rPr>
        <w:t>- Euroopa stabiilsusmehhanism (ESM)</w:t>
      </w:r>
      <w:r>
        <w:rPr>
          <w:rStyle w:val="FootnoteReference"/>
          <w:i/>
          <w:noProof/>
        </w:rPr>
        <w:footnoteReference w:id="16"/>
      </w:r>
      <w:r>
        <w:rPr>
          <w:noProof/>
        </w:rPr>
        <w:t xml:space="preserve">: ESM on oluline osa ELi laiahaardelisest strateegiast, mis on mõeldud euroalal finantsstabiilsuse kaitsmiseks, </w:t>
      </w:r>
      <w:r>
        <w:rPr>
          <w:rStyle w:val="Strong"/>
          <w:b w:val="0"/>
          <w:noProof/>
        </w:rPr>
        <w:t xml:space="preserve">ja see pakub finantsabi euroala liikmesriikidele, kellel on või keda ohustavad finantsraskused. </w:t>
      </w:r>
      <w:r>
        <w:rPr>
          <w:noProof/>
        </w:rPr>
        <w:t>ESM on Luksemburgis asuv valitsustevaheline organisatsioon, mida reguleeritakse rahvusvahelise avaliku õiguse alusel. Selle laenuandmisvõime on 500 000 miljonit eurot.</w:t>
      </w:r>
    </w:p>
    <w:p>
      <w:pPr>
        <w:pStyle w:val="ManualHeading1"/>
        <w:rPr>
          <w:noProof/>
        </w:rPr>
      </w:pPr>
      <w:bookmarkStart w:id="48" w:name="_Toc390944387"/>
      <w:bookmarkStart w:id="49" w:name="_Toc393969958"/>
      <w:bookmarkStart w:id="50" w:name="_Toc417461965"/>
      <w:bookmarkStart w:id="51" w:name="_Toc417998599"/>
      <w:bookmarkStart w:id="52" w:name="_Toc418157625"/>
      <w:bookmarkStart w:id="53" w:name="_Toc418160306"/>
      <w:bookmarkStart w:id="54" w:name="_Toc446577173"/>
      <w:bookmarkStart w:id="55" w:name="_Toc452646719"/>
      <w:bookmarkStart w:id="56" w:name="_Toc453161358"/>
      <w:bookmarkStart w:id="57" w:name="_Toc486601261"/>
      <w:bookmarkStart w:id="58" w:name="_Toc495658608"/>
      <w:bookmarkStart w:id="59" w:name="_Toc499024187"/>
      <w:bookmarkStart w:id="60" w:name="_Toc309831356"/>
      <w:bookmarkStart w:id="61" w:name="_Toc329261056"/>
      <w:bookmarkStart w:id="62" w:name="_Toc329855618"/>
      <w:bookmarkStart w:id="63" w:name="_Toc330551223"/>
      <w:bookmarkStart w:id="64" w:name="_Toc342470146"/>
      <w:bookmarkStart w:id="65" w:name="_Toc345073696"/>
      <w:bookmarkStart w:id="66" w:name="_Toc365986213"/>
      <w:bookmarkStart w:id="67" w:name="_Toc367869466"/>
      <w:bookmarkStart w:id="68" w:name="_Toc367869993"/>
      <w:bookmarkStart w:id="69" w:name="_Toc388973011"/>
      <w:bookmarkStart w:id="70" w:name="_Toc389474744"/>
      <w:r>
        <w:rPr>
          <w:noProof/>
        </w:rPr>
        <w:t>3.</w:t>
      </w:r>
      <w:r>
        <w:rPr>
          <w:noProof/>
        </w:rPr>
        <w:tab/>
        <w:t>Sündmused tagatud tehingute valdkonnas</w:t>
      </w:r>
      <w:bookmarkEnd w:id="48"/>
      <w:bookmarkEnd w:id="49"/>
      <w:bookmarkEnd w:id="50"/>
      <w:bookmarkEnd w:id="51"/>
      <w:bookmarkEnd w:id="52"/>
      <w:bookmarkEnd w:id="53"/>
      <w:bookmarkEnd w:id="54"/>
      <w:bookmarkEnd w:id="55"/>
      <w:bookmarkEnd w:id="56"/>
      <w:bookmarkEnd w:id="57"/>
      <w:bookmarkEnd w:id="58"/>
      <w:bookmarkEnd w:id="59"/>
      <w:r>
        <w:rPr>
          <w:noProof/>
        </w:rPr>
        <w:t xml:space="preserve"> </w:t>
      </w:r>
      <w:bookmarkEnd w:id="60"/>
      <w:bookmarkEnd w:id="61"/>
      <w:bookmarkEnd w:id="62"/>
      <w:bookmarkEnd w:id="63"/>
      <w:bookmarkEnd w:id="64"/>
      <w:bookmarkEnd w:id="65"/>
      <w:bookmarkEnd w:id="66"/>
      <w:bookmarkEnd w:id="67"/>
      <w:bookmarkEnd w:id="68"/>
      <w:bookmarkEnd w:id="69"/>
      <w:bookmarkEnd w:id="70"/>
    </w:p>
    <w:p>
      <w:pPr>
        <w:rPr>
          <w:noProof/>
        </w:rPr>
      </w:pPr>
      <w:r>
        <w:rPr>
          <w:noProof/>
        </w:rPr>
        <w:t xml:space="preserve">Selles punktis on kirjeldatud sündmusi tagatud tehingute valdkonnas. Esiteks on kirjeldatud sündmusi komisjoni otseselt hallatavate tehingute ja teiseks EIP hallatavate tehingute valdkonnas. </w:t>
      </w:r>
    </w:p>
    <w:tbl>
      <w:tblPr>
        <w:tblW w:w="8902" w:type="dxa"/>
        <w:tblInd w:w="-5" w:type="dxa"/>
        <w:tblLayout w:type="fixed"/>
        <w:tblLook w:val="0000" w:firstRow="0" w:lastRow="0" w:firstColumn="0" w:lastColumn="0" w:noHBand="0" w:noVBand="0"/>
      </w:tblPr>
      <w:tblGrid>
        <w:gridCol w:w="2770"/>
        <w:gridCol w:w="1665"/>
        <w:gridCol w:w="1891"/>
        <w:gridCol w:w="1446"/>
        <w:gridCol w:w="1130"/>
      </w:tblGrid>
      <w:tr>
        <w:trPr>
          <w:trHeight w:val="165"/>
        </w:trPr>
        <w:tc>
          <w:tcPr>
            <w:tcW w:w="8902" w:type="dxa"/>
            <w:gridSpan w:val="5"/>
            <w:tcBorders>
              <w:bottom w:val="single" w:sz="4" w:space="0" w:color="000000"/>
            </w:tcBorders>
          </w:tcPr>
          <w:p>
            <w:pPr>
              <w:snapToGrid w:val="0"/>
              <w:spacing w:after="0"/>
              <w:rPr>
                <w:noProof/>
                <w:sz w:val="18"/>
              </w:rPr>
            </w:pPr>
            <w:r>
              <w:rPr>
                <w:noProof/>
              </w:rPr>
              <w:br w:type="page"/>
            </w:r>
            <w:r>
              <w:rPr>
                <w:noProof/>
                <w:sz w:val="18"/>
              </w:rPr>
              <w:t>Tabel 1. ELi eelarvest kaetav tagatud laenujääk kokku 31. detsembri 2016. aasta seisuga (miljonites eurodes)</w:t>
            </w:r>
          </w:p>
        </w:tc>
      </w:tr>
      <w:tr>
        <w:trPr>
          <w:trHeight w:val="165"/>
        </w:trPr>
        <w:tc>
          <w:tcPr>
            <w:tcW w:w="2770" w:type="dxa"/>
            <w:tcBorders>
              <w:top w:val="single" w:sz="4" w:space="0" w:color="000000"/>
              <w:left w:val="single" w:sz="4" w:space="0" w:color="000000"/>
              <w:bottom w:val="single" w:sz="4" w:space="0" w:color="000000"/>
            </w:tcBorders>
          </w:tcPr>
          <w:p>
            <w:pPr>
              <w:snapToGrid w:val="0"/>
              <w:rPr>
                <w:b/>
                <w:noProof/>
              </w:rPr>
            </w:pPr>
          </w:p>
        </w:tc>
        <w:tc>
          <w:tcPr>
            <w:tcW w:w="1665" w:type="dxa"/>
            <w:tcBorders>
              <w:top w:val="single" w:sz="4" w:space="0" w:color="000000"/>
              <w:left w:val="single" w:sz="4" w:space="0" w:color="000000"/>
              <w:bottom w:val="single" w:sz="4" w:space="0" w:color="000000"/>
            </w:tcBorders>
          </w:tcPr>
          <w:p>
            <w:pPr>
              <w:snapToGrid w:val="0"/>
              <w:jc w:val="center"/>
              <w:rPr>
                <w:b/>
                <w:noProof/>
              </w:rPr>
            </w:pPr>
            <w:r>
              <w:rPr>
                <w:b/>
                <w:noProof/>
              </w:rPr>
              <w:t>Põhisumma jääk</w:t>
            </w:r>
          </w:p>
        </w:tc>
        <w:tc>
          <w:tcPr>
            <w:tcW w:w="1891" w:type="dxa"/>
            <w:tcBorders>
              <w:top w:val="single" w:sz="4" w:space="0" w:color="000000"/>
              <w:left w:val="single" w:sz="4" w:space="0" w:color="000000"/>
              <w:bottom w:val="single" w:sz="4" w:space="0" w:color="000000"/>
            </w:tcBorders>
          </w:tcPr>
          <w:p>
            <w:pPr>
              <w:snapToGrid w:val="0"/>
              <w:jc w:val="center"/>
              <w:rPr>
                <w:b/>
                <w:noProof/>
              </w:rPr>
            </w:pPr>
            <w:r>
              <w:rPr>
                <w:b/>
                <w:noProof/>
              </w:rPr>
              <w:t>Kogunenud intress</w:t>
            </w:r>
          </w:p>
        </w:tc>
        <w:tc>
          <w:tcPr>
            <w:tcW w:w="1446" w:type="dxa"/>
            <w:tcBorders>
              <w:top w:val="single" w:sz="4" w:space="0" w:color="000000"/>
              <w:left w:val="single" w:sz="4" w:space="0" w:color="000000"/>
              <w:bottom w:val="single" w:sz="4" w:space="0" w:color="000000"/>
            </w:tcBorders>
          </w:tcPr>
          <w:p>
            <w:pPr>
              <w:snapToGrid w:val="0"/>
              <w:jc w:val="center"/>
              <w:rPr>
                <w:b/>
                <w:noProof/>
              </w:rPr>
            </w:pPr>
            <w:r>
              <w:rPr>
                <w:b/>
                <w:noProof/>
              </w:rPr>
              <w:t>Kokku</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center"/>
              <w:rPr>
                <w:b/>
                <w:noProof/>
              </w:rPr>
            </w:pPr>
            <w:r>
              <w:rPr>
                <w:b/>
                <w:noProof/>
              </w:rPr>
              <w:t>%</w:t>
            </w:r>
          </w:p>
        </w:tc>
      </w:tr>
      <w:tr>
        <w:trPr>
          <w:trHeight w:val="165"/>
        </w:trPr>
        <w:tc>
          <w:tcPr>
            <w:tcW w:w="2770" w:type="dxa"/>
            <w:tcBorders>
              <w:top w:val="single" w:sz="4" w:space="0" w:color="000000"/>
              <w:left w:val="single" w:sz="4" w:space="0" w:color="000000"/>
              <w:bottom w:val="single" w:sz="4" w:space="0" w:color="000000"/>
            </w:tcBorders>
          </w:tcPr>
          <w:p>
            <w:pPr>
              <w:snapToGrid w:val="0"/>
              <w:rPr>
                <w:rStyle w:val="Added"/>
                <w:noProof/>
                <w:u w:val="none"/>
              </w:rPr>
            </w:pPr>
            <w:r>
              <w:rPr>
                <w:rStyle w:val="Added"/>
                <w:noProof/>
                <w:u w:val="none"/>
              </w:rPr>
              <w:t>Liikmesriigid*</w:t>
            </w:r>
          </w:p>
        </w:tc>
        <w:tc>
          <w:tcPr>
            <w:tcW w:w="1665" w:type="dxa"/>
            <w:tcBorders>
              <w:top w:val="single" w:sz="4" w:space="0" w:color="000000"/>
              <w:left w:val="single" w:sz="4" w:space="0" w:color="000000"/>
              <w:bottom w:val="single" w:sz="4" w:space="0" w:color="000000"/>
            </w:tcBorders>
          </w:tcPr>
          <w:p>
            <w:pPr>
              <w:snapToGrid w:val="0"/>
              <w:rPr>
                <w:noProof/>
              </w:rPr>
            </w:pPr>
          </w:p>
        </w:tc>
        <w:tc>
          <w:tcPr>
            <w:tcW w:w="1891" w:type="dxa"/>
            <w:tcBorders>
              <w:top w:val="single" w:sz="4" w:space="0" w:color="000000"/>
              <w:left w:val="single" w:sz="4" w:space="0" w:color="000000"/>
              <w:bottom w:val="single" w:sz="4" w:space="0" w:color="000000"/>
            </w:tcBorders>
          </w:tcPr>
          <w:p>
            <w:pPr>
              <w:snapToGrid w:val="0"/>
              <w:rPr>
                <w:noProof/>
              </w:rPr>
            </w:pPr>
          </w:p>
        </w:tc>
        <w:tc>
          <w:tcPr>
            <w:tcW w:w="1446" w:type="dxa"/>
            <w:tcBorders>
              <w:top w:val="single" w:sz="4" w:space="0" w:color="000000"/>
              <w:left w:val="single" w:sz="4" w:space="0" w:color="000000"/>
              <w:bottom w:val="single" w:sz="4" w:space="0" w:color="000000"/>
            </w:tcBorders>
          </w:tcPr>
          <w:p>
            <w:pPr>
              <w:snapToGrid w:val="0"/>
              <w:rPr>
                <w:b/>
                <w:noProof/>
              </w:rPr>
            </w:pPr>
          </w:p>
        </w:tc>
        <w:tc>
          <w:tcPr>
            <w:tcW w:w="1130" w:type="dxa"/>
            <w:tcBorders>
              <w:top w:val="single" w:sz="4" w:space="0" w:color="000000"/>
              <w:left w:val="single" w:sz="4" w:space="0" w:color="000000"/>
              <w:bottom w:val="single" w:sz="4" w:space="0" w:color="000000"/>
              <w:right w:val="single" w:sz="4" w:space="0" w:color="000000"/>
            </w:tcBorders>
          </w:tcPr>
          <w:p>
            <w:pPr>
              <w:snapToGrid w:val="0"/>
              <w:rPr>
                <w:b/>
                <w:noProof/>
              </w:rPr>
            </w:pP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Euratom</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241.06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0,80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241,86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0,29 %</w:t>
            </w: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Maksebilansi tasakaalustamine</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4 200,00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71,60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4 271,60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5,13 %</w:t>
            </w: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EIP</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1 651,32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13,15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1 664,47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2,00 %</w:t>
            </w: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rStyle w:val="Added"/>
                <w:noProof/>
              </w:rPr>
            </w:pPr>
            <w:r>
              <w:rPr>
                <w:b/>
                <w:noProof/>
              </w:rPr>
              <w:t>Euroopa finantsstabiilsusmehhanism</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46 800,00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655,79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47 455,79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57,01 %</w:t>
            </w:r>
          </w:p>
        </w:tc>
      </w:tr>
      <w:tr>
        <w:trPr>
          <w:trHeight w:val="165"/>
        </w:trPr>
        <w:tc>
          <w:tcPr>
            <w:tcW w:w="2770" w:type="dxa"/>
            <w:tcBorders>
              <w:top w:val="single" w:sz="4" w:space="0" w:color="000000"/>
              <w:left w:val="single" w:sz="4" w:space="0" w:color="000000"/>
              <w:bottom w:val="single" w:sz="4" w:space="0" w:color="000000"/>
            </w:tcBorders>
          </w:tcPr>
          <w:p>
            <w:pPr>
              <w:snapToGrid w:val="0"/>
              <w:jc w:val="left"/>
              <w:rPr>
                <w:rStyle w:val="Added"/>
                <w:noProof/>
                <w:u w:val="none"/>
              </w:rPr>
            </w:pPr>
            <w:r>
              <w:rPr>
                <w:rStyle w:val="Added"/>
                <w:noProof/>
                <w:u w:val="none"/>
              </w:rPr>
              <w:t>Liikmesriigid kokku</w:t>
            </w:r>
            <w:r>
              <w:rPr>
                <w:b/>
                <w:noProof/>
              </w:rPr>
              <w:t>**</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52 892,38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741,34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53 633,72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64,43 %</w:t>
            </w:r>
          </w:p>
        </w:tc>
      </w:tr>
      <w:tr>
        <w:trPr>
          <w:trHeight w:val="165"/>
        </w:trPr>
        <w:tc>
          <w:tcPr>
            <w:tcW w:w="2770" w:type="dxa"/>
            <w:tcBorders>
              <w:top w:val="single" w:sz="4" w:space="0" w:color="000000"/>
              <w:left w:val="single" w:sz="4" w:space="0" w:color="000000"/>
              <w:bottom w:val="single" w:sz="4" w:space="0" w:color="000000"/>
            </w:tcBorders>
          </w:tcPr>
          <w:p>
            <w:pPr>
              <w:snapToGrid w:val="0"/>
              <w:rPr>
                <w:noProof/>
                <w:sz w:val="20"/>
              </w:rPr>
            </w:pPr>
            <w:r>
              <w:rPr>
                <w:rStyle w:val="Added"/>
                <w:noProof/>
                <w:u w:val="none"/>
              </w:rPr>
              <w:t>Kolmandad riigid</w:t>
            </w:r>
            <w:r>
              <w:rPr>
                <w:noProof/>
                <w:sz w:val="20"/>
              </w:rPr>
              <w:t>***</w:t>
            </w:r>
          </w:p>
        </w:tc>
        <w:tc>
          <w:tcPr>
            <w:tcW w:w="1665" w:type="dxa"/>
            <w:tcBorders>
              <w:top w:val="single" w:sz="4" w:space="0" w:color="000000"/>
              <w:left w:val="single" w:sz="4" w:space="0" w:color="000000"/>
              <w:bottom w:val="single" w:sz="4" w:space="0" w:color="000000"/>
            </w:tcBorders>
          </w:tcPr>
          <w:p>
            <w:pPr>
              <w:snapToGrid w:val="0"/>
              <w:jc w:val="right"/>
              <w:rPr>
                <w:noProof/>
              </w:rPr>
            </w:pPr>
          </w:p>
        </w:tc>
        <w:tc>
          <w:tcPr>
            <w:tcW w:w="1891" w:type="dxa"/>
            <w:tcBorders>
              <w:top w:val="single" w:sz="4" w:space="0" w:color="000000"/>
              <w:left w:val="single" w:sz="4" w:space="0" w:color="000000"/>
              <w:bottom w:val="single" w:sz="4" w:space="0" w:color="000000"/>
            </w:tcBorders>
          </w:tcPr>
          <w:p>
            <w:pPr>
              <w:snapToGrid w:val="0"/>
              <w:jc w:val="right"/>
              <w:rPr>
                <w:noProof/>
              </w:rPr>
            </w:pPr>
          </w:p>
        </w:tc>
        <w:tc>
          <w:tcPr>
            <w:tcW w:w="1446" w:type="dxa"/>
            <w:tcBorders>
              <w:top w:val="single" w:sz="4" w:space="0" w:color="000000"/>
              <w:left w:val="single" w:sz="4" w:space="0" w:color="000000"/>
              <w:bottom w:val="single" w:sz="4" w:space="0" w:color="000000"/>
            </w:tcBorders>
          </w:tcPr>
          <w:p>
            <w:pPr>
              <w:snapToGrid w:val="0"/>
              <w:jc w:val="right"/>
              <w:rPr>
                <w:noProof/>
              </w:rPr>
            </w:pP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Makromajanduslik finantsabi</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2 946,60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17,30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2 963,90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3,56 %</w:t>
            </w: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Euratom</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10,37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0,02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10,39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0,01 %</w:t>
            </w:r>
          </w:p>
        </w:tc>
      </w:tr>
      <w:tr>
        <w:trPr>
          <w:trHeight w:val="165"/>
        </w:trPr>
        <w:tc>
          <w:tcPr>
            <w:tcW w:w="2770" w:type="dxa"/>
            <w:tcBorders>
              <w:top w:val="single" w:sz="4" w:space="0" w:color="000000"/>
              <w:left w:val="single" w:sz="4" w:space="0" w:color="000000"/>
              <w:bottom w:val="single" w:sz="4" w:space="0" w:color="000000"/>
            </w:tcBorders>
          </w:tcPr>
          <w:p>
            <w:pPr>
              <w:snapToGrid w:val="0"/>
              <w:ind w:left="284"/>
              <w:rPr>
                <w:b/>
                <w:noProof/>
              </w:rPr>
            </w:pPr>
            <w:r>
              <w:rPr>
                <w:b/>
                <w:noProof/>
              </w:rPr>
              <w:t>EIP****</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26 482,04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156,89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26 638,94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32,00 %</w:t>
            </w:r>
          </w:p>
        </w:tc>
      </w:tr>
      <w:tr>
        <w:trPr>
          <w:trHeight w:val="165"/>
        </w:trPr>
        <w:tc>
          <w:tcPr>
            <w:tcW w:w="2770" w:type="dxa"/>
            <w:tcBorders>
              <w:top w:val="single" w:sz="4" w:space="0" w:color="000000"/>
              <w:left w:val="single" w:sz="4" w:space="0" w:color="000000"/>
              <w:bottom w:val="single" w:sz="4" w:space="0" w:color="000000"/>
            </w:tcBorders>
          </w:tcPr>
          <w:p>
            <w:pPr>
              <w:snapToGrid w:val="0"/>
              <w:rPr>
                <w:b/>
                <w:noProof/>
              </w:rPr>
            </w:pPr>
            <w:r>
              <w:rPr>
                <w:b/>
                <w:noProof/>
              </w:rPr>
              <w:t>Kolmandad riigid kokku</w:t>
            </w:r>
          </w:p>
        </w:tc>
        <w:tc>
          <w:tcPr>
            <w:tcW w:w="1665" w:type="dxa"/>
            <w:tcBorders>
              <w:top w:val="single" w:sz="4" w:space="0" w:color="000000"/>
              <w:left w:val="single" w:sz="4" w:space="0" w:color="000000"/>
              <w:bottom w:val="single" w:sz="4" w:space="0" w:color="000000"/>
            </w:tcBorders>
          </w:tcPr>
          <w:p>
            <w:pPr>
              <w:snapToGrid w:val="0"/>
              <w:jc w:val="right"/>
              <w:rPr>
                <w:noProof/>
              </w:rPr>
            </w:pPr>
            <w:r>
              <w:rPr>
                <w:noProof/>
              </w:rPr>
              <w:t xml:space="preserve"> 29 439,01 </w:t>
            </w:r>
          </w:p>
        </w:tc>
        <w:tc>
          <w:tcPr>
            <w:tcW w:w="1891" w:type="dxa"/>
            <w:tcBorders>
              <w:top w:val="single" w:sz="4" w:space="0" w:color="000000"/>
              <w:left w:val="single" w:sz="4" w:space="0" w:color="000000"/>
              <w:bottom w:val="single" w:sz="4" w:space="0" w:color="000000"/>
            </w:tcBorders>
          </w:tcPr>
          <w:p>
            <w:pPr>
              <w:snapToGrid w:val="0"/>
              <w:jc w:val="right"/>
              <w:rPr>
                <w:noProof/>
              </w:rPr>
            </w:pPr>
            <w:r>
              <w:rPr>
                <w:noProof/>
              </w:rPr>
              <w:t xml:space="preserve"> 174,21 </w:t>
            </w:r>
          </w:p>
        </w:tc>
        <w:tc>
          <w:tcPr>
            <w:tcW w:w="1446" w:type="dxa"/>
            <w:tcBorders>
              <w:top w:val="single" w:sz="4" w:space="0" w:color="000000"/>
              <w:left w:val="single" w:sz="4" w:space="0" w:color="000000"/>
              <w:bottom w:val="single" w:sz="4" w:space="0" w:color="000000"/>
            </w:tcBorders>
          </w:tcPr>
          <w:p>
            <w:pPr>
              <w:snapToGrid w:val="0"/>
              <w:jc w:val="right"/>
              <w:rPr>
                <w:noProof/>
              </w:rPr>
            </w:pPr>
            <w:r>
              <w:rPr>
                <w:noProof/>
              </w:rPr>
              <w:t xml:space="preserve"> 29 613,23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35,57 %</w:t>
            </w:r>
          </w:p>
        </w:tc>
      </w:tr>
      <w:tr>
        <w:trPr>
          <w:trHeight w:val="165"/>
        </w:trPr>
        <w:tc>
          <w:tcPr>
            <w:tcW w:w="2770" w:type="dxa"/>
            <w:tcBorders>
              <w:top w:val="single" w:sz="4" w:space="0" w:color="000000"/>
              <w:left w:val="single" w:sz="4" w:space="0" w:color="000000"/>
              <w:bottom w:val="single" w:sz="4" w:space="0" w:color="000000"/>
            </w:tcBorders>
          </w:tcPr>
          <w:p>
            <w:pPr>
              <w:snapToGrid w:val="0"/>
              <w:rPr>
                <w:b/>
                <w:noProof/>
              </w:rPr>
            </w:pPr>
            <w:r>
              <w:rPr>
                <w:b/>
                <w:noProof/>
              </w:rPr>
              <w:t>Kokku</w:t>
            </w:r>
          </w:p>
        </w:tc>
        <w:tc>
          <w:tcPr>
            <w:tcW w:w="1665" w:type="dxa"/>
            <w:tcBorders>
              <w:top w:val="single" w:sz="4" w:space="0" w:color="000000"/>
              <w:left w:val="single" w:sz="4" w:space="0" w:color="000000"/>
              <w:bottom w:val="single" w:sz="4" w:space="0" w:color="000000"/>
            </w:tcBorders>
          </w:tcPr>
          <w:p>
            <w:pPr>
              <w:snapToGrid w:val="0"/>
              <w:jc w:val="right"/>
              <w:rPr>
                <w:b/>
                <w:noProof/>
              </w:rPr>
            </w:pPr>
            <w:r>
              <w:rPr>
                <w:noProof/>
              </w:rPr>
              <w:t xml:space="preserve"> 82 331,40 </w:t>
            </w:r>
          </w:p>
        </w:tc>
        <w:tc>
          <w:tcPr>
            <w:tcW w:w="1891" w:type="dxa"/>
            <w:tcBorders>
              <w:top w:val="single" w:sz="4" w:space="0" w:color="000000"/>
              <w:left w:val="single" w:sz="4" w:space="0" w:color="000000"/>
              <w:bottom w:val="single" w:sz="4" w:space="0" w:color="000000"/>
            </w:tcBorders>
          </w:tcPr>
          <w:p>
            <w:pPr>
              <w:snapToGrid w:val="0"/>
              <w:jc w:val="right"/>
              <w:rPr>
                <w:b/>
                <w:noProof/>
              </w:rPr>
            </w:pPr>
            <w:r>
              <w:rPr>
                <w:noProof/>
              </w:rPr>
              <w:t xml:space="preserve"> 915,55 </w:t>
            </w:r>
          </w:p>
        </w:tc>
        <w:tc>
          <w:tcPr>
            <w:tcW w:w="1446" w:type="dxa"/>
            <w:tcBorders>
              <w:top w:val="single" w:sz="4" w:space="0" w:color="000000"/>
              <w:left w:val="single" w:sz="4" w:space="0" w:color="000000"/>
              <w:bottom w:val="single" w:sz="4" w:space="0" w:color="000000"/>
            </w:tcBorders>
          </w:tcPr>
          <w:p>
            <w:pPr>
              <w:snapToGrid w:val="0"/>
              <w:jc w:val="right"/>
              <w:rPr>
                <w:b/>
                <w:noProof/>
              </w:rPr>
            </w:pPr>
            <w:r>
              <w:rPr>
                <w:noProof/>
              </w:rPr>
              <w:t xml:space="preserve"> 83 246,95 </w:t>
            </w:r>
          </w:p>
        </w:tc>
        <w:tc>
          <w:tcPr>
            <w:tcW w:w="1130" w:type="dxa"/>
            <w:tcBorders>
              <w:top w:val="single" w:sz="4" w:space="0" w:color="000000"/>
              <w:left w:val="single" w:sz="4" w:space="0" w:color="000000"/>
              <w:bottom w:val="single" w:sz="4" w:space="0" w:color="000000"/>
              <w:right w:val="single" w:sz="4" w:space="0" w:color="000000"/>
            </w:tcBorders>
          </w:tcPr>
          <w:p>
            <w:pPr>
              <w:snapToGrid w:val="0"/>
              <w:jc w:val="right"/>
              <w:rPr>
                <w:b/>
                <w:noProof/>
              </w:rPr>
            </w:pPr>
            <w:r>
              <w:rPr>
                <w:noProof/>
              </w:rPr>
              <w:t>100,00 %</w:t>
            </w:r>
          </w:p>
        </w:tc>
      </w:tr>
      <w:tr>
        <w:trPr>
          <w:trHeight w:val="284"/>
        </w:trPr>
        <w:tc>
          <w:tcPr>
            <w:tcW w:w="8902" w:type="dxa"/>
            <w:gridSpan w:val="5"/>
            <w:tcBorders>
              <w:top w:val="single" w:sz="4" w:space="0" w:color="000000"/>
              <w:left w:val="single" w:sz="4" w:space="0" w:color="000000"/>
              <w:bottom w:val="single" w:sz="4" w:space="0" w:color="000000"/>
              <w:right w:val="single" w:sz="4" w:space="0" w:color="000000"/>
            </w:tcBorders>
          </w:tcPr>
          <w:p>
            <w:pPr>
              <w:tabs>
                <w:tab w:val="left" w:pos="431"/>
              </w:tabs>
              <w:snapToGrid w:val="0"/>
              <w:spacing w:after="0"/>
              <w:ind w:left="431" w:hanging="426"/>
              <w:rPr>
                <w:noProof/>
                <w:sz w:val="20"/>
              </w:rPr>
            </w:pPr>
            <w:r>
              <w:rPr>
                <w:noProof/>
                <w:sz w:val="20"/>
              </w:rPr>
              <w:t>*</w:t>
            </w:r>
            <w:r>
              <w:rPr>
                <w:noProof/>
              </w:rPr>
              <w:tab/>
            </w:r>
            <w:r>
              <w:rPr>
                <w:noProof/>
                <w:sz w:val="20"/>
              </w:rPr>
              <w:t>Risk kaetakse otse ELi eelarvest. See hõlmab ka Euratomi ja EIP laene, mis anti liikmesriikidele enne nende ELiga ühinemist.</w:t>
            </w:r>
          </w:p>
          <w:p>
            <w:pPr>
              <w:tabs>
                <w:tab w:val="left" w:pos="431"/>
              </w:tabs>
              <w:snapToGrid w:val="0"/>
              <w:spacing w:after="0"/>
              <w:ind w:left="431" w:hanging="426"/>
              <w:rPr>
                <w:noProof/>
                <w:sz w:val="20"/>
              </w:rPr>
            </w:pPr>
            <w:r>
              <w:rPr>
                <w:noProof/>
                <w:sz w:val="20"/>
              </w:rPr>
              <w:t>**</w:t>
            </w:r>
            <w:r>
              <w:rPr>
                <w:noProof/>
              </w:rPr>
              <w:tab/>
            </w:r>
            <w:r>
              <w:rPr>
                <w:noProof/>
                <w:sz w:val="20"/>
              </w:rPr>
              <w:t>Arvud ei hõlma EFSI tegevust; selle kaudu oli aruandekuupäevaks välja makstud 4 392 miljonit eurot.</w:t>
            </w:r>
          </w:p>
          <w:p>
            <w:pPr>
              <w:tabs>
                <w:tab w:val="left" w:pos="431"/>
              </w:tabs>
              <w:spacing w:after="0"/>
              <w:ind w:left="431" w:hanging="426"/>
              <w:rPr>
                <w:noProof/>
                <w:sz w:val="20"/>
              </w:rPr>
            </w:pPr>
            <w:r>
              <w:rPr>
                <w:noProof/>
                <w:sz w:val="20"/>
              </w:rPr>
              <w:t>***</w:t>
            </w:r>
            <w:r>
              <w:rPr>
                <w:noProof/>
              </w:rPr>
              <w:tab/>
            </w:r>
            <w:r>
              <w:rPr>
                <w:noProof/>
                <w:sz w:val="20"/>
              </w:rPr>
              <w:t>Fondi kaetavate riskide maksimumsumma on 20,03 miljardit eurot.</w:t>
            </w:r>
          </w:p>
          <w:p>
            <w:pPr>
              <w:tabs>
                <w:tab w:val="left" w:pos="431"/>
              </w:tabs>
              <w:spacing w:after="0"/>
              <w:ind w:left="431" w:hanging="426"/>
              <w:rPr>
                <w:noProof/>
                <w:sz w:val="20"/>
              </w:rPr>
            </w:pPr>
            <w:r>
              <w:rPr>
                <w:noProof/>
                <w:sz w:val="20"/>
              </w:rPr>
              <w:t>****</w:t>
            </w:r>
            <w:r>
              <w:rPr>
                <w:noProof/>
              </w:rPr>
              <w:tab/>
            </w:r>
            <w:r>
              <w:rPr>
                <w:noProof/>
                <w:sz w:val="20"/>
              </w:rPr>
              <w:t>Hõlmab laene, mis anti ELile üle pärast seda, kui Süüria jättis oma EIP laenudega seotud kohustused täitmata</w:t>
            </w:r>
            <w:r>
              <w:rPr>
                <w:noProof/>
                <w:sz w:val="20"/>
              </w:rPr>
              <w:br/>
              <w:t xml:space="preserve">(summa: 247,20 miljonit eurot). ELi 2015. ja 2016. aasta raamatupidamisaruandes on need laenud täielikult allahinnatud. </w:t>
            </w:r>
          </w:p>
        </w:tc>
      </w:tr>
    </w:tbl>
    <w:p>
      <w:pPr>
        <w:rPr>
          <w:noProof/>
        </w:rPr>
      </w:pPr>
      <w:r>
        <w:rPr>
          <w:noProof/>
        </w:rPr>
        <w:t>Talituste töödokumendi tabelites A1, A2a, A2b ja A3 on esitatud kõnealuste laenujääkide kohta üksikasjalikum teave, eelkõige ülemmäär, väljamakstud summad ja tagatismäärad.</w:t>
      </w:r>
    </w:p>
    <w:p>
      <w:pPr>
        <w:rPr>
          <w:noProof/>
        </w:rPr>
      </w:pPr>
    </w:p>
    <w:p>
      <w:pPr>
        <w:pStyle w:val="ManualHeading2"/>
        <w:ind w:left="0" w:firstLine="0"/>
        <w:rPr>
          <w:noProof/>
        </w:rPr>
      </w:pPr>
      <w:bookmarkStart w:id="71" w:name="_Toc389474756"/>
      <w:bookmarkStart w:id="72" w:name="_Toc390944388"/>
      <w:bookmarkStart w:id="73" w:name="_Toc393969959"/>
      <w:bookmarkStart w:id="74" w:name="_Toc417461966"/>
      <w:bookmarkStart w:id="75" w:name="_Toc417998600"/>
      <w:bookmarkStart w:id="76" w:name="_Toc418157626"/>
      <w:bookmarkStart w:id="77" w:name="_Toc418160307"/>
      <w:bookmarkStart w:id="78" w:name="_Toc446577174"/>
      <w:bookmarkStart w:id="79" w:name="_Toc452646720"/>
      <w:bookmarkStart w:id="80" w:name="_Toc453161359"/>
      <w:bookmarkStart w:id="81" w:name="_Toc486601262"/>
      <w:bookmarkStart w:id="82" w:name="_Toc495658609"/>
      <w:bookmarkStart w:id="83" w:name="_Toc499024188"/>
      <w:r>
        <w:rPr>
          <w:noProof/>
        </w:rPr>
        <w:t>3.1</w:t>
      </w:r>
      <w:r>
        <w:rPr>
          <w:noProof/>
        </w:rPr>
        <w:tab/>
        <w:t>Komisjoni otseselt hallatavad tehingud</w:t>
      </w:r>
      <w:bookmarkEnd w:id="71"/>
      <w:bookmarkEnd w:id="72"/>
      <w:bookmarkEnd w:id="73"/>
      <w:bookmarkEnd w:id="74"/>
      <w:bookmarkEnd w:id="75"/>
      <w:bookmarkEnd w:id="76"/>
      <w:bookmarkEnd w:id="77"/>
      <w:bookmarkEnd w:id="78"/>
      <w:bookmarkEnd w:id="79"/>
      <w:bookmarkEnd w:id="80"/>
      <w:bookmarkEnd w:id="81"/>
      <w:bookmarkEnd w:id="82"/>
      <w:bookmarkEnd w:id="83"/>
      <w:r>
        <w:rPr>
          <w:noProof/>
        </w:rPr>
        <w:t xml:space="preserve"> </w:t>
      </w:r>
    </w:p>
    <w:p>
      <w:pPr>
        <w:pStyle w:val="ManualHeading3"/>
        <w:rPr>
          <w:noProof/>
        </w:rPr>
      </w:pPr>
      <w:bookmarkStart w:id="84" w:name="_Toc390944389"/>
      <w:bookmarkStart w:id="85" w:name="_Toc393969960"/>
      <w:bookmarkStart w:id="86" w:name="_Toc417461967"/>
      <w:bookmarkStart w:id="87" w:name="_Toc417998601"/>
      <w:bookmarkStart w:id="88" w:name="_Toc418157627"/>
      <w:bookmarkStart w:id="89" w:name="_Toc418160308"/>
      <w:bookmarkStart w:id="90" w:name="_Toc446577175"/>
      <w:bookmarkStart w:id="91" w:name="_Toc452646721"/>
      <w:bookmarkStart w:id="92" w:name="_Toc453161360"/>
      <w:bookmarkStart w:id="93" w:name="_Toc486601263"/>
      <w:bookmarkStart w:id="94" w:name="_Toc495658610"/>
      <w:bookmarkStart w:id="95" w:name="_Toc499024189"/>
      <w:r>
        <w:rPr>
          <w:noProof/>
        </w:rPr>
        <w:t>3.1.1.</w:t>
      </w:r>
      <w:r>
        <w:rPr>
          <w:noProof/>
        </w:rPr>
        <w:tab/>
        <w:t>Euroopa finantsstabiilsusmehhanism</w:t>
      </w:r>
      <w:bookmarkEnd w:id="84"/>
      <w:bookmarkEnd w:id="85"/>
      <w:bookmarkEnd w:id="86"/>
      <w:bookmarkEnd w:id="87"/>
      <w:bookmarkEnd w:id="88"/>
      <w:bookmarkEnd w:id="89"/>
      <w:r>
        <w:rPr>
          <w:noProof/>
        </w:rPr>
        <w:t xml:space="preserve"> (EFSM)</w:t>
      </w:r>
      <w:bookmarkEnd w:id="90"/>
      <w:bookmarkEnd w:id="91"/>
      <w:bookmarkEnd w:id="92"/>
      <w:bookmarkEnd w:id="93"/>
      <w:bookmarkEnd w:id="94"/>
      <w:bookmarkEnd w:id="95"/>
    </w:p>
    <w:p>
      <w:pPr>
        <w:rPr>
          <w:noProof/>
        </w:rPr>
      </w:pPr>
      <w:r>
        <w:rPr>
          <w:noProof/>
        </w:rPr>
        <w:t>Majandus- ja rahandusküsimuste nõukogu (ECOFIN) 9.–10. mai 2010. aasta järelduste kohaselt on mehhanismi maht 60 000 miljonit eurot</w:t>
      </w:r>
      <w:r>
        <w:rPr>
          <w:rStyle w:val="Funotenzeichen"/>
          <w:noProof/>
        </w:rPr>
        <w:footnoteReference w:id="17"/>
      </w:r>
      <w:r>
        <w:rPr>
          <w:noProof/>
        </w:rPr>
        <w:t>. Lisaks olid euroala liikmesriigid valmis vajaduse korral neid vahendeid täiendama. Nõukogu määruse (EL) nr 407/2010</w:t>
      </w:r>
      <w:r>
        <w:rPr>
          <w:rStyle w:val="FootnoteReference"/>
          <w:noProof/>
        </w:rPr>
        <w:footnoteReference w:id="18"/>
      </w:r>
      <w:r>
        <w:rPr>
          <w:noProof/>
        </w:rPr>
        <w:t xml:space="preserve"> artikli 2 lõike 2 kohaselt on liikmesriigile antava laenu või krediidilimiidi põhisumma piiratud maksete assigneeringute suhtes kohaldatava omavahendite ülemmäära piiresse jääva varuga.</w:t>
      </w:r>
    </w:p>
    <w:p>
      <w:pPr>
        <w:rPr>
          <w:noProof/>
        </w:rPr>
      </w:pPr>
      <w:r>
        <w:rPr>
          <w:noProof/>
        </w:rPr>
        <w:t>Tulenevalt nõukogu otsustest anda liidu finantsabi Iirimaale</w:t>
      </w:r>
      <w:r>
        <w:rPr>
          <w:rStyle w:val="FootnoteReference"/>
          <w:noProof/>
        </w:rPr>
        <w:footnoteReference w:id="19"/>
      </w:r>
      <w:r>
        <w:rPr>
          <w:noProof/>
        </w:rPr>
        <w:t xml:space="preserve"> (kuni 22 500 miljonit eurot) ja Portugalile</w:t>
      </w:r>
      <w:r>
        <w:rPr>
          <w:rStyle w:val="FootnoteReference"/>
          <w:noProof/>
        </w:rPr>
        <w:footnoteReference w:id="20"/>
      </w:r>
      <w:r>
        <w:rPr>
          <w:noProof/>
        </w:rPr>
        <w:t xml:space="preserve"> (kuni 26 000 miljonit eurot) tehti Iirimaale väljamakseid summas 22 500 miljonit eurot ja Portugalile summas 24 300 miljonit eurot (ülejäänud 1 700 miljonit eurot Portugali valitsus ei taotlenud). Vajaduse korral saab EFSMist kasutada euroala liikmesriikide abistamiseks veel 13 200 miljonit eurot</w:t>
      </w:r>
      <w:r>
        <w:rPr>
          <w:rStyle w:val="FootnoteReference"/>
          <w:noProof/>
        </w:rPr>
        <w:footnoteReference w:id="21"/>
      </w:r>
      <w:r>
        <w:rPr>
          <w:noProof/>
        </w:rPr>
        <w:t>.</w:t>
      </w:r>
    </w:p>
    <w:p>
      <w:pPr>
        <w:rPr>
          <w:noProof/>
        </w:rPr>
      </w:pPr>
      <w:r>
        <w:rPr>
          <w:noProof/>
        </w:rPr>
        <w:t>Eurorühm/ECOFIN otsustas 2013. aasta aprillis pikendada EFSMi laenude maksimaalset kaalutud keskmist tähtaega 12,5 aasta asemel 19,5 aastani ja andis sellega abi saavatele riikidele võimaluse taotleda laenude tagasimaksetähtaegade pikendamist kuni 2026. aastani (osamaksete kaupa).</w:t>
      </w:r>
    </w:p>
    <w:p>
      <w:pPr>
        <w:spacing w:after="240"/>
        <w:rPr>
          <w:noProof/>
          <w:u w:val="single"/>
        </w:rPr>
      </w:pPr>
      <w:r>
        <w:rPr>
          <w:noProof/>
          <w:u w:val="single"/>
        </w:rPr>
        <w:t>2016. aasta sündmused</w:t>
      </w:r>
    </w:p>
    <w:p>
      <w:pPr>
        <w:rPr>
          <w:noProof/>
        </w:rPr>
      </w:pPr>
      <w:r>
        <w:rPr>
          <w:noProof/>
        </w:rPr>
        <w:t>11. jaanuaril 2016 laekus Portugali taotlus pikendada EFSMi laenu (2011. aastal väljamakstud laen suurusega 4,75 miljardit eurot, mille tagasimaksmise tähtpäev oli 3. juuni 2016). Laen refinantseeriti kolme tehinguga, mille tähtajad on 2023. aastal (1,5 miljardit eurot), 2031. aastal (2,25 miljard eurot) ja 2036. aastal (1 miljard eurot). Laenutähtaja sellise pikendamise tõttu on Portugalile antud laenude keskmine tagasimaksetähtaeg nüüd 14,9 aastat.</w:t>
      </w:r>
    </w:p>
    <w:p>
      <w:pPr>
        <w:pStyle w:val="ManualHeading3"/>
        <w:rPr>
          <w:noProof/>
        </w:rPr>
      </w:pPr>
      <w:bookmarkStart w:id="96" w:name="_Toc390944390"/>
      <w:bookmarkStart w:id="97" w:name="_Toc393969961"/>
      <w:bookmarkStart w:id="98" w:name="_Toc417461968"/>
      <w:bookmarkStart w:id="99" w:name="_Toc417998602"/>
      <w:bookmarkStart w:id="100" w:name="_Toc418157628"/>
      <w:bookmarkStart w:id="101" w:name="_Toc418160309"/>
      <w:bookmarkStart w:id="102" w:name="_Toc446577176"/>
      <w:bookmarkStart w:id="103" w:name="_Toc452646722"/>
      <w:bookmarkStart w:id="104" w:name="_Toc453161361"/>
      <w:bookmarkStart w:id="105" w:name="_Toc486601264"/>
      <w:bookmarkStart w:id="106" w:name="_Toc495658611"/>
      <w:bookmarkStart w:id="107" w:name="_Toc499024190"/>
      <w:r>
        <w:rPr>
          <w:noProof/>
        </w:rPr>
        <w:t>3.1.2.</w:t>
      </w:r>
      <w:r>
        <w:rPr>
          <w:noProof/>
        </w:rPr>
        <w:tab/>
        <w:t>Maksebilansi tasakaalustamise vahend</w:t>
      </w:r>
      <w:bookmarkEnd w:id="96"/>
      <w:bookmarkEnd w:id="97"/>
      <w:bookmarkEnd w:id="98"/>
      <w:bookmarkEnd w:id="99"/>
      <w:bookmarkEnd w:id="100"/>
      <w:bookmarkEnd w:id="101"/>
      <w:bookmarkEnd w:id="102"/>
      <w:bookmarkEnd w:id="103"/>
      <w:bookmarkEnd w:id="104"/>
      <w:bookmarkEnd w:id="105"/>
      <w:bookmarkEnd w:id="106"/>
      <w:bookmarkEnd w:id="107"/>
    </w:p>
    <w:p>
      <w:pPr>
        <w:rPr>
          <w:noProof/>
        </w:rPr>
      </w:pPr>
      <w:r>
        <w:rPr>
          <w:noProof/>
        </w:rPr>
        <w:t xml:space="preserve">EL taaskäivitas keskmise tähtajaga rahalise abi (kokku 14 600 miljonit eurot) andmise maksebilansi tasakaalustamise vahendi kaudu 2008. aasta lõpul, et aidata Ungaril ning hiljem ka Lätil ja Rumeenial taastada turu usaldus. Nimetatud summast maksti välja 13 400 miljonit eurot. </w:t>
      </w:r>
    </w:p>
    <w:p>
      <w:pPr>
        <w:spacing w:after="240"/>
        <w:rPr>
          <w:noProof/>
          <w:u w:val="single"/>
        </w:rPr>
      </w:pPr>
      <w:r>
        <w:rPr>
          <w:noProof/>
          <w:u w:val="single"/>
        </w:rPr>
        <w:t>2016. aasta sündmused</w:t>
      </w:r>
    </w:p>
    <w:p>
      <w:pPr>
        <w:autoSpaceDE w:val="0"/>
        <w:autoSpaceDN w:val="0"/>
        <w:adjustRightInd w:val="0"/>
        <w:spacing w:before="0" w:after="240"/>
        <w:rPr>
          <w:noProof/>
        </w:rPr>
      </w:pPr>
      <w:r>
        <w:rPr>
          <w:noProof/>
        </w:rPr>
        <w:t>Ungari maksis viimase, 1 500 miljoni euro suuruse laenu tagasimakse 2016. aasta aprillis. Maksebilansi tasakaalustamise vahendi laenude jääk kahanes 2016. aastal 5 700 miljonilt eurolt 4 200 miljonile eurole.</w:t>
      </w:r>
    </w:p>
    <w:p>
      <w:pPr>
        <w:spacing w:before="0" w:after="240"/>
        <w:rPr>
          <w:noProof/>
        </w:rPr>
      </w:pPr>
      <w:r>
        <w:rPr>
          <w:noProof/>
        </w:rPr>
        <w:t>Maksebilansi tasakaalustamise vahendi 50 000 miljoni euro suurusest üldisest maksimummahust oli 31. detsembri 2016. aasta seisuga järel 45 800 miljonit eurot, mida vajaduse korral on võimalik abistamiseks kasutada.</w:t>
      </w:r>
    </w:p>
    <w:p>
      <w:pPr>
        <w:pStyle w:val="ManualHeading3"/>
        <w:spacing w:after="240"/>
        <w:ind w:left="851" w:hanging="851"/>
        <w:rPr>
          <w:noProof/>
        </w:rPr>
      </w:pPr>
      <w:bookmarkStart w:id="108" w:name="_Toc390944391"/>
      <w:bookmarkStart w:id="109" w:name="_Toc393969962"/>
      <w:bookmarkStart w:id="110" w:name="_Toc417461969"/>
      <w:bookmarkStart w:id="111" w:name="_Toc417998603"/>
      <w:bookmarkStart w:id="112" w:name="_Toc418157629"/>
      <w:bookmarkStart w:id="113" w:name="_Toc418160310"/>
      <w:bookmarkStart w:id="114" w:name="_Toc446577177"/>
      <w:bookmarkStart w:id="115" w:name="_Toc452646723"/>
      <w:bookmarkStart w:id="116" w:name="_Toc453161362"/>
      <w:bookmarkStart w:id="117" w:name="_Toc486601265"/>
      <w:bookmarkStart w:id="118" w:name="_Toc495658612"/>
      <w:bookmarkStart w:id="119" w:name="_Toc499024191"/>
      <w:r>
        <w:rPr>
          <w:noProof/>
        </w:rPr>
        <w:t>3.1.3.</w:t>
      </w:r>
      <w:r>
        <w:rPr>
          <w:noProof/>
        </w:rPr>
        <w:tab/>
        <w:t>Makromajandusliku finantsabi laenud</w:t>
      </w:r>
      <w:bookmarkEnd w:id="108"/>
      <w:bookmarkEnd w:id="109"/>
      <w:bookmarkEnd w:id="110"/>
      <w:bookmarkEnd w:id="111"/>
      <w:bookmarkEnd w:id="112"/>
      <w:bookmarkEnd w:id="113"/>
      <w:bookmarkEnd w:id="114"/>
      <w:bookmarkEnd w:id="115"/>
      <w:bookmarkEnd w:id="116"/>
      <w:bookmarkEnd w:id="117"/>
      <w:bookmarkEnd w:id="118"/>
      <w:bookmarkEnd w:id="119"/>
    </w:p>
    <w:p>
      <w:pPr>
        <w:autoSpaceDE w:val="0"/>
        <w:autoSpaceDN w:val="0"/>
        <w:adjustRightInd w:val="0"/>
        <w:spacing w:before="0" w:after="240"/>
        <w:rPr>
          <w:noProof/>
        </w:rPr>
      </w:pPr>
      <w:r>
        <w:rPr>
          <w:noProof/>
        </w:rPr>
        <w:t>Makromajanduslikku finantsabi käsitlevad otsused teevad harilikult Euroopa Parlament ja nõukogu (ELi toimimise lepingu artikkel 212). Kui olukord kolmandas riigis eeldab kiireloomulist finantsabi, võib nõukogu võtta otsuse vastu komisjoni ettepaneku põhjal (ELi toimimise lepingu artikkel 213); seda menetlust kasutati 2014. aastal Ukrainale mõeldud teise makromajandusliku finantsabi paketi puhul.</w:t>
      </w:r>
    </w:p>
    <w:p>
      <w:pPr>
        <w:spacing w:before="0" w:after="240"/>
        <w:rPr>
          <w:noProof/>
          <w:u w:val="single"/>
        </w:rPr>
      </w:pPr>
      <w:r>
        <w:rPr>
          <w:noProof/>
          <w:u w:val="single"/>
        </w:rPr>
        <w:t>2016. aasta sündmused</w:t>
      </w:r>
    </w:p>
    <w:p>
      <w:pPr>
        <w:spacing w:before="0" w:after="240"/>
        <w:rPr>
          <w:noProof/>
        </w:rPr>
      </w:pPr>
      <w:r>
        <w:rPr>
          <w:noProof/>
        </w:rPr>
        <w:t>Kirgiisi Vabariigile antud laenu</w:t>
      </w:r>
      <w:r>
        <w:rPr>
          <w:rStyle w:val="FootnoteReference"/>
          <w:noProof/>
        </w:rPr>
        <w:footnoteReference w:id="22"/>
      </w:r>
      <w:r>
        <w:rPr>
          <w:noProof/>
        </w:rPr>
        <w:t xml:space="preserve"> teine osa (10 miljonit eurot 15 miljonist eurost) maksti välja 2016. aasta aprillis.</w:t>
      </w:r>
    </w:p>
    <w:p>
      <w:pPr>
        <w:spacing w:before="0" w:after="240"/>
        <w:rPr>
          <w:noProof/>
        </w:rPr>
      </w:pPr>
      <w:r>
        <w:rPr>
          <w:noProof/>
        </w:rPr>
        <w:t>6. juulil 2016 otsustasid Euroopa Parlament ja nõukogu anda Tuneesiale täiendavat makromajanduslikku finantsabi</w:t>
      </w:r>
      <w:r>
        <w:rPr>
          <w:rStyle w:val="FootnoteReference"/>
          <w:noProof/>
        </w:rPr>
        <w:footnoteReference w:id="23"/>
      </w:r>
      <w:r>
        <w:rPr>
          <w:noProof/>
        </w:rPr>
        <w:t xml:space="preserve"> laenudena summas kuni 500 miljonit eurot (kolm osamakset summas vastavalt 200, 150 ja 150 miljonit eurot). </w:t>
      </w:r>
    </w:p>
    <w:p>
      <w:pPr>
        <w:spacing w:before="0" w:after="240"/>
        <w:rPr>
          <w:noProof/>
        </w:rPr>
      </w:pPr>
      <w:r>
        <w:rPr>
          <w:noProof/>
        </w:rPr>
        <w:t>14. detsembril 2016. otsustasid Euroopa Parlament ja nõukogu anda Jordaania Hašimiidi Kuningriigile täiendavat makromajanduslikku finantsabi</w:t>
      </w:r>
      <w:r>
        <w:rPr>
          <w:rStyle w:val="FootnoteReference"/>
          <w:noProof/>
        </w:rPr>
        <w:footnoteReference w:id="24"/>
      </w:r>
      <w:r>
        <w:rPr>
          <w:noProof/>
        </w:rPr>
        <w:t xml:space="preserve"> laenudena summas kuni 200 miljonit eurot (kaks osamakset summas 100 miljonit eurot).</w:t>
      </w:r>
    </w:p>
    <w:p>
      <w:pPr>
        <w:autoSpaceDE w:val="0"/>
        <w:spacing w:before="0" w:after="240"/>
        <w:rPr>
          <w:rFonts w:cs="Arial"/>
          <w:noProof/>
        </w:rPr>
      </w:pPr>
      <w:r>
        <w:rPr>
          <w:noProof/>
        </w:rPr>
        <w:t xml:space="preserve">Abi saanud riigid maksid tagasi 70 miljonit eurot (Bosnia ja Hertsegoviina 4 miljonit eurot, endine Jugoslaavia Makedoonia vabariik 10 miljonit eurot, Montenegro 1,34 miljon eurot ja Serbia 54,66 miljonit eurot). </w:t>
      </w:r>
    </w:p>
    <w:p>
      <w:pPr>
        <w:autoSpaceDE w:val="0"/>
        <w:autoSpaceDN w:val="0"/>
        <w:adjustRightInd w:val="0"/>
        <w:rPr>
          <w:noProof/>
        </w:rPr>
      </w:pPr>
      <w:r>
        <w:rPr>
          <w:noProof/>
        </w:rPr>
        <w:t>Ajavahemikus 31. detsember 2015 kuni 31. detsember 2016 vähenes makromajandusliku finantsabi laenude jääk 3 006,6 miljonilt eurolt 2 946,6 miljonile eurole. Ukrainale antud laenud moodustavad 75 % makromajandusliku finantsabi riskipositsioonidest.</w:t>
      </w:r>
    </w:p>
    <w:p>
      <w:pPr>
        <w:spacing w:after="240"/>
        <w:rPr>
          <w:noProof/>
          <w:u w:val="single"/>
        </w:rPr>
      </w:pPr>
      <w:r>
        <w:rPr>
          <w:noProof/>
          <w:u w:val="single"/>
        </w:rPr>
        <w:t>Sündmused pärast 31. detsembrit 2016 (kuni 30. juuni 2017)</w:t>
      </w:r>
    </w:p>
    <w:p>
      <w:pPr>
        <w:autoSpaceDE w:val="0"/>
        <w:autoSpaceDN w:val="0"/>
        <w:adjustRightInd w:val="0"/>
        <w:rPr>
          <w:noProof/>
        </w:rPr>
      </w:pPr>
      <w:r>
        <w:rPr>
          <w:noProof/>
        </w:rPr>
        <w:t>Ukrainale kolmanda programmi (MFA III) raames antud makromajandusliku finantsabi laenu</w:t>
      </w:r>
      <w:r>
        <w:rPr>
          <w:rStyle w:val="FootnoteReference"/>
          <w:noProof/>
        </w:rPr>
        <w:footnoteReference w:id="25"/>
      </w:r>
      <w:r>
        <w:rPr>
          <w:noProof/>
        </w:rPr>
        <w:t xml:space="preserve"> teine osa (600 miljonit eurot) maksti välja 2017. aasta aprillis.</w:t>
      </w:r>
    </w:p>
    <w:p>
      <w:pPr>
        <w:autoSpaceDE w:val="0"/>
        <w:autoSpaceDN w:val="0"/>
        <w:adjustRightInd w:val="0"/>
        <w:rPr>
          <w:noProof/>
        </w:rPr>
      </w:pPr>
      <w:r>
        <w:rPr>
          <w:noProof/>
        </w:rPr>
        <w:t>Gruusiale ettenähtud makromajandusliku finantsabi laenu (MFA III) teine osa (13 miljonit eurot) maksti välja 2017. aasta mais.</w:t>
      </w:r>
    </w:p>
    <w:p>
      <w:pPr>
        <w:pStyle w:val="ManualHeading3"/>
        <w:rPr>
          <w:noProof/>
        </w:rPr>
      </w:pPr>
      <w:bookmarkStart w:id="120" w:name="_Toc390944392"/>
      <w:bookmarkStart w:id="121" w:name="_Toc393969963"/>
      <w:bookmarkStart w:id="122" w:name="_Toc418157630"/>
      <w:bookmarkStart w:id="123" w:name="_Toc418160311"/>
      <w:bookmarkStart w:id="124" w:name="_Toc446577178"/>
      <w:bookmarkStart w:id="125" w:name="_Toc452646724"/>
      <w:bookmarkStart w:id="126" w:name="_Toc453161363"/>
      <w:bookmarkStart w:id="127" w:name="_Toc486601266"/>
      <w:bookmarkStart w:id="128" w:name="_Toc495658613"/>
      <w:bookmarkStart w:id="129" w:name="_Toc499024192"/>
      <w:r>
        <w:rPr>
          <w:noProof/>
        </w:rPr>
        <w:t>3.1.4.</w:t>
      </w:r>
      <w:r>
        <w:rPr>
          <w:noProof/>
        </w:rPr>
        <w:tab/>
        <w:t>Euratomi laenud</w:t>
      </w:r>
      <w:bookmarkEnd w:id="120"/>
      <w:bookmarkEnd w:id="121"/>
      <w:bookmarkEnd w:id="122"/>
      <w:bookmarkEnd w:id="123"/>
      <w:bookmarkEnd w:id="124"/>
      <w:bookmarkEnd w:id="125"/>
      <w:bookmarkEnd w:id="126"/>
      <w:bookmarkEnd w:id="127"/>
      <w:bookmarkEnd w:id="128"/>
      <w:bookmarkEnd w:id="129"/>
    </w:p>
    <w:p>
      <w:pPr>
        <w:autoSpaceDE w:val="0"/>
        <w:autoSpaceDN w:val="0"/>
        <w:adjustRightInd w:val="0"/>
        <w:rPr>
          <w:noProof/>
        </w:rPr>
      </w:pPr>
      <w:r>
        <w:rPr>
          <w:noProof/>
        </w:rPr>
        <w:t>Liikmesriikidele või teatavatele abikõlblikele riikidele, kes ei ole liikmesriigid (praeguse seisuga Venemaa Föderatsioon, Armeenia, Ukraina), antavate Euratomi laenude ülemmäär on 4 000 miljonit eurot, millest ligikaudu 92 % on juba välja makstud. Otsuse kohasest 4 000 miljonist eurost on järele jäänud 326 miljonit eurot.</w:t>
      </w:r>
    </w:p>
    <w:p>
      <w:pPr>
        <w:autoSpaceDE w:val="0"/>
        <w:autoSpaceDN w:val="0"/>
        <w:adjustRightInd w:val="0"/>
        <w:rPr>
          <w:noProof/>
        </w:rPr>
      </w:pPr>
      <w:r>
        <w:rPr>
          <w:noProof/>
        </w:rPr>
        <w:t xml:space="preserve">7. augustil 2013 allkirjastati 300 miljoni eurone laen Ukrainale olemasolevate tuumarajatiste ohutuse parandamiseks. Ukraina parlament ratifitseeris tagatislepingu 15. mail 2014. Laenu antakse tihedas koostöös Euroopa Rekonstruktsiooni- ja Arengupangaga, kes annab ka omalt poolt 300 miljoni eurose laenu. </w:t>
      </w:r>
    </w:p>
    <w:p>
      <w:pPr>
        <w:autoSpaceDE w:val="0"/>
        <w:autoSpaceDN w:val="0"/>
        <w:adjustRightInd w:val="0"/>
        <w:rPr>
          <w:noProof/>
        </w:rPr>
      </w:pPr>
      <w:r>
        <w:rPr>
          <w:noProof/>
        </w:rPr>
        <w:t>27. mail 2015 andis komisjon loa teha Energoatomile Euratomi laenu väljamakseid summas 100 miljonit eurot, tingimusel et Energoatom on selleks ajaks saanud kätte vähemalt 50 miljonit eurot Euroopa Rekonstruktsiooni- ja Arengupanga laenust. Rakendamisel esinenud viivituste tõttu ei olnud 31. detsembri 2016. aasta seisuga Euratomi laenu väljamakseid tehtud.</w:t>
      </w:r>
    </w:p>
    <w:p>
      <w:pPr>
        <w:autoSpaceDE w:val="0"/>
        <w:autoSpaceDN w:val="0"/>
        <w:adjustRightInd w:val="0"/>
        <w:rPr>
          <w:noProof/>
        </w:rPr>
      </w:pPr>
      <w:r>
        <w:rPr>
          <w:noProof/>
        </w:rPr>
        <w:t>Nendes laenudes kasutatakse riiklikke tagatisi, millega kaetakse 100 % aasta lõpu seisuga tagasi maksmata summadest.</w:t>
      </w:r>
    </w:p>
    <w:p>
      <w:pPr>
        <w:rPr>
          <w:noProof/>
          <w:u w:val="single"/>
        </w:rPr>
      </w:pPr>
      <w:r>
        <w:rPr>
          <w:noProof/>
          <w:u w:val="single"/>
        </w:rPr>
        <w:t>2016. aasta sündmused</w:t>
      </w:r>
    </w:p>
    <w:p>
      <w:pPr>
        <w:rPr>
          <w:rFonts w:cs="Arial"/>
          <w:noProof/>
        </w:rPr>
      </w:pPr>
      <w:r>
        <w:rPr>
          <w:noProof/>
        </w:rPr>
        <w:t xml:space="preserve">2016. aastal väljamakseid ei tehtud. Bulgaaria maksis tagasi 22,62 miljonit eurot, Rumeenia 19 miljonit eurot ja Ukraina 7,1 miljonile eurole vastava summa. </w:t>
      </w:r>
    </w:p>
    <w:p>
      <w:pPr>
        <w:rPr>
          <w:noProof/>
          <w:u w:val="single"/>
        </w:rPr>
      </w:pPr>
      <w:r>
        <w:rPr>
          <w:noProof/>
          <w:u w:val="single"/>
        </w:rPr>
        <w:t>Sündmused pärast 31. detsembrit 2016</w:t>
      </w:r>
    </w:p>
    <w:p>
      <w:pPr>
        <w:rPr>
          <w:rFonts w:cs="Arial"/>
          <w:noProof/>
        </w:rPr>
      </w:pPr>
      <w:r>
        <w:rPr>
          <w:noProof/>
        </w:rPr>
        <w:t>Euratomi laenu esimene osa (50 miljonit eurot) maksti välja 2017. aasta mais.</w:t>
      </w:r>
    </w:p>
    <w:p>
      <w:pPr>
        <w:pStyle w:val="ManualHeading2"/>
        <w:rPr>
          <w:rFonts w:cs="Arial"/>
          <w:b w:val="0"/>
          <w:noProof/>
        </w:rPr>
      </w:pPr>
      <w:bookmarkStart w:id="130" w:name="_Toc309831361"/>
      <w:bookmarkStart w:id="131" w:name="_Toc329261061"/>
      <w:bookmarkStart w:id="132" w:name="_Toc329855623"/>
      <w:bookmarkStart w:id="133" w:name="_Toc330551228"/>
      <w:bookmarkStart w:id="134" w:name="_Toc342470151"/>
      <w:bookmarkStart w:id="135" w:name="_Toc345073701"/>
      <w:bookmarkStart w:id="136" w:name="_Toc365986218"/>
      <w:bookmarkStart w:id="137" w:name="_Toc367869471"/>
      <w:bookmarkStart w:id="138" w:name="_Toc367869998"/>
      <w:bookmarkStart w:id="139" w:name="_Toc388973016"/>
      <w:bookmarkStart w:id="140" w:name="_Toc389474749"/>
      <w:bookmarkStart w:id="141" w:name="_Toc390944393"/>
      <w:bookmarkStart w:id="142" w:name="_Toc393969964"/>
      <w:bookmarkStart w:id="143" w:name="_Toc417461970"/>
      <w:bookmarkStart w:id="144" w:name="_Toc417998604"/>
      <w:bookmarkStart w:id="145" w:name="_Toc418157631"/>
      <w:bookmarkStart w:id="146" w:name="_Toc418160312"/>
      <w:bookmarkStart w:id="147" w:name="_Toc446577179"/>
      <w:bookmarkStart w:id="148" w:name="_Toc452646725"/>
      <w:bookmarkStart w:id="149" w:name="_Toc453161364"/>
      <w:bookmarkStart w:id="150" w:name="_Toc486601267"/>
    </w:p>
    <w:p>
      <w:pPr>
        <w:pStyle w:val="ManualHeading2"/>
        <w:rPr>
          <w:noProof/>
        </w:rPr>
      </w:pPr>
      <w:bookmarkStart w:id="151" w:name="_Toc495658614"/>
      <w:bookmarkStart w:id="152" w:name="_Toc499024193"/>
      <w:r>
        <w:rPr>
          <w:noProof/>
        </w:rPr>
        <w:t>3.2</w:t>
      </w:r>
      <w:r>
        <w:rPr>
          <w:noProof/>
        </w:rPr>
        <w:tab/>
        <w:t>EIP välisrahastamine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spacing w:after="240"/>
        <w:rPr>
          <w:noProof/>
          <w:u w:val="single"/>
        </w:rPr>
      </w:pPr>
      <w:r>
        <w:rPr>
          <w:noProof/>
          <w:u w:val="single"/>
        </w:rPr>
        <w:t>2016. aasta sündmused</w:t>
      </w:r>
    </w:p>
    <w:p>
      <w:pPr>
        <w:spacing w:before="0" w:after="240"/>
        <w:rPr>
          <w:noProof/>
        </w:rPr>
      </w:pPr>
      <w:r>
        <w:rPr>
          <w:noProof/>
        </w:rPr>
        <w:t>Vastavalt EIP üldlaenumandaadile aastateks 2014–2020 oli 31. detsembriks 2016 sõlmitud lepinguid kogumahus 10 741 miljonit eurot. Kuna sellest oli osutatud kuupäevaks välja makstud ainult 1 882 miljonit eurot, oli tagasimaksmata laenude summa 1 893 miljonit eurot (vt talituste töödokumendi tabel A3). EIP mandaadid saanud riikide kohta täpsema teabe saamiseks vt talituste töödokumendi tabelid A1, A3 ja A4.</w:t>
      </w:r>
    </w:p>
    <w:p>
      <w:pPr>
        <w:spacing w:before="0" w:after="240"/>
        <w:rPr>
          <w:noProof/>
        </w:rPr>
      </w:pPr>
      <w:r>
        <w:rPr>
          <w:noProof/>
        </w:rPr>
        <w:t>Varasemate EIP välismandaatide kohta vaata komisjoni talituste töödokumendi tabel A3.</w:t>
      </w:r>
    </w:p>
    <w:p>
      <w:pPr>
        <w:spacing w:before="0" w:after="240"/>
        <w:rPr>
          <w:noProof/>
        </w:rPr>
      </w:pPr>
      <w:r>
        <w:rPr>
          <w:noProof/>
        </w:rPr>
        <w:t>Süüria valitsus jättis intressi- ja laenumaksetega seotud kohustused ka 2016. aastal täitmata. EIP on taotlenud tagatisfondilt kõnealuste summade katmist (vt punkt 5.1.3).</w:t>
      </w:r>
    </w:p>
    <w:p>
      <w:pPr>
        <w:spacing w:before="0" w:after="240"/>
        <w:rPr>
          <w:noProof/>
        </w:rPr>
      </w:pPr>
      <w:r>
        <w:rPr>
          <w:noProof/>
        </w:rPr>
        <w:t>Käesolevas punktis osutatud rahastamisvahendite laenujääk 31. detsembri 2016. aasta seisuga on esitatud punktis 3 (tabel 1).</w:t>
      </w:r>
    </w:p>
    <w:p>
      <w:pPr>
        <w:pStyle w:val="ManualHeading1"/>
        <w:rPr>
          <w:noProof/>
        </w:rPr>
      </w:pPr>
      <w:bookmarkStart w:id="153" w:name="_Toc309831362"/>
      <w:bookmarkStart w:id="154" w:name="_Toc329261062"/>
      <w:bookmarkStart w:id="155" w:name="_Toc329855624"/>
      <w:bookmarkStart w:id="156" w:name="_Toc330551229"/>
      <w:bookmarkStart w:id="157" w:name="_Toc342470152"/>
      <w:bookmarkStart w:id="158" w:name="_Toc345073702"/>
      <w:bookmarkStart w:id="159" w:name="_Toc365986219"/>
      <w:bookmarkStart w:id="160" w:name="_Toc367869472"/>
      <w:bookmarkStart w:id="161" w:name="_Toc367869999"/>
      <w:bookmarkStart w:id="162" w:name="_Toc388973017"/>
      <w:bookmarkStart w:id="163" w:name="_Toc389474750"/>
      <w:bookmarkStart w:id="164" w:name="_Toc390944394"/>
      <w:bookmarkStart w:id="165" w:name="_Toc393969965"/>
      <w:bookmarkStart w:id="166" w:name="_Toc417461971"/>
      <w:bookmarkStart w:id="167" w:name="_Toc417998605"/>
      <w:bookmarkStart w:id="168" w:name="_Toc418157632"/>
      <w:bookmarkStart w:id="169" w:name="_Toc418160313"/>
      <w:bookmarkStart w:id="170" w:name="_Toc446577180"/>
      <w:bookmarkStart w:id="171" w:name="_Toc452646726"/>
      <w:bookmarkStart w:id="172" w:name="_Toc453161365"/>
      <w:bookmarkStart w:id="173" w:name="_Toc486601268"/>
      <w:bookmarkStart w:id="174" w:name="_Toc495658615"/>
      <w:bookmarkStart w:id="175" w:name="_Toc499024194"/>
      <w:r>
        <w:rPr>
          <w:noProof/>
        </w:rPr>
        <w:t>4.</w:t>
      </w:r>
      <w:r>
        <w:rPr>
          <w:noProof/>
        </w:rPr>
        <w:tab/>
        <w:t xml:space="preserve">ELi eelarvest </w:t>
      </w:r>
      <w:bookmarkEnd w:id="153"/>
      <w:bookmarkEnd w:id="154"/>
      <w:bookmarkEnd w:id="155"/>
      <w:bookmarkEnd w:id="156"/>
      <w:bookmarkEnd w:id="157"/>
      <w:bookmarkEnd w:id="158"/>
      <w:bookmarkEnd w:id="159"/>
      <w:bookmarkEnd w:id="160"/>
      <w:bookmarkEnd w:id="161"/>
      <w:bookmarkEnd w:id="162"/>
      <w:bookmarkEnd w:id="163"/>
      <w:r>
        <w:rPr>
          <w:noProof/>
        </w:rPr>
        <w:t>kaetavad riskid</w:t>
      </w:r>
      <w:bookmarkEnd w:id="164"/>
      <w:bookmarkEnd w:id="165"/>
      <w:bookmarkEnd w:id="166"/>
      <w:bookmarkEnd w:id="167"/>
      <w:bookmarkEnd w:id="168"/>
      <w:bookmarkEnd w:id="169"/>
      <w:bookmarkEnd w:id="170"/>
      <w:bookmarkEnd w:id="171"/>
      <w:bookmarkEnd w:id="172"/>
      <w:bookmarkEnd w:id="173"/>
      <w:bookmarkEnd w:id="174"/>
      <w:bookmarkEnd w:id="175"/>
    </w:p>
    <w:p>
      <w:pPr>
        <w:pStyle w:val="ManualHeading2"/>
        <w:rPr>
          <w:noProof/>
        </w:rPr>
      </w:pPr>
      <w:bookmarkStart w:id="176" w:name="_Toc309831363"/>
      <w:bookmarkStart w:id="177" w:name="_Toc329261063"/>
      <w:bookmarkStart w:id="178" w:name="_Toc329855625"/>
      <w:bookmarkStart w:id="179" w:name="_Toc330551230"/>
      <w:bookmarkStart w:id="180" w:name="_Toc342470153"/>
      <w:bookmarkStart w:id="181" w:name="_Toc345073703"/>
      <w:bookmarkStart w:id="182" w:name="_Toc365986220"/>
      <w:bookmarkStart w:id="183" w:name="_Toc367869473"/>
      <w:bookmarkStart w:id="184" w:name="_Toc367870000"/>
      <w:bookmarkStart w:id="185" w:name="_Toc388973018"/>
      <w:bookmarkStart w:id="186" w:name="_Toc389474751"/>
      <w:bookmarkStart w:id="187" w:name="_Toc390944395"/>
      <w:bookmarkStart w:id="188" w:name="_Toc393969966"/>
      <w:bookmarkStart w:id="189" w:name="_Toc417461972"/>
      <w:bookmarkStart w:id="190" w:name="_Toc417998606"/>
      <w:bookmarkStart w:id="191" w:name="_Toc418157633"/>
      <w:bookmarkStart w:id="192" w:name="_Toc418160314"/>
      <w:bookmarkStart w:id="193" w:name="_Toc446577181"/>
      <w:bookmarkStart w:id="194" w:name="_Toc452646727"/>
      <w:bookmarkStart w:id="195" w:name="_Toc453161366"/>
      <w:bookmarkStart w:id="196" w:name="_Toc486601269"/>
      <w:bookmarkStart w:id="197" w:name="_Toc495658616"/>
      <w:bookmarkStart w:id="198" w:name="_Toc499024195"/>
      <w:r>
        <w:rPr>
          <w:noProof/>
        </w:rPr>
        <w:t>4.1</w:t>
      </w:r>
      <w:r>
        <w:rPr>
          <w:noProof/>
        </w:rPr>
        <w:tab/>
        <w:t>Riski mõiste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rPr>
          <w:noProof/>
        </w:rPr>
      </w:pPr>
      <w:r>
        <w:rPr>
          <w:noProof/>
        </w:rPr>
        <w:t>ELi eelarvest kaetav risk tuleneb tagatud tehingutega seotud põhisumma jäägist ja intressidest.</w:t>
      </w:r>
    </w:p>
    <w:p>
      <w:pPr>
        <w:rPr>
          <w:noProof/>
        </w:rPr>
      </w:pPr>
      <w:r>
        <w:rPr>
          <w:noProof/>
        </w:rPr>
        <w:t>Käesolevas aruandes kasutatakse ELi eelarvest (otse või fondi kaudu) kaetavate riskide hindamiseks kahte meetodit.</w:t>
      </w:r>
    </w:p>
    <w:p>
      <w:pPr>
        <w:pStyle w:val="ListDash"/>
        <w:rPr>
          <w:noProof/>
        </w:rPr>
      </w:pPr>
      <w:r>
        <w:rPr>
          <w:noProof/>
        </w:rPr>
        <w:t>„Kogu eelarvest kaetava riski“ arvutamisel võetakse arvesse asjaomaste tehingute laenujäägi kogusummat konkreetsel kuupäeval, sh kogunenud intresse</w:t>
      </w:r>
      <w:r>
        <w:rPr>
          <w:rStyle w:val="FootnoteReference"/>
          <w:noProof/>
        </w:rPr>
        <w:footnoteReference w:id="26"/>
      </w:r>
      <w:r>
        <w:rPr>
          <w:noProof/>
        </w:rPr>
        <w:t xml:space="preserve">. </w:t>
      </w:r>
    </w:p>
    <w:p>
      <w:pPr>
        <w:pStyle w:val="ListDash"/>
        <w:rPr>
          <w:noProof/>
        </w:rPr>
      </w:pPr>
      <w:r>
        <w:rPr>
          <w:noProof/>
        </w:rPr>
        <w:t>„Aastase eelarveriskina“ määratletud eelarvemetoodika puhul arvutatakse maksimaalne summa, mille EL peaks eelarveaastal välja maksma, kui kõik tagatud laenudega seotud kohustused jäetaks täitmata</w:t>
      </w:r>
      <w:r>
        <w:rPr>
          <w:rStyle w:val="Funotenzeichen"/>
          <w:noProof/>
        </w:rPr>
        <w:footnoteReference w:id="27"/>
      </w:r>
      <w:r>
        <w:rPr>
          <w:noProof/>
        </w:rPr>
        <w:t>.</w:t>
      </w:r>
    </w:p>
    <w:p>
      <w:pPr>
        <w:pStyle w:val="ManualHeading2"/>
        <w:rPr>
          <w:noProof/>
        </w:rPr>
      </w:pPr>
      <w:bookmarkStart w:id="199" w:name="_Toc309831364"/>
      <w:bookmarkStart w:id="200" w:name="_Toc329261064"/>
      <w:bookmarkStart w:id="201" w:name="_Toc329855626"/>
      <w:bookmarkStart w:id="202" w:name="_Toc330551231"/>
      <w:bookmarkStart w:id="203" w:name="_Toc342470154"/>
      <w:bookmarkStart w:id="204" w:name="_Toc345073704"/>
      <w:bookmarkStart w:id="205" w:name="_Toc365986221"/>
      <w:bookmarkStart w:id="206" w:name="_Toc367869474"/>
      <w:bookmarkStart w:id="207" w:name="_Toc367870001"/>
      <w:bookmarkStart w:id="208" w:name="_Toc388973019"/>
      <w:bookmarkStart w:id="209" w:name="_Toc389474752"/>
      <w:bookmarkStart w:id="210" w:name="_Toc390944396"/>
      <w:bookmarkStart w:id="211" w:name="_Toc393969967"/>
      <w:bookmarkStart w:id="212" w:name="_Toc417461973"/>
      <w:bookmarkStart w:id="213" w:name="_Toc417998607"/>
      <w:bookmarkStart w:id="214" w:name="_Toc418157634"/>
      <w:bookmarkStart w:id="215" w:name="_Toc418160315"/>
      <w:bookmarkStart w:id="216" w:name="_Toc446577182"/>
      <w:bookmarkStart w:id="217" w:name="_Toc452646728"/>
      <w:bookmarkStart w:id="218" w:name="_Toc453161367"/>
      <w:bookmarkStart w:id="219" w:name="_Toc486601270"/>
      <w:bookmarkStart w:id="220" w:name="_Toc495658617"/>
      <w:bookmarkStart w:id="221" w:name="_Toc499024196"/>
      <w:r>
        <w:rPr>
          <w:noProof/>
        </w:rPr>
        <w:t>4.2</w:t>
      </w:r>
      <w:r>
        <w:rPr>
          <w:noProof/>
        </w:rPr>
        <w:tab/>
        <w:t>Koguriski komponendid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rPr>
          <w:noProof/>
        </w:rPr>
      </w:pPr>
      <w:r>
        <w:rPr>
          <w:noProof/>
        </w:rPr>
        <w:t>Kuni 2010. aastani tulenes ELi eelarvest kaetava laenujäägi kogusummaga seotud maksimaalne risk põhiliselt kolmandatele riikidele antud laenudest. Alates 2011. aastast on liikmesriikide rahandust tugevalt mõjutanud finantskriis, mistõttu EL on andnud liikmesriikide valitsemissektorite rahastamisvajaduste toetuseks rohkem laene.</w:t>
      </w:r>
    </w:p>
    <w:p>
      <w:pPr>
        <w:rPr>
          <w:noProof/>
        </w:rPr>
      </w:pPr>
      <w:r>
        <w:rPr>
          <w:noProof/>
        </w:rPr>
        <w:t>Sellest tulenevalt on riski komponentide osakaal muutunud. 31. detsembri 2016. aasta seisuga moodustasid laenujäägi kogusummast 64 %</w:t>
      </w:r>
      <w:r>
        <w:rPr>
          <w:rStyle w:val="FootnoteReference"/>
          <w:noProof/>
        </w:rPr>
        <w:footnoteReference w:id="28"/>
      </w:r>
      <w:r>
        <w:rPr>
          <w:noProof/>
        </w:rPr>
        <w:t xml:space="preserve"> laenuvõtmistehingud, mis olid seotud liikmesriikidele antud laenudega, mis kaetakse otse ELi eelarvest (31. detsembri 2010. aasta seisuga oli see näitaja 45 %).</w:t>
      </w:r>
    </w:p>
    <w:p>
      <w:pPr>
        <w:pStyle w:val="ManualHeading2"/>
        <w:rPr>
          <w:noProof/>
        </w:rPr>
      </w:pPr>
      <w:bookmarkStart w:id="222" w:name="_Toc342470155"/>
      <w:bookmarkStart w:id="223" w:name="_Toc309831365"/>
      <w:bookmarkStart w:id="224" w:name="_Toc329261065"/>
      <w:bookmarkStart w:id="225" w:name="_Toc329855627"/>
      <w:bookmarkStart w:id="226" w:name="_Toc330551232"/>
      <w:bookmarkStart w:id="227" w:name="_Toc342470159"/>
      <w:bookmarkStart w:id="228" w:name="_Toc345073705"/>
      <w:bookmarkStart w:id="229" w:name="_Toc365986222"/>
      <w:bookmarkStart w:id="230" w:name="_Toc367869475"/>
      <w:bookmarkStart w:id="231" w:name="_Toc367870002"/>
      <w:bookmarkStart w:id="232" w:name="_Toc388973020"/>
      <w:bookmarkStart w:id="233" w:name="_Toc389474753"/>
      <w:bookmarkStart w:id="234" w:name="_Toc390944397"/>
      <w:bookmarkStart w:id="235" w:name="_Toc393969968"/>
      <w:bookmarkStart w:id="236" w:name="_Toc417461974"/>
      <w:bookmarkStart w:id="237" w:name="_Toc417998608"/>
      <w:bookmarkStart w:id="238" w:name="_Toc418157635"/>
      <w:bookmarkStart w:id="239" w:name="_Toc418160316"/>
      <w:bookmarkStart w:id="240" w:name="_Toc446577183"/>
      <w:bookmarkStart w:id="241" w:name="_Toc452646729"/>
      <w:bookmarkStart w:id="242" w:name="_Toc453161368"/>
      <w:bookmarkStart w:id="243" w:name="_Toc486601271"/>
      <w:bookmarkStart w:id="244" w:name="_Toc495658618"/>
      <w:bookmarkStart w:id="245" w:name="_Toc499024197"/>
      <w:bookmarkEnd w:id="222"/>
      <w:r>
        <w:rPr>
          <w:noProof/>
        </w:rPr>
        <w:t>4.3</w:t>
      </w:r>
      <w:r>
        <w:rPr>
          <w:noProof/>
        </w:rPr>
        <w:tab/>
        <w:t xml:space="preserve">ELi eelarvest kaetav </w:t>
      </w:r>
      <w:bookmarkEnd w:id="223"/>
      <w:bookmarkEnd w:id="224"/>
      <w:bookmarkEnd w:id="225"/>
      <w:bookmarkEnd w:id="226"/>
      <w:bookmarkEnd w:id="227"/>
      <w:bookmarkEnd w:id="228"/>
      <w:bookmarkEnd w:id="229"/>
      <w:bookmarkEnd w:id="230"/>
      <w:bookmarkEnd w:id="231"/>
      <w:bookmarkEnd w:id="232"/>
      <w:bookmarkEnd w:id="233"/>
      <w:r>
        <w:rPr>
          <w:noProof/>
        </w:rPr>
        <w:t>aastane risk</w:t>
      </w:r>
      <w:bookmarkEnd w:id="234"/>
      <w:bookmarkEnd w:id="235"/>
      <w:bookmarkEnd w:id="236"/>
      <w:bookmarkEnd w:id="237"/>
      <w:bookmarkEnd w:id="238"/>
      <w:bookmarkEnd w:id="239"/>
      <w:bookmarkEnd w:id="240"/>
      <w:bookmarkEnd w:id="241"/>
      <w:bookmarkEnd w:id="242"/>
      <w:bookmarkEnd w:id="243"/>
      <w:bookmarkEnd w:id="244"/>
      <w:bookmarkEnd w:id="245"/>
    </w:p>
    <w:p>
      <w:pPr>
        <w:rPr>
          <w:noProof/>
        </w:rPr>
      </w:pPr>
      <w:r>
        <w:rPr>
          <w:noProof/>
        </w:rPr>
        <w:t xml:space="preserve">31. detsembri 2016. aasta seisuga tagasimaksmata laene (vt tabel 1) arvestades on maksimaalne summa, mille EL peaks 2017. aastal välja maksma (otse ja fondi kaudu), </w:t>
      </w:r>
      <w:r>
        <w:rPr>
          <w:i/>
          <w:noProof/>
        </w:rPr>
        <w:t>eeldusel</w:t>
      </w:r>
      <w:r>
        <w:rPr>
          <w:noProof/>
        </w:rPr>
        <w:t xml:space="preserve"> et </w:t>
      </w:r>
      <w:r>
        <w:rPr>
          <w:i/>
          <w:noProof/>
        </w:rPr>
        <w:t>kõik</w:t>
      </w:r>
      <w:r>
        <w:rPr>
          <w:noProof/>
        </w:rPr>
        <w:t xml:space="preserve"> tagatud laenudega seotud kohustused jäetakse täitmata, 5 777 miljonit eurot. See summa hõlmab 2017. aastal maksmisele kuuluvate tagatud laenude põhisummat ja intressimakseid, eeldusel et tagasimaksmata laene ei nõuta tagasi kiirendatud korras (üksikasjalikud andmed on esitatud komisjoni talituste töödokumendi tabelis A4). </w:t>
      </w:r>
      <w:bookmarkStart w:id="246" w:name="_Toc309831366"/>
      <w:bookmarkStart w:id="247" w:name="_Toc329261066"/>
      <w:bookmarkStart w:id="248" w:name="_Toc329855628"/>
      <w:bookmarkStart w:id="249" w:name="_Toc330551233"/>
      <w:bookmarkStart w:id="250" w:name="_Toc342470160"/>
      <w:bookmarkStart w:id="251" w:name="_Toc345073706"/>
      <w:bookmarkStart w:id="252" w:name="_Toc365986223"/>
      <w:bookmarkStart w:id="253" w:name="_Toc367869476"/>
      <w:bookmarkStart w:id="254" w:name="_Toc367870003"/>
      <w:bookmarkStart w:id="255" w:name="_Toc388973021"/>
      <w:bookmarkStart w:id="256" w:name="_Toc389474754"/>
      <w:bookmarkStart w:id="257" w:name="_Toc390944398"/>
      <w:bookmarkStart w:id="258" w:name="_Toc393969969"/>
      <w:bookmarkStart w:id="259" w:name="_Toc417461975"/>
      <w:bookmarkStart w:id="260" w:name="_Toc417998609"/>
      <w:bookmarkStart w:id="261" w:name="_Toc418157636"/>
      <w:bookmarkStart w:id="262" w:name="_Toc418160317"/>
      <w:bookmarkStart w:id="263" w:name="_Toc446577184"/>
      <w:bookmarkStart w:id="264" w:name="_Toc452646730"/>
      <w:bookmarkStart w:id="265" w:name="_Toc453161369"/>
    </w:p>
    <w:p>
      <w:pPr>
        <w:pStyle w:val="ManualHeading3"/>
        <w:rPr>
          <w:noProof/>
        </w:rPr>
      </w:pPr>
      <w:bookmarkStart w:id="266" w:name="_Toc486601272"/>
      <w:bookmarkStart w:id="267" w:name="_Toc495658619"/>
      <w:bookmarkStart w:id="268" w:name="_Toc499024198"/>
      <w:r>
        <w:rPr>
          <w:noProof/>
        </w:rPr>
        <w:t>4.3.1.</w:t>
      </w:r>
      <w:r>
        <w:rPr>
          <w:noProof/>
        </w:rPr>
        <w:tab/>
        <w:t xml:space="preserve">Liikmesriikide </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noProof/>
        </w:rPr>
        <w:t>riskipositsioonid</w:t>
      </w:r>
      <w:bookmarkEnd w:id="264"/>
      <w:bookmarkEnd w:id="265"/>
      <w:bookmarkEnd w:id="266"/>
      <w:bookmarkEnd w:id="267"/>
      <w:bookmarkEnd w:id="268"/>
    </w:p>
    <w:p>
      <w:pPr>
        <w:rPr>
          <w:noProof/>
        </w:rPr>
      </w:pPr>
      <w:r>
        <w:rPr>
          <w:noProof/>
        </w:rPr>
        <w:t>2017. aastal on ELi kaetav liikmesriikidega seotud tegevuse maksimaalne aastane risk 2 858 miljonit eurot (49,5 % aastasest koguriskist). See risk hõlmab järgmist:</w:t>
      </w:r>
    </w:p>
    <w:p>
      <w:pPr>
        <w:rPr>
          <w:noProof/>
        </w:rPr>
      </w:pPr>
      <w:r>
        <w:rPr>
          <w:noProof/>
        </w:rPr>
        <w:t>a) enne liikmesriikide ELiga ühinemist antud EIP laenud ja/või Euratomi laenud;</w:t>
      </w:r>
    </w:p>
    <w:p>
      <w:pPr>
        <w:rPr>
          <w:noProof/>
        </w:rPr>
      </w:pPr>
      <w:r>
        <w:rPr>
          <w:noProof/>
        </w:rPr>
        <w:t xml:space="preserve">b) maksebilansi tasakaalustamise vahendi raames antud laenud ja </w:t>
      </w:r>
    </w:p>
    <w:p>
      <w:pPr>
        <w:rPr>
          <w:noProof/>
        </w:rPr>
      </w:pPr>
      <w:r>
        <w:rPr>
          <w:noProof/>
        </w:rPr>
        <w:t xml:space="preserve">c) Euroopa finantsstabiilsusmehhanismi raames antud laenud. </w:t>
      </w:r>
    </w:p>
    <w:p>
      <w:pPr>
        <w:spacing w:after="0"/>
        <w:rPr>
          <w:noProof/>
          <w:sz w:val="18"/>
        </w:rPr>
      </w:pPr>
      <w:r>
        <w:rPr>
          <w:noProof/>
          <w:sz w:val="18"/>
        </w:rPr>
        <w:t>Tabel 2. Liikmesriikide järjestus vastavalt 2017. aastal ELi eelarvest kaetavale aastasele riskile (miljonites eurodes)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947"/>
        <w:gridCol w:w="1102"/>
        <w:gridCol w:w="1877"/>
        <w:gridCol w:w="1594"/>
        <w:gridCol w:w="1612"/>
      </w:tblGrid>
      <w:tr>
        <w:tc>
          <w:tcPr>
            <w:tcW w:w="1050" w:type="dxa"/>
            <w:shd w:val="clear" w:color="auto" w:fill="auto"/>
          </w:tcPr>
          <w:p>
            <w:pPr>
              <w:jc w:val="center"/>
              <w:rPr>
                <w:b/>
                <w:noProof/>
                <w:sz w:val="20"/>
                <w:szCs w:val="20"/>
              </w:rPr>
            </w:pPr>
            <w:r>
              <w:rPr>
                <w:b/>
                <w:noProof/>
                <w:sz w:val="20"/>
              </w:rPr>
              <w:t>Järjestus</w:t>
            </w:r>
          </w:p>
        </w:tc>
        <w:tc>
          <w:tcPr>
            <w:tcW w:w="1976" w:type="dxa"/>
            <w:shd w:val="clear" w:color="auto" w:fill="auto"/>
          </w:tcPr>
          <w:p>
            <w:pPr>
              <w:jc w:val="center"/>
              <w:rPr>
                <w:b/>
                <w:noProof/>
                <w:sz w:val="20"/>
                <w:szCs w:val="20"/>
              </w:rPr>
            </w:pPr>
            <w:r>
              <w:rPr>
                <w:b/>
                <w:noProof/>
                <w:sz w:val="20"/>
              </w:rPr>
              <w:t>Riik</w:t>
            </w:r>
          </w:p>
        </w:tc>
        <w:tc>
          <w:tcPr>
            <w:tcW w:w="1111" w:type="dxa"/>
            <w:shd w:val="clear" w:color="auto" w:fill="auto"/>
          </w:tcPr>
          <w:p>
            <w:pPr>
              <w:jc w:val="center"/>
              <w:rPr>
                <w:b/>
                <w:noProof/>
                <w:sz w:val="20"/>
                <w:szCs w:val="20"/>
              </w:rPr>
            </w:pPr>
            <w:r>
              <w:rPr>
                <w:b/>
                <w:noProof/>
                <w:sz w:val="20"/>
              </w:rPr>
              <w:t>Laenud</w:t>
            </w:r>
          </w:p>
        </w:tc>
        <w:tc>
          <w:tcPr>
            <w:tcW w:w="1896" w:type="dxa"/>
            <w:shd w:val="clear" w:color="auto" w:fill="auto"/>
          </w:tcPr>
          <w:p>
            <w:pPr>
              <w:jc w:val="center"/>
              <w:rPr>
                <w:b/>
                <w:noProof/>
                <w:sz w:val="20"/>
                <w:szCs w:val="20"/>
              </w:rPr>
            </w:pPr>
            <w:r>
              <w:rPr>
                <w:b/>
                <w:noProof/>
                <w:sz w:val="20"/>
              </w:rPr>
              <w:t>Maksimaalne aastane risk</w:t>
            </w:r>
          </w:p>
        </w:tc>
        <w:tc>
          <w:tcPr>
            <w:tcW w:w="1526" w:type="dxa"/>
            <w:shd w:val="clear" w:color="auto" w:fill="auto"/>
          </w:tcPr>
          <w:p>
            <w:pPr>
              <w:jc w:val="center"/>
              <w:rPr>
                <w:b/>
                <w:noProof/>
                <w:sz w:val="20"/>
                <w:szCs w:val="20"/>
              </w:rPr>
            </w:pPr>
            <w:r>
              <w:rPr>
                <w:b/>
                <w:noProof/>
                <w:sz w:val="20"/>
              </w:rPr>
              <w:t>Riigi osakaal liikmesriikidega seotud aastases riskis</w:t>
            </w:r>
          </w:p>
        </w:tc>
        <w:tc>
          <w:tcPr>
            <w:tcW w:w="1621" w:type="dxa"/>
            <w:shd w:val="clear" w:color="auto" w:fill="auto"/>
          </w:tcPr>
          <w:p>
            <w:pPr>
              <w:jc w:val="center"/>
              <w:rPr>
                <w:b/>
                <w:noProof/>
                <w:sz w:val="20"/>
                <w:szCs w:val="20"/>
              </w:rPr>
            </w:pPr>
            <w:r>
              <w:rPr>
                <w:b/>
                <w:noProof/>
                <w:sz w:val="20"/>
              </w:rPr>
              <w:t>Riigi osakaal aastases koguriskis (liikmesriigid ja kolmandad riigid)</w:t>
            </w:r>
          </w:p>
        </w:tc>
      </w:tr>
      <w:tr>
        <w:tc>
          <w:tcPr>
            <w:tcW w:w="1050" w:type="dxa"/>
            <w:shd w:val="clear" w:color="auto" w:fill="auto"/>
          </w:tcPr>
          <w:p>
            <w:pPr>
              <w:jc w:val="center"/>
              <w:rPr>
                <w:b/>
                <w:noProof/>
              </w:rPr>
            </w:pPr>
            <w:r>
              <w:rPr>
                <w:b/>
                <w:noProof/>
              </w:rPr>
              <w:t>1</w:t>
            </w:r>
          </w:p>
        </w:tc>
        <w:tc>
          <w:tcPr>
            <w:tcW w:w="1976" w:type="dxa"/>
            <w:shd w:val="clear" w:color="auto" w:fill="auto"/>
          </w:tcPr>
          <w:p>
            <w:pPr>
              <w:rPr>
                <w:noProof/>
              </w:rPr>
            </w:pPr>
            <w:r>
              <w:rPr>
                <w:noProof/>
              </w:rPr>
              <w:t>Rumeenia</w:t>
            </w:r>
          </w:p>
        </w:tc>
        <w:tc>
          <w:tcPr>
            <w:tcW w:w="1111" w:type="dxa"/>
            <w:shd w:val="clear" w:color="auto" w:fill="auto"/>
          </w:tcPr>
          <w:p>
            <w:pPr>
              <w:jc w:val="center"/>
              <w:rPr>
                <w:noProof/>
              </w:rPr>
            </w:pPr>
            <w:r>
              <w:rPr>
                <w:noProof/>
              </w:rPr>
              <w:t>a+b)</w:t>
            </w:r>
          </w:p>
        </w:tc>
        <w:tc>
          <w:tcPr>
            <w:tcW w:w="1896" w:type="dxa"/>
            <w:shd w:val="clear" w:color="auto" w:fill="auto"/>
          </w:tcPr>
          <w:p>
            <w:pPr>
              <w:jc w:val="right"/>
              <w:rPr>
                <w:noProof/>
              </w:rPr>
            </w:pPr>
            <w:r>
              <w:rPr>
                <w:noProof/>
              </w:rPr>
              <w:t>1 453,75</w:t>
            </w:r>
          </w:p>
        </w:tc>
        <w:tc>
          <w:tcPr>
            <w:tcW w:w="1526" w:type="dxa"/>
            <w:shd w:val="clear" w:color="auto" w:fill="auto"/>
          </w:tcPr>
          <w:p>
            <w:pPr>
              <w:jc w:val="right"/>
              <w:rPr>
                <w:noProof/>
              </w:rPr>
            </w:pPr>
            <w:r>
              <w:rPr>
                <w:noProof/>
              </w:rPr>
              <w:t>50,9 %</w:t>
            </w:r>
          </w:p>
        </w:tc>
        <w:tc>
          <w:tcPr>
            <w:tcW w:w="1621" w:type="dxa"/>
            <w:shd w:val="clear" w:color="auto" w:fill="auto"/>
          </w:tcPr>
          <w:p>
            <w:pPr>
              <w:jc w:val="right"/>
              <w:rPr>
                <w:noProof/>
              </w:rPr>
            </w:pPr>
            <w:r>
              <w:rPr>
                <w:noProof/>
              </w:rPr>
              <w:t>25,2 %</w:t>
            </w:r>
          </w:p>
        </w:tc>
      </w:tr>
      <w:tr>
        <w:tc>
          <w:tcPr>
            <w:tcW w:w="1050" w:type="dxa"/>
            <w:shd w:val="clear" w:color="auto" w:fill="auto"/>
          </w:tcPr>
          <w:p>
            <w:pPr>
              <w:jc w:val="center"/>
              <w:rPr>
                <w:b/>
                <w:noProof/>
              </w:rPr>
            </w:pPr>
            <w:r>
              <w:rPr>
                <w:b/>
                <w:noProof/>
              </w:rPr>
              <w:t>2</w:t>
            </w:r>
          </w:p>
        </w:tc>
        <w:tc>
          <w:tcPr>
            <w:tcW w:w="1976" w:type="dxa"/>
            <w:shd w:val="clear" w:color="auto" w:fill="auto"/>
          </w:tcPr>
          <w:p>
            <w:pPr>
              <w:rPr>
                <w:noProof/>
              </w:rPr>
            </w:pPr>
            <w:r>
              <w:rPr>
                <w:noProof/>
              </w:rPr>
              <w:t xml:space="preserve">Iirimaa </w:t>
            </w:r>
          </w:p>
        </w:tc>
        <w:tc>
          <w:tcPr>
            <w:tcW w:w="1111" w:type="dxa"/>
            <w:shd w:val="clear" w:color="auto" w:fill="auto"/>
          </w:tcPr>
          <w:p>
            <w:pPr>
              <w:jc w:val="center"/>
              <w:rPr>
                <w:noProof/>
              </w:rPr>
            </w:pPr>
            <w:r>
              <w:rPr>
                <w:noProof/>
              </w:rPr>
              <w:t>c)</w:t>
            </w:r>
          </w:p>
        </w:tc>
        <w:tc>
          <w:tcPr>
            <w:tcW w:w="1896" w:type="dxa"/>
            <w:shd w:val="clear" w:color="auto" w:fill="auto"/>
          </w:tcPr>
          <w:p>
            <w:pPr>
              <w:jc w:val="right"/>
              <w:rPr>
                <w:noProof/>
              </w:rPr>
            </w:pPr>
            <w:r>
              <w:rPr>
                <w:noProof/>
              </w:rPr>
              <w:t>607,25</w:t>
            </w:r>
          </w:p>
        </w:tc>
        <w:tc>
          <w:tcPr>
            <w:tcW w:w="1526" w:type="dxa"/>
            <w:shd w:val="clear" w:color="auto" w:fill="auto"/>
          </w:tcPr>
          <w:p>
            <w:pPr>
              <w:jc w:val="right"/>
              <w:rPr>
                <w:noProof/>
              </w:rPr>
            </w:pPr>
            <w:r>
              <w:rPr>
                <w:noProof/>
              </w:rPr>
              <w:t>21,2 %</w:t>
            </w:r>
          </w:p>
        </w:tc>
        <w:tc>
          <w:tcPr>
            <w:tcW w:w="1621" w:type="dxa"/>
            <w:shd w:val="clear" w:color="auto" w:fill="auto"/>
          </w:tcPr>
          <w:p>
            <w:pPr>
              <w:jc w:val="right"/>
              <w:rPr>
                <w:noProof/>
              </w:rPr>
            </w:pPr>
            <w:r>
              <w:rPr>
                <w:noProof/>
              </w:rPr>
              <w:t>10,5 %</w:t>
            </w:r>
          </w:p>
        </w:tc>
      </w:tr>
      <w:tr>
        <w:tc>
          <w:tcPr>
            <w:tcW w:w="1050" w:type="dxa"/>
            <w:shd w:val="clear" w:color="auto" w:fill="auto"/>
          </w:tcPr>
          <w:p>
            <w:pPr>
              <w:jc w:val="center"/>
              <w:rPr>
                <w:b/>
                <w:noProof/>
              </w:rPr>
            </w:pPr>
            <w:r>
              <w:rPr>
                <w:b/>
                <w:noProof/>
              </w:rPr>
              <w:t>3</w:t>
            </w:r>
          </w:p>
        </w:tc>
        <w:tc>
          <w:tcPr>
            <w:tcW w:w="1976" w:type="dxa"/>
            <w:shd w:val="clear" w:color="auto" w:fill="auto"/>
          </w:tcPr>
          <w:p>
            <w:pPr>
              <w:rPr>
                <w:noProof/>
              </w:rPr>
            </w:pPr>
            <w:r>
              <w:rPr>
                <w:noProof/>
              </w:rPr>
              <w:t>Portugal</w:t>
            </w:r>
          </w:p>
        </w:tc>
        <w:tc>
          <w:tcPr>
            <w:tcW w:w="1111" w:type="dxa"/>
            <w:shd w:val="clear" w:color="auto" w:fill="auto"/>
          </w:tcPr>
          <w:p>
            <w:pPr>
              <w:jc w:val="center"/>
              <w:rPr>
                <w:noProof/>
              </w:rPr>
            </w:pPr>
            <w:r>
              <w:rPr>
                <w:noProof/>
              </w:rPr>
              <w:t>c)</w:t>
            </w:r>
          </w:p>
        </w:tc>
        <w:tc>
          <w:tcPr>
            <w:tcW w:w="1896" w:type="dxa"/>
            <w:shd w:val="clear" w:color="auto" w:fill="auto"/>
          </w:tcPr>
          <w:p>
            <w:pPr>
              <w:jc w:val="right"/>
              <w:rPr>
                <w:noProof/>
              </w:rPr>
            </w:pPr>
            <w:r>
              <w:rPr>
                <w:noProof/>
              </w:rPr>
              <w:t>591,22</w:t>
            </w:r>
          </w:p>
        </w:tc>
        <w:tc>
          <w:tcPr>
            <w:tcW w:w="1526" w:type="dxa"/>
            <w:shd w:val="clear" w:color="auto" w:fill="auto"/>
          </w:tcPr>
          <w:p>
            <w:pPr>
              <w:jc w:val="right"/>
              <w:rPr>
                <w:noProof/>
              </w:rPr>
            </w:pPr>
            <w:r>
              <w:rPr>
                <w:noProof/>
              </w:rPr>
              <w:t>20,7 %</w:t>
            </w:r>
          </w:p>
        </w:tc>
        <w:tc>
          <w:tcPr>
            <w:tcW w:w="1621" w:type="dxa"/>
            <w:shd w:val="clear" w:color="auto" w:fill="auto"/>
          </w:tcPr>
          <w:p>
            <w:pPr>
              <w:jc w:val="right"/>
              <w:rPr>
                <w:noProof/>
              </w:rPr>
            </w:pPr>
            <w:r>
              <w:rPr>
                <w:noProof/>
              </w:rPr>
              <w:t>10,2 %</w:t>
            </w:r>
          </w:p>
        </w:tc>
      </w:tr>
      <w:tr>
        <w:tc>
          <w:tcPr>
            <w:tcW w:w="1050" w:type="dxa"/>
            <w:shd w:val="clear" w:color="auto" w:fill="auto"/>
          </w:tcPr>
          <w:p>
            <w:pPr>
              <w:jc w:val="center"/>
              <w:rPr>
                <w:b/>
                <w:noProof/>
              </w:rPr>
            </w:pPr>
            <w:r>
              <w:rPr>
                <w:b/>
                <w:noProof/>
              </w:rPr>
              <w:t>4</w:t>
            </w:r>
          </w:p>
        </w:tc>
        <w:tc>
          <w:tcPr>
            <w:tcW w:w="1976" w:type="dxa"/>
            <w:shd w:val="clear" w:color="auto" w:fill="auto"/>
          </w:tcPr>
          <w:p>
            <w:pPr>
              <w:rPr>
                <w:noProof/>
              </w:rPr>
            </w:pPr>
            <w:r>
              <w:rPr>
                <w:noProof/>
              </w:rPr>
              <w:t>Bulgaaria</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73,39</w:t>
            </w:r>
          </w:p>
        </w:tc>
        <w:tc>
          <w:tcPr>
            <w:tcW w:w="1526" w:type="dxa"/>
            <w:shd w:val="clear" w:color="auto" w:fill="auto"/>
          </w:tcPr>
          <w:p>
            <w:pPr>
              <w:jc w:val="right"/>
              <w:rPr>
                <w:noProof/>
              </w:rPr>
            </w:pPr>
            <w:r>
              <w:rPr>
                <w:noProof/>
              </w:rPr>
              <w:t>2,6 %</w:t>
            </w:r>
          </w:p>
        </w:tc>
        <w:tc>
          <w:tcPr>
            <w:tcW w:w="1621" w:type="dxa"/>
            <w:shd w:val="clear" w:color="auto" w:fill="auto"/>
          </w:tcPr>
          <w:p>
            <w:pPr>
              <w:jc w:val="right"/>
              <w:rPr>
                <w:noProof/>
              </w:rPr>
            </w:pPr>
            <w:r>
              <w:rPr>
                <w:noProof/>
              </w:rPr>
              <w:t>1,3 %</w:t>
            </w:r>
          </w:p>
        </w:tc>
      </w:tr>
      <w:tr>
        <w:tc>
          <w:tcPr>
            <w:tcW w:w="1050" w:type="dxa"/>
            <w:shd w:val="clear" w:color="auto" w:fill="auto"/>
          </w:tcPr>
          <w:p>
            <w:pPr>
              <w:jc w:val="center"/>
              <w:rPr>
                <w:b/>
                <w:noProof/>
              </w:rPr>
            </w:pPr>
            <w:r>
              <w:rPr>
                <w:b/>
                <w:noProof/>
              </w:rPr>
              <w:t>5</w:t>
            </w:r>
          </w:p>
        </w:tc>
        <w:tc>
          <w:tcPr>
            <w:tcW w:w="1976" w:type="dxa"/>
            <w:shd w:val="clear" w:color="auto" w:fill="auto"/>
          </w:tcPr>
          <w:p>
            <w:pPr>
              <w:rPr>
                <w:noProof/>
              </w:rPr>
            </w:pPr>
            <w:r>
              <w:rPr>
                <w:noProof/>
              </w:rPr>
              <w:t>Horvaatia</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38,01</w:t>
            </w:r>
          </w:p>
        </w:tc>
        <w:tc>
          <w:tcPr>
            <w:tcW w:w="1526" w:type="dxa"/>
            <w:shd w:val="clear" w:color="auto" w:fill="auto"/>
          </w:tcPr>
          <w:p>
            <w:pPr>
              <w:jc w:val="right"/>
              <w:rPr>
                <w:noProof/>
              </w:rPr>
            </w:pPr>
            <w:r>
              <w:rPr>
                <w:noProof/>
              </w:rPr>
              <w:t>1,3 %</w:t>
            </w:r>
          </w:p>
        </w:tc>
        <w:tc>
          <w:tcPr>
            <w:tcW w:w="1621" w:type="dxa"/>
            <w:shd w:val="clear" w:color="auto" w:fill="auto"/>
          </w:tcPr>
          <w:p>
            <w:pPr>
              <w:jc w:val="right"/>
              <w:rPr>
                <w:noProof/>
              </w:rPr>
            </w:pPr>
            <w:r>
              <w:rPr>
                <w:noProof/>
              </w:rPr>
              <w:t>0,7 %</w:t>
            </w:r>
          </w:p>
        </w:tc>
      </w:tr>
      <w:tr>
        <w:tc>
          <w:tcPr>
            <w:tcW w:w="1050" w:type="dxa"/>
            <w:shd w:val="clear" w:color="auto" w:fill="auto"/>
          </w:tcPr>
          <w:p>
            <w:pPr>
              <w:jc w:val="center"/>
              <w:rPr>
                <w:b/>
                <w:noProof/>
              </w:rPr>
            </w:pPr>
            <w:r>
              <w:rPr>
                <w:b/>
                <w:noProof/>
              </w:rPr>
              <w:t>6</w:t>
            </w:r>
          </w:p>
        </w:tc>
        <w:tc>
          <w:tcPr>
            <w:tcW w:w="1976" w:type="dxa"/>
            <w:shd w:val="clear" w:color="auto" w:fill="auto"/>
          </w:tcPr>
          <w:p>
            <w:pPr>
              <w:rPr>
                <w:noProof/>
              </w:rPr>
            </w:pPr>
            <w:r>
              <w:rPr>
                <w:noProof/>
              </w:rPr>
              <w:t>Läti</w:t>
            </w:r>
          </w:p>
        </w:tc>
        <w:tc>
          <w:tcPr>
            <w:tcW w:w="1111" w:type="dxa"/>
            <w:shd w:val="clear" w:color="auto" w:fill="auto"/>
          </w:tcPr>
          <w:p>
            <w:pPr>
              <w:jc w:val="center"/>
              <w:rPr>
                <w:noProof/>
              </w:rPr>
            </w:pPr>
            <w:r>
              <w:rPr>
                <w:noProof/>
              </w:rPr>
              <w:t>a+b)</w:t>
            </w:r>
          </w:p>
        </w:tc>
        <w:tc>
          <w:tcPr>
            <w:tcW w:w="1896" w:type="dxa"/>
            <w:shd w:val="clear" w:color="auto" w:fill="auto"/>
          </w:tcPr>
          <w:p>
            <w:pPr>
              <w:jc w:val="right"/>
              <w:rPr>
                <w:noProof/>
              </w:rPr>
            </w:pPr>
            <w:r>
              <w:rPr>
                <w:noProof/>
              </w:rPr>
              <w:t>26,34</w:t>
            </w:r>
          </w:p>
        </w:tc>
        <w:tc>
          <w:tcPr>
            <w:tcW w:w="1526" w:type="dxa"/>
            <w:shd w:val="clear" w:color="auto" w:fill="auto"/>
          </w:tcPr>
          <w:p>
            <w:pPr>
              <w:jc w:val="right"/>
              <w:rPr>
                <w:noProof/>
              </w:rPr>
            </w:pPr>
            <w:r>
              <w:rPr>
                <w:noProof/>
              </w:rPr>
              <w:t>0,9 %</w:t>
            </w:r>
          </w:p>
        </w:tc>
        <w:tc>
          <w:tcPr>
            <w:tcW w:w="1621" w:type="dxa"/>
            <w:shd w:val="clear" w:color="auto" w:fill="auto"/>
          </w:tcPr>
          <w:p>
            <w:pPr>
              <w:jc w:val="right"/>
              <w:rPr>
                <w:noProof/>
              </w:rPr>
            </w:pPr>
            <w:r>
              <w:rPr>
                <w:noProof/>
              </w:rPr>
              <w:t>0,5 %</w:t>
            </w:r>
          </w:p>
        </w:tc>
      </w:tr>
      <w:tr>
        <w:tc>
          <w:tcPr>
            <w:tcW w:w="1050" w:type="dxa"/>
            <w:shd w:val="clear" w:color="auto" w:fill="auto"/>
          </w:tcPr>
          <w:p>
            <w:pPr>
              <w:jc w:val="center"/>
              <w:rPr>
                <w:b/>
                <w:noProof/>
              </w:rPr>
            </w:pPr>
            <w:r>
              <w:rPr>
                <w:b/>
                <w:noProof/>
              </w:rPr>
              <w:t>7</w:t>
            </w:r>
          </w:p>
        </w:tc>
        <w:tc>
          <w:tcPr>
            <w:tcW w:w="1976" w:type="dxa"/>
            <w:shd w:val="clear" w:color="auto" w:fill="auto"/>
          </w:tcPr>
          <w:p>
            <w:pPr>
              <w:rPr>
                <w:noProof/>
              </w:rPr>
            </w:pPr>
            <w:r>
              <w:rPr>
                <w:noProof/>
              </w:rPr>
              <w:t>Tšehhi Vabariik</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25,93</w:t>
            </w:r>
          </w:p>
        </w:tc>
        <w:tc>
          <w:tcPr>
            <w:tcW w:w="1526" w:type="dxa"/>
            <w:shd w:val="clear" w:color="auto" w:fill="auto"/>
          </w:tcPr>
          <w:p>
            <w:pPr>
              <w:jc w:val="right"/>
              <w:rPr>
                <w:noProof/>
              </w:rPr>
            </w:pPr>
            <w:r>
              <w:rPr>
                <w:noProof/>
              </w:rPr>
              <w:t>0,9 %</w:t>
            </w:r>
          </w:p>
        </w:tc>
        <w:tc>
          <w:tcPr>
            <w:tcW w:w="1621" w:type="dxa"/>
            <w:shd w:val="clear" w:color="auto" w:fill="auto"/>
          </w:tcPr>
          <w:p>
            <w:pPr>
              <w:jc w:val="right"/>
              <w:rPr>
                <w:noProof/>
              </w:rPr>
            </w:pPr>
            <w:r>
              <w:rPr>
                <w:noProof/>
              </w:rPr>
              <w:t>0,4 %</w:t>
            </w:r>
          </w:p>
        </w:tc>
      </w:tr>
      <w:tr>
        <w:tc>
          <w:tcPr>
            <w:tcW w:w="1050" w:type="dxa"/>
            <w:shd w:val="clear" w:color="auto" w:fill="auto"/>
          </w:tcPr>
          <w:p>
            <w:pPr>
              <w:jc w:val="center"/>
              <w:rPr>
                <w:b/>
                <w:noProof/>
              </w:rPr>
            </w:pPr>
            <w:r>
              <w:rPr>
                <w:b/>
                <w:noProof/>
              </w:rPr>
              <w:t>8</w:t>
            </w:r>
          </w:p>
        </w:tc>
        <w:tc>
          <w:tcPr>
            <w:tcW w:w="1976" w:type="dxa"/>
            <w:shd w:val="clear" w:color="auto" w:fill="auto"/>
          </w:tcPr>
          <w:p>
            <w:pPr>
              <w:rPr>
                <w:noProof/>
              </w:rPr>
            </w:pPr>
            <w:r>
              <w:rPr>
                <w:noProof/>
              </w:rPr>
              <w:t>Poola</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21,53</w:t>
            </w:r>
          </w:p>
        </w:tc>
        <w:tc>
          <w:tcPr>
            <w:tcW w:w="1526" w:type="dxa"/>
            <w:shd w:val="clear" w:color="auto" w:fill="auto"/>
          </w:tcPr>
          <w:p>
            <w:pPr>
              <w:jc w:val="right"/>
              <w:rPr>
                <w:noProof/>
              </w:rPr>
            </w:pPr>
            <w:r>
              <w:rPr>
                <w:noProof/>
              </w:rPr>
              <w:t>0,8 %</w:t>
            </w:r>
          </w:p>
        </w:tc>
        <w:tc>
          <w:tcPr>
            <w:tcW w:w="1621" w:type="dxa"/>
            <w:shd w:val="clear" w:color="auto" w:fill="auto"/>
          </w:tcPr>
          <w:p>
            <w:pPr>
              <w:jc w:val="right"/>
              <w:rPr>
                <w:noProof/>
              </w:rPr>
            </w:pPr>
            <w:r>
              <w:rPr>
                <w:noProof/>
              </w:rPr>
              <w:t>0,4 %</w:t>
            </w:r>
          </w:p>
        </w:tc>
      </w:tr>
      <w:tr>
        <w:tc>
          <w:tcPr>
            <w:tcW w:w="1050" w:type="dxa"/>
            <w:shd w:val="clear" w:color="auto" w:fill="auto"/>
          </w:tcPr>
          <w:p>
            <w:pPr>
              <w:jc w:val="center"/>
              <w:rPr>
                <w:b/>
                <w:noProof/>
              </w:rPr>
            </w:pPr>
            <w:r>
              <w:rPr>
                <w:b/>
                <w:noProof/>
              </w:rPr>
              <w:t>9</w:t>
            </w:r>
          </w:p>
        </w:tc>
        <w:tc>
          <w:tcPr>
            <w:tcW w:w="1976" w:type="dxa"/>
            <w:shd w:val="clear" w:color="auto" w:fill="auto"/>
          </w:tcPr>
          <w:p>
            <w:pPr>
              <w:rPr>
                <w:noProof/>
              </w:rPr>
            </w:pPr>
            <w:r>
              <w:rPr>
                <w:noProof/>
              </w:rPr>
              <w:t>Slovaki Vabariik</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14,24</w:t>
            </w:r>
          </w:p>
        </w:tc>
        <w:tc>
          <w:tcPr>
            <w:tcW w:w="1526" w:type="dxa"/>
            <w:shd w:val="clear" w:color="auto" w:fill="auto"/>
          </w:tcPr>
          <w:p>
            <w:pPr>
              <w:jc w:val="right"/>
              <w:rPr>
                <w:noProof/>
              </w:rPr>
            </w:pPr>
            <w:r>
              <w:rPr>
                <w:noProof/>
              </w:rPr>
              <w:t>0,5 %</w:t>
            </w:r>
          </w:p>
        </w:tc>
        <w:tc>
          <w:tcPr>
            <w:tcW w:w="1621" w:type="dxa"/>
            <w:shd w:val="clear" w:color="auto" w:fill="auto"/>
          </w:tcPr>
          <w:p>
            <w:pPr>
              <w:jc w:val="right"/>
              <w:rPr>
                <w:noProof/>
              </w:rPr>
            </w:pPr>
            <w:r>
              <w:rPr>
                <w:noProof/>
              </w:rPr>
              <w:t>0,2 %</w:t>
            </w:r>
          </w:p>
        </w:tc>
      </w:tr>
      <w:tr>
        <w:tc>
          <w:tcPr>
            <w:tcW w:w="1050" w:type="dxa"/>
            <w:shd w:val="clear" w:color="auto" w:fill="auto"/>
          </w:tcPr>
          <w:p>
            <w:pPr>
              <w:jc w:val="center"/>
              <w:rPr>
                <w:b/>
                <w:noProof/>
              </w:rPr>
            </w:pPr>
            <w:r>
              <w:rPr>
                <w:b/>
                <w:noProof/>
              </w:rPr>
              <w:t>10</w:t>
            </w:r>
          </w:p>
        </w:tc>
        <w:tc>
          <w:tcPr>
            <w:tcW w:w="1976" w:type="dxa"/>
            <w:shd w:val="clear" w:color="auto" w:fill="auto"/>
          </w:tcPr>
          <w:p>
            <w:pPr>
              <w:rPr>
                <w:noProof/>
              </w:rPr>
            </w:pPr>
            <w:r>
              <w:rPr>
                <w:noProof/>
              </w:rPr>
              <w:t>Leedu</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4,42</w:t>
            </w:r>
          </w:p>
        </w:tc>
        <w:tc>
          <w:tcPr>
            <w:tcW w:w="1526" w:type="dxa"/>
            <w:shd w:val="clear" w:color="auto" w:fill="auto"/>
          </w:tcPr>
          <w:p>
            <w:pPr>
              <w:jc w:val="right"/>
              <w:rPr>
                <w:noProof/>
              </w:rPr>
            </w:pPr>
            <w:r>
              <w:rPr>
                <w:noProof/>
              </w:rPr>
              <w:t>0,2 %</w:t>
            </w:r>
          </w:p>
        </w:tc>
        <w:tc>
          <w:tcPr>
            <w:tcW w:w="1621" w:type="dxa"/>
            <w:shd w:val="clear" w:color="auto" w:fill="auto"/>
          </w:tcPr>
          <w:p>
            <w:pPr>
              <w:jc w:val="right"/>
              <w:rPr>
                <w:noProof/>
              </w:rPr>
            </w:pPr>
            <w:r>
              <w:rPr>
                <w:noProof/>
              </w:rPr>
              <w:t>0,1 %</w:t>
            </w:r>
          </w:p>
        </w:tc>
      </w:tr>
      <w:tr>
        <w:tc>
          <w:tcPr>
            <w:tcW w:w="1050" w:type="dxa"/>
            <w:shd w:val="clear" w:color="auto" w:fill="auto"/>
          </w:tcPr>
          <w:p>
            <w:pPr>
              <w:jc w:val="center"/>
              <w:rPr>
                <w:b/>
                <w:noProof/>
              </w:rPr>
            </w:pPr>
            <w:r>
              <w:rPr>
                <w:b/>
                <w:noProof/>
              </w:rPr>
              <w:t>11</w:t>
            </w:r>
          </w:p>
        </w:tc>
        <w:tc>
          <w:tcPr>
            <w:tcW w:w="1976" w:type="dxa"/>
            <w:shd w:val="clear" w:color="auto" w:fill="auto"/>
          </w:tcPr>
          <w:p>
            <w:pPr>
              <w:rPr>
                <w:noProof/>
              </w:rPr>
            </w:pPr>
            <w:r>
              <w:rPr>
                <w:noProof/>
              </w:rPr>
              <w:t>Ungari</w:t>
            </w:r>
          </w:p>
        </w:tc>
        <w:tc>
          <w:tcPr>
            <w:tcW w:w="1111" w:type="dxa"/>
            <w:shd w:val="clear" w:color="auto" w:fill="auto"/>
          </w:tcPr>
          <w:p>
            <w:pPr>
              <w:jc w:val="center"/>
              <w:rPr>
                <w:noProof/>
              </w:rPr>
            </w:pPr>
            <w:r>
              <w:rPr>
                <w:noProof/>
              </w:rPr>
              <w:t>a)</w:t>
            </w:r>
          </w:p>
        </w:tc>
        <w:tc>
          <w:tcPr>
            <w:tcW w:w="1896" w:type="dxa"/>
            <w:shd w:val="clear" w:color="auto" w:fill="auto"/>
          </w:tcPr>
          <w:p>
            <w:pPr>
              <w:jc w:val="right"/>
              <w:rPr>
                <w:noProof/>
              </w:rPr>
            </w:pPr>
            <w:r>
              <w:rPr>
                <w:noProof/>
              </w:rPr>
              <w:t>2,12</w:t>
            </w:r>
          </w:p>
        </w:tc>
        <w:tc>
          <w:tcPr>
            <w:tcW w:w="1526" w:type="dxa"/>
            <w:shd w:val="clear" w:color="auto" w:fill="auto"/>
          </w:tcPr>
          <w:p>
            <w:pPr>
              <w:jc w:val="right"/>
              <w:rPr>
                <w:noProof/>
              </w:rPr>
            </w:pPr>
            <w:r>
              <w:rPr>
                <w:noProof/>
              </w:rPr>
              <w:t>0,1 %</w:t>
            </w:r>
          </w:p>
        </w:tc>
        <w:tc>
          <w:tcPr>
            <w:tcW w:w="1621" w:type="dxa"/>
            <w:shd w:val="clear" w:color="auto" w:fill="auto"/>
          </w:tcPr>
          <w:p>
            <w:pPr>
              <w:jc w:val="right"/>
              <w:rPr>
                <w:noProof/>
              </w:rPr>
            </w:pPr>
            <w:r>
              <w:rPr>
                <w:noProof/>
              </w:rPr>
              <w:t>0,04 %</w:t>
            </w:r>
          </w:p>
        </w:tc>
      </w:tr>
      <w:tr>
        <w:tc>
          <w:tcPr>
            <w:tcW w:w="1050" w:type="dxa"/>
            <w:shd w:val="clear" w:color="auto" w:fill="auto"/>
          </w:tcPr>
          <w:p>
            <w:pPr>
              <w:rPr>
                <w:b/>
                <w:noProof/>
              </w:rPr>
            </w:pPr>
            <w:r>
              <w:rPr>
                <w:b/>
                <w:noProof/>
              </w:rPr>
              <w:t>Kokku</w:t>
            </w:r>
          </w:p>
        </w:tc>
        <w:tc>
          <w:tcPr>
            <w:tcW w:w="1976" w:type="dxa"/>
            <w:shd w:val="clear" w:color="auto" w:fill="auto"/>
          </w:tcPr>
          <w:p>
            <w:pPr>
              <w:rPr>
                <w:noProof/>
              </w:rPr>
            </w:pPr>
          </w:p>
        </w:tc>
        <w:tc>
          <w:tcPr>
            <w:tcW w:w="1111" w:type="dxa"/>
            <w:shd w:val="clear" w:color="auto" w:fill="auto"/>
          </w:tcPr>
          <w:p>
            <w:pPr>
              <w:jc w:val="right"/>
              <w:rPr>
                <w:noProof/>
              </w:rPr>
            </w:pPr>
          </w:p>
        </w:tc>
        <w:tc>
          <w:tcPr>
            <w:tcW w:w="1896" w:type="dxa"/>
            <w:shd w:val="clear" w:color="auto" w:fill="auto"/>
          </w:tcPr>
          <w:p>
            <w:pPr>
              <w:jc w:val="right"/>
              <w:rPr>
                <w:noProof/>
              </w:rPr>
            </w:pPr>
            <w:r>
              <w:rPr>
                <w:noProof/>
              </w:rPr>
              <w:t>2 858,20</w:t>
            </w:r>
          </w:p>
        </w:tc>
        <w:tc>
          <w:tcPr>
            <w:tcW w:w="1526" w:type="dxa"/>
            <w:shd w:val="clear" w:color="auto" w:fill="auto"/>
          </w:tcPr>
          <w:p>
            <w:pPr>
              <w:jc w:val="right"/>
              <w:rPr>
                <w:noProof/>
              </w:rPr>
            </w:pPr>
            <w:r>
              <w:rPr>
                <w:noProof/>
              </w:rPr>
              <w:t>100 %</w:t>
            </w:r>
          </w:p>
        </w:tc>
        <w:tc>
          <w:tcPr>
            <w:tcW w:w="1621" w:type="dxa"/>
            <w:shd w:val="clear" w:color="auto" w:fill="auto"/>
          </w:tcPr>
          <w:p>
            <w:pPr>
              <w:jc w:val="right"/>
              <w:rPr>
                <w:noProof/>
              </w:rPr>
            </w:pPr>
            <w:r>
              <w:rPr>
                <w:noProof/>
              </w:rPr>
              <w:t>49,5 %</w:t>
            </w:r>
          </w:p>
        </w:tc>
      </w:tr>
    </w:tbl>
    <w:p>
      <w:pPr>
        <w:pStyle w:val="ManualHeading3"/>
        <w:ind w:left="0" w:firstLine="0"/>
        <w:rPr>
          <w:noProof/>
        </w:rPr>
      </w:pPr>
      <w:bookmarkStart w:id="269" w:name="_Toc309831367"/>
      <w:bookmarkStart w:id="270" w:name="_Toc329261067"/>
      <w:bookmarkStart w:id="271" w:name="_Toc329855629"/>
      <w:bookmarkStart w:id="272" w:name="_Toc330551234"/>
      <w:bookmarkStart w:id="273" w:name="_Toc342470161"/>
      <w:bookmarkStart w:id="274" w:name="_Toc345073707"/>
      <w:bookmarkStart w:id="275" w:name="_Toc365986224"/>
      <w:bookmarkStart w:id="276" w:name="_Toc367869477"/>
      <w:bookmarkStart w:id="277" w:name="_Toc367870004"/>
      <w:bookmarkStart w:id="278" w:name="_Toc388973022"/>
      <w:bookmarkStart w:id="279" w:name="_Toc389474755"/>
      <w:bookmarkStart w:id="280" w:name="_Toc390944399"/>
      <w:bookmarkStart w:id="281" w:name="_Toc393969970"/>
      <w:bookmarkStart w:id="282" w:name="_Toc417461976"/>
      <w:bookmarkStart w:id="283" w:name="_Toc417998610"/>
      <w:bookmarkStart w:id="284" w:name="_Toc418157637"/>
      <w:bookmarkStart w:id="285" w:name="_Toc418160318"/>
      <w:bookmarkStart w:id="286" w:name="_Toc446577185"/>
      <w:bookmarkStart w:id="287" w:name="_Toc452646731"/>
      <w:bookmarkStart w:id="288" w:name="_Toc453161370"/>
      <w:bookmarkStart w:id="289" w:name="_Toc486601273"/>
    </w:p>
    <w:p>
      <w:pPr>
        <w:pStyle w:val="ManualHeading3"/>
        <w:ind w:left="0" w:firstLine="0"/>
        <w:rPr>
          <w:noProof/>
        </w:rPr>
      </w:pPr>
      <w:bookmarkStart w:id="290" w:name="_Toc495658620"/>
      <w:bookmarkStart w:id="291" w:name="_Toc499024199"/>
      <w:r>
        <w:rPr>
          <w:noProof/>
        </w:rPr>
        <w:t>4.3.2.</w:t>
      </w:r>
      <w:r>
        <w:rPr>
          <w:noProof/>
        </w:rPr>
        <w:tab/>
        <w:t>Kolmandate riikide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noProof/>
        </w:rPr>
        <w:t xml:space="preserve"> riskipositsioonid</w:t>
      </w:r>
      <w:bookmarkEnd w:id="287"/>
      <w:bookmarkEnd w:id="288"/>
      <w:bookmarkEnd w:id="289"/>
      <w:bookmarkEnd w:id="290"/>
      <w:bookmarkEnd w:id="291"/>
    </w:p>
    <w:p>
      <w:pPr>
        <w:rPr>
          <w:noProof/>
        </w:rPr>
      </w:pPr>
      <w:r>
        <w:rPr>
          <w:noProof/>
        </w:rPr>
        <w:t>2017. aastal on fondist kaetav kolmandate riikidega seotud maksimaalne risk 2 918,8 miljonit eurot (50,5 % aastasest koguriskist). Kolmandate riikidega seotud risk hõlmab EIP laenutehinguid, Euratomi laene ja makromajanduslikku finantsabi (üksikasjalikud andmed on esitatud komisjoni talituste töödokumendi tabelis A2b). Fond katab kolmandatele riikidele antud tagatud laene, mille tähtajad ulatuvad kuni 2042. aastani.</w:t>
      </w:r>
    </w:p>
    <w:p>
      <w:pPr>
        <w:rPr>
          <w:noProof/>
        </w:rPr>
      </w:pPr>
      <w:r>
        <w:rPr>
          <w:noProof/>
        </w:rPr>
        <w:t xml:space="preserve">Allpool on esitatud kümme kõige suurema laenujäägi kogusummaga riiki (48st) nende 2017. aastal tagasimaksmisele kuuluva summa suuruse järjekorras. Nende arvele langeb 2 415 miljonit eurot ehk 83 % fondi kaetavast kolmandate riikidega seotud aastasest riskist. Kõnealuste riikide majanduslikku olukorda on analüüsitud ja kommenteeritud talituste töödokumendi punktis 3. Tabelis on iga riigi puhul märgitud ka reitinguagentuuride antud hinnang krediidivõimelisuse kohta. </w:t>
      </w:r>
    </w:p>
    <w:p>
      <w:pPr>
        <w:spacing w:after="0"/>
        <w:rPr>
          <w:noProof/>
          <w:sz w:val="18"/>
        </w:rPr>
      </w:pPr>
      <w:r>
        <w:rPr>
          <w:noProof/>
        </w:rPr>
        <w:br w:type="page"/>
      </w:r>
      <w:r>
        <w:rPr>
          <w:noProof/>
          <w:sz w:val="18"/>
        </w:rPr>
        <w:t xml:space="preserve">Tabel 3. </w:t>
      </w:r>
      <w:r>
        <w:rPr>
          <w:b/>
          <w:noProof/>
          <w:sz w:val="18"/>
        </w:rPr>
        <w:t>Kümme kõige suurema riskiga kolmandat riiki</w:t>
      </w:r>
      <w:r>
        <w:rPr>
          <w:noProof/>
          <w:sz w:val="18"/>
        </w:rPr>
        <w:t xml:space="preserve"> vastavalt 2017. aastal ELi eelarvest kaetava riski suurusele (miljonites eurodes) </w:t>
      </w:r>
    </w:p>
    <w:tbl>
      <w:tblPr>
        <w:tblW w:w="8760" w:type="dxa"/>
        <w:tblInd w:w="-5" w:type="dxa"/>
        <w:tblLayout w:type="fixed"/>
        <w:tblLook w:val="0000" w:firstRow="0" w:lastRow="0" w:firstColumn="0" w:lastColumn="0" w:noHBand="0" w:noVBand="0"/>
      </w:tblPr>
      <w:tblGrid>
        <w:gridCol w:w="1814"/>
        <w:gridCol w:w="1701"/>
        <w:gridCol w:w="1560"/>
        <w:gridCol w:w="1842"/>
        <w:gridCol w:w="1843"/>
      </w:tblGrid>
      <w:tr>
        <w:trPr>
          <w:trHeight w:val="405"/>
        </w:trPr>
        <w:tc>
          <w:tcPr>
            <w:tcW w:w="1814" w:type="dxa"/>
            <w:tcBorders>
              <w:top w:val="single" w:sz="4" w:space="0" w:color="000000"/>
              <w:left w:val="single" w:sz="4" w:space="0" w:color="000000"/>
            </w:tcBorders>
          </w:tcPr>
          <w:p>
            <w:pPr>
              <w:jc w:val="center"/>
              <w:rPr>
                <w:b/>
                <w:noProof/>
              </w:rPr>
            </w:pPr>
            <w:r>
              <w:rPr>
                <w:b/>
                <w:noProof/>
              </w:rPr>
              <w:t>Järjestus</w:t>
            </w:r>
          </w:p>
        </w:tc>
        <w:tc>
          <w:tcPr>
            <w:tcW w:w="1701" w:type="dxa"/>
            <w:tcBorders>
              <w:top w:val="single" w:sz="4" w:space="0" w:color="000000"/>
              <w:left w:val="single" w:sz="4" w:space="0" w:color="000000"/>
            </w:tcBorders>
          </w:tcPr>
          <w:p>
            <w:pPr>
              <w:jc w:val="center"/>
              <w:rPr>
                <w:b/>
                <w:noProof/>
              </w:rPr>
            </w:pPr>
            <w:r>
              <w:rPr>
                <w:b/>
                <w:noProof/>
              </w:rPr>
              <w:t>Riik</w:t>
            </w:r>
          </w:p>
        </w:tc>
        <w:tc>
          <w:tcPr>
            <w:tcW w:w="1560" w:type="dxa"/>
            <w:tcBorders>
              <w:top w:val="single" w:sz="4" w:space="0" w:color="000000"/>
              <w:left w:val="single" w:sz="4" w:space="0" w:color="000000"/>
            </w:tcBorders>
          </w:tcPr>
          <w:p>
            <w:pPr>
              <w:jc w:val="center"/>
              <w:rPr>
                <w:b/>
                <w:noProof/>
              </w:rPr>
            </w:pPr>
            <w:r>
              <w:rPr>
                <w:b/>
                <w:noProof/>
              </w:rPr>
              <w:t>Maksimaalne aastane risk</w:t>
            </w:r>
          </w:p>
        </w:tc>
        <w:tc>
          <w:tcPr>
            <w:tcW w:w="1842" w:type="dxa"/>
            <w:tcBorders>
              <w:top w:val="single" w:sz="4" w:space="0" w:color="000000"/>
              <w:left w:val="single" w:sz="4" w:space="0" w:color="000000"/>
            </w:tcBorders>
          </w:tcPr>
          <w:p>
            <w:pPr>
              <w:jc w:val="center"/>
              <w:rPr>
                <w:b/>
                <w:noProof/>
              </w:rPr>
            </w:pPr>
            <w:r>
              <w:rPr>
                <w:b/>
                <w:noProof/>
              </w:rPr>
              <w:t>Riigi osakaal kolmandate riikidega seotud aastases riskis</w:t>
            </w:r>
          </w:p>
        </w:tc>
        <w:tc>
          <w:tcPr>
            <w:tcW w:w="1843" w:type="dxa"/>
            <w:tcBorders>
              <w:top w:val="single" w:sz="4" w:space="0" w:color="000000"/>
              <w:left w:val="single" w:sz="4" w:space="0" w:color="000000"/>
              <w:right w:val="single" w:sz="4" w:space="0" w:color="000000"/>
            </w:tcBorders>
          </w:tcPr>
          <w:p>
            <w:pPr>
              <w:jc w:val="center"/>
              <w:rPr>
                <w:b/>
                <w:noProof/>
              </w:rPr>
            </w:pPr>
            <w:r>
              <w:rPr>
                <w:b/>
                <w:noProof/>
              </w:rPr>
              <w:t>Riigi osakaal aastases koguriskis (liikmesriigid ja kolmandad riigid)</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1</w:t>
            </w:r>
          </w:p>
        </w:tc>
        <w:tc>
          <w:tcPr>
            <w:tcW w:w="1701" w:type="dxa"/>
            <w:tcBorders>
              <w:top w:val="single" w:sz="4" w:space="0" w:color="000000"/>
              <w:left w:val="single" w:sz="4" w:space="0" w:color="000000"/>
              <w:bottom w:val="single" w:sz="4" w:space="0" w:color="000000"/>
            </w:tcBorders>
          </w:tcPr>
          <w:p>
            <w:pPr>
              <w:snapToGrid w:val="0"/>
              <w:rPr>
                <w:noProof/>
              </w:rPr>
            </w:pPr>
            <w:r>
              <w:rPr>
                <w:noProof/>
              </w:rPr>
              <w:t>Türgi</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1 025,74</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35,1 %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17,8 %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2</w:t>
            </w:r>
          </w:p>
        </w:tc>
        <w:tc>
          <w:tcPr>
            <w:tcW w:w="1701" w:type="dxa"/>
            <w:tcBorders>
              <w:top w:val="single" w:sz="4" w:space="0" w:color="000000"/>
              <w:left w:val="single" w:sz="4" w:space="0" w:color="000000"/>
              <w:bottom w:val="single" w:sz="4" w:space="0" w:color="000000"/>
            </w:tcBorders>
          </w:tcPr>
          <w:p>
            <w:pPr>
              <w:snapToGrid w:val="0"/>
              <w:rPr>
                <w:noProof/>
              </w:rPr>
            </w:pPr>
            <w:r>
              <w:rPr>
                <w:noProof/>
              </w:rPr>
              <w:t>Tuneesia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283,98</w:t>
            </w:r>
          </w:p>
        </w:tc>
        <w:tc>
          <w:tcPr>
            <w:tcW w:w="1842" w:type="dxa"/>
            <w:tcBorders>
              <w:top w:val="single" w:sz="4" w:space="0" w:color="000000"/>
              <w:left w:val="single" w:sz="4" w:space="0" w:color="000000"/>
              <w:bottom w:val="single" w:sz="4" w:space="0" w:color="000000"/>
            </w:tcBorders>
          </w:tcPr>
          <w:p>
            <w:pPr>
              <w:jc w:val="right"/>
              <w:rPr>
                <w:noProof/>
              </w:rPr>
            </w:pPr>
            <w:r>
              <w:rPr>
                <w:noProof/>
              </w:rPr>
              <w:t>9,7 %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4,9 %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3</w:t>
            </w:r>
          </w:p>
        </w:tc>
        <w:tc>
          <w:tcPr>
            <w:tcW w:w="1701" w:type="dxa"/>
            <w:tcBorders>
              <w:top w:val="single" w:sz="4" w:space="0" w:color="000000"/>
              <w:left w:val="single" w:sz="4" w:space="0" w:color="000000"/>
              <w:bottom w:val="single" w:sz="4" w:space="0" w:color="000000"/>
            </w:tcBorders>
          </w:tcPr>
          <w:p>
            <w:pPr>
              <w:snapToGrid w:val="0"/>
              <w:rPr>
                <w:noProof/>
              </w:rPr>
            </w:pPr>
            <w:r>
              <w:rPr>
                <w:noProof/>
              </w:rPr>
              <w:t>Egiptus</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278,37</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9,5 %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4,8 %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4</w:t>
            </w:r>
          </w:p>
        </w:tc>
        <w:tc>
          <w:tcPr>
            <w:tcW w:w="1701" w:type="dxa"/>
            <w:tcBorders>
              <w:top w:val="single" w:sz="4" w:space="0" w:color="000000"/>
              <w:left w:val="single" w:sz="4" w:space="0" w:color="000000"/>
              <w:bottom w:val="single" w:sz="4" w:space="0" w:color="000000"/>
            </w:tcBorders>
          </w:tcPr>
          <w:p>
            <w:pPr>
              <w:snapToGrid w:val="0"/>
              <w:rPr>
                <w:noProof/>
              </w:rPr>
            </w:pPr>
            <w:r>
              <w:rPr>
                <w:noProof/>
              </w:rPr>
              <w:t>Maroko</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221,09</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7,6 %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3,8 %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5</w:t>
            </w:r>
          </w:p>
        </w:tc>
        <w:tc>
          <w:tcPr>
            <w:tcW w:w="1701" w:type="dxa"/>
            <w:tcBorders>
              <w:top w:val="single" w:sz="4" w:space="0" w:color="000000"/>
              <w:left w:val="single" w:sz="4" w:space="0" w:color="000000"/>
              <w:bottom w:val="single" w:sz="4" w:space="0" w:color="000000"/>
            </w:tcBorders>
          </w:tcPr>
          <w:p>
            <w:pPr>
              <w:snapToGrid w:val="0"/>
              <w:rPr>
                <w:noProof/>
              </w:rPr>
            </w:pPr>
            <w:r>
              <w:rPr>
                <w:noProof/>
              </w:rPr>
              <w:t>Serbia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204,78</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7,0 %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3,5 %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6</w:t>
            </w:r>
          </w:p>
        </w:tc>
        <w:tc>
          <w:tcPr>
            <w:tcW w:w="1701" w:type="dxa"/>
            <w:tcBorders>
              <w:top w:val="single" w:sz="4" w:space="0" w:color="000000"/>
              <w:left w:val="single" w:sz="4" w:space="0" w:color="000000"/>
              <w:bottom w:val="single" w:sz="4" w:space="0" w:color="000000"/>
            </w:tcBorders>
          </w:tcPr>
          <w:p>
            <w:pPr>
              <w:snapToGrid w:val="0"/>
              <w:rPr>
                <w:noProof/>
              </w:rPr>
            </w:pPr>
            <w:r>
              <w:rPr>
                <w:noProof/>
              </w:rPr>
              <w:t>Lõuna-Aafrika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99,73</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3,4 %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1,7 %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7</w:t>
            </w:r>
          </w:p>
        </w:tc>
        <w:tc>
          <w:tcPr>
            <w:tcW w:w="1701" w:type="dxa"/>
            <w:tcBorders>
              <w:top w:val="single" w:sz="4" w:space="0" w:color="000000"/>
              <w:left w:val="single" w:sz="4" w:space="0" w:color="000000"/>
              <w:bottom w:val="single" w:sz="4" w:space="0" w:color="000000"/>
            </w:tcBorders>
          </w:tcPr>
          <w:p>
            <w:pPr>
              <w:snapToGrid w:val="0"/>
              <w:rPr>
                <w:noProof/>
              </w:rPr>
            </w:pPr>
            <w:r>
              <w:rPr>
                <w:noProof/>
              </w:rPr>
              <w:t>Ukraina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88,12</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3,0 %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1,5 %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8</w:t>
            </w:r>
          </w:p>
        </w:tc>
        <w:tc>
          <w:tcPr>
            <w:tcW w:w="1701" w:type="dxa"/>
            <w:tcBorders>
              <w:top w:val="single" w:sz="4" w:space="0" w:color="000000"/>
              <w:left w:val="single" w:sz="4" w:space="0" w:color="000000"/>
              <w:bottom w:val="single" w:sz="4" w:space="0" w:color="000000"/>
            </w:tcBorders>
          </w:tcPr>
          <w:p>
            <w:pPr>
              <w:snapToGrid w:val="0"/>
              <w:rPr>
                <w:noProof/>
              </w:rPr>
            </w:pPr>
            <w:r>
              <w:rPr>
                <w:noProof/>
              </w:rPr>
              <w:t>Liibanon</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85,15</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2,9 %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1,5 %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9</w:t>
            </w:r>
          </w:p>
        </w:tc>
        <w:tc>
          <w:tcPr>
            <w:tcW w:w="1701" w:type="dxa"/>
            <w:tcBorders>
              <w:top w:val="single" w:sz="4" w:space="0" w:color="000000"/>
              <w:left w:val="single" w:sz="4" w:space="0" w:color="000000"/>
              <w:bottom w:val="single" w:sz="4" w:space="0" w:color="000000"/>
            </w:tcBorders>
          </w:tcPr>
          <w:p>
            <w:pPr>
              <w:snapToGrid w:val="0"/>
              <w:rPr>
                <w:noProof/>
              </w:rPr>
            </w:pPr>
            <w:r>
              <w:rPr>
                <w:noProof/>
              </w:rPr>
              <w:t>Brasiilia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65,14</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2,2 %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1,1 %</w:t>
            </w:r>
          </w:p>
        </w:tc>
      </w:tr>
      <w:tr>
        <w:tc>
          <w:tcPr>
            <w:tcW w:w="1814" w:type="dxa"/>
            <w:tcBorders>
              <w:top w:val="single" w:sz="4" w:space="0" w:color="000000"/>
              <w:left w:val="single" w:sz="4" w:space="0" w:color="000000"/>
              <w:bottom w:val="single" w:sz="4" w:space="0" w:color="000000"/>
            </w:tcBorders>
            <w:vAlign w:val="center"/>
          </w:tcPr>
          <w:p>
            <w:pPr>
              <w:snapToGrid w:val="0"/>
              <w:jc w:val="center"/>
              <w:rPr>
                <w:b/>
                <w:noProof/>
              </w:rPr>
            </w:pPr>
            <w:r>
              <w:rPr>
                <w:b/>
                <w:noProof/>
              </w:rPr>
              <w:t>10</w:t>
            </w:r>
          </w:p>
        </w:tc>
        <w:tc>
          <w:tcPr>
            <w:tcW w:w="1701" w:type="dxa"/>
            <w:tcBorders>
              <w:top w:val="single" w:sz="4" w:space="0" w:color="000000"/>
              <w:left w:val="single" w:sz="4" w:space="0" w:color="000000"/>
              <w:bottom w:val="single" w:sz="4" w:space="0" w:color="000000"/>
            </w:tcBorders>
          </w:tcPr>
          <w:p>
            <w:pPr>
              <w:snapToGrid w:val="0"/>
              <w:jc w:val="left"/>
              <w:rPr>
                <w:noProof/>
              </w:rPr>
            </w:pPr>
            <w:r>
              <w:rPr>
                <w:noProof/>
              </w:rPr>
              <w:t>Bosnia ja Hertsegoviina</w:t>
            </w:r>
          </w:p>
        </w:tc>
        <w:tc>
          <w:tcPr>
            <w:tcW w:w="1560" w:type="dxa"/>
            <w:tcBorders>
              <w:top w:val="single" w:sz="4" w:space="0" w:color="000000"/>
              <w:left w:val="single" w:sz="4" w:space="0" w:color="000000"/>
              <w:bottom w:val="single" w:sz="4" w:space="0" w:color="000000"/>
            </w:tcBorders>
          </w:tcPr>
          <w:p>
            <w:pPr>
              <w:snapToGrid w:val="0"/>
              <w:jc w:val="right"/>
              <w:rPr>
                <w:noProof/>
              </w:rPr>
            </w:pPr>
            <w:r>
              <w:rPr>
                <w:noProof/>
              </w:rPr>
              <w:t>62,94</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2,2 %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1,1 %</w:t>
            </w:r>
          </w:p>
        </w:tc>
      </w:tr>
      <w:tr>
        <w:tc>
          <w:tcPr>
            <w:tcW w:w="1814" w:type="dxa"/>
            <w:tcBorders>
              <w:top w:val="single" w:sz="4" w:space="0" w:color="000000"/>
              <w:left w:val="single" w:sz="4" w:space="0" w:color="000000"/>
              <w:bottom w:val="single" w:sz="4" w:space="0" w:color="000000"/>
            </w:tcBorders>
          </w:tcPr>
          <w:p>
            <w:pPr>
              <w:snapToGrid w:val="0"/>
              <w:rPr>
                <w:b/>
                <w:noProof/>
              </w:rPr>
            </w:pPr>
            <w:r>
              <w:rPr>
                <w:b/>
                <w:noProof/>
              </w:rPr>
              <w:t>10 suurima riskiga riiki kokku</w:t>
            </w:r>
          </w:p>
        </w:tc>
        <w:tc>
          <w:tcPr>
            <w:tcW w:w="1701" w:type="dxa"/>
            <w:tcBorders>
              <w:top w:val="single" w:sz="4" w:space="0" w:color="000000"/>
              <w:left w:val="single" w:sz="4" w:space="0" w:color="000000"/>
              <w:bottom w:val="single" w:sz="4" w:space="0" w:color="000000"/>
            </w:tcBorders>
          </w:tcPr>
          <w:p>
            <w:pPr>
              <w:snapToGrid w:val="0"/>
              <w:rPr>
                <w:noProof/>
              </w:rPr>
            </w:pPr>
          </w:p>
        </w:tc>
        <w:tc>
          <w:tcPr>
            <w:tcW w:w="1560" w:type="dxa"/>
            <w:tcBorders>
              <w:top w:val="single" w:sz="4" w:space="0" w:color="000000"/>
              <w:left w:val="single" w:sz="4" w:space="0" w:color="000000"/>
              <w:bottom w:val="single" w:sz="4" w:space="0" w:color="000000"/>
            </w:tcBorders>
            <w:vAlign w:val="center"/>
          </w:tcPr>
          <w:p>
            <w:pPr>
              <w:snapToGrid w:val="0"/>
              <w:jc w:val="right"/>
              <w:rPr>
                <w:noProof/>
              </w:rPr>
            </w:pPr>
            <w:r>
              <w:rPr>
                <w:noProof/>
              </w:rPr>
              <w:t>2 415,03</w:t>
            </w:r>
          </w:p>
        </w:tc>
        <w:tc>
          <w:tcPr>
            <w:tcW w:w="1842" w:type="dxa"/>
            <w:tcBorders>
              <w:top w:val="single" w:sz="4" w:space="0" w:color="000000"/>
              <w:left w:val="single" w:sz="4" w:space="0" w:color="000000"/>
              <w:bottom w:val="single" w:sz="4" w:space="0" w:color="000000"/>
            </w:tcBorders>
          </w:tcPr>
          <w:p>
            <w:pPr>
              <w:snapToGrid w:val="0"/>
              <w:jc w:val="right"/>
              <w:rPr>
                <w:noProof/>
              </w:rPr>
            </w:pPr>
            <w:r>
              <w:rPr>
                <w:noProof/>
              </w:rPr>
              <w:t>82,7 %</w:t>
            </w:r>
          </w:p>
        </w:tc>
        <w:tc>
          <w:tcPr>
            <w:tcW w:w="1843" w:type="dxa"/>
            <w:tcBorders>
              <w:top w:val="single" w:sz="4" w:space="0" w:color="000000"/>
              <w:left w:val="single" w:sz="4" w:space="0" w:color="000000"/>
              <w:bottom w:val="single" w:sz="4" w:space="0" w:color="000000"/>
              <w:right w:val="single" w:sz="4" w:space="0" w:color="000000"/>
            </w:tcBorders>
          </w:tcPr>
          <w:p>
            <w:pPr>
              <w:snapToGrid w:val="0"/>
              <w:jc w:val="right"/>
              <w:rPr>
                <w:noProof/>
              </w:rPr>
            </w:pPr>
            <w:r>
              <w:rPr>
                <w:noProof/>
              </w:rPr>
              <w:t>41,8 %</w:t>
            </w:r>
          </w:p>
        </w:tc>
      </w:tr>
    </w:tbl>
    <w:p>
      <w:pPr>
        <w:pStyle w:val="ManualHeading1"/>
        <w:spacing w:before="0"/>
        <w:ind w:left="0" w:firstLine="0"/>
        <w:rPr>
          <w:noProof/>
        </w:rPr>
      </w:pPr>
      <w:bookmarkStart w:id="292" w:name="_Toc417461977"/>
      <w:bookmarkStart w:id="293" w:name="_Toc417998611"/>
      <w:bookmarkStart w:id="294" w:name="_Toc418157638"/>
      <w:bookmarkStart w:id="295" w:name="_Toc418160319"/>
      <w:bookmarkStart w:id="296" w:name="_Toc446577186"/>
      <w:bookmarkStart w:id="297" w:name="_Toc452646732"/>
      <w:bookmarkStart w:id="298" w:name="_Toc453161371"/>
      <w:bookmarkStart w:id="299" w:name="_Toc486601274"/>
      <w:r>
        <w:rPr>
          <w:noProof/>
        </w:rPr>
        <w:br w:type="page"/>
      </w:r>
      <w:bookmarkStart w:id="300" w:name="_Toc495658621"/>
      <w:bookmarkStart w:id="301" w:name="_Toc499024200"/>
      <w:r>
        <w:rPr>
          <w:noProof/>
        </w:rPr>
        <w:t>5.</w:t>
      </w:r>
      <w:r>
        <w:rPr>
          <w:noProof/>
        </w:rPr>
        <w:tab/>
      </w:r>
      <w:bookmarkStart w:id="302" w:name="_Toc342470163"/>
      <w:bookmarkStart w:id="303" w:name="_Toc390944400"/>
      <w:bookmarkStart w:id="304" w:name="_Toc393969971"/>
      <w:bookmarkEnd w:id="302"/>
      <w:r>
        <w:rPr>
          <w:noProof/>
        </w:rPr>
        <w:t>Välistegevuse tagatisfond</w:t>
      </w:r>
      <w:bookmarkEnd w:id="292"/>
      <w:bookmarkEnd w:id="293"/>
      <w:bookmarkEnd w:id="294"/>
      <w:bookmarkEnd w:id="295"/>
      <w:bookmarkEnd w:id="296"/>
      <w:bookmarkEnd w:id="297"/>
      <w:bookmarkEnd w:id="298"/>
      <w:bookmarkEnd w:id="299"/>
      <w:bookmarkEnd w:id="303"/>
      <w:bookmarkEnd w:id="304"/>
      <w:bookmarkEnd w:id="300"/>
      <w:bookmarkEnd w:id="301"/>
    </w:p>
    <w:p>
      <w:pPr>
        <w:pStyle w:val="ManualHeading2"/>
        <w:rPr>
          <w:noProof/>
        </w:rPr>
      </w:pPr>
      <w:bookmarkStart w:id="305" w:name="_Toc390944401"/>
      <w:bookmarkStart w:id="306" w:name="_Toc393969972"/>
      <w:bookmarkStart w:id="307" w:name="_Toc417461978"/>
      <w:bookmarkStart w:id="308" w:name="_Toc417998612"/>
      <w:bookmarkStart w:id="309" w:name="_Toc418157639"/>
      <w:bookmarkStart w:id="310" w:name="_Toc418160320"/>
      <w:bookmarkStart w:id="311" w:name="_Toc446577187"/>
      <w:bookmarkStart w:id="312" w:name="_Toc452646733"/>
      <w:bookmarkStart w:id="313" w:name="_Toc453161372"/>
      <w:bookmarkStart w:id="314" w:name="_Toc486601275"/>
      <w:bookmarkStart w:id="315" w:name="_Toc495658622"/>
      <w:bookmarkStart w:id="316" w:name="_Toc499024201"/>
      <w:bookmarkStart w:id="317" w:name="_Toc309831370"/>
      <w:bookmarkStart w:id="318" w:name="_Toc329261070"/>
      <w:bookmarkStart w:id="319" w:name="_Toc329855632"/>
      <w:bookmarkStart w:id="320" w:name="_Toc330551237"/>
      <w:bookmarkStart w:id="321" w:name="_Toc342470165"/>
      <w:bookmarkStart w:id="322" w:name="_Toc345073710"/>
      <w:bookmarkStart w:id="323" w:name="_Toc365986227"/>
      <w:bookmarkStart w:id="324" w:name="_Toc367869480"/>
      <w:bookmarkStart w:id="325" w:name="_Toc367870007"/>
      <w:bookmarkStart w:id="326" w:name="_Toc388973025"/>
      <w:bookmarkStart w:id="327" w:name="_Toc389474758"/>
      <w:r>
        <w:rPr>
          <w:noProof/>
        </w:rPr>
        <w:t>5.1</w:t>
      </w:r>
      <w:r>
        <w:rPr>
          <w:noProof/>
        </w:rPr>
        <w:tab/>
        <w:t>Tagatiste realiseerimine</w:t>
      </w:r>
      <w:bookmarkEnd w:id="305"/>
      <w:bookmarkEnd w:id="306"/>
      <w:bookmarkEnd w:id="307"/>
      <w:bookmarkEnd w:id="308"/>
      <w:bookmarkEnd w:id="309"/>
      <w:bookmarkEnd w:id="310"/>
      <w:bookmarkEnd w:id="311"/>
      <w:bookmarkEnd w:id="312"/>
      <w:bookmarkEnd w:id="313"/>
      <w:bookmarkEnd w:id="314"/>
      <w:bookmarkEnd w:id="315"/>
      <w:bookmarkEnd w:id="316"/>
    </w:p>
    <w:p>
      <w:pPr>
        <w:pStyle w:val="ManualHeading3"/>
        <w:rPr>
          <w:noProof/>
        </w:rPr>
      </w:pPr>
      <w:bookmarkStart w:id="328" w:name="_Toc390944402"/>
      <w:bookmarkStart w:id="329" w:name="_Toc393969973"/>
      <w:bookmarkStart w:id="330" w:name="_Toc417461979"/>
      <w:bookmarkStart w:id="331" w:name="_Toc417998613"/>
      <w:bookmarkStart w:id="332" w:name="_Toc418157640"/>
      <w:bookmarkStart w:id="333" w:name="_Toc418160321"/>
      <w:bookmarkStart w:id="334" w:name="_Toc446577188"/>
      <w:bookmarkStart w:id="335" w:name="_Toc452646734"/>
      <w:bookmarkStart w:id="336" w:name="_Toc453161373"/>
      <w:bookmarkStart w:id="337" w:name="_Toc486601276"/>
      <w:bookmarkStart w:id="338" w:name="_Toc495658623"/>
      <w:bookmarkStart w:id="339" w:name="_Toc499024202"/>
      <w:r>
        <w:rPr>
          <w:noProof/>
        </w:rPr>
        <w:t>5.1.1.</w:t>
      </w:r>
      <w:r>
        <w:rPr>
          <w:noProof/>
        </w:rPr>
        <w:tab/>
        <w:t>Väljamaksed rahavarudest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rPr>
          <w:noProof/>
        </w:rPr>
      </w:pPr>
      <w:r>
        <w:rPr>
          <w:noProof/>
        </w:rPr>
        <w:t>ELi eelarvest kaetakse esialgselt võlateenindusrisk tagasimakse tähtpäeval, kui võlgnik ei maksa oma laenu ELile tagasi õigel ajal. Komisjon kasutab oma rahavarusid, et vältida viivitusi ja neist tuleneda võivaid kulusid laenutehingute teenindamisel</w:t>
      </w:r>
      <w:r>
        <w:rPr>
          <w:rStyle w:val="Funotenzeichen"/>
          <w:noProof/>
        </w:rPr>
        <w:footnoteReference w:id="29"/>
      </w:r>
      <w:r>
        <w:rPr>
          <w:noProof/>
        </w:rPr>
        <w:t xml:space="preserve">. </w:t>
      </w:r>
    </w:p>
    <w:p>
      <w:pPr>
        <w:rPr>
          <w:noProof/>
        </w:rPr>
      </w:pPr>
      <w:r>
        <w:rPr>
          <w:noProof/>
        </w:rPr>
        <w:t>Võttes arvesse, et enamik kulusid tekib aasta esimeses kvartalis, on võla tasumine jaotatud järgmistele kuudele ning paigutatud iga kuu algusesse, kui rahajääk on kõige suurem.</w:t>
      </w:r>
    </w:p>
    <w:p>
      <w:pPr>
        <w:rPr>
          <w:noProof/>
        </w:rPr>
      </w:pPr>
      <w:r>
        <w:rPr>
          <w:noProof/>
        </w:rPr>
        <w:t>2016. aastal kasutati 16päevase ajavahemiku jooksul umbes 1 miljoni euro ulatuses rahavarusid seoses tehnilise viivitusega ühe võlgniku ühe makse puhul.</w:t>
      </w:r>
    </w:p>
    <w:p>
      <w:pPr>
        <w:pStyle w:val="ManualHeading3"/>
        <w:rPr>
          <w:noProof/>
        </w:rPr>
      </w:pPr>
      <w:bookmarkStart w:id="340" w:name="_Toc309831371"/>
      <w:bookmarkStart w:id="341" w:name="_Toc329261071"/>
      <w:bookmarkStart w:id="342" w:name="_Toc329855633"/>
      <w:bookmarkStart w:id="343" w:name="_Toc330551238"/>
      <w:bookmarkStart w:id="344" w:name="_Toc342470166"/>
      <w:bookmarkStart w:id="345" w:name="_Toc345073711"/>
      <w:bookmarkStart w:id="346" w:name="_Toc365986228"/>
      <w:bookmarkStart w:id="347" w:name="_Toc367869481"/>
      <w:bookmarkStart w:id="348" w:name="_Toc367870008"/>
      <w:bookmarkStart w:id="349" w:name="_Toc388973026"/>
      <w:bookmarkStart w:id="350" w:name="_Toc389474759"/>
      <w:bookmarkStart w:id="351" w:name="_Toc390944403"/>
      <w:bookmarkStart w:id="352" w:name="_Toc393969974"/>
      <w:bookmarkStart w:id="353" w:name="_Toc417461980"/>
      <w:bookmarkStart w:id="354" w:name="_Toc417998614"/>
      <w:bookmarkStart w:id="355" w:name="_Toc418157641"/>
      <w:bookmarkStart w:id="356" w:name="_Toc418160322"/>
      <w:bookmarkStart w:id="357" w:name="_Toc446577189"/>
      <w:bookmarkStart w:id="358" w:name="_Toc452646735"/>
      <w:bookmarkStart w:id="359" w:name="_Toc453161374"/>
      <w:bookmarkStart w:id="360" w:name="_Toc486601277"/>
      <w:bookmarkStart w:id="361" w:name="_Toc495658624"/>
      <w:bookmarkStart w:id="362" w:name="_Toc499024203"/>
      <w:r>
        <w:rPr>
          <w:noProof/>
        </w:rPr>
        <w:t>5.1.2.</w:t>
      </w:r>
      <w:r>
        <w:rPr>
          <w:noProof/>
        </w:rPr>
        <w:tab/>
        <w:t xml:space="preserve">Väljamaksed </w:t>
      </w:r>
      <w:bookmarkEnd w:id="340"/>
      <w:bookmarkEnd w:id="341"/>
      <w:bookmarkEnd w:id="342"/>
      <w:bookmarkEnd w:id="343"/>
      <w:bookmarkEnd w:id="344"/>
      <w:bookmarkEnd w:id="345"/>
      <w:bookmarkEnd w:id="346"/>
      <w:bookmarkEnd w:id="347"/>
      <w:bookmarkEnd w:id="348"/>
      <w:bookmarkEnd w:id="349"/>
      <w:bookmarkEnd w:id="350"/>
      <w:r>
        <w:rPr>
          <w:noProof/>
        </w:rPr>
        <w:t>ELi eelarvest</w:t>
      </w:r>
      <w:bookmarkEnd w:id="351"/>
      <w:bookmarkEnd w:id="352"/>
      <w:bookmarkEnd w:id="353"/>
      <w:bookmarkEnd w:id="354"/>
      <w:bookmarkEnd w:id="355"/>
      <w:bookmarkEnd w:id="356"/>
      <w:bookmarkEnd w:id="357"/>
      <w:bookmarkEnd w:id="358"/>
      <w:bookmarkEnd w:id="359"/>
      <w:bookmarkEnd w:id="360"/>
      <w:bookmarkEnd w:id="361"/>
      <w:bookmarkEnd w:id="362"/>
      <w:r>
        <w:rPr>
          <w:noProof/>
        </w:rPr>
        <w:t xml:space="preserve"> </w:t>
      </w:r>
    </w:p>
    <w:p>
      <w:pPr>
        <w:rPr>
          <w:noProof/>
        </w:rPr>
      </w:pPr>
      <w:r>
        <w:rPr>
          <w:noProof/>
        </w:rPr>
        <w:t>Kui üks või mitu liikmesriiki ei täida oma õiguslikke kohustusi, võib komisjon, kui ELi omavahendeist ei piisa, käsitada ELi olemasolevate eelarvevahendite kasutamisel võlgade tagasimaksmist prioriteetsena võrreldes mittekohustuslike muude kulutustega. Kui sellest ei piisa, siis vastavalt mitmeaastasele finantsraamistikule on liikmesriigid vastavalt ELi õigusaktidele kohustatud tegema täiendavaid osamakseid kuni 1,20 % ulatuses ELi kogurahvatulust, et võlad saaksid tagasi makstud ja eelarve püsiks tasakaalus. ELi õigusaktidest tuleneb, et vajaduse korral ei tarvitse liikmesriikide osamaksu suurus sõltuda nende osakaalust ELi eelarves.</w:t>
      </w:r>
    </w:p>
    <w:p>
      <w:pPr>
        <w:rPr>
          <w:noProof/>
        </w:rPr>
      </w:pPr>
      <w:r>
        <w:rPr>
          <w:noProof/>
        </w:rPr>
        <w:t>Kuna 2016. aastal ei jätnud ükski liikmesriik oma kohustusi täitmata, assigneeringuid ei taotletud.</w:t>
      </w:r>
    </w:p>
    <w:p>
      <w:pPr>
        <w:pStyle w:val="ManualHeading3"/>
        <w:rPr>
          <w:noProof/>
        </w:rPr>
      </w:pPr>
      <w:bookmarkStart w:id="363" w:name="_Toc309831372"/>
      <w:bookmarkStart w:id="364" w:name="_Toc329261072"/>
      <w:bookmarkStart w:id="365" w:name="_Toc329855634"/>
      <w:bookmarkStart w:id="366" w:name="_Toc330551239"/>
      <w:bookmarkStart w:id="367" w:name="_Toc342470167"/>
      <w:bookmarkStart w:id="368" w:name="_Toc345073712"/>
      <w:bookmarkStart w:id="369" w:name="_Toc365986229"/>
      <w:bookmarkStart w:id="370" w:name="_Toc367869482"/>
      <w:bookmarkStart w:id="371" w:name="_Toc367870009"/>
      <w:bookmarkStart w:id="372" w:name="_Toc388973027"/>
      <w:bookmarkStart w:id="373" w:name="_Toc389474760"/>
      <w:bookmarkStart w:id="374" w:name="_Toc390944404"/>
      <w:bookmarkStart w:id="375" w:name="_Toc393969975"/>
      <w:bookmarkStart w:id="376" w:name="_Toc417461981"/>
      <w:bookmarkStart w:id="377" w:name="_Toc417998615"/>
      <w:bookmarkStart w:id="378" w:name="_Toc418157642"/>
      <w:bookmarkStart w:id="379" w:name="_Toc418160323"/>
      <w:bookmarkStart w:id="380" w:name="_Toc446577190"/>
      <w:bookmarkStart w:id="381" w:name="_Toc452646736"/>
      <w:bookmarkStart w:id="382" w:name="_Toc453161375"/>
      <w:bookmarkStart w:id="383" w:name="_Toc486601278"/>
      <w:bookmarkStart w:id="384" w:name="_Toc495658625"/>
      <w:bookmarkStart w:id="385" w:name="_Toc499024204"/>
      <w:r>
        <w:rPr>
          <w:noProof/>
        </w:rPr>
        <w:t>5.1.3.</w:t>
      </w:r>
      <w:r>
        <w:rPr>
          <w:noProof/>
        </w:rPr>
        <w:tab/>
        <w:t xml:space="preserve">Taotlused tagatisfondile </w:t>
      </w:r>
      <w:bookmarkEnd w:id="363"/>
      <w:bookmarkEnd w:id="364"/>
      <w:bookmarkEnd w:id="365"/>
      <w:bookmarkEnd w:id="366"/>
      <w:bookmarkEnd w:id="367"/>
      <w:bookmarkEnd w:id="368"/>
      <w:bookmarkEnd w:id="369"/>
      <w:bookmarkEnd w:id="370"/>
      <w:bookmarkEnd w:id="371"/>
      <w:bookmarkEnd w:id="372"/>
      <w:bookmarkEnd w:id="373"/>
      <w:r>
        <w:rPr>
          <w:noProof/>
        </w:rPr>
        <w:t>ja sissenõutud summad</w:t>
      </w:r>
      <w:bookmarkEnd w:id="374"/>
      <w:bookmarkEnd w:id="375"/>
      <w:bookmarkEnd w:id="376"/>
      <w:bookmarkEnd w:id="377"/>
      <w:bookmarkEnd w:id="378"/>
      <w:bookmarkEnd w:id="379"/>
      <w:bookmarkEnd w:id="380"/>
      <w:bookmarkEnd w:id="381"/>
      <w:bookmarkEnd w:id="382"/>
      <w:bookmarkEnd w:id="383"/>
      <w:bookmarkEnd w:id="384"/>
      <w:bookmarkEnd w:id="385"/>
    </w:p>
    <w:p>
      <w:pPr>
        <w:rPr>
          <w:noProof/>
        </w:rPr>
      </w:pPr>
      <w:r>
        <w:rPr>
          <w:noProof/>
        </w:rPr>
        <w:t>Kui ELi poolt kolmandatele riikidele antud või ELi tagatud laenu saaja hilineb makse tegemisega, kasutatakse tagatisfondi, et katta täitmata jäetud kohustused kolme kuu jooksul alates taotluse esitamisest.</w:t>
      </w:r>
    </w:p>
    <w:p>
      <w:pPr>
        <w:rPr>
          <w:noProof/>
        </w:rPr>
      </w:pPr>
      <w:r>
        <w:rPr>
          <w:noProof/>
        </w:rPr>
        <w:t>EIP taotletavad summad võetakse tagatisfondi kontolt pärast komisjoni talitustelt nõusoleku saamist. Kui EL teeb ELi tagatise alusel makse, lähevad EIP õigused ja õiguskaitsevahendid ELile üle</w:t>
      </w:r>
      <w:r>
        <w:rPr>
          <w:rStyle w:val="Funotenzeichen"/>
          <w:noProof/>
        </w:rPr>
        <w:footnoteReference w:id="30"/>
      </w:r>
      <w:r>
        <w:rPr>
          <w:noProof/>
        </w:rPr>
        <w:t xml:space="preserve">. </w:t>
      </w:r>
    </w:p>
    <w:p>
      <w:pPr>
        <w:rPr>
          <w:noProof/>
        </w:rPr>
      </w:pPr>
      <w:r>
        <w:rPr>
          <w:noProof/>
        </w:rPr>
        <w:t>EIP on algatanud ELi nimel sissenõudmismenetlused nende summade suhtes, millega seoses on õigused ja õiguskaitsevahendid üle antud</w:t>
      </w:r>
      <w:r>
        <w:rPr>
          <w:rStyle w:val="Funotenzeichen"/>
          <w:noProof/>
        </w:rPr>
        <w:footnoteReference w:id="31"/>
      </w:r>
      <w:r>
        <w:rPr>
          <w:noProof/>
        </w:rPr>
        <w:t>.</w:t>
      </w:r>
    </w:p>
    <w:p>
      <w:pPr>
        <w:spacing w:before="100" w:beforeAutospacing="1"/>
        <w:rPr>
          <w:i/>
          <w:noProof/>
          <w:u w:val="single"/>
        </w:rPr>
      </w:pPr>
      <w:r>
        <w:rPr>
          <w:i/>
          <w:noProof/>
          <w:u w:val="single"/>
        </w:rPr>
        <w:t>EIP laenud projektidele Süürias</w:t>
      </w:r>
    </w:p>
    <w:p>
      <w:pPr>
        <w:spacing w:before="0"/>
        <w:rPr>
          <w:noProof/>
          <w:szCs w:val="20"/>
        </w:rPr>
      </w:pPr>
      <w:r>
        <w:rPr>
          <w:noProof/>
        </w:rPr>
        <w:t>Alates 2011. aasta detsembrist on Süüria valitsus jätnud EIP suhtes täitmata teatavad intressimaksete ja laenu tagasimaksetega seotud kohustused. Kuna ametlikud maksenõuded on olnud edutud, on EIP alates 2012. aasta maist hakanud pöörduma tagatisfondi poole. Taotlusi, mis on esitatud Süüria laenudega seotud kohustuste täitmata jätmise pärast, on kajastatud tabelis 4a.</w:t>
      </w:r>
    </w:p>
    <w:p>
      <w:pPr>
        <w:spacing w:before="0" w:after="0"/>
        <w:rPr>
          <w:noProof/>
          <w:sz w:val="18"/>
        </w:rPr>
      </w:pPr>
      <w:r>
        <w:rPr>
          <w:noProof/>
          <w:sz w:val="18"/>
        </w:rPr>
        <w:t>Tabel 4a. Taotlused tagatisfondile Süüria tagasimaksmata laenude pärast (miljonites eurodes)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430"/>
        <w:gridCol w:w="1426"/>
        <w:gridCol w:w="1431"/>
        <w:gridCol w:w="1366"/>
        <w:gridCol w:w="1481"/>
      </w:tblGrid>
      <w:tr>
        <w:trPr>
          <w:trHeight w:val="1231"/>
        </w:trPr>
        <w:tc>
          <w:tcPr>
            <w:tcW w:w="1416" w:type="dxa"/>
            <w:shd w:val="clear" w:color="auto" w:fill="auto"/>
          </w:tcPr>
          <w:p>
            <w:pPr>
              <w:spacing w:after="240"/>
              <w:jc w:val="center"/>
              <w:rPr>
                <w:noProof/>
                <w:sz w:val="22"/>
              </w:rPr>
            </w:pPr>
            <w:r>
              <w:rPr>
                <w:noProof/>
              </w:rPr>
              <w:t xml:space="preserve">(Tagatisfondi kontolt võtmise) aasta </w:t>
            </w:r>
          </w:p>
        </w:tc>
        <w:tc>
          <w:tcPr>
            <w:tcW w:w="1430" w:type="dxa"/>
            <w:shd w:val="clear" w:color="auto" w:fill="auto"/>
          </w:tcPr>
          <w:p>
            <w:pPr>
              <w:spacing w:after="240"/>
              <w:jc w:val="center"/>
              <w:rPr>
                <w:noProof/>
                <w:sz w:val="22"/>
              </w:rPr>
            </w:pPr>
            <w:r>
              <w:rPr>
                <w:noProof/>
                <w:sz w:val="22"/>
              </w:rPr>
              <w:t>Rahuldatud taotluste arv</w:t>
            </w:r>
          </w:p>
        </w:tc>
        <w:tc>
          <w:tcPr>
            <w:tcW w:w="1426" w:type="dxa"/>
            <w:shd w:val="clear" w:color="auto" w:fill="auto"/>
          </w:tcPr>
          <w:p>
            <w:pPr>
              <w:spacing w:after="240"/>
              <w:jc w:val="center"/>
              <w:rPr>
                <w:noProof/>
                <w:sz w:val="22"/>
              </w:rPr>
            </w:pPr>
            <w:r>
              <w:rPr>
                <w:noProof/>
                <w:sz w:val="22"/>
              </w:rPr>
              <w:t>Tasumisele kuuluvate osamaksete suurus</w:t>
            </w:r>
          </w:p>
        </w:tc>
        <w:tc>
          <w:tcPr>
            <w:tcW w:w="1431" w:type="dxa"/>
            <w:shd w:val="clear" w:color="auto" w:fill="auto"/>
          </w:tcPr>
          <w:p>
            <w:pPr>
              <w:spacing w:after="240"/>
              <w:jc w:val="center"/>
              <w:rPr>
                <w:noProof/>
                <w:sz w:val="22"/>
              </w:rPr>
            </w:pPr>
            <w:r>
              <w:rPr>
                <w:noProof/>
                <w:sz w:val="22"/>
              </w:rPr>
              <w:t>Trahvid ja kogunenud intressid</w:t>
            </w:r>
            <w:r>
              <w:rPr>
                <w:rStyle w:val="FootnoteReference"/>
                <w:noProof/>
                <w:sz w:val="22"/>
              </w:rPr>
              <w:footnoteReference w:id="32"/>
            </w:r>
          </w:p>
        </w:tc>
        <w:tc>
          <w:tcPr>
            <w:tcW w:w="1366" w:type="dxa"/>
            <w:shd w:val="clear" w:color="auto" w:fill="auto"/>
          </w:tcPr>
          <w:p>
            <w:pPr>
              <w:spacing w:after="240"/>
              <w:jc w:val="center"/>
              <w:rPr>
                <w:noProof/>
                <w:sz w:val="22"/>
              </w:rPr>
            </w:pPr>
            <w:r>
              <w:rPr>
                <w:noProof/>
                <w:sz w:val="22"/>
              </w:rPr>
              <w:t>Sissenõutud summa</w:t>
            </w:r>
          </w:p>
        </w:tc>
        <w:tc>
          <w:tcPr>
            <w:tcW w:w="1481" w:type="dxa"/>
            <w:shd w:val="clear" w:color="auto" w:fill="auto"/>
          </w:tcPr>
          <w:p>
            <w:pPr>
              <w:spacing w:after="240"/>
              <w:jc w:val="center"/>
              <w:rPr>
                <w:noProof/>
                <w:sz w:val="22"/>
              </w:rPr>
            </w:pPr>
            <w:r>
              <w:rPr>
                <w:noProof/>
                <w:sz w:val="22"/>
              </w:rPr>
              <w:t>Kokku</w:t>
            </w:r>
          </w:p>
        </w:tc>
      </w:tr>
      <w:tr>
        <w:tc>
          <w:tcPr>
            <w:tcW w:w="1416" w:type="dxa"/>
            <w:shd w:val="clear" w:color="auto" w:fill="auto"/>
          </w:tcPr>
          <w:p>
            <w:pPr>
              <w:jc w:val="center"/>
              <w:rPr>
                <w:noProof/>
              </w:rPr>
            </w:pPr>
            <w:r>
              <w:rPr>
                <w:noProof/>
              </w:rPr>
              <w:t>2012</w:t>
            </w:r>
          </w:p>
        </w:tc>
        <w:tc>
          <w:tcPr>
            <w:tcW w:w="1430" w:type="dxa"/>
            <w:shd w:val="clear" w:color="auto" w:fill="auto"/>
          </w:tcPr>
          <w:p>
            <w:pPr>
              <w:jc w:val="right"/>
              <w:rPr>
                <w:noProof/>
              </w:rPr>
            </w:pPr>
            <w:r>
              <w:rPr>
                <w:noProof/>
              </w:rPr>
              <w:t>2</w:t>
            </w:r>
          </w:p>
        </w:tc>
        <w:tc>
          <w:tcPr>
            <w:tcW w:w="1426" w:type="dxa"/>
            <w:shd w:val="clear" w:color="auto" w:fill="auto"/>
            <w:vAlign w:val="bottom"/>
          </w:tcPr>
          <w:p>
            <w:pPr>
              <w:jc w:val="right"/>
              <w:rPr>
                <w:noProof/>
              </w:rPr>
            </w:pPr>
            <w:r>
              <w:rPr>
                <w:noProof/>
              </w:rPr>
              <w:t>24,0</w:t>
            </w:r>
          </w:p>
        </w:tc>
        <w:tc>
          <w:tcPr>
            <w:tcW w:w="1431" w:type="dxa"/>
            <w:shd w:val="clear" w:color="auto" w:fill="auto"/>
            <w:vAlign w:val="bottom"/>
          </w:tcPr>
          <w:p>
            <w:pPr>
              <w:jc w:val="right"/>
              <w:rPr>
                <w:noProof/>
              </w:rPr>
            </w:pPr>
            <w:r>
              <w:rPr>
                <w:noProof/>
              </w:rPr>
              <w:t>0,0</w:t>
            </w:r>
          </w:p>
        </w:tc>
        <w:tc>
          <w:tcPr>
            <w:tcW w:w="1366" w:type="dxa"/>
            <w:shd w:val="clear" w:color="auto" w:fill="auto"/>
            <w:vAlign w:val="bottom"/>
          </w:tcPr>
          <w:p>
            <w:pPr>
              <w:jc w:val="right"/>
              <w:rPr>
                <w:noProof/>
              </w:rPr>
            </w:pPr>
            <w:r>
              <w:rPr>
                <w:noProof/>
              </w:rPr>
              <w:t>2,2</w:t>
            </w:r>
          </w:p>
        </w:tc>
        <w:tc>
          <w:tcPr>
            <w:tcW w:w="1481" w:type="dxa"/>
            <w:shd w:val="clear" w:color="auto" w:fill="auto"/>
            <w:vAlign w:val="bottom"/>
          </w:tcPr>
          <w:p>
            <w:pPr>
              <w:jc w:val="right"/>
              <w:rPr>
                <w:noProof/>
              </w:rPr>
            </w:pPr>
            <w:r>
              <w:rPr>
                <w:noProof/>
              </w:rPr>
              <w:t>21,8</w:t>
            </w:r>
          </w:p>
        </w:tc>
      </w:tr>
      <w:tr>
        <w:tc>
          <w:tcPr>
            <w:tcW w:w="1416" w:type="dxa"/>
            <w:shd w:val="clear" w:color="auto" w:fill="auto"/>
          </w:tcPr>
          <w:p>
            <w:pPr>
              <w:jc w:val="center"/>
              <w:rPr>
                <w:noProof/>
              </w:rPr>
            </w:pPr>
            <w:r>
              <w:rPr>
                <w:noProof/>
              </w:rPr>
              <w:t>2013</w:t>
            </w:r>
          </w:p>
        </w:tc>
        <w:tc>
          <w:tcPr>
            <w:tcW w:w="1430" w:type="dxa"/>
            <w:shd w:val="clear" w:color="auto" w:fill="auto"/>
          </w:tcPr>
          <w:p>
            <w:pPr>
              <w:jc w:val="right"/>
              <w:rPr>
                <w:noProof/>
              </w:rPr>
            </w:pPr>
            <w:r>
              <w:rPr>
                <w:noProof/>
              </w:rPr>
              <w:t>8</w:t>
            </w:r>
          </w:p>
        </w:tc>
        <w:tc>
          <w:tcPr>
            <w:tcW w:w="1426" w:type="dxa"/>
            <w:shd w:val="clear" w:color="auto" w:fill="auto"/>
            <w:vAlign w:val="bottom"/>
          </w:tcPr>
          <w:p>
            <w:pPr>
              <w:jc w:val="right"/>
              <w:rPr>
                <w:noProof/>
              </w:rPr>
            </w:pPr>
            <w:r>
              <w:rPr>
                <w:noProof/>
              </w:rPr>
              <w:t>59,3</w:t>
            </w:r>
          </w:p>
        </w:tc>
        <w:tc>
          <w:tcPr>
            <w:tcW w:w="1431" w:type="dxa"/>
            <w:shd w:val="clear" w:color="auto" w:fill="auto"/>
            <w:vAlign w:val="bottom"/>
          </w:tcPr>
          <w:p>
            <w:pPr>
              <w:jc w:val="right"/>
              <w:rPr>
                <w:noProof/>
              </w:rPr>
            </w:pPr>
            <w:r>
              <w:rPr>
                <w:noProof/>
              </w:rPr>
              <w:t>1,4</w:t>
            </w:r>
          </w:p>
        </w:tc>
        <w:tc>
          <w:tcPr>
            <w:tcW w:w="1366" w:type="dxa"/>
            <w:shd w:val="clear" w:color="auto" w:fill="auto"/>
            <w:vAlign w:val="bottom"/>
          </w:tcPr>
          <w:p>
            <w:pPr>
              <w:jc w:val="right"/>
              <w:rPr>
                <w:noProof/>
              </w:rPr>
            </w:pPr>
            <w:r>
              <w:rPr>
                <w:noProof/>
              </w:rPr>
              <w:t>0,0</w:t>
            </w:r>
          </w:p>
        </w:tc>
        <w:tc>
          <w:tcPr>
            <w:tcW w:w="1481" w:type="dxa"/>
            <w:shd w:val="clear" w:color="auto" w:fill="auto"/>
            <w:vAlign w:val="bottom"/>
          </w:tcPr>
          <w:p>
            <w:pPr>
              <w:jc w:val="right"/>
              <w:rPr>
                <w:noProof/>
              </w:rPr>
            </w:pPr>
            <w:r>
              <w:rPr>
                <w:noProof/>
              </w:rPr>
              <w:t>60,7</w:t>
            </w:r>
          </w:p>
        </w:tc>
      </w:tr>
      <w:tr>
        <w:tc>
          <w:tcPr>
            <w:tcW w:w="1416" w:type="dxa"/>
            <w:shd w:val="clear" w:color="auto" w:fill="auto"/>
          </w:tcPr>
          <w:p>
            <w:pPr>
              <w:jc w:val="center"/>
              <w:rPr>
                <w:noProof/>
              </w:rPr>
            </w:pPr>
            <w:r>
              <w:rPr>
                <w:noProof/>
              </w:rPr>
              <w:t>2014</w:t>
            </w:r>
          </w:p>
        </w:tc>
        <w:tc>
          <w:tcPr>
            <w:tcW w:w="1430" w:type="dxa"/>
            <w:shd w:val="clear" w:color="auto" w:fill="auto"/>
          </w:tcPr>
          <w:p>
            <w:pPr>
              <w:jc w:val="right"/>
              <w:rPr>
                <w:noProof/>
              </w:rPr>
            </w:pPr>
            <w:r>
              <w:rPr>
                <w:noProof/>
              </w:rPr>
              <w:t>8</w:t>
            </w:r>
          </w:p>
        </w:tc>
        <w:tc>
          <w:tcPr>
            <w:tcW w:w="1426" w:type="dxa"/>
            <w:shd w:val="clear" w:color="auto" w:fill="auto"/>
            <w:vAlign w:val="bottom"/>
          </w:tcPr>
          <w:p>
            <w:pPr>
              <w:jc w:val="right"/>
              <w:rPr>
                <w:noProof/>
              </w:rPr>
            </w:pPr>
            <w:r>
              <w:rPr>
                <w:noProof/>
              </w:rPr>
              <w:t>58,7</w:t>
            </w:r>
          </w:p>
        </w:tc>
        <w:tc>
          <w:tcPr>
            <w:tcW w:w="1431" w:type="dxa"/>
            <w:shd w:val="clear" w:color="auto" w:fill="auto"/>
            <w:vAlign w:val="bottom"/>
          </w:tcPr>
          <w:p>
            <w:pPr>
              <w:jc w:val="right"/>
              <w:rPr>
                <w:noProof/>
              </w:rPr>
            </w:pPr>
            <w:r>
              <w:rPr>
                <w:noProof/>
              </w:rPr>
              <w:t>1,5</w:t>
            </w:r>
          </w:p>
        </w:tc>
        <w:tc>
          <w:tcPr>
            <w:tcW w:w="1366" w:type="dxa"/>
            <w:shd w:val="clear" w:color="auto" w:fill="auto"/>
            <w:vAlign w:val="bottom"/>
          </w:tcPr>
          <w:p>
            <w:pPr>
              <w:jc w:val="right"/>
              <w:rPr>
                <w:noProof/>
              </w:rPr>
            </w:pPr>
            <w:r>
              <w:rPr>
                <w:noProof/>
              </w:rPr>
              <w:t>0,0</w:t>
            </w:r>
          </w:p>
        </w:tc>
        <w:tc>
          <w:tcPr>
            <w:tcW w:w="1481" w:type="dxa"/>
            <w:shd w:val="clear" w:color="auto" w:fill="auto"/>
            <w:vAlign w:val="bottom"/>
          </w:tcPr>
          <w:p>
            <w:pPr>
              <w:jc w:val="right"/>
              <w:rPr>
                <w:noProof/>
              </w:rPr>
            </w:pPr>
            <w:r>
              <w:rPr>
                <w:noProof/>
              </w:rPr>
              <w:t>60,2</w:t>
            </w:r>
          </w:p>
        </w:tc>
      </w:tr>
      <w:tr>
        <w:tc>
          <w:tcPr>
            <w:tcW w:w="1416" w:type="dxa"/>
            <w:shd w:val="clear" w:color="auto" w:fill="auto"/>
          </w:tcPr>
          <w:p>
            <w:pPr>
              <w:jc w:val="center"/>
              <w:rPr>
                <w:noProof/>
              </w:rPr>
            </w:pPr>
            <w:r>
              <w:rPr>
                <w:noProof/>
              </w:rPr>
              <w:t>2015</w:t>
            </w:r>
          </w:p>
        </w:tc>
        <w:tc>
          <w:tcPr>
            <w:tcW w:w="1430" w:type="dxa"/>
            <w:shd w:val="clear" w:color="auto" w:fill="auto"/>
          </w:tcPr>
          <w:p>
            <w:pPr>
              <w:jc w:val="right"/>
              <w:rPr>
                <w:noProof/>
              </w:rPr>
            </w:pPr>
            <w:r>
              <w:rPr>
                <w:noProof/>
              </w:rPr>
              <w:t>8</w:t>
            </w:r>
          </w:p>
        </w:tc>
        <w:tc>
          <w:tcPr>
            <w:tcW w:w="1426" w:type="dxa"/>
            <w:shd w:val="clear" w:color="auto" w:fill="auto"/>
            <w:vAlign w:val="bottom"/>
          </w:tcPr>
          <w:p>
            <w:pPr>
              <w:jc w:val="right"/>
              <w:rPr>
                <w:noProof/>
              </w:rPr>
            </w:pPr>
            <w:r>
              <w:rPr>
                <w:noProof/>
              </w:rPr>
              <w:t>58,7</w:t>
            </w:r>
          </w:p>
        </w:tc>
        <w:tc>
          <w:tcPr>
            <w:tcW w:w="1431" w:type="dxa"/>
            <w:shd w:val="clear" w:color="auto" w:fill="auto"/>
            <w:vAlign w:val="bottom"/>
          </w:tcPr>
          <w:p>
            <w:pPr>
              <w:jc w:val="right"/>
              <w:rPr>
                <w:noProof/>
              </w:rPr>
            </w:pPr>
            <w:r>
              <w:rPr>
                <w:noProof/>
              </w:rPr>
              <w:t>1,5</w:t>
            </w:r>
          </w:p>
        </w:tc>
        <w:tc>
          <w:tcPr>
            <w:tcW w:w="1366" w:type="dxa"/>
            <w:shd w:val="clear" w:color="auto" w:fill="auto"/>
            <w:vAlign w:val="bottom"/>
          </w:tcPr>
          <w:p>
            <w:pPr>
              <w:jc w:val="right"/>
              <w:rPr>
                <w:noProof/>
              </w:rPr>
            </w:pPr>
            <w:r>
              <w:rPr>
                <w:noProof/>
              </w:rPr>
              <w:t>0,0</w:t>
            </w:r>
          </w:p>
        </w:tc>
        <w:tc>
          <w:tcPr>
            <w:tcW w:w="1481" w:type="dxa"/>
            <w:shd w:val="clear" w:color="auto" w:fill="auto"/>
            <w:vAlign w:val="bottom"/>
          </w:tcPr>
          <w:p>
            <w:pPr>
              <w:jc w:val="right"/>
              <w:rPr>
                <w:noProof/>
              </w:rPr>
            </w:pPr>
            <w:r>
              <w:rPr>
                <w:noProof/>
              </w:rPr>
              <w:t>60,2</w:t>
            </w:r>
          </w:p>
        </w:tc>
      </w:tr>
      <w:tr>
        <w:tc>
          <w:tcPr>
            <w:tcW w:w="1416" w:type="dxa"/>
            <w:shd w:val="clear" w:color="auto" w:fill="auto"/>
          </w:tcPr>
          <w:p>
            <w:pPr>
              <w:jc w:val="center"/>
              <w:rPr>
                <w:noProof/>
              </w:rPr>
            </w:pPr>
            <w:r>
              <w:rPr>
                <w:noProof/>
              </w:rPr>
              <w:t>2016</w:t>
            </w:r>
          </w:p>
        </w:tc>
        <w:tc>
          <w:tcPr>
            <w:tcW w:w="1430" w:type="dxa"/>
            <w:shd w:val="clear" w:color="auto" w:fill="auto"/>
            <w:vAlign w:val="center"/>
          </w:tcPr>
          <w:p>
            <w:pPr>
              <w:jc w:val="right"/>
              <w:rPr>
                <w:noProof/>
              </w:rPr>
            </w:pPr>
            <w:r>
              <w:rPr>
                <w:noProof/>
              </w:rPr>
              <w:t>12</w:t>
            </w:r>
          </w:p>
        </w:tc>
        <w:tc>
          <w:tcPr>
            <w:tcW w:w="1426" w:type="dxa"/>
            <w:shd w:val="clear" w:color="auto" w:fill="auto"/>
            <w:vAlign w:val="bottom"/>
          </w:tcPr>
          <w:p>
            <w:pPr>
              <w:jc w:val="right"/>
              <w:rPr>
                <w:noProof/>
              </w:rPr>
            </w:pPr>
            <w:r>
              <w:rPr>
                <w:noProof/>
              </w:rPr>
              <w:t>103,8</w:t>
            </w:r>
          </w:p>
        </w:tc>
        <w:tc>
          <w:tcPr>
            <w:tcW w:w="1431" w:type="dxa"/>
            <w:shd w:val="clear" w:color="auto" w:fill="auto"/>
            <w:vAlign w:val="bottom"/>
          </w:tcPr>
          <w:p>
            <w:pPr>
              <w:jc w:val="right"/>
              <w:rPr>
                <w:noProof/>
              </w:rPr>
            </w:pPr>
            <w:r>
              <w:rPr>
                <w:noProof/>
              </w:rPr>
              <w:t>2,4</w:t>
            </w:r>
          </w:p>
        </w:tc>
        <w:tc>
          <w:tcPr>
            <w:tcW w:w="1366" w:type="dxa"/>
            <w:shd w:val="clear" w:color="auto" w:fill="auto"/>
            <w:vAlign w:val="bottom"/>
          </w:tcPr>
          <w:p>
            <w:pPr>
              <w:jc w:val="right"/>
              <w:rPr>
                <w:noProof/>
              </w:rPr>
            </w:pPr>
            <w:r>
              <w:rPr>
                <w:noProof/>
              </w:rPr>
              <w:t>0,0</w:t>
            </w:r>
          </w:p>
        </w:tc>
        <w:tc>
          <w:tcPr>
            <w:tcW w:w="1481" w:type="dxa"/>
            <w:shd w:val="clear" w:color="auto" w:fill="auto"/>
            <w:vAlign w:val="bottom"/>
          </w:tcPr>
          <w:p>
            <w:pPr>
              <w:jc w:val="right"/>
              <w:rPr>
                <w:noProof/>
              </w:rPr>
            </w:pPr>
            <w:r>
              <w:rPr>
                <w:noProof/>
              </w:rPr>
              <w:t>106,2</w:t>
            </w:r>
          </w:p>
        </w:tc>
      </w:tr>
      <w:tr>
        <w:tc>
          <w:tcPr>
            <w:tcW w:w="1416" w:type="dxa"/>
            <w:shd w:val="clear" w:color="auto" w:fill="auto"/>
          </w:tcPr>
          <w:p>
            <w:pPr>
              <w:jc w:val="center"/>
              <w:rPr>
                <w:noProof/>
              </w:rPr>
            </w:pPr>
            <w:r>
              <w:rPr>
                <w:noProof/>
              </w:rPr>
              <w:t>Kokku</w:t>
            </w:r>
          </w:p>
        </w:tc>
        <w:tc>
          <w:tcPr>
            <w:tcW w:w="1430" w:type="dxa"/>
            <w:shd w:val="clear" w:color="auto" w:fill="auto"/>
            <w:vAlign w:val="center"/>
          </w:tcPr>
          <w:p>
            <w:pPr>
              <w:jc w:val="right"/>
              <w:rPr>
                <w:noProof/>
              </w:rPr>
            </w:pPr>
            <w:r>
              <w:rPr>
                <w:noProof/>
              </w:rPr>
              <w:t>38</w:t>
            </w:r>
          </w:p>
        </w:tc>
        <w:tc>
          <w:tcPr>
            <w:tcW w:w="1426" w:type="dxa"/>
            <w:shd w:val="clear" w:color="auto" w:fill="auto"/>
            <w:vAlign w:val="bottom"/>
          </w:tcPr>
          <w:p>
            <w:pPr>
              <w:jc w:val="right"/>
              <w:rPr>
                <w:noProof/>
              </w:rPr>
            </w:pPr>
            <w:r>
              <w:rPr>
                <w:noProof/>
              </w:rPr>
              <w:t>304,4</w:t>
            </w:r>
          </w:p>
        </w:tc>
        <w:tc>
          <w:tcPr>
            <w:tcW w:w="1431" w:type="dxa"/>
            <w:shd w:val="clear" w:color="auto" w:fill="auto"/>
            <w:vAlign w:val="bottom"/>
          </w:tcPr>
          <w:p>
            <w:pPr>
              <w:jc w:val="right"/>
              <w:rPr>
                <w:noProof/>
              </w:rPr>
            </w:pPr>
            <w:r>
              <w:rPr>
                <w:noProof/>
              </w:rPr>
              <w:t>6,8</w:t>
            </w:r>
          </w:p>
        </w:tc>
        <w:tc>
          <w:tcPr>
            <w:tcW w:w="1366" w:type="dxa"/>
            <w:shd w:val="clear" w:color="auto" w:fill="auto"/>
            <w:vAlign w:val="bottom"/>
          </w:tcPr>
          <w:p>
            <w:pPr>
              <w:jc w:val="right"/>
              <w:rPr>
                <w:noProof/>
              </w:rPr>
            </w:pPr>
            <w:r>
              <w:rPr>
                <w:noProof/>
              </w:rPr>
              <w:t>2,2</w:t>
            </w:r>
          </w:p>
        </w:tc>
        <w:tc>
          <w:tcPr>
            <w:tcW w:w="1481" w:type="dxa"/>
            <w:shd w:val="clear" w:color="auto" w:fill="auto"/>
            <w:vAlign w:val="bottom"/>
          </w:tcPr>
          <w:p>
            <w:pPr>
              <w:jc w:val="right"/>
              <w:rPr>
                <w:noProof/>
              </w:rPr>
            </w:pPr>
            <w:r>
              <w:rPr>
                <w:noProof/>
              </w:rPr>
              <w:t>309,1</w:t>
            </w:r>
          </w:p>
        </w:tc>
      </w:tr>
    </w:tbl>
    <w:p>
      <w:pPr>
        <w:spacing w:before="240" w:after="240"/>
        <w:rPr>
          <w:noProof/>
        </w:rPr>
      </w:pPr>
      <w:r>
        <w:rPr>
          <w:noProof/>
        </w:rPr>
        <w:t>31. detsembri 2016. aasta seisuga oli Süüriale antud tagatud laenude põhisumma jääk kokku 555 miljonit eurot</w:t>
      </w:r>
      <w:r>
        <w:rPr>
          <w:rStyle w:val="FootnoteReference"/>
          <w:noProof/>
        </w:rPr>
        <w:footnoteReference w:id="33"/>
      </w:r>
      <w:r>
        <w:rPr>
          <w:noProof/>
        </w:rPr>
        <w:t xml:space="preserve"> ja viimase laenu tähtaeg 2030. aastal.</w:t>
      </w:r>
    </w:p>
    <w:p>
      <w:pPr>
        <w:spacing w:before="100" w:beforeAutospacing="1"/>
        <w:rPr>
          <w:i/>
          <w:noProof/>
          <w:u w:val="single"/>
        </w:rPr>
      </w:pPr>
      <w:r>
        <w:rPr>
          <w:i/>
          <w:noProof/>
          <w:u w:val="single"/>
        </w:rPr>
        <w:t>TAV Tunisie S.A. (Enfidha lennujaam)</w:t>
      </w:r>
    </w:p>
    <w:p>
      <w:pPr>
        <w:spacing w:before="100" w:beforeAutospacing="1"/>
        <w:rPr>
          <w:noProof/>
          <w:szCs w:val="20"/>
        </w:rPr>
      </w:pPr>
      <w:r>
        <w:rPr>
          <w:noProof/>
        </w:rPr>
        <w:t>29. juuni 2016 esitas EIP nõude võtta kasutusele välislaenude andmise volituse alusel saadud ELi tagatis seoses laenuga ettevõttele TAV Tunisie S.A. (Enfidha lennujaam).</w:t>
      </w:r>
    </w:p>
    <w:p>
      <w:pPr>
        <w:spacing w:before="0"/>
        <w:rPr>
          <w:noProof/>
          <w:szCs w:val="20"/>
        </w:rPr>
      </w:pPr>
      <w:r>
        <w:rPr>
          <w:noProof/>
        </w:rPr>
        <w:t xml:space="preserve">29. septembril 2016 maksis Euroopa Komisjon selle tagatisnõude alusel EIP-le viivise ja intressidena 4,65 miljonit eurot, kusjuures tagatisnõuet käsitlev arutelu EIPga alles kestab. </w:t>
      </w:r>
    </w:p>
    <w:p>
      <w:pPr>
        <w:spacing w:before="0"/>
        <w:jc w:val="left"/>
        <w:rPr>
          <w:noProof/>
          <w:szCs w:val="20"/>
        </w:rPr>
      </w:pPr>
      <w:r>
        <w:rPr>
          <w:noProof/>
        </w:rPr>
        <w:t>Tabelis 4b on esitatud ülevaade ettevõttele TAV Tunisie S.A. (Enfidha lennujaam) antud laenu tõttu fondile esitatud tagatisnõudest.</w:t>
      </w:r>
      <w:r>
        <w:rPr>
          <w:noProof/>
        </w:rPr>
        <w:br w:type="page"/>
      </w:r>
    </w:p>
    <w:p>
      <w:pPr>
        <w:spacing w:after="0"/>
        <w:rPr>
          <w:noProof/>
          <w:sz w:val="18"/>
        </w:rPr>
      </w:pPr>
      <w:r>
        <w:rPr>
          <w:noProof/>
          <w:sz w:val="18"/>
        </w:rPr>
        <w:t>Tabel 4b. Ettevõttele TAV Tunisie S.A. (Enfidha lennujaam) antud laenu tagatisnõue (miljonites eurodes)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1430"/>
        <w:gridCol w:w="1407"/>
        <w:gridCol w:w="1417"/>
        <w:gridCol w:w="1418"/>
        <w:gridCol w:w="1417"/>
      </w:tblGrid>
      <w:tr>
        <w:trPr>
          <w:trHeight w:val="1231"/>
        </w:trPr>
        <w:tc>
          <w:tcPr>
            <w:tcW w:w="1416" w:type="dxa"/>
            <w:shd w:val="clear" w:color="auto" w:fill="auto"/>
          </w:tcPr>
          <w:p>
            <w:pPr>
              <w:spacing w:after="240"/>
              <w:jc w:val="center"/>
              <w:rPr>
                <w:noProof/>
                <w:sz w:val="22"/>
              </w:rPr>
            </w:pPr>
            <w:r>
              <w:rPr>
                <w:noProof/>
              </w:rPr>
              <w:t>Sissenõudmise aasta</w:t>
            </w:r>
            <w:r>
              <w:rPr>
                <w:noProof/>
                <w:sz w:val="22"/>
              </w:rPr>
              <w:t xml:space="preserve"> </w:t>
            </w:r>
          </w:p>
        </w:tc>
        <w:tc>
          <w:tcPr>
            <w:tcW w:w="1430" w:type="dxa"/>
            <w:shd w:val="clear" w:color="auto" w:fill="auto"/>
          </w:tcPr>
          <w:p>
            <w:pPr>
              <w:spacing w:after="240"/>
              <w:jc w:val="center"/>
              <w:rPr>
                <w:noProof/>
                <w:sz w:val="22"/>
              </w:rPr>
            </w:pPr>
            <w:r>
              <w:rPr>
                <w:noProof/>
                <w:sz w:val="22"/>
              </w:rPr>
              <w:t>Rahuldatud nõuete arv</w:t>
            </w:r>
          </w:p>
        </w:tc>
        <w:tc>
          <w:tcPr>
            <w:tcW w:w="1407" w:type="dxa"/>
            <w:shd w:val="clear" w:color="auto" w:fill="auto"/>
          </w:tcPr>
          <w:p>
            <w:pPr>
              <w:spacing w:after="240"/>
              <w:jc w:val="center"/>
              <w:rPr>
                <w:noProof/>
                <w:sz w:val="22"/>
              </w:rPr>
            </w:pPr>
            <w:r>
              <w:rPr>
                <w:noProof/>
                <w:sz w:val="22"/>
              </w:rPr>
              <w:t>Tasumisele kuuluvate osamaksete suurus</w:t>
            </w:r>
          </w:p>
        </w:tc>
        <w:tc>
          <w:tcPr>
            <w:tcW w:w="1417" w:type="dxa"/>
            <w:shd w:val="clear" w:color="auto" w:fill="auto"/>
          </w:tcPr>
          <w:p>
            <w:pPr>
              <w:spacing w:after="240"/>
              <w:jc w:val="center"/>
              <w:rPr>
                <w:noProof/>
                <w:sz w:val="22"/>
              </w:rPr>
            </w:pPr>
            <w:r>
              <w:rPr>
                <w:noProof/>
                <w:sz w:val="22"/>
              </w:rPr>
              <w:t xml:space="preserve">Trahvid ja kogunenud intressid </w:t>
            </w:r>
            <w:r>
              <w:rPr>
                <w:noProof/>
                <w:sz w:val="22"/>
                <w:vertAlign w:val="superscript"/>
              </w:rPr>
              <w:t>32</w:t>
            </w:r>
            <w:r>
              <w:rPr>
                <w:noProof/>
                <w:sz w:val="22"/>
              </w:rPr>
              <w:t xml:space="preserve"> </w:t>
            </w:r>
          </w:p>
        </w:tc>
        <w:tc>
          <w:tcPr>
            <w:tcW w:w="1418" w:type="dxa"/>
            <w:shd w:val="clear" w:color="auto" w:fill="auto"/>
          </w:tcPr>
          <w:p>
            <w:pPr>
              <w:spacing w:after="240"/>
              <w:jc w:val="center"/>
              <w:rPr>
                <w:noProof/>
                <w:sz w:val="22"/>
              </w:rPr>
            </w:pPr>
            <w:r>
              <w:rPr>
                <w:noProof/>
                <w:sz w:val="22"/>
              </w:rPr>
              <w:t>Sissenõutud summa</w:t>
            </w:r>
          </w:p>
        </w:tc>
        <w:tc>
          <w:tcPr>
            <w:tcW w:w="1417" w:type="dxa"/>
            <w:shd w:val="clear" w:color="auto" w:fill="auto"/>
          </w:tcPr>
          <w:p>
            <w:pPr>
              <w:spacing w:after="240"/>
              <w:jc w:val="center"/>
              <w:rPr>
                <w:noProof/>
                <w:sz w:val="22"/>
              </w:rPr>
            </w:pPr>
            <w:r>
              <w:rPr>
                <w:noProof/>
                <w:sz w:val="22"/>
              </w:rPr>
              <w:t>Kokku</w:t>
            </w:r>
          </w:p>
        </w:tc>
      </w:tr>
      <w:tr>
        <w:tc>
          <w:tcPr>
            <w:tcW w:w="1416" w:type="dxa"/>
            <w:shd w:val="clear" w:color="auto" w:fill="auto"/>
            <w:vAlign w:val="center"/>
          </w:tcPr>
          <w:p>
            <w:pPr>
              <w:spacing w:after="240"/>
              <w:jc w:val="center"/>
              <w:rPr>
                <w:noProof/>
                <w:sz w:val="22"/>
              </w:rPr>
            </w:pPr>
            <w:r>
              <w:rPr>
                <w:noProof/>
                <w:sz w:val="22"/>
              </w:rPr>
              <w:t>2016</w:t>
            </w:r>
          </w:p>
        </w:tc>
        <w:tc>
          <w:tcPr>
            <w:tcW w:w="1430" w:type="dxa"/>
            <w:shd w:val="clear" w:color="auto" w:fill="auto"/>
            <w:vAlign w:val="center"/>
          </w:tcPr>
          <w:p>
            <w:pPr>
              <w:spacing w:after="240"/>
              <w:jc w:val="right"/>
              <w:rPr>
                <w:noProof/>
                <w:sz w:val="22"/>
              </w:rPr>
            </w:pPr>
            <w:r>
              <w:rPr>
                <w:noProof/>
                <w:sz w:val="22"/>
              </w:rPr>
              <w:t>1</w:t>
            </w:r>
          </w:p>
        </w:tc>
        <w:tc>
          <w:tcPr>
            <w:tcW w:w="1407" w:type="dxa"/>
            <w:shd w:val="clear" w:color="auto" w:fill="auto"/>
            <w:vAlign w:val="center"/>
          </w:tcPr>
          <w:p>
            <w:pPr>
              <w:spacing w:after="240"/>
              <w:jc w:val="right"/>
              <w:rPr>
                <w:noProof/>
                <w:sz w:val="22"/>
              </w:rPr>
            </w:pPr>
            <w:r>
              <w:rPr>
                <w:noProof/>
                <w:sz w:val="22"/>
              </w:rPr>
              <w:t>4,56</w:t>
            </w:r>
          </w:p>
        </w:tc>
        <w:tc>
          <w:tcPr>
            <w:tcW w:w="1417" w:type="dxa"/>
            <w:shd w:val="clear" w:color="auto" w:fill="auto"/>
            <w:vAlign w:val="center"/>
          </w:tcPr>
          <w:p>
            <w:pPr>
              <w:spacing w:after="240"/>
              <w:jc w:val="right"/>
              <w:rPr>
                <w:noProof/>
                <w:sz w:val="22"/>
              </w:rPr>
            </w:pPr>
            <w:r>
              <w:rPr>
                <w:noProof/>
                <w:sz w:val="22"/>
              </w:rPr>
              <w:t>0,09</w:t>
            </w:r>
          </w:p>
        </w:tc>
        <w:tc>
          <w:tcPr>
            <w:tcW w:w="1418" w:type="dxa"/>
            <w:shd w:val="clear" w:color="auto" w:fill="auto"/>
            <w:vAlign w:val="center"/>
          </w:tcPr>
          <w:p>
            <w:pPr>
              <w:spacing w:after="240"/>
              <w:jc w:val="right"/>
              <w:rPr>
                <w:noProof/>
                <w:sz w:val="22"/>
              </w:rPr>
            </w:pPr>
            <w:r>
              <w:rPr>
                <w:noProof/>
                <w:sz w:val="22"/>
              </w:rPr>
              <w:t>0,00</w:t>
            </w:r>
          </w:p>
        </w:tc>
        <w:tc>
          <w:tcPr>
            <w:tcW w:w="1417" w:type="dxa"/>
            <w:shd w:val="clear" w:color="auto" w:fill="auto"/>
            <w:vAlign w:val="center"/>
          </w:tcPr>
          <w:p>
            <w:pPr>
              <w:spacing w:after="240"/>
              <w:jc w:val="right"/>
              <w:rPr>
                <w:noProof/>
                <w:sz w:val="22"/>
              </w:rPr>
            </w:pPr>
            <w:r>
              <w:rPr>
                <w:noProof/>
                <w:sz w:val="22"/>
              </w:rPr>
              <w:t>4,65</w:t>
            </w:r>
          </w:p>
        </w:tc>
      </w:tr>
      <w:tr>
        <w:tc>
          <w:tcPr>
            <w:tcW w:w="1416" w:type="dxa"/>
            <w:shd w:val="clear" w:color="auto" w:fill="auto"/>
          </w:tcPr>
          <w:p>
            <w:pPr>
              <w:spacing w:after="240"/>
              <w:jc w:val="center"/>
              <w:rPr>
                <w:noProof/>
                <w:sz w:val="22"/>
              </w:rPr>
            </w:pPr>
            <w:r>
              <w:rPr>
                <w:noProof/>
                <w:sz w:val="22"/>
              </w:rPr>
              <w:t>Kokku</w:t>
            </w:r>
          </w:p>
        </w:tc>
        <w:tc>
          <w:tcPr>
            <w:tcW w:w="1430" w:type="dxa"/>
            <w:shd w:val="clear" w:color="auto" w:fill="auto"/>
            <w:vAlign w:val="center"/>
          </w:tcPr>
          <w:p>
            <w:pPr>
              <w:spacing w:after="240"/>
              <w:jc w:val="right"/>
              <w:rPr>
                <w:noProof/>
                <w:sz w:val="22"/>
              </w:rPr>
            </w:pPr>
            <w:r>
              <w:rPr>
                <w:noProof/>
                <w:sz w:val="22"/>
              </w:rPr>
              <w:t>1</w:t>
            </w:r>
          </w:p>
        </w:tc>
        <w:tc>
          <w:tcPr>
            <w:tcW w:w="1407" w:type="dxa"/>
            <w:shd w:val="clear" w:color="auto" w:fill="auto"/>
            <w:vAlign w:val="center"/>
          </w:tcPr>
          <w:p>
            <w:pPr>
              <w:spacing w:after="240"/>
              <w:jc w:val="right"/>
              <w:rPr>
                <w:noProof/>
                <w:sz w:val="22"/>
              </w:rPr>
            </w:pPr>
            <w:r>
              <w:rPr>
                <w:noProof/>
                <w:sz w:val="22"/>
              </w:rPr>
              <w:t>4,56</w:t>
            </w:r>
          </w:p>
        </w:tc>
        <w:tc>
          <w:tcPr>
            <w:tcW w:w="1417" w:type="dxa"/>
            <w:shd w:val="clear" w:color="auto" w:fill="auto"/>
            <w:vAlign w:val="center"/>
          </w:tcPr>
          <w:p>
            <w:pPr>
              <w:spacing w:after="240"/>
              <w:jc w:val="right"/>
              <w:rPr>
                <w:noProof/>
                <w:sz w:val="22"/>
              </w:rPr>
            </w:pPr>
            <w:r>
              <w:rPr>
                <w:noProof/>
                <w:sz w:val="22"/>
              </w:rPr>
              <w:t>0,09</w:t>
            </w:r>
          </w:p>
        </w:tc>
        <w:tc>
          <w:tcPr>
            <w:tcW w:w="1418" w:type="dxa"/>
            <w:shd w:val="clear" w:color="auto" w:fill="auto"/>
            <w:vAlign w:val="center"/>
          </w:tcPr>
          <w:p>
            <w:pPr>
              <w:spacing w:after="240"/>
              <w:jc w:val="right"/>
              <w:rPr>
                <w:noProof/>
                <w:sz w:val="22"/>
              </w:rPr>
            </w:pPr>
            <w:r>
              <w:rPr>
                <w:noProof/>
                <w:sz w:val="22"/>
              </w:rPr>
              <w:t>0,00</w:t>
            </w:r>
          </w:p>
        </w:tc>
        <w:tc>
          <w:tcPr>
            <w:tcW w:w="1417" w:type="dxa"/>
            <w:shd w:val="clear" w:color="auto" w:fill="auto"/>
            <w:vAlign w:val="center"/>
          </w:tcPr>
          <w:p>
            <w:pPr>
              <w:spacing w:after="240"/>
              <w:jc w:val="right"/>
              <w:rPr>
                <w:noProof/>
                <w:sz w:val="22"/>
              </w:rPr>
            </w:pPr>
            <w:r>
              <w:rPr>
                <w:noProof/>
                <w:sz w:val="22"/>
              </w:rPr>
              <w:t>4,65</w:t>
            </w:r>
          </w:p>
        </w:tc>
      </w:tr>
    </w:tbl>
    <w:p>
      <w:pPr>
        <w:spacing w:before="240" w:after="240"/>
        <w:rPr>
          <w:noProof/>
        </w:rPr>
      </w:pPr>
      <w:r>
        <w:rPr>
          <w:noProof/>
        </w:rPr>
        <w:t>31. detsembri 2016. aasta seisuga oli TAV Tunisie S.A. (Enfidha lennujaam) jaoks antud tagatud laenude põhisumma jääk kokku 64,4 miljonit eurot</w:t>
      </w:r>
      <w:r>
        <w:rPr>
          <w:rStyle w:val="FootnoteReference"/>
          <w:noProof/>
        </w:rPr>
        <w:footnoteReference w:id="34"/>
      </w:r>
      <w:r>
        <w:rPr>
          <w:noProof/>
        </w:rPr>
        <w:t xml:space="preserve"> ja viimase laenu tähtaeg 2028. aastal.</w:t>
      </w:r>
    </w:p>
    <w:p>
      <w:pPr>
        <w:spacing w:before="0" w:after="240"/>
        <w:rPr>
          <w:noProof/>
          <w:u w:val="single"/>
        </w:rPr>
      </w:pPr>
      <w:r>
        <w:rPr>
          <w:noProof/>
          <w:u w:val="single"/>
        </w:rPr>
        <w:t>Sündmused pärast 31. detsembrit 2016 (kuni 30. juuni 2017)</w:t>
      </w:r>
    </w:p>
    <w:p>
      <w:pPr>
        <w:spacing w:before="0" w:after="240"/>
        <w:rPr>
          <w:noProof/>
        </w:rPr>
      </w:pPr>
      <w:r>
        <w:rPr>
          <w:noProof/>
        </w:rPr>
        <w:t>2017. aasta juuni lõpuks oli saadud veel kuus Süüriaga seotud nõuet (kokku 28,38 miljonit eurot koos intresside ja trahvidega) ja üks nõue seoses ettevõttega TAV Tunisie S.A. (Enfidha lennujaam) (2,21 miljonit eurot koos intresside ja trahvidega).</w:t>
      </w:r>
    </w:p>
    <w:p>
      <w:pPr>
        <w:pStyle w:val="ManualHeading2"/>
        <w:rPr>
          <w:noProof/>
        </w:rPr>
      </w:pPr>
      <w:bookmarkStart w:id="386" w:name="_Toc390944405"/>
      <w:bookmarkStart w:id="387" w:name="_Toc393969976"/>
      <w:bookmarkStart w:id="388" w:name="_Toc417461982"/>
      <w:bookmarkStart w:id="389" w:name="_Toc417998616"/>
      <w:bookmarkStart w:id="390" w:name="_Toc418157643"/>
      <w:bookmarkStart w:id="391" w:name="_Toc418160324"/>
      <w:bookmarkStart w:id="392" w:name="_Toc446577191"/>
      <w:bookmarkStart w:id="393" w:name="_Toc452646737"/>
      <w:bookmarkStart w:id="394" w:name="_Toc453161376"/>
      <w:bookmarkStart w:id="395" w:name="_Toc486601279"/>
      <w:bookmarkStart w:id="396" w:name="_Toc495658626"/>
      <w:bookmarkStart w:id="397" w:name="_Toc499024205"/>
      <w:r>
        <w:rPr>
          <w:noProof/>
        </w:rPr>
        <w:t>5.2</w:t>
      </w:r>
      <w:r>
        <w:rPr>
          <w:noProof/>
        </w:rPr>
        <w:tab/>
        <w:t>Fondi tegevus</w:t>
      </w:r>
      <w:bookmarkEnd w:id="386"/>
      <w:bookmarkEnd w:id="387"/>
      <w:bookmarkEnd w:id="388"/>
      <w:bookmarkEnd w:id="389"/>
      <w:bookmarkEnd w:id="390"/>
      <w:bookmarkEnd w:id="391"/>
      <w:bookmarkEnd w:id="392"/>
      <w:bookmarkEnd w:id="393"/>
      <w:bookmarkEnd w:id="394"/>
      <w:bookmarkEnd w:id="395"/>
      <w:bookmarkEnd w:id="396"/>
      <w:bookmarkEnd w:id="397"/>
    </w:p>
    <w:p>
      <w:pPr>
        <w:rPr>
          <w:noProof/>
        </w:rPr>
      </w:pPr>
      <w:r>
        <w:rPr>
          <w:noProof/>
        </w:rPr>
        <w:t>Tagatisfondi määruse kohaselt peavad fondi vahendid olema nõuetekohasel tasemel (sihtsumma), milleks on 9 % iga tehinguga seotud kapitalikohustuste kogusummast, millele lisandub kogunenud intress. Selleks et tagada sihtsumma saavutamine, on olemas rahastamise mehhanism.</w:t>
      </w:r>
    </w:p>
    <w:p>
      <w:pPr>
        <w:rPr>
          <w:noProof/>
        </w:rPr>
      </w:pPr>
      <w:r>
        <w:rPr>
          <w:noProof/>
        </w:rPr>
        <w:t>Rahastamise mehhanismile toetudes maksti 2016. aasta veebruaris ELi eelarvest fondi 257,12 miljonit eurot ning 2017. aasta veebruaris 240,54 miljonit eurot.</w:t>
      </w:r>
    </w:p>
    <w:p>
      <w:pPr>
        <w:rPr>
          <w:noProof/>
        </w:rPr>
      </w:pPr>
      <w:r>
        <w:rPr>
          <w:noProof/>
        </w:rPr>
        <w:t>31. detsembri 2016. aasta seisuga oli fondi netovara</w:t>
      </w:r>
      <w:r>
        <w:rPr>
          <w:rStyle w:val="Funotenzeichen"/>
          <w:noProof/>
        </w:rPr>
        <w:footnoteReference w:id="35"/>
      </w:r>
      <w:r>
        <w:rPr>
          <w:noProof/>
        </w:rPr>
        <w:t xml:space="preserve"> 2 505,14 miljonit eurot.</w:t>
      </w:r>
      <w:r>
        <w:rPr>
          <w:noProof/>
          <w:color w:val="000000"/>
        </w:rPr>
        <w:t xml:space="preserve"> </w:t>
      </w:r>
      <w:r>
        <w:rPr>
          <w:noProof/>
        </w:rPr>
        <w:t>Netovara ja tagatisfondi määruse kohaste kapitalikohustuste</w:t>
      </w:r>
      <w:r>
        <w:rPr>
          <w:rStyle w:val="Funotenzeichen"/>
          <w:noProof/>
        </w:rPr>
        <w:footnoteReference w:id="36"/>
      </w:r>
      <w:r>
        <w:rPr>
          <w:noProof/>
        </w:rPr>
        <w:t xml:space="preserve"> (29 365,98 miljonit eurot) suhe oli tagatisfondi määruse tähenduses sihtsummast väiksem. Sellest tulenevalt lisati fondi rahastamiseks ELi 2018. aasta eelarveprojekti 137,80 miljonit eurot.</w:t>
      </w:r>
    </w:p>
    <w:p>
      <w:pPr>
        <w:rPr>
          <w:noProof/>
        </w:rPr>
      </w:pPr>
      <w:r>
        <w:rPr>
          <w:noProof/>
        </w:rPr>
        <w:t>EIP välislaenumandaadi kohta vahekokkuvõtte tegemisel tuleks hindamiseks läbi vaadata fondi põhiparameetrid, eriti sihtmäär. Välistöövõtja koostas tagatisfondi kohta hinnangu, milles arvestati fondi riskiprofiili ning tulemuslikkust, pidades silmas fondi kaetavate välisfinantstehingute ja seonduvate riskide kujunemist. Aruanne valmis 2016. aasta augustis. Selle peamine järeldus oli, et 9 % sihtmäär on optimaalne ka laenuportfelli praeguse riskitaseme juures, isegi kui peamiste võlgnike reitingut veelgi alandatakse. Seetõttu jäeti 9 % sihtmäär muutmata.</w:t>
      </w:r>
    </w:p>
    <w:p>
      <w:pPr>
        <w:rPr>
          <w:noProof/>
        </w:rPr>
      </w:pPr>
    </w:p>
    <w:p>
      <w:pPr>
        <w:pStyle w:val="ManualHeading1"/>
        <w:spacing w:before="0"/>
        <w:ind w:left="851" w:hanging="851"/>
        <w:rPr>
          <w:noProof/>
        </w:rPr>
      </w:pPr>
      <w:bookmarkStart w:id="398" w:name="_Toc495658627"/>
      <w:bookmarkStart w:id="399" w:name="_Toc499024206"/>
      <w:r>
        <w:rPr>
          <w:noProof/>
        </w:rPr>
        <w:t>6.</w:t>
      </w:r>
      <w:r>
        <w:rPr>
          <w:noProof/>
        </w:rPr>
        <w:tab/>
        <w:t>Euroopa Strateegiliste Investeeringute Fond (EFSI)</w:t>
      </w:r>
      <w:r>
        <w:rPr>
          <w:rStyle w:val="FootnoteReference"/>
          <w:noProof/>
        </w:rPr>
        <w:footnoteReference w:id="37"/>
      </w:r>
      <w:bookmarkEnd w:id="398"/>
      <w:bookmarkEnd w:id="399"/>
    </w:p>
    <w:p>
      <w:pPr>
        <w:rPr>
          <w:noProof/>
        </w:rPr>
      </w:pPr>
      <w:r>
        <w:rPr>
          <w:noProof/>
        </w:rPr>
        <w:t>ELi tagatis katab rahastamis-ja investeerimistehingud, mille EIP on sõlminud infrastruktuuri ja innovatsiooni programmi raames ning EIF VKEde</w:t>
      </w:r>
      <w:r>
        <w:rPr>
          <w:rStyle w:val="FootnoteReference"/>
          <w:noProof/>
        </w:rPr>
        <w:footnoteReference w:id="38"/>
      </w:r>
      <w:r>
        <w:rPr>
          <w:noProof/>
        </w:rPr>
        <w:t xml:space="preserve"> programmi raames. Osa nimetatud tehingutest on kaetud ELi tagatisega, teise osa aga teostab EIP grupp oma vastutusel.</w:t>
      </w:r>
    </w:p>
    <w:p>
      <w:pPr>
        <w:rPr>
          <w:noProof/>
        </w:rPr>
      </w:pPr>
      <w:r>
        <w:rPr>
          <w:noProof/>
        </w:rPr>
        <w:t xml:space="preserve">Vastavalt EFSI määruse artiklile 12 on likviidsuspuhver, millest tehakse EIP-le väljamakseid ELi tagatise realiseerimise korral, EFSI tagatisfond. Kui realiseeritud tagatise summa ületab EFSI kontol EIP käsutuses olevate vahendite summa, makstakse see vastavalt ELi ja EIP vahelisele EFSI lepingule välja EFSI tagatisfondist. EIP hallatav EFSI konto loodi eesmärgiga koguda sellele ELi tulud, mis saadakse ELi tagatisega tagatud EFSI toimingutest ja sissenõutud summadest, ning maksta kasutada olevate vahendite ulatuses välja realiseeritud ELi tagatis. </w:t>
      </w:r>
    </w:p>
    <w:p>
      <w:pPr>
        <w:rPr>
          <w:noProof/>
        </w:rPr>
      </w:pPr>
      <w:r>
        <w:rPr>
          <w:noProof/>
        </w:rPr>
        <w:t>Makseid EFSI tagatisfondi tehakse järk-järgult, võttes arvesse ELi tagatisest tulenevat riskipositsiooni suurenemist.</w:t>
      </w:r>
    </w:p>
    <w:p>
      <w:pPr>
        <w:rPr>
          <w:noProof/>
        </w:rPr>
      </w:pPr>
      <w:r>
        <w:rPr>
          <w:noProof/>
        </w:rPr>
        <w:t xml:space="preserve">EFSI tagatisfondi vahendeid haldab otseselt komisjon ja neid investeeritakse kooskõlas usaldusväärse finantsjuhtimise põhimõttega, järgides asjakohaseid usaldatavusnõudeid. </w:t>
      </w:r>
    </w:p>
    <w:p>
      <w:pPr>
        <w:rPr>
          <w:noProof/>
          <w:u w:val="single"/>
        </w:rPr>
      </w:pPr>
      <w:r>
        <w:rPr>
          <w:noProof/>
          <w:u w:val="single"/>
        </w:rPr>
        <w:t>2016. aasta sündmused</w:t>
      </w:r>
    </w:p>
    <w:p>
      <w:pPr>
        <w:rPr>
          <w:noProof/>
        </w:rPr>
      </w:pPr>
      <w:r>
        <w:rPr>
          <w:noProof/>
        </w:rPr>
        <w:t xml:space="preserve">ELi tagatisest tulenev riskipositsioon seoses EIP grupi tagasimaksmata EFSI laenudega oli 31. detsembri 2016. aasta seisuga 4 392 miljonit eurot; EFSI määruse artikli 11 kohaselt on ELi tagatise maksimummäär 16 miljardit eurot. 4 392 miljoni euro suurust summat kajastatakse ELi 2016. aasta finantsaruande lisades tingimusliku kohustusena. </w:t>
      </w:r>
    </w:p>
    <w:p>
      <w:pPr>
        <w:rPr>
          <w:noProof/>
        </w:rPr>
      </w:pPr>
      <w:r>
        <w:rPr>
          <w:noProof/>
        </w:rPr>
        <w:t>Infrastruktuuri ja innovatsiooni programmi kuuluvate ELi tagatisega tagatud tagasimaksmata nõuete maht oli 4,02 miljardit eurot, millest 3,98 miljardit eurot oli seotud võlatehingute ja 0,04 miljardit omakapitaliga seotud tehingutega</w:t>
      </w:r>
      <w:r>
        <w:rPr>
          <w:noProof/>
          <w:vertAlign w:val="superscript"/>
        </w:rPr>
        <w:footnoteReference w:id="39"/>
      </w:r>
      <w:r>
        <w:rPr>
          <w:noProof/>
        </w:rPr>
        <w:t>.</w:t>
      </w:r>
    </w:p>
    <w:p>
      <w:pPr>
        <w:rPr>
          <w:noProof/>
        </w:rPr>
      </w:pPr>
      <w:r>
        <w:rPr>
          <w:noProof/>
        </w:rPr>
        <w:t>2016. aasta lõpu seisuga oli VKEde programmi kohaselt ELi tagatisega tagatud tagasimaksmata laenude summa 369,7 miljonit eurot, millest 364,8 miljonit eurot oli seotud tagatistehingutega ja 5 miljonit eurot omakapitalitehingutega.</w:t>
      </w:r>
    </w:p>
    <w:p>
      <w:pPr>
        <w:rPr>
          <w:noProof/>
        </w:rPr>
      </w:pPr>
      <w:r>
        <w:rPr>
          <w:noProof/>
        </w:rPr>
        <w:t>Tagatisfondil oli 31. detsembri 2016. aasta seisuga netovarasid 1 020 miljonit eurot.</w:t>
      </w:r>
    </w:p>
    <w:p>
      <w:pPr>
        <w:rPr>
          <w:noProof/>
        </w:rPr>
      </w:pPr>
      <w:r>
        <w:rPr>
          <w:noProof/>
        </w:rPr>
        <w:t>2016. aasta lõpu seisuga oli EFSI raames lepinguid sõlmitud kogusummas 21,3 miljardit eurot ja 28 liikmesriigiga. Sellest 14,2 miljardi euro väärtuses tehinguid allkirjastas</w:t>
      </w:r>
      <w:r>
        <w:rPr>
          <w:rStyle w:val="FootnoteReference"/>
          <w:noProof/>
        </w:rPr>
        <w:footnoteReference w:id="40"/>
      </w:r>
      <w:r>
        <w:rPr>
          <w:noProof/>
        </w:rPr>
        <w:t xml:space="preserve"> EIP (121 tehingut) ja 7,1 miljardi euro väärtuses EIF (225 tehingut). See näitab üldiselt märkimisväärset kasvu võrreldes 2015. aastaga, mil lepinguid sõlmiti kogusummas 1,2 miljardit eurot.</w:t>
      </w:r>
    </w:p>
    <w:p>
      <w:pPr>
        <w:rPr>
          <w:noProof/>
        </w:rPr>
      </w:pPr>
      <w:r>
        <w:rPr>
          <w:noProof/>
        </w:rPr>
        <w:t>Lisateavet Euroopa Strateegiliste Investeeringute Fondi tagatisfondi kohta vt uusim komisjoni aruanne Euroopa Parlamendile, nõukogule ja Euroopa Kontrollikojale Euroopa Strateegiliste Investeeringute Fondi tagatisfondi valitsemise kohta</w:t>
      </w:r>
      <w:r>
        <w:rPr>
          <w:rStyle w:val="FootnoteReference"/>
          <w:noProof/>
        </w:rPr>
        <w:footnoteReference w:id="41"/>
      </w:r>
      <w:r>
        <w:rPr>
          <w:noProof/>
        </w:rPr>
        <w:t xml:space="preserve"> ja sellega seotud komisjoni talituste töödokument.</w:t>
      </w:r>
    </w:p>
    <w:sectPr>
      <w:headerReference w:type="even" r:id="rId22"/>
      <w:headerReference w:type="default" r:id="rId23"/>
      <w:footerReference w:type="even" r:id="rId24"/>
      <w:footerReference w:type="default" r:id="rId25"/>
      <w:headerReference w:type="first" r:id="rId26"/>
      <w:footerReference w:type="first" r:id="rId2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_GOPA TheSerif Light">
    <w:altName w:val="Times New Roman"/>
    <w:charset w:val="00"/>
    <w:family w:val="roman"/>
    <w:pitch w:val="variable"/>
    <w:sig w:usb0="8000006F" w:usb1="5000204A" w:usb2="00000000" w:usb3="00000000" w:csb0="0000009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rPr>
        <w:noProof/>
      </w:rPr>
      <w:fldChar w:fldCharType="end"/>
    </w:r>
  </w:p>
  <w:p>
    <w:pPr>
      <w:tabs>
        <w:tab w:val="left" w:pos="507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noProof/>
      </w:rPr>
    </w:pPr>
    <w:r>
      <w:fldChar w:fldCharType="begin"/>
    </w:r>
    <w:r>
      <w:instrText xml:space="preserve"> PAGE   \* MERGEFORMAT </w:instrText>
    </w:r>
    <w:r>
      <w:fldChar w:fldCharType="separate"/>
    </w:r>
    <w:r>
      <w:rPr>
        <w:noProof/>
      </w:rPr>
      <w:t>12</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Euroopa Parlamendi ja nõukogu 25. oktoobri 2012. aasta määrus (EL, Euratom) nr 966/2012, mis käsitleb Euroopa Liidu üldeelarve suhtes kohaldatavaid finantseeskirju ning millega muudetakse nõukogu määrust (EÜ, Euratom) nr 1605/2002 (ELT L 298, 26.10.2012, lk 1).</w:t>
      </w:r>
    </w:p>
  </w:footnote>
  <w:footnote w:id="3">
    <w:p>
      <w:pPr>
        <w:pStyle w:val="FootnoteText"/>
      </w:pPr>
      <w:r>
        <w:rPr>
          <w:rStyle w:val="FootnoteReference"/>
        </w:rPr>
        <w:footnoteRef/>
      </w:r>
      <w:r>
        <w:tab/>
        <w:t>Nõukogu 25. mai 2009. aasta määrus (EÜ, Euratom) nr 480/2009 välistegevuse tagatisfondi asutamise kohta (kodifitseeritud versioon) (edaspidi „tagatisfondi määrus“) (ELT L 145, 10.6.2009, lk 10).</w:t>
      </w:r>
    </w:p>
  </w:footnote>
  <w:footnote w:id="4">
    <w:p>
      <w:pPr>
        <w:pStyle w:val="FootnoteText"/>
      </w:pPr>
      <w:r>
        <w:rPr>
          <w:rStyle w:val="FootnoteReference"/>
        </w:rPr>
        <w:footnoteRef/>
      </w:r>
      <w:r>
        <w:t xml:space="preserve"> </w:t>
      </w:r>
      <w:r>
        <w:tab/>
        <w:t>Euroopa Parlamendi ja nõukogu 25. juuni 2015. aasta määrus (EL) 2015/1017, mis käsitleb Euroopa Strateegiliste Investeeringute Fondi, Euroopa investeerimisnõustamise keskust ja Euroopa investeerimisprojektide portaali ning millega muudetakse määrusi (EL) nr 1291/2013 ja (EL) nr 1316/2013 – Euroopa Strateegiliste Investeeringute Fond („EFSI määrus“). ELT L 169, 1.7.2015, lk 1.</w:t>
      </w:r>
    </w:p>
  </w:footnote>
  <w:footnote w:id="5">
    <w:p>
      <w:pPr>
        <w:pStyle w:val="FootnoteText"/>
      </w:pPr>
      <w:r>
        <w:rPr>
          <w:rStyle w:val="FootnoteReference"/>
        </w:rPr>
        <w:footnoteRef/>
      </w:r>
      <w:r>
        <w:tab/>
        <w:t xml:space="preserve">Makromajanduslikku finantsabi võidakse anda ka kolmandatele riikidele suunatud toetuste kujul. </w:t>
      </w:r>
      <w:r>
        <w:rPr>
          <w:color w:val="000000"/>
        </w:rPr>
        <w:t>Õiguslikud alused on loetletud komisjoni talituste töödokumendi tabeli A2b lisas.</w:t>
      </w:r>
    </w:p>
  </w:footnote>
  <w:footnote w:id="6">
    <w:p>
      <w:pPr>
        <w:pStyle w:val="FootnoteText"/>
      </w:pPr>
      <w:r>
        <w:rPr>
          <w:rStyle w:val="FootnoteReference"/>
        </w:rPr>
        <w:footnoteRef/>
      </w:r>
      <w:r>
        <w:tab/>
        <w:t>Nõukogu 18. veebruari 2002. aasta määrus (EÜ) nr 332/2002, millega liikmesriikide maksebilansi toetamiseks luuakse keskmise tähtajaga rahalise abi süsteem (EÜT L 53, 23.2.2002, lk 1).</w:t>
      </w:r>
    </w:p>
  </w:footnote>
  <w:footnote w:id="7">
    <w:p>
      <w:pPr>
        <w:pStyle w:val="FootnoteText"/>
      </w:pPr>
      <w:r>
        <w:rPr>
          <w:rStyle w:val="FootnoteReference"/>
        </w:rPr>
        <w:footnoteRef/>
      </w:r>
      <w:r>
        <w:tab/>
        <w:t>Nõukogu 11. mai 2010. aasta määrus (EL) nr 407/2010, millega luuakse Euroopa finantsstabiilsusmehhanism (ELT L 118, 12.5.2010, lk 1).</w:t>
      </w:r>
    </w:p>
  </w:footnote>
  <w:footnote w:id="8">
    <w:p>
      <w:pPr>
        <w:pStyle w:val="FootnoteText"/>
      </w:pPr>
      <w:r>
        <w:rPr>
          <w:rStyle w:val="FootnoteReference"/>
        </w:rPr>
        <w:footnoteRef/>
      </w:r>
      <w:r>
        <w:tab/>
      </w:r>
      <w:r>
        <w:rPr>
          <w:color w:val="000000"/>
        </w:rPr>
        <w:t>Õiguslikud alused on loetletud komisjoni talituste töödokumendi tabeli A3 lisas.</w:t>
      </w:r>
    </w:p>
  </w:footnote>
  <w:footnote w:id="9">
    <w:p>
      <w:pPr>
        <w:pStyle w:val="FootnoteText"/>
      </w:pPr>
      <w:r>
        <w:rPr>
          <w:rStyle w:val="FootnoteReference"/>
        </w:rPr>
        <w:footnoteRef/>
      </w:r>
      <w:r>
        <w:tab/>
        <w:t xml:space="preserve">Kuigi välisriskid kaetakse lõppkokkuvõttes ELi eelarvest, toimib tagatisfond vahendina, millega kaitstakse ELi eelarvet maksekohustuste täitmata jätmise riski vastu. Viimane aastaaruanne fondi ja selle juhtimise kohta on esitatud 14. septembri 2017. aasta dokumendis COM(2017) 488 final ja juurdekuuluvas komisjoni talituste 14. septembri 2017. aasta töödokumendis SWD(2017) 296 final. 2017. aasta aruanne peaks valmima 2018. aasta juuliks ja see avaldatakse aadressil </w:t>
      </w:r>
      <w:hyperlink r:id="rId1">
        <w:r>
          <w:rPr>
            <w:rStyle w:val="Hyperlink"/>
            <w:noProof/>
            <w:color w:val="auto"/>
          </w:rPr>
          <w:t>http://eur-lex.europa.eu/homepage.html</w:t>
        </w:r>
      </w:hyperlink>
      <w:r>
        <w:t>.</w:t>
      </w:r>
    </w:p>
  </w:footnote>
  <w:footnote w:id="10">
    <w:p>
      <w:pPr>
        <w:pStyle w:val="FootnoteText"/>
      </w:pPr>
      <w:r>
        <w:rPr>
          <w:rStyle w:val="FootnoteReference"/>
        </w:rPr>
        <w:footnoteRef/>
      </w:r>
      <w:r>
        <w:tab/>
        <w:t>Üksikasjalik aruanne fondi toimimise ja vahendite eraldamise sihtmäära kohta on esitatud 8. aprilli 2014. aasta dokumendis COM(2014) 214 final ja sellele lisatud komisjoni talituste töödokumendis SWD(2014) 129 final.</w:t>
      </w:r>
    </w:p>
  </w:footnote>
  <w:footnote w:id="11">
    <w:p>
      <w:pPr>
        <w:pStyle w:val="FootnoteText"/>
      </w:pPr>
      <w:r>
        <w:rPr>
          <w:rStyle w:val="FootnoteReference"/>
        </w:rPr>
        <w:footnoteRef/>
      </w:r>
      <w:r>
        <w:t xml:space="preserve"> </w:t>
      </w:r>
      <w:r>
        <w:tab/>
        <w:t xml:space="preserve">Lisateavet Euroopa Strateegiliste Investeeringute Fondi tagatisfondi kohta saab 16. juuni 2016. aasta dokumendist COM(2017) 326 final. </w:t>
      </w:r>
    </w:p>
  </w:footnote>
  <w:footnote w:id="12">
    <w:p>
      <w:pPr>
        <w:pStyle w:val="FootnoteText"/>
      </w:pPr>
      <w:r>
        <w:rPr>
          <w:rStyle w:val="FootnoteReference"/>
        </w:rPr>
        <w:footnoteRef/>
      </w:r>
      <w:r>
        <w:t xml:space="preserve"> </w:t>
      </w:r>
      <w:r>
        <w:tab/>
        <w:t xml:space="preserve">Euroopa Parlamendi ja nõukogu 25. juuni 2015. aasta määrus (EL) 2015/1017, mis käsitleb Euroopa Strateegiliste Investeeringute Fondi, Euroopa investeerimisnõustamise keskust ja Euroopa investeerimisprojektide portaali ning millega muudetakse määrusi (EL) nr 1291/2013 ja (EL) nr 1316/2013 – Euroopa Strateegiliste Investeeringute Fond („EFSI määrus“). Euroopa Komisjon ja Euroopa Investeerimispank (edaspidi „EIP“) kirjutasid lepingule EFSI haldamise ja ELi tagatise andmise kohta (edaspidi „EFSI leping“) alla 22. juulil 2015. Selle lepingu muudatus allkirjastati 21. juulil 2016. </w:t>
      </w:r>
    </w:p>
  </w:footnote>
  <w:footnote w:id="13">
    <w:p>
      <w:pPr>
        <w:pStyle w:val="FootnoteText"/>
        <w:jc w:val="left"/>
      </w:pPr>
      <w:r>
        <w:rPr>
          <w:rStyle w:val="FootnoteReference"/>
        </w:rPr>
        <w:footnoteRef/>
      </w:r>
      <w:r>
        <w:tab/>
      </w:r>
      <w:r>
        <w:rPr>
          <w:color w:val="000000"/>
        </w:rPr>
        <w:t>Teave Kreeka laenulepingu kohta</w:t>
      </w:r>
      <w:r>
        <w:t>: http://ec.europa.eu/economy_finance/assistance_eu_ms/greek_loan_facility/index_en.htm.</w:t>
      </w:r>
    </w:p>
  </w:footnote>
  <w:footnote w:id="14">
    <w:p>
      <w:pPr>
        <w:pStyle w:val="FootnoteText"/>
        <w:rPr>
          <w:color w:val="000000"/>
        </w:rPr>
      </w:pPr>
      <w:r>
        <w:rPr>
          <w:rStyle w:val="FootnoteReference"/>
        </w:rPr>
        <w:footnoteRef/>
      </w:r>
      <w:r>
        <w:tab/>
      </w:r>
      <w:hyperlink r:id="rId2">
        <w:r>
          <w:rPr>
            <w:rStyle w:val="Hyperlink"/>
            <w:color w:val="auto"/>
            <w:u w:val="none"/>
          </w:rPr>
          <w:t>Teave EFSFi kohta</w:t>
        </w:r>
      </w:hyperlink>
      <w:r>
        <w:t>:</w:t>
      </w:r>
      <w:r>
        <w:rPr>
          <w:color w:val="000000"/>
        </w:rPr>
        <w:t xml:space="preserve"> http://www.efsf.europa.eu.</w:t>
      </w:r>
    </w:p>
  </w:footnote>
  <w:footnote w:id="15">
    <w:p>
      <w:pPr>
        <w:pStyle w:val="FootnoteText"/>
      </w:pPr>
      <w:r>
        <w:rPr>
          <w:rStyle w:val="FootnoteReference"/>
        </w:rPr>
        <w:footnoteRef/>
      </w:r>
      <w:r>
        <w:tab/>
        <w:t>ELi/EFSMi kaudu antavad laenud on tagatud ELi eelarvega.</w:t>
      </w:r>
    </w:p>
  </w:footnote>
  <w:footnote w:id="16">
    <w:p>
      <w:pPr>
        <w:pStyle w:val="FootnoteText"/>
      </w:pPr>
      <w:r>
        <w:rPr>
          <w:rStyle w:val="FootnoteReference"/>
        </w:rPr>
        <w:footnoteRef/>
      </w:r>
      <w:r>
        <w:tab/>
        <w:t xml:space="preserve">Teave ESMi kohta: </w:t>
      </w:r>
      <w:hyperlink r:id="rId3">
        <w:r>
          <w:rPr>
            <w:rStyle w:val="Hyperlink"/>
          </w:rPr>
          <w:t>http://esm.europa.eu</w:t>
        </w:r>
      </w:hyperlink>
      <w:r>
        <w:t>.</w:t>
      </w:r>
    </w:p>
  </w:footnote>
  <w:footnote w:id="17">
    <w:p>
      <w:pPr>
        <w:pStyle w:val="FootnoteText"/>
        <w:jc w:val="left"/>
      </w:pPr>
      <w:r>
        <w:rPr>
          <w:rStyle w:val="FootnoteReference"/>
        </w:rPr>
        <w:footnoteRef/>
      </w:r>
      <w:r>
        <w:tab/>
        <w:t>Vt pressiteade majandus- ja rahandusküsimuste nõukogu 9.–10. mai 2010. aasta erakorralise kohtumise kohta (</w:t>
      </w:r>
      <w:hyperlink r:id="rId4">
        <w:r>
          <w:rPr>
            <w:rStyle w:val="Hyperlink"/>
            <w:color w:val="auto"/>
          </w:rPr>
          <w:t>http://www.consilium.europa.eu/uedocs/cms_data/docs/pressdata/en/ecofin/114324.pdf</w:t>
        </w:r>
      </w:hyperlink>
      <w:r>
        <w:t>).</w:t>
      </w:r>
    </w:p>
  </w:footnote>
  <w:footnote w:id="18">
    <w:p>
      <w:pPr>
        <w:pStyle w:val="FootnoteText"/>
      </w:pPr>
      <w:r>
        <w:rPr>
          <w:rStyle w:val="FootnoteReference"/>
        </w:rPr>
        <w:footnoteRef/>
      </w:r>
      <w:r>
        <w:t xml:space="preserve"> </w:t>
      </w:r>
      <w:r>
        <w:tab/>
        <w:t>Nõukogu 11. mai 2010. aasta määrus (EL) nr 407/2010, millega luuakse Euroopa finantsstabiilsusmehhanism (ELT L 118, 12.5.2010, lk 1).</w:t>
      </w:r>
    </w:p>
  </w:footnote>
  <w:footnote w:id="19">
    <w:p>
      <w:pPr>
        <w:pStyle w:val="FootnoteText"/>
      </w:pPr>
      <w:r>
        <w:rPr>
          <w:rStyle w:val="FootnoteReference"/>
        </w:rPr>
        <w:footnoteRef/>
      </w:r>
      <w:r>
        <w:tab/>
        <w:t>Nõukogu 7. detsembri 2011. aasta rakendusotsus 2011/77/EL Iirimaale liidu finantsabi andmise kohta (ELT L 30, 4.2.2011, lk 348).</w:t>
      </w:r>
    </w:p>
  </w:footnote>
  <w:footnote w:id="20">
    <w:p>
      <w:pPr>
        <w:pStyle w:val="FootnoteText"/>
      </w:pPr>
      <w:r>
        <w:rPr>
          <w:rStyle w:val="FootnoteReference"/>
        </w:rPr>
        <w:footnoteRef/>
      </w:r>
      <w:r>
        <w:tab/>
        <w:t>Nõukogu 17. mai 2011. aasta rakendusotsus 2011/344/EL Portugalile liidu finantsabi andmise kohta (ELT L 159, 17.6.2011, lk 88); vt ka parandus (ELT L 178, 10.7.2012, lk 15).</w:t>
      </w:r>
    </w:p>
  </w:footnote>
  <w:footnote w:id="21">
    <w:p>
      <w:pPr>
        <w:pStyle w:val="FootnoteText"/>
      </w:pPr>
      <w:r>
        <w:rPr>
          <w:rStyle w:val="FootnoteReference"/>
        </w:rPr>
        <w:footnoteRef/>
      </w:r>
      <w:r>
        <w:tab/>
        <w:t>EFSMi kohta lisateabe saamiseks vt komisjoni aruanne Euroopa Liidu 2016. aasta laenutehingute kohta (COM(2016) 387 final). 2016. aasta aruanne peaks valmima 2017. aasta oktoobriks ja sellega saab tutvuda aadressil http://eur-lex.europa.eu/homepage.html.</w:t>
      </w:r>
    </w:p>
  </w:footnote>
  <w:footnote w:id="22">
    <w:p>
      <w:pPr>
        <w:pStyle w:val="FootnoteText"/>
      </w:pPr>
      <w:r>
        <w:rPr>
          <w:rStyle w:val="FootnoteReference"/>
        </w:rPr>
        <w:footnoteRef/>
      </w:r>
      <w:r>
        <w:t xml:space="preserve"> </w:t>
      </w:r>
      <w:r>
        <w:tab/>
        <w:t>Euroopa Parlamendi ja nõukogu 22. oktoobri 2013. aasta otsus nr 1025/2013/EL makromajandusliku finantsabi andmise kohta Kirgiisi Vabariigile (ELT L 283, 25.10.2013, lk 1).</w:t>
      </w:r>
    </w:p>
  </w:footnote>
  <w:footnote w:id="23">
    <w:p>
      <w:pPr>
        <w:pStyle w:val="FootnoteText"/>
      </w:pPr>
      <w:r>
        <w:rPr>
          <w:rStyle w:val="FootnoteReference"/>
        </w:rPr>
        <w:footnoteRef/>
      </w:r>
      <w:r>
        <w:tab/>
        <w:t>Euroopa Parlamendi ja nõukogu 6. juuli 2016. aasta otsus (EL) 2016/1112 täiendava makromajandusliku finantsabi andmise kohta Tuneesiale (ELT L 186, 9.7.2016, lk 1).</w:t>
      </w:r>
    </w:p>
  </w:footnote>
  <w:footnote w:id="24">
    <w:p>
      <w:pPr>
        <w:pStyle w:val="FootnoteText"/>
      </w:pPr>
      <w:r>
        <w:rPr>
          <w:rStyle w:val="FootnoteReference"/>
        </w:rPr>
        <w:footnoteRef/>
      </w:r>
      <w:r>
        <w:tab/>
        <w:t>Euroopa Parlamendi ja nõukogu 14. detsembri 2016. aasta otsus (EL) 2016/2371 täiendava makromajandusliku finantsabi andmise kohta Jordaania Hašimiidi Kuningriigile (ELT L 352, 23.12.2016, lk 18).</w:t>
      </w:r>
    </w:p>
  </w:footnote>
  <w:footnote w:id="25">
    <w:p>
      <w:pPr>
        <w:pStyle w:val="FootnoteText"/>
      </w:pPr>
      <w:r>
        <w:rPr>
          <w:rStyle w:val="FootnoteReference"/>
        </w:rPr>
        <w:footnoteRef/>
      </w:r>
      <w:r>
        <w:tab/>
        <w:t>Euroopa Parlamendi ja nõukogu 15. aprilli 2015. aasta otsus (EL) 2015/601, mis käsitleb Ukrainale makromajandusliku finantsabi andmist (ELT L 100, 17.4.2015, lk 1).</w:t>
      </w:r>
    </w:p>
  </w:footnote>
  <w:footnote w:id="26">
    <w:p>
      <w:pPr>
        <w:pStyle w:val="FootnoteText"/>
      </w:pPr>
      <w:r>
        <w:rPr>
          <w:rStyle w:val="FootnoteReference"/>
        </w:rPr>
        <w:footnoteRef/>
      </w:r>
      <w:r>
        <w:tab/>
        <w:t>Vt aruande tabel 1.</w:t>
      </w:r>
    </w:p>
  </w:footnote>
  <w:footnote w:id="27">
    <w:p>
      <w:pPr>
        <w:pStyle w:val="FootnoteText"/>
      </w:pPr>
      <w:r>
        <w:rPr>
          <w:rStyle w:val="FootnoteReference"/>
        </w:rPr>
        <w:footnoteRef/>
      </w:r>
      <w:r>
        <w:tab/>
        <w:t>Arvutamisel eeldatakse, et tagasimaksmata laene ei nõuta tagasi kiirendatud korras, st arvesse võetakse üksnes tasumisele kuuluvaid makseid (vt aruande tabelid 2 ja 3 ning komisjoni talituste töödokumendi tabel A4).</w:t>
      </w:r>
    </w:p>
  </w:footnote>
  <w:footnote w:id="28">
    <w:p>
      <w:pPr>
        <w:pStyle w:val="FootnoteText"/>
      </w:pPr>
      <w:r>
        <w:rPr>
          <w:rStyle w:val="FootnoteReference"/>
        </w:rPr>
        <w:footnoteRef/>
      </w:r>
      <w:r>
        <w:t xml:space="preserve"> </w:t>
      </w:r>
      <w:r>
        <w:tab/>
        <w:t>Vt tabel 1.</w:t>
      </w:r>
    </w:p>
  </w:footnote>
  <w:footnote w:id="29">
    <w:p>
      <w:pPr>
        <w:pStyle w:val="FootnoteText"/>
      </w:pPr>
      <w:r>
        <w:rPr>
          <w:rStyle w:val="FootnoteReference"/>
        </w:rPr>
        <w:footnoteRef/>
      </w:r>
      <w:r>
        <w:tab/>
      </w:r>
      <w:r>
        <w:rPr>
          <w:color w:val="000000"/>
        </w:rPr>
        <w:t>Nõukogu 26. mai 2014. aasta määruse (EL, Euratom) nr 609/2014 (meetodite ja menetluse kohta, millega tehakse kättesaadavaks traditsioonilised, käibemaksupõhised ja kogurahvatulul põhinevad omavahendid, ning muude sularahavajaduste rahuldamiseks vajalike meetmete kohta (ELT L 168, 7.6.2014, lk 39)) artikkel 14.</w:t>
      </w:r>
    </w:p>
  </w:footnote>
  <w:footnote w:id="30">
    <w:p>
      <w:pPr>
        <w:pStyle w:val="FootnoteText"/>
      </w:pPr>
      <w:r>
        <w:rPr>
          <w:rStyle w:val="FootnoteReference"/>
        </w:rPr>
        <w:footnoteRef/>
      </w:r>
      <w:r>
        <w:tab/>
      </w:r>
      <w:r>
        <w:rPr>
          <w:color w:val="000000"/>
        </w:rPr>
        <w:t>Vt Euroopa Parlamendi ja nõukogu 16. aprilli 2014. aasta otsuse nr 466/2014/EL (millega antakse Euroopa Investeerimispangale ELi tagatis liiduväliste investeerimisprojektide toetamiseks sõlmitud finantseerimistehingutest tekkida võiva kahjumi puhuks) artikli 8 lõige 7.</w:t>
      </w:r>
    </w:p>
  </w:footnote>
  <w:footnote w:id="31">
    <w:p>
      <w:pPr>
        <w:pStyle w:val="FootnoteText"/>
      </w:pPr>
      <w:r>
        <w:rPr>
          <w:rStyle w:val="FootnoteReference"/>
        </w:rPr>
        <w:footnoteRef/>
      </w:r>
      <w:r>
        <w:tab/>
      </w:r>
      <w:r>
        <w:rPr>
          <w:color w:val="000000"/>
        </w:rPr>
        <w:t>Sissenõudmismenetluse kohta lisateabe saamiseks vt ka 25. juulil 2014 allakirjutatud Euroopa Liidu ja Euroopa Investeerimispanga kokkulepet sissenõudmiste kohta. Kokkuleppega on ette nähtud EIP-le antud tagatise alusel ELi poolt liiduväliste investeerimisprojektide toetamiseks sõlmitud finantseerimistehingutest tekkida võiva kahjumi katmiseks tehtud maksete sissenõudmise kord.</w:t>
      </w:r>
    </w:p>
  </w:footnote>
  <w:footnote w:id="32">
    <w:p>
      <w:pPr>
        <w:pStyle w:val="FootnoteText"/>
      </w:pPr>
      <w:r>
        <w:rPr>
          <w:rStyle w:val="FootnoteReference"/>
        </w:rPr>
        <w:footnoteRef/>
      </w:r>
      <w:r>
        <w:t xml:space="preserve"> </w:t>
      </w:r>
      <w:r>
        <w:tab/>
        <w:t>Trahvid ja kogunenud intressid nõuab EIP sisse alles iga laenu teise maksetaotlusega ning need kogunevad alates kohustuste täitmata jätmise kuupäevast kuni päevani, mil tagatisfond need tasub.</w:t>
      </w:r>
    </w:p>
  </w:footnote>
  <w:footnote w:id="33">
    <w:p>
      <w:pPr>
        <w:pStyle w:val="FootnoteText"/>
      </w:pPr>
      <w:r>
        <w:rPr>
          <w:rStyle w:val="FootnoteReference"/>
        </w:rPr>
        <w:footnoteRef/>
      </w:r>
      <w:r>
        <w:t xml:space="preserve"> </w:t>
      </w:r>
      <w:r>
        <w:tab/>
        <w:t>See summa hõlmab 304,43 miljonit eurot (põhisumma + intress), mille EIP on juba sisse nõudnud.</w:t>
      </w:r>
    </w:p>
  </w:footnote>
  <w:footnote w:id="34">
    <w:p>
      <w:pPr>
        <w:pStyle w:val="FootnoteText"/>
      </w:pPr>
      <w:r>
        <w:rPr>
          <w:rStyle w:val="FootnoteReference"/>
        </w:rPr>
        <w:footnoteRef/>
      </w:r>
      <w:r>
        <w:t xml:space="preserve"> </w:t>
      </w:r>
      <w:r>
        <w:tab/>
        <w:t>See summa hõlmab 4,56 miljonit eurot (sealhulgas intress), mille EIP on juba sisse nõudnud.</w:t>
      </w:r>
    </w:p>
  </w:footnote>
  <w:footnote w:id="35">
    <w:p>
      <w:pPr>
        <w:pStyle w:val="FootnoteText"/>
      </w:pPr>
      <w:r>
        <w:rPr>
          <w:rStyle w:val="FootnoteReference"/>
        </w:rPr>
        <w:footnoteRef/>
      </w:r>
      <w:r>
        <w:tab/>
        <w:t>Fondi vara kokku miinus kogunenud maksekohustused (EIP tasud ja audititasud).</w:t>
      </w:r>
    </w:p>
  </w:footnote>
  <w:footnote w:id="36">
    <w:p>
      <w:pPr>
        <w:pStyle w:val="FootnoteText"/>
      </w:pPr>
      <w:r>
        <w:rPr>
          <w:rStyle w:val="FootnoteReference"/>
        </w:rPr>
        <w:footnoteRef/>
      </w:r>
      <w:r>
        <w:tab/>
        <w:t>K.a kogunenud intressid.</w:t>
      </w:r>
    </w:p>
  </w:footnote>
  <w:footnote w:id="37">
    <w:p>
      <w:pPr>
        <w:pStyle w:val="FootnoteText"/>
      </w:pPr>
      <w:r>
        <w:rPr>
          <w:rStyle w:val="FootnoteReference"/>
        </w:rPr>
        <w:footnoteRef/>
      </w:r>
      <w:r>
        <w:t xml:space="preserve"> </w:t>
      </w:r>
      <w:r>
        <w:tab/>
        <w:t>Euroopa Parlamendi ja nõukogu 25. juuni 2015. aasta määrus (EL) 2015/1017, mis käsitleb Euroopa Strateegiliste Investeeringute Fondi, Euroopa investeerimisnõustamise keskust ja Euroopa investeerimisprojektide portaali ning millega muudetakse määrusi (EL) nr 1291/2013 ja (EL) nr 1316/2013 – Euroopa Strateegiliste Investeeringute Fond („EFSI määrus“). ELT L 169, 1.7.2015, lk 1.</w:t>
      </w:r>
    </w:p>
  </w:footnote>
  <w:footnote w:id="38">
    <w:p>
      <w:pPr>
        <w:pStyle w:val="FootnoteText"/>
      </w:pPr>
      <w:r>
        <w:rPr>
          <w:rStyle w:val="FootnoteReference"/>
        </w:rPr>
        <w:footnoteRef/>
      </w:r>
      <w:r>
        <w:t xml:space="preserve"> </w:t>
      </w:r>
      <w:r>
        <w:tab/>
        <w:t>Mikro-, väikesed ja keskmise suurusega ettevõtted (VKE).</w:t>
      </w:r>
    </w:p>
  </w:footnote>
  <w:footnote w:id="39">
    <w:p>
      <w:pPr>
        <w:pStyle w:val="FootnoteText"/>
      </w:pPr>
      <w:r>
        <w:rPr>
          <w:rStyle w:val="FootnoteReference"/>
        </w:rPr>
        <w:footnoteRef/>
      </w:r>
      <w:r>
        <w:t xml:space="preserve"> </w:t>
      </w:r>
      <w:r>
        <w:tab/>
        <w:t>2016. aasta lõpus olid infrastruktuuri ja innovatsiooni programmi portfelli ELi tagatisega tagatud (väljamakstud ja väljamaksmata) nõuete maht 13,38 miljardit eurot, millest 12,84 miljardit eurot oli seotud võlatehingutega ja 0,54 miljardit omakapitaliga seotud tehingutega. Kuna ELi tagatis on antud portfelli esimese järjekoha kahjust tuleneva riski osa tagatisena, oli infrastruktuuri ja innovatsiooni programmist ELi eelarvele tulenev potentsiaalse kahju maksimumäär 10,6 miljardit eurot.</w:t>
      </w:r>
    </w:p>
  </w:footnote>
  <w:footnote w:id="40">
    <w:p>
      <w:pPr>
        <w:pStyle w:val="FootnoteText"/>
      </w:pPr>
      <w:r>
        <w:rPr>
          <w:rStyle w:val="FootnoteReference"/>
        </w:rPr>
        <w:footnoteRef/>
      </w:r>
      <w:r>
        <w:t xml:space="preserve"> </w:t>
      </w:r>
      <w:r>
        <w:tab/>
        <w:t>Sõlmitud lepingute koguarvu ja allkirjastatud kohustuste vaheline erinevus sõltub mitmest tegurist, näiteks sellest, et allkirjastatud kohustuste puhul ei võeta arvesse EIP osa omakapitaliga seotud tehingutes, või tagasimaksetest ja kohaldatud vahetuskursist tulenevatest erinevustest.</w:t>
      </w:r>
    </w:p>
  </w:footnote>
  <w:footnote w:id="41">
    <w:p>
      <w:pPr>
        <w:pStyle w:val="FootnoteText"/>
      </w:pPr>
      <w:r>
        <w:rPr>
          <w:rStyle w:val="FootnoteReference"/>
        </w:rPr>
        <w:footnoteRef/>
      </w:r>
      <w:r>
        <w:t xml:space="preserve"> </w:t>
      </w:r>
      <w:r>
        <w:tab/>
        <w:t>16. juuni 2017. aasta aruanne COM(2017) 326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13E000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350FB1"/>
    <w:multiLevelType w:val="multilevel"/>
    <w:tmpl w:val="30847FD6"/>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5E43525"/>
    <w:multiLevelType w:val="multilevel"/>
    <w:tmpl w:val="76202BFE"/>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4">
    <w:nsid w:val="1CD71CE5"/>
    <w:multiLevelType w:val="hybridMultilevel"/>
    <w:tmpl w:val="5D9A37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4E930D7"/>
    <w:multiLevelType w:val="multilevel"/>
    <w:tmpl w:val="EFD2E05E"/>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
    <w:nsid w:val="378B083A"/>
    <w:multiLevelType w:val="hybridMultilevel"/>
    <w:tmpl w:val="724C6F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9">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1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1">
    <w:nsid w:val="3E191884"/>
    <w:multiLevelType w:val="singleLevel"/>
    <w:tmpl w:val="3020C764"/>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2">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nsid w:val="473508AF"/>
    <w:multiLevelType w:val="hybridMultilevel"/>
    <w:tmpl w:val="863C4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49795E82"/>
    <w:multiLevelType w:val="hybridMultilevel"/>
    <w:tmpl w:val="35E044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30FD0"/>
    <w:multiLevelType w:val="hybridMultilevel"/>
    <w:tmpl w:val="B3E02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9">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nsid w:val="5B4A68BD"/>
    <w:multiLevelType w:val="multilevel"/>
    <w:tmpl w:val="141CFBD6"/>
    <w:lvl w:ilvl="0">
      <w:start w:val="1"/>
      <w:numFmt w:val="bullet"/>
      <w:pStyle w:val="DBulletsgelb1"/>
      <w:lvlText w:val=""/>
      <w:lvlJc w:val="left"/>
      <w:pPr>
        <w:ind w:left="530" w:hanging="360"/>
      </w:pPr>
      <w:rPr>
        <w:rFonts w:ascii="Symbol" w:hAnsi="Symbol" w:hint="default"/>
        <w:color w:val="auto"/>
        <w:sz w:val="19"/>
        <w:szCs w:val="18"/>
      </w:rPr>
    </w:lvl>
    <w:lvl w:ilvl="1">
      <w:start w:val="1"/>
      <w:numFmt w:val="bullet"/>
      <w:pStyle w:val="BBullets2"/>
      <w:lvlText w:val="o"/>
      <w:lvlJc w:val="left"/>
      <w:pPr>
        <w:tabs>
          <w:tab w:val="num" w:pos="709"/>
        </w:tabs>
        <w:ind w:left="709" w:hanging="284"/>
      </w:pPr>
      <w:rPr>
        <w:rFonts w:ascii="Symbol" w:hAnsi="Symbol" w:hint="default"/>
        <w:sz w:val="16"/>
      </w:rPr>
    </w:lvl>
    <w:lvl w:ilvl="2">
      <w:start w:val="1"/>
      <w:numFmt w:val="bullet"/>
      <w:lvlText w:val=""/>
      <w:lvlJc w:val="left"/>
      <w:pPr>
        <w:tabs>
          <w:tab w:val="num" w:pos="1990"/>
        </w:tabs>
        <w:ind w:left="1990" w:hanging="360"/>
      </w:pPr>
      <w:rPr>
        <w:rFonts w:ascii="Wingdings" w:hAnsi="Wingdings" w:hint="default"/>
      </w:rPr>
    </w:lvl>
    <w:lvl w:ilvl="3">
      <w:start w:val="1"/>
      <w:numFmt w:val="bullet"/>
      <w:lvlText w:val=""/>
      <w:lvlJc w:val="left"/>
      <w:pPr>
        <w:tabs>
          <w:tab w:val="num" w:pos="2710"/>
        </w:tabs>
        <w:ind w:left="2710" w:hanging="360"/>
      </w:pPr>
      <w:rPr>
        <w:rFonts w:ascii="Symbol" w:hAnsi="Symbol" w:hint="default"/>
      </w:rPr>
    </w:lvl>
    <w:lvl w:ilvl="4">
      <w:start w:val="1"/>
      <w:numFmt w:val="bullet"/>
      <w:lvlText w:val="o"/>
      <w:lvlJc w:val="left"/>
      <w:pPr>
        <w:tabs>
          <w:tab w:val="num" w:pos="3430"/>
        </w:tabs>
        <w:ind w:left="3430" w:hanging="360"/>
      </w:pPr>
      <w:rPr>
        <w:rFonts w:ascii="Courier New" w:hAnsi="Courier New" w:cs="Courier New" w:hint="default"/>
      </w:rPr>
    </w:lvl>
    <w:lvl w:ilvl="5">
      <w:start w:val="1"/>
      <w:numFmt w:val="bullet"/>
      <w:lvlText w:val=""/>
      <w:lvlJc w:val="left"/>
      <w:pPr>
        <w:tabs>
          <w:tab w:val="num" w:pos="4150"/>
        </w:tabs>
        <w:ind w:left="4150" w:hanging="360"/>
      </w:pPr>
      <w:rPr>
        <w:rFonts w:ascii="Wingdings" w:hAnsi="Wingdings" w:hint="default"/>
      </w:rPr>
    </w:lvl>
    <w:lvl w:ilvl="6">
      <w:start w:val="1"/>
      <w:numFmt w:val="bullet"/>
      <w:lvlText w:val=""/>
      <w:lvlJc w:val="left"/>
      <w:pPr>
        <w:tabs>
          <w:tab w:val="num" w:pos="4870"/>
        </w:tabs>
        <w:ind w:left="4870" w:hanging="360"/>
      </w:pPr>
      <w:rPr>
        <w:rFonts w:ascii="Symbol" w:hAnsi="Symbol" w:hint="default"/>
      </w:rPr>
    </w:lvl>
    <w:lvl w:ilvl="7">
      <w:start w:val="1"/>
      <w:numFmt w:val="bullet"/>
      <w:lvlText w:val="o"/>
      <w:lvlJc w:val="left"/>
      <w:pPr>
        <w:tabs>
          <w:tab w:val="num" w:pos="5590"/>
        </w:tabs>
        <w:ind w:left="5590" w:hanging="360"/>
      </w:pPr>
      <w:rPr>
        <w:rFonts w:ascii="Courier New" w:hAnsi="Courier New" w:cs="Courier New" w:hint="default"/>
      </w:rPr>
    </w:lvl>
    <w:lvl w:ilvl="8">
      <w:start w:val="1"/>
      <w:numFmt w:val="bullet"/>
      <w:lvlText w:val=""/>
      <w:lvlJc w:val="left"/>
      <w:pPr>
        <w:tabs>
          <w:tab w:val="num" w:pos="6310"/>
        </w:tabs>
        <w:ind w:left="6310" w:hanging="360"/>
      </w:pPr>
      <w:rPr>
        <w:rFonts w:ascii="Wingdings" w:hAnsi="Wingdings" w:hint="default"/>
      </w:rPr>
    </w:lvl>
  </w:abstractNum>
  <w:abstractNum w:abstractNumId="21">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25">
    <w:nsid w:val="62A8042C"/>
    <w:multiLevelType w:val="singleLevel"/>
    <w:tmpl w:val="CCF20C06"/>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6">
    <w:nsid w:val="67671EEF"/>
    <w:multiLevelType w:val="singleLevel"/>
    <w:tmpl w:val="249CEA72"/>
    <w:lvl w:ilvl="0">
      <w:start w:val="1"/>
      <w:numFmt w:val="bullet"/>
      <w:lvlText w:val="–"/>
      <w:lvlJc w:val="left"/>
      <w:pPr>
        <w:tabs>
          <w:tab w:val="num" w:pos="765"/>
        </w:tabs>
        <w:ind w:left="765" w:hanging="283"/>
      </w:pPr>
      <w:rPr>
        <w:rFonts w:ascii="Times New Roman" w:hAnsi="Times New Roman"/>
      </w:rPr>
    </w:lvl>
  </w:abstractNum>
  <w:abstractNum w:abstractNumId="27">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28">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9">
    <w:nsid w:val="6D1471E6"/>
    <w:multiLevelType w:val="hybridMultilevel"/>
    <w:tmpl w:val="9544FB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D2B5511"/>
    <w:multiLevelType w:val="singleLevel"/>
    <w:tmpl w:val="74A09970"/>
    <w:name w:val="List Bullet 1"/>
    <w:lvl w:ilvl="0">
      <w:start w:val="1"/>
      <w:numFmt w:val="bullet"/>
      <w:lvlRestart w:val="0"/>
      <w:lvlText w:val=""/>
      <w:lvlJc w:val="left"/>
      <w:pPr>
        <w:tabs>
          <w:tab w:val="num" w:pos="283"/>
        </w:tabs>
        <w:ind w:left="283" w:hanging="283"/>
      </w:pPr>
      <w:rPr>
        <w:rFonts w:ascii="Symbol" w:hAnsi="Symbol" w:hint="default"/>
      </w:rPr>
    </w:lvl>
  </w:abstractNum>
  <w:abstractNum w:abstractNumId="31">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8A241BD"/>
    <w:multiLevelType w:val="singleLevel"/>
    <w:tmpl w:val="53C4DF32"/>
    <w:name w:val="NumPar"/>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4">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6">
    <w:nsid w:val="7D8820A0"/>
    <w:multiLevelType w:val="singleLevel"/>
    <w:tmpl w:val="54F6C7B4"/>
    <w:name w:val="Heading"/>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37">
    <w:nsid w:val="7F7154E1"/>
    <w:multiLevelType w:val="singleLevel"/>
    <w:tmpl w:val="E3F6D2C6"/>
    <w:name w:val="List Dash 4"/>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16"/>
  </w:num>
  <w:num w:numId="2">
    <w:abstractNumId w:val="6"/>
  </w:num>
  <w:num w:numId="3">
    <w:abstractNumId w:val="23"/>
  </w:num>
  <w:num w:numId="4">
    <w:abstractNumId w:val="21"/>
  </w:num>
  <w:num w:numId="5">
    <w:abstractNumId w:val="14"/>
  </w:num>
  <w:num w:numId="6">
    <w:abstractNumId w:val="27"/>
  </w:num>
  <w:num w:numId="7">
    <w:abstractNumId w:val="32"/>
  </w:num>
  <w:num w:numId="8">
    <w:abstractNumId w:val="32"/>
  </w:num>
  <w:num w:numId="9">
    <w:abstractNumId w:val="31"/>
  </w:num>
  <w:num w:numId="10">
    <w:abstractNumId w:val="35"/>
  </w:num>
  <w:num w:numId="11">
    <w:abstractNumId w:val="9"/>
  </w:num>
  <w:num w:numId="12">
    <w:abstractNumId w:val="8"/>
  </w:num>
  <w:num w:numId="13">
    <w:abstractNumId w:val="24"/>
  </w:num>
  <w:num w:numId="14">
    <w:abstractNumId w:val="10"/>
  </w:num>
  <w:num w:numId="15">
    <w:abstractNumId w:val="18"/>
  </w:num>
  <w:num w:numId="16">
    <w:abstractNumId w:val="22"/>
  </w:num>
  <w:num w:numId="17">
    <w:abstractNumId w:val="34"/>
  </w:num>
  <w:num w:numId="18">
    <w:abstractNumId w:val="5"/>
  </w:num>
  <w:num w:numId="19">
    <w:abstractNumId w:val="2"/>
  </w:num>
  <w:num w:numId="20">
    <w:abstractNumId w:val="1"/>
  </w:num>
  <w:num w:numId="21">
    <w:abstractNumId w:val="28"/>
  </w:num>
  <w:num w:numId="22">
    <w:abstractNumId w:val="3"/>
  </w:num>
  <w:num w:numId="23">
    <w:abstractNumId w:val="11"/>
  </w:num>
  <w:num w:numId="24">
    <w:abstractNumId w:val="37"/>
  </w:num>
  <w:num w:numId="25">
    <w:abstractNumId w:val="12"/>
  </w:num>
  <w:num w:numId="26">
    <w:abstractNumId w:val="25"/>
  </w:num>
  <w:num w:numId="27">
    <w:abstractNumId w:val="19"/>
  </w:num>
  <w:num w:numId="28">
    <w:abstractNumId w:val="33"/>
  </w:num>
  <w:num w:numId="29">
    <w:abstractNumId w:val="36"/>
  </w:num>
  <w:num w:numId="30">
    <w:abstractNumId w:val="0"/>
  </w:num>
  <w:num w:numId="31">
    <w:abstractNumId w:val="32"/>
  </w:num>
  <w:num w:numId="32">
    <w:abstractNumId w:val="32"/>
  </w:num>
  <w:num w:numId="33">
    <w:abstractNumId w:val="20"/>
  </w:num>
  <w:num w:numId="34">
    <w:abstractNumId w:val="26"/>
  </w:num>
  <w:num w:numId="35">
    <w:abstractNumId w:val="13"/>
  </w:num>
  <w:num w:numId="36">
    <w:abstractNumId w:val="17"/>
  </w:num>
  <w:num w:numId="37">
    <w:abstractNumId w:val="15"/>
  </w:num>
  <w:num w:numId="38">
    <w:abstractNumId w:val="4"/>
  </w:num>
  <w:num w:numId="39">
    <w:abstractNumId w:val="29"/>
  </w:num>
  <w:num w:numId="4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9FDBC06F-8257-4BEB-94CB-734CAED6ABA8"/>
    <w:docVar w:name="LW_COVERPAGE_TYPE" w:val="1"/>
    <w:docVar w:name="LW_CROSSREFERENCE" w:val="{SWD(2017) 435 final}"/>
    <w:docVar w:name="LW_DocType" w:val="NORMAL"/>
    <w:docVar w:name="LW_EMISSION" w:val="1.12.2017"/>
    <w:docVar w:name="LW_EMISSION_ISODATE" w:val="2017-12-01"/>
    <w:docVar w:name="LW_EMISSION_LOCATION" w:val="BRX"/>
    <w:docVar w:name="LW_EMISSION_PREFIX" w:val="Brüssel,"/>
    <w:docVar w:name="LW_EMISSION_SUFFIX" w:val="&lt;EMPTY&gt;"/>
    <w:docVar w:name="LW_ID_DOCTYPE_NONLW" w:val="CP-006"/>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17) 7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üldeelarvest kaetud tagatiste kohta_x000b_Olukord 31. detsembri 2016. aasta seisuga"/>
    <w:docVar w:name="LW_TYPE.DOC.CP" w:val="KOMISJONI ARUANNE EUROOPA PARLAMENDILE JA NÕUKOGUL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et-E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numPr>
        <w:numId w:val="8"/>
      </w:numPr>
      <w:spacing w:before="360"/>
      <w:outlineLvl w:val="0"/>
    </w:pPr>
    <w:rPr>
      <w:b/>
      <w:bCs/>
      <w:smallCaps/>
      <w:szCs w:val="32"/>
    </w:rPr>
  </w:style>
  <w:style w:type="paragraph" w:styleId="Heading2">
    <w:name w:val="heading 2"/>
    <w:basedOn w:val="Normal"/>
    <w:next w:val="Normal"/>
    <w:link w:val="Heading2Char"/>
    <w:qFormat/>
    <w:pPr>
      <w:keepNext/>
      <w:outlineLvl w:val="1"/>
    </w:pPr>
    <w:rPr>
      <w:b/>
      <w:bCs/>
      <w:iCs/>
      <w:noProof/>
      <w:szCs w:val="28"/>
    </w:rPr>
  </w:style>
  <w:style w:type="paragraph" w:styleId="Heading3">
    <w:name w:val="heading 3"/>
    <w:basedOn w:val="Normal"/>
    <w:next w:val="Normal"/>
    <w:qFormat/>
    <w:pPr>
      <w:keepNext/>
      <w:numPr>
        <w:ilvl w:val="2"/>
        <w:numId w:val="8"/>
      </w:numPr>
      <w:outlineLvl w:val="2"/>
    </w:pPr>
    <w:rPr>
      <w:bCs/>
      <w:i/>
      <w:szCs w:val="26"/>
    </w:rPr>
  </w:style>
  <w:style w:type="paragraph" w:styleId="Heading4">
    <w:name w:val="heading 4"/>
    <w:basedOn w:val="Normal"/>
    <w:next w:val="Normal"/>
    <w:qFormat/>
    <w:pPr>
      <w:keepNext/>
      <w:numPr>
        <w:ilvl w:val="3"/>
        <w:numId w:val="8"/>
      </w:numPr>
      <w:outlineLvl w:val="3"/>
    </w:pPr>
    <w:rPr>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aliases w:val="BVI fnr"/>
    <w:semiHidden/>
    <w:rPr>
      <w:shd w:val="clear" w:color="auto" w:fill="auto"/>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9"/>
      </w:numPr>
    </w:pPr>
  </w:style>
  <w:style w:type="paragraph" w:customStyle="1" w:styleId="NumPar2">
    <w:name w:val="NumPar 2"/>
    <w:basedOn w:val="Normal"/>
    <w:next w:val="Normal"/>
    <w:pPr>
      <w:numPr>
        <w:ilvl w:val="1"/>
        <w:numId w:val="9"/>
      </w:numPr>
    </w:pPr>
  </w:style>
  <w:style w:type="paragraph" w:customStyle="1" w:styleId="NumPar3">
    <w:name w:val="NumPar 3"/>
    <w:basedOn w:val="Normal"/>
    <w:next w:val="Normal"/>
    <w:pPr>
      <w:numPr>
        <w:ilvl w:val="2"/>
        <w:numId w:val="9"/>
      </w:numPr>
    </w:pPr>
  </w:style>
  <w:style w:type="paragraph" w:customStyle="1" w:styleId="NumPar4">
    <w:name w:val="NumPar 4"/>
    <w:basedOn w:val="Normal"/>
    <w:next w:val="Normal"/>
    <w:pPr>
      <w:numPr>
        <w:ilvl w:val="3"/>
        <w:numId w:val="9"/>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10"/>
      </w:numPr>
    </w:pPr>
  </w:style>
  <w:style w:type="paragraph" w:customStyle="1" w:styleId="Point0number">
    <w:name w:val="Point 0 (number)"/>
    <w:basedOn w:val="Normal"/>
    <w:pPr>
      <w:numPr>
        <w:numId w:val="10"/>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10"/>
      </w:numPr>
    </w:pPr>
  </w:style>
  <w:style w:type="paragraph" w:customStyle="1" w:styleId="Point1number">
    <w:name w:val="Point 1 (number)"/>
    <w:basedOn w:val="Normal"/>
    <w:pPr>
      <w:numPr>
        <w:ilvl w:val="2"/>
        <w:numId w:val="10"/>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10"/>
      </w:numPr>
    </w:pPr>
  </w:style>
  <w:style w:type="paragraph" w:customStyle="1" w:styleId="Point2number">
    <w:name w:val="Point 2 (number)"/>
    <w:basedOn w:val="Normal"/>
    <w:pPr>
      <w:numPr>
        <w:ilvl w:val="4"/>
        <w:numId w:val="10"/>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10"/>
      </w:numPr>
    </w:pPr>
  </w:style>
  <w:style w:type="paragraph" w:customStyle="1" w:styleId="Point3number">
    <w:name w:val="Point 3 (number)"/>
    <w:basedOn w:val="Normal"/>
    <w:pPr>
      <w:numPr>
        <w:ilvl w:val="6"/>
        <w:numId w:val="10"/>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qFormat/>
    <w:pPr>
      <w:tabs>
        <w:tab w:val="right" w:leader="dot" w:pos="9071"/>
      </w:tabs>
      <w:spacing w:before="60"/>
      <w:ind w:left="850" w:hanging="850"/>
      <w:jc w:val="left"/>
    </w:pPr>
  </w:style>
  <w:style w:type="paragraph" w:styleId="TOC2">
    <w:name w:val="toc 2"/>
    <w:basedOn w:val="Normal"/>
    <w:next w:val="Normal"/>
    <w:uiPriority w:val="39"/>
    <w:qFormat/>
    <w:pPr>
      <w:tabs>
        <w:tab w:val="right" w:leader="dot" w:pos="9071"/>
      </w:tabs>
      <w:spacing w:before="60"/>
      <w:ind w:left="850" w:hanging="850"/>
      <w:jc w:val="left"/>
    </w:pPr>
  </w:style>
  <w:style w:type="paragraph" w:styleId="TOC3">
    <w:name w:val="toc 3"/>
    <w:basedOn w:val="Normal"/>
    <w:next w:val="Normal"/>
    <w:uiPriority w:val="39"/>
    <w:qFormat/>
    <w:pPr>
      <w:tabs>
        <w:tab w:val="right" w:leader="dot" w:pos="9071"/>
      </w:tabs>
      <w:spacing w:before="60"/>
      <w:ind w:left="850" w:hanging="850"/>
      <w:jc w:val="left"/>
    </w:pPr>
  </w:style>
  <w:style w:type="paragraph" w:styleId="TOC4">
    <w:name w:val="toc 4"/>
    <w:basedOn w:val="Normal"/>
    <w:next w:val="Normal"/>
    <w:semiHidden/>
    <w:pPr>
      <w:tabs>
        <w:tab w:val="right" w:leader="dot" w:pos="9071"/>
      </w:tabs>
      <w:spacing w:before="60"/>
      <w:ind w:left="850" w:hanging="850"/>
      <w:jc w:val="left"/>
    </w:pPr>
  </w:style>
  <w:style w:type="paragraph" w:styleId="TOC5">
    <w:name w:val="toc 5"/>
    <w:basedOn w:val="Normal"/>
    <w:next w:val="Normal"/>
    <w:semiHidden/>
    <w:pPr>
      <w:tabs>
        <w:tab w:val="right" w:leader="dot" w:pos="9071"/>
      </w:tabs>
      <w:spacing w:before="300"/>
      <w:jc w:val="left"/>
    </w:pPr>
  </w:style>
  <w:style w:type="paragraph" w:styleId="TOC6">
    <w:name w:val="toc 6"/>
    <w:basedOn w:val="Normal"/>
    <w:next w:val="Normal"/>
    <w:semiHidden/>
    <w:pPr>
      <w:tabs>
        <w:tab w:val="right" w:leader="dot" w:pos="9071"/>
      </w:tabs>
      <w:spacing w:before="240"/>
      <w:jc w:val="left"/>
    </w:pPr>
  </w:style>
  <w:style w:type="paragraph" w:styleId="TOC7">
    <w:name w:val="toc 7"/>
    <w:basedOn w:val="Normal"/>
    <w:next w:val="Normal"/>
    <w:semiHidden/>
    <w:pPr>
      <w:tabs>
        <w:tab w:val="right" w:leader="dot" w:pos="9071"/>
      </w:tabs>
      <w:spacing w:before="180"/>
      <w:jc w:val="left"/>
    </w:pPr>
  </w:style>
  <w:style w:type="paragraph" w:styleId="TOC8">
    <w:name w:val="toc 8"/>
    <w:basedOn w:val="Normal"/>
    <w:next w:val="Normal"/>
    <w:semiHidden/>
    <w:pPr>
      <w:tabs>
        <w:tab w:val="right" w:leader="dot" w:pos="9071"/>
      </w:tabs>
      <w:jc w:val="left"/>
    </w:pPr>
  </w:style>
  <w:style w:type="paragraph" w:styleId="TOC9">
    <w:name w:val="toc 9"/>
    <w:basedOn w:val="Normal"/>
    <w:next w:val="Normal"/>
    <w:semiHidden/>
    <w:pPr>
      <w:tabs>
        <w:tab w:val="right" w:leader="dot" w:pos="9071"/>
      </w:tabs>
    </w:pPr>
  </w:style>
  <w:style w:type="paragraph" w:styleId="TOCHeading">
    <w:name w:val="TOC Heading"/>
    <w:basedOn w:val="Normal"/>
    <w:next w:val="Normal"/>
    <w:link w:val="TOCHeadingChar"/>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Funotenzeichen">
    <w:name w:val="Fußnotenzeichen"/>
    <w:rPr>
      <w:rFonts w:cs="Times New Roman"/>
      <w:shd w:val="clear" w:color="auto" w:fill="auto"/>
      <w:vertAlign w:val="superscript"/>
    </w:rPr>
  </w:style>
  <w:style w:type="character" w:styleId="Hyperlink">
    <w:name w:val="Hyperlink"/>
    <w:uiPriority w:val="99"/>
    <w:rPr>
      <w:rFonts w:cs="Times New Roman"/>
      <w:color w:val="0000FF"/>
      <w:u w:val="single"/>
      <w:shd w:val="clear" w:color="auto" w:fill="auto"/>
    </w:rPr>
  </w:style>
  <w:style w:type="character" w:styleId="Emphasis">
    <w:name w:val="Emphasis"/>
    <w:qFormat/>
    <w:rPr>
      <w:rFonts w:cs="Times New Roman"/>
      <w:i/>
      <w:iCs/>
      <w:shd w:val="clear" w:color="auto" w:fill="auto"/>
    </w:rPr>
  </w:style>
  <w:style w:type="paragraph" w:styleId="ListBullet">
    <w:name w:val="List Bullet"/>
    <w:basedOn w:val="Normal"/>
    <w:pPr>
      <w:numPr>
        <w:numId w:val="30"/>
      </w:numPr>
    </w:pPr>
  </w:style>
  <w:style w:type="paragraph" w:styleId="ListNumber">
    <w:name w:val="List Number"/>
    <w:basedOn w:val="Normal"/>
    <w:pPr>
      <w:numPr>
        <w:numId w:val="16"/>
      </w:numPr>
    </w:pPr>
  </w:style>
  <w:style w:type="paragraph" w:customStyle="1" w:styleId="ListDash">
    <w:name w:val="List Dash"/>
    <w:basedOn w:val="Normal"/>
    <w:pPr>
      <w:numPr>
        <w:numId w:val="25"/>
      </w:numPr>
    </w:pPr>
  </w:style>
  <w:style w:type="paragraph" w:customStyle="1" w:styleId="ListNumberLevel2">
    <w:name w:val="List Number (Level 2)"/>
    <w:basedOn w:val="Normal"/>
    <w:pPr>
      <w:numPr>
        <w:ilvl w:val="1"/>
        <w:numId w:val="16"/>
      </w:numPr>
    </w:pPr>
  </w:style>
  <w:style w:type="paragraph" w:customStyle="1" w:styleId="ListNumberLevel3">
    <w:name w:val="List Number (Level 3)"/>
    <w:basedOn w:val="Normal"/>
    <w:pPr>
      <w:numPr>
        <w:ilvl w:val="2"/>
        <w:numId w:val="16"/>
      </w:numPr>
    </w:pPr>
  </w:style>
  <w:style w:type="paragraph" w:customStyle="1" w:styleId="ListNumberLevel4">
    <w:name w:val="List Number (Level 4)"/>
    <w:basedOn w:val="Normal"/>
    <w:pPr>
      <w:numPr>
        <w:ilvl w:val="3"/>
        <w:numId w:val="16"/>
      </w:numPr>
    </w:p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character" w:styleId="CommentReference">
    <w:name w:val="annotation reference"/>
    <w:rPr>
      <w:sz w:val="16"/>
      <w:szCs w:val="16"/>
      <w:shd w:val="clear" w:color="auto" w:fill="aut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shd w:val="clear" w:color="auto" w:fill="auto"/>
      <w:lang w:eastAsia="et-EE"/>
    </w:r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customStyle="1" w:styleId="ListNumber1">
    <w:name w:val="List Number 1"/>
    <w:basedOn w:val="Text1"/>
    <w:pPr>
      <w:numPr>
        <w:numId w:val="17"/>
      </w:numPr>
    </w:pPr>
  </w:style>
  <w:style w:type="paragraph" w:customStyle="1" w:styleId="ListNumber1Level2">
    <w:name w:val="List Number 1 (Level 2)"/>
    <w:basedOn w:val="Text1"/>
    <w:pPr>
      <w:numPr>
        <w:ilvl w:val="1"/>
        <w:numId w:val="17"/>
      </w:numPr>
    </w:pPr>
  </w:style>
  <w:style w:type="paragraph" w:customStyle="1" w:styleId="ListNumber2Level2">
    <w:name w:val="List Number 2 (Level 2)"/>
    <w:basedOn w:val="Text2"/>
    <w:pPr>
      <w:numPr>
        <w:ilvl w:val="1"/>
        <w:numId w:val="18"/>
      </w:numPr>
    </w:pPr>
  </w:style>
  <w:style w:type="paragraph" w:customStyle="1" w:styleId="ListNumber3Level2">
    <w:name w:val="List Number 3 (Level 2)"/>
    <w:basedOn w:val="Text3"/>
    <w:pPr>
      <w:numPr>
        <w:ilvl w:val="1"/>
        <w:numId w:val="19"/>
      </w:numPr>
    </w:pPr>
  </w:style>
  <w:style w:type="paragraph" w:customStyle="1" w:styleId="ListNumber4Level2">
    <w:name w:val="List Number 4 (Level 2)"/>
    <w:basedOn w:val="Text4"/>
    <w:pPr>
      <w:numPr>
        <w:ilvl w:val="1"/>
        <w:numId w:val="20"/>
      </w:numPr>
    </w:pPr>
  </w:style>
  <w:style w:type="paragraph" w:customStyle="1" w:styleId="ListNumber1Level3">
    <w:name w:val="List Number 1 (Level 3)"/>
    <w:basedOn w:val="Text1"/>
    <w:pPr>
      <w:numPr>
        <w:ilvl w:val="2"/>
        <w:numId w:val="17"/>
      </w:numPr>
    </w:pPr>
  </w:style>
  <w:style w:type="paragraph" w:customStyle="1" w:styleId="ListNumber2Level3">
    <w:name w:val="List Number 2 (Level 3)"/>
    <w:basedOn w:val="Text2"/>
    <w:pPr>
      <w:numPr>
        <w:ilvl w:val="2"/>
        <w:numId w:val="18"/>
      </w:numPr>
    </w:pPr>
  </w:style>
  <w:style w:type="paragraph" w:customStyle="1" w:styleId="ListNumber3Level3">
    <w:name w:val="List Number 3 (Level 3)"/>
    <w:basedOn w:val="Text3"/>
    <w:pPr>
      <w:numPr>
        <w:ilvl w:val="2"/>
        <w:numId w:val="19"/>
      </w:numPr>
    </w:pPr>
  </w:style>
  <w:style w:type="paragraph" w:customStyle="1" w:styleId="ListNumber4Level3">
    <w:name w:val="List Number 4 (Level 3)"/>
    <w:basedOn w:val="Text4"/>
    <w:pPr>
      <w:numPr>
        <w:ilvl w:val="2"/>
        <w:numId w:val="20"/>
      </w:numPr>
    </w:pPr>
  </w:style>
  <w:style w:type="paragraph" w:customStyle="1" w:styleId="ListNumber1Level4">
    <w:name w:val="List Number 1 (Level 4)"/>
    <w:basedOn w:val="Text1"/>
    <w:pPr>
      <w:numPr>
        <w:ilvl w:val="3"/>
        <w:numId w:val="17"/>
      </w:numPr>
    </w:pPr>
  </w:style>
  <w:style w:type="paragraph" w:customStyle="1" w:styleId="ListNumber2Level4">
    <w:name w:val="List Number 2 (Level 4)"/>
    <w:basedOn w:val="Text2"/>
    <w:pPr>
      <w:numPr>
        <w:ilvl w:val="3"/>
        <w:numId w:val="18"/>
      </w:numPr>
    </w:pPr>
  </w:style>
  <w:style w:type="paragraph" w:customStyle="1" w:styleId="ListNumber3Level4">
    <w:name w:val="List Number 3 (Level 4)"/>
    <w:basedOn w:val="Text3"/>
    <w:pPr>
      <w:numPr>
        <w:ilvl w:val="3"/>
        <w:numId w:val="19"/>
      </w:numPr>
    </w:pPr>
  </w:style>
  <w:style w:type="paragraph" w:customStyle="1" w:styleId="ListNumber4Level4">
    <w:name w:val="List Number 4 (Level 4)"/>
    <w:basedOn w:val="Text4"/>
    <w:pPr>
      <w:numPr>
        <w:ilvl w:val="3"/>
        <w:numId w:val="20"/>
      </w:numPr>
    </w:pPr>
  </w:style>
  <w:style w:type="paragraph" w:customStyle="1" w:styleId="ListBullet1">
    <w:name w:val="List Bullet 1"/>
    <w:basedOn w:val="Normal"/>
    <w:pPr>
      <w:numPr>
        <w:numId w:val="21"/>
      </w:numPr>
    </w:pPr>
  </w:style>
  <w:style w:type="paragraph" w:styleId="ListBullet2">
    <w:name w:val="List Bullet 2"/>
    <w:basedOn w:val="Normal"/>
    <w:pPr>
      <w:numPr>
        <w:numId w:val="22"/>
      </w:numPr>
    </w:pPr>
  </w:style>
  <w:style w:type="paragraph" w:styleId="ListBullet3">
    <w:name w:val="List Bullet 3"/>
    <w:basedOn w:val="Normal"/>
    <w:pPr>
      <w:numPr>
        <w:numId w:val="23"/>
      </w:numPr>
    </w:pPr>
  </w:style>
  <w:style w:type="paragraph" w:styleId="ListBullet4">
    <w:name w:val="List Bullet 4"/>
    <w:basedOn w:val="Normal"/>
    <w:pPr>
      <w:numPr>
        <w:numId w:val="24"/>
      </w:numPr>
    </w:pPr>
  </w:style>
  <w:style w:type="paragraph" w:customStyle="1" w:styleId="ListDash1">
    <w:name w:val="List Dash 1"/>
    <w:basedOn w:val="Normal"/>
    <w:pPr>
      <w:numPr>
        <w:numId w:val="26"/>
      </w:numPr>
    </w:pPr>
  </w:style>
  <w:style w:type="paragraph" w:customStyle="1" w:styleId="ListDash2">
    <w:name w:val="List Dash 2"/>
    <w:basedOn w:val="Normal"/>
    <w:pPr>
      <w:numPr>
        <w:numId w:val="27"/>
      </w:numPr>
    </w:pPr>
  </w:style>
  <w:style w:type="paragraph" w:customStyle="1" w:styleId="ListDash3">
    <w:name w:val="List Dash 3"/>
    <w:basedOn w:val="Normal"/>
    <w:pPr>
      <w:numPr>
        <w:numId w:val="28"/>
      </w:numPr>
    </w:pPr>
  </w:style>
  <w:style w:type="paragraph" w:customStyle="1" w:styleId="ListDash4">
    <w:name w:val="List Dash 4"/>
    <w:basedOn w:val="Normal"/>
    <w:pPr>
      <w:numPr>
        <w:numId w:val="29"/>
      </w:numPr>
    </w:p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shd w:val="clear" w:color="auto" w:fill="auto"/>
      <w:lang w:eastAsia="et-E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shd w:val="clear" w:color="auto" w:fill="auto"/>
      <w:lang w:eastAsia="et-EE"/>
    </w:rPr>
  </w:style>
  <w:style w:type="paragraph" w:customStyle="1" w:styleId="Default">
    <w:name w:val="Default"/>
    <w:pPr>
      <w:autoSpaceDE w:val="0"/>
      <w:autoSpaceDN w:val="0"/>
      <w:adjustRightInd w:val="0"/>
    </w:pPr>
    <w:rPr>
      <w:color w:val="000000"/>
      <w:sz w:val="24"/>
      <w:szCs w:val="24"/>
    </w:rPr>
  </w:style>
  <w:style w:type="paragraph" w:styleId="DocumentMap">
    <w:name w:val="Document Map"/>
    <w:basedOn w:val="Normal"/>
    <w:link w:val="DocumentMapChar"/>
    <w:pPr>
      <w:shd w:val="clear" w:color="auto" w:fill="000080"/>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eastAsia="et-EE"/>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
    <w:link w:val="FootnoteText"/>
    <w:uiPriority w:val="99"/>
    <w:rPr>
      <w:lang w:eastAsia="et-E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link w:val="TOCHeading"/>
    <w:uiPriority w:val="39"/>
    <w:rPr>
      <w:b/>
      <w:sz w:val="28"/>
      <w:szCs w:val="24"/>
      <w:shd w:val="clear" w:color="auto" w:fill="auto"/>
      <w:lang w:eastAsia="et-EE"/>
    </w:r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character" w:customStyle="1" w:styleId="FooterChar">
    <w:name w:val="Footer Char"/>
    <w:link w:val="Footer"/>
    <w:uiPriority w:val="99"/>
    <w:rPr>
      <w:sz w:val="24"/>
      <w:szCs w:val="24"/>
      <w:lang w:eastAsia="et-E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pPr>
      <w:spacing w:after="60"/>
      <w:jc w:val="center"/>
      <w:outlineLvl w:val="1"/>
    </w:pPr>
    <w:rPr>
      <w:rFonts w:ascii="Cambria" w:hAnsi="Cambria"/>
    </w:rPr>
  </w:style>
  <w:style w:type="character" w:customStyle="1" w:styleId="SubtitleChar">
    <w:name w:val="Subtitle Char"/>
    <w:link w:val="Subtitle"/>
    <w:rPr>
      <w:rFonts w:ascii="Cambria" w:eastAsia="Times New Roman" w:hAnsi="Cambria" w:cs="Times New Roman"/>
      <w:sz w:val="24"/>
      <w:szCs w:val="24"/>
      <w:shd w:val="clear" w:color="auto" w:fill="auto"/>
      <w:lang w:eastAsia="et-EE"/>
    </w:rPr>
  </w:style>
  <w:style w:type="paragraph" w:styleId="NormalWeb">
    <w:name w:val="Normal (Web)"/>
    <w:basedOn w:val="Normal"/>
    <w:uiPriority w:val="99"/>
    <w:unhideWhenUsed/>
    <w:pPr>
      <w:spacing w:before="100" w:beforeAutospacing="1" w:after="100" w:afterAutospacing="1"/>
      <w:jc w:val="left"/>
    </w:pPr>
  </w:style>
  <w:style w:type="character" w:styleId="Strong">
    <w:name w:val="Strong"/>
    <w:uiPriority w:val="22"/>
    <w:qFormat/>
    <w:rPr>
      <w:b/>
      <w:bCs/>
      <w:shd w:val="clear" w:color="auto" w:fill="auto"/>
    </w:rPr>
  </w:style>
  <w:style w:type="paragraph" w:styleId="Revision">
    <w:name w:val="Revision"/>
    <w:hidden/>
    <w:uiPriority w:val="99"/>
    <w:semiHidden/>
    <w:rPr>
      <w:sz w:val="24"/>
      <w:szCs w:val="24"/>
    </w:rPr>
  </w:style>
  <w:style w:type="character" w:customStyle="1" w:styleId="Heading1Char">
    <w:name w:val="Heading 1 Char"/>
    <w:link w:val="Heading1"/>
    <w:rPr>
      <w:b/>
      <w:bCs/>
      <w:smallCaps/>
      <w:sz w:val="24"/>
      <w:szCs w:val="32"/>
      <w:lang w:eastAsia="et-EE"/>
    </w:rPr>
  </w:style>
  <w:style w:type="character" w:customStyle="1" w:styleId="Heading2Char">
    <w:name w:val="Heading 2 Char"/>
    <w:link w:val="Heading2"/>
    <w:rPr>
      <w:b/>
      <w:bCs/>
      <w:iCs/>
      <w:noProof/>
      <w:sz w:val="24"/>
      <w:szCs w:val="28"/>
      <w:lang w:eastAsia="et-EE"/>
    </w:rPr>
  </w:style>
  <w:style w:type="character" w:styleId="FollowedHyperlink">
    <w:name w:val="FollowedHyperlink"/>
    <w:rPr>
      <w:color w:val="800080"/>
      <w:u w:val="single"/>
      <w:shd w:val="clear" w:color="auto" w:fill="auto"/>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shd w:val="clear" w:color="auto" w:fill="auto"/>
      <w:lang w:eastAsia="et-EE"/>
    </w:rPr>
  </w:style>
  <w:style w:type="character" w:styleId="EndnoteReference">
    <w:name w:val="endnote reference"/>
    <w:rPr>
      <w:shd w:val="clear" w:color="auto" w:fill="auto"/>
      <w:vertAlign w:val="superscript"/>
    </w:rPr>
  </w:style>
  <w:style w:type="paragraph" w:customStyle="1" w:styleId="BBullets2">
    <w:name w:val="B Bullets 2"/>
    <w:uiPriority w:val="20"/>
    <w:qFormat/>
    <w:pPr>
      <w:numPr>
        <w:ilvl w:val="1"/>
        <w:numId w:val="33"/>
      </w:numPr>
      <w:spacing w:before="60" w:after="60" w:line="320" w:lineRule="exact"/>
    </w:pPr>
    <w:rPr>
      <w:rFonts w:ascii="_GOPA TheSerif Light" w:eastAsia="Calibri" w:hAnsi="_GOPA TheSerif Light"/>
      <w:color w:val="000000"/>
      <w:sz w:val="19"/>
      <w:szCs w:val="22"/>
    </w:rPr>
  </w:style>
  <w:style w:type="paragraph" w:customStyle="1" w:styleId="DBulletsgelb1">
    <w:name w:val="D Bullets gelb 1"/>
    <w:link w:val="DBulletsgelb1Zchn"/>
    <w:uiPriority w:val="54"/>
    <w:qFormat/>
    <w:pPr>
      <w:numPr>
        <w:numId w:val="33"/>
      </w:numPr>
      <w:pBdr>
        <w:top w:val="single" w:sz="4" w:space="0" w:color="FCF6E9"/>
        <w:left w:val="single" w:sz="4" w:space="8" w:color="FCF6E9"/>
        <w:bottom w:val="single" w:sz="4" w:space="0" w:color="FCF6E9"/>
        <w:right w:val="single" w:sz="4" w:space="4" w:color="FCF6E9"/>
      </w:pBdr>
      <w:shd w:val="clear" w:color="auto" w:fill="FCF6E9"/>
      <w:spacing w:line="320" w:lineRule="exact"/>
      <w:ind w:left="425" w:right="113" w:hanging="255"/>
    </w:pPr>
    <w:rPr>
      <w:rFonts w:ascii="_GOPA TheSerif Light" w:eastAsia="Calibri" w:hAnsi="_GOPA TheSerif Light"/>
      <w:color w:val="000000"/>
      <w:sz w:val="19"/>
      <w:szCs w:val="22"/>
    </w:rPr>
  </w:style>
  <w:style w:type="character" w:customStyle="1" w:styleId="DBulletsgelb1Zchn">
    <w:name w:val="D Bullets gelb 1 Zchn"/>
    <w:link w:val="DBulletsgelb1"/>
    <w:uiPriority w:val="54"/>
    <w:rPr>
      <w:rFonts w:ascii="_GOPA TheSerif Light" w:eastAsia="Calibri" w:hAnsi="_GOPA TheSerif Light"/>
      <w:color w:val="000000"/>
      <w:sz w:val="19"/>
      <w:szCs w:val="22"/>
      <w:shd w:val="clear" w:color="auto" w:fill="FCF6E9"/>
      <w:lang w:eastAsia="et-EE"/>
    </w:rPr>
  </w:style>
  <w:style w:type="character" w:customStyle="1" w:styleId="BHighlight1">
    <w:name w:val="B Highlight 1"/>
    <w:qFormat/>
    <w:rPr>
      <w:rFonts w:ascii="_GOPA TheSerif Light" w:hAnsi="_GOPA TheSerif Light"/>
      <w:b/>
      <w:color w:val="DC9300"/>
      <w:sz w:val="19"/>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et-E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numPr>
        <w:numId w:val="8"/>
      </w:numPr>
      <w:spacing w:before="360"/>
      <w:outlineLvl w:val="0"/>
    </w:pPr>
    <w:rPr>
      <w:b/>
      <w:bCs/>
      <w:smallCaps/>
      <w:szCs w:val="32"/>
    </w:rPr>
  </w:style>
  <w:style w:type="paragraph" w:styleId="Heading2">
    <w:name w:val="heading 2"/>
    <w:basedOn w:val="Normal"/>
    <w:next w:val="Normal"/>
    <w:link w:val="Heading2Char"/>
    <w:qFormat/>
    <w:pPr>
      <w:keepNext/>
      <w:outlineLvl w:val="1"/>
    </w:pPr>
    <w:rPr>
      <w:b/>
      <w:bCs/>
      <w:iCs/>
      <w:noProof/>
      <w:szCs w:val="28"/>
    </w:rPr>
  </w:style>
  <w:style w:type="paragraph" w:styleId="Heading3">
    <w:name w:val="heading 3"/>
    <w:basedOn w:val="Normal"/>
    <w:next w:val="Normal"/>
    <w:qFormat/>
    <w:pPr>
      <w:keepNext/>
      <w:numPr>
        <w:ilvl w:val="2"/>
        <w:numId w:val="8"/>
      </w:numPr>
      <w:outlineLvl w:val="2"/>
    </w:pPr>
    <w:rPr>
      <w:bCs/>
      <w:i/>
      <w:szCs w:val="26"/>
    </w:rPr>
  </w:style>
  <w:style w:type="paragraph" w:styleId="Heading4">
    <w:name w:val="heading 4"/>
    <w:basedOn w:val="Normal"/>
    <w:next w:val="Normal"/>
    <w:qFormat/>
    <w:pPr>
      <w:keepNext/>
      <w:numPr>
        <w:ilvl w:val="3"/>
        <w:numId w:val="8"/>
      </w:numPr>
      <w:outlineLvl w:val="3"/>
    </w:pPr>
    <w:rPr>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aliases w:val="BVI fnr"/>
    <w:semiHidden/>
    <w:rPr>
      <w:shd w:val="clear" w:color="auto" w:fill="auto"/>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9"/>
      </w:numPr>
    </w:pPr>
  </w:style>
  <w:style w:type="paragraph" w:customStyle="1" w:styleId="NumPar2">
    <w:name w:val="NumPar 2"/>
    <w:basedOn w:val="Normal"/>
    <w:next w:val="Normal"/>
    <w:pPr>
      <w:numPr>
        <w:ilvl w:val="1"/>
        <w:numId w:val="9"/>
      </w:numPr>
    </w:pPr>
  </w:style>
  <w:style w:type="paragraph" w:customStyle="1" w:styleId="NumPar3">
    <w:name w:val="NumPar 3"/>
    <w:basedOn w:val="Normal"/>
    <w:next w:val="Normal"/>
    <w:pPr>
      <w:numPr>
        <w:ilvl w:val="2"/>
        <w:numId w:val="9"/>
      </w:numPr>
    </w:pPr>
  </w:style>
  <w:style w:type="paragraph" w:customStyle="1" w:styleId="NumPar4">
    <w:name w:val="NumPar 4"/>
    <w:basedOn w:val="Normal"/>
    <w:next w:val="Normal"/>
    <w:pPr>
      <w:numPr>
        <w:ilvl w:val="3"/>
        <w:numId w:val="9"/>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10"/>
      </w:numPr>
    </w:pPr>
  </w:style>
  <w:style w:type="paragraph" w:customStyle="1" w:styleId="Point0number">
    <w:name w:val="Point 0 (number)"/>
    <w:basedOn w:val="Normal"/>
    <w:pPr>
      <w:numPr>
        <w:numId w:val="10"/>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10"/>
      </w:numPr>
    </w:pPr>
  </w:style>
  <w:style w:type="paragraph" w:customStyle="1" w:styleId="Point1number">
    <w:name w:val="Point 1 (number)"/>
    <w:basedOn w:val="Normal"/>
    <w:pPr>
      <w:numPr>
        <w:ilvl w:val="2"/>
        <w:numId w:val="10"/>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10"/>
      </w:numPr>
    </w:pPr>
  </w:style>
  <w:style w:type="paragraph" w:customStyle="1" w:styleId="Point2number">
    <w:name w:val="Point 2 (number)"/>
    <w:basedOn w:val="Normal"/>
    <w:pPr>
      <w:numPr>
        <w:ilvl w:val="4"/>
        <w:numId w:val="10"/>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10"/>
      </w:numPr>
    </w:pPr>
  </w:style>
  <w:style w:type="paragraph" w:customStyle="1" w:styleId="Point3number">
    <w:name w:val="Point 3 (number)"/>
    <w:basedOn w:val="Normal"/>
    <w:pPr>
      <w:numPr>
        <w:ilvl w:val="6"/>
        <w:numId w:val="10"/>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qFormat/>
    <w:pPr>
      <w:tabs>
        <w:tab w:val="right" w:leader="dot" w:pos="9071"/>
      </w:tabs>
      <w:spacing w:before="60"/>
      <w:ind w:left="850" w:hanging="850"/>
      <w:jc w:val="left"/>
    </w:pPr>
  </w:style>
  <w:style w:type="paragraph" w:styleId="TOC2">
    <w:name w:val="toc 2"/>
    <w:basedOn w:val="Normal"/>
    <w:next w:val="Normal"/>
    <w:uiPriority w:val="39"/>
    <w:qFormat/>
    <w:pPr>
      <w:tabs>
        <w:tab w:val="right" w:leader="dot" w:pos="9071"/>
      </w:tabs>
      <w:spacing w:before="60"/>
      <w:ind w:left="850" w:hanging="850"/>
      <w:jc w:val="left"/>
    </w:pPr>
  </w:style>
  <w:style w:type="paragraph" w:styleId="TOC3">
    <w:name w:val="toc 3"/>
    <w:basedOn w:val="Normal"/>
    <w:next w:val="Normal"/>
    <w:uiPriority w:val="39"/>
    <w:qFormat/>
    <w:pPr>
      <w:tabs>
        <w:tab w:val="right" w:leader="dot" w:pos="9071"/>
      </w:tabs>
      <w:spacing w:before="60"/>
      <w:ind w:left="850" w:hanging="850"/>
      <w:jc w:val="left"/>
    </w:pPr>
  </w:style>
  <w:style w:type="paragraph" w:styleId="TOC4">
    <w:name w:val="toc 4"/>
    <w:basedOn w:val="Normal"/>
    <w:next w:val="Normal"/>
    <w:semiHidden/>
    <w:pPr>
      <w:tabs>
        <w:tab w:val="right" w:leader="dot" w:pos="9071"/>
      </w:tabs>
      <w:spacing w:before="60"/>
      <w:ind w:left="850" w:hanging="850"/>
      <w:jc w:val="left"/>
    </w:pPr>
  </w:style>
  <w:style w:type="paragraph" w:styleId="TOC5">
    <w:name w:val="toc 5"/>
    <w:basedOn w:val="Normal"/>
    <w:next w:val="Normal"/>
    <w:semiHidden/>
    <w:pPr>
      <w:tabs>
        <w:tab w:val="right" w:leader="dot" w:pos="9071"/>
      </w:tabs>
      <w:spacing w:before="300"/>
      <w:jc w:val="left"/>
    </w:pPr>
  </w:style>
  <w:style w:type="paragraph" w:styleId="TOC6">
    <w:name w:val="toc 6"/>
    <w:basedOn w:val="Normal"/>
    <w:next w:val="Normal"/>
    <w:semiHidden/>
    <w:pPr>
      <w:tabs>
        <w:tab w:val="right" w:leader="dot" w:pos="9071"/>
      </w:tabs>
      <w:spacing w:before="240"/>
      <w:jc w:val="left"/>
    </w:pPr>
  </w:style>
  <w:style w:type="paragraph" w:styleId="TOC7">
    <w:name w:val="toc 7"/>
    <w:basedOn w:val="Normal"/>
    <w:next w:val="Normal"/>
    <w:semiHidden/>
    <w:pPr>
      <w:tabs>
        <w:tab w:val="right" w:leader="dot" w:pos="9071"/>
      </w:tabs>
      <w:spacing w:before="180"/>
      <w:jc w:val="left"/>
    </w:pPr>
  </w:style>
  <w:style w:type="paragraph" w:styleId="TOC8">
    <w:name w:val="toc 8"/>
    <w:basedOn w:val="Normal"/>
    <w:next w:val="Normal"/>
    <w:semiHidden/>
    <w:pPr>
      <w:tabs>
        <w:tab w:val="right" w:leader="dot" w:pos="9071"/>
      </w:tabs>
      <w:jc w:val="left"/>
    </w:pPr>
  </w:style>
  <w:style w:type="paragraph" w:styleId="TOC9">
    <w:name w:val="toc 9"/>
    <w:basedOn w:val="Normal"/>
    <w:next w:val="Normal"/>
    <w:semiHidden/>
    <w:pPr>
      <w:tabs>
        <w:tab w:val="right" w:leader="dot" w:pos="9071"/>
      </w:tabs>
    </w:pPr>
  </w:style>
  <w:style w:type="paragraph" w:styleId="TOCHeading">
    <w:name w:val="TOC Heading"/>
    <w:basedOn w:val="Normal"/>
    <w:next w:val="Normal"/>
    <w:link w:val="TOCHeadingChar"/>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Funotenzeichen">
    <w:name w:val="Fußnotenzeichen"/>
    <w:rPr>
      <w:rFonts w:cs="Times New Roman"/>
      <w:shd w:val="clear" w:color="auto" w:fill="auto"/>
      <w:vertAlign w:val="superscript"/>
    </w:rPr>
  </w:style>
  <w:style w:type="character" w:styleId="Hyperlink">
    <w:name w:val="Hyperlink"/>
    <w:uiPriority w:val="99"/>
    <w:rPr>
      <w:rFonts w:cs="Times New Roman"/>
      <w:color w:val="0000FF"/>
      <w:u w:val="single"/>
      <w:shd w:val="clear" w:color="auto" w:fill="auto"/>
    </w:rPr>
  </w:style>
  <w:style w:type="character" w:styleId="Emphasis">
    <w:name w:val="Emphasis"/>
    <w:qFormat/>
    <w:rPr>
      <w:rFonts w:cs="Times New Roman"/>
      <w:i/>
      <w:iCs/>
      <w:shd w:val="clear" w:color="auto" w:fill="auto"/>
    </w:rPr>
  </w:style>
  <w:style w:type="paragraph" w:styleId="ListBullet">
    <w:name w:val="List Bullet"/>
    <w:basedOn w:val="Normal"/>
    <w:pPr>
      <w:numPr>
        <w:numId w:val="30"/>
      </w:numPr>
    </w:pPr>
  </w:style>
  <w:style w:type="paragraph" w:styleId="ListNumber">
    <w:name w:val="List Number"/>
    <w:basedOn w:val="Normal"/>
    <w:pPr>
      <w:numPr>
        <w:numId w:val="16"/>
      </w:numPr>
    </w:pPr>
  </w:style>
  <w:style w:type="paragraph" w:customStyle="1" w:styleId="ListDash">
    <w:name w:val="List Dash"/>
    <w:basedOn w:val="Normal"/>
    <w:pPr>
      <w:numPr>
        <w:numId w:val="25"/>
      </w:numPr>
    </w:pPr>
  </w:style>
  <w:style w:type="paragraph" w:customStyle="1" w:styleId="ListNumberLevel2">
    <w:name w:val="List Number (Level 2)"/>
    <w:basedOn w:val="Normal"/>
    <w:pPr>
      <w:numPr>
        <w:ilvl w:val="1"/>
        <w:numId w:val="16"/>
      </w:numPr>
    </w:pPr>
  </w:style>
  <w:style w:type="paragraph" w:customStyle="1" w:styleId="ListNumberLevel3">
    <w:name w:val="List Number (Level 3)"/>
    <w:basedOn w:val="Normal"/>
    <w:pPr>
      <w:numPr>
        <w:ilvl w:val="2"/>
        <w:numId w:val="16"/>
      </w:numPr>
    </w:pPr>
  </w:style>
  <w:style w:type="paragraph" w:customStyle="1" w:styleId="ListNumberLevel4">
    <w:name w:val="List Number (Level 4)"/>
    <w:basedOn w:val="Normal"/>
    <w:pPr>
      <w:numPr>
        <w:ilvl w:val="3"/>
        <w:numId w:val="16"/>
      </w:numPr>
    </w:pPr>
  </w:style>
  <w:style w:type="paragraph" w:styleId="Caption">
    <w:name w:val="caption"/>
    <w:basedOn w:val="Normal"/>
    <w:next w:val="Normal"/>
    <w:qFormat/>
    <w:rPr>
      <w:b/>
      <w:bCs/>
      <w:sz w:val="20"/>
      <w:szCs w:val="20"/>
    </w:rPr>
  </w:style>
  <w:style w:type="paragraph" w:styleId="TableofFigures">
    <w:name w:val="table of figures"/>
    <w:basedOn w:val="Normal"/>
    <w:next w:val="Normal"/>
  </w:style>
  <w:style w:type="character" w:styleId="CommentReference">
    <w:name w:val="annotation reference"/>
    <w:rPr>
      <w:sz w:val="16"/>
      <w:szCs w:val="16"/>
      <w:shd w:val="clear" w:color="auto" w:fill="aut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shd w:val="clear" w:color="auto" w:fill="auto"/>
      <w:lang w:eastAsia="et-EE"/>
    </w:r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customStyle="1" w:styleId="ListNumber1">
    <w:name w:val="List Number 1"/>
    <w:basedOn w:val="Text1"/>
    <w:pPr>
      <w:numPr>
        <w:numId w:val="17"/>
      </w:numPr>
    </w:pPr>
  </w:style>
  <w:style w:type="paragraph" w:customStyle="1" w:styleId="ListNumber1Level2">
    <w:name w:val="List Number 1 (Level 2)"/>
    <w:basedOn w:val="Text1"/>
    <w:pPr>
      <w:numPr>
        <w:ilvl w:val="1"/>
        <w:numId w:val="17"/>
      </w:numPr>
    </w:pPr>
  </w:style>
  <w:style w:type="paragraph" w:customStyle="1" w:styleId="ListNumber2Level2">
    <w:name w:val="List Number 2 (Level 2)"/>
    <w:basedOn w:val="Text2"/>
    <w:pPr>
      <w:numPr>
        <w:ilvl w:val="1"/>
        <w:numId w:val="18"/>
      </w:numPr>
    </w:pPr>
  </w:style>
  <w:style w:type="paragraph" w:customStyle="1" w:styleId="ListNumber3Level2">
    <w:name w:val="List Number 3 (Level 2)"/>
    <w:basedOn w:val="Text3"/>
    <w:pPr>
      <w:numPr>
        <w:ilvl w:val="1"/>
        <w:numId w:val="19"/>
      </w:numPr>
    </w:pPr>
  </w:style>
  <w:style w:type="paragraph" w:customStyle="1" w:styleId="ListNumber4Level2">
    <w:name w:val="List Number 4 (Level 2)"/>
    <w:basedOn w:val="Text4"/>
    <w:pPr>
      <w:numPr>
        <w:ilvl w:val="1"/>
        <w:numId w:val="20"/>
      </w:numPr>
    </w:pPr>
  </w:style>
  <w:style w:type="paragraph" w:customStyle="1" w:styleId="ListNumber1Level3">
    <w:name w:val="List Number 1 (Level 3)"/>
    <w:basedOn w:val="Text1"/>
    <w:pPr>
      <w:numPr>
        <w:ilvl w:val="2"/>
        <w:numId w:val="17"/>
      </w:numPr>
    </w:pPr>
  </w:style>
  <w:style w:type="paragraph" w:customStyle="1" w:styleId="ListNumber2Level3">
    <w:name w:val="List Number 2 (Level 3)"/>
    <w:basedOn w:val="Text2"/>
    <w:pPr>
      <w:numPr>
        <w:ilvl w:val="2"/>
        <w:numId w:val="18"/>
      </w:numPr>
    </w:pPr>
  </w:style>
  <w:style w:type="paragraph" w:customStyle="1" w:styleId="ListNumber3Level3">
    <w:name w:val="List Number 3 (Level 3)"/>
    <w:basedOn w:val="Text3"/>
    <w:pPr>
      <w:numPr>
        <w:ilvl w:val="2"/>
        <w:numId w:val="19"/>
      </w:numPr>
    </w:pPr>
  </w:style>
  <w:style w:type="paragraph" w:customStyle="1" w:styleId="ListNumber4Level3">
    <w:name w:val="List Number 4 (Level 3)"/>
    <w:basedOn w:val="Text4"/>
    <w:pPr>
      <w:numPr>
        <w:ilvl w:val="2"/>
        <w:numId w:val="20"/>
      </w:numPr>
    </w:pPr>
  </w:style>
  <w:style w:type="paragraph" w:customStyle="1" w:styleId="ListNumber1Level4">
    <w:name w:val="List Number 1 (Level 4)"/>
    <w:basedOn w:val="Text1"/>
    <w:pPr>
      <w:numPr>
        <w:ilvl w:val="3"/>
        <w:numId w:val="17"/>
      </w:numPr>
    </w:pPr>
  </w:style>
  <w:style w:type="paragraph" w:customStyle="1" w:styleId="ListNumber2Level4">
    <w:name w:val="List Number 2 (Level 4)"/>
    <w:basedOn w:val="Text2"/>
    <w:pPr>
      <w:numPr>
        <w:ilvl w:val="3"/>
        <w:numId w:val="18"/>
      </w:numPr>
    </w:pPr>
  </w:style>
  <w:style w:type="paragraph" w:customStyle="1" w:styleId="ListNumber3Level4">
    <w:name w:val="List Number 3 (Level 4)"/>
    <w:basedOn w:val="Text3"/>
    <w:pPr>
      <w:numPr>
        <w:ilvl w:val="3"/>
        <w:numId w:val="19"/>
      </w:numPr>
    </w:pPr>
  </w:style>
  <w:style w:type="paragraph" w:customStyle="1" w:styleId="ListNumber4Level4">
    <w:name w:val="List Number 4 (Level 4)"/>
    <w:basedOn w:val="Text4"/>
    <w:pPr>
      <w:numPr>
        <w:ilvl w:val="3"/>
        <w:numId w:val="20"/>
      </w:numPr>
    </w:pPr>
  </w:style>
  <w:style w:type="paragraph" w:customStyle="1" w:styleId="ListBullet1">
    <w:name w:val="List Bullet 1"/>
    <w:basedOn w:val="Normal"/>
    <w:pPr>
      <w:numPr>
        <w:numId w:val="21"/>
      </w:numPr>
    </w:pPr>
  </w:style>
  <w:style w:type="paragraph" w:styleId="ListBullet2">
    <w:name w:val="List Bullet 2"/>
    <w:basedOn w:val="Normal"/>
    <w:pPr>
      <w:numPr>
        <w:numId w:val="22"/>
      </w:numPr>
    </w:pPr>
  </w:style>
  <w:style w:type="paragraph" w:styleId="ListBullet3">
    <w:name w:val="List Bullet 3"/>
    <w:basedOn w:val="Normal"/>
    <w:pPr>
      <w:numPr>
        <w:numId w:val="23"/>
      </w:numPr>
    </w:pPr>
  </w:style>
  <w:style w:type="paragraph" w:styleId="ListBullet4">
    <w:name w:val="List Bullet 4"/>
    <w:basedOn w:val="Normal"/>
    <w:pPr>
      <w:numPr>
        <w:numId w:val="24"/>
      </w:numPr>
    </w:pPr>
  </w:style>
  <w:style w:type="paragraph" w:customStyle="1" w:styleId="ListDash1">
    <w:name w:val="List Dash 1"/>
    <w:basedOn w:val="Normal"/>
    <w:pPr>
      <w:numPr>
        <w:numId w:val="26"/>
      </w:numPr>
    </w:pPr>
  </w:style>
  <w:style w:type="paragraph" w:customStyle="1" w:styleId="ListDash2">
    <w:name w:val="List Dash 2"/>
    <w:basedOn w:val="Normal"/>
    <w:pPr>
      <w:numPr>
        <w:numId w:val="27"/>
      </w:numPr>
    </w:pPr>
  </w:style>
  <w:style w:type="paragraph" w:customStyle="1" w:styleId="ListDash3">
    <w:name w:val="List Dash 3"/>
    <w:basedOn w:val="Normal"/>
    <w:pPr>
      <w:numPr>
        <w:numId w:val="28"/>
      </w:numPr>
    </w:pPr>
  </w:style>
  <w:style w:type="paragraph" w:customStyle="1" w:styleId="ListDash4">
    <w:name w:val="List Dash 4"/>
    <w:basedOn w:val="Normal"/>
    <w:pPr>
      <w:numPr>
        <w:numId w:val="29"/>
      </w:numPr>
    </w:p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shd w:val="clear" w:color="auto" w:fill="auto"/>
      <w:lang w:eastAsia="et-EE"/>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shd w:val="clear" w:color="auto" w:fill="auto"/>
      <w:lang w:eastAsia="et-EE"/>
    </w:rPr>
  </w:style>
  <w:style w:type="paragraph" w:customStyle="1" w:styleId="Default">
    <w:name w:val="Default"/>
    <w:pPr>
      <w:autoSpaceDE w:val="0"/>
      <w:autoSpaceDN w:val="0"/>
      <w:adjustRightInd w:val="0"/>
    </w:pPr>
    <w:rPr>
      <w:color w:val="000000"/>
      <w:sz w:val="24"/>
      <w:szCs w:val="24"/>
    </w:rPr>
  </w:style>
  <w:style w:type="paragraph" w:styleId="DocumentMap">
    <w:name w:val="Document Map"/>
    <w:basedOn w:val="Normal"/>
    <w:link w:val="DocumentMapChar"/>
    <w:pPr>
      <w:shd w:val="clear" w:color="auto" w:fill="000080"/>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eastAsia="et-EE"/>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
    <w:link w:val="FootnoteText"/>
    <w:uiPriority w:val="99"/>
    <w:rPr>
      <w:lang w:eastAsia="et-E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link w:val="TOCHeading"/>
    <w:uiPriority w:val="39"/>
    <w:rPr>
      <w:b/>
      <w:sz w:val="28"/>
      <w:szCs w:val="24"/>
      <w:shd w:val="clear" w:color="auto" w:fill="auto"/>
      <w:lang w:eastAsia="et-EE"/>
    </w:r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character" w:customStyle="1" w:styleId="FooterChar">
    <w:name w:val="Footer Char"/>
    <w:link w:val="Footer"/>
    <w:uiPriority w:val="99"/>
    <w:rPr>
      <w:sz w:val="24"/>
      <w:szCs w:val="24"/>
      <w:lang w:eastAsia="et-E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pPr>
      <w:spacing w:after="60"/>
      <w:jc w:val="center"/>
      <w:outlineLvl w:val="1"/>
    </w:pPr>
    <w:rPr>
      <w:rFonts w:ascii="Cambria" w:hAnsi="Cambria"/>
    </w:rPr>
  </w:style>
  <w:style w:type="character" w:customStyle="1" w:styleId="SubtitleChar">
    <w:name w:val="Subtitle Char"/>
    <w:link w:val="Subtitle"/>
    <w:rPr>
      <w:rFonts w:ascii="Cambria" w:eastAsia="Times New Roman" w:hAnsi="Cambria" w:cs="Times New Roman"/>
      <w:sz w:val="24"/>
      <w:szCs w:val="24"/>
      <w:shd w:val="clear" w:color="auto" w:fill="auto"/>
      <w:lang w:eastAsia="et-EE"/>
    </w:rPr>
  </w:style>
  <w:style w:type="paragraph" w:styleId="NormalWeb">
    <w:name w:val="Normal (Web)"/>
    <w:basedOn w:val="Normal"/>
    <w:uiPriority w:val="99"/>
    <w:unhideWhenUsed/>
    <w:pPr>
      <w:spacing w:before="100" w:beforeAutospacing="1" w:after="100" w:afterAutospacing="1"/>
      <w:jc w:val="left"/>
    </w:pPr>
  </w:style>
  <w:style w:type="character" w:styleId="Strong">
    <w:name w:val="Strong"/>
    <w:uiPriority w:val="22"/>
    <w:qFormat/>
    <w:rPr>
      <w:b/>
      <w:bCs/>
      <w:shd w:val="clear" w:color="auto" w:fill="auto"/>
    </w:rPr>
  </w:style>
  <w:style w:type="paragraph" w:styleId="Revision">
    <w:name w:val="Revision"/>
    <w:hidden/>
    <w:uiPriority w:val="99"/>
    <w:semiHidden/>
    <w:rPr>
      <w:sz w:val="24"/>
      <w:szCs w:val="24"/>
    </w:rPr>
  </w:style>
  <w:style w:type="character" w:customStyle="1" w:styleId="Heading1Char">
    <w:name w:val="Heading 1 Char"/>
    <w:link w:val="Heading1"/>
    <w:rPr>
      <w:b/>
      <w:bCs/>
      <w:smallCaps/>
      <w:sz w:val="24"/>
      <w:szCs w:val="32"/>
      <w:lang w:eastAsia="et-EE"/>
    </w:rPr>
  </w:style>
  <w:style w:type="character" w:customStyle="1" w:styleId="Heading2Char">
    <w:name w:val="Heading 2 Char"/>
    <w:link w:val="Heading2"/>
    <w:rPr>
      <w:b/>
      <w:bCs/>
      <w:iCs/>
      <w:noProof/>
      <w:sz w:val="24"/>
      <w:szCs w:val="28"/>
      <w:lang w:eastAsia="et-EE"/>
    </w:rPr>
  </w:style>
  <w:style w:type="character" w:styleId="FollowedHyperlink">
    <w:name w:val="FollowedHyperlink"/>
    <w:rPr>
      <w:color w:val="800080"/>
      <w:u w:val="single"/>
      <w:shd w:val="clear" w:color="auto" w:fill="auto"/>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shd w:val="clear" w:color="auto" w:fill="auto"/>
      <w:lang w:eastAsia="et-EE"/>
    </w:rPr>
  </w:style>
  <w:style w:type="character" w:styleId="EndnoteReference">
    <w:name w:val="endnote reference"/>
    <w:rPr>
      <w:shd w:val="clear" w:color="auto" w:fill="auto"/>
      <w:vertAlign w:val="superscript"/>
    </w:rPr>
  </w:style>
  <w:style w:type="paragraph" w:customStyle="1" w:styleId="BBullets2">
    <w:name w:val="B Bullets 2"/>
    <w:uiPriority w:val="20"/>
    <w:qFormat/>
    <w:pPr>
      <w:numPr>
        <w:ilvl w:val="1"/>
        <w:numId w:val="33"/>
      </w:numPr>
      <w:spacing w:before="60" w:after="60" w:line="320" w:lineRule="exact"/>
    </w:pPr>
    <w:rPr>
      <w:rFonts w:ascii="_GOPA TheSerif Light" w:eastAsia="Calibri" w:hAnsi="_GOPA TheSerif Light"/>
      <w:color w:val="000000"/>
      <w:sz w:val="19"/>
      <w:szCs w:val="22"/>
    </w:rPr>
  </w:style>
  <w:style w:type="paragraph" w:customStyle="1" w:styleId="DBulletsgelb1">
    <w:name w:val="D Bullets gelb 1"/>
    <w:link w:val="DBulletsgelb1Zchn"/>
    <w:uiPriority w:val="54"/>
    <w:qFormat/>
    <w:pPr>
      <w:numPr>
        <w:numId w:val="33"/>
      </w:numPr>
      <w:pBdr>
        <w:top w:val="single" w:sz="4" w:space="0" w:color="FCF6E9"/>
        <w:left w:val="single" w:sz="4" w:space="8" w:color="FCF6E9"/>
        <w:bottom w:val="single" w:sz="4" w:space="0" w:color="FCF6E9"/>
        <w:right w:val="single" w:sz="4" w:space="4" w:color="FCF6E9"/>
      </w:pBdr>
      <w:shd w:val="clear" w:color="auto" w:fill="FCF6E9"/>
      <w:spacing w:line="320" w:lineRule="exact"/>
      <w:ind w:left="425" w:right="113" w:hanging="255"/>
    </w:pPr>
    <w:rPr>
      <w:rFonts w:ascii="_GOPA TheSerif Light" w:eastAsia="Calibri" w:hAnsi="_GOPA TheSerif Light"/>
      <w:color w:val="000000"/>
      <w:sz w:val="19"/>
      <w:szCs w:val="22"/>
    </w:rPr>
  </w:style>
  <w:style w:type="character" w:customStyle="1" w:styleId="DBulletsgelb1Zchn">
    <w:name w:val="D Bullets gelb 1 Zchn"/>
    <w:link w:val="DBulletsgelb1"/>
    <w:uiPriority w:val="54"/>
    <w:rPr>
      <w:rFonts w:ascii="_GOPA TheSerif Light" w:eastAsia="Calibri" w:hAnsi="_GOPA TheSerif Light"/>
      <w:color w:val="000000"/>
      <w:sz w:val="19"/>
      <w:szCs w:val="22"/>
      <w:shd w:val="clear" w:color="auto" w:fill="FCF6E9"/>
      <w:lang w:eastAsia="et-EE"/>
    </w:rPr>
  </w:style>
  <w:style w:type="character" w:customStyle="1" w:styleId="BHighlight1">
    <w:name w:val="B Highlight 1"/>
    <w:qFormat/>
    <w:rPr>
      <w:rFonts w:ascii="_GOPA TheSerif Light" w:hAnsi="_GOPA TheSerif Light"/>
      <w:b/>
      <w:color w:val="DC9300"/>
      <w:sz w:val="19"/>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388917">
      <w:bodyDiv w:val="1"/>
      <w:marLeft w:val="0"/>
      <w:marRight w:val="0"/>
      <w:marTop w:val="0"/>
      <w:marBottom w:val="0"/>
      <w:divBdr>
        <w:top w:val="none" w:sz="0" w:space="0" w:color="auto"/>
        <w:left w:val="none" w:sz="0" w:space="0" w:color="auto"/>
        <w:bottom w:val="none" w:sz="0" w:space="0" w:color="auto"/>
        <w:right w:val="none" w:sz="0" w:space="0" w:color="auto"/>
      </w:divBdr>
    </w:div>
    <w:div w:id="419453083">
      <w:bodyDiv w:val="1"/>
      <w:marLeft w:val="0"/>
      <w:marRight w:val="0"/>
      <w:marTop w:val="0"/>
      <w:marBottom w:val="0"/>
      <w:divBdr>
        <w:top w:val="none" w:sz="0" w:space="0" w:color="auto"/>
        <w:left w:val="none" w:sz="0" w:space="0" w:color="auto"/>
        <w:bottom w:val="none" w:sz="0" w:space="0" w:color="auto"/>
        <w:right w:val="none" w:sz="0" w:space="0" w:color="auto"/>
      </w:divBdr>
    </w:div>
    <w:div w:id="552615252">
      <w:bodyDiv w:val="1"/>
      <w:marLeft w:val="0"/>
      <w:marRight w:val="0"/>
      <w:marTop w:val="0"/>
      <w:marBottom w:val="0"/>
      <w:divBdr>
        <w:top w:val="none" w:sz="0" w:space="0" w:color="auto"/>
        <w:left w:val="none" w:sz="0" w:space="0" w:color="auto"/>
        <w:bottom w:val="none" w:sz="0" w:space="0" w:color="auto"/>
        <w:right w:val="none" w:sz="0" w:space="0" w:color="auto"/>
      </w:divBdr>
    </w:div>
    <w:div w:id="790244039">
      <w:bodyDiv w:val="1"/>
      <w:marLeft w:val="0"/>
      <w:marRight w:val="0"/>
      <w:marTop w:val="0"/>
      <w:marBottom w:val="0"/>
      <w:divBdr>
        <w:top w:val="none" w:sz="0" w:space="0" w:color="auto"/>
        <w:left w:val="none" w:sz="0" w:space="0" w:color="auto"/>
        <w:bottom w:val="none" w:sz="0" w:space="0" w:color="auto"/>
        <w:right w:val="none" w:sz="0" w:space="0" w:color="auto"/>
      </w:divBdr>
    </w:div>
    <w:div w:id="983241643">
      <w:bodyDiv w:val="1"/>
      <w:marLeft w:val="0"/>
      <w:marRight w:val="0"/>
      <w:marTop w:val="0"/>
      <w:marBottom w:val="0"/>
      <w:divBdr>
        <w:top w:val="none" w:sz="0" w:space="0" w:color="auto"/>
        <w:left w:val="none" w:sz="0" w:space="0" w:color="auto"/>
        <w:bottom w:val="none" w:sz="0" w:space="0" w:color="auto"/>
        <w:right w:val="none" w:sz="0" w:space="0" w:color="auto"/>
      </w:divBdr>
    </w:div>
    <w:div w:id="1435828464">
      <w:bodyDiv w:val="1"/>
      <w:marLeft w:val="0"/>
      <w:marRight w:val="0"/>
      <w:marTop w:val="0"/>
      <w:marBottom w:val="0"/>
      <w:divBdr>
        <w:top w:val="none" w:sz="0" w:space="0" w:color="auto"/>
        <w:left w:val="none" w:sz="0" w:space="0" w:color="auto"/>
        <w:bottom w:val="none" w:sz="0" w:space="0" w:color="auto"/>
        <w:right w:val="none" w:sz="0" w:space="0" w:color="auto"/>
      </w:divBdr>
    </w:div>
    <w:div w:id="1449197605">
      <w:bodyDiv w:val="1"/>
      <w:marLeft w:val="0"/>
      <w:marRight w:val="0"/>
      <w:marTop w:val="0"/>
      <w:marBottom w:val="0"/>
      <w:divBdr>
        <w:top w:val="none" w:sz="0" w:space="0" w:color="auto"/>
        <w:left w:val="none" w:sz="0" w:space="0" w:color="auto"/>
        <w:bottom w:val="none" w:sz="0" w:space="0" w:color="auto"/>
        <w:right w:val="none" w:sz="0" w:space="0" w:color="auto"/>
      </w:divBdr>
      <w:divsChild>
        <w:div w:id="1638997413">
          <w:marLeft w:val="0"/>
          <w:marRight w:val="0"/>
          <w:marTop w:val="0"/>
          <w:marBottom w:val="0"/>
          <w:divBdr>
            <w:top w:val="none" w:sz="0" w:space="0" w:color="auto"/>
            <w:left w:val="none" w:sz="0" w:space="0" w:color="auto"/>
            <w:bottom w:val="none" w:sz="0" w:space="0" w:color="auto"/>
            <w:right w:val="none" w:sz="0" w:space="0" w:color="auto"/>
          </w:divBdr>
          <w:divsChild>
            <w:div w:id="1195967791">
              <w:marLeft w:val="-300"/>
              <w:marRight w:val="0"/>
              <w:marTop w:val="0"/>
              <w:marBottom w:val="270"/>
              <w:divBdr>
                <w:top w:val="none" w:sz="0" w:space="0" w:color="auto"/>
                <w:left w:val="none" w:sz="0" w:space="0" w:color="auto"/>
                <w:bottom w:val="none" w:sz="0" w:space="0" w:color="auto"/>
                <w:right w:val="none" w:sz="0" w:space="0" w:color="auto"/>
              </w:divBdr>
              <w:divsChild>
                <w:div w:id="1963266378">
                  <w:marLeft w:val="0"/>
                  <w:marRight w:val="0"/>
                  <w:marTop w:val="0"/>
                  <w:marBottom w:val="0"/>
                  <w:divBdr>
                    <w:top w:val="none" w:sz="0" w:space="0" w:color="auto"/>
                    <w:left w:val="none" w:sz="0" w:space="0" w:color="auto"/>
                    <w:bottom w:val="none" w:sz="0" w:space="0" w:color="auto"/>
                    <w:right w:val="none" w:sz="0" w:space="0" w:color="auto"/>
                  </w:divBdr>
                  <w:divsChild>
                    <w:div w:id="969550347">
                      <w:marLeft w:val="0"/>
                      <w:marRight w:val="0"/>
                      <w:marTop w:val="0"/>
                      <w:marBottom w:val="270"/>
                      <w:divBdr>
                        <w:top w:val="none" w:sz="0" w:space="0" w:color="auto"/>
                        <w:left w:val="none" w:sz="0" w:space="0" w:color="auto"/>
                        <w:bottom w:val="none" w:sz="0" w:space="0" w:color="auto"/>
                        <w:right w:val="none" w:sz="0" w:space="0" w:color="auto"/>
                      </w:divBdr>
                      <w:divsChild>
                        <w:div w:id="1118140803">
                          <w:marLeft w:val="0"/>
                          <w:marRight w:val="0"/>
                          <w:marTop w:val="0"/>
                          <w:marBottom w:val="0"/>
                          <w:divBdr>
                            <w:top w:val="none" w:sz="0" w:space="0" w:color="auto"/>
                            <w:left w:val="none" w:sz="0" w:space="0" w:color="auto"/>
                            <w:bottom w:val="none" w:sz="0" w:space="0" w:color="auto"/>
                            <w:right w:val="none" w:sz="0" w:space="0" w:color="auto"/>
                          </w:divBdr>
                          <w:divsChild>
                            <w:div w:id="2042395949">
                              <w:marLeft w:val="0"/>
                              <w:marRight w:val="0"/>
                              <w:marTop w:val="0"/>
                              <w:marBottom w:val="0"/>
                              <w:divBdr>
                                <w:top w:val="none" w:sz="0" w:space="0" w:color="auto"/>
                                <w:left w:val="none" w:sz="0" w:space="0" w:color="auto"/>
                                <w:bottom w:val="none" w:sz="0" w:space="0" w:color="auto"/>
                                <w:right w:val="none" w:sz="0" w:space="0" w:color="auto"/>
                              </w:divBdr>
                              <w:divsChild>
                                <w:div w:id="59836253">
                                  <w:marLeft w:val="0"/>
                                  <w:marRight w:val="0"/>
                                  <w:marTop w:val="0"/>
                                  <w:marBottom w:val="0"/>
                                  <w:divBdr>
                                    <w:top w:val="none" w:sz="0" w:space="0" w:color="auto"/>
                                    <w:left w:val="none" w:sz="0" w:space="0" w:color="auto"/>
                                    <w:bottom w:val="none" w:sz="0" w:space="0" w:color="auto"/>
                                    <w:right w:val="none" w:sz="0" w:space="0" w:color="auto"/>
                                  </w:divBdr>
                                  <w:divsChild>
                                    <w:div w:id="157007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0337983">
      <w:bodyDiv w:val="1"/>
      <w:marLeft w:val="0"/>
      <w:marRight w:val="0"/>
      <w:marTop w:val="0"/>
      <w:marBottom w:val="0"/>
      <w:divBdr>
        <w:top w:val="none" w:sz="0" w:space="0" w:color="auto"/>
        <w:left w:val="none" w:sz="0" w:space="0" w:color="auto"/>
        <w:bottom w:val="none" w:sz="0" w:space="0" w:color="auto"/>
        <w:right w:val="none" w:sz="0" w:space="0" w:color="auto"/>
      </w:divBdr>
      <w:divsChild>
        <w:div w:id="557279205">
          <w:marLeft w:val="0"/>
          <w:marRight w:val="0"/>
          <w:marTop w:val="0"/>
          <w:marBottom w:val="0"/>
          <w:divBdr>
            <w:top w:val="none" w:sz="0" w:space="0" w:color="auto"/>
            <w:left w:val="none" w:sz="0" w:space="0" w:color="auto"/>
            <w:bottom w:val="none" w:sz="0" w:space="0" w:color="auto"/>
            <w:right w:val="none" w:sz="0" w:space="0" w:color="auto"/>
          </w:divBdr>
          <w:divsChild>
            <w:div w:id="1843855925">
              <w:marLeft w:val="0"/>
              <w:marRight w:val="0"/>
              <w:marTop w:val="0"/>
              <w:marBottom w:val="0"/>
              <w:divBdr>
                <w:top w:val="none" w:sz="0" w:space="0" w:color="auto"/>
                <w:left w:val="none" w:sz="0" w:space="0" w:color="auto"/>
                <w:bottom w:val="none" w:sz="0" w:space="0" w:color="auto"/>
                <w:right w:val="none" w:sz="0" w:space="0" w:color="auto"/>
              </w:divBdr>
              <w:divsChild>
                <w:div w:id="335615287">
                  <w:marLeft w:val="0"/>
                  <w:marRight w:val="0"/>
                  <w:marTop w:val="0"/>
                  <w:marBottom w:val="0"/>
                  <w:divBdr>
                    <w:top w:val="none" w:sz="0" w:space="0" w:color="auto"/>
                    <w:left w:val="none" w:sz="0" w:space="0" w:color="auto"/>
                    <w:bottom w:val="none" w:sz="0" w:space="0" w:color="auto"/>
                    <w:right w:val="none" w:sz="0" w:space="0" w:color="auto"/>
                  </w:divBdr>
                  <w:divsChild>
                    <w:div w:id="125254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09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esm.europa.eu/" TargetMode="External"/><Relationship Id="rId2" Type="http://schemas.openxmlformats.org/officeDocument/2006/relationships/hyperlink" Target="../../AppData/Local/Microsoft/Windows/Temporary%20Internet%20Files/AppData/Local/Microsoft/Windows/Temporary%20Internet%20Files/skrynna/AppData/Local/Microsoft/Windows/skrynna/AppData/Local/Microsoft/Windows/Temporary%20Internet%20Files/sinesca/AppData/Local/Microsoft/Windows/Temporary%20Internet%20Files/skrynna/AppData/Local/Microsoft/Windows/Temporary%20Internet%20Files/skrynna/AppData/Local/Microsoft/Windows/steimpa/AppData/Local/Microsoft/Windows/Temporary%20Internet%20Files/Content.Outlook/ASMTF00S/About%20the%20EFSF" TargetMode="External"/><Relationship Id="rId1" Type="http://schemas.openxmlformats.org/officeDocument/2006/relationships/hyperlink" Target="http://eur-lex.europa.eu/homepage.html" TargetMode="External"/><Relationship Id="rId4" Type="http://schemas.openxmlformats.org/officeDocument/2006/relationships/hyperlink" Target="http://www.consilium.europa.eu/uedocs/cms_data/docs/pressdata/en/ecofin/1143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EF837-54FE-4405-BACA-895F207E3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Pages>
  <Words>3912</Words>
  <Characters>26211</Characters>
  <Application>Microsoft Office Word</Application>
  <DocSecurity>0</DocSecurity>
  <Lines>748</Lines>
  <Paragraphs>493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29630</CharactersWithSpaces>
  <SharedDoc>false</SharedDoc>
  <HLinks>
    <vt:vector size="156" baseType="variant">
      <vt:variant>
        <vt:i4>1835064</vt:i4>
      </vt:variant>
      <vt:variant>
        <vt:i4>131</vt:i4>
      </vt:variant>
      <vt:variant>
        <vt:i4>0</vt:i4>
      </vt:variant>
      <vt:variant>
        <vt:i4>5</vt:i4>
      </vt:variant>
      <vt:variant>
        <vt:lpwstr/>
      </vt:variant>
      <vt:variant>
        <vt:lpwstr>_Toc485288193</vt:lpwstr>
      </vt:variant>
      <vt:variant>
        <vt:i4>1835064</vt:i4>
      </vt:variant>
      <vt:variant>
        <vt:i4>125</vt:i4>
      </vt:variant>
      <vt:variant>
        <vt:i4>0</vt:i4>
      </vt:variant>
      <vt:variant>
        <vt:i4>5</vt:i4>
      </vt:variant>
      <vt:variant>
        <vt:lpwstr/>
      </vt:variant>
      <vt:variant>
        <vt:lpwstr>_Toc485288192</vt:lpwstr>
      </vt:variant>
      <vt:variant>
        <vt:i4>1835064</vt:i4>
      </vt:variant>
      <vt:variant>
        <vt:i4>119</vt:i4>
      </vt:variant>
      <vt:variant>
        <vt:i4>0</vt:i4>
      </vt:variant>
      <vt:variant>
        <vt:i4>5</vt:i4>
      </vt:variant>
      <vt:variant>
        <vt:lpwstr/>
      </vt:variant>
      <vt:variant>
        <vt:lpwstr>_Toc485288191</vt:lpwstr>
      </vt:variant>
      <vt:variant>
        <vt:i4>1835064</vt:i4>
      </vt:variant>
      <vt:variant>
        <vt:i4>113</vt:i4>
      </vt:variant>
      <vt:variant>
        <vt:i4>0</vt:i4>
      </vt:variant>
      <vt:variant>
        <vt:i4>5</vt:i4>
      </vt:variant>
      <vt:variant>
        <vt:lpwstr/>
      </vt:variant>
      <vt:variant>
        <vt:lpwstr>_Toc485288190</vt:lpwstr>
      </vt:variant>
      <vt:variant>
        <vt:i4>1900600</vt:i4>
      </vt:variant>
      <vt:variant>
        <vt:i4>107</vt:i4>
      </vt:variant>
      <vt:variant>
        <vt:i4>0</vt:i4>
      </vt:variant>
      <vt:variant>
        <vt:i4>5</vt:i4>
      </vt:variant>
      <vt:variant>
        <vt:lpwstr/>
      </vt:variant>
      <vt:variant>
        <vt:lpwstr>_Toc485288189</vt:lpwstr>
      </vt:variant>
      <vt:variant>
        <vt:i4>1900600</vt:i4>
      </vt:variant>
      <vt:variant>
        <vt:i4>101</vt:i4>
      </vt:variant>
      <vt:variant>
        <vt:i4>0</vt:i4>
      </vt:variant>
      <vt:variant>
        <vt:i4>5</vt:i4>
      </vt:variant>
      <vt:variant>
        <vt:lpwstr/>
      </vt:variant>
      <vt:variant>
        <vt:lpwstr>_Toc485288188</vt:lpwstr>
      </vt:variant>
      <vt:variant>
        <vt:i4>1900600</vt:i4>
      </vt:variant>
      <vt:variant>
        <vt:i4>95</vt:i4>
      </vt:variant>
      <vt:variant>
        <vt:i4>0</vt:i4>
      </vt:variant>
      <vt:variant>
        <vt:i4>5</vt:i4>
      </vt:variant>
      <vt:variant>
        <vt:lpwstr/>
      </vt:variant>
      <vt:variant>
        <vt:lpwstr>_Toc485288187</vt:lpwstr>
      </vt:variant>
      <vt:variant>
        <vt:i4>1900600</vt:i4>
      </vt:variant>
      <vt:variant>
        <vt:i4>89</vt:i4>
      </vt:variant>
      <vt:variant>
        <vt:i4>0</vt:i4>
      </vt:variant>
      <vt:variant>
        <vt:i4>5</vt:i4>
      </vt:variant>
      <vt:variant>
        <vt:lpwstr/>
      </vt:variant>
      <vt:variant>
        <vt:lpwstr>_Toc485288186</vt:lpwstr>
      </vt:variant>
      <vt:variant>
        <vt:i4>1900600</vt:i4>
      </vt:variant>
      <vt:variant>
        <vt:i4>83</vt:i4>
      </vt:variant>
      <vt:variant>
        <vt:i4>0</vt:i4>
      </vt:variant>
      <vt:variant>
        <vt:i4>5</vt:i4>
      </vt:variant>
      <vt:variant>
        <vt:lpwstr/>
      </vt:variant>
      <vt:variant>
        <vt:lpwstr>_Toc485288185</vt:lpwstr>
      </vt:variant>
      <vt:variant>
        <vt:i4>1900600</vt:i4>
      </vt:variant>
      <vt:variant>
        <vt:i4>77</vt:i4>
      </vt:variant>
      <vt:variant>
        <vt:i4>0</vt:i4>
      </vt:variant>
      <vt:variant>
        <vt:i4>5</vt:i4>
      </vt:variant>
      <vt:variant>
        <vt:lpwstr/>
      </vt:variant>
      <vt:variant>
        <vt:lpwstr>_Toc485288184</vt:lpwstr>
      </vt:variant>
      <vt:variant>
        <vt:i4>1900600</vt:i4>
      </vt:variant>
      <vt:variant>
        <vt:i4>71</vt:i4>
      </vt:variant>
      <vt:variant>
        <vt:i4>0</vt:i4>
      </vt:variant>
      <vt:variant>
        <vt:i4>5</vt:i4>
      </vt:variant>
      <vt:variant>
        <vt:lpwstr/>
      </vt:variant>
      <vt:variant>
        <vt:lpwstr>_Toc485288183</vt:lpwstr>
      </vt:variant>
      <vt:variant>
        <vt:i4>1900600</vt:i4>
      </vt:variant>
      <vt:variant>
        <vt:i4>65</vt:i4>
      </vt:variant>
      <vt:variant>
        <vt:i4>0</vt:i4>
      </vt:variant>
      <vt:variant>
        <vt:i4>5</vt:i4>
      </vt:variant>
      <vt:variant>
        <vt:lpwstr/>
      </vt:variant>
      <vt:variant>
        <vt:lpwstr>_Toc485288182</vt:lpwstr>
      </vt:variant>
      <vt:variant>
        <vt:i4>1900600</vt:i4>
      </vt:variant>
      <vt:variant>
        <vt:i4>59</vt:i4>
      </vt:variant>
      <vt:variant>
        <vt:i4>0</vt:i4>
      </vt:variant>
      <vt:variant>
        <vt:i4>5</vt:i4>
      </vt:variant>
      <vt:variant>
        <vt:lpwstr/>
      </vt:variant>
      <vt:variant>
        <vt:lpwstr>_Toc485288181</vt:lpwstr>
      </vt:variant>
      <vt:variant>
        <vt:i4>1900600</vt:i4>
      </vt:variant>
      <vt:variant>
        <vt:i4>53</vt:i4>
      </vt:variant>
      <vt:variant>
        <vt:i4>0</vt:i4>
      </vt:variant>
      <vt:variant>
        <vt:i4>5</vt:i4>
      </vt:variant>
      <vt:variant>
        <vt:lpwstr/>
      </vt:variant>
      <vt:variant>
        <vt:lpwstr>_Toc485288180</vt:lpwstr>
      </vt:variant>
      <vt:variant>
        <vt:i4>1179704</vt:i4>
      </vt:variant>
      <vt:variant>
        <vt:i4>47</vt:i4>
      </vt:variant>
      <vt:variant>
        <vt:i4>0</vt:i4>
      </vt:variant>
      <vt:variant>
        <vt:i4>5</vt:i4>
      </vt:variant>
      <vt:variant>
        <vt:lpwstr/>
      </vt:variant>
      <vt:variant>
        <vt:lpwstr>_Toc485288179</vt:lpwstr>
      </vt:variant>
      <vt:variant>
        <vt:i4>1179704</vt:i4>
      </vt:variant>
      <vt:variant>
        <vt:i4>41</vt:i4>
      </vt:variant>
      <vt:variant>
        <vt:i4>0</vt:i4>
      </vt:variant>
      <vt:variant>
        <vt:i4>5</vt:i4>
      </vt:variant>
      <vt:variant>
        <vt:lpwstr/>
      </vt:variant>
      <vt:variant>
        <vt:lpwstr>_Toc485288178</vt:lpwstr>
      </vt:variant>
      <vt:variant>
        <vt:i4>1179704</vt:i4>
      </vt:variant>
      <vt:variant>
        <vt:i4>35</vt:i4>
      </vt:variant>
      <vt:variant>
        <vt:i4>0</vt:i4>
      </vt:variant>
      <vt:variant>
        <vt:i4>5</vt:i4>
      </vt:variant>
      <vt:variant>
        <vt:lpwstr/>
      </vt:variant>
      <vt:variant>
        <vt:lpwstr>_Toc485288177</vt:lpwstr>
      </vt:variant>
      <vt:variant>
        <vt:i4>1179704</vt:i4>
      </vt:variant>
      <vt:variant>
        <vt:i4>29</vt:i4>
      </vt:variant>
      <vt:variant>
        <vt:i4>0</vt:i4>
      </vt:variant>
      <vt:variant>
        <vt:i4>5</vt:i4>
      </vt:variant>
      <vt:variant>
        <vt:lpwstr/>
      </vt:variant>
      <vt:variant>
        <vt:lpwstr>_Toc485288176</vt:lpwstr>
      </vt:variant>
      <vt:variant>
        <vt:i4>1179704</vt:i4>
      </vt:variant>
      <vt:variant>
        <vt:i4>23</vt:i4>
      </vt:variant>
      <vt:variant>
        <vt:i4>0</vt:i4>
      </vt:variant>
      <vt:variant>
        <vt:i4>5</vt:i4>
      </vt:variant>
      <vt:variant>
        <vt:lpwstr/>
      </vt:variant>
      <vt:variant>
        <vt:lpwstr>_Toc485288175</vt:lpwstr>
      </vt:variant>
      <vt:variant>
        <vt:i4>1179704</vt:i4>
      </vt:variant>
      <vt:variant>
        <vt:i4>17</vt:i4>
      </vt:variant>
      <vt:variant>
        <vt:i4>0</vt:i4>
      </vt:variant>
      <vt:variant>
        <vt:i4>5</vt:i4>
      </vt:variant>
      <vt:variant>
        <vt:lpwstr/>
      </vt:variant>
      <vt:variant>
        <vt:lpwstr>_Toc485288174</vt:lpwstr>
      </vt:variant>
      <vt:variant>
        <vt:i4>1179704</vt:i4>
      </vt:variant>
      <vt:variant>
        <vt:i4>11</vt:i4>
      </vt:variant>
      <vt:variant>
        <vt:i4>0</vt:i4>
      </vt:variant>
      <vt:variant>
        <vt:i4>5</vt:i4>
      </vt:variant>
      <vt:variant>
        <vt:lpwstr/>
      </vt:variant>
      <vt:variant>
        <vt:lpwstr>_Toc485288173</vt:lpwstr>
      </vt:variant>
      <vt:variant>
        <vt:i4>1179704</vt:i4>
      </vt:variant>
      <vt:variant>
        <vt:i4>5</vt:i4>
      </vt:variant>
      <vt:variant>
        <vt:i4>0</vt:i4>
      </vt:variant>
      <vt:variant>
        <vt:i4>5</vt:i4>
      </vt:variant>
      <vt:variant>
        <vt:lpwstr/>
      </vt:variant>
      <vt:variant>
        <vt:lpwstr>_Toc485288172</vt:lpwstr>
      </vt:variant>
      <vt:variant>
        <vt:i4>786490</vt:i4>
      </vt:variant>
      <vt:variant>
        <vt:i4>9</vt:i4>
      </vt:variant>
      <vt:variant>
        <vt:i4>0</vt:i4>
      </vt:variant>
      <vt:variant>
        <vt:i4>5</vt:i4>
      </vt:variant>
      <vt:variant>
        <vt:lpwstr>http://www.consilium.europa.eu/uedocs/cms_data/docs/pressdata/en/ecofin/114324.pdf</vt:lpwstr>
      </vt:variant>
      <vt:variant>
        <vt:lpwstr/>
      </vt:variant>
      <vt:variant>
        <vt:i4>2031690</vt:i4>
      </vt:variant>
      <vt:variant>
        <vt:i4>6</vt:i4>
      </vt:variant>
      <vt:variant>
        <vt:i4>0</vt:i4>
      </vt:variant>
      <vt:variant>
        <vt:i4>5</vt:i4>
      </vt:variant>
      <vt:variant>
        <vt:lpwstr>http://esm.europa.eu/</vt:lpwstr>
      </vt:variant>
      <vt:variant>
        <vt:lpwstr/>
      </vt:variant>
      <vt:variant>
        <vt:i4>2883619</vt:i4>
      </vt:variant>
      <vt:variant>
        <vt:i4>3</vt:i4>
      </vt:variant>
      <vt:variant>
        <vt:i4>0</vt:i4>
      </vt:variant>
      <vt:variant>
        <vt:i4>5</vt:i4>
      </vt:variant>
      <vt:variant>
        <vt:lpwstr>../../AppData/Local/Microsoft/Windows/Temporary Internet Files/AppData/Local/Microsoft/Windows/Temporary Internet Files/skrynna/AppData/Local/Microsoft/Windows/skrynna/AppData/Local/Microsoft/Windows/Temporary Internet Files/sinesca/AppData/Local/Microsoft/Windows/Temporary Internet Files/skrynna/AppData/Local/Microsoft/Windows/Temporary Internet Files/skrynna/AppData/Local/Microsoft/Windows/steimpa/AppData/Local/Microsoft/Windows/Temporary Internet Files/Content.Outlook/ASMTF00S/About the EFSF</vt:lpwstr>
      </vt:variant>
      <vt:variant>
        <vt:lpwstr/>
      </vt:variant>
      <vt:variant>
        <vt:i4>3145760</vt:i4>
      </vt:variant>
      <vt:variant>
        <vt:i4>0</vt:i4>
      </vt:variant>
      <vt:variant>
        <vt:i4>0</vt:i4>
      </vt:variant>
      <vt:variant>
        <vt:i4>5</vt:i4>
      </vt:variant>
      <vt:variant>
        <vt:lpwstr>http://eur-lex.europa.eu/homepage.html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20</cp:revision>
  <cp:lastPrinted>2017-07-03T10:03:00Z</cp:lastPrinted>
  <dcterms:created xsi:type="dcterms:W3CDTF">2017-11-13T15:35:00Z</dcterms:created>
  <dcterms:modified xsi:type="dcterms:W3CDTF">2017-11-24T08:45:00Z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