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14085CDEC6248678C29E3EF78D106BC" style="width:450.8pt;height:463.1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bookmarkStart w:id="1" w:name="_GoBack"/>
            <w:bookmarkEnd w:id="1"/>
            <w:r>
              <w:rPr>
                <w:rFonts w:ascii="Tahoma" w:hAnsi="Tahoma"/>
                <w:b/>
                <w:noProof/>
              </w:rPr>
              <w:lastRenderedPageBreak/>
              <w:t>Kommenteeritud kokkuvõte</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rPr>
            </w:pPr>
            <w:r>
              <w:rPr>
                <w:rFonts w:ascii="Tahoma" w:hAnsi="Tahoma"/>
                <w:noProof/>
                <w:color w:val="FFFFFF" w:themeColor="background1"/>
              </w:rPr>
              <w:t>äriühingu tulumaksu ühtse konsolideeritud maksubaasi (CCCTB) kohta</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A. Vajadus meetmete järele</w:t>
            </w:r>
          </w:p>
        </w:tc>
      </w:tr>
      <w:tr>
        <w:tc>
          <w:tcPr>
            <w:tcW w:w="10188" w:type="dxa"/>
            <w:tcBorders>
              <w:bottom w:val="single" w:sz="4" w:space="0" w:color="auto"/>
            </w:tcBorders>
            <w:shd w:val="clear" w:color="auto" w:fill="E0E0E0"/>
          </w:tcPr>
          <w:p>
            <w:pPr>
              <w:spacing w:before="60" w:after="60"/>
              <w:jc w:val="both"/>
              <w:rPr>
                <w:rFonts w:ascii="Tahoma" w:hAnsi="Tahoma" w:cs="Tahoma"/>
                <w:noProof/>
              </w:rPr>
            </w:pPr>
            <w:r>
              <w:rPr>
                <w:rFonts w:ascii="Tahoma" w:hAnsi="Tahoma"/>
                <w:b/>
                <w:noProof/>
              </w:rPr>
              <w:t xml:space="preserve">Miks? Mis on lahendamist vajav probleem? </w:t>
            </w:r>
            <w:r>
              <w:rPr>
                <w:rFonts w:ascii="Tahoma" w:hAnsi="Tahoma"/>
                <w:noProof/>
                <w:u w:val="single"/>
              </w:rPr>
              <w:t>Kuni 11 rida</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Praegu loovad 28 eri äriühingu tulumaksusüsteemi võimalusi agressiivseks maksuplaneerimiseks, mis mõjutab negatiivselt maksualast käitumist ja õiglast maksustamist. Samuti põhjustab see olukord suuri nõuetega täitmise kulusid ja takistab investeeringute tegemist. Enamik riiklikke maksusüsteeme soodustab omakapitali kaudu rahastamise asemel laenuvahendite abil rahastamist, mis suurendab võlakoormust ja mõjutab majanduse vastupanuvõimet. Lisaks ei investeeri ELi ettevõtjad teiste suurte majandussüsteemidega võrreldes piisavalt teadus- ja arendustegevusse.</w:t>
            </w:r>
          </w:p>
          <w:p>
            <w:pPr>
              <w:jc w:val="both"/>
              <w:rPr>
                <w:rFonts w:ascii="Arial" w:hAnsi="Arial" w:cs="Arial"/>
                <w:noProof/>
              </w:rPr>
            </w:pPr>
          </w:p>
          <w:p>
            <w:pPr>
              <w:jc w:val="both"/>
              <w:rPr>
                <w:rFonts w:ascii="Arial" w:hAnsi="Arial" w:cs="Arial"/>
                <w:noProof/>
              </w:rPr>
            </w:pPr>
            <w:r>
              <w:rPr>
                <w:rFonts w:ascii="Arial" w:hAnsi="Arial"/>
                <w:noProof/>
              </w:rPr>
              <w:t xml:space="preserve">Kõnealused probleemid on tingitud ettevõtjate rahvusvahelistumisest ja üha liikuvamaks muutuvast kasumist. Samas määratakse maksubaas kindlaks riiklikul tasandil. See ajendab liikmesriike oma maksubaasi ühepoolselt kaitsma ja liikuvat kasumit ligi meelitama. Ühepoolne tegevusega ei ole võimalik peamisi probleeme lahendada. Need suurendavad olukorra keerulisust, takistades veelgi ühtse turu arengut ning investeeringuid ja majanduskasvu. </w:t>
            </w:r>
          </w:p>
          <w:p>
            <w:pPr>
              <w:jc w:val="both"/>
              <w:rPr>
                <w:rFonts w:ascii="Arial" w:hAnsi="Arial" w:cs="Arial"/>
                <w:noProof/>
              </w:rPr>
            </w:pPr>
          </w:p>
          <w:p>
            <w:pPr>
              <w:jc w:val="both"/>
              <w:rPr>
                <w:rFonts w:ascii="Arial" w:hAnsi="Arial" w:cs="Arial"/>
                <w:noProof/>
              </w:rPr>
            </w:pPr>
            <w:r>
              <w:rPr>
                <w:rFonts w:ascii="Arial" w:hAnsi="Arial"/>
                <w:noProof/>
              </w:rPr>
              <w:t>Kõik see mõjutab ettevõtjaid erineval viisil. Eeskätt tuleb piiriüleselt tegutsevatel ettevõtjatel tasuda suuri nõuete täitmisega seotud kulusid, samas kui ettevõtjad, kes tegelevad agressiivse maksuplaneerimisega, saavad teiste ettevõtjate ja kodanike arvelt kasu.</w:t>
            </w:r>
          </w:p>
          <w:p>
            <w:pPr>
              <w:jc w:val="both"/>
              <w:rPr>
                <w:rFonts w:ascii="Arial" w:hAnsi="Arial" w:cs="Arial"/>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Mida selle algatusega loodetakse saavutada? </w:t>
            </w:r>
            <w:r>
              <w:rPr>
                <w:rFonts w:ascii="Tahoma" w:hAnsi="Tahoma"/>
                <w:noProof/>
                <w:u w:val="single"/>
              </w:rPr>
              <w:t>Kuni 8 rida</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Üks oluline eesmärk on suurendada maksusüsteemi õiglust, kõrvaldades mõned äriühingu tulumaksu vältimise algpõhjustest. See peaks i) oluliselt vähendama piiriülest maksuplaneerimist, ii) looma kodumaiste ja rahvusvaheliste äriühingute jaoks võrdsemad tingimused, iii) tagama, et äriühingud maksavad maksust õiglase osa ja iv) edendama üldiselt maksumaksjate motiveeritust. Samal ajal on algatuse eesmärk stimuleerida investeeringutegevust ja majanduskasvu, i) lihtsustades keerulist äriühingu tulumaksu süsteemi ELis, et vähendada nõuete täitmisega seotud kulusid ja halduskoormust; ii) kõrvaldades topeltmaksustamise ohu ning muud diskrimineerimisalused ja piirangud, iii) vähendades maksustamisega seotud moonutusi investeerimisel ja maksualaste ostuste tegemisel; ning iv) luues stiimuleid ELi investeerimiseks, muu hulgas teadus- ja arendustegevust toetades.</w:t>
            </w:r>
          </w:p>
          <w:p>
            <w:pPr>
              <w:jc w:val="both"/>
              <w:rPr>
                <w:rFonts w:ascii="Arial" w:hAnsi="Arial" w:cs="Arial"/>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Milline on ELi tasandi meetmete lisaväärtus?</w:t>
            </w:r>
            <w:r>
              <w:rPr>
                <w:rFonts w:ascii="Tahoma" w:hAnsi="Tahoma"/>
                <w:noProof/>
              </w:rPr>
              <w:t xml:space="preserve"> </w:t>
            </w:r>
            <w:r>
              <w:rPr>
                <w:rFonts w:ascii="Tahoma" w:hAnsi="Tahoma"/>
                <w:noProof/>
                <w:u w:val="single"/>
              </w:rPr>
              <w:t>Kuni 7 rida</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ELi lisaväärtus on veelgi parandada kapitali liikuvust liidus, vähendades nõuete täitmisega seotud kulusid ja piiriüleseid maksutõkkeid. Samaaegselt tagatakse ELi meetmetega, et hargmaiste ettevõtjate tegevusega ELis ei hoidutaks kõrvale õiglase maksumäära tasumisest. Ühine lähenemisviis ELi äriühingu tulumaksubaasile aitab taastada seose maksustamise ja väärtuse loomise vahel.  </w:t>
            </w:r>
          </w:p>
          <w:p>
            <w:pPr>
              <w:jc w:val="both"/>
              <w:rPr>
                <w:rFonts w:ascii="Arial" w:hAnsi="Arial" w:cs="Arial"/>
                <w:noProof/>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B. Lahendused</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Milliseid seadusandlikke ja mitteseadusandlikke poliitikavariante on kaalutud?</w:t>
            </w:r>
            <w:r>
              <w:rPr>
                <w:rFonts w:ascii="Tahoma" w:hAnsi="Tahoma"/>
                <w:noProof/>
              </w:rPr>
              <w:t xml:space="preserve"> </w:t>
            </w:r>
            <w:r>
              <w:rPr>
                <w:rFonts w:ascii="Tahoma" w:hAnsi="Tahoma"/>
                <w:b/>
                <w:noProof/>
              </w:rPr>
              <w:t xml:space="preserve">Kas on olemas eelistatud variant? Miks? </w:t>
            </w:r>
            <w:r>
              <w:rPr>
                <w:rFonts w:ascii="Tahoma" w:hAnsi="Tahoma"/>
                <w:noProof/>
                <w:u w:val="single"/>
              </w:rPr>
              <w:t>Kuni 14 rida</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Peamine poliitikavariant on ettepanek äriühingu tulumaksu ühtse konsolideeritud maksubaasi kohta. Peamine tehtav valik puudutab maksubaasi ulatust, st seda, kelle suhtes maksubaasi kohaldatakse. Põhilised variandid, mida on kaalutud, on muuta CCCTB kohustuslikuks kõigile ettevõtjatele või üksnes teatavatele ettevõtjatele. Kehtivate maksusüsteemide laenurahastuse kasuks kallutatuse vähendamiseks on kaalutud erinevaid variante. Võimalik on kaaluda kahte põhimeedet: lubada nii laenuvahendite kui ka omakapitali kaudu rahastamise kulude mahaarvamist või mitte lubada kumbagi. Mis puudutab teadus- ja arendustegevuse stiimuleid, siis on peamistes variantides kaalutud võimalust näha ette erineva mahuga teadus- ja arendustegevuse investeeringutega seotud maksusoodustus. </w:t>
            </w:r>
          </w:p>
          <w:p>
            <w:pPr>
              <w:jc w:val="both"/>
              <w:rPr>
                <w:rFonts w:ascii="Arial" w:hAnsi="Arial" w:cs="Arial"/>
                <w:noProof/>
              </w:rPr>
            </w:pPr>
          </w:p>
          <w:p>
            <w:pPr>
              <w:jc w:val="both"/>
              <w:rPr>
                <w:rFonts w:ascii="Arial" w:hAnsi="Arial" w:cs="Arial"/>
                <w:noProof/>
              </w:rPr>
            </w:pPr>
            <w:r>
              <w:rPr>
                <w:rFonts w:ascii="Arial" w:hAnsi="Arial"/>
                <w:noProof/>
              </w:rPr>
              <w:t xml:space="preserve">Eri variantide hindamise tulemusel on eelistatud variant: CCCTB kohustuslikuks muutmine suurtele ettevõtjatele ning „majanduskasvu ja investeerimise edendamise soodustuse“ ja teadus- ja arendustegevuse soodustuse kehtestamine. Majanduskasvu ja investeerimise soodustus võimaldab laenuvahendite ja omakapitali abil rahastamisega seotud kulude mahaarvamist piiratud ulatuses, et vältida kuritarvitusi ja maksuplaneerimist. Teadus- ja arendustegevuse soodustuse eesmärk on säilitada olemasolevad teadus- ja arendustegevuse stiimulid. Analüüsist nähtub, et CCCTB-l on selged eelised võrreldes alternatiivse variandiga, millega ei kaasneks meetmete võtmist. </w:t>
            </w:r>
          </w:p>
          <w:p>
            <w:pPr>
              <w:jc w:val="both"/>
              <w:rPr>
                <w:rFonts w:ascii="Arial" w:hAnsi="Arial" w:cs="Arial"/>
                <w:noProof/>
              </w:rPr>
            </w:pPr>
          </w:p>
        </w:tc>
      </w:tr>
      <w:tr>
        <w:tc>
          <w:tcPr>
            <w:tcW w:w="10188" w:type="dxa"/>
            <w:shd w:val="clear" w:color="auto" w:fill="CCCCCC"/>
          </w:tcPr>
          <w:p>
            <w:pPr>
              <w:spacing w:before="60"/>
              <w:jc w:val="both"/>
              <w:rPr>
                <w:rFonts w:ascii="Tahoma" w:hAnsi="Tahoma" w:cs="Tahoma"/>
                <w:noProof/>
              </w:rPr>
            </w:pPr>
            <w:r>
              <w:rPr>
                <w:rFonts w:ascii="Tahoma" w:hAnsi="Tahoma"/>
                <w:b/>
                <w:noProof/>
              </w:rPr>
              <w:t xml:space="preserve">Kes millist varianti toetab? </w:t>
            </w:r>
            <w:r>
              <w:rPr>
                <w:rFonts w:ascii="Tahoma" w:hAnsi="Tahoma"/>
                <w:noProof/>
                <w:u w:val="single"/>
              </w:rPr>
              <w:t>Kuni 7 rida</w:t>
            </w:r>
            <w:r>
              <w:rPr>
                <w:rFonts w:ascii="Tahoma" w:hAnsi="Tahoma"/>
                <w:noProof/>
              </w:rPr>
              <w:t xml:space="preserve"> </w:t>
            </w:r>
          </w:p>
        </w:tc>
      </w:tr>
      <w:tr>
        <w:tc>
          <w:tcPr>
            <w:tcW w:w="10188" w:type="dxa"/>
            <w:shd w:val="clear" w:color="auto" w:fill="auto"/>
          </w:tcPr>
          <w:p>
            <w:pPr>
              <w:jc w:val="both"/>
              <w:rPr>
                <w:rFonts w:ascii="Arial" w:hAnsi="Arial" w:cs="Arial"/>
                <w:noProof/>
              </w:rPr>
            </w:pPr>
            <w:r>
              <w:rPr>
                <w:rFonts w:ascii="Arial" w:hAnsi="Arial"/>
                <w:noProof/>
              </w:rPr>
              <w:t>CCCTB taaskäivitamist toetasid üldiselt kõik sidusrühmad. Toetus oli suurim valitsusväliste organisatsioonide, üksikisikute ja teiste konsultatsioonis osalenute ning ka äriühingute, eeskätt VKEde hulgas. Valitsusvälised organisatsioonid, VKEd ja üksikisikud toetavad selgelt CCCTB (osaliselt) kohustuslikuks muutmist; suured ettevõtjad on selle vastu. Teisest küljest pooldas kõigi sidusrühmade selge enamus CCCTB-ga ühinemise vabatahtlikku varianti. Nii suured kui ka väikesed ettevõtjad toetasid väga selgelt teadus- ja arendustegevuse soodsat maksustamist ning ettepanekut lahendada võlakohustuste omakapitalile eelistamise küsimus algatuse taaskäivitamise käigus omakapitaliemissioonide toetuse abil.</w:t>
            </w:r>
          </w:p>
          <w:p>
            <w:pPr>
              <w:jc w:val="both"/>
              <w:rPr>
                <w:rFonts w:ascii="Arial" w:hAnsi="Arial" w:cs="Arial"/>
                <w:noProof/>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C. Eelistatud poliitikavariandi mõju</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b/>
                <w:noProof/>
              </w:rPr>
              <w:t>Millised on eelistatud poliitikavariandi (kui see on olemas, vastasel korral peamiste poliitikavariantide) eelised?</w:t>
            </w:r>
            <w:r>
              <w:rPr>
                <w:rFonts w:ascii="Tahoma" w:hAnsi="Tahoma"/>
                <w:noProof/>
              </w:rPr>
              <w:t xml:space="preserve"> </w:t>
            </w:r>
            <w:r>
              <w:rPr>
                <w:rFonts w:ascii="Tahoma" w:hAnsi="Tahoma"/>
                <w:noProof/>
                <w:u w:val="single"/>
              </w:rPr>
              <w:t>Kuni 12 rida</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Eelistatud poliitikavariandi rakendamine suurendab eeldatavasti maksusüsteemide õiglust ja loob ELis agressiivse maksuplaneerimise stiimulite tõhusa kõrvaldamisega võrdsed võimalused. See aitaks tagada, et äriühingud kannavad õiglase osa maksukoormusest, ja suurendaks maksumaksjate motivatsiooni. Lisaks kõrvaldataks tõhusalt piiriülesed maksutõkked ELi piires. Moonutusi äriühingute rahastamisotsustes vähendataks majanduskasvu ja investeerimise soodustusega, mis võimaldab omakapitali ja laenuvahendite kaudu rahastamist võrdsetel alustel. Teadus- ja arendustegevuse stiimuleid mitte ainult säilitata, vaid neid hoopis suurendatakse ja ühtlustatakse. </w:t>
            </w:r>
          </w:p>
          <w:p>
            <w:pPr>
              <w:jc w:val="both"/>
              <w:rPr>
                <w:rFonts w:ascii="Arial" w:hAnsi="Arial" w:cs="Arial"/>
                <w:noProof/>
              </w:rPr>
            </w:pPr>
          </w:p>
          <w:p>
            <w:pPr>
              <w:jc w:val="both"/>
              <w:rPr>
                <w:rFonts w:ascii="Arial" w:hAnsi="Arial" w:cs="Arial"/>
                <w:noProof/>
              </w:rPr>
            </w:pPr>
            <w:r>
              <w:rPr>
                <w:rFonts w:ascii="Arial" w:hAnsi="Arial"/>
                <w:noProof/>
              </w:rPr>
              <w:t>Ettepaneku eeldatav majanduslik kasu on positiivne. CCCTB koos majanduskasvu ja investeerimise soodustusega suurendaks investeeringuid ja tööhõivet vastavalt kuni 3,4 % ja 0,6 % võrra. Kokkuvõttes suureneks majanduskasv kuni 1,2 %. Nõuete täitmisega seotud kulud peaksid eeldatavasti vähenema (10 % meetmete rakendamise tähtaja ja 2,5 % nõuete täitmisega seotud kulude osas). Tütarettevõtjate asutamise kulud väheneksid kuni 67 %, mis muudab ettevõtjate (sh VKEde) jaoks välisriiki minemise lihtsamaks.</w:t>
            </w:r>
          </w:p>
          <w:p>
            <w:pPr>
              <w:jc w:val="both"/>
              <w:rPr>
                <w:rFonts w:ascii="Arial" w:hAnsi="Arial" w:cs="Arial"/>
                <w:noProof/>
              </w:rPr>
            </w:pPr>
          </w:p>
          <w:p>
            <w:pPr>
              <w:jc w:val="both"/>
              <w:rPr>
                <w:rFonts w:ascii="Arial" w:hAnsi="Arial" w:cs="Arial"/>
                <w:noProof/>
              </w:rPr>
            </w:pPr>
            <w:r>
              <w:rPr>
                <w:rFonts w:ascii="Arial" w:hAnsi="Arial"/>
                <w:noProof/>
              </w:rPr>
              <w:t>Eelistatud variandiga ei kaasneks keskkonnamõju. Ka sotsiaalne mõju oleks piiratud.</w:t>
            </w:r>
          </w:p>
          <w:p>
            <w:pPr>
              <w:jc w:val="both"/>
              <w:rPr>
                <w:rFonts w:ascii="Arial" w:hAnsi="Arial" w:cs="Arial"/>
                <w:i/>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Millised on eelistatud poliitikavariandi (kui see on olemas, vastasel korral peamiste poliitikavariantide) kulud?</w:t>
            </w:r>
            <w:r>
              <w:rPr>
                <w:rFonts w:ascii="Tahoma" w:hAnsi="Tahoma"/>
                <w:noProof/>
              </w:rPr>
              <w:t xml:space="preserve"> </w:t>
            </w:r>
            <w:r>
              <w:rPr>
                <w:rFonts w:ascii="Tahoma" w:hAnsi="Tahoma"/>
                <w:noProof/>
                <w:u w:val="single"/>
              </w:rPr>
              <w:t>Kuni 12 rida</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i/>
                <w:noProof/>
              </w:rPr>
            </w:pPr>
            <w:r>
              <w:rPr>
                <w:rFonts w:ascii="Arial" w:hAnsi="Arial"/>
                <w:noProof/>
              </w:rPr>
              <w:t>Ettepaneku kulud riikide maksutuluga seoses sõltuvad sellest, kuidas liikmesriigid oma maksumäärasid uue maksubaasiga kohandavad ja majanduskasvu ja investeerimise edendamise soodustusest ning teadus- ja arendustegevuse stiimulitest. Eelistatud poliitikavariandis ette nähtud nõuete täitmisega seotud kulud ja halduskulud on peamiselt seotud olemasolevast äriühingute tulumaksusüsteemist CCCTB süsteemi üleminekuga. Neid kulusid tuleb siiski kanda vaid üks kord. Maksuasutuste poolt konkreetse maksu haldamise või uue maksu kehtestamisega seotud kulude kohta puuduvad kvantitatiivsed näitajad. Põhjus on selles, et enamik maksuasutusi (ja vastavad IT-süsteemid) on üles ehitatud täidetavate ülesannete, mitte maksuliikide põhiselt.</w:t>
            </w:r>
          </w:p>
          <w:p>
            <w:pPr>
              <w:jc w:val="both"/>
              <w:rPr>
                <w:rFonts w:ascii="Arial" w:hAnsi="Arial" w:cs="Arial"/>
                <w:i/>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Milline on mõju ettevõtjatele, VKEdele ja mikroettevõtjatele? </w:t>
            </w:r>
            <w:r>
              <w:rPr>
                <w:rFonts w:ascii="Tahoma" w:hAnsi="Tahoma"/>
                <w:noProof/>
                <w:u w:val="single"/>
              </w:rPr>
              <w:t>Kuni 8 rida</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Suurettevõtjatele, kes kuuluvad CCCTB kohustuslikku kohaldamisalasse, on ühtne maksubaas kohustuslik. Selle näol on tegemist olulise muudatusega ettevõtjate jaoks ja see loob võrdsemad võimalused ELis kõigi teiste ettevõtjate jaoks, kuna CCCTB võimaldab süsteemiga vabatahtlikult ühineda. Nii ei mõjuta neid ettevõtjaid vahetult see, kui nad otsustavad siseriikliku süsteemi kohaldamisalasse jääda. Kui äriühingud otsustavad CCCTB-d kohaldada, teevad nad seda seetõttu, et nimetatud süsteem võimaldab neil teatavat kasu saada, nt nõuete täitmise väiksemate kulude ja suurema tõhususe näol. Seega on mõju positiivne.</w:t>
            </w:r>
          </w:p>
          <w:p>
            <w:pPr>
              <w:jc w:val="both"/>
              <w:rPr>
                <w:rFonts w:ascii="Arial" w:hAnsi="Arial" w:cs="Arial"/>
                <w:noProof/>
              </w:rPr>
            </w:pPr>
          </w:p>
        </w:tc>
      </w:tr>
      <w:tr>
        <w:tc>
          <w:tcPr>
            <w:tcW w:w="10188" w:type="dxa"/>
            <w:tcBorders>
              <w:bottom w:val="single" w:sz="4" w:space="0" w:color="auto"/>
            </w:tcBorders>
            <w:shd w:val="clear" w:color="auto" w:fill="E6E6E6"/>
          </w:tcPr>
          <w:p>
            <w:pPr>
              <w:spacing w:before="60"/>
              <w:jc w:val="both"/>
              <w:rPr>
                <w:rFonts w:ascii="Tahoma" w:hAnsi="Tahoma" w:cs="Tahoma"/>
                <w:b/>
                <w:i/>
                <w:noProof/>
              </w:rPr>
            </w:pPr>
            <w:r>
              <w:rPr>
                <w:b/>
                <w:noProof/>
              </w:rPr>
              <w:t>Kas on olemas märkimisväärne mõju riigieelarvetele ja haldusasutustele?</w:t>
            </w:r>
            <w:r>
              <w:rPr>
                <w:rFonts w:ascii="Tahoma" w:hAnsi="Tahoma"/>
                <w:noProof/>
              </w:rPr>
              <w:t xml:space="preserve"> </w:t>
            </w:r>
            <w:r>
              <w:rPr>
                <w:rFonts w:ascii="Tahoma" w:hAnsi="Tahoma"/>
                <w:noProof/>
                <w:u w:val="single"/>
              </w:rPr>
              <w:t>Kuni 4 rida</w:t>
            </w:r>
          </w:p>
        </w:tc>
      </w:tr>
      <w:tr>
        <w:tc>
          <w:tcPr>
            <w:tcW w:w="10188" w:type="dxa"/>
            <w:shd w:val="clear" w:color="auto" w:fill="auto"/>
          </w:tcPr>
          <w:p>
            <w:pPr>
              <w:jc w:val="both"/>
              <w:rPr>
                <w:rFonts w:ascii="Arial" w:hAnsi="Arial" w:cs="Arial"/>
                <w:noProof/>
              </w:rPr>
            </w:pPr>
            <w:r>
              <w:rPr>
                <w:rFonts w:ascii="Arial" w:hAnsi="Arial"/>
                <w:noProof/>
              </w:rPr>
              <w:t>On olemas kaks otsest mõju maksutuludele. Esiteks muudab CCCTB siseriiklike süsteemidega võrreldes maksubaasi arvutamise eeskirju, vähendades enamike liikmesriikide jaoks maksubaasi. Teiseks eraldatakse rahvusvahelise kontserni maksubaas liikmesriikidele sellise valemi kohaselt, mis põhineb majandustegevusel tööjõu, kapitali ja käibe lõikes. Sellegipoolest on raske täpselt lõplikke tulemusi ennustada, kuna mõju tuludele sõltub ka sellest, kuidas liikmesriigid kohandavad oma maksumäärasid uue maksubaasiga ja kuidas ettevõtjad uutes oludes tegutsema hakkavad.</w:t>
            </w:r>
          </w:p>
          <w:p>
            <w:pPr>
              <w:jc w:val="both"/>
              <w:rPr>
                <w:rFonts w:ascii="Arial" w:hAnsi="Arial" w:cs="Arial"/>
                <w:noProof/>
              </w:rPr>
            </w:pPr>
          </w:p>
          <w:p>
            <w:pPr>
              <w:jc w:val="both"/>
              <w:rPr>
                <w:rFonts w:ascii="Arial" w:hAnsi="Arial" w:cs="Arial"/>
                <w:noProof/>
              </w:rPr>
            </w:pPr>
            <w:r>
              <w:rPr>
                <w:rFonts w:ascii="Arial" w:hAnsi="Arial"/>
                <w:noProof/>
              </w:rPr>
              <w:t>Üldiselt suurendab riiklike süsteemide ja CCCTB paralleelne kohaldamine riiklike maksuasutuste halduskulusid, kuna käimas tuleb hoida kahte, küll teineteisega sarnast, maksusüsteemi. Samas tuleb hargmaistel ettevõtjatel esitada ELis ainult üks maksudeklaratsioon, mis aitab vähendada maksuasutuste halduskoormust. Samuti vähenevad oluliselt siirdehindade dokumentatsiooni haldamise kulud.</w:t>
            </w:r>
          </w:p>
          <w:p>
            <w:pPr>
              <w:jc w:val="both"/>
              <w:rPr>
                <w:rFonts w:ascii="Arial" w:hAnsi="Arial" w:cs="Arial"/>
                <w:noProof/>
              </w:rPr>
            </w:pP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Kas on oodata muud olulist mõju?</w:t>
            </w:r>
            <w:r>
              <w:rPr>
                <w:rFonts w:ascii="Tahoma" w:hAnsi="Tahoma"/>
                <w:noProof/>
              </w:rPr>
              <w:t xml:space="preserve"> </w:t>
            </w:r>
            <w:r>
              <w:rPr>
                <w:rFonts w:ascii="Tahoma" w:hAnsi="Tahoma"/>
                <w:noProof/>
                <w:u w:val="single"/>
              </w:rPr>
              <w:t xml:space="preserve">Kuni 6 rida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CCCTB aitab muuta ELi investeeringute jaoks atraktiivsemaks. Investorid ei pea ELi investeerimisel analüüsima ega hindama 28 eri maksusüsteemi erisusi ja õigusnorme, mis vähendab nõuete täitmisega seotud kulusid ja halduskulusid. Lisaks suurendab teadus- ja arendustegevuse stiimulite ning majanduskasvu ja investeerimise soodustusega maksubaas ELi konkurentsivõimet, kuna investeeringud muutuvad tulusamaks ja majandus vastupidavamaks.</w:t>
            </w:r>
          </w:p>
          <w:p>
            <w:pPr>
              <w:jc w:val="both"/>
              <w:rPr>
                <w:rFonts w:ascii="Arial" w:hAnsi="Arial" w:cs="Arial"/>
                <w:noProof/>
              </w:rPr>
            </w:pPr>
          </w:p>
        </w:tc>
      </w:tr>
      <w:tr>
        <w:tc>
          <w:tcPr>
            <w:tcW w:w="10188"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b/>
                <w:noProof/>
              </w:rPr>
              <w:t>D. Järelmeetmed</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 xml:space="preserve">Millal poliitika läbi vaadatakse? </w:t>
            </w:r>
            <w:r>
              <w:rPr>
                <w:rFonts w:ascii="Tahoma" w:hAnsi="Tahoma"/>
                <w:noProof/>
                <w:u w:val="single"/>
              </w:rPr>
              <w:t>Kuni 4 rida</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Tahoma" w:hAnsi="Tahoma" w:cs="Tahoma"/>
                <w:b/>
                <w:noProof/>
              </w:rPr>
            </w:pPr>
            <w:r>
              <w:rPr>
                <w:rFonts w:ascii="Tahoma" w:hAnsi="Tahoma"/>
                <w:noProof/>
              </w:rPr>
              <w:t>Poliitikat hinnatakse kolme kuni viie aasta jooksul pärast selle rakendamist. Selline tähtaeg tundub mõistlik, arvestades, et ettevõtjad ja maksuametid vajavad aega kohanduste tegemiseks ja vastavate andmete esitamiseks.</w:t>
            </w:r>
          </w:p>
        </w:tc>
      </w:tr>
    </w:tbl>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320" w:bottom="1417" w:left="112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3426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isatud dokumendile:"/>
    <w:docVar w:name="LW_CONFIDENCE" w:val=" "/>
    <w:docVar w:name="LW_CONST_RESTREINT_UE" w:val="RESTREINT UE"/>
    <w:docVar w:name="LW_CORRIGENDUM" w:val="&lt;UNUSED&gt;"/>
    <w:docVar w:name="LW_COVERPAGE_GUID" w:val="B14085CDEC6248678C29E3EF78D106BC"/>
    <w:docVar w:name="LW_CROSSREFERENCE" w:val="{COM(2016) 683 final}_x000b_{SWD(2016) 341 final}"/>
    <w:docVar w:name="LW_DocType" w:val="NORMAL"/>
    <w:docVar w:name="LW_EMISSION" w:val="25.10.2016"/>
    <w:docVar w:name="LW_EMISSION_ISODATE" w:val="2016-10-25"/>
    <w:docVar w:name="LW_EMISSION_LOCATION" w:val="STR"/>
    <w:docVar w:name="LW_EMISSION_PREFIX" w:val="Strasbourg, "/>
    <w:docVar w:name="LW_EMISSION_SUFFIX" w:val=" "/>
    <w:docVar w:name="LW_ID_DOCTYPE_NONLW" w:val="CP-027"/>
    <w:docVar w:name="LW_LANGUE" w:val="ET"/>
    <w:docVar w:name="LW_MARKING" w:val="&lt;UNUSED&gt;"/>
    <w:docVar w:name="LW_NOM.INST" w:val="EUROOPA KOMISJON"/>
    <w:docVar w:name="LW_NOM.INST_JOINTDOC" w:val="&lt;EMPTY&gt;"/>
    <w:docVar w:name="LW_OBJETACTEPRINCIPAL.CP" w:val="äriühingu tulumaksu ühtse maksubaasi ja äriühingu tulumaksu ühtse konsolideeritud maksubaasi kohta _x000b_"/>
    <w:docVar w:name="LW_PART_NBR" w:val="1"/>
    <w:docVar w:name="LW_PART_NBR_TOTAL" w:val="1"/>
    <w:docVar w:name="LW_REF.INST.NEW" w:val="SWD"/>
    <w:docVar w:name="LW_REF.INST.NEW_ADOPTED" w:val="final"/>
    <w:docVar w:name="LW_REF.INST.NEW_TEXT" w:val="(2016) 342"/>
    <w:docVar w:name="LW_REF.INTERNE" w:val="&lt;UNUSED&gt;"/>
    <w:docVar w:name="LW_SUPERTITRE" w:val="&lt;UNUSED&gt;"/>
    <w:docVar w:name="LW_TITRE.OBJ.CP" w:val="&lt;UNUSED&gt;"/>
    <w:docVar w:name="LW_TYPE.DOC.CP" w:val="KOMISJONI TALITUSTE TÖÖDOKUMENT_x000b__x000b_MÕJUHINNANGU KOMMENTEERITUD KOKKUVÕTE_x000b_"/>
    <w:docVar w:name="LW_TYPEACTEPRINCIPAL.CP" w:val="Nõukogu direktiivi ettepanekud_x000b__x000b__x000b_"/>
  </w:docVar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7D5D-9230-4032-B48B-FA8CBF05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8845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dcterms:created xsi:type="dcterms:W3CDTF">2016-10-28T09:44:00Z</dcterms:created>
  <dcterms:modified xsi:type="dcterms:W3CDTF">2016-11-04T14:16:00Z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