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7C" w:rsidRDefault="009C1AFB">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B62E2A70E764ACDAFA27C7F58810270" style="width:450.45pt;height:321.4pt">
            <v:imagedata r:id="rId9" o:title=""/>
          </v:shape>
        </w:pict>
      </w:r>
    </w:p>
    <w:bookmarkEnd w:id="0"/>
    <w:p w:rsidR="000D0A7C" w:rsidRDefault="000D0A7C">
      <w:pPr>
        <w:rPr>
          <w:noProof/>
        </w:rPr>
        <w:sectPr w:rsidR="000D0A7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0" w:h="16840"/>
          <w:pgMar w:top="1134" w:right="1417" w:bottom="1134" w:left="1417" w:header="709" w:footer="709" w:gutter="0"/>
          <w:pgNumType w:start="2"/>
          <w:cols w:space="720"/>
          <w:docGrid w:linePitch="326"/>
        </w:sectPr>
      </w:pPr>
    </w:p>
    <w:p w:rsidR="000D0A7C" w:rsidRDefault="009C1AFB">
      <w:pPr>
        <w:pStyle w:val="Heading"/>
        <w:spacing w:after="120"/>
        <w:rPr>
          <w:noProof/>
        </w:rPr>
      </w:pPr>
      <w:r>
        <w:rPr>
          <w:noProof/>
        </w:rPr>
        <w:lastRenderedPageBreak/>
        <w:t>1.</w:t>
      </w:r>
      <w:r>
        <w:rPr>
          <w:noProof/>
        </w:rPr>
        <w:tab/>
        <w:t>Ookeanid – ülemaailmne proovikivi ja prioriteet</w:t>
      </w:r>
    </w:p>
    <w:p w:rsidR="000D0A7C" w:rsidRDefault="000D0A7C">
      <w:pPr>
        <w:pStyle w:val="Body"/>
        <w:spacing w:after="120"/>
        <w:rPr>
          <w:noProof/>
        </w:rPr>
      </w:pPr>
    </w:p>
    <w:p w:rsidR="000D0A7C" w:rsidRDefault="009C1AFB">
      <w:pPr>
        <w:pStyle w:val="Body"/>
        <w:spacing w:after="120"/>
        <w:rPr>
          <w:noProof/>
        </w:rPr>
      </w:pPr>
      <w:r>
        <w:rPr>
          <w:noProof/>
        </w:rPr>
        <w:t xml:space="preserve">Euroopa Liidule ja paljudele riikidele </w:t>
      </w:r>
      <w:r>
        <w:rPr>
          <w:noProof/>
        </w:rPr>
        <w:t>maailmas on ookeanid meie tuleviku jaoks otsustava tähtsusega. Nad pakuvad suurepäraseid võimalusi majanduskasvuks, töökohtade loomiseks ja innovatsiooniks. Ülemaailmsest ookeanimajandusest saadav tulu on hinnanguliselt 1,3 triljonit eurot ja see võiks 203</w:t>
      </w:r>
      <w:r>
        <w:rPr>
          <w:noProof/>
        </w:rPr>
        <w:t>0. aastaks rohkem kui kahekordistuda</w:t>
      </w:r>
      <w:r>
        <w:rPr>
          <w:rStyle w:val="FootnoteReference"/>
          <w:noProof/>
        </w:rPr>
        <w:footnoteReference w:id="1"/>
      </w:r>
      <w:r>
        <w:rPr>
          <w:noProof/>
        </w:rPr>
        <w:t xml:space="preserve">. </w:t>
      </w:r>
    </w:p>
    <w:p w:rsidR="000D0A7C" w:rsidRDefault="009C1AFB">
      <w:pPr>
        <w:pStyle w:val="Body"/>
        <w:spacing w:after="120"/>
        <w:rPr>
          <w:noProof/>
        </w:rPr>
      </w:pPr>
      <w:r>
        <w:rPr>
          <w:noProof/>
        </w:rPr>
        <w:t>Ookeanidel on kliima reguleerimisel oluline roll. Nad toodavad poole meile vajalikust hapnikust ning neelavad suurema osa liigsest kuumusest ja ligikaudu 25 % CO</w:t>
      </w:r>
      <w:r>
        <w:rPr>
          <w:noProof/>
          <w:vertAlign w:val="subscript"/>
        </w:rPr>
        <w:t>2</w:t>
      </w:r>
      <w:r>
        <w:rPr>
          <w:noProof/>
        </w:rPr>
        <w:t>-heitest</w:t>
      </w:r>
      <w:r>
        <w:rPr>
          <w:rStyle w:val="FootnoteReference"/>
          <w:noProof/>
        </w:rPr>
        <w:footnoteReference w:id="2"/>
      </w:r>
      <w:r>
        <w:rPr>
          <w:noProof/>
        </w:rPr>
        <w:t>. Paljud saareriigid (sh väikesed arenevad sa</w:t>
      </w:r>
      <w:r>
        <w:rPr>
          <w:noProof/>
        </w:rPr>
        <w:t>areriigid) ja rannikuriigid sõltuvad mereressurssidest ning on kaitsetud mõju vastu, mida inimtegevus avaldab merekeskkonna säilitamisele ja säästvale kasutamisele. Meie suhtumine ookeanidesse on eluliselt tähtis. Mõnda kõige pakilisemat ülemaailmset probl</w:t>
      </w:r>
      <w:r>
        <w:rPr>
          <w:noProof/>
        </w:rPr>
        <w:t>eemi – nagu kliimamuutused, vaesus ning ohutu, täisväärtuslik ja piisav toit inimestele, kelle arv jõuab prognooside kohaselt 2050. aastaks üheksa miljardini – saab edukalt lahendada üksnes siis, kui ookeanid on ohutud, turvalised, puhtad ja säästvalt maja</w:t>
      </w:r>
      <w:r>
        <w:rPr>
          <w:noProof/>
        </w:rPr>
        <w:t>ndatud.</w:t>
      </w:r>
    </w:p>
    <w:p w:rsidR="000D0A7C" w:rsidRDefault="009C1AFB">
      <w:pPr>
        <w:pStyle w:val="Body"/>
        <w:spacing w:after="120"/>
        <w:rPr>
          <w:noProof/>
        </w:rPr>
      </w:pPr>
      <w:r>
        <w:rPr>
          <w:noProof/>
        </w:rPr>
        <w:t>Meie ookeane ohustavad liigkasutus, kliimamuutused, hapestumine, reostus ja elurikkuse vähenemine. Mere- ja rannikualade majandus areneb kogu maailmas, kuid selle edukus sõltub säästvuse suurendamisest. Juurdepääsu mereteedele takistab vahel ebasea</w:t>
      </w:r>
      <w:r>
        <w:rPr>
          <w:noProof/>
        </w:rPr>
        <w:t>duslik käitumine, suurenev piraatlus, relvastatud röövid ja muu kuritegevus merel. Katsed esitada territoriaal- või merinõudeid väljaspool Ühinenud Rahvaste Organisatsiooni mereõiguse konventsiooniga (UNCLOS) kehtestatud raamistikku, kasutades hirmutamist,</w:t>
      </w:r>
      <w:r>
        <w:rPr>
          <w:noProof/>
        </w:rPr>
        <w:t xml:space="preserve"> sundimist või jõudu, võivad lisaks piirkondlikule stabiilsusele mõjutada ka maailma majandust. Säästva ja eeskirjadel põhineva majandamise jaoks on oluline tegur teadlikkus ebaseaduslikust tegevusest merel. </w:t>
      </w:r>
    </w:p>
    <w:p w:rsidR="000D0A7C" w:rsidRDefault="009C1AFB">
      <w:pPr>
        <w:pStyle w:val="Body"/>
        <w:spacing w:after="120"/>
        <w:rPr>
          <w:noProof/>
        </w:rPr>
      </w:pPr>
      <w:r>
        <w:rPr>
          <w:noProof/>
        </w:rPr>
        <w:t>Mereressursside ja ökosüsteemide seisundi kohta</w:t>
      </w:r>
      <w:r>
        <w:rPr>
          <w:noProof/>
        </w:rPr>
        <w:t xml:space="preserve"> täpse ja õigeaegse teabe saamine on jätkuvalt keeruline. Merendustegevuse säästvaks arenguks vajalikud tehnoloogilised edusammud sõltuvad täiustatud teadusuuringutest.</w:t>
      </w:r>
    </w:p>
    <w:p w:rsidR="000D0A7C" w:rsidRDefault="009C1AFB">
      <w:pPr>
        <w:pStyle w:val="Body"/>
        <w:spacing w:after="120"/>
        <w:rPr>
          <w:noProof/>
        </w:rPr>
      </w:pPr>
      <w:r>
        <w:rPr>
          <w:noProof/>
        </w:rPr>
        <w:t>Kõikidest nendest probleemidest ollakse teadlikud kogu maailmas. ÜRO 2012. aasta säästv</w:t>
      </w:r>
      <w:r>
        <w:rPr>
          <w:noProof/>
        </w:rPr>
        <w:t>a arengu konverentsil (Rio+20) võtsid riigipead ja valitsusjuhid kohustuse kaitsta ja taastada ookeane ja mereökosüsteeme ning majandada ookeaniressursse säästvalt kooskõlas rahvusvahelise õigusega, et saavutada säästev areng selle kõigis kolmes mõõtmes. E</w:t>
      </w:r>
      <w:r>
        <w:rPr>
          <w:noProof/>
        </w:rPr>
        <w:t>L lähtub sellest integreeritud lähenemisviisist.</w:t>
      </w:r>
    </w:p>
    <w:p w:rsidR="000D0A7C" w:rsidRDefault="009C1AFB">
      <w:pPr>
        <w:pStyle w:val="Body"/>
        <w:spacing w:after="120"/>
        <w:rPr>
          <w:noProof/>
        </w:rPr>
      </w:pPr>
      <w:r>
        <w:rPr>
          <w:noProof/>
        </w:rPr>
        <w:t>ÜRO säästva arengu tegevuskavas aastani 2030 määratleti ookeanide kaitse ja säästev kasutamine ühena seitsmeteistkümnest säästva arengu eesmärgist (eesmärk 14) ja osana tegevuskavast, mille eesmärgid on omav</w:t>
      </w:r>
      <w:r>
        <w:rPr>
          <w:noProof/>
        </w:rPr>
        <w:t>ahel tihedalt seotud. Ookeanide kaitset ja säästvat kasutamist käsitletakse esimest korda koos teiste kõige pakilisemate säästvusprobleemidega ülemaailmses poliitilises tegevuskavas ning neid võetakse sellisena arvesse mitmetes säästva arengu eesmärkides j</w:t>
      </w:r>
      <w:r>
        <w:rPr>
          <w:noProof/>
        </w:rPr>
        <w:t>a ülesannetes</w:t>
      </w:r>
      <w:r>
        <w:rPr>
          <w:rStyle w:val="FootnoteReference"/>
          <w:noProof/>
        </w:rPr>
        <w:footnoteReference w:id="3"/>
      </w:r>
      <w:r>
        <w:rPr>
          <w:noProof/>
        </w:rPr>
        <w:t xml:space="preserve">. Ülemaailmne kogukond peab need kohustused nüüd ellu viima. EL on täielikult pühendunud selle </w:t>
      </w:r>
      <w:r>
        <w:rPr>
          <w:noProof/>
        </w:rPr>
        <w:lastRenderedPageBreak/>
        <w:t>eesmärgi saavutamisele ja rakendamisele. Käesolevas ühisteatises esitatud meetmed on lahutamatu osa ELi tegevusest seoses säästva arengu tegevuskav</w:t>
      </w:r>
      <w:r>
        <w:rPr>
          <w:noProof/>
        </w:rPr>
        <w:t>aga 2030. See on ka üldise välis- ja julgeolekupoliitika strateegia prioriteet</w:t>
      </w:r>
      <w:r>
        <w:rPr>
          <w:rStyle w:val="FootnoteReference"/>
          <w:noProof/>
        </w:rPr>
        <w:footnoteReference w:id="4"/>
      </w:r>
      <w:r>
        <w:rPr>
          <w:noProof/>
        </w:rPr>
        <w:t>.</w:t>
      </w:r>
    </w:p>
    <w:p w:rsidR="000D0A7C" w:rsidRDefault="000D0A7C">
      <w:pPr>
        <w:pStyle w:val="Heading"/>
        <w:spacing w:after="120"/>
        <w:rPr>
          <w:noProof/>
        </w:rPr>
      </w:pPr>
    </w:p>
    <w:p w:rsidR="000D0A7C" w:rsidRDefault="009C1AFB">
      <w:pPr>
        <w:pStyle w:val="Heading"/>
        <w:spacing w:after="120"/>
        <w:rPr>
          <w:noProof/>
        </w:rPr>
      </w:pPr>
      <w:r>
        <w:rPr>
          <w:noProof/>
        </w:rPr>
        <w:t xml:space="preserve">1.1. </w:t>
      </w:r>
      <w:r>
        <w:rPr>
          <w:noProof/>
        </w:rPr>
        <w:tab/>
        <w:t>Vajadus ookeane paremini majandada</w:t>
      </w:r>
    </w:p>
    <w:p w:rsidR="000D0A7C" w:rsidRDefault="000D0A7C">
      <w:pPr>
        <w:pStyle w:val="Body"/>
        <w:spacing w:after="120"/>
        <w:rPr>
          <w:noProof/>
        </w:rPr>
      </w:pPr>
    </w:p>
    <w:p w:rsidR="000D0A7C" w:rsidRDefault="009C1AFB">
      <w:pPr>
        <w:pStyle w:val="Body"/>
        <w:spacing w:after="120"/>
        <w:rPr>
          <w:noProof/>
        </w:rPr>
      </w:pPr>
      <w:r>
        <w:rPr>
          <w:noProof/>
        </w:rPr>
        <w:t>Ookeanide ja nende ressursside kasutamist majandatakse ÜRO mereõiguse konventsiooni alusel. Seda toetab merel toimuvate valdkondlike</w:t>
      </w:r>
      <w:r>
        <w:rPr>
          <w:noProof/>
        </w:rPr>
        <w:t xml:space="preserve"> tegevuste täiendava reguleerimise eest vastutavate piirkondlike ja rahvusvaheliste institutsioonide ning foorumite raamistik</w:t>
      </w:r>
      <w:r>
        <w:rPr>
          <w:rStyle w:val="FootnoteReference"/>
          <w:noProof/>
        </w:rPr>
        <w:footnoteReference w:id="5"/>
      </w:r>
      <w:r>
        <w:rPr>
          <w:noProof/>
        </w:rPr>
        <w:t>. Selles raamistikus on kehtestatud terve rida eeskirju ja põhimõtteid. Samas on see siiski mõnevõrra ebaühtlane ja kooskõlastamat</w:t>
      </w:r>
      <w:r>
        <w:rPr>
          <w:noProof/>
        </w:rPr>
        <w:t xml:space="preserve">a. Kujunemas on ülemaailmne konsensus selles osas, et merekeskkonnas ja merel toimuvat inimtegevust, sealhulgas ookeane mõjutavat maismaal toimuvat tegevust tuleb hallata tõhusamalt, et tulla toime üha suureneva survega ookeanidele. </w:t>
      </w:r>
    </w:p>
    <w:p w:rsidR="000D0A7C" w:rsidRDefault="009C1AFB">
      <w:pPr>
        <w:pStyle w:val="Body"/>
        <w:spacing w:after="120"/>
        <w:rPr>
          <w:noProof/>
        </w:rPr>
      </w:pPr>
      <w:r>
        <w:rPr>
          <w:noProof/>
        </w:rPr>
        <w:t>Komisjoni 2015. aastal</w:t>
      </w:r>
      <w:r>
        <w:rPr>
          <w:noProof/>
        </w:rPr>
        <w:t xml:space="preserve"> korraldatud konsultatsioon</w:t>
      </w:r>
      <w:r>
        <w:rPr>
          <w:rStyle w:val="FootnoteReference"/>
          <w:noProof/>
        </w:rPr>
        <w:footnoteReference w:id="6"/>
      </w:r>
      <w:r>
        <w:rPr>
          <w:noProof/>
        </w:rPr>
        <w:t xml:space="preserve"> kinnitas, et praegune raamistik ei taga ookeanide säästvat majandamist järgmistel põhjustel.</w:t>
      </w:r>
    </w:p>
    <w:p w:rsidR="000D0A7C" w:rsidRDefault="009C1AFB">
      <w:pPr>
        <w:pStyle w:val="Text2"/>
        <w:numPr>
          <w:ilvl w:val="0"/>
          <w:numId w:val="32"/>
        </w:numPr>
        <w:spacing w:after="120"/>
        <w:rPr>
          <w:noProof/>
        </w:rPr>
      </w:pPr>
      <w:r>
        <w:rPr>
          <w:noProof/>
        </w:rPr>
        <w:t>Raamistik on puudulik ja vajab täiendavat arendamist. Selles on siiani õiguslikke lünki, eelkõige seoses merekeskkonna elurikkuse kait</w:t>
      </w:r>
      <w:r>
        <w:rPr>
          <w:noProof/>
        </w:rPr>
        <w:t xml:space="preserve">se ja säästva kasutamisega väljaspool riiklikku jurisdiktsiooni olevatel aladel. Rahvusvaheline Süvamerepõhja Organisatsioon (ISA) ei ole veel lõpetanud kaevandamiskoodeksit, millega kehtestatakse meremaardlate kaevandamisega seotud vajalikud eeskirjad ja </w:t>
      </w:r>
      <w:r>
        <w:rPr>
          <w:noProof/>
        </w:rPr>
        <w:t>menetlused.</w:t>
      </w:r>
    </w:p>
    <w:p w:rsidR="000D0A7C" w:rsidRDefault="009C1AFB">
      <w:pPr>
        <w:pStyle w:val="ListParagraph"/>
        <w:numPr>
          <w:ilvl w:val="0"/>
          <w:numId w:val="32"/>
        </w:numPr>
        <w:spacing w:after="120"/>
        <w:rPr>
          <w:noProof/>
          <w:color w:val="auto"/>
        </w:rPr>
      </w:pPr>
      <w:r>
        <w:rPr>
          <w:noProof/>
        </w:rPr>
        <w:t xml:space="preserve">Kokkulepitud eeskirju ja korda ei rakendata sageli tõhusalt ega jõustata ühtselt. Oleme veel väga kaugel sellistest ülemaailmsetest eesmärkidest nagu maksimaalse jätkusuutliku saagikuse saavutamine kalanduses 2015. aastaks või 10 % ranniku- ja </w:t>
      </w:r>
      <w:r>
        <w:rPr>
          <w:noProof/>
        </w:rPr>
        <w:t>merealade kaitsmine eelkõige merekaitsealade loomise abil 2020. aastaks</w:t>
      </w:r>
      <w:r>
        <w:rPr>
          <w:rStyle w:val="FootnoteReference"/>
          <w:noProof/>
        </w:rPr>
        <w:footnoteReference w:id="7"/>
      </w:r>
      <w:r>
        <w:rPr>
          <w:noProof/>
        </w:rPr>
        <w:t>. Rahvusvahelise Tööorganisatsiooni (ILO) kalandustöö konventsiooni ja sarnaste oluliste merenduskonventsioonide jõustumist takistab oluliselt see, et neid ei ratifitseerita õigeaegsel</w:t>
      </w:r>
      <w:r>
        <w:rPr>
          <w:noProof/>
        </w:rPr>
        <w:t>t.</w:t>
      </w:r>
    </w:p>
    <w:p w:rsidR="000D0A7C" w:rsidRDefault="009C1AFB">
      <w:pPr>
        <w:pStyle w:val="Body"/>
        <w:numPr>
          <w:ilvl w:val="0"/>
          <w:numId w:val="32"/>
        </w:numPr>
        <w:spacing w:after="120"/>
        <w:rPr>
          <w:noProof/>
        </w:rPr>
      </w:pPr>
      <w:r>
        <w:rPr>
          <w:noProof/>
        </w:rPr>
        <w:t>Ookeanide eest vastutavate rahvusvaheliste organisatsioonide vahel on liiga vähe kooskõlastatust. Kuigi merendustegevused on omavahel seotud, on need peamiselt reguleeritud sektorite kaupa. Eri sektoreid hõlmavate rahvusvaheliste organite</w:t>
      </w:r>
      <w:r>
        <w:rPr>
          <w:rStyle w:val="FootnoteReference"/>
          <w:noProof/>
        </w:rPr>
        <w:footnoteReference w:id="8"/>
      </w:r>
      <w:r>
        <w:rPr>
          <w:noProof/>
        </w:rPr>
        <w:t xml:space="preserve"> vaheline koos</w:t>
      </w:r>
      <w:r>
        <w:rPr>
          <w:noProof/>
        </w:rPr>
        <w:t xml:space="preserve">kõlastustegevus on sageli ajutine või see puudub. Organisatsioonidel ja mehhanismidel, millel võib olla oluline roll sellise üldise </w:t>
      </w:r>
      <w:r>
        <w:rPr>
          <w:noProof/>
        </w:rPr>
        <w:lastRenderedPageBreak/>
        <w:t>raamistiku tugevdamisel nagu UN-Oceans või valitsustevaheline okeanograafiakomisjon (IOC), on sageli nõrgad volitused.</w:t>
      </w:r>
    </w:p>
    <w:p w:rsidR="000D0A7C" w:rsidRDefault="009C1AFB">
      <w:pPr>
        <w:pStyle w:val="Text2"/>
        <w:numPr>
          <w:ilvl w:val="0"/>
          <w:numId w:val="32"/>
        </w:numPr>
        <w:spacing w:after="120"/>
        <w:rPr>
          <w:noProof/>
          <w:color w:val="000000" w:themeColor="text1"/>
        </w:rPr>
      </w:pPr>
      <w:r>
        <w:rPr>
          <w:noProof/>
          <w:color w:val="000000" w:themeColor="text1"/>
        </w:rPr>
        <w:t>Ebase</w:t>
      </w:r>
      <w:r>
        <w:rPr>
          <w:noProof/>
          <w:color w:val="000000" w:themeColor="text1"/>
        </w:rPr>
        <w:t xml:space="preserve">aduslik ja kriminaalne tegevus avaldab märkimisväärset mõju ettevõtjatele, merekeskkonnale ja merendussektoris töötavatele inimestele. EL on parandanud oma julgeolekuraamistikku ning edendanud rahvusvahelist ja piirkondlikku julgeolekukoostööd, kuid merel </w:t>
      </w:r>
      <w:r>
        <w:rPr>
          <w:noProof/>
          <w:color w:val="000000" w:themeColor="text1"/>
        </w:rPr>
        <w:t>ebaseaduslike tegude lõpetamiseks on veel palju ära teha. Jätkuvalt põhjustab aga muret see, et mõne ookeanidega</w:t>
      </w:r>
      <w:r>
        <w:rPr>
          <w:noProof/>
        </w:rPr>
        <w:t xml:space="preserve"> </w:t>
      </w:r>
      <w:r>
        <w:rPr>
          <w:noProof/>
          <w:color w:val="000000" w:themeColor="text1"/>
        </w:rPr>
        <w:t xml:space="preserve">seotud tegevuse puhul puudub inimväärne töö. Ebaseadusliku tegevusega seotud laevadel valitsevad töötingimused ei vasta vahel kaugeltki </w:t>
      </w:r>
      <w:r>
        <w:rPr>
          <w:noProof/>
          <w:color w:val="000000" w:themeColor="text1"/>
        </w:rPr>
        <w:t>rahvusvahelistele standarditele või on isegi ebaseaduslikud, mõjutades otseselt mitte ainult asjaomaseid töötajaid, vaid ka sektori võimet tegutseda säästvalt.</w:t>
      </w:r>
    </w:p>
    <w:p w:rsidR="000D0A7C" w:rsidRDefault="009C1AFB">
      <w:pPr>
        <w:pStyle w:val="Text2"/>
        <w:numPr>
          <w:ilvl w:val="0"/>
          <w:numId w:val="32"/>
        </w:numPr>
        <w:spacing w:after="120"/>
        <w:rPr>
          <w:noProof/>
          <w:color w:val="000000" w:themeColor="text1"/>
        </w:rPr>
      </w:pPr>
      <w:r>
        <w:rPr>
          <w:noProof/>
          <w:color w:val="000000" w:themeColor="text1"/>
        </w:rPr>
        <w:t>Vaja on parandada ELi sise- ja välispoliitika (nt Läänemere piirkonna strateegia, Musta mere sün</w:t>
      </w:r>
      <w:r>
        <w:rPr>
          <w:noProof/>
          <w:color w:val="000000" w:themeColor="text1"/>
        </w:rPr>
        <w:t xml:space="preserve">ergia, ELi Aadria ja Joonia mere piirkonna strateegia, Vahemere Liit ja põhjamõõtme poliitika) vahelist kooskõla. </w:t>
      </w:r>
    </w:p>
    <w:p w:rsidR="000D0A7C" w:rsidRDefault="009C1AFB">
      <w:pPr>
        <w:pStyle w:val="Text2"/>
        <w:numPr>
          <w:ilvl w:val="0"/>
          <w:numId w:val="32"/>
        </w:numPr>
        <w:spacing w:after="120"/>
        <w:rPr>
          <w:noProof/>
        </w:rPr>
      </w:pPr>
      <w:r>
        <w:rPr>
          <w:noProof/>
        </w:rPr>
        <w:t>Sidusrühmad (sh ettevõtted, teadlased ja kodanikuühiskonna organisatsioonid) peaksid olema paremini kaasatud rahvusvahelise õigusraamistiku e</w:t>
      </w:r>
      <w:r>
        <w:rPr>
          <w:noProof/>
        </w:rPr>
        <w:t>ttevalmistamisse ja rakendamisse. Selle tulemuseks oleks parem eeskirjade järgimine ja see hõlbustaks täiendavate majandamiskorralduste (nt vabatahtlikult võetud kohustused ja parimate tavade jagamine) tekkimist. Ookeanide majandamine peaks põhinema usaldu</w:t>
      </w:r>
      <w:r>
        <w:rPr>
          <w:noProof/>
        </w:rPr>
        <w:t>sväärsetel teadusuuringutel ja teadmistel.</w:t>
      </w:r>
    </w:p>
    <w:p w:rsidR="000D0A7C" w:rsidRDefault="000D0A7C">
      <w:pPr>
        <w:pStyle w:val="Heading"/>
        <w:spacing w:after="120"/>
        <w:rPr>
          <w:noProof/>
        </w:rPr>
      </w:pPr>
    </w:p>
    <w:p w:rsidR="000D0A7C" w:rsidRDefault="009C1AFB">
      <w:pPr>
        <w:pStyle w:val="Heading"/>
        <w:spacing w:after="120"/>
        <w:rPr>
          <w:noProof/>
        </w:rPr>
      </w:pPr>
      <w:r>
        <w:rPr>
          <w:noProof/>
        </w:rPr>
        <w:t xml:space="preserve">1.2. </w:t>
      </w:r>
      <w:r>
        <w:rPr>
          <w:noProof/>
        </w:rPr>
        <w:tab/>
        <w:t>ELi roll</w:t>
      </w:r>
    </w:p>
    <w:p w:rsidR="000D0A7C" w:rsidRDefault="000D0A7C">
      <w:pPr>
        <w:pStyle w:val="Text1"/>
        <w:spacing w:after="120"/>
        <w:ind w:left="0"/>
        <w:rPr>
          <w:noProof/>
        </w:rPr>
      </w:pPr>
    </w:p>
    <w:p w:rsidR="000D0A7C" w:rsidRDefault="009C1AFB">
      <w:pPr>
        <w:pStyle w:val="Text1"/>
        <w:spacing w:after="120"/>
        <w:ind w:left="0"/>
        <w:rPr>
          <w:noProof/>
          <w:color w:val="000000" w:themeColor="text1"/>
        </w:rPr>
      </w:pPr>
      <w:r>
        <w:rPr>
          <w:noProof/>
        </w:rPr>
        <w:t xml:space="preserve">Tagamaks, et mered on ohutud, turvalised, puhtad ja säästvalt majandatud, on vaja ühtset, valdkondlikku ja eeskirjadel põhinevat rahvusvahelist lähenemisviisi. </w:t>
      </w:r>
      <w:r>
        <w:rPr>
          <w:noProof/>
          <w:color w:val="000000" w:themeColor="text1"/>
        </w:rPr>
        <w:t>Selline lähenemisviis aitab ka saavu</w:t>
      </w:r>
      <w:r>
        <w:rPr>
          <w:noProof/>
          <w:color w:val="000000" w:themeColor="text1"/>
        </w:rPr>
        <w:t>tada ELi kodanike seisukohast häid tulemusi selliste prioriteetide puhul nagu töökohtade loomine, majanduskasv, konkurentsivõime, säästvus ja vastupanuvõime kliimamuutustele ning rahu ja julgeolek. Merel kehtiva eeskirjadepõhise hea majandamistava edendami</w:t>
      </w:r>
      <w:r>
        <w:rPr>
          <w:noProof/>
          <w:color w:val="000000" w:themeColor="text1"/>
        </w:rPr>
        <w:t>ne aitab tugevdada inimõigusi, vabadust ja demokraatiat, tagada võrdsed tingimused ettevõtjatele ning parandada töötingimusi kogu maailmas. See on kooskõlas ELi kui tugeva ülemaailmse osaleja rolliga.</w:t>
      </w:r>
    </w:p>
    <w:p w:rsidR="000D0A7C" w:rsidRDefault="009C1AFB">
      <w:pPr>
        <w:spacing w:after="120"/>
        <w:jc w:val="both"/>
        <w:rPr>
          <w:noProof/>
          <w:color w:val="000000" w:themeColor="text1"/>
        </w:rPr>
      </w:pPr>
      <w:r>
        <w:rPr>
          <w:noProof/>
          <w:color w:val="000000" w:themeColor="text1"/>
        </w:rPr>
        <w:t>EL suudab kujundada rahvusvahelist ookeanide majandamis</w:t>
      </w:r>
      <w:r>
        <w:rPr>
          <w:noProof/>
          <w:color w:val="000000" w:themeColor="text1"/>
        </w:rPr>
        <w:t>t kogemuste põhjal, mida ta on saanud ookeanide majandamisega seotud jätkusuutliku lähenemisviisi väljatöötamisel näiteks oma keskkonnapoliitikas (eelkõige merestrateegia raamdirektiivis), integreeritud merenduspoliitikas (eelkõige mereruumi planeerimise d</w:t>
      </w:r>
      <w:r>
        <w:rPr>
          <w:noProof/>
          <w:color w:val="000000" w:themeColor="text1"/>
        </w:rPr>
        <w:t>irektiivis), reformitud ühises kalanduspoliitikas, ebaseadusliku, teatamata ja reguleerimata kalapüügi (ETR-kalapüük) vastases võitluses ning oma meretranspordipoliitikas.</w:t>
      </w:r>
    </w:p>
    <w:p w:rsidR="000D0A7C" w:rsidRDefault="009C1AFB">
      <w:pPr>
        <w:spacing w:after="120"/>
        <w:jc w:val="both"/>
        <w:rPr>
          <w:noProof/>
        </w:rPr>
      </w:pPr>
      <w:r>
        <w:rPr>
          <w:noProof/>
        </w:rPr>
        <w:t>EL on välja arendanud ka terve rea turvavahendeid, et tegeleda sise- ja välisjulgeol</w:t>
      </w:r>
      <w:r>
        <w:rPr>
          <w:noProof/>
        </w:rPr>
        <w:t>ekumõõtme vaheliste seostega. ELi üldises välis- ja julgeolekupoliitika strateegias kinnitatakse, et on vaja ühtsemat lähenemisviisi poliitika sise- ja välisaspektide vahel, välispoliitikas ning liikmesriikide ja ELi institutsioonide vahel. Tuleks luua sün</w:t>
      </w:r>
      <w:r>
        <w:rPr>
          <w:noProof/>
        </w:rPr>
        <w:t>ergia teiste poliitikavaldkondadega (nt küberjulgeoleku, küberkaitse ja ringmajandusega) ja strateegiatega (nt ELi merendusjulgeoleku strateegia (EUMSS)</w:t>
      </w:r>
      <w:r>
        <w:rPr>
          <w:rStyle w:val="FootnoteReference"/>
          <w:noProof/>
        </w:rPr>
        <w:footnoteReference w:id="9"/>
      </w:r>
      <w:r>
        <w:rPr>
          <w:noProof/>
        </w:rPr>
        <w:t xml:space="preserve"> ning seonduvate piirkondlike strateegiatega</w:t>
      </w:r>
      <w:r>
        <w:rPr>
          <w:rStyle w:val="FootnoteReference"/>
          <w:noProof/>
        </w:rPr>
        <w:footnoteReference w:id="10"/>
      </w:r>
      <w:r>
        <w:rPr>
          <w:noProof/>
        </w:rPr>
        <w:t>. Seeläbi toetatakse ookeanide majandamise tugevdamisse an</w:t>
      </w:r>
      <w:r>
        <w:rPr>
          <w:noProof/>
        </w:rPr>
        <w:t>tud ELi panusega ülemaailmse merenduse kasvu ja julgeoleku eesmärki.</w:t>
      </w:r>
    </w:p>
    <w:p w:rsidR="000D0A7C" w:rsidRDefault="009C1AFB">
      <w:pPr>
        <w:spacing w:after="120"/>
        <w:jc w:val="both"/>
        <w:rPr>
          <w:noProof/>
        </w:rPr>
      </w:pPr>
      <w:r>
        <w:rPr>
          <w:noProof/>
          <w:color w:val="000000" w:themeColor="text1"/>
        </w:rPr>
        <w:t>EL töötas välja ELi merendusjulgeoleku strateegia, et tegeleda tulemuslikult ja põhjalikult meresõidu turvalisuse ja julgeoleku probleemidega, kasutades asjakohaseid rahvusvahelisi, ELi j</w:t>
      </w:r>
      <w:r>
        <w:rPr>
          <w:noProof/>
          <w:color w:val="000000" w:themeColor="text1"/>
        </w:rPr>
        <w:t>a riiklikke vahendeid. Strateegiat tuleks kohaldada kooskõlas käesoleva teatisega, et hõlbustada sektoritevahelist koostööd ja suurendada kasvupotentsiaali. EL panustab endiselt aktiivselt ülemaailmsesse merendusjulgeolekusse, tuginedes kogemustele, mida t</w:t>
      </w:r>
      <w:r>
        <w:rPr>
          <w:noProof/>
          <w:color w:val="000000" w:themeColor="text1"/>
        </w:rPr>
        <w:t>a on saanud piraatlusevastases võitluses India ookeani lääneosas ning võitluses inimkaubanduse ja inimeste ebaseadusliku üle piiri toimetamisega Vahemerel, Mustal merel ja Läänemerel, ning uurides võimalusi Guinea lahes,</w:t>
      </w:r>
      <w:r>
        <w:rPr>
          <w:rStyle w:val="FootnoteReference"/>
          <w:noProof/>
          <w:color w:val="000000" w:themeColor="text1"/>
        </w:rPr>
        <w:footnoteReference w:id="11"/>
      </w:r>
      <w:r>
        <w:rPr>
          <w:noProof/>
          <w:color w:val="000000" w:themeColor="text1"/>
        </w:rPr>
        <w:t xml:space="preserve"> Lõuna-Hiina meres ja Malaka väinas</w:t>
      </w:r>
      <w:r>
        <w:rPr>
          <w:noProof/>
          <w:color w:val="000000" w:themeColor="text1"/>
        </w:rPr>
        <w:t>.</w:t>
      </w:r>
    </w:p>
    <w:p w:rsidR="000D0A7C" w:rsidRDefault="009C1AFB">
      <w:pPr>
        <w:pStyle w:val="Body"/>
        <w:spacing w:after="120"/>
        <w:rPr>
          <w:noProof/>
        </w:rPr>
      </w:pPr>
      <w:r>
        <w:rPr>
          <w:noProof/>
        </w:rPr>
        <w:t>EL teeb ookeanide majandamisega seotud koostööd kahepoolsete, piirkondlike ja mitmepoolsete partneritega kogu maailmas, võttes õiguslikuks aluseks ÜRO mereõiguse konventsiooni. ELil on strateegilised partnerlused ja kokkulepped peamiste rahvusvaheliste o</w:t>
      </w:r>
      <w:r>
        <w:rPr>
          <w:noProof/>
        </w:rPr>
        <w:t xml:space="preserve">salejate ja partneritega. Ta on tihedalt seotud mitmesuguste uute majandusjõududega ning on paljude lepingute ja konventsioonide osaline. EL ja selle liikmesriigid on üheskoos maailma suurimaks abiandjaks. </w:t>
      </w:r>
    </w:p>
    <w:p w:rsidR="000D0A7C" w:rsidRDefault="009C1AFB">
      <w:pPr>
        <w:pStyle w:val="Body"/>
        <w:spacing w:after="120"/>
        <w:rPr>
          <w:noProof/>
        </w:rPr>
      </w:pPr>
      <w:r>
        <w:rPr>
          <w:noProof/>
        </w:rPr>
        <w:t>EL peaks toetuma olemasolevale korrale, et parand</w:t>
      </w:r>
      <w:r>
        <w:rPr>
          <w:noProof/>
        </w:rPr>
        <w:t>ada ookeanide majandamist ning tugevdada kooskõlastatust rahvusvaheliste ja piirkondlike foorumitega. Ta on püüdnud aktiivselt arendada koostööd oma naabritega merenduspoliitika ja ookeanimajanduse valdkonnas, sealhulgas nii Euroopa naabruspoliitika ida- k</w:t>
      </w:r>
      <w:r>
        <w:rPr>
          <w:noProof/>
        </w:rPr>
        <w:t>ui ka lõunamõõtme raames. Samuti annab EL olulise panuse meretranspordi tööhõivesektori ülemaailmsesse juhtimisse ning sunniviisilise töö ja inimkaubanduse vastu võitlemisse.</w:t>
      </w:r>
    </w:p>
    <w:p w:rsidR="000D0A7C" w:rsidRDefault="009C1AFB">
      <w:pPr>
        <w:pStyle w:val="Text2"/>
        <w:spacing w:after="120"/>
        <w:ind w:left="0"/>
        <w:rPr>
          <w:rFonts w:cs="Times New Roman"/>
          <w:noProof/>
          <w:color w:val="000000" w:themeColor="text1"/>
        </w:rPr>
      </w:pPr>
      <w:r>
        <w:rPr>
          <w:noProof/>
          <w:color w:val="000000" w:themeColor="text1"/>
        </w:rPr>
        <w:t>ELi ja selle liikmesriikide tegevus peab välis- ja sisepoliitikameetmete puhul ol</w:t>
      </w:r>
      <w:r>
        <w:rPr>
          <w:noProof/>
          <w:color w:val="000000" w:themeColor="text1"/>
        </w:rPr>
        <w:t xml:space="preserve">ema ühtsem. Ühendatuna suurendavad need märkimisväärselt võimalust saavutada positiivseid muutusi. </w:t>
      </w:r>
      <w:r>
        <w:rPr>
          <w:noProof/>
        </w:rPr>
        <w:t>EL peaks tagama oma sise- ja välispoliitika sidususe ning järgima tema võetud kohustust edendada säästva arengu nimel poliitikavaldkondade sidusust.</w:t>
      </w:r>
      <w:r>
        <w:rPr>
          <w:noProof/>
          <w:color w:val="auto"/>
        </w:rPr>
        <w:t xml:space="preserve"> </w:t>
      </w:r>
      <w:r>
        <w:rPr>
          <w:noProof/>
        </w:rPr>
        <w:t>EL peaks</w:t>
      </w:r>
      <w:r>
        <w:rPr>
          <w:noProof/>
        </w:rPr>
        <w:t xml:space="preserve"> edendama sünergiat muude ELi poliitikavaldkondadega, sealhulgas selliste arengupoliitika ja -strateegiatega nagu ELi merendusjulgeoleku strateegia.</w:t>
      </w:r>
    </w:p>
    <w:p w:rsidR="000D0A7C" w:rsidRDefault="009C1AFB">
      <w:pPr>
        <w:pStyle w:val="ListParagraph"/>
        <w:spacing w:after="120"/>
        <w:ind w:left="0"/>
        <w:rPr>
          <w:noProof/>
          <w:color w:val="000000" w:themeColor="text1"/>
        </w:rPr>
      </w:pPr>
      <w:r>
        <w:rPr>
          <w:noProof/>
        </w:rPr>
        <w:t>Lisaks kuulub ELi üheksa äärepoolseimat piirkonda, mis on tänu nende poolt ELi merendusvaldkonda antavale p</w:t>
      </w:r>
      <w:r>
        <w:rPr>
          <w:noProof/>
        </w:rPr>
        <w:t>anusele ning nende asukohale Atlandi ja India ookeanis olulised osalejad, kes saavad aktiivselt aidata kaasa ookeanide majandamise parandamisele.</w:t>
      </w:r>
      <w:r>
        <w:rPr>
          <w:noProof/>
          <w:color w:val="000000" w:themeColor="text1"/>
        </w:rPr>
        <w:t xml:space="preserve"> </w:t>
      </w:r>
    </w:p>
    <w:p w:rsidR="000D0A7C" w:rsidRDefault="009C1AFB">
      <w:pPr>
        <w:pStyle w:val="Text2"/>
        <w:spacing w:after="120"/>
        <w:ind w:left="0"/>
        <w:rPr>
          <w:rFonts w:cs="Times New Roman"/>
          <w:noProof/>
          <w:color w:val="000000" w:themeColor="text1"/>
        </w:rPr>
      </w:pPr>
      <w:r>
        <w:rPr>
          <w:noProof/>
        </w:rPr>
        <w:t>Selleks et tagada ohutud, turvalised, puhtad ja säästvalt majandatud ookeanid, teevad komisjon ja kõrge esind</w:t>
      </w:r>
      <w:r>
        <w:rPr>
          <w:noProof/>
        </w:rPr>
        <w:t>aja ettepaneku 14 meetme kohta kolmes esmatähtsas valdkonnas:</w:t>
      </w:r>
      <w:r>
        <w:rPr>
          <w:noProof/>
          <w:color w:val="000000" w:themeColor="text1"/>
        </w:rPr>
        <w:t xml:space="preserve"> </w:t>
      </w:r>
    </w:p>
    <w:p w:rsidR="000D0A7C" w:rsidRDefault="009C1AFB">
      <w:pPr>
        <w:pStyle w:val="Text2"/>
        <w:numPr>
          <w:ilvl w:val="0"/>
          <w:numId w:val="15"/>
        </w:numPr>
        <w:spacing w:after="120"/>
        <w:rPr>
          <w:rFonts w:cs="Times New Roman"/>
          <w:noProof/>
          <w:color w:val="000000" w:themeColor="text1"/>
        </w:rPr>
      </w:pPr>
      <w:r>
        <w:rPr>
          <w:noProof/>
          <w:color w:val="000000" w:themeColor="text1"/>
        </w:rPr>
        <w:t>rahvusvahelise ookeanide majandamise raamistiku parandamine;</w:t>
      </w:r>
    </w:p>
    <w:p w:rsidR="000D0A7C" w:rsidRDefault="009C1AFB">
      <w:pPr>
        <w:pStyle w:val="Text2"/>
        <w:numPr>
          <w:ilvl w:val="0"/>
          <w:numId w:val="15"/>
        </w:numPr>
        <w:spacing w:after="120"/>
        <w:rPr>
          <w:rFonts w:cs="Times New Roman"/>
          <w:noProof/>
          <w:color w:val="000000" w:themeColor="text1"/>
        </w:rPr>
      </w:pPr>
      <w:r>
        <w:rPr>
          <w:noProof/>
          <w:color w:val="000000" w:themeColor="text1"/>
        </w:rPr>
        <w:t>ookeanidele ja meredele avaldatava surve vähendamine ning tingimuste loomine säästva meremajanduse jaoks; ning</w:t>
      </w:r>
    </w:p>
    <w:p w:rsidR="000D0A7C" w:rsidRDefault="009C1AFB">
      <w:pPr>
        <w:pStyle w:val="Text2"/>
        <w:numPr>
          <w:ilvl w:val="0"/>
          <w:numId w:val="15"/>
        </w:numPr>
        <w:spacing w:after="120"/>
        <w:rPr>
          <w:rFonts w:cs="Times New Roman"/>
          <w:noProof/>
          <w:color w:val="000000" w:themeColor="text1"/>
        </w:rPr>
      </w:pPr>
      <w:r>
        <w:rPr>
          <w:noProof/>
          <w:color w:val="000000" w:themeColor="text1"/>
        </w:rPr>
        <w:t xml:space="preserve">rahvusvaheliste </w:t>
      </w:r>
      <w:r>
        <w:rPr>
          <w:noProof/>
          <w:color w:val="000000" w:themeColor="text1"/>
        </w:rPr>
        <w:t>ookeanialaste teadusuuringute tugevdamine ja andmete parandamine.</w:t>
      </w:r>
    </w:p>
    <w:p w:rsidR="000D0A7C" w:rsidRDefault="000D0A7C">
      <w:pPr>
        <w:pStyle w:val="Heading"/>
        <w:spacing w:after="120"/>
        <w:rPr>
          <w:noProof/>
        </w:rPr>
      </w:pPr>
    </w:p>
    <w:p w:rsidR="000D0A7C" w:rsidRDefault="009C1AFB">
      <w:pPr>
        <w:pStyle w:val="Heading"/>
        <w:spacing w:after="120"/>
        <w:rPr>
          <w:rStyle w:val="None"/>
          <w:rFonts w:cs="Times New Roman"/>
          <w:b w:val="0"/>
          <w:bCs w:val="0"/>
          <w:smallCaps w:val="0"/>
          <w:noProof/>
          <w:color w:val="auto"/>
        </w:rPr>
      </w:pPr>
      <w:r>
        <w:rPr>
          <w:noProof/>
        </w:rPr>
        <w:t xml:space="preserve">2. </w:t>
      </w:r>
      <w:r>
        <w:rPr>
          <w:noProof/>
        </w:rPr>
        <w:tab/>
        <w:t>Rahvusvahelise ookeanide majandamise raamistiku parandamine</w:t>
      </w:r>
    </w:p>
    <w:p w:rsidR="000D0A7C" w:rsidRDefault="000D0A7C">
      <w:pPr>
        <w:pStyle w:val="NoSpacing"/>
        <w:spacing w:after="120"/>
        <w:rPr>
          <w:noProof/>
        </w:rPr>
      </w:pPr>
    </w:p>
    <w:p w:rsidR="000D0A7C" w:rsidRDefault="009C1AFB">
      <w:pPr>
        <w:pStyle w:val="NoSpacing"/>
        <w:spacing w:after="120"/>
        <w:rPr>
          <w:noProof/>
        </w:rPr>
      </w:pPr>
      <w:r>
        <w:rPr>
          <w:noProof/>
        </w:rPr>
        <w:t>Tuginedes üksmeelsele rahvusvahelisele arvamusele, et ookeanide majandamise raamistikku tuleb tugevdada, toetavad komisjon j</w:t>
      </w:r>
      <w:r>
        <w:rPr>
          <w:noProof/>
        </w:rPr>
        <w:t>a kõrge esindaja järgmisi meetmeid.</w:t>
      </w:r>
    </w:p>
    <w:p w:rsidR="000D0A7C" w:rsidRDefault="009C1AFB">
      <w:pPr>
        <w:rPr>
          <w:rStyle w:val="None"/>
          <w:rFonts w:eastAsia="Arial Unicode MS" w:cs="Arial Unicode MS"/>
          <w:b/>
          <w:noProof/>
          <w:color w:val="000000" w:themeColor="text1"/>
          <w:u w:color="FF0000"/>
        </w:rPr>
      </w:pPr>
      <w:r>
        <w:rPr>
          <w:noProof/>
        </w:rPr>
        <w:br w:type="page"/>
      </w:r>
    </w:p>
    <w:p w:rsidR="000D0A7C" w:rsidRDefault="009C1AFB">
      <w:pPr>
        <w:pStyle w:val="ListBullet1"/>
        <w:tabs>
          <w:tab w:val="clear" w:pos="765"/>
          <w:tab w:val="left" w:pos="1134"/>
        </w:tabs>
        <w:spacing w:after="120"/>
        <w:rPr>
          <w:rStyle w:val="None"/>
          <w:rFonts w:cs="Times New Roman"/>
          <w:b/>
          <w:bCs/>
          <w:noProof/>
          <w:color w:val="000000" w:themeColor="text1"/>
        </w:rPr>
      </w:pPr>
      <w:r>
        <w:rPr>
          <w:rStyle w:val="None"/>
          <w:b/>
          <w:noProof/>
          <w:color w:val="000000" w:themeColor="text1"/>
          <w:u w:color="FF0000"/>
        </w:rPr>
        <w:t>1.</w:t>
      </w:r>
      <w:r>
        <w:rPr>
          <w:rStyle w:val="None"/>
          <w:b/>
          <w:noProof/>
          <w:color w:val="000000" w:themeColor="text1"/>
        </w:rPr>
        <w:t xml:space="preserve"> meede. </w:t>
      </w:r>
      <w:r>
        <w:rPr>
          <w:noProof/>
        </w:rPr>
        <w:tab/>
      </w:r>
      <w:r>
        <w:rPr>
          <w:rStyle w:val="None"/>
          <w:b/>
          <w:noProof/>
          <w:color w:val="000000" w:themeColor="text1"/>
        </w:rPr>
        <w:t>Rahvusvahelise ookeanide majandamise raamistiku puuduste kõrvaldamine</w:t>
      </w:r>
    </w:p>
    <w:p w:rsidR="000D0A7C" w:rsidRDefault="000D0A7C">
      <w:pPr>
        <w:pStyle w:val="ListBullet1"/>
        <w:tabs>
          <w:tab w:val="clear" w:pos="765"/>
          <w:tab w:val="left" w:pos="1134"/>
        </w:tabs>
        <w:spacing w:after="120"/>
        <w:ind w:left="1134" w:hanging="1134"/>
        <w:rPr>
          <w:rStyle w:val="None"/>
          <w:rFonts w:cs="Times New Roman"/>
          <w:noProof/>
          <w:color w:val="auto"/>
        </w:rPr>
      </w:pPr>
    </w:p>
    <w:p w:rsidR="000D0A7C" w:rsidRDefault="009C1AFB">
      <w:pPr>
        <w:pStyle w:val="ListDash"/>
        <w:spacing w:after="120"/>
        <w:rPr>
          <w:rStyle w:val="None"/>
          <w:rFonts w:cs="Times New Roman"/>
          <w:noProof/>
          <w:color w:val="000000" w:themeColor="text1"/>
        </w:rPr>
      </w:pPr>
      <w:r>
        <w:rPr>
          <w:rStyle w:val="None"/>
          <w:noProof/>
          <w:color w:val="000000" w:themeColor="text1"/>
        </w:rPr>
        <w:t xml:space="preserve">Komisjon ja </w:t>
      </w:r>
      <w:r>
        <w:rPr>
          <w:noProof/>
        </w:rPr>
        <w:t>kõrge esindaja</w:t>
      </w:r>
      <w:r>
        <w:rPr>
          <w:noProof/>
          <w:color w:val="000000" w:themeColor="text1"/>
        </w:rPr>
        <w:t xml:space="preserve"> </w:t>
      </w:r>
      <w:r>
        <w:rPr>
          <w:rStyle w:val="None"/>
          <w:noProof/>
          <w:color w:val="000000" w:themeColor="text1"/>
        </w:rPr>
        <w:t xml:space="preserve">jätkavad koostööd liikmesriikide ja rahvusvaheliste partneritega, et edendada selliste mitmepoolsete vahendite rakendamist, milles on küll kokku lepitud, kuid mis ei ole jõustunud. Komisjon ja </w:t>
      </w:r>
      <w:r>
        <w:rPr>
          <w:noProof/>
          <w:color w:val="000000" w:themeColor="text1"/>
        </w:rPr>
        <w:t>kõrge esindaja</w:t>
      </w:r>
      <w:r>
        <w:rPr>
          <w:rStyle w:val="None"/>
          <w:noProof/>
          <w:color w:val="000000" w:themeColor="text1"/>
        </w:rPr>
        <w:t xml:space="preserve"> teevad suuremaid jõupingutusi, et edendada selli</w:t>
      </w:r>
      <w:r>
        <w:rPr>
          <w:rStyle w:val="None"/>
          <w:noProof/>
          <w:color w:val="000000" w:themeColor="text1"/>
        </w:rPr>
        <w:t>ste peamiste ülemaailmsete ookeanide majandamist käsitlevate instrumentide allkirjastamist, ratifitseerimist, ülevõtmist ja tulemuslikku rakendamist nagu ÜRO mereõiguse konventsioon ja selle kehtivad rakendusaktid.</w:t>
      </w:r>
    </w:p>
    <w:p w:rsidR="000D0A7C" w:rsidRDefault="009C1AFB">
      <w:pPr>
        <w:pStyle w:val="ListDash"/>
        <w:spacing w:after="120"/>
        <w:rPr>
          <w:noProof/>
          <w:color w:val="000000" w:themeColor="text1"/>
        </w:rPr>
      </w:pPr>
      <w:r>
        <w:rPr>
          <w:rStyle w:val="None"/>
          <w:noProof/>
          <w:color w:val="000000" w:themeColor="text1"/>
        </w:rPr>
        <w:t>Komisjon jätkab aktiivset osalemist rahvu</w:t>
      </w:r>
      <w:r>
        <w:rPr>
          <w:rStyle w:val="None"/>
          <w:noProof/>
          <w:color w:val="000000" w:themeColor="text1"/>
        </w:rPr>
        <w:t>svahelise õiguslikult siduva instrumendi loomisel ÜRO mereõiguse konventsiooni raames seoses merekeskkonna elurikkuse kaitse ja säästva kasutamisega väljaspool riiklikku jurisdiktsiooni olevatel aladel.</w:t>
      </w:r>
      <w:r>
        <w:rPr>
          <w:noProof/>
          <w:color w:val="000000" w:themeColor="text1"/>
        </w:rPr>
        <w:t xml:space="preserve"> Komisjon toetab jätkuvalt rahvusvahelisi jõupingutusi</w:t>
      </w:r>
      <w:r>
        <w:rPr>
          <w:noProof/>
          <w:color w:val="000000" w:themeColor="text1"/>
        </w:rPr>
        <w:t xml:space="preserve"> merekeskkonna elurikkuse kaitsmiseks muudel asjakohastel rahvusvahelistel foorumitel, sealhulgas bioloogilise mitmekesisuse konventsiooni ning ohustatud looduslike looma- ja taimeliikidega rahvusvahelise kauplemise konventsiooni (CITES) raames.</w:t>
      </w:r>
    </w:p>
    <w:p w:rsidR="000D0A7C" w:rsidRDefault="009C1AFB">
      <w:pPr>
        <w:pStyle w:val="ListDash"/>
        <w:spacing w:after="120"/>
        <w:rPr>
          <w:noProof/>
          <w:color w:val="000000" w:themeColor="text1"/>
        </w:rPr>
      </w:pPr>
      <w:r>
        <w:rPr>
          <w:noProof/>
          <w:color w:val="000000" w:themeColor="text1"/>
        </w:rPr>
        <w:t xml:space="preserve">Komisjon </w:t>
      </w:r>
      <w:r>
        <w:rPr>
          <w:rStyle w:val="None"/>
          <w:noProof/>
          <w:color w:val="000000" w:themeColor="text1"/>
        </w:rPr>
        <w:t>j</w:t>
      </w:r>
      <w:r>
        <w:rPr>
          <w:rStyle w:val="None"/>
          <w:noProof/>
          <w:color w:val="000000" w:themeColor="text1"/>
        </w:rPr>
        <w:t xml:space="preserve">a </w:t>
      </w:r>
      <w:r>
        <w:rPr>
          <w:noProof/>
          <w:color w:val="000000" w:themeColor="text1"/>
        </w:rPr>
        <w:t xml:space="preserve">kõrge esindaja uurivad koos liikmesriikide ja kõigi teiste osalistega, sealhulgas rahvusvaheliste partnerite, tööstussektori ja kodanikuühiskonna organisatsioonidega, milliseid vabatahtlikke, muid kui seadusandlikke ning täiendavaid meetmeid on võimalik </w:t>
      </w:r>
      <w:r>
        <w:rPr>
          <w:noProof/>
          <w:color w:val="000000" w:themeColor="text1"/>
        </w:rPr>
        <w:t xml:space="preserve">ookeanide majandamise toetamiseks võtta. </w:t>
      </w:r>
    </w:p>
    <w:p w:rsidR="000D0A7C" w:rsidRDefault="009C1AF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Komisjon ja kõrge esindaja teevad koostööd liikmesriikide ja rahvusvaheliste partneritega, et tagada, et võetaks vastu, ratifitseeritaks ja rakendataks sellised peamised ülemaailmsed ookeanide majandamist käsitleva</w:t>
      </w:r>
      <w:r>
        <w:rPr>
          <w:i/>
          <w:noProof/>
          <w:color w:val="000000" w:themeColor="text1"/>
        </w:rPr>
        <w:t>d vahendid nagu kavandatav ÜRO mereõiguse konventsiooni rakenduskokkulepe merekeskkonna bioloogilise mitmekesisuse säilitamise ja säästva kasutamise kohta väljaspool riiklikku jurisdiktsiooni ning ILO kalandustöö konventsioon.</w:t>
      </w:r>
    </w:p>
    <w:p w:rsidR="000D0A7C" w:rsidRDefault="009C1AF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Komisjon ja kõrge esindaja to</w:t>
      </w:r>
      <w:r>
        <w:rPr>
          <w:i/>
          <w:noProof/>
          <w:color w:val="000000" w:themeColor="text1"/>
        </w:rPr>
        <w:t>etavad rahvusvahelisi jõupingutusi merekeskkonna elurikkuse kaitsmiseks kõigis asjakohastes rahvusvahelistes institutsioonides.</w:t>
      </w:r>
    </w:p>
    <w:p w:rsidR="000D0A7C" w:rsidRDefault="009C1AFB">
      <w:pPr>
        <w:pStyle w:val="ListDash"/>
        <w:numPr>
          <w:ilvl w:val="0"/>
          <w:numId w:val="6"/>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Komisjon koostab 2018. aastaks suunised merepõhja loodusvarade uurimise ja kasutamise kohta riikliku jurisdiktsiooni all olevate</w:t>
      </w:r>
      <w:r>
        <w:rPr>
          <w:i/>
          <w:noProof/>
          <w:color w:val="000000" w:themeColor="text1"/>
        </w:rPr>
        <w:t>l aladel, et aidata rannikuäärsetel liikmesriikidel täita nende ÜRO mereõiguse konventsiooni kohaseid kohustusi kaitsta ja säilitada merekeskkonda.</w:t>
      </w:r>
    </w:p>
    <w:p w:rsidR="000D0A7C" w:rsidRDefault="009C1AFB">
      <w:pPr>
        <w:pStyle w:val="ListDash"/>
        <w:numPr>
          <w:ilvl w:val="0"/>
          <w:numId w:val="19"/>
        </w:numPr>
        <w:pBdr>
          <w:top w:val="single" w:sz="4" w:space="1" w:color="auto"/>
          <w:left w:val="single" w:sz="4" w:space="14" w:color="auto"/>
          <w:bottom w:val="single" w:sz="4" w:space="1" w:color="auto"/>
          <w:right w:val="single" w:sz="4" w:space="4" w:color="auto"/>
        </w:pBdr>
        <w:spacing w:after="120"/>
        <w:rPr>
          <w:i/>
          <w:noProof/>
          <w:color w:val="000000" w:themeColor="text1"/>
        </w:rPr>
      </w:pPr>
      <w:r>
        <w:rPr>
          <w:i/>
          <w:noProof/>
          <w:color w:val="000000" w:themeColor="text1"/>
        </w:rPr>
        <w:t xml:space="preserve">Komisjon ja kõrge esindaja jätkavad merepiirkondade säästva arenguga seotud piirkondlikke algatusi </w:t>
      </w:r>
      <w:r>
        <w:rPr>
          <w:i/>
          <w:noProof/>
          <w:color w:val="000000" w:themeColor="text1"/>
        </w:rPr>
        <w:t>väljaspool ELi koostöös kõigi asjaomaste piirkondlike ja rahvusvaheliste organisatsioonidega ning strateegiaid, nagu näiteks Aafrika Sarve ja Guinea lahega seotud strateegiad, mille kohaselt on mere- ja merendusalane koostöö vahend, millega kaitstakse julg</w:t>
      </w:r>
      <w:r>
        <w:rPr>
          <w:i/>
          <w:noProof/>
          <w:color w:val="000000" w:themeColor="text1"/>
        </w:rPr>
        <w:t>eolekut ja tagatakse säästev areng.</w:t>
      </w:r>
    </w:p>
    <w:p w:rsidR="000D0A7C" w:rsidRDefault="000D0A7C">
      <w:pPr>
        <w:pStyle w:val="ListBullet1"/>
        <w:spacing w:after="120"/>
        <w:ind w:left="1134" w:hanging="1134"/>
        <w:rPr>
          <w:rStyle w:val="None"/>
          <w:rFonts w:cs="Times New Roman"/>
          <w:b/>
          <w:bCs/>
          <w:noProof/>
          <w:color w:val="000000" w:themeColor="text1"/>
        </w:rPr>
      </w:pPr>
    </w:p>
    <w:p w:rsidR="000D0A7C" w:rsidRDefault="009C1AFB">
      <w:pPr>
        <w:pStyle w:val="ListBullet1"/>
        <w:spacing w:after="120"/>
        <w:ind w:left="1134" w:hanging="1134"/>
        <w:rPr>
          <w:noProof/>
          <w:color w:val="000000" w:themeColor="text1"/>
        </w:rPr>
      </w:pPr>
      <w:r>
        <w:rPr>
          <w:rStyle w:val="None"/>
          <w:b/>
          <w:noProof/>
          <w:color w:val="000000" w:themeColor="text1"/>
        </w:rPr>
        <w:t xml:space="preserve">2. meede. </w:t>
      </w:r>
      <w:r>
        <w:rPr>
          <w:noProof/>
        </w:rPr>
        <w:tab/>
      </w:r>
      <w:r>
        <w:rPr>
          <w:rStyle w:val="None"/>
          <w:b/>
          <w:noProof/>
          <w:color w:val="000000" w:themeColor="text1"/>
        </w:rPr>
        <w:t>Piirkondliku kalavarude majandamise ja peamistes ookeanipiirkondades tehtava koostöö edendamine, et kõrvaldada piirkondlikke majandamisalaseid puudujääke</w:t>
      </w:r>
      <w:r>
        <w:rPr>
          <w:noProof/>
          <w:color w:val="000000" w:themeColor="text1"/>
        </w:rPr>
        <w:t xml:space="preserve"> </w:t>
      </w:r>
    </w:p>
    <w:p w:rsidR="000D0A7C" w:rsidRDefault="000D0A7C">
      <w:pPr>
        <w:pStyle w:val="ListBullet1"/>
        <w:spacing w:after="120"/>
        <w:ind w:left="1134" w:hanging="1134"/>
        <w:rPr>
          <w:noProof/>
          <w:color w:val="000000" w:themeColor="text1"/>
        </w:rPr>
      </w:pPr>
    </w:p>
    <w:p w:rsidR="000D0A7C" w:rsidRDefault="009C1AFB">
      <w:pPr>
        <w:pStyle w:val="Text2"/>
        <w:spacing w:after="120"/>
        <w:ind w:left="0"/>
        <w:rPr>
          <w:noProof/>
        </w:rPr>
      </w:pPr>
      <w:r>
        <w:rPr>
          <w:noProof/>
        </w:rPr>
        <w:t>Piirkondlikud kalandusorganisatsioonid on tähtsaimad</w:t>
      </w:r>
      <w:r>
        <w:rPr>
          <w:noProof/>
        </w:rPr>
        <w:t xml:space="preserve"> rahvusvahelised organisatsioonid piirialade kalavarude ja pika rändega liikide kaitseks ja säästvaks kasutamiseks. Nende organisatsioonide tegevuse tulemuslikkuse (nt teadusuuringute, nõuetele vastavuse läbipaistvuse ja otsuste tegemise alal) parandamine </w:t>
      </w:r>
      <w:r>
        <w:rPr>
          <w:noProof/>
        </w:rPr>
        <w:t xml:space="preserve">ja korrapärane läbivaatamine on nendega seotud ELi tegevuse keskmes. </w:t>
      </w:r>
    </w:p>
    <w:p w:rsidR="000D0A7C" w:rsidRDefault="009C1AFB">
      <w:pPr>
        <w:pStyle w:val="Text2"/>
        <w:spacing w:after="120"/>
        <w:ind w:left="0"/>
        <w:rPr>
          <w:noProof/>
        </w:rPr>
      </w:pPr>
      <w:r>
        <w:rPr>
          <w:noProof/>
        </w:rPr>
        <w:t>Suurem osa Põhja-Jäämere keskosast, mis on üks kõige haavatavamaid merepiirkondi planeedil, ei ole hõlmatud ühegi rahvusvahelise kaitse- või majandamiskorraga. Kooskõlas hiljuti väljapak</w:t>
      </w:r>
      <w:r>
        <w:rPr>
          <w:noProof/>
        </w:rPr>
        <w:t>utud integreeritud Arktika poliitikaga</w:t>
      </w:r>
      <w:r>
        <w:rPr>
          <w:rStyle w:val="FootnoteReference"/>
          <w:noProof/>
          <w:color w:val="000000" w:themeColor="text1"/>
        </w:rPr>
        <w:footnoteReference w:id="12"/>
      </w:r>
      <w:r>
        <w:rPr>
          <w:noProof/>
        </w:rPr>
        <w:t xml:space="preserve"> peaks EL</w:t>
      </w:r>
      <w:r>
        <w:rPr>
          <w:rStyle w:val="CommentReference"/>
          <w:noProof/>
          <w:color w:val="auto"/>
          <w:sz w:val="20"/>
        </w:rPr>
        <w:t xml:space="preserve"> </w:t>
      </w:r>
      <w:r>
        <w:rPr>
          <w:noProof/>
        </w:rPr>
        <w:t xml:space="preserve">püüdma tagada rahvusvahelise koostöö abil säästvat arengut kõnealuses piirkonnas ja selle ümbruses. Eelkõige kavatseb EL toetada Arktika piirkondliku kalandusorganisatsiooni või korra loomist ja edendada </w:t>
      </w:r>
      <w:r>
        <w:rPr>
          <w:noProof/>
        </w:rPr>
        <w:t>elurikkuse kaitset merekaitsealade loomise abil.</w:t>
      </w:r>
    </w:p>
    <w:p w:rsidR="000D0A7C" w:rsidRDefault="009C1AFB">
      <w:pPr>
        <w:pStyle w:val="Text2"/>
        <w:spacing w:after="120"/>
        <w:ind w:left="0"/>
        <w:rPr>
          <w:noProof/>
        </w:rPr>
      </w:pPr>
      <w:r>
        <w:rPr>
          <w:noProof/>
        </w:rPr>
        <w:t xml:space="preserve">Muud ELi piirkondlikud strateegiad (nt Guinea lahe ja Aafrika Sarve piirkonnas) peaksid aitama parandada kalavarude kaitset ja majandamist ning tagama raamistiku ETR-kalapüügi vastu võitlemiseks. </w:t>
      </w:r>
    </w:p>
    <w:p w:rsidR="000D0A7C" w:rsidRDefault="009C1AF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noProof/>
          <w:color w:val="auto"/>
        </w:rPr>
      </w:pPr>
      <w:r>
        <w:rPr>
          <w:i/>
          <w:noProof/>
        </w:rPr>
        <w:t>Komisjon t</w:t>
      </w:r>
      <w:r>
        <w:rPr>
          <w:i/>
          <w:noProof/>
        </w:rPr>
        <w:t xml:space="preserve">eeb koostööd rahvusvaheliste partneritega, et luua piirkondlikud kalandusorganisatsioonid või kord nende liikide ja piirkondade jaoks, mis on veel hõlmamata. </w:t>
      </w:r>
      <w:r>
        <w:rPr>
          <w:i/>
          <w:noProof/>
          <w:color w:val="auto"/>
        </w:rPr>
        <w:t>Eelkõige toetab EL</w:t>
      </w:r>
      <w:r>
        <w:rPr>
          <w:rStyle w:val="CommentReference"/>
          <w:noProof/>
          <w:color w:val="auto"/>
        </w:rPr>
        <w:t xml:space="preserve"> </w:t>
      </w:r>
      <w:r>
        <w:rPr>
          <w:i/>
          <w:noProof/>
          <w:color w:val="auto"/>
        </w:rPr>
        <w:t>mitmepoolset kokkulepet, millega takistatakse reguleerimata avamerekalapüüki Põ</w:t>
      </w:r>
      <w:r>
        <w:rPr>
          <w:i/>
          <w:noProof/>
          <w:color w:val="auto"/>
        </w:rPr>
        <w:t xml:space="preserve">hja-Jäämere keskosas, kuni on loodud piirkondlik kalandusorganisatsioon või kehtestatud vastav kord. </w:t>
      </w:r>
    </w:p>
    <w:p w:rsidR="000D0A7C" w:rsidRDefault="009C1AF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noProof/>
        </w:rPr>
      </w:pPr>
      <w:r>
        <w:rPr>
          <w:i/>
          <w:noProof/>
        </w:rPr>
        <w:t>Komisjon toetab Kesk-Atlandi idaosa kalastuskomitee ja Kesk-Atlandi lääneosa kalanduskomisjoni ajakohastamist aastaks 2020. Samuti toetab komisjon piirkon</w:t>
      </w:r>
      <w:r>
        <w:rPr>
          <w:i/>
          <w:noProof/>
        </w:rPr>
        <w:t>dlikke kalandusasutusi ja algatusi, et parandada riikidevahelist koostööd sellistes küsimustes nagu ETR-kalapüük.</w:t>
      </w:r>
    </w:p>
    <w:p w:rsidR="000D0A7C" w:rsidRDefault="009C1AFB">
      <w:pPr>
        <w:pStyle w:val="ListBullet1"/>
        <w:numPr>
          <w:ilvl w:val="0"/>
          <w:numId w:val="18"/>
        </w:numPr>
        <w:pBdr>
          <w:top w:val="single" w:sz="4" w:space="1" w:color="auto"/>
          <w:left w:val="single" w:sz="4" w:space="4" w:color="auto"/>
          <w:bottom w:val="single" w:sz="4" w:space="1" w:color="auto"/>
          <w:right w:val="single" w:sz="4" w:space="4" w:color="auto"/>
        </w:pBdr>
        <w:tabs>
          <w:tab w:val="clear" w:pos="765"/>
        </w:tabs>
        <w:spacing w:after="120"/>
        <w:rPr>
          <w:i/>
          <w:iCs/>
          <w:noProof/>
          <w:color w:val="auto"/>
        </w:rPr>
      </w:pPr>
      <w:r>
        <w:rPr>
          <w:i/>
          <w:noProof/>
        </w:rPr>
        <w:t>Komisjon edendab olemasolevate piirkondlike kalandusorganisatsioonide toimimise täiustamist, eelkõige toetades korrapärast tulemuslikkuse hind</w:t>
      </w:r>
      <w:r>
        <w:rPr>
          <w:i/>
          <w:noProof/>
        </w:rPr>
        <w:t>amist.</w:t>
      </w:r>
    </w:p>
    <w:p w:rsidR="000D0A7C" w:rsidRDefault="000D0A7C">
      <w:pPr>
        <w:pStyle w:val="ListBullet1"/>
        <w:spacing w:after="120"/>
        <w:ind w:left="1134" w:hanging="1134"/>
        <w:rPr>
          <w:rStyle w:val="None"/>
          <w:rFonts w:cs="Times New Roman"/>
          <w:b/>
          <w:bCs/>
          <w:noProof/>
          <w:color w:val="000000" w:themeColor="text1"/>
        </w:rPr>
      </w:pPr>
    </w:p>
    <w:p w:rsidR="000D0A7C" w:rsidRDefault="009C1AFB">
      <w:pPr>
        <w:pStyle w:val="ListBullet1"/>
        <w:spacing w:after="120"/>
        <w:ind w:left="1134" w:hanging="1134"/>
        <w:rPr>
          <w:b/>
          <w:noProof/>
          <w:color w:val="000000" w:themeColor="text1"/>
        </w:rPr>
      </w:pPr>
      <w:r>
        <w:rPr>
          <w:rStyle w:val="None"/>
          <w:b/>
          <w:noProof/>
          <w:color w:val="000000" w:themeColor="text1"/>
        </w:rPr>
        <w:t>3. meede.</w:t>
      </w:r>
      <w:r>
        <w:rPr>
          <w:noProof/>
          <w:color w:val="000000" w:themeColor="text1"/>
        </w:rPr>
        <w:t xml:space="preserve"> </w:t>
      </w:r>
      <w:r>
        <w:rPr>
          <w:noProof/>
        </w:rPr>
        <w:tab/>
      </w:r>
      <w:r>
        <w:rPr>
          <w:rStyle w:val="None"/>
          <w:b/>
          <w:noProof/>
          <w:color w:val="000000" w:themeColor="text1"/>
        </w:rPr>
        <w:t xml:space="preserve">Rahvusvaheliste organisatsioonide vahelise kooskõlastamise ja koostöö parandamine </w:t>
      </w:r>
      <w:r>
        <w:rPr>
          <w:b/>
          <w:noProof/>
          <w:color w:val="000000" w:themeColor="text1"/>
        </w:rPr>
        <w:t>ning ookeanialaste partnerluste loomine ookeanide majandamiseks</w:t>
      </w:r>
    </w:p>
    <w:p w:rsidR="000D0A7C" w:rsidRDefault="000D0A7C">
      <w:pPr>
        <w:pStyle w:val="ListBullet1"/>
        <w:spacing w:after="120"/>
        <w:ind w:left="1134" w:hanging="1134"/>
        <w:rPr>
          <w:b/>
          <w:noProof/>
          <w:color w:val="000000" w:themeColor="text1"/>
        </w:rPr>
      </w:pPr>
    </w:p>
    <w:p w:rsidR="000D0A7C" w:rsidRDefault="009C1AFB">
      <w:pPr>
        <w:pStyle w:val="ListBullet1"/>
        <w:spacing w:after="120"/>
        <w:rPr>
          <w:noProof/>
          <w:color w:val="000000" w:themeColor="text1"/>
        </w:rPr>
      </w:pPr>
      <w:r>
        <w:rPr>
          <w:noProof/>
          <w:color w:val="000000" w:themeColor="text1"/>
        </w:rPr>
        <w:t>EL peaks aitama parandada kooskõlastamist ja koostööd rahvusvaheliste organisatsioonide va</w:t>
      </w:r>
      <w:r>
        <w:rPr>
          <w:noProof/>
          <w:color w:val="000000" w:themeColor="text1"/>
        </w:rPr>
        <w:t>hel, kellel on ookeanide küsimustes volitused. Seda on võimalik teha vastastikuse mõistmise memorandumite ja koostöölepingute abil, et täiustada kooskõlastamist asutuste vahel, kellel on samad või üksteist täiendavad eesmärgid. Komisjon kaalub nn Kobe prot</w:t>
      </w:r>
      <w:r>
        <w:rPr>
          <w:noProof/>
          <w:color w:val="000000" w:themeColor="text1"/>
        </w:rPr>
        <w:t>sessi taaselustamist tuuni piirkondlike kalandusorganisatsioonide puhul ja selle laiendamist kõigile piirkondlikele kalandusorganisatsioonidele. Samuti toetab EL selliste mitmepoolse koostöö mehhanismide rolli nagu UN-Oceans (eelkõige seoses selle volitust</w:t>
      </w:r>
      <w:r>
        <w:rPr>
          <w:noProof/>
          <w:color w:val="000000" w:themeColor="text1"/>
        </w:rPr>
        <w:t>e läbivaatamisega 2017. aastal), IOC, ISA ning mandri ja piirkondliku tasandi organisatsioonid, kes on välja töötanud strateegiad mere kaitsmiseks ja väärtustamiseks.</w:t>
      </w:r>
    </w:p>
    <w:p w:rsidR="000D0A7C" w:rsidRDefault="009C1AFB">
      <w:pPr>
        <w:pStyle w:val="ListBullet1"/>
        <w:spacing w:after="120"/>
        <w:rPr>
          <w:noProof/>
          <w:color w:val="000000" w:themeColor="text1"/>
        </w:rPr>
      </w:pPr>
      <w:r>
        <w:rPr>
          <w:noProof/>
          <w:color w:val="000000" w:themeColor="text1"/>
        </w:rPr>
        <w:t>Komisjon osaleb merendust ja kalandust käsitlevates kahepoolsetes dialoogides ookeanidega</w:t>
      </w:r>
      <w:r>
        <w:rPr>
          <w:noProof/>
          <w:color w:val="000000" w:themeColor="text1"/>
        </w:rPr>
        <w:t xml:space="preserve"> seotud peamiste osalejatega, sealhulgas Austraalia, Kanada, Hiina, Jaapani, Uus-Meremaa ja Ameerika Ühendriikidega. Komisjon kavatseb kõnealused dialoogid muuta järgmise viie aasta jooksul järk-järgult ookeanialasteks partnerlusteks. Nii tugevdatakse koos</w:t>
      </w:r>
      <w:r>
        <w:rPr>
          <w:noProof/>
          <w:color w:val="000000" w:themeColor="text1"/>
        </w:rPr>
        <w:t xml:space="preserve">tööd sellistes olulistes ookeanide majandamise valdkondades nagu ookeanidega seotud säästva arengu eesmärkide rakendamine, suutlikkuse suurendamine, kaitse ja säästva meremajanduse kasvu edendamine, merendusuuringud, rahvusvaheline kalavarude majandamine, </w:t>
      </w:r>
      <w:r>
        <w:rPr>
          <w:noProof/>
          <w:color w:val="000000" w:themeColor="text1"/>
        </w:rPr>
        <w:t xml:space="preserve">inimväärsed töötingimused, ETR-kalapüügi vastane võitlus ja merendusjulgeolek. </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 xml:space="preserve">Komisjon ja kõrge esindaja toetavad paremat koostööd ja kooskõlastamist ülemaailmsete ja piirkondlike organisatsioonide vahel, kellel on ookeanidega seotud volitused, </w:t>
      </w:r>
      <w:r>
        <w:rPr>
          <w:i/>
          <w:noProof/>
        </w:rPr>
        <w:t>sealhulgas uute või olemasolevate raamistike kaudu.</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Komisjon toetab paremat kooskõlastatust piirkondlike kalandusorganisatsioonide ja piirkondlike merekonventsioonide vahel ning koostööd ülemaailmsete organisatsioonidega</w:t>
      </w:r>
      <w:r>
        <w:rPr>
          <w:rStyle w:val="FootnoteReference"/>
          <w:noProof/>
        </w:rPr>
        <w:footnoteReference w:id="13"/>
      </w:r>
      <w:r>
        <w:rPr>
          <w:i/>
          <w:noProof/>
        </w:rPr>
        <w:t>.</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rFonts w:cs="Times New Roman"/>
          <w:i/>
          <w:noProof/>
        </w:rPr>
      </w:pPr>
      <w:r>
        <w:rPr>
          <w:i/>
          <w:noProof/>
          <w:color w:val="auto"/>
        </w:rPr>
        <w:t xml:space="preserve">Komisjon toetab kõigi asjakohaste rahvusvaheliste institutsioonide ülemaailmseid jõupingutusi merekeskkonna elurikkuse kaitsmiseks, nagu näiteks </w:t>
      </w:r>
      <w:r>
        <w:rPr>
          <w:rStyle w:val="st1"/>
          <w:i/>
          <w:noProof/>
          <w:color w:val="auto"/>
        </w:rPr>
        <w:t>merede ja rannikualade bioloogilise mitmekesisuse konventsiooni</w:t>
      </w:r>
      <w:r>
        <w:rPr>
          <w:rStyle w:val="FootnoteReference"/>
          <w:i/>
          <w:noProof/>
          <w:color w:val="auto"/>
        </w:rPr>
        <w:footnoteReference w:id="14"/>
      </w:r>
      <w:r>
        <w:rPr>
          <w:i/>
          <w:noProof/>
          <w:color w:val="auto"/>
        </w:rPr>
        <w:t xml:space="preserve"> osaliste konverentsi 12. istungil vastu võetud</w:t>
      </w:r>
      <w:r>
        <w:rPr>
          <w:i/>
          <w:noProof/>
          <w:color w:val="auto"/>
        </w:rPr>
        <w:t xml:space="preserve"> prioriteetseid meetmeid ning muid ökoloogiliselt ja bioloogiliselt oluliste merealade kindlaksmääramisega seotud otsuseid.</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Komisjon tagab CITESi osaliste 16. ja 17. konverentsil mereliikide kaitseks tehtud otsuste tulemusliku rakendamise</w:t>
      </w:r>
      <w:r>
        <w:rPr>
          <w:rStyle w:val="FootnoteReference"/>
          <w:i/>
          <w:noProof/>
        </w:rPr>
        <w:footnoteReference w:id="15"/>
      </w:r>
      <w:r>
        <w:rPr>
          <w:noProof/>
        </w:rPr>
        <w:t>.</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Komisjon ja kõr</w:t>
      </w:r>
      <w:r>
        <w:rPr>
          <w:i/>
          <w:noProof/>
        </w:rPr>
        <w:t>ge esindaja toetavad mitmepoolse koostöö mehhanisme, nagu näiteks mehhanismi UN-Oceans selle eelseisva volituste läbivaatamise raames ja eesmärgiga tugevdada selle koordineerivat rolli.</w:t>
      </w:r>
    </w:p>
    <w:p w:rsidR="000D0A7C" w:rsidRDefault="009C1AFB">
      <w:pPr>
        <w:pStyle w:val="Text2"/>
        <w:numPr>
          <w:ilvl w:val="0"/>
          <w:numId w:val="7"/>
        </w:numPr>
        <w:pBdr>
          <w:top w:val="single" w:sz="4" w:space="0" w:color="000000"/>
          <w:left w:val="single" w:sz="4" w:space="0" w:color="000000"/>
          <w:bottom w:val="single" w:sz="4" w:space="0" w:color="000000"/>
          <w:right w:val="single" w:sz="4" w:space="0" w:color="000000"/>
        </w:pBdr>
        <w:spacing w:after="120"/>
        <w:rPr>
          <w:i/>
          <w:noProof/>
        </w:rPr>
      </w:pPr>
      <w:r>
        <w:rPr>
          <w:i/>
          <w:noProof/>
        </w:rPr>
        <w:t>Komisjon teeb ettepaneku arendada ookeanialast partnerlust ookeanidega</w:t>
      </w:r>
      <w:r>
        <w:rPr>
          <w:i/>
          <w:noProof/>
        </w:rPr>
        <w:t xml:space="preserve"> seotud peamiste osalejatega.</w:t>
      </w:r>
    </w:p>
    <w:p w:rsidR="000D0A7C" w:rsidRDefault="000D0A7C">
      <w:pPr>
        <w:pStyle w:val="ListBullet1"/>
        <w:keepNext/>
        <w:spacing w:after="120"/>
        <w:rPr>
          <w:rStyle w:val="None"/>
          <w:rFonts w:cs="Times New Roman"/>
          <w:b/>
          <w:bCs/>
          <w:noProof/>
          <w:color w:val="000000" w:themeColor="text1"/>
        </w:rPr>
      </w:pPr>
    </w:p>
    <w:p w:rsidR="000D0A7C" w:rsidRDefault="009C1AFB">
      <w:pPr>
        <w:pStyle w:val="ListBullet1"/>
        <w:keepNext/>
        <w:spacing w:after="120"/>
        <w:rPr>
          <w:noProof/>
          <w:color w:val="000000" w:themeColor="text1"/>
        </w:rPr>
      </w:pPr>
      <w:r>
        <w:rPr>
          <w:rStyle w:val="None"/>
          <w:b/>
          <w:noProof/>
          <w:color w:val="000000" w:themeColor="text1"/>
        </w:rPr>
        <w:t xml:space="preserve">4. meede. Suutlikkuse suurendamine </w:t>
      </w:r>
    </w:p>
    <w:p w:rsidR="000D0A7C" w:rsidRDefault="000D0A7C">
      <w:pPr>
        <w:pStyle w:val="ListBullet1"/>
        <w:spacing w:after="120"/>
        <w:rPr>
          <w:rStyle w:val="None"/>
          <w:rFonts w:cs="Times New Roman"/>
          <w:noProof/>
          <w:color w:val="000000" w:themeColor="text1"/>
          <w:u w:color="FF0000"/>
        </w:rPr>
      </w:pPr>
    </w:p>
    <w:p w:rsidR="000D0A7C" w:rsidRDefault="009C1AFB">
      <w:pPr>
        <w:pStyle w:val="ListBullet1"/>
        <w:spacing w:after="120"/>
        <w:rPr>
          <w:rStyle w:val="None"/>
          <w:rFonts w:cs="Times New Roman"/>
          <w:noProof/>
          <w:color w:val="000000" w:themeColor="text1"/>
          <w:u w:color="FF0000"/>
        </w:rPr>
      </w:pPr>
      <w:r>
        <w:rPr>
          <w:rStyle w:val="None"/>
          <w:noProof/>
          <w:color w:val="000000" w:themeColor="text1"/>
          <w:u w:color="FF0000"/>
        </w:rPr>
        <w:t xml:space="preserve">Komisjon </w:t>
      </w:r>
      <w:r>
        <w:rPr>
          <w:noProof/>
        </w:rPr>
        <w:t xml:space="preserve">ja kõrge esindaja </w:t>
      </w:r>
      <w:r>
        <w:rPr>
          <w:rStyle w:val="None"/>
          <w:noProof/>
          <w:color w:val="000000" w:themeColor="text1"/>
          <w:u w:color="FF0000"/>
        </w:rPr>
        <w:t>kasutavad välispoliitika raamistikku, sealhulgas arengukoostööd, et edendada ja suurendada suutlikkust ookeanide paremaks majandamiseks, elurikkuse kaitsmiseks j</w:t>
      </w:r>
      <w:r>
        <w:rPr>
          <w:rStyle w:val="None"/>
          <w:noProof/>
          <w:color w:val="000000" w:themeColor="text1"/>
          <w:u w:color="FF0000"/>
        </w:rPr>
        <w:t xml:space="preserve">a taastamiseks ning säästvaks meremajandamiseks koos oma partneritega, </w:t>
      </w:r>
      <w:r>
        <w:rPr>
          <w:rStyle w:val="None"/>
          <w:noProof/>
          <w:color w:val="000000" w:themeColor="text1"/>
        </w:rPr>
        <w:t>sealhulgas rahvusvaheliste organisatsioonidega.</w:t>
      </w:r>
    </w:p>
    <w:p w:rsidR="000D0A7C" w:rsidRDefault="009C1AFB">
      <w:pPr>
        <w:pStyle w:val="Default"/>
        <w:spacing w:after="120"/>
        <w:rPr>
          <w:rStyle w:val="None"/>
          <w:noProof/>
          <w:color w:val="auto"/>
        </w:rPr>
      </w:pPr>
      <w:r>
        <w:rPr>
          <w:rStyle w:val="None"/>
          <w:noProof/>
        </w:rPr>
        <w:t>Mere- ja rannikualade areng peab olema keskkonnasäästlik ja sotsiaalselt kaasav. Sektorite ja investeeringute vaheline koostoime ja kompr</w:t>
      </w:r>
      <w:r>
        <w:rPr>
          <w:rStyle w:val="None"/>
          <w:noProof/>
        </w:rPr>
        <w:t xml:space="preserve">omissid tuleb selgelt määratleda ja sõnastada. </w:t>
      </w:r>
    </w:p>
    <w:p w:rsidR="000D0A7C" w:rsidRDefault="009C1AFB">
      <w:pPr>
        <w:pStyle w:val="Body"/>
        <w:spacing w:after="120"/>
        <w:rPr>
          <w:noProof/>
        </w:rPr>
      </w:pPr>
      <w:r>
        <w:rPr>
          <w:noProof/>
        </w:rPr>
        <w:t>ELil on mitmeid erinevaid kahepoolseid koostöö-, partnerlus- ja kaubanduslepinguid, sealhulgas säästva kalapüügi partnerluslepingud, mille alusel saab EL tugevdada koostööd sellistes merendusküsimustes nagu m</w:t>
      </w:r>
      <w:r>
        <w:rPr>
          <w:noProof/>
        </w:rPr>
        <w:t>eremajanduse kasv, merede ja rannikualade majandamine, töötajate õigused ja kvalifikatsioon,</w:t>
      </w:r>
      <w:r>
        <w:rPr>
          <w:rStyle w:val="FootnoteReference"/>
          <w:noProof/>
        </w:rPr>
        <w:footnoteReference w:id="16"/>
      </w:r>
      <w:r>
        <w:rPr>
          <w:noProof/>
        </w:rPr>
        <w:t xml:space="preserve"> kliimamuutuste mõju ookeanidele ning rahvusvaheliste kohustuste täitmise toetamine. </w:t>
      </w:r>
    </w:p>
    <w:p w:rsidR="000D0A7C" w:rsidRDefault="009C1AFB">
      <w:pPr>
        <w:pStyle w:val="ListBullet1"/>
        <w:spacing w:after="120"/>
        <w:rPr>
          <w:noProof/>
          <w:color w:val="000000" w:themeColor="text1"/>
        </w:rPr>
      </w:pPr>
      <w:r>
        <w:rPr>
          <w:noProof/>
        </w:rPr>
        <w:t xml:space="preserve">Suutlikkuse suurendamise võimaluste tugevdamine konkreetsetes piirkondades (nt Guinea lahe piirkond, Atlandi ookeani lõunaosa, Kagu-Aasia ja </w:t>
      </w:r>
      <w:r>
        <w:rPr>
          <w:rStyle w:val="None"/>
          <w:noProof/>
        </w:rPr>
        <w:t>väikesed arenevad saareriigid)</w:t>
      </w:r>
      <w:r>
        <w:rPr>
          <w:noProof/>
        </w:rPr>
        <w:t xml:space="preserve"> on samuti selle lähenemisviisi üks osa.</w:t>
      </w:r>
      <w:r>
        <w:rPr>
          <w:noProof/>
          <w:color w:val="000000" w:themeColor="text1"/>
        </w:rPr>
        <w:t xml:space="preserve"> </w:t>
      </w:r>
    </w:p>
    <w:p w:rsidR="000D0A7C" w:rsidRDefault="009C1AFB">
      <w:pPr>
        <w:pStyle w:val="ListBullet1"/>
        <w:spacing w:after="120"/>
        <w:rPr>
          <w:noProof/>
          <w:color w:val="000000" w:themeColor="text1"/>
        </w:rPr>
      </w:pPr>
      <w:r>
        <w:rPr>
          <w:rStyle w:val="None"/>
          <w:noProof/>
          <w:color w:val="000000" w:themeColor="text1"/>
          <w:u w:color="FF0000"/>
        </w:rPr>
        <w:t xml:space="preserve">Komisjon </w:t>
      </w:r>
      <w:r>
        <w:rPr>
          <w:noProof/>
        </w:rPr>
        <w:t>ja kõrge esindaja kaasavad ressurs</w:t>
      </w:r>
      <w:r>
        <w:rPr>
          <w:noProof/>
        </w:rPr>
        <w:t>se, et toetada säästva meremajanduse paremat planeerimist, eelkõige seoses Vahemere Liidu ja Barcelona konventsiooniga.</w:t>
      </w:r>
      <w:r>
        <w:rPr>
          <w:noProof/>
          <w:color w:val="000000" w:themeColor="text1"/>
        </w:rPr>
        <w:t xml:space="preserve"> Nad edendavad piirkondlikku dialoogi Vahemere Liidu meremajanduse foorumi kaudu ning toetavad selle raames kokku lepitud meetmeid, sealh</w:t>
      </w:r>
      <w:r>
        <w:rPr>
          <w:noProof/>
          <w:color w:val="000000" w:themeColor="text1"/>
        </w:rPr>
        <w:t>ulgas parandatud koostööd mereuuringute valdkonnas ja innovatsiooni algatuse BlueMed kaudu.</w:t>
      </w:r>
      <w:r>
        <w:rPr>
          <w:rStyle w:val="FootnoteReference"/>
          <w:i/>
          <w:noProof/>
          <w:color w:val="auto"/>
        </w:rPr>
        <w:t xml:space="preserve"> </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u w:color="FF0000"/>
        </w:rPr>
      </w:pPr>
      <w:r>
        <w:rPr>
          <w:rStyle w:val="None"/>
          <w:i/>
          <w:noProof/>
          <w:color w:val="auto"/>
          <w:u w:color="FF0000"/>
        </w:rPr>
        <w:t xml:space="preserve">Komisjon </w:t>
      </w:r>
      <w:r>
        <w:rPr>
          <w:i/>
          <w:noProof/>
        </w:rPr>
        <w:t xml:space="preserve">ja kõrge esindaja </w:t>
      </w:r>
      <w:r>
        <w:rPr>
          <w:rStyle w:val="None"/>
          <w:i/>
          <w:noProof/>
          <w:color w:val="auto"/>
          <w:u w:color="FF0000"/>
        </w:rPr>
        <w:t>kasutavad välispoliitika raamistikku, sealhulgas arengukoostöö raamistikku, et edendada ja suurendada suutlikkust ookeanide parema majan</w:t>
      </w:r>
      <w:r>
        <w:rPr>
          <w:rStyle w:val="None"/>
          <w:i/>
          <w:noProof/>
          <w:color w:val="auto"/>
          <w:u w:color="FF0000"/>
        </w:rPr>
        <w:t>damise ja säästva meremajanduse jaoks koos peamiste partneritega – eelkõige Vaikse ookeani, India ookeani ja Lääne-Aafrika piirkonnas.</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i/>
          <w:noProof/>
          <w:color w:val="auto"/>
        </w:rPr>
      </w:pPr>
      <w:r>
        <w:rPr>
          <w:rStyle w:val="None"/>
          <w:i/>
          <w:noProof/>
          <w:color w:val="auto"/>
          <w:u w:color="FF0000"/>
        </w:rPr>
        <w:t xml:space="preserve">Tuginedes olemasolevale ELi arengukoostööle, </w:t>
      </w:r>
      <w:r>
        <w:rPr>
          <w:i/>
          <w:noProof/>
        </w:rPr>
        <w:t xml:space="preserve">aitavad komisjon ja kõrge esindaja suurendada </w:t>
      </w:r>
      <w:r>
        <w:rPr>
          <w:rStyle w:val="None"/>
          <w:i/>
          <w:noProof/>
          <w:color w:val="auto"/>
          <w:u w:color="FF0000"/>
        </w:rPr>
        <w:t>merendusjulgeolekuga seotud su</w:t>
      </w:r>
      <w:r>
        <w:rPr>
          <w:rStyle w:val="None"/>
          <w:i/>
          <w:noProof/>
          <w:color w:val="auto"/>
          <w:u w:color="FF0000"/>
        </w:rPr>
        <w:t>utlikkust koos teiste riikide ja piirkondlike organisatsioonidega – eelkõige Guinea lahe ja India ookeani piirkonnas.</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000000" w:themeColor="text1"/>
          <w:u w:color="FF0000"/>
        </w:rPr>
        <w:t xml:space="preserve">2017. aastal toetavad komisjon ja kõrge esindaja kindlat ja teaduspõhist meremajanduse </w:t>
      </w:r>
      <w:r>
        <w:rPr>
          <w:rStyle w:val="None"/>
          <w:i/>
          <w:noProof/>
        </w:rPr>
        <w:t>arengu raamistikku.</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Komisjon ja kõrge esindaja teev</w:t>
      </w:r>
      <w:r>
        <w:rPr>
          <w:rStyle w:val="None"/>
          <w:i/>
          <w:noProof/>
          <w:color w:val="auto"/>
        </w:rPr>
        <w:t xml:space="preserve">ad kindlaks viisid, kuidas parandada säästva arengu eesmärkide rakendamise abil ookeanide majandamist. Nende hulka kuulub näiteks suutlikkuse suurendamise võimaluste tugevdamine konkreetsetes piirkondades, nt Guinea lahe piirkonnas ja Kagu-Aasias. </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 xml:space="preserve">Komisjon </w:t>
      </w:r>
      <w:r>
        <w:rPr>
          <w:rStyle w:val="None"/>
          <w:i/>
          <w:noProof/>
        </w:rPr>
        <w:t xml:space="preserve">lisab Rahvusvahelise Mereorganisatsiooniga (IMO) tehtavasse koostöösse tehnilise koostöö, mille eesmärk on tugevdada </w:t>
      </w:r>
      <w:r>
        <w:rPr>
          <w:i/>
          <w:noProof/>
        </w:rPr>
        <w:t>IMO õigusaktide rakendamist ja jõustamist</w:t>
      </w:r>
      <w:r>
        <w:rPr>
          <w:rStyle w:val="None"/>
          <w:i/>
          <w:noProof/>
        </w:rPr>
        <w:t>.</w:t>
      </w:r>
    </w:p>
    <w:p w:rsidR="000D0A7C" w:rsidRDefault="009C1AFB">
      <w:pPr>
        <w:pStyle w:val="ListBullet1"/>
        <w:numPr>
          <w:ilvl w:val="0"/>
          <w:numId w:val="8"/>
        </w:numPr>
        <w:pBdr>
          <w:top w:val="single" w:sz="4" w:space="1" w:color="auto"/>
          <w:left w:val="single" w:sz="4" w:space="4" w:color="auto"/>
          <w:bottom w:val="single" w:sz="4" w:space="1" w:color="auto"/>
          <w:right w:val="single" w:sz="4" w:space="4" w:color="auto"/>
        </w:pBdr>
        <w:spacing w:after="120"/>
        <w:rPr>
          <w:rStyle w:val="None"/>
          <w:rFonts w:cs="Times New Roman"/>
          <w:i/>
          <w:noProof/>
          <w:color w:val="auto"/>
        </w:rPr>
      </w:pPr>
      <w:r>
        <w:rPr>
          <w:rStyle w:val="None"/>
          <w:i/>
          <w:noProof/>
          <w:color w:val="auto"/>
        </w:rPr>
        <w:t>Komisjon koondab ressursse, et toetada Vahemeres säästva meremajanduse arendamise suutl</w:t>
      </w:r>
      <w:r>
        <w:rPr>
          <w:rStyle w:val="None"/>
          <w:i/>
          <w:noProof/>
          <w:color w:val="auto"/>
        </w:rPr>
        <w:t>ikkuse suurendamisel tehtavaid edusamme Vahemere Liidu ja muude organisatsioonide, sealhulgas</w:t>
      </w:r>
      <w:r>
        <w:rPr>
          <w:i/>
          <w:noProof/>
        </w:rPr>
        <w:t xml:space="preserve"> Barcelona konventsiooni raames.</w:t>
      </w:r>
    </w:p>
    <w:p w:rsidR="000D0A7C" w:rsidRDefault="000D0A7C">
      <w:pPr>
        <w:pStyle w:val="Text2"/>
        <w:spacing w:after="120"/>
        <w:ind w:left="1134" w:hanging="1134"/>
        <w:rPr>
          <w:b/>
          <w:bCs/>
          <w:noProof/>
          <w:color w:val="000000" w:themeColor="text1"/>
        </w:rPr>
      </w:pPr>
    </w:p>
    <w:p w:rsidR="000D0A7C" w:rsidRDefault="009C1AFB">
      <w:pPr>
        <w:pStyle w:val="Text2"/>
        <w:spacing w:after="120"/>
        <w:ind w:left="1134" w:hanging="1134"/>
        <w:rPr>
          <w:noProof/>
          <w:color w:val="000000" w:themeColor="text1"/>
        </w:rPr>
      </w:pPr>
      <w:r>
        <w:rPr>
          <w:b/>
          <w:noProof/>
          <w:color w:val="000000" w:themeColor="text1"/>
        </w:rPr>
        <w:t xml:space="preserve">5. meede. </w:t>
      </w:r>
      <w:r>
        <w:rPr>
          <w:noProof/>
        </w:rPr>
        <w:tab/>
      </w:r>
      <w:r>
        <w:rPr>
          <w:b/>
          <w:noProof/>
          <w:color w:val="000000" w:themeColor="text1"/>
        </w:rPr>
        <w:t>Merede ja ookeanide ohutuse ja turvalisuse tagamine</w:t>
      </w:r>
      <w:r>
        <w:rPr>
          <w:noProof/>
          <w:color w:val="000000" w:themeColor="text1"/>
        </w:rPr>
        <w:t xml:space="preserve"> </w:t>
      </w:r>
    </w:p>
    <w:p w:rsidR="000D0A7C" w:rsidRDefault="000D0A7C">
      <w:pPr>
        <w:pStyle w:val="Body"/>
        <w:spacing w:after="120"/>
        <w:rPr>
          <w:noProof/>
        </w:rPr>
      </w:pPr>
    </w:p>
    <w:p w:rsidR="000D0A7C" w:rsidRDefault="009C1AFB">
      <w:pPr>
        <w:pStyle w:val="Body"/>
        <w:spacing w:after="120"/>
        <w:rPr>
          <w:rFonts w:eastAsia="Times New Roman" w:cs="Times New Roman"/>
          <w:noProof/>
        </w:rPr>
      </w:pPr>
      <w:r>
        <w:rPr>
          <w:noProof/>
        </w:rPr>
        <w:t xml:space="preserve">ELi merendusjulgeoleku strateegias määratakse kindlaks julgeolekuprobleemid, nagu piraatlus, inimkaubandus ja inimeste ebaseaduslik üle piiri toimetamine, relva- ja uimastikaubandus, ning rõhutatakse vajadust hõlbustada koostööd ja teabe jagamist tsiviil- </w:t>
      </w:r>
      <w:r>
        <w:rPr>
          <w:noProof/>
        </w:rPr>
        <w:t>ja militaarasutuste vahel. Ülemaailmsete lahenduste leidmiseks on vaja laiemat rahvusvahelist arutelu sellistel foorumitel nagu ÜRO, G7 ja G20 ning spetsiaalselt kohandatud partnerlusi, millesse oleks kaasatud teised riigid ja piirkondlikud organisatsiooni</w:t>
      </w:r>
      <w:r>
        <w:rPr>
          <w:noProof/>
        </w:rPr>
        <w:t xml:space="preserve">d (nt Aafrika Liit ja ASEAN). </w:t>
      </w:r>
    </w:p>
    <w:p w:rsidR="000D0A7C" w:rsidRDefault="009C1AFB">
      <w:pPr>
        <w:pStyle w:val="Body"/>
        <w:spacing w:after="120"/>
        <w:rPr>
          <w:noProof/>
        </w:rPr>
      </w:pPr>
      <w:r>
        <w:rPr>
          <w:noProof/>
        </w:rPr>
        <w:t>Koos liikmesriikidega teevad komisjon ja kõrge esindaja merendusjulgeoleku ohtude ja riskide vähendamiseks ja kõrvaldamiseks ELi merendusjulgeoleku strateegia ja piirkondlike strateegiate (nt Guinea lahe ja Aafrika Sarve piir</w:t>
      </w:r>
      <w:r>
        <w:rPr>
          <w:noProof/>
        </w:rPr>
        <w:t>kond) raames kahe- ja mitmepoolset koostööd ELi mittekuuluvate riikide ja piirkondlike organisatsioonidega, hoogustades tööd esmatähtsates valdkondades</w:t>
      </w:r>
      <w:r>
        <w:rPr>
          <w:rStyle w:val="FootnoteReference"/>
          <w:noProof/>
        </w:rPr>
        <w:footnoteReference w:id="17"/>
      </w:r>
      <w:r>
        <w:rPr>
          <w:noProof/>
        </w:rPr>
        <w:t>.</w:t>
      </w:r>
    </w:p>
    <w:p w:rsidR="000D0A7C" w:rsidRDefault="009C1AFB">
      <w:pPr>
        <w:pStyle w:val="Body"/>
        <w:spacing w:after="120"/>
        <w:rPr>
          <w:noProof/>
        </w:rPr>
      </w:pPr>
      <w:r>
        <w:rPr>
          <w:noProof/>
        </w:rPr>
        <w:t>Euroopa piiri- ja rannikuvalvet käsitleva uue määrusega</w:t>
      </w:r>
      <w:r>
        <w:rPr>
          <w:rStyle w:val="FootnoteReference"/>
          <w:noProof/>
        </w:rPr>
        <w:footnoteReference w:id="18"/>
      </w:r>
      <w:r>
        <w:rPr>
          <w:noProof/>
          <w:sz w:val="20"/>
        </w:rPr>
        <w:t xml:space="preserve"> </w:t>
      </w:r>
      <w:r>
        <w:rPr>
          <w:noProof/>
        </w:rPr>
        <w:t>ning Euroopa Meresõiduohutuse Ametit (EMSA) j</w:t>
      </w:r>
      <w:r>
        <w:rPr>
          <w:noProof/>
        </w:rPr>
        <w:t>a Kalanduskontrolli Ametit (EFCA) käsitlevate muudetud määrustega luuakse alus tihedamaks koostööks ELi ametite vahel, kes toetavad rannikuvalve ülesandeid täitvaid liikmesriikide ametiasutusi, ja ELi mittekuuluvate riikidega Euroopa merepiirkondades. Sell</w:t>
      </w:r>
      <w:r>
        <w:rPr>
          <w:noProof/>
        </w:rPr>
        <w:t>es töös keskendutakse ka paremale koostööle riiklike rannikuvalveasutuste vahel, et korraldada mitmeotstarbelisi kampaaniaid, sealhulgas näiteks ebaseaduslikult merre juhitud heidete avastamiseks MARPOLi konventsiooni</w:t>
      </w:r>
      <w:r>
        <w:rPr>
          <w:rStyle w:val="FootnoteReference"/>
          <w:noProof/>
        </w:rPr>
        <w:footnoteReference w:id="19"/>
      </w:r>
      <w:r>
        <w:rPr>
          <w:noProof/>
        </w:rPr>
        <w:t xml:space="preserve"> alusel. Selle koostöö osana korraldav</w:t>
      </w:r>
      <w:r>
        <w:rPr>
          <w:noProof/>
        </w:rPr>
        <w:t>ad Frontex, EMSA ja EFCA mitmeotstarbelisi operatsioone, sealhulgas kalanduse, piiri- ja rändekontrolli valdkonnas Vahemere keskosas.</w:t>
      </w:r>
      <w:r>
        <w:rPr>
          <w:noProof/>
          <w:color w:val="1F497D"/>
        </w:rPr>
        <w:t xml:space="preserve"> </w:t>
      </w:r>
      <w:r>
        <w:rPr>
          <w:noProof/>
        </w:rPr>
        <w:t>Lisaks nimetatud tegevustele osalevad ELi sõjalised üksused ka inimeste ebaseadusliku üle piiri toimetamise vastases võitl</w:t>
      </w:r>
      <w:r>
        <w:rPr>
          <w:noProof/>
        </w:rPr>
        <w:t>uses, laevade kaitsmises, piraatlusvastases võitluses ning kalandustegevuse seires operatsioonide ATALANTA ja Sophia raames, tehes oma ülesannete täitmiseks koostööd NATOga.</w:t>
      </w:r>
    </w:p>
    <w:p w:rsidR="000D0A7C" w:rsidRDefault="009C1AF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Koos liikmesriikidega võtavad komisjon ja kõrge esindaja aluseks ELi merendusjulge</w:t>
      </w:r>
      <w:r>
        <w:rPr>
          <w:i/>
          <w:noProof/>
        </w:rPr>
        <w:t>oleku strateegia, et teha koostööd teiste riikidega merendusjulgeoleku ohtude ja riskide vähendamiseks ja kõrvaldamiseks.</w:t>
      </w:r>
    </w:p>
    <w:p w:rsidR="000D0A7C" w:rsidRDefault="009C1AF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Komisjon ja kõrge esindaja teevad tööd, et parandada valdkondadevahelise mereseireteabe vahetamist liikmesriikide vahel, kaasates ka E</w:t>
      </w:r>
      <w:r>
        <w:rPr>
          <w:i/>
          <w:noProof/>
        </w:rPr>
        <w:t xml:space="preserve">MSA ja toetades muu hulgas ühise teabejagamiskeskkonna (CISE) rakendamist, ning ELi mittekuuluvate riikidega, lihtsustades seeläbi rahvusvahelist sekkumist. </w:t>
      </w:r>
    </w:p>
    <w:p w:rsidR="000D0A7C" w:rsidRDefault="009C1AF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Komisjon hindab, kuidas hõlbustada selliste mereseirekeskkondade koostalitlusvõimet nagu CISE.</w:t>
      </w:r>
    </w:p>
    <w:p w:rsidR="000D0A7C" w:rsidRDefault="009C1AFB">
      <w:pPr>
        <w:pStyle w:val="Body"/>
        <w:numPr>
          <w:ilvl w:val="0"/>
          <w:numId w:val="9"/>
        </w:numPr>
        <w:pBdr>
          <w:top w:val="single" w:sz="4" w:space="1" w:color="auto"/>
          <w:left w:val="single" w:sz="4" w:space="4" w:color="auto"/>
          <w:bottom w:val="single" w:sz="4" w:space="1" w:color="auto"/>
          <w:right w:val="single" w:sz="4" w:space="4" w:color="auto"/>
        </w:pBdr>
        <w:spacing w:after="120"/>
        <w:rPr>
          <w:i/>
          <w:noProof/>
        </w:rPr>
      </w:pPr>
      <w:r>
        <w:rPr>
          <w:i/>
          <w:noProof/>
        </w:rPr>
        <w:t>Sat</w:t>
      </w:r>
      <w:r>
        <w:rPr>
          <w:i/>
          <w:noProof/>
        </w:rPr>
        <w:t>elliitside ja andmete analüüsi valdkonna tehnilise arengu ja olemasolevate merendustegevuse seire süsteemide põhjal käivitab komisjon koostöös kõrge esindajaga katseprojekti ebaseadusliku kalapüügi jälgimiseks kogu maailmas, suurendades teadlikkust merel v</w:t>
      </w:r>
      <w:r>
        <w:rPr>
          <w:i/>
          <w:noProof/>
        </w:rPr>
        <w:t>alitsevast olukorrast, ning uurib võimalusi laiendada seiret ka teistele sektoritele.</w:t>
      </w:r>
    </w:p>
    <w:p w:rsidR="000D0A7C" w:rsidRDefault="009C1AFB">
      <w:pPr>
        <w:pStyle w:val="NoSpacing"/>
        <w:tabs>
          <w:tab w:val="clear" w:pos="4678"/>
          <w:tab w:val="left" w:pos="1421"/>
        </w:tabs>
        <w:spacing w:after="120"/>
        <w:rPr>
          <w:rStyle w:val="None"/>
          <w:rFonts w:cs="Times New Roman"/>
          <w:noProof/>
          <w:color w:val="000000" w:themeColor="text1"/>
        </w:rPr>
      </w:pPr>
      <w:r>
        <w:rPr>
          <w:noProof/>
        </w:rPr>
        <w:tab/>
      </w:r>
    </w:p>
    <w:p w:rsidR="000D0A7C" w:rsidRDefault="009C1AFB">
      <w:pPr>
        <w:pStyle w:val="Heading"/>
        <w:spacing w:after="120"/>
        <w:rPr>
          <w:noProof/>
        </w:rPr>
      </w:pPr>
      <w:r>
        <w:rPr>
          <w:rStyle w:val="None"/>
          <w:noProof/>
          <w:color w:val="000000" w:themeColor="text1"/>
        </w:rPr>
        <w:t>3.</w:t>
      </w:r>
      <w:r>
        <w:rPr>
          <w:noProof/>
        </w:rPr>
        <w:tab/>
        <w:t>Ookeanidele ja meredele avaldatava surve vähendamine ning säästva meremajanduse jaoks tingimuste loomine</w:t>
      </w:r>
    </w:p>
    <w:p w:rsidR="000D0A7C" w:rsidRDefault="000D0A7C">
      <w:pPr>
        <w:pStyle w:val="Text2"/>
        <w:spacing w:after="120"/>
        <w:ind w:left="0"/>
        <w:rPr>
          <w:noProof/>
          <w:color w:val="000000" w:themeColor="text1"/>
        </w:rPr>
      </w:pPr>
    </w:p>
    <w:p w:rsidR="000D0A7C" w:rsidRDefault="009C1AFB">
      <w:pPr>
        <w:pStyle w:val="Text2"/>
        <w:spacing w:after="120"/>
        <w:ind w:left="0"/>
        <w:rPr>
          <w:noProof/>
          <w:color w:val="000000" w:themeColor="text1"/>
        </w:rPr>
      </w:pPr>
      <w:r>
        <w:rPr>
          <w:noProof/>
          <w:color w:val="000000" w:themeColor="text1"/>
        </w:rPr>
        <w:t xml:space="preserve">Selleks et tagada heas seisundis ookeanid elu jätkuvust </w:t>
      </w:r>
      <w:r>
        <w:rPr>
          <w:noProof/>
          <w:color w:val="000000" w:themeColor="text1"/>
        </w:rPr>
        <w:t>toetava süsteemi ja ressursina, peab ookeanide majandamine muutuma tõhusamaks. ELi meetmetes tuleks keskenduda kliimamuutustele ja nende mõjule, merereostusele ja eutrofeerumisele, mereökosüsteemide ja elurikkuse säilitamisele, kaitsele ja taastamisele nin</w:t>
      </w:r>
      <w:r>
        <w:rPr>
          <w:noProof/>
          <w:color w:val="000000" w:themeColor="text1"/>
        </w:rPr>
        <w:t>g mereressursside säästvale kasutamisele.</w:t>
      </w:r>
    </w:p>
    <w:p w:rsidR="000D0A7C" w:rsidRDefault="000D0A7C">
      <w:pPr>
        <w:pStyle w:val="Text2"/>
        <w:keepNext/>
        <w:spacing w:after="120"/>
        <w:ind w:left="1134" w:hanging="1134"/>
        <w:rPr>
          <w:rStyle w:val="None"/>
          <w:rFonts w:cs="Times New Roman"/>
          <w:b/>
          <w:bCs/>
          <w:noProof/>
          <w:color w:val="000000" w:themeColor="text1"/>
        </w:rPr>
      </w:pPr>
    </w:p>
    <w:p w:rsidR="000D0A7C" w:rsidRDefault="009C1AFB">
      <w:pPr>
        <w:pStyle w:val="Text2"/>
        <w:keepNext/>
        <w:spacing w:after="120"/>
        <w:ind w:left="1134" w:hanging="1134"/>
        <w:rPr>
          <w:strike/>
          <w:noProof/>
          <w:color w:val="000000" w:themeColor="text1"/>
        </w:rPr>
      </w:pPr>
      <w:r>
        <w:rPr>
          <w:rStyle w:val="None"/>
          <w:b/>
          <w:noProof/>
          <w:color w:val="000000" w:themeColor="text1"/>
        </w:rPr>
        <w:t xml:space="preserve">6. meede. </w:t>
      </w:r>
      <w:r>
        <w:rPr>
          <w:noProof/>
        </w:rPr>
        <w:tab/>
      </w:r>
      <w:r>
        <w:rPr>
          <w:rStyle w:val="None"/>
          <w:b/>
          <w:noProof/>
          <w:color w:val="000000" w:themeColor="text1"/>
        </w:rPr>
        <w:t>COP21 kokkuleppe rakendamine ning kliimamuutuste tõttu ookeanidele, rannikualadele ja ökosüsteemidele avalduva kahjuliku mõju leevendamine</w:t>
      </w:r>
    </w:p>
    <w:p w:rsidR="000D0A7C" w:rsidRDefault="000D0A7C">
      <w:pPr>
        <w:pStyle w:val="Text2"/>
        <w:spacing w:after="120"/>
        <w:ind w:left="0"/>
        <w:rPr>
          <w:noProof/>
          <w:color w:val="000000" w:themeColor="text1"/>
        </w:rPr>
      </w:pPr>
    </w:p>
    <w:p w:rsidR="000D0A7C" w:rsidRDefault="009C1AFB">
      <w:pPr>
        <w:pStyle w:val="Text2"/>
        <w:spacing w:after="120"/>
        <w:ind w:left="0"/>
        <w:rPr>
          <w:noProof/>
          <w:color w:val="000000" w:themeColor="text1"/>
        </w:rPr>
      </w:pPr>
      <w:r>
        <w:rPr>
          <w:noProof/>
          <w:color w:val="000000" w:themeColor="text1"/>
        </w:rPr>
        <w:t xml:space="preserve">Komisjon teeb tööd selle nimel, et kaitsta mere- ja </w:t>
      </w:r>
      <w:r>
        <w:rPr>
          <w:noProof/>
          <w:color w:val="000000" w:themeColor="text1"/>
        </w:rPr>
        <w:t>rannikualade ökosüsteemide rolli kliimamuutuste mõju vähendamisel. Koos kõrge esindajaga püüab komisjon saavutada laiapõhjalist poliitilist konsensust vajaduse osas säilitada ookeanide loomulikku nn sinist süsinikku, tehes koostööd ELi ja rahvusvaheliste p</w:t>
      </w:r>
      <w:r>
        <w:rPr>
          <w:noProof/>
          <w:color w:val="000000" w:themeColor="text1"/>
        </w:rPr>
        <w:t>oliitiliste osalejatega kliimamuutuste teemaliste läbirääkimiste ja asjakohaste rahvusvaheliste konventsioonide kontekstis.</w:t>
      </w:r>
    </w:p>
    <w:p w:rsidR="000D0A7C" w:rsidRDefault="009C1AFB">
      <w:pPr>
        <w:pStyle w:val="Text2"/>
        <w:spacing w:after="120"/>
        <w:ind w:left="0"/>
        <w:rPr>
          <w:rStyle w:val="None"/>
          <w:rFonts w:cs="Times New Roman"/>
          <w:iCs/>
          <w:noProof/>
          <w:color w:val="000000" w:themeColor="text1"/>
        </w:rPr>
      </w:pPr>
      <w:r>
        <w:rPr>
          <w:noProof/>
          <w:color w:val="000000" w:themeColor="text1"/>
        </w:rPr>
        <w:t>Komisjon teeb tööd, et tugevdada ookeanidega seotud meetmeid ELi tasandil Pariisi kliimakokkuleppe rakendamiseks, nt laevanduse põhj</w:t>
      </w:r>
      <w:r>
        <w:rPr>
          <w:noProof/>
          <w:color w:val="000000" w:themeColor="text1"/>
        </w:rPr>
        <w:t>ustatud heite vähendamist ja taastuvate energiaallikate edasist arendamist. Koos kõrge esindajaga teeb komisjon koostööd liikmesriikide ja rahvusvaheliste partneritega, et edendada selliste meetmete lisamist riiklikesse, Pariisi kliimakokkuleppe alusel võe</w:t>
      </w:r>
      <w:r>
        <w:rPr>
          <w:noProof/>
          <w:color w:val="000000" w:themeColor="text1"/>
        </w:rPr>
        <w:t>tud kohustustega seotud järelmeetmetesse. Lisaks edendab komisjon rahvusvaheliselt heakskiidetud tegevuskava, et tegeleda muu hulgas ookeanide soojenemise, meretaseme tõusu ja hapestumise tagajärgedega.</w:t>
      </w:r>
      <w:r>
        <w:rPr>
          <w:rStyle w:val="None"/>
          <w:noProof/>
          <w:color w:val="000000" w:themeColor="text1"/>
        </w:rPr>
        <w:t xml:space="preserve"> See töö tugineb </w:t>
      </w:r>
      <w:r>
        <w:rPr>
          <w:noProof/>
          <w:color w:val="000000" w:themeColor="text1"/>
        </w:rPr>
        <w:t>valitsustevahelise kliimamuutuste rüh</w:t>
      </w:r>
      <w:r>
        <w:rPr>
          <w:noProof/>
          <w:color w:val="000000" w:themeColor="text1"/>
        </w:rPr>
        <w:t xml:space="preserve">ma (IPCC) </w:t>
      </w:r>
      <w:r>
        <w:rPr>
          <w:noProof/>
        </w:rPr>
        <w:t>viiendale</w:t>
      </w:r>
      <w:r>
        <w:rPr>
          <w:rStyle w:val="None"/>
          <w:noProof/>
          <w:color w:val="000000" w:themeColor="text1"/>
        </w:rPr>
        <w:t xml:space="preserve"> hindamisaruandele ning tulevasele eriaruandele kliimamuutuste, ookeanide ja krüosfääri kohta.</w:t>
      </w:r>
    </w:p>
    <w:p w:rsidR="000D0A7C" w:rsidRDefault="009C1AF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Komisjon tõhustab koostööd rahvusvaheliste partneritega, et leppida kokku ühismeetmed mere- ja rannikualade ökosüsteemide kaitsmiseks ja taast</w:t>
      </w:r>
      <w:r>
        <w:rPr>
          <w:i/>
          <w:noProof/>
          <w:color w:val="000000" w:themeColor="text1"/>
        </w:rPr>
        <w:t>amiseks.</w:t>
      </w:r>
    </w:p>
    <w:p w:rsidR="000D0A7C" w:rsidRDefault="009C1AFB">
      <w:pPr>
        <w:pStyle w:val="Text2"/>
        <w:numPr>
          <w:ilvl w:val="0"/>
          <w:numId w:val="10"/>
        </w:numPr>
        <w:pBdr>
          <w:top w:val="single" w:sz="4" w:space="1" w:color="auto"/>
          <w:left w:val="single" w:sz="4" w:space="4" w:color="auto"/>
          <w:bottom w:val="single" w:sz="4" w:space="1" w:color="auto"/>
          <w:right w:val="single" w:sz="4" w:space="4" w:color="auto"/>
        </w:pBdr>
        <w:tabs>
          <w:tab w:val="clear" w:pos="2302"/>
          <w:tab w:val="left" w:pos="709"/>
        </w:tabs>
        <w:spacing w:after="120"/>
        <w:rPr>
          <w:i/>
          <w:noProof/>
          <w:color w:val="000000" w:themeColor="text1"/>
        </w:rPr>
      </w:pPr>
      <w:r>
        <w:rPr>
          <w:i/>
          <w:noProof/>
          <w:color w:val="000000" w:themeColor="text1"/>
        </w:rPr>
        <w:t>2020. aastaks käivitab komisjon rahvusvahelised avaliku ja erasektori partnerlused, mille eesmärk on taastada, kohandada või arendada „sini-rohelist taristut“.</w:t>
      </w:r>
    </w:p>
    <w:p w:rsidR="000D0A7C" w:rsidRDefault="009C1AFB">
      <w:pPr>
        <w:pStyle w:val="Text2"/>
        <w:numPr>
          <w:ilvl w:val="0"/>
          <w:numId w:val="10"/>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Koos kõrge esindajaga teeb komisjon koostööd liikmesriikide ja rahvusvaheliste partneri</w:t>
      </w:r>
      <w:r>
        <w:rPr>
          <w:i/>
          <w:noProof/>
          <w:color w:val="000000" w:themeColor="text1"/>
        </w:rPr>
        <w:t>tega, et edendada ookeanidega seotud meetmete lisamist riiklikesse järelmeetmetesse, mis on seotud Pariisi kliimakokkuleppe alusel võetud kohustustega. Selle kohta võiks esitada hetkeülevaate Pariisi kliimakokkuleppe kohases ülemaailmse olukorra kokkuvõtte</w:t>
      </w:r>
      <w:r>
        <w:rPr>
          <w:i/>
          <w:noProof/>
          <w:color w:val="000000" w:themeColor="text1"/>
        </w:rPr>
        <w:t>s.</w:t>
      </w:r>
    </w:p>
    <w:p w:rsidR="000D0A7C" w:rsidRDefault="009C1AFB">
      <w:pPr>
        <w:pStyle w:val="Text2"/>
        <w:numPr>
          <w:ilvl w:val="0"/>
          <w:numId w:val="10"/>
        </w:numPr>
        <w:pBdr>
          <w:top w:val="single" w:sz="4" w:space="1" w:color="auto"/>
          <w:left w:val="single" w:sz="4" w:space="4" w:color="auto"/>
          <w:bottom w:val="single" w:sz="4" w:space="1" w:color="auto"/>
          <w:right w:val="single" w:sz="4" w:space="4" w:color="auto"/>
        </w:pBdr>
        <w:spacing w:after="120"/>
        <w:rPr>
          <w:noProof/>
        </w:rPr>
      </w:pPr>
      <w:r>
        <w:rPr>
          <w:i/>
          <w:noProof/>
        </w:rPr>
        <w:t>Komisjon teeb ettepaneku rahvusvaheliste meetmete kohta, et tegeleda muu hulgas ookeanide soojenemise, meretaseme tõusu ja hapestumise tagajärgedega.</w:t>
      </w:r>
      <w:r>
        <w:rPr>
          <w:i/>
          <w:noProof/>
          <w:color w:val="auto"/>
        </w:rPr>
        <w:t xml:space="preserve"> Rahvusvaheliste partneritega koostöö tegemiseks kasutatakse rohelise diplomaatia võrgustikku.</w:t>
      </w:r>
    </w:p>
    <w:p w:rsidR="000D0A7C" w:rsidRDefault="000D0A7C">
      <w:pPr>
        <w:pStyle w:val="Text2"/>
        <w:keepNext/>
        <w:spacing w:after="120"/>
        <w:ind w:left="1134" w:hanging="1134"/>
        <w:rPr>
          <w:rStyle w:val="None"/>
          <w:rFonts w:cs="Times New Roman"/>
          <w:b/>
          <w:bCs/>
          <w:noProof/>
          <w:color w:val="000000" w:themeColor="text1"/>
        </w:rPr>
      </w:pPr>
    </w:p>
    <w:p w:rsidR="000D0A7C" w:rsidRDefault="009C1AFB">
      <w:pPr>
        <w:pStyle w:val="Text2"/>
        <w:keepNext/>
        <w:spacing w:after="120"/>
        <w:ind w:left="1134" w:hanging="1134"/>
        <w:rPr>
          <w:rStyle w:val="None"/>
          <w:rFonts w:cs="Times New Roman"/>
          <w:noProof/>
          <w:color w:val="auto"/>
        </w:rPr>
      </w:pPr>
      <w:r>
        <w:rPr>
          <w:rStyle w:val="None"/>
          <w:b/>
          <w:noProof/>
          <w:color w:val="000000" w:themeColor="text1"/>
        </w:rPr>
        <w:t>7. meede</w:t>
      </w:r>
      <w:r>
        <w:rPr>
          <w:rStyle w:val="None"/>
          <w:b/>
          <w:noProof/>
          <w:color w:val="000000" w:themeColor="text1"/>
        </w:rPr>
        <w:t xml:space="preserve">. </w:t>
      </w:r>
      <w:r>
        <w:rPr>
          <w:noProof/>
        </w:rPr>
        <w:tab/>
      </w:r>
      <w:r>
        <w:rPr>
          <w:rStyle w:val="None"/>
          <w:b/>
          <w:noProof/>
          <w:color w:val="000000" w:themeColor="text1"/>
        </w:rPr>
        <w:t xml:space="preserve">Ebaseadusliku kalapüügiga võitlemine ja ookeanipõhiste toiduressursside säästva kasutamise tugevdamine kogu maailmas </w:t>
      </w:r>
    </w:p>
    <w:p w:rsidR="000D0A7C" w:rsidRDefault="000D0A7C">
      <w:pPr>
        <w:pStyle w:val="ListDash"/>
        <w:spacing w:after="120"/>
        <w:rPr>
          <w:rStyle w:val="None"/>
          <w:rFonts w:cs="Times New Roman"/>
          <w:noProof/>
          <w:color w:val="000000" w:themeColor="text1"/>
        </w:rPr>
      </w:pPr>
    </w:p>
    <w:p w:rsidR="000D0A7C" w:rsidRDefault="009C1AFB">
      <w:pPr>
        <w:pStyle w:val="ListDash"/>
        <w:spacing w:after="120"/>
        <w:rPr>
          <w:rStyle w:val="None"/>
          <w:rFonts w:cs="Times New Roman"/>
          <w:noProof/>
          <w:color w:val="000000" w:themeColor="text1"/>
        </w:rPr>
      </w:pPr>
      <w:r>
        <w:rPr>
          <w:rStyle w:val="None"/>
          <w:noProof/>
          <w:color w:val="000000" w:themeColor="text1"/>
        </w:rPr>
        <w:t>Ülemaailmne võitlus ETR-kalapüügiga on ELi prioriteet.</w:t>
      </w:r>
      <w:r>
        <w:rPr>
          <w:rStyle w:val="FootnoteReference"/>
          <w:noProof/>
          <w:color w:val="000000" w:themeColor="text1"/>
        </w:rPr>
        <w:t xml:space="preserve"> </w:t>
      </w:r>
      <w:r>
        <w:rPr>
          <w:noProof/>
          <w:color w:val="000000" w:themeColor="text1"/>
        </w:rPr>
        <w:t>Vähemalt 15 % maailma kalasaagist (väärtusega 8–19 miljardit eurot aastas) on e</w:t>
      </w:r>
      <w:r>
        <w:rPr>
          <w:noProof/>
          <w:color w:val="000000" w:themeColor="text1"/>
        </w:rPr>
        <w:t xml:space="preserve">baseaduslik. </w:t>
      </w:r>
      <w:r>
        <w:rPr>
          <w:rStyle w:val="None"/>
          <w:noProof/>
          <w:color w:val="000000" w:themeColor="text1"/>
        </w:rPr>
        <w:t>EL teeb koostööd teiste riikidega, et algatada oma kalavarude majandamise süsteemide struktuurireforme. Eesmärk on tugevdada seda tegevust järgmise viie aasta jooksul. Eelkõige soovib komisjon tugevdada mitmepoolset tegevust ETR-kalapüügi vähe</w:t>
      </w:r>
      <w:r>
        <w:rPr>
          <w:rStyle w:val="None"/>
          <w:noProof/>
          <w:color w:val="000000" w:themeColor="text1"/>
        </w:rPr>
        <w:t>ndamiseks, tugevdades vahendeid, mis võimaldavad jälgida ja tuvastada ebaseaduslikus tegevuses osalevaid laevu ja kodanikke, ning suurendades selliste peamiste rahvusvaheliste ametite rolli nagu Interpol.</w:t>
      </w:r>
    </w:p>
    <w:p w:rsidR="000D0A7C" w:rsidRDefault="009C1AFB">
      <w:pPr>
        <w:pStyle w:val="ListDash"/>
        <w:spacing w:after="120"/>
        <w:rPr>
          <w:rStyle w:val="None"/>
          <w:rFonts w:cs="Times New Roman"/>
          <w:noProof/>
          <w:color w:val="auto"/>
        </w:rPr>
      </w:pPr>
      <w:r>
        <w:rPr>
          <w:rStyle w:val="None"/>
          <w:noProof/>
          <w:color w:val="000000" w:themeColor="text1"/>
        </w:rPr>
        <w:t>EL teeb koostööd rahvusvaheliste partneritega, toet</w:t>
      </w:r>
      <w:r>
        <w:rPr>
          <w:rStyle w:val="None"/>
          <w:noProof/>
          <w:color w:val="000000" w:themeColor="text1"/>
        </w:rPr>
        <w:t>ab ETR-kalapüügi probleemiga tegelemise tehnilise ja haldussuutlikkuse suurendamist, edendab asutustevahelist koostööd ning hindab ETR-kalapüügi negatiivseid sotsiaalseid tagajärgi.</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 xml:space="preserve">Komisjon tugevdab ETR-kalapüügiga seotud meetmeid, parandades </w:t>
      </w:r>
      <w:r>
        <w:rPr>
          <w:i/>
          <w:noProof/>
          <w:color w:val="auto"/>
        </w:rPr>
        <w:t>olemasolevaid süsteeme ja toetades liikmesriike, et tagada tõhus kontroll elektrooniliste vahendite arendamise abil.</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rPr>
        <w:t>Koos kõrge esindajaga teeb komisjon koostööd kolmandate riikidega, muu hulgas suutlikkuse suurendamise ja Euroopa Kalanduskontrolli Ametiga</w:t>
      </w:r>
      <w:r>
        <w:rPr>
          <w:i/>
          <w:noProof/>
        </w:rPr>
        <w:t xml:space="preserve"> sõlmitud partnerluse osas, näiteks sadamariigi meetmeid käsitleva kokkuleppe rakendamiseks.</w:t>
      </w:r>
      <w:r>
        <w:rPr>
          <w:i/>
          <w:noProof/>
          <w:color w:val="auto"/>
        </w:rPr>
        <w:t xml:space="preserve"> </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Komisjon ja kõrge esindaja kasutavad olemasolevaid ELi arenguabivahendeid, et toetada meetmeid, mis aitavad võidelda ETR-kalapüügi vastu.</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Komisjon teeb koostööd E</w:t>
      </w:r>
      <w:r>
        <w:rPr>
          <w:i/>
          <w:noProof/>
          <w:color w:val="auto"/>
        </w:rPr>
        <w:t xml:space="preserve">Li mittekuuluvate riikidega kahepoolsete dialoogide ja ametlike protsesside (nt kindlaksmääramisele eelnevad meetmed, kindlaksmääramine ja nimekirja kandmine) kaudu ETR-kalapüügi määruse alusel. </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Kahepoolsetes dialoogides ning piirkondlikel ja rahvusvaheli</w:t>
      </w:r>
      <w:r>
        <w:rPr>
          <w:i/>
          <w:noProof/>
          <w:color w:val="auto"/>
        </w:rPr>
        <w:t>stel foorumitel tegelevad komisjon ja kõrge esindaja selliste ETR-kalapüügiga seotud probleemidega nagu sunniviisiline töö ja muud töökorralduse vormid, millega rikutakse inimõigusi.</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color w:val="auto"/>
        </w:rPr>
        <w:t>Lisaks edendab EL mitmepoolset tegevust, mis hõlmab järgmist:</w:t>
      </w:r>
    </w:p>
    <w:p w:rsidR="000D0A7C" w:rsidRDefault="009C1AF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ülemaailmse</w:t>
      </w:r>
      <w:r>
        <w:rPr>
          <w:i/>
          <w:noProof/>
          <w:color w:val="auto"/>
        </w:rPr>
        <w:t xml:space="preserve"> laevaregistri loomine;</w:t>
      </w:r>
    </w:p>
    <w:p w:rsidR="000D0A7C" w:rsidRDefault="009C1AF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töönduspüügiga tegelevatele kalalaevadele kordumatu laevatunnuse (IMO number) määramine;</w:t>
      </w:r>
    </w:p>
    <w:p w:rsidR="000D0A7C" w:rsidRDefault="009C1AF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suuniste vastuvõtmine, et töötada välja ja rakendada püügidokumendimenetlusi (ülemaailmne püügisertifikaat); ning</w:t>
      </w:r>
    </w:p>
    <w:p w:rsidR="000D0A7C" w:rsidRDefault="009C1AFB">
      <w:pPr>
        <w:pStyle w:val="ListDash"/>
        <w:numPr>
          <w:ilvl w:val="0"/>
          <w:numId w:val="28"/>
        </w:numPr>
        <w:pBdr>
          <w:top w:val="single" w:sz="4" w:space="1" w:color="auto"/>
          <w:left w:val="single" w:sz="4" w:space="4" w:color="auto"/>
          <w:bottom w:val="single" w:sz="4" w:space="1" w:color="auto"/>
          <w:right w:val="single" w:sz="4" w:space="4" w:color="auto"/>
        </w:pBdr>
        <w:tabs>
          <w:tab w:val="clear" w:pos="283"/>
        </w:tabs>
        <w:spacing w:after="120"/>
        <w:ind w:left="1200" w:hanging="840"/>
        <w:rPr>
          <w:i/>
          <w:noProof/>
          <w:color w:val="auto"/>
        </w:rPr>
      </w:pPr>
      <w:r>
        <w:rPr>
          <w:i/>
          <w:noProof/>
          <w:color w:val="auto"/>
        </w:rPr>
        <w:t>Interpoli rolli tugevdamine E</w:t>
      </w:r>
      <w:r>
        <w:rPr>
          <w:i/>
          <w:noProof/>
          <w:color w:val="auto"/>
        </w:rPr>
        <w:t>TR-kalapüügi vastases võitluses.</w:t>
      </w:r>
    </w:p>
    <w:p w:rsidR="000D0A7C" w:rsidRDefault="009C1AFB">
      <w:pPr>
        <w:pStyle w:val="ListDash"/>
        <w:numPr>
          <w:ilvl w:val="0"/>
          <w:numId w:val="14"/>
        </w:numPr>
        <w:pBdr>
          <w:top w:val="single" w:sz="4" w:space="1" w:color="auto"/>
          <w:left w:val="single" w:sz="4" w:space="4" w:color="auto"/>
          <w:bottom w:val="single" w:sz="4" w:space="1" w:color="auto"/>
          <w:right w:val="single" w:sz="4" w:space="4" w:color="auto"/>
        </w:pBdr>
        <w:spacing w:after="120"/>
        <w:rPr>
          <w:i/>
          <w:noProof/>
          <w:color w:val="auto"/>
        </w:rPr>
      </w:pPr>
      <w:r>
        <w:rPr>
          <w:i/>
          <w:noProof/>
        </w:rPr>
        <w:t>Komisjon tugevdab ELi välispüügilaevastiku järelevalvet kõikjal, kus see tegutseb, vastavalt kavandatavale määrusele, milles käsitletakse välispüügilaevastike jätkusuutlikku majandamist</w:t>
      </w:r>
      <w:r>
        <w:rPr>
          <w:rStyle w:val="FootnoteReference"/>
          <w:i/>
          <w:noProof/>
          <w:color w:val="auto"/>
        </w:rPr>
        <w:footnoteReference w:id="20"/>
      </w:r>
      <w:r>
        <w:rPr>
          <w:i/>
          <w:noProof/>
        </w:rPr>
        <w:t>.</w:t>
      </w:r>
    </w:p>
    <w:p w:rsidR="000D0A7C" w:rsidRDefault="000D0A7C">
      <w:pPr>
        <w:pStyle w:val="Text2"/>
        <w:keepNext/>
        <w:spacing w:after="120"/>
        <w:ind w:left="1134" w:hanging="1134"/>
        <w:rPr>
          <w:b/>
          <w:noProof/>
          <w:color w:val="000000" w:themeColor="text1"/>
        </w:rPr>
      </w:pPr>
    </w:p>
    <w:p w:rsidR="000D0A7C" w:rsidRDefault="009C1AFB">
      <w:pPr>
        <w:pStyle w:val="Text2"/>
        <w:keepNext/>
        <w:spacing w:after="120"/>
        <w:ind w:left="1134" w:hanging="1134"/>
        <w:rPr>
          <w:noProof/>
          <w:color w:val="000000" w:themeColor="text1"/>
        </w:rPr>
      </w:pPr>
      <w:r>
        <w:rPr>
          <w:b/>
          <w:noProof/>
          <w:color w:val="000000" w:themeColor="text1"/>
        </w:rPr>
        <w:t xml:space="preserve">8. meede. </w:t>
      </w:r>
      <w:r>
        <w:rPr>
          <w:noProof/>
        </w:rPr>
        <w:tab/>
      </w:r>
      <w:r>
        <w:rPr>
          <w:rStyle w:val="None"/>
          <w:b/>
          <w:noProof/>
        </w:rPr>
        <w:t>Kahjulike</w:t>
      </w:r>
      <w:r>
        <w:rPr>
          <w:b/>
          <w:noProof/>
          <w:color w:val="000000" w:themeColor="text1"/>
        </w:rPr>
        <w:t xml:space="preserve"> kalandustoetu</w:t>
      </w:r>
      <w:r>
        <w:rPr>
          <w:b/>
          <w:noProof/>
          <w:color w:val="000000" w:themeColor="text1"/>
        </w:rPr>
        <w:t>ste keelustamine</w:t>
      </w:r>
    </w:p>
    <w:p w:rsidR="000D0A7C" w:rsidRDefault="000D0A7C">
      <w:pPr>
        <w:pStyle w:val="ListDash"/>
        <w:spacing w:after="120"/>
        <w:rPr>
          <w:rStyle w:val="None"/>
          <w:rFonts w:cs="Times New Roman"/>
          <w:noProof/>
          <w:color w:val="auto"/>
        </w:rPr>
      </w:pPr>
    </w:p>
    <w:p w:rsidR="000D0A7C" w:rsidRDefault="009C1AFB">
      <w:pPr>
        <w:pStyle w:val="ListDash"/>
        <w:spacing w:after="120"/>
        <w:rPr>
          <w:noProof/>
          <w:color w:val="000000" w:themeColor="text1"/>
        </w:rPr>
      </w:pPr>
      <w:r>
        <w:rPr>
          <w:rStyle w:val="None"/>
          <w:noProof/>
        </w:rPr>
        <w:t>Kalandustoetused, mis soodustavad ülepüüki, liigset püügivõimsust ja ETR-kalapüüki, on pikka aega tekitanud muret rahvusvahelisel tasandil. 2002. ja 2012. aasta ülemaailmsetel säästva arengu tippkohtumistel kutsuti kõiki üles sellist tege</w:t>
      </w:r>
      <w:r>
        <w:rPr>
          <w:rStyle w:val="None"/>
          <w:noProof/>
        </w:rPr>
        <w:t>vust lõpetama. Säästva arengu tegevuskavas aastani 2030 on kehtestatud tähtaeg (2020) selliste toetuste lõpetamiseks.</w:t>
      </w:r>
    </w:p>
    <w:p w:rsidR="000D0A7C" w:rsidRDefault="009C1AFB">
      <w:pPr>
        <w:pStyle w:val="ListDash"/>
        <w:spacing w:after="120"/>
        <w:rPr>
          <w:noProof/>
        </w:rPr>
      </w:pPr>
      <w:r>
        <w:rPr>
          <w:noProof/>
        </w:rPr>
        <w:t>Edendatakse rahvusvahelisi jõupingutusi, et vähendada maailma kalalaevastike liigset püügivõimsust ja nendepoolset ülepüüki ning keelustad</w:t>
      </w:r>
      <w:r>
        <w:rPr>
          <w:noProof/>
        </w:rPr>
        <w:t xml:space="preserve">a kahjulikud toetused. Sellega toetatakse WTO läbirääkimisi, mis käsitlevad liigset püügivõimsust, ülepüüki ja ETR-kalapüüki soodustavate toetuste keelustamist. </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b/>
          <w:noProof/>
          <w:color w:val="000000" w:themeColor="text1"/>
        </w:rPr>
      </w:pPr>
      <w:r>
        <w:rPr>
          <w:i/>
          <w:noProof/>
        </w:rPr>
        <w:t xml:space="preserve">EL osaleb aktiivselt mitmepoolsetel läbirääkimistel WTOs, et keelustada 2020. aastaks liigset püügivõimsust, ülepüüki ja ETR-kalapüüki soodustavad toetused. </w:t>
      </w:r>
    </w:p>
    <w:p w:rsidR="000D0A7C" w:rsidRDefault="000D0A7C">
      <w:pPr>
        <w:pStyle w:val="Text2"/>
        <w:keepNext/>
        <w:spacing w:after="120"/>
        <w:ind w:left="1134" w:hanging="1134"/>
        <w:rPr>
          <w:b/>
          <w:noProof/>
          <w:color w:val="000000" w:themeColor="text1"/>
        </w:rPr>
      </w:pPr>
    </w:p>
    <w:p w:rsidR="000D0A7C" w:rsidRDefault="009C1AFB">
      <w:pPr>
        <w:pStyle w:val="Text2"/>
        <w:keepNext/>
        <w:spacing w:after="120"/>
        <w:ind w:left="1134" w:hanging="1134"/>
        <w:rPr>
          <w:noProof/>
          <w:color w:val="000000" w:themeColor="text1"/>
        </w:rPr>
      </w:pPr>
      <w:r>
        <w:rPr>
          <w:b/>
          <w:noProof/>
          <w:color w:val="000000" w:themeColor="text1"/>
        </w:rPr>
        <w:t xml:space="preserve">9. meede. </w:t>
      </w:r>
      <w:r>
        <w:rPr>
          <w:noProof/>
        </w:rPr>
        <w:tab/>
      </w:r>
      <w:r>
        <w:rPr>
          <w:b/>
          <w:noProof/>
          <w:color w:val="000000" w:themeColor="text1"/>
        </w:rPr>
        <w:t>Mereprügi ja „plastimere“ vastu võitlemine</w:t>
      </w:r>
    </w:p>
    <w:p w:rsidR="000D0A7C" w:rsidRDefault="000D0A7C">
      <w:pPr>
        <w:pStyle w:val="ListDash"/>
        <w:spacing w:after="120"/>
        <w:rPr>
          <w:noProof/>
          <w:color w:val="000000" w:themeColor="text1"/>
        </w:rPr>
      </w:pPr>
    </w:p>
    <w:p w:rsidR="000D0A7C" w:rsidRDefault="009C1AFB">
      <w:pPr>
        <w:pStyle w:val="ListDash"/>
        <w:spacing w:after="120"/>
        <w:rPr>
          <w:noProof/>
          <w:color w:val="000000" w:themeColor="text1"/>
        </w:rPr>
      </w:pPr>
      <w:r>
        <w:rPr>
          <w:noProof/>
          <w:color w:val="000000" w:themeColor="text1"/>
        </w:rPr>
        <w:t>Mereprügi on meie ookeanidele suureks ohuk</w:t>
      </w:r>
      <w:r>
        <w:rPr>
          <w:noProof/>
          <w:color w:val="000000" w:themeColor="text1"/>
        </w:rPr>
        <w:t xml:space="preserve">s. Komisjon on juba võtnud meetmeid, et tegeleda mereprügiga selle tekkekohas, ning tugevdab seda tegevust märkimisväärselt. </w:t>
      </w:r>
    </w:p>
    <w:p w:rsidR="000D0A7C" w:rsidRDefault="009C1AFB">
      <w:pPr>
        <w:spacing w:after="120"/>
        <w:jc w:val="both"/>
        <w:rPr>
          <w:noProof/>
        </w:rPr>
      </w:pPr>
      <w:r>
        <w:rPr>
          <w:noProof/>
        </w:rPr>
        <w:t>Komisjon pakub välja meetmed, mille abil vähendada prügi tekkimist tootmistsükli jooksul alates materjalide valikust, toote kavand</w:t>
      </w:r>
      <w:r>
        <w:rPr>
          <w:noProof/>
        </w:rPr>
        <w:t xml:space="preserve">amisest, tootmisest, tarbimisest ja ringlussevõtust kuni selle kasutusest kõrvaldamiseni. </w:t>
      </w:r>
    </w:p>
    <w:p w:rsidR="000D0A7C" w:rsidRDefault="009C1AFB">
      <w:pPr>
        <w:spacing w:after="120"/>
        <w:jc w:val="both"/>
        <w:rPr>
          <w:noProof/>
        </w:rPr>
      </w:pPr>
      <w:r>
        <w:rPr>
          <w:noProof/>
        </w:rPr>
        <w:t>EL kavatseb ringmajanduse tegevuskava raames esitada 2017. aastaks ettepaneku plasti käitlemise strateegia kohta, milles käsitletakse selliseid küsimusi nagu ringlus</w:t>
      </w:r>
      <w:r>
        <w:rPr>
          <w:noProof/>
        </w:rPr>
        <w:t xml:space="preserve">sevõetavus, biolagunevus, ohtlike ainete leidumine teatavates plastides ja mereprügi ning mis sisaldab selget rahvusvahelist mõõdet plasti keskkonda sattumise vältimiseks. See aitab 2020. aastaks vähendada randadest leitud prügi ja kaotatud püügivahendeid </w:t>
      </w:r>
      <w:r>
        <w:rPr>
          <w:noProof/>
        </w:rPr>
        <w:t>vähemalt 30 % võrra. Samuti aitab see vähendada merekeskkonda sattunud plastist mikroosakeste mahtu, sealhulgas piirates vajaduse korral nende kasutamist toodetes.</w:t>
      </w:r>
    </w:p>
    <w:p w:rsidR="000D0A7C" w:rsidRDefault="009C1AFB">
      <w:pPr>
        <w:spacing w:after="120"/>
        <w:jc w:val="both"/>
        <w:rPr>
          <w:strike/>
          <w:noProof/>
          <w:color w:val="000000" w:themeColor="text1"/>
        </w:rPr>
      </w:pPr>
      <w:r>
        <w:rPr>
          <w:noProof/>
        </w:rPr>
        <w:t xml:space="preserve">See omakorda aitab rakendada säästva arengu tegevuskava 2030. Strateegias tunnistatakse </w:t>
      </w:r>
      <w:r>
        <w:rPr>
          <w:noProof/>
        </w:rPr>
        <w:t>probleemi globaalset olemust ja kollektiivse tegutsemise vajadust, sealhulgas mitmepoolsete keskkonnalepingute kontekstis. Komisjon kaalub võimalusi tõhustada võitlust mereprügi vastu ELi välistegevuse ja arenguabi raames, et takistada plastijäätmete heitm</w:t>
      </w:r>
      <w:r>
        <w:rPr>
          <w:noProof/>
        </w:rPr>
        <w:t>ist maailmamerre, ning kui see on keskkonnaalaselt põhjendatud ja tehniliselt teostatav, osaleb hästi kooskõlastatud eemaldamismeetmetes.</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i/>
          <w:strike/>
          <w:noProof/>
        </w:rPr>
      </w:pPr>
      <w:r>
        <w:rPr>
          <w:i/>
          <w:noProof/>
        </w:rPr>
        <w:t>Osana oma ringmajanduse strateegiast esitab komisjon 2017. aastal plasti käitlemise strateegia, käsitledes lisaks sell</w:t>
      </w:r>
      <w:r>
        <w:rPr>
          <w:i/>
          <w:noProof/>
        </w:rPr>
        <w:t>istele küsimustele nagu ringlussevõetavus ja biolagunevus ka mereprügi.</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Komisjon käsitleb merel asuvatest allikatest, sealhulgas laevandus- ja kalandustegevusest pärit mereprügi, vaadates läbi sadama vastuvõtuseadmete ja -rajatiste direktiivi</w:t>
      </w:r>
      <w:r>
        <w:rPr>
          <w:rStyle w:val="FootnoteReference"/>
          <w:noProof/>
          <w:color w:val="000000" w:themeColor="text1"/>
        </w:rPr>
        <w:footnoteReference w:id="21"/>
      </w:r>
      <w:r>
        <w:rPr>
          <w:i/>
          <w:noProof/>
        </w:rPr>
        <w:t xml:space="preserve"> ning võttes </w:t>
      </w:r>
      <w:r>
        <w:rPr>
          <w:i/>
          <w:noProof/>
        </w:rPr>
        <w:t>vajaduse korral kalandustegevuse ja vesiviljelusega seotud täiendavaid meetmeid.</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Komisjon aitab hinnata, kuivõrd tulemuslikud on rahvusvahelised, piirkondlikud ja allpiirkondlikud juhtimisstrateegiad ja lähenemisviisid meres oleva plastprügi ja plastist mi</w:t>
      </w:r>
      <w:r>
        <w:rPr>
          <w:i/>
          <w:noProof/>
        </w:rPr>
        <w:t>kroosakeste vastu võitlemiseks, nagu nõudis ÜRO Keskkonnaassamblee.</w:t>
      </w:r>
    </w:p>
    <w:p w:rsidR="000D0A7C" w:rsidRDefault="009C1AFB">
      <w:pPr>
        <w:pStyle w:val="ListDash"/>
        <w:numPr>
          <w:ilvl w:val="0"/>
          <w:numId w:val="11"/>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auto"/>
        </w:rPr>
        <w:t>Komisjon annab rahalist toetust, eelkõige Euroopa Merendus- ja Kalandusfondist, et parandada mereprügi kogumise suutlikkust ja andmete kättesaadavust prügi kontsentratsiooni kohta ELi ümbr</w:t>
      </w:r>
      <w:r>
        <w:rPr>
          <w:i/>
          <w:noProof/>
          <w:color w:val="auto"/>
        </w:rPr>
        <w:t>itsevates meredes.</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Komisjon teeb ettepaneku tugevdada mereprügi vähendamisega seotud institutsioonilist raamistikku näiteks rahvusvaheliste jõupingutuste parema kooskõlastamise, mereprügi vastast võitlust käsitleva G7 kava ja mereprügi käsitleva rahvusvahe</w:t>
      </w:r>
      <w:r>
        <w:rPr>
          <w:i/>
          <w:noProof/>
        </w:rPr>
        <w:t>lise partnerluse kaudu.</w:t>
      </w:r>
    </w:p>
    <w:p w:rsidR="000D0A7C" w:rsidRDefault="009C1AFB">
      <w:pPr>
        <w:pStyle w:val="NoSpacing"/>
        <w:numPr>
          <w:ilvl w:val="0"/>
          <w:numId w:val="11"/>
        </w:numPr>
        <w:pBdr>
          <w:top w:val="single" w:sz="4" w:space="1" w:color="auto"/>
          <w:left w:val="single" w:sz="4" w:space="4" w:color="auto"/>
          <w:bottom w:val="single" w:sz="4" w:space="1" w:color="auto"/>
          <w:right w:val="single" w:sz="4" w:space="4" w:color="auto"/>
        </w:pBdr>
        <w:spacing w:after="120"/>
        <w:rPr>
          <w:i/>
          <w:noProof/>
        </w:rPr>
      </w:pPr>
      <w:r>
        <w:rPr>
          <w:i/>
          <w:noProof/>
        </w:rPr>
        <w:t xml:space="preserve">Komisjon jätkab ülemaailmsete ja piirkondlike kohustuste täitmist, toetades mereprügi käsitlevaid tegevuskavasid, milles keskendutakse piirkondlikele merekonventsioonidele kõikjal Euroopas. </w:t>
      </w:r>
    </w:p>
    <w:p w:rsidR="000D0A7C" w:rsidRDefault="000D0A7C">
      <w:pPr>
        <w:pStyle w:val="Text2"/>
        <w:keepNext/>
        <w:spacing w:after="120"/>
        <w:ind w:left="1134" w:hanging="1134"/>
        <w:rPr>
          <w:rStyle w:val="None"/>
          <w:rFonts w:cs="Times New Roman"/>
          <w:b/>
          <w:bCs/>
          <w:noProof/>
          <w:color w:val="000000" w:themeColor="text1"/>
        </w:rPr>
      </w:pPr>
    </w:p>
    <w:p w:rsidR="000D0A7C" w:rsidRDefault="009C1AFB">
      <w:pPr>
        <w:pStyle w:val="Text2"/>
        <w:keepNext/>
        <w:spacing w:after="120"/>
        <w:ind w:left="1134" w:hanging="1134"/>
        <w:rPr>
          <w:noProof/>
          <w:color w:val="000000" w:themeColor="text1"/>
        </w:rPr>
      </w:pPr>
      <w:r>
        <w:rPr>
          <w:rStyle w:val="None"/>
          <w:b/>
          <w:noProof/>
          <w:color w:val="000000" w:themeColor="text1"/>
        </w:rPr>
        <w:t xml:space="preserve">10. meede. </w:t>
      </w:r>
      <w:r>
        <w:rPr>
          <w:noProof/>
        </w:rPr>
        <w:tab/>
      </w:r>
      <w:r>
        <w:rPr>
          <w:rStyle w:val="None"/>
          <w:b/>
          <w:noProof/>
          <w:color w:val="000000" w:themeColor="text1"/>
        </w:rPr>
        <w:t>Mereruumi planeerimise edend</w:t>
      </w:r>
      <w:r>
        <w:rPr>
          <w:rStyle w:val="None"/>
          <w:b/>
          <w:noProof/>
          <w:color w:val="000000" w:themeColor="text1"/>
        </w:rPr>
        <w:t>amine</w:t>
      </w:r>
      <w:r>
        <w:rPr>
          <w:b/>
          <w:noProof/>
          <w:color w:val="000000" w:themeColor="text1"/>
        </w:rPr>
        <w:t xml:space="preserve"> ülemaailmsel tasandil</w:t>
      </w:r>
    </w:p>
    <w:p w:rsidR="000D0A7C" w:rsidRDefault="000D0A7C">
      <w:pPr>
        <w:pStyle w:val="ListDash"/>
        <w:spacing w:after="120"/>
        <w:rPr>
          <w:noProof/>
          <w:color w:val="000000" w:themeColor="text1"/>
        </w:rPr>
      </w:pPr>
    </w:p>
    <w:p w:rsidR="000D0A7C" w:rsidRDefault="009C1AFB">
      <w:pPr>
        <w:pStyle w:val="ListDash"/>
        <w:spacing w:after="120"/>
        <w:rPr>
          <w:noProof/>
          <w:color w:val="000000" w:themeColor="text1"/>
        </w:rPr>
      </w:pPr>
      <w:r>
        <w:rPr>
          <w:noProof/>
          <w:color w:val="000000" w:themeColor="text1"/>
        </w:rPr>
        <w:t xml:space="preserve">Ookeanide säästev kasutamine ja nende elurikkus, sealhulgas vastavate säästva arengu eesmärkide saavutamine sõltub inimtegevuse asjakohasest planeerimisest ja korraldamisest nii riikliku jurisdiktsiooni all olevatel kui ka selle alt välja jäävatel aladel. </w:t>
      </w:r>
      <w:r>
        <w:rPr>
          <w:noProof/>
        </w:rPr>
        <w:t>Mereruumi planeerimise abil võib tagada merealade kasutamise tõhusa korralduse, sealhulgas merekaitsealade määramise, haldamise ja nende võrgustike loomise</w:t>
      </w:r>
      <w:r>
        <w:rPr>
          <w:rStyle w:val="FootnoteReference"/>
          <w:noProof/>
          <w:color w:val="000000" w:themeColor="text1"/>
        </w:rPr>
        <w:footnoteReference w:id="22"/>
      </w:r>
      <w:r>
        <w:rPr>
          <w:noProof/>
        </w:rPr>
        <w:t>.</w:t>
      </w:r>
      <w:r>
        <w:rPr>
          <w:noProof/>
          <w:color w:val="000000" w:themeColor="text1"/>
        </w:rPr>
        <w:t xml:space="preserve"> Mereruumi planeerimine suureneb kogu maailmas ning viimasel kümnendil on kujunenud märkimisväärne </w:t>
      </w:r>
      <w:r>
        <w:rPr>
          <w:noProof/>
          <w:color w:val="000000" w:themeColor="text1"/>
        </w:rPr>
        <w:t xml:space="preserve">kogemuste ja parimate tavade pagas. </w:t>
      </w:r>
    </w:p>
    <w:p w:rsidR="000D0A7C" w:rsidRDefault="009C1AFB">
      <w:pPr>
        <w:pStyle w:val="ListDash"/>
        <w:spacing w:after="120"/>
        <w:rPr>
          <w:noProof/>
          <w:color w:val="000000" w:themeColor="text1"/>
        </w:rPr>
      </w:pPr>
      <w:r>
        <w:rPr>
          <w:noProof/>
          <w:color w:val="000000" w:themeColor="text1"/>
        </w:rPr>
        <w:t>2017. aastal alustab komisjon koostööd kõigi asjaomaste osalejatega, et töötada välja rahvusvaheliselt tunnustatud suunised, millega toetatakse mereruumi planeerimise ja sellega seotud protsesside kasutamist partnerriik</w:t>
      </w:r>
      <w:r>
        <w:rPr>
          <w:noProof/>
          <w:color w:val="000000" w:themeColor="text1"/>
        </w:rPr>
        <w:t xml:space="preserve">ides ja rahvusvahelisel tasandil, eelkõige ÜROs. </w:t>
      </w:r>
    </w:p>
    <w:p w:rsidR="000D0A7C" w:rsidRDefault="009C1AFB">
      <w:pPr>
        <w:pStyle w:val="ListDash"/>
        <w:numPr>
          <w:ilvl w:val="0"/>
          <w:numId w:val="12"/>
        </w:numPr>
        <w:pBdr>
          <w:top w:val="single" w:sz="4" w:space="1" w:color="auto"/>
          <w:left w:val="single" w:sz="4" w:space="4" w:color="auto"/>
          <w:bottom w:val="single" w:sz="4" w:space="1" w:color="auto"/>
          <w:right w:val="single" w:sz="4" w:space="4" w:color="auto"/>
        </w:pBdr>
        <w:spacing w:after="120"/>
        <w:rPr>
          <w:noProof/>
          <w:color w:val="000000" w:themeColor="text1"/>
        </w:rPr>
      </w:pPr>
      <w:r>
        <w:rPr>
          <w:i/>
          <w:noProof/>
          <w:color w:val="000000" w:themeColor="text1"/>
        </w:rPr>
        <w:t>2017. aastal alustab komisjon mereruumi planeerimist käsitlevate rahvusvaheliste suuniste ettepanekute väljatöötamist.</w:t>
      </w:r>
    </w:p>
    <w:p w:rsidR="000D0A7C" w:rsidRDefault="000D0A7C">
      <w:pPr>
        <w:spacing w:after="120"/>
        <w:jc w:val="both"/>
        <w:rPr>
          <w:b/>
          <w:noProof/>
          <w:color w:val="000000" w:themeColor="text1"/>
        </w:rPr>
      </w:pPr>
    </w:p>
    <w:p w:rsidR="000D0A7C" w:rsidRDefault="009C1AFB">
      <w:pPr>
        <w:spacing w:after="120"/>
        <w:jc w:val="both"/>
        <w:rPr>
          <w:noProof/>
          <w:color w:val="000000" w:themeColor="text1"/>
        </w:rPr>
      </w:pPr>
      <w:r>
        <w:rPr>
          <w:b/>
          <w:noProof/>
          <w:color w:val="000000" w:themeColor="text1"/>
        </w:rPr>
        <w:t>11. meede. Kümne protsendi mere- ja rannikualade säilitamisega seotud ülemaailmse eesm</w:t>
      </w:r>
      <w:r>
        <w:rPr>
          <w:b/>
          <w:noProof/>
          <w:color w:val="000000" w:themeColor="text1"/>
        </w:rPr>
        <w:t>ärgi saavutamine ja merekaitsealade tõhus majandamine</w:t>
      </w:r>
    </w:p>
    <w:p w:rsidR="000D0A7C" w:rsidRDefault="000D0A7C">
      <w:pPr>
        <w:spacing w:after="120"/>
        <w:rPr>
          <w:noProof/>
          <w:color w:val="000000" w:themeColor="text1"/>
        </w:rPr>
      </w:pPr>
    </w:p>
    <w:p w:rsidR="000D0A7C" w:rsidRDefault="009C1AFB">
      <w:pPr>
        <w:spacing w:after="120"/>
        <w:jc w:val="both"/>
        <w:rPr>
          <w:noProof/>
          <w:color w:val="000000" w:themeColor="text1"/>
        </w:rPr>
      </w:pPr>
      <w:r>
        <w:rPr>
          <w:noProof/>
          <w:color w:val="000000" w:themeColor="text1"/>
        </w:rPr>
        <w:t>Mere elurikkuse olukord on praegu muret tekitav. Troopilised korallrahud on viimase 30 aasta jooksul kaotanud üle poole rahusid moodustavatest korallidest. Praegu on ainult 3,4 % meredest ja ookeanides</w:t>
      </w:r>
      <w:r>
        <w:rPr>
          <w:noProof/>
          <w:color w:val="000000" w:themeColor="text1"/>
        </w:rPr>
        <w:t xml:space="preserve">t kaetud merekaitsealadega, mis jääb oluliselt allapoole ülemaailmselt 2020. aastaks seatud 10 % säilitamise eesmärki. Mereökosüsteemide taastamine ja kaitse tooks kasu nii keskkonnale kui ka majandusele. </w:t>
      </w:r>
      <w:r>
        <w:rPr>
          <w:noProof/>
        </w:rPr>
        <w:t>Merekaitsealade katvuse laiendamine 30 %ni võib tuu</w:t>
      </w:r>
      <w:r>
        <w:rPr>
          <w:noProof/>
        </w:rPr>
        <w:t>a ajavahemikus 2015–2050 tulu kuni 920 miljardit USA dollarit</w:t>
      </w:r>
      <w:r>
        <w:rPr>
          <w:rStyle w:val="FootnoteReference"/>
          <w:noProof/>
          <w:color w:val="000000" w:themeColor="text1"/>
        </w:rPr>
        <w:footnoteReference w:id="23"/>
      </w:r>
      <w:r>
        <w:rPr>
          <w:noProof/>
        </w:rPr>
        <w:t>.</w:t>
      </w:r>
      <w:r>
        <w:rPr>
          <w:noProof/>
          <w:color w:val="000000" w:themeColor="text1"/>
        </w:rPr>
        <w:t xml:space="preserve"> </w:t>
      </w:r>
    </w:p>
    <w:p w:rsidR="000D0A7C" w:rsidRDefault="009C1AFB">
      <w:pPr>
        <w:spacing w:after="120"/>
        <w:jc w:val="both"/>
        <w:rPr>
          <w:noProof/>
          <w:color w:val="000000" w:themeColor="text1"/>
        </w:rPr>
      </w:pPr>
      <w:r>
        <w:rPr>
          <w:noProof/>
        </w:rPr>
        <w:t>Eri organisatsioonid ja foorumid töötavad eri liiki piirkonnapõhiste majandamisvahendite kallal vastavalt nende asjakohastele valdkondadele</w:t>
      </w:r>
      <w:r>
        <w:rPr>
          <w:rStyle w:val="FootnoteReference"/>
          <w:noProof/>
          <w:color w:val="000000" w:themeColor="text1"/>
        </w:rPr>
        <w:footnoteReference w:id="24"/>
      </w:r>
      <w:r>
        <w:rPr>
          <w:noProof/>
        </w:rPr>
        <w:t>.</w:t>
      </w:r>
      <w:r>
        <w:rPr>
          <w:noProof/>
          <w:color w:val="000000" w:themeColor="text1"/>
        </w:rPr>
        <w:t xml:space="preserve"> Kuid merekaitsealad on tulemuslikud üksnes siis, kui need on hästi hallatud ja moodustavad ökoloogiliselt sidusa võrgustiku. Nende haldamine nõuab hoolikat kavandamist ning rahalisi ja inimressursse. </w:t>
      </w:r>
    </w:p>
    <w:p w:rsidR="000D0A7C" w:rsidRDefault="009C1AFB">
      <w:pPr>
        <w:pStyle w:val="NoSpacing"/>
        <w:spacing w:after="120"/>
        <w:rPr>
          <w:strike/>
          <w:noProof/>
          <w:color w:val="000000" w:themeColor="text1"/>
        </w:rPr>
      </w:pPr>
      <w:r>
        <w:rPr>
          <w:noProof/>
          <w:color w:val="000000" w:themeColor="text1"/>
        </w:rPr>
        <w:t>Komisjon suurendab merekaitsealade tulemuslikkust kogu</w:t>
      </w:r>
      <w:r>
        <w:rPr>
          <w:noProof/>
          <w:color w:val="000000" w:themeColor="text1"/>
        </w:rPr>
        <w:t xml:space="preserve"> maailmas, edendades parimate tavade vahetamist ja toetades sidusate võrgustike loomiseks tehtavaid jõupingutusi. </w:t>
      </w:r>
      <w:r>
        <w:rPr>
          <w:noProof/>
        </w:rPr>
        <w:t>Komisjon toetab ka piirkondlikku ja rahvusvahelist koostööd, et töötada merekaitsealade jaoks välja pikaajalised ja jätkusuutlikud rahastamism</w:t>
      </w:r>
      <w:r>
        <w:rPr>
          <w:noProof/>
        </w:rPr>
        <w:t>ehhanismid</w:t>
      </w:r>
      <w:r>
        <w:rPr>
          <w:rStyle w:val="FootnoteReference"/>
          <w:noProof/>
          <w:color w:val="000000" w:themeColor="text1"/>
        </w:rPr>
        <w:footnoteReference w:id="25"/>
      </w:r>
      <w:r>
        <w:rPr>
          <w:noProof/>
        </w:rPr>
        <w:t>.</w:t>
      </w:r>
      <w:r>
        <w:rPr>
          <w:noProof/>
          <w:color w:val="000000" w:themeColor="text1"/>
        </w:rPr>
        <w:t xml:space="preserve"> </w:t>
      </w:r>
    </w:p>
    <w:p w:rsidR="000D0A7C" w:rsidRDefault="009C1AFB">
      <w:pPr>
        <w:pStyle w:val="NoSpacing"/>
        <w:spacing w:after="120"/>
        <w:rPr>
          <w:noProof/>
          <w:color w:val="000000" w:themeColor="text1"/>
        </w:rPr>
      </w:pPr>
      <w:r>
        <w:rPr>
          <w:noProof/>
          <w:color w:val="000000" w:themeColor="text1"/>
        </w:rPr>
        <w:t xml:space="preserve">Uus ÜRO mereõiguse konventsiooni kohane rakenduskokkulepe, mis käsitleks merekeskkonna elurikkuse säilitamist ja säästvat kasutamist väljaspool riiklikku jurisdiktsiooni olevatel aladel, aitaks saavutada ülemaailmse 10 % säilitamise eesmärgi </w:t>
      </w:r>
      <w:r>
        <w:rPr>
          <w:noProof/>
          <w:color w:val="000000" w:themeColor="text1"/>
        </w:rPr>
        <w:t>ja märkimisväärselt suurendada merekaitsealade katvust avamerel.</w:t>
      </w:r>
    </w:p>
    <w:p w:rsidR="000D0A7C" w:rsidRDefault="009C1AF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Komisjon aitab suurendada merekaitsealade tulemuslikkust ja toetab nende laiendamist kogu maailmas, edendades parimate tavade vahetamist ja toetades sidusate võrgustike loomiseks tehtavaid jõ</w:t>
      </w:r>
      <w:r>
        <w:rPr>
          <w:i/>
          <w:noProof/>
          <w:color w:val="000000" w:themeColor="text1"/>
        </w:rPr>
        <w:t>upingutusi.</w:t>
      </w:r>
    </w:p>
    <w:p w:rsidR="000D0A7C" w:rsidRDefault="009C1AF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Komisjon toetab ka piirkondlikku ja rahvusvahelist koostööd, et töötada merekaitsealade jaoks välja pikaajalised ja jätkusuutlikud rahastamismehhanismid.</w:t>
      </w:r>
    </w:p>
    <w:p w:rsidR="000D0A7C" w:rsidRDefault="009C1AF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Komisjon viib lõpule merekaitsealade mestimise projekti, mis hõlbustab parimate tavade vah</w:t>
      </w:r>
      <w:r>
        <w:rPr>
          <w:i/>
          <w:noProof/>
          <w:color w:val="000000" w:themeColor="text1"/>
        </w:rPr>
        <w:t>etamist ja suutlikkuse suurendamist Atlandi ookeani merekaitsealadel Euroopas, Aafrikas ning Põhja- ja Lõuna-Ameerikas.</w:t>
      </w:r>
    </w:p>
    <w:p w:rsidR="000D0A7C" w:rsidRDefault="009C1AFB">
      <w:pPr>
        <w:pStyle w:val="NoSpacing"/>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rPr>
        <w:t>Komisjon pakub programmide „Horisont 2020” ja LIFE raames rahastamisvõimalusi mereuuringuteks, mis on olulised merekaitsealade loomiseks</w:t>
      </w:r>
      <w:r>
        <w:rPr>
          <w:i/>
          <w:noProof/>
        </w:rPr>
        <w:t>, ning teeb koostööd rahvusvaheliste partneritega</w:t>
      </w:r>
      <w:r>
        <w:rPr>
          <w:noProof/>
        </w:rPr>
        <w:t>.</w:t>
      </w:r>
    </w:p>
    <w:p w:rsidR="000D0A7C" w:rsidRDefault="000D0A7C">
      <w:pPr>
        <w:pStyle w:val="Text2"/>
        <w:spacing w:after="120"/>
        <w:ind w:left="567" w:hanging="567"/>
        <w:rPr>
          <w:rStyle w:val="None"/>
          <w:rFonts w:cs="Times New Roman"/>
          <w:b/>
          <w:bCs/>
          <w:smallCaps/>
          <w:noProof/>
          <w:color w:val="000000" w:themeColor="text1"/>
        </w:rPr>
      </w:pPr>
    </w:p>
    <w:p w:rsidR="000D0A7C" w:rsidRDefault="009C1AFB">
      <w:pPr>
        <w:pStyle w:val="Text2"/>
        <w:spacing w:after="120"/>
        <w:ind w:left="567" w:hanging="567"/>
        <w:rPr>
          <w:rStyle w:val="None"/>
          <w:rFonts w:cs="Times New Roman"/>
          <w:noProof/>
          <w:color w:val="auto"/>
        </w:rPr>
      </w:pPr>
      <w:r>
        <w:rPr>
          <w:rStyle w:val="None"/>
          <w:b/>
          <w:smallCaps/>
          <w:noProof/>
          <w:color w:val="000000" w:themeColor="text1"/>
        </w:rPr>
        <w:t>4.</w:t>
      </w:r>
      <w:r>
        <w:rPr>
          <w:noProof/>
        </w:rPr>
        <w:tab/>
      </w:r>
      <w:r>
        <w:rPr>
          <w:rStyle w:val="None"/>
          <w:b/>
          <w:smallCaps/>
          <w:noProof/>
          <w:color w:val="000000" w:themeColor="text1"/>
        </w:rPr>
        <w:t>Rahvusvaheliste ookeanialaste teadusuuringute tugevdamine ja andmete parandamine</w:t>
      </w:r>
    </w:p>
    <w:p w:rsidR="000D0A7C" w:rsidRDefault="000D0A7C">
      <w:pPr>
        <w:pStyle w:val="Text1"/>
        <w:spacing w:after="120"/>
        <w:ind w:left="0"/>
        <w:rPr>
          <w:noProof/>
          <w:color w:val="000000" w:themeColor="text1"/>
        </w:rPr>
      </w:pPr>
    </w:p>
    <w:p w:rsidR="000D0A7C" w:rsidRDefault="009C1AFB">
      <w:pPr>
        <w:pStyle w:val="Text1"/>
        <w:spacing w:after="120"/>
        <w:ind w:left="0"/>
        <w:rPr>
          <w:noProof/>
          <w:color w:val="000000" w:themeColor="text1"/>
        </w:rPr>
      </w:pPr>
      <w:r>
        <w:rPr>
          <w:noProof/>
          <w:color w:val="000000" w:themeColor="text1"/>
        </w:rPr>
        <w:t xml:space="preserve">Selleks et viia edukalt ellu enamik eespool nimetatud meetmetest ja tagada ressursside säästev kasutamine, on vaja </w:t>
      </w:r>
      <w:r>
        <w:rPr>
          <w:noProof/>
          <w:color w:val="000000" w:themeColor="text1"/>
        </w:rPr>
        <w:t>põhjalikke teaduslikult põhjendatud teadmisi. See nõuab märkimisväärseid investeeringuid varadesse ja seadmetesse. See toob ühiskonnale kõige rohkem kasu siis, kui teadmisi ja andmeid jagatakse.</w:t>
      </w:r>
    </w:p>
    <w:p w:rsidR="000D0A7C" w:rsidRDefault="009C1AFB">
      <w:pPr>
        <w:pStyle w:val="Text1"/>
        <w:spacing w:after="120"/>
        <w:ind w:left="0"/>
        <w:rPr>
          <w:noProof/>
          <w:color w:val="000000" w:themeColor="text1"/>
        </w:rPr>
      </w:pPr>
      <w:r>
        <w:rPr>
          <w:noProof/>
          <w:color w:val="000000" w:themeColor="text1"/>
        </w:rPr>
        <w:t>EL ja selle liikmesriigid on olnud edukad mere- ja merendusuu</w:t>
      </w:r>
      <w:r>
        <w:rPr>
          <w:noProof/>
          <w:color w:val="000000" w:themeColor="text1"/>
        </w:rPr>
        <w:t>ringute rahastamisel ning andmete kättesaadavuse ja koostalitluse parandamisel. Koostöö rahvusvaheliste partneritega, sealhulgas ressursside koondamine, on vajalik, et tagada ookeanide tõhusaks majandamiseks vajalikud alusteadmised.</w:t>
      </w:r>
    </w:p>
    <w:p w:rsidR="000D0A7C" w:rsidRDefault="000D0A7C">
      <w:pPr>
        <w:pStyle w:val="ListDash"/>
        <w:spacing w:after="120"/>
        <w:ind w:left="1134" w:hanging="1134"/>
        <w:rPr>
          <w:rStyle w:val="None"/>
          <w:rFonts w:cs="Times New Roman"/>
          <w:b/>
          <w:bCs/>
          <w:noProof/>
          <w:color w:val="000000" w:themeColor="text1"/>
        </w:rPr>
      </w:pPr>
    </w:p>
    <w:p w:rsidR="000D0A7C" w:rsidRDefault="009C1AFB">
      <w:pPr>
        <w:pStyle w:val="ListDash"/>
        <w:spacing w:after="120"/>
        <w:ind w:left="1134" w:hanging="1134"/>
        <w:rPr>
          <w:rStyle w:val="None"/>
          <w:rFonts w:cs="Times New Roman"/>
          <w:noProof/>
          <w:color w:val="auto"/>
        </w:rPr>
      </w:pPr>
      <w:r>
        <w:rPr>
          <w:rStyle w:val="None"/>
          <w:b/>
          <w:noProof/>
          <w:color w:val="000000" w:themeColor="text1"/>
        </w:rPr>
        <w:t xml:space="preserve">12. meede. </w:t>
      </w:r>
      <w:r>
        <w:rPr>
          <w:noProof/>
        </w:rPr>
        <w:tab/>
      </w:r>
      <w:r>
        <w:rPr>
          <w:rStyle w:val="None"/>
          <w:b/>
          <w:noProof/>
          <w:color w:val="000000" w:themeColor="text1"/>
        </w:rPr>
        <w:t xml:space="preserve">Sidus ELi </w:t>
      </w:r>
      <w:r>
        <w:rPr>
          <w:rStyle w:val="None"/>
          <w:b/>
          <w:noProof/>
          <w:color w:val="000000" w:themeColor="text1"/>
        </w:rPr>
        <w:t>strateegia ookeaniseire, andmete ja merega seotud arvepidamise jaoks</w:t>
      </w:r>
    </w:p>
    <w:p w:rsidR="000D0A7C" w:rsidRDefault="000D0A7C">
      <w:pPr>
        <w:pStyle w:val="Body"/>
        <w:spacing w:after="120"/>
        <w:rPr>
          <w:noProof/>
        </w:rPr>
      </w:pPr>
    </w:p>
    <w:p w:rsidR="000D0A7C" w:rsidRDefault="009C1AFB">
      <w:pPr>
        <w:pStyle w:val="Body"/>
        <w:spacing w:after="120"/>
        <w:rPr>
          <w:noProof/>
        </w:rPr>
      </w:pPr>
      <w:r>
        <w:rPr>
          <w:noProof/>
        </w:rPr>
        <w:t xml:space="preserve">Euroopa merevaatlus- ja andmevõrk (EMODnet) võimaldab teadlastel, ametiasutustel, ettevõtetel ja kodanikuühiskonnal otsida, vaadata, alla laadida ja kasutada enam kui saja mereuuringute </w:t>
      </w:r>
      <w:r>
        <w:rPr>
          <w:noProof/>
        </w:rPr>
        <w:t>teadusasutuse andmeid ja andmetooteid Euroopa merede batümeetria, geoloogia, elupaikade, füüsika, keemia ja mereelustiku kohta.</w:t>
      </w:r>
    </w:p>
    <w:p w:rsidR="000D0A7C" w:rsidRDefault="009C1AFB">
      <w:pPr>
        <w:pStyle w:val="Text2"/>
        <w:spacing w:after="120"/>
        <w:ind w:left="0"/>
        <w:rPr>
          <w:noProof/>
          <w:color w:val="000000" w:themeColor="text1"/>
        </w:rPr>
      </w:pPr>
      <w:r>
        <w:rPr>
          <w:noProof/>
          <w:color w:val="000000" w:themeColor="text1"/>
        </w:rPr>
        <w:t>ELi töö ühtlustamine rahvusvaheliste partnerite tööga tugevdaks oluliselt ookeanide majandamise aluseks olevaid teadmisi, sealhu</w:t>
      </w:r>
      <w:r>
        <w:rPr>
          <w:noProof/>
          <w:color w:val="000000" w:themeColor="text1"/>
        </w:rPr>
        <w:t>lgas tugevdataks märkimisväärselt looduskapitali ja ökosüsteemi teenuseid käsitleva arvepidamisega seotud integreeritud süsteemi, mida arendatakse välja koostöös Euroopa Keskkonnaameti ja rahvusvaheliste partneritega.</w:t>
      </w:r>
    </w:p>
    <w:p w:rsidR="000D0A7C" w:rsidRDefault="009C1AF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rPr>
        <w:t>Komisjon kavatseb Euroopa merevaatlus-</w:t>
      </w:r>
      <w:r>
        <w:rPr>
          <w:i/>
          <w:noProof/>
        </w:rPr>
        <w:t xml:space="preserve"> ja andmevõrgule (EMODnet) toetudes esitada 2018. aastal sidusa ookeaniseire strateegia, mis on kooskõlas G7 riikide Tsukuba kommünikeega</w:t>
      </w:r>
      <w:r>
        <w:rPr>
          <w:rStyle w:val="FootnoteReference"/>
          <w:i/>
          <w:noProof/>
          <w:color w:val="000000" w:themeColor="text1"/>
        </w:rPr>
        <w:footnoteReference w:id="26"/>
      </w:r>
      <w:r>
        <w:rPr>
          <w:noProof/>
        </w:rPr>
        <w:t>.</w:t>
      </w:r>
      <w:r>
        <w:rPr>
          <w:i/>
          <w:noProof/>
          <w:color w:val="000000" w:themeColor="text1"/>
        </w:rPr>
        <w:t xml:space="preserve"> Komisjon hindab, kas ookeaniseire võrgustikud on eesmärgipärased, ning analüüsib, millist majanduslikku, keskkonnaal</w:t>
      </w:r>
      <w:r>
        <w:rPr>
          <w:i/>
          <w:noProof/>
          <w:color w:val="000000" w:themeColor="text1"/>
        </w:rPr>
        <w:t>ast ja ühiskondlikku kasu nende täiustamine annaks.</w:t>
      </w:r>
    </w:p>
    <w:p w:rsidR="000D0A7C" w:rsidRDefault="009C1AFB">
      <w:pPr>
        <w:pStyle w:val="ListParagraph"/>
        <w:numPr>
          <w:ilvl w:val="0"/>
          <w:numId w:val="12"/>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Kõnealuse 2018. aastaks kavandatud aruandega seoses teeb komisjon ettepaneku selle kohta, kuidas saaks Euroopa merevaatlus- ja andmevõrgu (EMODnet) viia vastavusse teiste riiklike või piirkondlike merendu</w:t>
      </w:r>
      <w:r>
        <w:rPr>
          <w:i/>
          <w:noProof/>
          <w:color w:val="000000" w:themeColor="text1"/>
        </w:rPr>
        <w:t>sandmete kogumiseks tehtavate jõupingutustega, et luua rahvusvaheline merendusandmete võrk ning tagada avatud juurdepääs neile andmetele.</w:t>
      </w:r>
    </w:p>
    <w:p w:rsidR="000D0A7C" w:rsidRDefault="000D0A7C">
      <w:pPr>
        <w:pStyle w:val="ListDash"/>
        <w:keepNext/>
        <w:spacing w:after="120"/>
        <w:ind w:left="1134" w:hanging="1134"/>
        <w:rPr>
          <w:rStyle w:val="None"/>
          <w:rFonts w:cs="Times New Roman"/>
          <w:b/>
          <w:bCs/>
          <w:noProof/>
          <w:color w:val="000000" w:themeColor="text1"/>
        </w:rPr>
      </w:pPr>
    </w:p>
    <w:p w:rsidR="000D0A7C" w:rsidRDefault="009C1AFB">
      <w:pPr>
        <w:pStyle w:val="ListDash"/>
        <w:keepNext/>
        <w:spacing w:after="120"/>
        <w:ind w:left="1134" w:hanging="1134"/>
        <w:rPr>
          <w:noProof/>
          <w:color w:val="000000" w:themeColor="text1"/>
        </w:rPr>
      </w:pPr>
      <w:r>
        <w:rPr>
          <w:rStyle w:val="None"/>
          <w:b/>
          <w:noProof/>
          <w:color w:val="000000" w:themeColor="text1"/>
        </w:rPr>
        <w:t xml:space="preserve">13. meede. </w:t>
      </w:r>
      <w:r>
        <w:rPr>
          <w:noProof/>
        </w:rPr>
        <w:tab/>
      </w:r>
      <w:r>
        <w:rPr>
          <w:rStyle w:val="None"/>
          <w:b/>
          <w:noProof/>
          <w:color w:val="000000" w:themeColor="text1"/>
        </w:rPr>
        <w:t>Mereuuringutesse ja innovatsiooni tehtavate investeeringute suurendamine</w:t>
      </w:r>
    </w:p>
    <w:p w:rsidR="000D0A7C" w:rsidRDefault="000D0A7C">
      <w:pPr>
        <w:pStyle w:val="Text2"/>
        <w:spacing w:after="120"/>
        <w:ind w:left="0"/>
        <w:rPr>
          <w:noProof/>
          <w:color w:val="000000" w:themeColor="text1"/>
        </w:rPr>
      </w:pPr>
    </w:p>
    <w:p w:rsidR="000D0A7C" w:rsidRDefault="009C1AFB">
      <w:pPr>
        <w:pStyle w:val="Text2"/>
        <w:spacing w:after="120"/>
        <w:ind w:left="0"/>
        <w:rPr>
          <w:noProof/>
          <w:color w:val="000000" w:themeColor="text1"/>
        </w:rPr>
      </w:pPr>
      <w:r>
        <w:rPr>
          <w:noProof/>
          <w:color w:val="000000" w:themeColor="text1"/>
        </w:rPr>
        <w:t>EL ja selle liikmesriigid kulut</w:t>
      </w:r>
      <w:r>
        <w:rPr>
          <w:noProof/>
          <w:color w:val="000000" w:themeColor="text1"/>
        </w:rPr>
        <w:t>avad mereuuringutele ligikaudu 2 miljardit eurot aastas. Üle 260 miljoni euro saadakse teadusuuringute ja innovatsiooni raamprogrammist „Horisont 2020</w:t>
      </w:r>
      <w:r>
        <w:rPr>
          <w:rFonts w:cs="Times New Roman"/>
          <w:noProof/>
          <w:color w:val="000000" w:themeColor="text1"/>
        </w:rPr>
        <w:t>“</w:t>
      </w:r>
      <w:r>
        <w:rPr>
          <w:noProof/>
          <w:color w:val="000000" w:themeColor="text1"/>
        </w:rPr>
        <w:t>. Oluline on hoida seda panust samal tasemel. Meremajanduse kasvu konkreetse valdkonna sihiks on valdkond</w:t>
      </w:r>
      <w:r>
        <w:rPr>
          <w:noProof/>
          <w:color w:val="000000" w:themeColor="text1"/>
        </w:rPr>
        <w:t>adevahelised mere- ja merendusuuringud ning sellega toetatakse ookeaniga seotud poliitikat, sealhulgas kalandust, avamereenergeetikat ja meretransporti.</w:t>
      </w:r>
    </w:p>
    <w:p w:rsidR="000D0A7C" w:rsidRDefault="009C1AFB">
      <w:pPr>
        <w:pStyle w:val="Text2"/>
        <w:spacing w:after="120"/>
        <w:ind w:left="0"/>
        <w:rPr>
          <w:noProof/>
          <w:color w:val="000000" w:themeColor="text1"/>
        </w:rPr>
      </w:pPr>
      <w:r>
        <w:rPr>
          <w:noProof/>
          <w:color w:val="000000" w:themeColor="text1"/>
        </w:rPr>
        <w:t>Liikmesriigid kooskõlastavad või integreerivad üha sagedamini oma teadusprogramme, et lahendada ühiseid</w:t>
      </w:r>
      <w:r>
        <w:rPr>
          <w:noProof/>
          <w:color w:val="000000" w:themeColor="text1"/>
        </w:rPr>
        <w:t xml:space="preserve"> probleeme ELi tasandil (nt ühise kavandamise algatusega „Terved ja tulutoovad mered ja ookeanid“ ning projektidega „Black Sea Horizon“ ja EMBLAS) ja merepiirkondade tasandil (nt BONUS Läänemerel ja BLUEMED Vahemerel).</w:t>
      </w:r>
    </w:p>
    <w:p w:rsidR="000D0A7C" w:rsidRDefault="009C1AF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Euroopa teaduspilve algatuse</w:t>
      </w:r>
      <w:r>
        <w:rPr>
          <w:rStyle w:val="FootnoteReference"/>
          <w:i/>
          <w:noProof/>
          <w:color w:val="000000" w:themeColor="text1"/>
        </w:rPr>
        <w:footnoteReference w:id="27"/>
      </w:r>
      <w:r>
        <w:rPr>
          <w:i/>
          <w:noProof/>
          <w:color w:val="000000" w:themeColor="text1"/>
        </w:rPr>
        <w:t xml:space="preserve"> raames loob komisjon mereuuringute pilvandmetöötluse katseprojekti ning jätkab investeerimist mereuuringutesse ja innovatsiooni.</w:t>
      </w:r>
    </w:p>
    <w:p w:rsidR="000D0A7C" w:rsidRDefault="009C1AFB">
      <w:pPr>
        <w:pStyle w:val="Text2"/>
        <w:numPr>
          <w:ilvl w:val="0"/>
          <w:numId w:val="13"/>
        </w:numPr>
        <w:pBdr>
          <w:top w:val="single" w:sz="4" w:space="1" w:color="auto"/>
          <w:left w:val="single" w:sz="4" w:space="4" w:color="auto"/>
          <w:bottom w:val="single" w:sz="4" w:space="1" w:color="auto"/>
          <w:right w:val="single" w:sz="4" w:space="4" w:color="auto"/>
        </w:pBdr>
        <w:spacing w:after="120"/>
        <w:rPr>
          <w:i/>
          <w:noProof/>
          <w:color w:val="000000" w:themeColor="text1"/>
        </w:rPr>
      </w:pPr>
      <w:r>
        <w:rPr>
          <w:i/>
          <w:noProof/>
          <w:color w:val="000000" w:themeColor="text1"/>
        </w:rPr>
        <w:t>Komisjon teeb koostööd G7 partneritega, et edendada G7 riikide uut algatust „Future of the Oceans</w:t>
      </w:r>
      <w:r>
        <w:rPr>
          <w:rFonts w:cs="Times New Roman"/>
          <w:i/>
          <w:noProof/>
          <w:color w:val="000000" w:themeColor="text1"/>
        </w:rPr>
        <w:t>“</w:t>
      </w:r>
      <w:r>
        <w:rPr>
          <w:i/>
          <w:noProof/>
          <w:color w:val="000000" w:themeColor="text1"/>
        </w:rPr>
        <w:t>, mille eesmärk on parandada</w:t>
      </w:r>
      <w:r>
        <w:rPr>
          <w:i/>
          <w:noProof/>
          <w:color w:val="000000" w:themeColor="text1"/>
        </w:rPr>
        <w:t xml:space="preserve"> ookeanide ja merede uuringuid ja seiret.</w:t>
      </w:r>
    </w:p>
    <w:p w:rsidR="000D0A7C" w:rsidRDefault="000D0A7C">
      <w:pPr>
        <w:pStyle w:val="Text2"/>
        <w:spacing w:after="120"/>
        <w:ind w:left="1134" w:hanging="1134"/>
        <w:rPr>
          <w:rStyle w:val="None"/>
          <w:rFonts w:cs="Times New Roman"/>
          <w:b/>
          <w:bCs/>
          <w:noProof/>
          <w:color w:val="000000" w:themeColor="text1"/>
        </w:rPr>
      </w:pPr>
    </w:p>
    <w:p w:rsidR="000D0A7C" w:rsidRDefault="009C1AFB">
      <w:pPr>
        <w:pStyle w:val="Text2"/>
        <w:spacing w:after="120"/>
        <w:ind w:left="1134" w:hanging="1134"/>
        <w:rPr>
          <w:noProof/>
          <w:color w:val="000000" w:themeColor="text1"/>
        </w:rPr>
      </w:pPr>
      <w:r>
        <w:rPr>
          <w:rStyle w:val="None"/>
          <w:b/>
          <w:noProof/>
          <w:color w:val="000000" w:themeColor="text1"/>
        </w:rPr>
        <w:t>14. meede.</w:t>
      </w:r>
      <w:r>
        <w:rPr>
          <w:noProof/>
        </w:rPr>
        <w:tab/>
      </w:r>
      <w:r>
        <w:rPr>
          <w:rStyle w:val="None"/>
          <w:b/>
          <w:noProof/>
          <w:color w:val="000000" w:themeColor="text1"/>
        </w:rPr>
        <w:t>Rahvusvahelised ookeanidega seotud uuringute-, innovatsiooni- ja teadustööalased partnerlused</w:t>
      </w:r>
    </w:p>
    <w:p w:rsidR="000D0A7C" w:rsidRDefault="000D0A7C">
      <w:pPr>
        <w:pStyle w:val="Text2"/>
        <w:spacing w:after="120"/>
        <w:ind w:left="0"/>
        <w:rPr>
          <w:noProof/>
          <w:color w:val="000000" w:themeColor="text1"/>
        </w:rPr>
      </w:pPr>
    </w:p>
    <w:p w:rsidR="000D0A7C" w:rsidRDefault="009C1AFB">
      <w:pPr>
        <w:pStyle w:val="Text2"/>
        <w:spacing w:after="120"/>
        <w:ind w:left="0"/>
        <w:rPr>
          <w:strike/>
          <w:noProof/>
          <w:color w:val="000000" w:themeColor="text1"/>
        </w:rPr>
      </w:pPr>
      <w:r>
        <w:rPr>
          <w:noProof/>
          <w:color w:val="000000" w:themeColor="text1"/>
        </w:rPr>
        <w:t>ELis tehtavad ookeanidega seotud uuringud ja teadustöö võivad saada märkimisväärset kasu koostööst väljaspo</w:t>
      </w:r>
      <w:r>
        <w:rPr>
          <w:noProof/>
          <w:color w:val="000000" w:themeColor="text1"/>
        </w:rPr>
        <w:t xml:space="preserve">ol ELi asuvate asutustega. Otsustav samm selles suunas oli 2013. aasta Galway avaldus Atlandi ookeani teadusuuringute alase koostöö kohta ELi, USA ja Kanada vahel. Komisjon jätkab Galway avalduse rakendamist. </w:t>
      </w:r>
    </w:p>
    <w:p w:rsidR="000D0A7C" w:rsidRDefault="009C1AFB">
      <w:pPr>
        <w:spacing w:after="120"/>
        <w:jc w:val="both"/>
        <w:rPr>
          <w:rFonts w:eastAsia="Arial Unicode MS" w:cs="Arial Unicode MS"/>
          <w:noProof/>
          <w:color w:val="000000" w:themeColor="text1"/>
          <w:u w:color="000000"/>
        </w:rPr>
      </w:pPr>
      <w:r>
        <w:rPr>
          <w:noProof/>
          <w:color w:val="000000" w:themeColor="text1"/>
          <w:u w:color="000000"/>
        </w:rPr>
        <w:t xml:space="preserve">Selleks et edendada innovatsiooni ja </w:t>
      </w:r>
      <w:r>
        <w:rPr>
          <w:noProof/>
          <w:color w:val="000000" w:themeColor="text1"/>
          <w:u w:color="000000"/>
        </w:rPr>
        <w:t>konkurentsivõime jaoks vajalikke oskusi, toetab komisjon jätkuvalt tööstusharu juhitavat merendustehnoloogia partnerlust</w:t>
      </w:r>
      <w:r>
        <w:rPr>
          <w:noProof/>
        </w:rPr>
        <w:t xml:space="preserve"> oskusi käsitleva valdkondliku koostöö tegevuskava kontekstis</w:t>
      </w:r>
      <w:r>
        <w:rPr>
          <w:noProof/>
          <w:color w:val="000000" w:themeColor="text1"/>
          <w:u w:color="000000"/>
        </w:rPr>
        <w:t>.</w:t>
      </w:r>
    </w:p>
    <w:p w:rsidR="000D0A7C" w:rsidRDefault="009C1AFB">
      <w:pPr>
        <w:spacing w:after="120"/>
        <w:jc w:val="both"/>
        <w:rPr>
          <w:noProof/>
          <w:color w:val="000000" w:themeColor="text1"/>
        </w:rPr>
      </w:pPr>
      <w:r>
        <w:rPr>
          <w:noProof/>
          <w:color w:val="000000" w:themeColor="text1"/>
        </w:rPr>
        <w:t>Vastavalt OECD soovitusele edendada rahvusvahelist koostööd merendusteadu</w:t>
      </w:r>
      <w:r>
        <w:rPr>
          <w:noProof/>
          <w:color w:val="000000" w:themeColor="text1"/>
        </w:rPr>
        <w:t xml:space="preserve">se ja </w:t>
      </w:r>
      <w:r>
        <w:rPr>
          <w:noProof/>
          <w:color w:val="000000" w:themeColor="text1"/>
        </w:rPr>
        <w:noBreakHyphen/>
        <w:t>tehnoloogia valdkonnas, uurib komisjon rahvusvaheliste võrgustike loomise võimalusi, et vahetada olemasolevate vahenditega kooskõlas olevate innovatiivsete merendustehnoloogialahenduste edendamise kogemusi.</w:t>
      </w:r>
    </w:p>
    <w:p w:rsidR="000D0A7C" w:rsidRDefault="009C1AF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auto"/>
        </w:rPr>
      </w:pPr>
      <w:r>
        <w:rPr>
          <w:i/>
          <w:noProof/>
        </w:rPr>
        <w:t>Komisjon arendab koos peamiste partneriteg</w:t>
      </w:r>
      <w:r>
        <w:rPr>
          <w:i/>
          <w:noProof/>
        </w:rPr>
        <w:t>a mereuuringute ja -teadusalaseid partnerlusi kehtivate teadus- ja tehnoloogialepingute alusel, sealhulgas vajaduse korral ookeanialaseid partnerlusi, ning selliste ülemaailmsete liitude raames, mille liige ta on, nagu näiteks Belmonti foorum või Maa Jälgi</w:t>
      </w:r>
      <w:r>
        <w:rPr>
          <w:i/>
          <w:noProof/>
        </w:rPr>
        <w:t>mise Grupp.</w:t>
      </w:r>
    </w:p>
    <w:p w:rsidR="000D0A7C" w:rsidRDefault="009C1AF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Komisjon tugevdab oma tööd Atlandi ookeani alaste teadusuuringute liidus, toetades peamiste osalejatega tehtava tõhustatud merenduskoostöö raamistikke Atlandi ookeani lõunaosas.</w:t>
      </w:r>
    </w:p>
    <w:p w:rsidR="000D0A7C" w:rsidRDefault="009C1AFB">
      <w:pPr>
        <w:pStyle w:val="Text2"/>
        <w:numPr>
          <w:ilvl w:val="0"/>
          <w:numId w:val="30"/>
        </w:numPr>
        <w:pBdr>
          <w:top w:val="single" w:sz="4" w:space="1" w:color="auto"/>
          <w:left w:val="single" w:sz="4" w:space="4" w:color="auto"/>
          <w:bottom w:val="single" w:sz="4" w:space="1" w:color="auto"/>
          <w:right w:val="single" w:sz="4" w:space="4" w:color="auto"/>
        </w:pBdr>
        <w:spacing w:after="120"/>
        <w:ind w:left="851" w:hanging="425"/>
        <w:rPr>
          <w:i/>
          <w:noProof/>
          <w:color w:val="000000" w:themeColor="text1"/>
        </w:rPr>
      </w:pPr>
      <w:r>
        <w:rPr>
          <w:i/>
          <w:noProof/>
          <w:color w:val="000000" w:themeColor="text1"/>
        </w:rPr>
        <w:t>Komisjon teeb pingsamat tööd, et kaasata Vahemere lõunapiirkonna r</w:t>
      </w:r>
      <w:r>
        <w:rPr>
          <w:i/>
          <w:noProof/>
          <w:color w:val="000000" w:themeColor="text1"/>
        </w:rPr>
        <w:t xml:space="preserve">iigid algatusse BLUEMED. </w:t>
      </w:r>
      <w:r>
        <w:rPr>
          <w:i/>
          <w:noProof/>
        </w:rPr>
        <w:t>Samuti suurendab komisjon oma panust teaduse, uuringute ja innovatsiooni valdkonnas Musta mere piirkonnas Musta mere sünergia raames.</w:t>
      </w:r>
    </w:p>
    <w:p w:rsidR="000D0A7C" w:rsidRDefault="000D0A7C">
      <w:pPr>
        <w:pStyle w:val="Heading"/>
        <w:spacing w:after="120"/>
        <w:rPr>
          <w:rStyle w:val="None"/>
          <w:rFonts w:cs="Times New Roman"/>
          <w:b w:val="0"/>
          <w:bCs w:val="0"/>
          <w:smallCaps w:val="0"/>
          <w:noProof/>
          <w:color w:val="000000" w:themeColor="text1"/>
        </w:rPr>
      </w:pPr>
    </w:p>
    <w:p w:rsidR="000D0A7C" w:rsidRDefault="009C1AFB">
      <w:pPr>
        <w:pStyle w:val="Heading"/>
        <w:spacing w:after="120"/>
        <w:rPr>
          <w:rStyle w:val="None"/>
          <w:rFonts w:cs="Times New Roman"/>
          <w:b w:val="0"/>
          <w:bCs w:val="0"/>
          <w:smallCaps w:val="0"/>
          <w:noProof/>
          <w:color w:val="auto"/>
        </w:rPr>
      </w:pPr>
      <w:r>
        <w:rPr>
          <w:rStyle w:val="None"/>
          <w:noProof/>
          <w:color w:val="000000" w:themeColor="text1"/>
        </w:rPr>
        <w:t>5.</w:t>
      </w:r>
      <w:r>
        <w:rPr>
          <w:noProof/>
        </w:rPr>
        <w:tab/>
      </w:r>
      <w:r>
        <w:rPr>
          <w:rStyle w:val="None"/>
          <w:noProof/>
          <w:color w:val="000000" w:themeColor="text1"/>
        </w:rPr>
        <w:t xml:space="preserve">Kokkuvõte </w:t>
      </w:r>
    </w:p>
    <w:p w:rsidR="000D0A7C" w:rsidRDefault="000D0A7C">
      <w:pPr>
        <w:pStyle w:val="Body"/>
        <w:spacing w:after="120"/>
        <w:rPr>
          <w:rFonts w:cs="Times New Roman"/>
          <w:noProof/>
        </w:rPr>
      </w:pPr>
    </w:p>
    <w:p w:rsidR="000D0A7C" w:rsidRDefault="009C1AFB">
      <w:pPr>
        <w:pStyle w:val="Body"/>
        <w:spacing w:after="120"/>
        <w:rPr>
          <w:rFonts w:cs="Times New Roman"/>
          <w:noProof/>
        </w:rPr>
      </w:pPr>
      <w:r>
        <w:rPr>
          <w:noProof/>
        </w:rPr>
        <w:t>ELil on oluline vastutus ookeanide ja merede ees. Tal on oluline roll säästva are</w:t>
      </w:r>
      <w:r>
        <w:rPr>
          <w:noProof/>
        </w:rPr>
        <w:t>ngu eestvedajana, ookeanide majandamise raamistiku ülemaailmse osalejana ja ookeaniressursside kasutajana. EL peaks intensiivistama oma jõupingutusi, et tagada praegustele ja tulevastele põlvkondadele ohutud, turvalised, puhtad ja säästvalt majandatud ooke</w:t>
      </w:r>
      <w:r>
        <w:rPr>
          <w:noProof/>
        </w:rPr>
        <w:t>anid.</w:t>
      </w:r>
    </w:p>
    <w:p w:rsidR="000D0A7C" w:rsidRDefault="009C1AFB">
      <w:pPr>
        <w:pStyle w:val="Text2"/>
        <w:spacing w:after="120"/>
        <w:ind w:left="0"/>
        <w:rPr>
          <w:rFonts w:cs="Times New Roman"/>
          <w:noProof/>
          <w:color w:val="000000" w:themeColor="text1"/>
        </w:rPr>
      </w:pPr>
      <w:r>
        <w:rPr>
          <w:noProof/>
          <w:color w:val="000000" w:themeColor="text1"/>
        </w:rPr>
        <w:t>Komisjon ja kõrge esindaja on kindlalt otsustanud parandada ookeanide majandamist, keskendudes eespool nimetatud esmatähtsatele valdkondadele. Nii saavad nad edendada ELi poliitika ja strateegiate koostoimet, mis võib toetada ookeanide paremat majandamist,</w:t>
      </w:r>
      <w:r>
        <w:rPr>
          <w:noProof/>
          <w:color w:val="000000" w:themeColor="text1"/>
        </w:rPr>
        <w:t xml:space="preserve"> näiteks suurendades merendusjulgeolekut ja soodustades säästvat arengut. </w:t>
      </w:r>
    </w:p>
    <w:p w:rsidR="000D0A7C" w:rsidRDefault="009C1AFB">
      <w:pPr>
        <w:pStyle w:val="Text2"/>
        <w:spacing w:after="120"/>
        <w:ind w:left="0"/>
        <w:rPr>
          <w:rFonts w:cs="Times New Roman"/>
          <w:strike/>
          <w:noProof/>
          <w:color w:val="000000" w:themeColor="text1"/>
        </w:rPr>
      </w:pPr>
      <w:r>
        <w:rPr>
          <w:noProof/>
          <w:color w:val="000000" w:themeColor="text1"/>
        </w:rPr>
        <w:t>Nad teevad koostööd liikmesriikide, rahvusvaheliste organisatsioonide ja partneritega ning piirkondlike organisatsioonide ja sidusrühmadega, et edendada kavandatud meetmeid ja uurid</w:t>
      </w:r>
      <w:r>
        <w:rPr>
          <w:noProof/>
          <w:color w:val="000000" w:themeColor="text1"/>
        </w:rPr>
        <w:t>a täiendavaid viise ja vahendeid rahvusvahelise ookeanide majandamise tugevdamiseks. Koos kõrge esindajaga moodustab komisjon ELi sidusrühmade foorumi, kes tegeleb ookeanide ja meredega kogu maailmas. Foorum toetab kõnealuse algatuse järelmeetmeid ja arend</w:t>
      </w:r>
      <w:r>
        <w:rPr>
          <w:noProof/>
          <w:color w:val="000000" w:themeColor="text1"/>
        </w:rPr>
        <w:t>ab korrapärast dialoogi ELi püüdluste üle parandada ookeanide rahvusvahelist majandamist. Foorumi esimene kohtumine toimub 2017. aastal.</w:t>
      </w:r>
    </w:p>
    <w:p w:rsidR="000D0A7C" w:rsidRDefault="009C1AFB">
      <w:pPr>
        <w:pStyle w:val="Text2"/>
        <w:spacing w:after="120"/>
        <w:ind w:left="0"/>
        <w:rPr>
          <w:rFonts w:cs="Times New Roman"/>
          <w:noProof/>
          <w:color w:val="000000" w:themeColor="text1"/>
        </w:rPr>
      </w:pPr>
      <w:r>
        <w:rPr>
          <w:noProof/>
          <w:color w:val="000000" w:themeColor="text1"/>
        </w:rPr>
        <w:t xml:space="preserve">Komisjon ja kõrge esindaja esitavad aruande eespool nimetatud meetmete edusammude kohta korrapäraste ajavahemike järel </w:t>
      </w:r>
      <w:r>
        <w:rPr>
          <w:noProof/>
          <w:color w:val="000000" w:themeColor="text1"/>
        </w:rPr>
        <w:t>ja esimest korda kahe aasta jooksul pärast käesoleva teatise vastuvõtmist.</w:t>
      </w:r>
    </w:p>
    <w:sectPr w:rsidR="000D0A7C">
      <w:headerReference w:type="even" r:id="rId16"/>
      <w:headerReference w:type="default" r:id="rId17"/>
      <w:footerReference w:type="even" r:id="rId18"/>
      <w:footerReference w:type="default" r:id="rId19"/>
      <w:headerReference w:type="first" r:id="rId20"/>
      <w:footerReference w:type="first" r:id="rId21"/>
      <w:endnotePr>
        <w:numFmt w:val="decimal"/>
      </w:endnotePr>
      <w:pgSz w:w="11900" w:h="16840"/>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7C" w:rsidRDefault="009C1AFB">
      <w:r>
        <w:separator/>
      </w:r>
    </w:p>
  </w:endnote>
  <w:endnote w:type="continuationSeparator" w:id="0">
    <w:p w:rsidR="000D0A7C" w:rsidRDefault="009C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FB" w:rsidRDefault="009C1A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9C1AFB" w:rsidP="009C1AFB">
    <w:pPr>
      <w:pStyle w:val="FooterCoverPage"/>
      <w:numPr>
        <w:ilvl w:val="0"/>
        <w:numId w:val="0"/>
      </w:numPr>
      <w:ind w:left="-850"/>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FB" w:rsidRDefault="009C1AF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0D0A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9C1AFB">
    <w:pPr>
      <w:pStyle w:val="Footer1"/>
      <w:spacing w:before="120"/>
      <w:jc w:val="center"/>
      <w:rPr>
        <w:rFonts w:ascii="Times New Roman" w:hAnsi="Times New Roman" w:cs="Times New Roman"/>
        <w:color w:val="auto"/>
        <w:sz w:val="20"/>
        <w:szCs w:val="20"/>
      </w:rPr>
    </w:pPr>
    <w:r>
      <w:fldChar w:fldCharType="begin"/>
    </w:r>
    <w:r>
      <w:instrText xml:space="preserve"> PAGE </w:instrText>
    </w:r>
    <w:r>
      <w:fldChar w:fldCharType="separate"/>
    </w:r>
    <w:r>
      <w:rPr>
        <w:noProof/>
      </w:rPr>
      <w:t>18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622293"/>
      <w:docPartObj>
        <w:docPartGallery w:val="Page Numbers (Bottom of Page)"/>
        <w:docPartUnique/>
      </w:docPartObj>
    </w:sdtPr>
    <w:sdtEndPr>
      <w:rPr>
        <w:noProof/>
      </w:rPr>
    </w:sdtEndPr>
    <w:sdtContent>
      <w:p w:rsidR="000D0A7C" w:rsidRDefault="009C1AFB">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fldChar w:fldCharType="end"/>
        </w:r>
      </w:p>
    </w:sdtContent>
  </w:sdt>
  <w:p w:rsidR="000D0A7C" w:rsidRDefault="000D0A7C">
    <w:pP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7C" w:rsidRDefault="009C1AFB">
      <w:r>
        <w:separator/>
      </w:r>
    </w:p>
  </w:footnote>
  <w:footnote w:type="continuationSeparator" w:id="0">
    <w:p w:rsidR="000D0A7C" w:rsidRDefault="009C1AFB">
      <w:r>
        <w:continuationSeparator/>
      </w:r>
    </w:p>
  </w:footnote>
  <w:footnote w:id="1">
    <w:p w:rsidR="000D0A7C" w:rsidRDefault="009C1AFB">
      <w:pPr>
        <w:pStyle w:val="FootnoteText"/>
        <w:spacing w:after="0"/>
        <w:ind w:left="142" w:hanging="142"/>
      </w:pPr>
      <w:r>
        <w:rPr>
          <w:vertAlign w:val="superscript"/>
        </w:rPr>
        <w:footnoteRef/>
      </w:r>
      <w:r>
        <w:t xml:space="preserve"> </w:t>
      </w:r>
      <w:r>
        <w:tab/>
        <w:t>„The ocean economy in 2030“, OECD Publishing, Pariis (2016).</w:t>
      </w:r>
    </w:p>
  </w:footnote>
  <w:footnote w:id="2">
    <w:p w:rsidR="000D0A7C" w:rsidRPr="009C1AFB" w:rsidRDefault="009C1AFB">
      <w:pPr>
        <w:pStyle w:val="FootnoteText"/>
        <w:spacing w:after="0"/>
        <w:ind w:left="142" w:hanging="142"/>
      </w:pPr>
      <w:r>
        <w:rPr>
          <w:rStyle w:val="FootnoteReference"/>
        </w:rPr>
        <w:footnoteRef/>
      </w:r>
      <w:r>
        <w:t xml:space="preserve"> „Climate change 2014 – Impacts, adaptation and vulnerability“, v</w:t>
      </w:r>
      <w:r>
        <w:t xml:space="preserve">alitsustevahelise kliimamuutuste rühma (IPCC) töörühma (WGII) viies hindamisaruanne, 6. peatükk. </w:t>
      </w:r>
    </w:p>
  </w:footnote>
  <w:footnote w:id="3">
    <w:p w:rsidR="000D0A7C" w:rsidRDefault="009C1AFB">
      <w:pPr>
        <w:pStyle w:val="FootnoteText"/>
        <w:ind w:left="142" w:hanging="142"/>
      </w:pPr>
      <w:r>
        <w:rPr>
          <w:rStyle w:val="FootnoteReference"/>
        </w:rPr>
        <w:footnoteRef/>
      </w:r>
      <w:r>
        <w:t xml:space="preserve"> </w:t>
      </w:r>
      <w:r>
        <w:tab/>
        <w:t>Ookeanid ja rannikud on lisaks eesmärgile 14 (ookeanid) seotud mitme säästva arengu eesmärgiga, nagu vaesuse kaotamine (eesmärk 1), toiduga kindlustatus ja</w:t>
      </w:r>
      <w:r>
        <w:t xml:space="preserve"> säästev põllumajandus (eesmärk 2), tervishoid (eesmärk 3), puhas vesi ja kanalisatsioon (eesmärk 6), tänapäevane energeetika (eesmärk 7), majanduskasv ja tööhõive (eesmärk 8), kliima (eesmärk 13), ökosüsteemid ja elurikkus (eesmärk 15) ning partnerlus (ee</w:t>
      </w:r>
      <w:r>
        <w:t>smärk 17).</w:t>
      </w:r>
    </w:p>
  </w:footnote>
  <w:footnote w:id="4">
    <w:p w:rsidR="000D0A7C" w:rsidRDefault="009C1AFB">
      <w:pPr>
        <w:pStyle w:val="FootnoteText"/>
        <w:spacing w:after="0"/>
        <w:ind w:left="240" w:hanging="240"/>
      </w:pPr>
      <w:r>
        <w:rPr>
          <w:rStyle w:val="FootnoteReference"/>
        </w:rPr>
        <w:footnoteRef/>
      </w:r>
      <w:r>
        <w:t xml:space="preserve"> </w:t>
      </w:r>
      <w:r>
        <w:tab/>
        <w:t>„Ühtne visioon, ühine tegevus: tugevam Euroopa – Euroopa Liidu üldine välis- ja julgeolekupoliitika strateegia“ (28. juuni 2016).</w:t>
      </w:r>
    </w:p>
  </w:footnote>
  <w:footnote w:id="5">
    <w:p w:rsidR="000D0A7C" w:rsidRDefault="009C1AFB">
      <w:pPr>
        <w:pStyle w:val="FootnoteText"/>
        <w:spacing w:after="0"/>
        <w:ind w:left="240" w:hanging="240"/>
      </w:pPr>
      <w:r>
        <w:rPr>
          <w:rStyle w:val="FootnoteReference"/>
        </w:rPr>
        <w:footnoteRef/>
      </w:r>
      <w:r>
        <w:t xml:space="preserve"> </w:t>
      </w:r>
      <w:r>
        <w:tab/>
      </w:r>
      <w:r>
        <w:t>Nende hulka kuuluvad IMO (laevandus), ISA (meremaardlate kaevandamine), FAO ja piirkondlikud kalandusorganisatsioonid (kalandus), UNEP, mitmepoolsed keskkonnalepingud, piirkondlikud merekonventsioonid ja muud mitmepoolsed keskkonnakokkulepped (merekeskkonn</w:t>
      </w:r>
      <w:r>
        <w:t>a kaitse ja säästev kasutamine) ning UNESCO IOC (merealased teadusuuringud). ÜRO mereõiguse konventsioon sisaldab ka kohtualluvusmehhanismi selle tõlgendamise või kohaldamisega seotud vaidluste kohustuslikuks rahumeelseks lahendamiseks, milleks on Rahvusva</w:t>
      </w:r>
      <w:r>
        <w:t xml:space="preserve">heline Mereõiguse Kohus. </w:t>
      </w:r>
    </w:p>
  </w:footnote>
  <w:footnote w:id="6">
    <w:p w:rsidR="000D0A7C" w:rsidRDefault="009C1AFB">
      <w:pPr>
        <w:pStyle w:val="FootnoteText"/>
        <w:spacing w:after="0"/>
        <w:ind w:left="240" w:hanging="240"/>
      </w:pPr>
      <w:r>
        <w:rPr>
          <w:vertAlign w:val="superscript"/>
        </w:rPr>
        <w:footnoteRef/>
      </w:r>
      <w:r>
        <w:rPr>
          <w:vertAlign w:val="superscript"/>
        </w:rPr>
        <w:t xml:space="preserve"> </w:t>
      </w:r>
      <w:r>
        <w:tab/>
      </w:r>
      <w:r>
        <w:rPr>
          <w:color w:val="000000"/>
        </w:rPr>
        <w:t>http://ec.europa.eu/dgs/maritimeaffairs_fisheries/consultations/ocean-governance/doc/ocean-governance-summary_en.pdf</w:t>
      </w:r>
    </w:p>
  </w:footnote>
  <w:footnote w:id="7">
    <w:p w:rsidR="000D0A7C" w:rsidRDefault="009C1AFB">
      <w:pPr>
        <w:pStyle w:val="FootnoteText"/>
        <w:spacing w:after="0"/>
        <w:ind w:left="240" w:hanging="240"/>
      </w:pPr>
      <w:r>
        <w:rPr>
          <w:rStyle w:val="FootnoteReference"/>
        </w:rPr>
        <w:footnoteRef/>
      </w:r>
      <w:r>
        <w:t xml:space="preserve"> </w:t>
      </w:r>
      <w:r>
        <w:tab/>
        <w:t>ÜRO säästva arengu tegevuskava aastani 2030, säästva arengu eesmärk 14.5, ja strateegiline kava aastateks 2</w:t>
      </w:r>
      <w:r>
        <w:t>011–2020, Aichi bioloogilise mitmekesisuse eesmärk 11.</w:t>
      </w:r>
    </w:p>
  </w:footnote>
  <w:footnote w:id="8">
    <w:p w:rsidR="000D0A7C" w:rsidRDefault="009C1AFB">
      <w:pPr>
        <w:pStyle w:val="FootnoteText"/>
        <w:spacing w:after="0"/>
        <w:ind w:left="240" w:hanging="240"/>
      </w:pPr>
      <w:r>
        <w:rPr>
          <w:rStyle w:val="FootnoteReference"/>
        </w:rPr>
        <w:footnoteRef/>
      </w:r>
      <w:r>
        <w:t xml:space="preserve"> </w:t>
      </w:r>
      <w:r>
        <w:tab/>
      </w:r>
      <w:r>
        <w:rPr>
          <w:rStyle w:val="None"/>
        </w:rPr>
        <w:t xml:space="preserve">Näiteks bioloogilise mitmekesisuse konventsioon / Rahvusvaheline Mereorganisatsioon, ÜRO Toidu- ja Põllumajandusorganisatsioon / piirkondlikud kalandusorganisatsioonid </w:t>
      </w:r>
      <w:r>
        <w:rPr>
          <w:rStyle w:val="st"/>
        </w:rPr>
        <w:t xml:space="preserve">/ ohustatud looduslike looma- </w:t>
      </w:r>
      <w:r>
        <w:rPr>
          <w:rStyle w:val="st"/>
        </w:rPr>
        <w:t xml:space="preserve">ja taimeliikidega rahvusvahelise kauplemise konventsioon </w:t>
      </w:r>
      <w:r>
        <w:rPr>
          <w:rStyle w:val="None"/>
        </w:rPr>
        <w:t>/ bioloogilise mitmekesisuse konventsioon.</w:t>
      </w:r>
    </w:p>
  </w:footnote>
  <w:footnote w:id="9">
    <w:p w:rsidR="000D0A7C" w:rsidRDefault="009C1AFB">
      <w:pPr>
        <w:autoSpaceDE w:val="0"/>
        <w:autoSpaceDN w:val="0"/>
        <w:adjustRightInd w:val="0"/>
        <w:ind w:left="284" w:hanging="284"/>
        <w:rPr>
          <w:sz w:val="20"/>
          <w:szCs w:val="20"/>
        </w:rPr>
      </w:pPr>
      <w:r>
        <w:rPr>
          <w:rStyle w:val="FootnoteReference"/>
          <w:sz w:val="20"/>
          <w:szCs w:val="20"/>
        </w:rPr>
        <w:footnoteRef/>
      </w:r>
      <w:r>
        <w:rPr>
          <w:sz w:val="20"/>
          <w:szCs w:val="20"/>
        </w:rPr>
        <w:t xml:space="preserve"> </w:t>
      </w:r>
      <w:r>
        <w:rPr>
          <w:sz w:val="20"/>
          <w:szCs w:val="20"/>
        </w:rPr>
        <w:tab/>
        <w:t>Euroopa Liidu merendusjulgeoleku strateegia, 11205/14, mis võeti vastu üldasjade nõukogus 24. juunil 2014.</w:t>
      </w:r>
    </w:p>
  </w:footnote>
  <w:footnote w:id="10">
    <w:p w:rsidR="000D0A7C" w:rsidRDefault="009C1AFB">
      <w:pPr>
        <w:pStyle w:val="FootnoteText"/>
        <w:spacing w:after="0"/>
        <w:ind w:left="284" w:hanging="284"/>
      </w:pPr>
      <w:r>
        <w:rPr>
          <w:rStyle w:val="FootnoteReference"/>
        </w:rPr>
        <w:footnoteRef/>
      </w:r>
      <w:r>
        <w:t xml:space="preserve"> </w:t>
      </w:r>
      <w:r>
        <w:tab/>
        <w:t xml:space="preserve">Euroopa Liidu Guinea lahe strateegia, mis </w:t>
      </w:r>
      <w:r>
        <w:t>võeti vastu välisasjade nõukogus 17. märtsil 2014. Aafrika Sarve jaoks kavandatud Euroopa Liidu strateegiline raamistik, mis võeti vastu välisasjade nõukogus 14. novembril 2011.</w:t>
      </w:r>
    </w:p>
  </w:footnote>
  <w:footnote w:id="11">
    <w:p w:rsidR="000D0A7C" w:rsidRDefault="009C1AFB">
      <w:pPr>
        <w:pStyle w:val="FootnoteText"/>
        <w:spacing w:after="0"/>
        <w:ind w:left="284" w:hanging="284"/>
      </w:pPr>
      <w:r>
        <w:rPr>
          <w:rStyle w:val="FootnoteReference"/>
        </w:rPr>
        <w:footnoteRef/>
      </w:r>
      <w:r>
        <w:t xml:space="preserve"> </w:t>
      </w:r>
      <w:r>
        <w:tab/>
        <w:t>Guinea lahe (Senegalist Angolani) kohta töötas Euroopa Liit 2014. aastal vä</w:t>
      </w:r>
      <w:r>
        <w:t>lja strateegia ja 2015. aastal tegevuskava, võttes aluseks tervikliku lähenemisviisi, et toetada Aafrika riikide juhitavat Yaoundé protsessi, mille kohta tegid otsuse Lääne- ja Kesk-Aafrika riigipead 2013. aasta juunis.</w:t>
      </w:r>
    </w:p>
  </w:footnote>
  <w:footnote w:id="12">
    <w:p w:rsidR="000D0A7C" w:rsidRDefault="009C1AFB">
      <w:pPr>
        <w:pStyle w:val="FootnoteText"/>
        <w:ind w:left="426" w:hanging="426"/>
      </w:pPr>
      <w:r>
        <w:rPr>
          <w:rStyle w:val="FootnoteReference"/>
        </w:rPr>
        <w:footnoteRef/>
      </w:r>
      <w:r>
        <w:t xml:space="preserve"> Ühisteatis „Euroopa Liidu integree</w:t>
      </w:r>
      <w:r>
        <w:t>ritud Arktika-poliitika“, JOIN(2016) 21 (final).</w:t>
      </w:r>
    </w:p>
  </w:footnote>
  <w:footnote w:id="13">
    <w:p w:rsidR="000D0A7C" w:rsidRDefault="009C1AFB">
      <w:pPr>
        <w:pStyle w:val="FootnoteText"/>
        <w:spacing w:after="0"/>
        <w:ind w:left="240" w:hanging="240"/>
      </w:pPr>
      <w:r>
        <w:rPr>
          <w:rStyle w:val="FootnoteReference"/>
        </w:rPr>
        <w:footnoteRef/>
      </w:r>
      <w:r>
        <w:t xml:space="preserve"> Nt Rahvusvaheline Süvamerepõhja Organisatsioon, ohustatud liikidega rahvusvahelise kauplemise konventsioon, ÜRO Keskkonnaprogramm, Majanduskoostöö ja Arengu Organisatsioon ning Maailma Kaubandusorganisatsi</w:t>
      </w:r>
      <w:r>
        <w:t>oon.</w:t>
      </w:r>
    </w:p>
  </w:footnote>
  <w:footnote w:id="14">
    <w:p w:rsidR="000D0A7C" w:rsidRDefault="009C1AFB">
      <w:pPr>
        <w:pStyle w:val="Text2"/>
        <w:tabs>
          <w:tab w:val="clear" w:pos="2302"/>
        </w:tabs>
        <w:spacing w:after="0"/>
        <w:ind w:left="240" w:hanging="240"/>
        <w:rPr>
          <w:i/>
          <w:color w:val="auto"/>
          <w:sz w:val="20"/>
          <w:szCs w:val="20"/>
        </w:rPr>
      </w:pPr>
      <w:r>
        <w:rPr>
          <w:rStyle w:val="FootnoteReference"/>
          <w:sz w:val="20"/>
        </w:rPr>
        <w:footnoteRef/>
      </w:r>
      <w:r>
        <w:rPr>
          <w:sz w:val="20"/>
        </w:rPr>
        <w:t xml:space="preserve"> </w:t>
      </w:r>
      <w:r>
        <w:tab/>
      </w:r>
      <w:r>
        <w:rPr>
          <w:i/>
          <w:color w:val="auto"/>
          <w:sz w:val="20"/>
        </w:rPr>
        <w:t xml:space="preserve">CBD COP XII/23; </w:t>
      </w:r>
    </w:p>
    <w:p w:rsidR="000D0A7C" w:rsidRDefault="009C1AFB">
      <w:pPr>
        <w:pStyle w:val="Text2"/>
        <w:tabs>
          <w:tab w:val="clear" w:pos="2302"/>
          <w:tab w:val="left" w:pos="284"/>
        </w:tabs>
        <w:spacing w:after="0"/>
        <w:ind w:left="284"/>
        <w:rPr>
          <w:sz w:val="20"/>
          <w:szCs w:val="20"/>
        </w:rPr>
      </w:pPr>
      <w:hyperlink r:id="rId1">
        <w:r>
          <w:rPr>
            <w:rStyle w:val="Hyperlink"/>
            <w:sz w:val="20"/>
          </w:rPr>
          <w:t>https://www.cbd.int/decision/cop/default.shtml?id=13386</w:t>
        </w:r>
      </w:hyperlink>
    </w:p>
  </w:footnote>
  <w:footnote w:id="15">
    <w:p w:rsidR="000D0A7C" w:rsidRDefault="009C1AFB">
      <w:pPr>
        <w:pStyle w:val="FootnoteText"/>
        <w:spacing w:after="0"/>
        <w:ind w:left="240" w:hanging="240"/>
      </w:pPr>
      <w:r>
        <w:rPr>
          <w:rStyle w:val="FootnoteReference"/>
        </w:rPr>
        <w:footnoteRef/>
      </w:r>
      <w:r>
        <w:t xml:space="preserve"> </w:t>
      </w:r>
      <w:r>
        <w:tab/>
        <w:t>https://cites.org/eng/res/index.php</w:t>
      </w:r>
    </w:p>
  </w:footnote>
  <w:footnote w:id="16">
    <w:p w:rsidR="000D0A7C" w:rsidRDefault="009C1AFB">
      <w:pPr>
        <w:pStyle w:val="FootnoteText"/>
        <w:spacing w:after="0"/>
        <w:ind w:left="240" w:hanging="240"/>
      </w:pPr>
      <w:r>
        <w:rPr>
          <w:rStyle w:val="FootnoteReference"/>
        </w:rPr>
        <w:footnoteRef/>
      </w:r>
      <w:r>
        <w:t xml:space="preserve"> Muu hulgas IMO 1995. aasta rahvusvaheline konventsioon, mis</w:t>
      </w:r>
      <w:r>
        <w:t xml:space="preserve"> käsitleb kalalaevade töötajate väljaõpet, diplomeerimist ja vahiteenistuse aluseid (STCW-F).</w:t>
      </w:r>
    </w:p>
  </w:footnote>
  <w:footnote w:id="17">
    <w:p w:rsidR="000D0A7C" w:rsidRDefault="009C1AFB">
      <w:pPr>
        <w:pStyle w:val="FootnoteText"/>
        <w:spacing w:after="0"/>
        <w:ind w:left="240" w:hanging="240"/>
      </w:pPr>
      <w:r>
        <w:rPr>
          <w:rStyle w:val="FootnoteReference"/>
        </w:rPr>
        <w:footnoteRef/>
      </w:r>
      <w:r>
        <w:t xml:space="preserve"> See hõlmab järgmist: töötada merendusjulgeoleku küsimustes välja kooskõlastatud lähenemisviis rahvusvahelistel foorumitel (nt ÜRO, G7 ja G20) ja kõrgetasemelist</w:t>
      </w:r>
      <w:r>
        <w:t xml:space="preserve">e dialoogide kaudu; tugevdada ja toetada ELi piirkondlikke lahendusi merendusvaldkonnas (nt India ookeanis läbiviidav piraatlusvastane operatsioon Atalanta ning operatsioon EUNAVFOR MED SOPHIA Vahemerel inimkaubanduse ja inimeste ebaseaduslikult üle piiri </w:t>
      </w:r>
      <w:r>
        <w:t>toimetamise vastu võitlemiseks); ja suurendada merendusjulgeolekuga seotud suutlikkust koos ELi mittekuuluvate riikide ja piirkondlike organisatsioonidega.</w:t>
      </w:r>
    </w:p>
  </w:footnote>
  <w:footnote w:id="18">
    <w:p w:rsidR="000D0A7C" w:rsidRDefault="009C1AFB">
      <w:pPr>
        <w:pStyle w:val="FootnoteText"/>
        <w:spacing w:after="0"/>
        <w:ind w:left="284" w:hanging="284"/>
      </w:pPr>
      <w:r>
        <w:rPr>
          <w:rStyle w:val="FootnoteReference"/>
        </w:rPr>
        <w:footnoteRef/>
      </w:r>
      <w:r>
        <w:t xml:space="preserve"> </w:t>
      </w:r>
      <w:r>
        <w:tab/>
      </w:r>
      <w:r>
        <w:rPr>
          <w:color w:val="000000"/>
        </w:rPr>
        <w:t>Määrus (EL) 2016/1624, mis käsitleb Euroopa piiri- ja rannikuvalvet ning millega muudetakse määru</w:t>
      </w:r>
      <w:r>
        <w:rPr>
          <w:color w:val="000000"/>
        </w:rPr>
        <w:t>st (EL) 2016/399 ning tunnistatakse kehtetuks määrus (EÜ) nr 863/2007, nõukogu määrus (EÜ) nr 2007/2004 ning nõukogu otsus 2005/267/EÜ.</w:t>
      </w:r>
    </w:p>
  </w:footnote>
  <w:footnote w:id="19">
    <w:p w:rsidR="000D0A7C" w:rsidRDefault="009C1AFB">
      <w:pPr>
        <w:pStyle w:val="FootnoteText"/>
      </w:pPr>
      <w:r>
        <w:rPr>
          <w:rStyle w:val="FootnoteReference"/>
        </w:rPr>
        <w:footnoteRef/>
      </w:r>
      <w:r>
        <w:t xml:space="preserve"> Rahvusvaheline laevade põhjustatava merereostuse vältimise konventsioon; MARPOL 73/78.</w:t>
      </w:r>
    </w:p>
  </w:footnote>
  <w:footnote w:id="20">
    <w:p w:rsidR="000D0A7C" w:rsidRDefault="009C1AFB">
      <w:pPr>
        <w:pStyle w:val="FootnoteText"/>
      </w:pPr>
      <w:r>
        <w:rPr>
          <w:rStyle w:val="FootnoteReference"/>
        </w:rPr>
        <w:footnoteRef/>
      </w:r>
      <w:r>
        <w:t xml:space="preserve"> COM(2015) 636 (final).</w:t>
      </w:r>
    </w:p>
  </w:footnote>
  <w:footnote w:id="21">
    <w:p w:rsidR="000D0A7C" w:rsidRDefault="009C1AFB">
      <w:pPr>
        <w:pStyle w:val="FootnoteText"/>
        <w:tabs>
          <w:tab w:val="left" w:pos="284"/>
        </w:tabs>
        <w:spacing w:after="0"/>
        <w:ind w:left="284" w:hanging="284"/>
      </w:pPr>
      <w:r>
        <w:rPr>
          <w:rStyle w:val="FootnoteReference"/>
        </w:rPr>
        <w:footnoteRef/>
      </w:r>
      <w:r>
        <w:t xml:space="preserve"> Euro</w:t>
      </w:r>
      <w:r>
        <w:t>opa Parlamendi ja nõukogu 27. novembri 2000. aasta direktiiv 2000/59/EÜ laevaheitmete ja lastijäätmete vastuvõtmise seadmete kohta sadamates.</w:t>
      </w:r>
    </w:p>
  </w:footnote>
  <w:footnote w:id="22">
    <w:p w:rsidR="000D0A7C" w:rsidRDefault="009C1AFB">
      <w:pPr>
        <w:pStyle w:val="FootnoteText"/>
        <w:spacing w:after="0"/>
        <w:ind w:left="284" w:hanging="284"/>
      </w:pPr>
      <w:r>
        <w:rPr>
          <w:rStyle w:val="FootnoteReference"/>
        </w:rPr>
        <w:footnoteRef/>
      </w:r>
      <w:r>
        <w:t xml:space="preserve"> </w:t>
      </w:r>
      <w:r>
        <w:tab/>
        <w:t>ELi 2014. aasta mereruumi planeerimise direktiivis, 2008. aasta teatises ELi lähenemisviisi kohta mereruumi pla</w:t>
      </w:r>
      <w:r>
        <w:t>neerimisele ja UNESCO suunistes mereruumi planeerimise kohta on esitatud mitmeid meetmeid, mis toetavad mereruumi planeerimise arendamist.</w:t>
      </w:r>
    </w:p>
  </w:footnote>
  <w:footnote w:id="23">
    <w:p w:rsidR="000D0A7C" w:rsidRDefault="009C1AFB">
      <w:pPr>
        <w:pStyle w:val="FootnoteText"/>
        <w:spacing w:after="0"/>
      </w:pPr>
      <w:r>
        <w:rPr>
          <w:rStyle w:val="FootnoteReference"/>
        </w:rPr>
        <w:footnoteRef/>
      </w:r>
      <w:r>
        <w:t xml:space="preserve"> O</w:t>
      </w:r>
      <w:r>
        <w:rPr>
          <w:rStyle w:val="Link1"/>
          <w:color w:val="000000"/>
          <w:u w:val="none" w:color="000000"/>
        </w:rPr>
        <w:t>ECD. (2016), „The Ocean Economy in 2030“, OECD Publishing, Paris.</w:t>
      </w:r>
    </w:p>
  </w:footnote>
  <w:footnote w:id="24">
    <w:p w:rsidR="000D0A7C" w:rsidRDefault="009C1AFB">
      <w:pPr>
        <w:pStyle w:val="FootnoteText"/>
        <w:spacing w:after="0"/>
        <w:ind w:left="240" w:hanging="240"/>
      </w:pPr>
      <w:r>
        <w:rPr>
          <w:rStyle w:val="FootnoteReference"/>
        </w:rPr>
        <w:footnoteRef/>
      </w:r>
      <w:r>
        <w:t xml:space="preserve"> Piirkondlikud kalandusorganisatsioonid, merekaitsealasid käsitlevad piirkondlikud merekonventsioonid (Kirde-Atlandi merekeskkonna kaitse konventsioon – OSPARi konventsioon), IMO eriti tundliku merepiirkonna puhul. Väljaspool riiklikku jurisdiktsiooni olev</w:t>
      </w:r>
      <w:r>
        <w:t>atel aladel asuvaid merekaitsealasid käsitlevad arutelud on osa merekeskkonna elurikkuse kaitse ja säästva kasutamise läbirääkimistest.</w:t>
      </w:r>
    </w:p>
  </w:footnote>
  <w:footnote w:id="25">
    <w:p w:rsidR="000D0A7C" w:rsidRDefault="009C1AFB">
      <w:pPr>
        <w:pStyle w:val="FootnoteText"/>
        <w:spacing w:after="0"/>
        <w:ind w:left="426" w:hanging="426"/>
      </w:pPr>
      <w:r>
        <w:rPr>
          <w:rStyle w:val="FootnoteReference"/>
        </w:rPr>
        <w:footnoteRef/>
      </w:r>
      <w:r>
        <w:t xml:space="preserve"> Kaasa arvatud ELi rahastatavad projektid, nagu Euroopa Parlamendi katseprojekt merekaitselade Atlandi-ülese koostöö ko</w:t>
      </w:r>
      <w:r>
        <w:t>hta</w:t>
      </w:r>
      <w:r>
        <w:rPr>
          <w:rStyle w:val="Hyperlink"/>
          <w:u w:val="none"/>
        </w:rPr>
        <w:t>.</w:t>
      </w:r>
    </w:p>
  </w:footnote>
  <w:footnote w:id="26">
    <w:p w:rsidR="000D0A7C" w:rsidRDefault="009C1AFB">
      <w:pPr>
        <w:pStyle w:val="FootnoteText"/>
        <w:spacing w:after="0"/>
        <w:ind w:left="426" w:hanging="426"/>
      </w:pPr>
      <w:r>
        <w:rPr>
          <w:rStyle w:val="FootnoteReference"/>
        </w:rPr>
        <w:footnoteRef/>
      </w:r>
      <w:r>
        <w:t xml:space="preserve"> </w:t>
      </w:r>
      <w:hyperlink r:id="rId2">
        <w:r>
          <w:rPr>
            <w:rStyle w:val="Hyperlink"/>
          </w:rPr>
          <w:t>http://www.japan.go.jp/g7/_userdata/common/data/20160517communique.pdf</w:t>
        </w:r>
      </w:hyperlink>
      <w:r>
        <w:rPr>
          <w:rStyle w:val="Hyperlink"/>
        </w:rPr>
        <w:t xml:space="preserve"> </w:t>
      </w:r>
    </w:p>
  </w:footnote>
  <w:footnote w:id="27">
    <w:p w:rsidR="000D0A7C" w:rsidRDefault="009C1AFB">
      <w:pPr>
        <w:pStyle w:val="FootnoteText"/>
        <w:ind w:left="426" w:hanging="426"/>
      </w:pPr>
      <w:r>
        <w:rPr>
          <w:rStyle w:val="FootnoteReference"/>
        </w:rPr>
        <w:footnoteRef/>
      </w:r>
      <w:r>
        <w:t xml:space="preserve"> Teatis „Euroopa digitaalse ühtse turu strateegia” (COM(2015) 192, 6. mai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FB" w:rsidRDefault="009C1A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FB" w:rsidRDefault="009C1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AFB" w:rsidRDefault="009C1A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0D0A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0D0A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7C" w:rsidRDefault="000D0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FD"/>
    <w:multiLevelType w:val="hybridMultilevel"/>
    <w:tmpl w:val="42E6F868"/>
    <w:lvl w:ilvl="0" w:tplc="7700CA86">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C04C32"/>
    <w:multiLevelType w:val="hybridMultilevel"/>
    <w:tmpl w:val="A8E848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76326"/>
    <w:multiLevelType w:val="hybridMultilevel"/>
    <w:tmpl w:val="CAA6B810"/>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626ABC"/>
    <w:multiLevelType w:val="hybridMultilevel"/>
    <w:tmpl w:val="1C680FB6"/>
    <w:lvl w:ilvl="0" w:tplc="2C341E0C">
      <w:start w:val="1"/>
      <w:numFmt w:val="bullet"/>
      <w:lvlText w:val="-"/>
      <w:lvlJc w:val="left"/>
      <w:pPr>
        <w:ind w:left="1922" w:hanging="360"/>
      </w:pPr>
      <w:rPr>
        <w:rFonts w:ascii="SimSun" w:eastAsia="SimSun" w:hAnsi="SimSun" w:hint="eastAsia"/>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5F22FF"/>
    <w:multiLevelType w:val="hybridMultilevel"/>
    <w:tmpl w:val="4BBE2E4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Arial Unicode M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Unicode MS"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Unicode MS"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8393C96"/>
    <w:multiLevelType w:val="hybridMultilevel"/>
    <w:tmpl w:val="D1B483F0"/>
    <w:lvl w:ilvl="0" w:tplc="26B419E0">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D36951"/>
    <w:multiLevelType w:val="hybridMultilevel"/>
    <w:tmpl w:val="2C922300"/>
    <w:lvl w:ilvl="0" w:tplc="42CABBA8">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1C3F47"/>
    <w:multiLevelType w:val="multilevel"/>
    <w:tmpl w:val="ADEA9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1B95425"/>
    <w:multiLevelType w:val="hybridMultilevel"/>
    <w:tmpl w:val="CF06D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6D42F2C"/>
    <w:multiLevelType w:val="hybridMultilevel"/>
    <w:tmpl w:val="F1FCF680"/>
    <w:lvl w:ilvl="0" w:tplc="08090009">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15049B"/>
    <w:multiLevelType w:val="hybridMultilevel"/>
    <w:tmpl w:val="DF5E9A44"/>
    <w:lvl w:ilvl="0" w:tplc="B896F8E4">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C437E"/>
    <w:multiLevelType w:val="hybridMultilevel"/>
    <w:tmpl w:val="50C4C7F6"/>
    <w:lvl w:ilvl="0" w:tplc="B1FECA82">
      <w:numFmt w:val="bullet"/>
      <w:lvlText w:val="-"/>
      <w:lvlJc w:val="left"/>
      <w:pPr>
        <w:ind w:left="720" w:hanging="360"/>
      </w:pPr>
      <w:rPr>
        <w:rFonts w:ascii="SimSun" w:eastAsia="SimSun" w:hAnsi="SimSun" w:cs="Times New Roman" w:hint="default"/>
      </w:rPr>
    </w:lvl>
    <w:lvl w:ilvl="1" w:tplc="F4C024B6">
      <w:start w:val="1"/>
      <w:numFmt w:val="bullet"/>
      <w:lvlText w:val="o"/>
      <w:lvlJc w:val="left"/>
      <w:pPr>
        <w:ind w:left="1440" w:hanging="360"/>
      </w:pPr>
      <w:rPr>
        <w:rFonts w:ascii="Courier New" w:hAnsi="Courier New" w:cs="Arial Unicode MS" w:hint="default"/>
      </w:rPr>
    </w:lvl>
    <w:lvl w:ilvl="2" w:tplc="CC44C4D4" w:tentative="1">
      <w:start w:val="1"/>
      <w:numFmt w:val="bullet"/>
      <w:lvlText w:val=""/>
      <w:lvlJc w:val="left"/>
      <w:pPr>
        <w:ind w:left="2160" w:hanging="360"/>
      </w:pPr>
      <w:rPr>
        <w:rFonts w:ascii="Wingdings" w:hAnsi="Wingdings" w:hint="default"/>
      </w:rPr>
    </w:lvl>
    <w:lvl w:ilvl="3" w:tplc="859E79F8" w:tentative="1">
      <w:start w:val="1"/>
      <w:numFmt w:val="bullet"/>
      <w:lvlText w:val=""/>
      <w:lvlJc w:val="left"/>
      <w:pPr>
        <w:ind w:left="2880" w:hanging="360"/>
      </w:pPr>
      <w:rPr>
        <w:rFonts w:ascii="Symbol" w:hAnsi="Symbol" w:hint="default"/>
      </w:rPr>
    </w:lvl>
    <w:lvl w:ilvl="4" w:tplc="81AE9488" w:tentative="1">
      <w:start w:val="1"/>
      <w:numFmt w:val="bullet"/>
      <w:lvlText w:val="o"/>
      <w:lvlJc w:val="left"/>
      <w:pPr>
        <w:ind w:left="3600" w:hanging="360"/>
      </w:pPr>
      <w:rPr>
        <w:rFonts w:ascii="Courier New" w:hAnsi="Courier New" w:cs="Arial Unicode MS" w:hint="default"/>
      </w:rPr>
    </w:lvl>
    <w:lvl w:ilvl="5" w:tplc="9A1CA60A" w:tentative="1">
      <w:start w:val="1"/>
      <w:numFmt w:val="bullet"/>
      <w:lvlText w:val=""/>
      <w:lvlJc w:val="left"/>
      <w:pPr>
        <w:ind w:left="4320" w:hanging="360"/>
      </w:pPr>
      <w:rPr>
        <w:rFonts w:ascii="Wingdings" w:hAnsi="Wingdings" w:hint="default"/>
      </w:rPr>
    </w:lvl>
    <w:lvl w:ilvl="6" w:tplc="3DE261CE" w:tentative="1">
      <w:start w:val="1"/>
      <w:numFmt w:val="bullet"/>
      <w:lvlText w:val=""/>
      <w:lvlJc w:val="left"/>
      <w:pPr>
        <w:ind w:left="5040" w:hanging="360"/>
      </w:pPr>
      <w:rPr>
        <w:rFonts w:ascii="Symbol" w:hAnsi="Symbol" w:hint="default"/>
      </w:rPr>
    </w:lvl>
    <w:lvl w:ilvl="7" w:tplc="AE7AF702" w:tentative="1">
      <w:start w:val="1"/>
      <w:numFmt w:val="bullet"/>
      <w:lvlText w:val="o"/>
      <w:lvlJc w:val="left"/>
      <w:pPr>
        <w:ind w:left="5760" w:hanging="360"/>
      </w:pPr>
      <w:rPr>
        <w:rFonts w:ascii="Courier New" w:hAnsi="Courier New" w:cs="Arial Unicode MS" w:hint="default"/>
      </w:rPr>
    </w:lvl>
    <w:lvl w:ilvl="8" w:tplc="AD18E73E" w:tentative="1">
      <w:start w:val="1"/>
      <w:numFmt w:val="bullet"/>
      <w:lvlText w:val=""/>
      <w:lvlJc w:val="left"/>
      <w:pPr>
        <w:ind w:left="6480" w:hanging="360"/>
      </w:pPr>
      <w:rPr>
        <w:rFonts w:ascii="Wingdings" w:hAnsi="Wingdings" w:hint="default"/>
      </w:rPr>
    </w:lvl>
  </w:abstractNum>
  <w:abstractNum w:abstractNumId="14">
    <w:nsid w:val="4A4802A3"/>
    <w:multiLevelType w:val="hybridMultilevel"/>
    <w:tmpl w:val="5502A2AE"/>
    <w:lvl w:ilvl="0" w:tplc="70608BDE">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E589C"/>
    <w:multiLevelType w:val="hybridMultilevel"/>
    <w:tmpl w:val="C036512A"/>
    <w:lvl w:ilvl="0" w:tplc="4A2262C2">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67E80"/>
    <w:multiLevelType w:val="hybridMultilevel"/>
    <w:tmpl w:val="B51A2A3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579A6E67"/>
    <w:multiLevelType w:val="hybridMultilevel"/>
    <w:tmpl w:val="57028406"/>
    <w:lvl w:ilvl="0" w:tplc="3DA68A02">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nsid w:val="5FF6255C"/>
    <w:multiLevelType w:val="multilevel"/>
    <w:tmpl w:val="2444A23A"/>
    <w:lvl w:ilvl="0">
      <w:numFmt w:val="decimal"/>
      <w:pStyle w:val="FooterCoverPag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CB5E7E"/>
    <w:multiLevelType w:val="hybridMultilevel"/>
    <w:tmpl w:val="C56AE55E"/>
    <w:lvl w:ilvl="0" w:tplc="A584289C">
      <w:start w:val="1"/>
      <w:numFmt w:val="bullet"/>
      <w:lvlText w:val=""/>
      <w:lvlJc w:val="left"/>
      <w:pPr>
        <w:ind w:left="720" w:hanging="360"/>
      </w:pPr>
      <w:rPr>
        <w:rFonts w:ascii="Symbol" w:hAnsi="Symbol" w:hint="default"/>
      </w:rPr>
    </w:lvl>
    <w:lvl w:ilvl="1" w:tplc="45E277B6" w:tentative="1">
      <w:start w:val="1"/>
      <w:numFmt w:val="bullet"/>
      <w:lvlText w:val="o"/>
      <w:lvlJc w:val="left"/>
      <w:pPr>
        <w:ind w:left="1440" w:hanging="360"/>
      </w:pPr>
      <w:rPr>
        <w:rFonts w:ascii="Courier New" w:hAnsi="Courier New" w:cs="Arial Unicode MS" w:hint="default"/>
      </w:rPr>
    </w:lvl>
    <w:lvl w:ilvl="2" w:tplc="F48661A2" w:tentative="1">
      <w:start w:val="1"/>
      <w:numFmt w:val="bullet"/>
      <w:lvlText w:val=""/>
      <w:lvlJc w:val="left"/>
      <w:pPr>
        <w:ind w:left="2160" w:hanging="360"/>
      </w:pPr>
      <w:rPr>
        <w:rFonts w:ascii="Wingdings" w:hAnsi="Wingdings" w:hint="default"/>
      </w:rPr>
    </w:lvl>
    <w:lvl w:ilvl="3" w:tplc="1B4CA752" w:tentative="1">
      <w:start w:val="1"/>
      <w:numFmt w:val="bullet"/>
      <w:lvlText w:val=""/>
      <w:lvlJc w:val="left"/>
      <w:pPr>
        <w:ind w:left="2880" w:hanging="360"/>
      </w:pPr>
      <w:rPr>
        <w:rFonts w:ascii="Symbol" w:hAnsi="Symbol" w:hint="default"/>
      </w:rPr>
    </w:lvl>
    <w:lvl w:ilvl="4" w:tplc="7BA6158C" w:tentative="1">
      <w:start w:val="1"/>
      <w:numFmt w:val="bullet"/>
      <w:lvlText w:val="o"/>
      <w:lvlJc w:val="left"/>
      <w:pPr>
        <w:ind w:left="3600" w:hanging="360"/>
      </w:pPr>
      <w:rPr>
        <w:rFonts w:ascii="Courier New" w:hAnsi="Courier New" w:cs="Arial Unicode MS" w:hint="default"/>
      </w:rPr>
    </w:lvl>
    <w:lvl w:ilvl="5" w:tplc="0764D298" w:tentative="1">
      <w:start w:val="1"/>
      <w:numFmt w:val="bullet"/>
      <w:lvlText w:val=""/>
      <w:lvlJc w:val="left"/>
      <w:pPr>
        <w:ind w:left="4320" w:hanging="360"/>
      </w:pPr>
      <w:rPr>
        <w:rFonts w:ascii="Wingdings" w:hAnsi="Wingdings" w:hint="default"/>
      </w:rPr>
    </w:lvl>
    <w:lvl w:ilvl="6" w:tplc="AB685F1A" w:tentative="1">
      <w:start w:val="1"/>
      <w:numFmt w:val="bullet"/>
      <w:lvlText w:val=""/>
      <w:lvlJc w:val="left"/>
      <w:pPr>
        <w:ind w:left="5040" w:hanging="360"/>
      </w:pPr>
      <w:rPr>
        <w:rFonts w:ascii="Symbol" w:hAnsi="Symbol" w:hint="default"/>
      </w:rPr>
    </w:lvl>
    <w:lvl w:ilvl="7" w:tplc="002A8BC2" w:tentative="1">
      <w:start w:val="1"/>
      <w:numFmt w:val="bullet"/>
      <w:lvlText w:val="o"/>
      <w:lvlJc w:val="left"/>
      <w:pPr>
        <w:ind w:left="5760" w:hanging="360"/>
      </w:pPr>
      <w:rPr>
        <w:rFonts w:ascii="Courier New" w:hAnsi="Courier New" w:cs="Arial Unicode MS" w:hint="default"/>
      </w:rPr>
    </w:lvl>
    <w:lvl w:ilvl="8" w:tplc="064A9042" w:tentative="1">
      <w:start w:val="1"/>
      <w:numFmt w:val="bullet"/>
      <w:lvlText w:val=""/>
      <w:lvlJc w:val="left"/>
      <w:pPr>
        <w:ind w:left="6480" w:hanging="360"/>
      </w:pPr>
      <w:rPr>
        <w:rFonts w:ascii="Wingdings" w:hAnsi="Wingdings" w:hint="default"/>
      </w:rPr>
    </w:lvl>
  </w:abstractNum>
  <w:abstractNum w:abstractNumId="21">
    <w:nsid w:val="7337467B"/>
    <w:multiLevelType w:val="hybridMultilevel"/>
    <w:tmpl w:val="2C949AAA"/>
    <w:lvl w:ilvl="0" w:tplc="0809000B">
      <w:start w:val="1"/>
      <w:numFmt w:val="bullet"/>
      <w:lvlText w:val=""/>
      <w:lvlJc w:val="left"/>
      <w:pPr>
        <w:ind w:left="720" w:hanging="360"/>
      </w:pPr>
      <w:rPr>
        <w:rFonts w:ascii="Wingdings" w:hAnsi="Wingdings" w:hint="default"/>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623BC2"/>
    <w:multiLevelType w:val="hybridMultilevel"/>
    <w:tmpl w:val="40E28D62"/>
    <w:lvl w:ilvl="0" w:tplc="917EF294">
      <w:numFmt w:val="bullet"/>
      <w:lvlText w:val="-"/>
      <w:lvlJc w:val="left"/>
      <w:pPr>
        <w:ind w:left="720" w:hanging="360"/>
      </w:pPr>
      <w:rPr>
        <w:rFonts w:ascii="SimSun" w:eastAsia="SimSun" w:hAnsi="SimSun" w:cs="Times New Roman" w:hint="default"/>
      </w:rPr>
    </w:lvl>
    <w:lvl w:ilvl="1" w:tplc="04090003" w:tentative="1">
      <w:start w:val="1"/>
      <w:numFmt w:val="bullet"/>
      <w:lvlText w:val="o"/>
      <w:lvlJc w:val="left"/>
      <w:pPr>
        <w:ind w:left="1440" w:hanging="360"/>
      </w:pPr>
      <w:rPr>
        <w:rFonts w:ascii="Courier New" w:hAnsi="Courier New"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Unicode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Unicode M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641119"/>
    <w:multiLevelType w:val="hybridMultilevel"/>
    <w:tmpl w:val="291EB624"/>
    <w:lvl w:ilvl="0" w:tplc="2372373C">
      <w:numFmt w:val="bullet"/>
      <w:lvlText w:val="-"/>
      <w:lvlJc w:val="left"/>
      <w:pPr>
        <w:ind w:left="720" w:hanging="360"/>
      </w:pPr>
      <w:rPr>
        <w:rFonts w:ascii="SimSun" w:eastAsia="SimSun" w:hAnsi="SimSun" w:cs="Times New Roman" w:hint="default"/>
      </w:rPr>
    </w:lvl>
    <w:lvl w:ilvl="1" w:tplc="08090003" w:tentative="1">
      <w:start w:val="1"/>
      <w:numFmt w:val="bullet"/>
      <w:lvlText w:val="o"/>
      <w:lvlJc w:val="left"/>
      <w:pPr>
        <w:ind w:left="1440" w:hanging="360"/>
      </w:pPr>
      <w:rPr>
        <w:rFonts w:ascii="Courier New" w:hAnsi="Courier New"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Unicode M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Unicode MS"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134B1B"/>
    <w:multiLevelType w:val="hybridMultilevel"/>
    <w:tmpl w:val="1878F3B8"/>
    <w:lvl w:ilvl="0" w:tplc="2C341E0C">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num>
  <w:num w:numId="6">
    <w:abstractNumId w:val="13"/>
  </w:num>
  <w:num w:numId="7">
    <w:abstractNumId w:val="23"/>
  </w:num>
  <w:num w:numId="8">
    <w:abstractNumId w:val="17"/>
  </w:num>
  <w:num w:numId="9">
    <w:abstractNumId w:val="14"/>
  </w:num>
  <w:num w:numId="10">
    <w:abstractNumId w:val="0"/>
  </w:num>
  <w:num w:numId="11">
    <w:abstractNumId w:val="22"/>
  </w:num>
  <w:num w:numId="12">
    <w:abstractNumId w:val="8"/>
  </w:num>
  <w:num w:numId="13">
    <w:abstractNumId w:val="15"/>
  </w:num>
  <w:num w:numId="14">
    <w:abstractNumId w:val="7"/>
  </w:num>
  <w:num w:numId="15">
    <w:abstractNumId w:val="2"/>
  </w:num>
  <w:num w:numId="16">
    <w:abstractNumId w:val="16"/>
  </w:num>
  <w:num w:numId="17">
    <w:abstractNumId w:val="12"/>
  </w:num>
  <w:num w:numId="18">
    <w:abstractNumId w:val="24"/>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
  </w:num>
  <w:num w:numId="29">
    <w:abstractNumId w:val="10"/>
  </w:num>
  <w:num w:numId="30">
    <w:abstractNumId w:val="3"/>
  </w:num>
  <w:num w:numId="31">
    <w:abstractNumId w:val="1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white" strokecolor="#4f81bd">
      <v:fill color="white"/>
      <v:stroke color="#4f81bd" weight="2pt"/>
      <v:shadow on="t" opacity="22937f" offset="0,.63889mm"/>
      <v:textbox style="mso-fit-shape-to-text:t" inset="3.6pt,,3.6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B62E2A70E764ACDAFA27C7F58810270"/>
    <w:docVar w:name="LW_CROSSREFERENCE" w:val="{SWD(2016) 352 final}"/>
    <w:docVar w:name="LW_DocType" w:val="NORMAL"/>
    <w:docVar w:name="LW_EMISSION" w:val="10.11.2016"/>
    <w:docVar w:name="LW_EMISSION_ISODATE" w:val="2016-11-10"/>
    <w:docVar w:name="LW_EMISSION_LOCATION" w:val="BRX"/>
    <w:docVar w:name="LW_EMISSION_PREFIX" w:val="Brüssel,"/>
    <w:docVar w:name="LW_EMISSION_SUFFIX" w:val=" "/>
    <w:docVar w:name="LW_ID_DOCTYPE_NONLW" w:val="CP-016"/>
    <w:docVar w:name="LW_LANGUE" w:val="ET"/>
    <w:docVar w:name="LW_MARKING" w:val="&lt;UNUSED&gt;"/>
    <w:docVar w:name="LW_NOM.INST" w:val="EUROOPA KOMISJON"/>
    <w:docVar w:name="LW_NOM.INST_JOINTDOC" w:val="LIIDU VÄLISASJADE_x000b_JA JULGEOLEKUPOLIITIKA_x000b_KÕRGE ESINDAJA"/>
    <w:docVar w:name="LW_PART_NBR" w:val="1"/>
    <w:docVar w:name="LW_PART_NBR_TOTAL" w:val="1"/>
    <w:docVar w:name="LW_REF.INST.NEW" w:val="JOIN"/>
    <w:docVar w:name="LW_REF.INST.NEW_ADOPTED" w:val="final"/>
    <w:docVar w:name="LW_REF.INST.NEW_TEXT" w:val="(2016) 49"/>
    <w:docVar w:name="LW_REF.INTERNE" w:val="&lt;UNUSED&gt;"/>
    <w:docVar w:name="LW_SOUS.TITRE.OBJ.CP" w:val="&lt;UNUSED&gt;"/>
    <w:docVar w:name="LW_SUPERTITRE" w:val="&lt;UNUSED&gt;"/>
    <w:docVar w:name="LW_TITRE.OBJ.CP" w:val="Rahvusvaheline ookeanide majandamine: meie ookeanide tulevikku hõlmav kava"/>
    <w:docVar w:name="LW_TYPE.DOC.CP" w:val="ÜHISTEATIS EUROOPA PARLAMENDILE, NÕUKOGULE, EUROOPA MAJANDUS- JA SOTSIAALKOMITEELE NING REGIOONIDE KOMITEELE"/>
    <w:docVar w:name="LW_TYPE.DOC.CP.USERTEXT" w:val="&lt;EMPTY&gt;"/>
  </w:docVars>
  <w:rsids>
    <w:rsidRoot w:val="000D0A7C"/>
    <w:rsid w:val="000D0A7C"/>
    <w:rsid w:val="009C1A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style="v-text-anchor:middle" fillcolor="white" strokecolor="#4f81bd">
      <v:fill color="white"/>
      <v:stroke color="#4f81bd" weight="2pt"/>
      <v:shadow on="t" opacity="22937f" offset="0,.63889mm"/>
      <v:textbox style="mso-fit-shape-to-text:t" inset="3.6pt,,3.6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t-EE" w:eastAsia="et-EE" w:bidi="et-EE"/>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t-EE" w:eastAsia="et-EE"/>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t-EE" w:eastAsia="et-EE"/>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t-EE" w:eastAsia="et-EE"/>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t-EE" w:eastAsia="et-EE"/>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t-EE"/>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t-EE" w:eastAsia="et-EE"/>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t-EE" w:eastAsia="et-EE"/>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t-EE"/>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t-EE"/>
    </w:rPr>
  </w:style>
  <w:style w:type="character" w:customStyle="1" w:styleId="Heading2Char">
    <w:name w:val="Heading 2 Char"/>
    <w:link w:val="Heading2"/>
    <w:semiHidden/>
    <w:rPr>
      <w:b/>
      <w:szCs w:val="20"/>
      <w:lang w:eastAsia="et-EE"/>
    </w:rPr>
  </w:style>
  <w:style w:type="character" w:customStyle="1" w:styleId="Heading3Char">
    <w:name w:val="Heading 3 Char"/>
    <w:link w:val="Heading3"/>
    <w:semiHidden/>
    <w:rPr>
      <w:i/>
      <w:szCs w:val="20"/>
      <w:lang w:eastAsia="et-EE"/>
    </w:rPr>
  </w:style>
  <w:style w:type="character" w:customStyle="1" w:styleId="Heading4Char">
    <w:name w:val="Heading 4 Char"/>
    <w:link w:val="Heading4"/>
    <w:semiHidden/>
    <w:rPr>
      <w:szCs w:val="20"/>
      <w:lang w:eastAsia="et-EE"/>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t-EE" w:eastAsia="et-EE"/>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t-EE" w:eastAsia="et-E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et-EE"/>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t-EE" w:eastAsia="et-EE" w:bidi="et-EE"/>
      </w:rPr>
    </w:rPrDefault>
    <w:pPrDefault/>
  </w:docDefaults>
  <w:latentStyles w:defLockedState="0" w:defUIPriority="0" w:defSemiHidden="0" w:defUnhideWhenUsed="0" w:defQFormat="0" w:count="267">
    <w:lsdException w:name="footnote text" w:uiPriority="99"/>
    <w:lsdException w:name="footer" w:uiPriority="99"/>
    <w:lsdException w:name="footnote reference" w:uiPriority="99" w:qFormat="1"/>
    <w:lsdException w:name="annotation reference" w:uiPriority="99"/>
    <w:lsdException w:name="endnote reference" w:uiPriority="99"/>
    <w:lsdException w:name="Strong" w:uiPriority="22" w:qFormat="1"/>
    <w:lsdException w:name="Emphasis" w:uiPriority="20" w:qFormat="1"/>
    <w:lsdException w:name="No Spacing" w:uiPriority="1" w:qFormat="1"/>
    <w:lsdException w:name="List Paragraph" w:uiPriority="34" w:qFormat="1"/>
  </w:latentStyles>
  <w:style w:type="paragraph" w:default="1" w:styleId="Normal">
    <w:name w:val="Normal"/>
    <w:qFormat/>
  </w:style>
  <w:style w:type="paragraph" w:styleId="Heading1">
    <w:name w:val="heading 1"/>
    <w:basedOn w:val="Normal"/>
    <w:next w:val="Normal"/>
    <w:link w:val="Heading1Char"/>
    <w:qFormat/>
    <w:locked/>
    <w:pPr>
      <w:keepNext/>
      <w:numPr>
        <w:numId w:val="3"/>
      </w:numPr>
      <w:spacing w:before="240" w:after="240"/>
      <w:jc w:val="both"/>
      <w:outlineLvl w:val="0"/>
    </w:pPr>
    <w:rPr>
      <w:b/>
      <w:smallCaps/>
      <w:szCs w:val="20"/>
    </w:rPr>
  </w:style>
  <w:style w:type="paragraph" w:styleId="Heading2">
    <w:name w:val="heading 2"/>
    <w:basedOn w:val="Normal"/>
    <w:next w:val="Normal"/>
    <w:link w:val="Heading2Char"/>
    <w:semiHidden/>
    <w:unhideWhenUsed/>
    <w:qFormat/>
    <w:locked/>
    <w:pPr>
      <w:keepNext/>
      <w:numPr>
        <w:ilvl w:val="1"/>
        <w:numId w:val="3"/>
      </w:numPr>
      <w:spacing w:after="240"/>
      <w:jc w:val="both"/>
      <w:outlineLvl w:val="1"/>
    </w:pPr>
    <w:rPr>
      <w:b/>
      <w:szCs w:val="20"/>
    </w:rPr>
  </w:style>
  <w:style w:type="paragraph" w:styleId="Heading3">
    <w:name w:val="heading 3"/>
    <w:basedOn w:val="Normal"/>
    <w:next w:val="Normal"/>
    <w:link w:val="Heading3Char"/>
    <w:semiHidden/>
    <w:unhideWhenUsed/>
    <w:qFormat/>
    <w:locked/>
    <w:pPr>
      <w:keepNext/>
      <w:numPr>
        <w:ilvl w:val="2"/>
        <w:numId w:val="3"/>
      </w:numPr>
      <w:spacing w:after="240"/>
      <w:jc w:val="both"/>
      <w:outlineLvl w:val="2"/>
    </w:pPr>
    <w:rPr>
      <w:i/>
      <w:szCs w:val="20"/>
    </w:rPr>
  </w:style>
  <w:style w:type="paragraph" w:styleId="Heading4">
    <w:name w:val="heading 4"/>
    <w:basedOn w:val="Normal"/>
    <w:next w:val="Normal"/>
    <w:link w:val="Heading4Char"/>
    <w:semiHidden/>
    <w:unhideWhenUsed/>
    <w:qFormat/>
    <w:locked/>
    <w:pPr>
      <w:keepNext/>
      <w:numPr>
        <w:ilvl w:val="3"/>
        <w:numId w:val="3"/>
      </w:numPr>
      <w:spacing w:after="240"/>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020"/>
      </w:tabs>
    </w:pPr>
    <w:rPr>
      <w:rFonts w:ascii="Helvetica" w:eastAsia="Arial Unicode MS" w:hAnsi="Helvetica" w:cs="Arial Unicode MS"/>
      <w:color w:val="000000"/>
    </w:rPr>
  </w:style>
  <w:style w:type="paragraph" w:customStyle="1" w:styleId="Footer1">
    <w:name w:val="Footer1"/>
    <w:rPr>
      <w:rFonts w:ascii="Arial" w:eastAsia="Arial Unicode MS" w:hAnsi="Arial" w:cs="Arial Unicode MS"/>
      <w:color w:val="000000"/>
      <w:sz w:val="16"/>
      <w:szCs w:val="16"/>
      <w:u w:color="000000"/>
    </w:rPr>
  </w:style>
  <w:style w:type="paragraph" w:customStyle="1" w:styleId="References">
    <w:name w:val="References"/>
    <w:uiPriority w:val="99"/>
    <w:pPr>
      <w:spacing w:after="240"/>
      <w:ind w:left="5103"/>
    </w:pPr>
    <w:rPr>
      <w:rFonts w:eastAsia="Arial Unicode MS" w:cs="Arial Unicode MS"/>
      <w:color w:val="000000"/>
      <w:u w:color="000000"/>
    </w:rPr>
  </w:style>
  <w:style w:type="paragraph" w:customStyle="1" w:styleId="Heading">
    <w:name w:val="Heading"/>
    <w:next w:val="Text1"/>
    <w:link w:val="HeadingChar"/>
    <w:autoRedefine/>
    <w:pPr>
      <w:keepNext/>
      <w:spacing w:after="240"/>
      <w:ind w:left="567" w:hanging="567"/>
      <w:jc w:val="both"/>
      <w:outlineLvl w:val="0"/>
    </w:pPr>
    <w:rPr>
      <w:rFonts w:eastAsia="Arial Unicode MS" w:cs="Arial Unicode MS"/>
      <w:b/>
      <w:bCs/>
      <w:smallCaps/>
      <w:color w:val="000000"/>
      <w:u w:color="000000"/>
    </w:rPr>
  </w:style>
  <w:style w:type="paragraph" w:customStyle="1" w:styleId="Text1">
    <w:name w:val="Text 1"/>
    <w:pPr>
      <w:spacing w:after="240"/>
      <w:ind w:left="482"/>
      <w:jc w:val="both"/>
    </w:pPr>
    <w:rPr>
      <w:rFonts w:eastAsia="Arial Unicode MS" w:cs="Arial Unicode MS"/>
      <w:color w:val="000000"/>
      <w:u w:color="000000"/>
    </w:rPr>
  </w:style>
  <w:style w:type="numbering" w:customStyle="1" w:styleId="ImportedStyle2">
    <w:name w:val="Imported Style 2"/>
  </w:style>
  <w:style w:type="paragraph" w:customStyle="1" w:styleId="Body">
    <w:name w:val="Body"/>
    <w:autoRedefine/>
    <w:pPr>
      <w:spacing w:after="240"/>
      <w:jc w:val="both"/>
    </w:pPr>
    <w:rPr>
      <w:rFonts w:eastAsia="Arial Unicode MS" w:cs="Arial Unicode MS"/>
      <w:iCs/>
      <w:color w:val="000000" w:themeColor="text1"/>
      <w:u w:color="000000"/>
    </w:rPr>
  </w:style>
  <w:style w:type="paragraph" w:styleId="NoSpacing">
    <w:name w:val="No Spacing"/>
    <w:uiPriority w:val="1"/>
    <w:qFormat/>
    <w:pPr>
      <w:tabs>
        <w:tab w:val="left" w:pos="4678"/>
      </w:tabs>
      <w:spacing w:after="240"/>
      <w:jc w:val="both"/>
    </w:pPr>
    <w:rPr>
      <w:rFonts w:eastAsia="Arial Unicode MS" w:cs="Arial Unicode MS"/>
      <w:u w:color="000000"/>
    </w:rPr>
  </w:style>
  <w:style w:type="character" w:customStyle="1" w:styleId="FootnoteReference1">
    <w:name w:val="Footnote Reference1"/>
    <w:autoRedefine/>
    <w:rPr>
      <w:vertAlign w:val="superscript"/>
    </w:rPr>
  </w:style>
  <w:style w:type="paragraph" w:customStyle="1" w:styleId="EndnoteText1">
    <w:name w:val="Endnote Text1"/>
    <w:autoRedefine/>
    <w:pPr>
      <w:spacing w:after="120"/>
      <w:ind w:left="426" w:hanging="426"/>
      <w:jc w:val="both"/>
    </w:pPr>
    <w:rPr>
      <w:color w:val="000000"/>
      <w:sz w:val="20"/>
      <w:szCs w:val="20"/>
      <w:u w:color="000000"/>
    </w:rPr>
  </w:style>
  <w:style w:type="character" w:customStyle="1" w:styleId="Link1">
    <w:name w:val="Link1"/>
    <w:autoRedefine/>
    <w:rPr>
      <w:color w:val="0000FF"/>
      <w:u w:val="single" w:color="0000FF"/>
    </w:rPr>
  </w:style>
  <w:style w:type="character" w:customStyle="1" w:styleId="Hyperlink0">
    <w:name w:val="Hyperlink.0"/>
    <w:autoRedefine/>
    <w:rPr>
      <w:sz w:val="20"/>
      <w:szCs w:val="20"/>
    </w:rPr>
  </w:style>
  <w:style w:type="paragraph" w:customStyle="1" w:styleId="CommentText1">
    <w:name w:val="Comment Text1"/>
    <w:autoRedefine/>
    <w:pPr>
      <w:spacing w:after="240"/>
      <w:jc w:val="both"/>
    </w:pPr>
    <w:rPr>
      <w:color w:val="000000"/>
      <w:u w:color="000000"/>
    </w:rPr>
  </w:style>
  <w:style w:type="character" w:customStyle="1" w:styleId="Hyperlink1">
    <w:name w:val="Hyperlink.1"/>
    <w:autoRedefine/>
    <w:rPr>
      <w:color w:val="000000"/>
      <w:u w:color="000000"/>
    </w:rPr>
  </w:style>
  <w:style w:type="paragraph" w:customStyle="1" w:styleId="ListDash">
    <w:name w:val="List Dash"/>
    <w:pPr>
      <w:tabs>
        <w:tab w:val="left" w:pos="283"/>
      </w:tabs>
      <w:spacing w:after="240"/>
      <w:jc w:val="both"/>
    </w:pPr>
    <w:rPr>
      <w:rFonts w:eastAsia="Arial Unicode MS" w:cs="Arial Unicode MS"/>
      <w:color w:val="000000"/>
      <w:u w:color="000000"/>
    </w:rPr>
  </w:style>
  <w:style w:type="numbering" w:customStyle="1" w:styleId="ImportedStyle4">
    <w:name w:val="Imported Style 4"/>
  </w:style>
  <w:style w:type="paragraph" w:styleId="ListParagraph">
    <w:name w:val="List Paragraph"/>
    <w:uiPriority w:val="34"/>
    <w:qFormat/>
    <w:pPr>
      <w:spacing w:after="240"/>
      <w:ind w:left="720"/>
      <w:jc w:val="both"/>
    </w:pPr>
    <w:rPr>
      <w:rFonts w:eastAsia="Arial Unicode MS" w:cs="Arial Unicode MS"/>
      <w:color w:val="000000"/>
      <w:u w:color="000000"/>
    </w:rPr>
  </w:style>
  <w:style w:type="numbering" w:customStyle="1" w:styleId="ImportedStyle5">
    <w:name w:val="Imported Style 5"/>
    <w:autoRedefine/>
  </w:style>
  <w:style w:type="numbering" w:customStyle="1" w:styleId="ImportedStyle6">
    <w:name w:val="Imported Style 6"/>
  </w:style>
  <w:style w:type="character" w:customStyle="1" w:styleId="None">
    <w:name w:val="None"/>
    <w:autoRedefine/>
  </w:style>
  <w:style w:type="character" w:customStyle="1" w:styleId="Hyperlink2">
    <w:name w:val="Hyperlink.2"/>
    <w:rPr>
      <w:sz w:val="20"/>
      <w:szCs w:val="20"/>
    </w:rPr>
  </w:style>
  <w:style w:type="paragraph" w:customStyle="1" w:styleId="Text2">
    <w:name w:val="Text 2"/>
    <w:pPr>
      <w:tabs>
        <w:tab w:val="left" w:pos="2302"/>
      </w:tabs>
      <w:spacing w:after="240"/>
      <w:ind w:left="1202"/>
      <w:jc w:val="both"/>
    </w:pPr>
    <w:rPr>
      <w:rFonts w:eastAsia="Arial Unicode MS" w:cs="Arial Unicode MS"/>
      <w:color w:val="000000"/>
      <w:u w:color="000000"/>
    </w:rPr>
  </w:style>
  <w:style w:type="paragraph" w:customStyle="1" w:styleId="Default">
    <w:name w:val="Default"/>
    <w:autoRedefine/>
    <w:pPr>
      <w:jc w:val="both"/>
    </w:pPr>
    <w:rPr>
      <w:rFonts w:eastAsia="Arial Unicode MS"/>
      <w:color w:val="000000" w:themeColor="text1"/>
      <w:u w:color="FF0000"/>
    </w:rPr>
  </w:style>
  <w:style w:type="paragraph" w:customStyle="1" w:styleId="ListBullet1">
    <w:name w:val="List Bullet 1"/>
    <w:pPr>
      <w:tabs>
        <w:tab w:val="left" w:pos="765"/>
      </w:tabs>
      <w:spacing w:after="240"/>
      <w:jc w:val="both"/>
    </w:pPr>
    <w:rPr>
      <w:rFonts w:eastAsia="Arial Unicode MS" w:cs="Arial Unicode MS"/>
      <w:color w:val="000000"/>
      <w:u w:color="000000"/>
    </w:rPr>
  </w:style>
  <w:style w:type="numbering" w:customStyle="1" w:styleId="ImportedStyle8">
    <w:name w:val="Imported Style 8"/>
    <w:autoRedefine/>
  </w:style>
  <w:style w:type="numbering" w:customStyle="1" w:styleId="ImportedStyle9">
    <w:name w:val="Imported Style 9"/>
    <w:autoRedefine/>
  </w:style>
  <w:style w:type="character" w:customStyle="1" w:styleId="Hyperlink3">
    <w:name w:val="Hyperlink.3"/>
    <w:autoRedefine/>
    <w:rPr>
      <w:color w:val="000000"/>
      <w:u w:val="none" w:color="000000"/>
    </w:rPr>
  </w:style>
  <w:style w:type="paragraph" w:customStyle="1" w:styleId="FootnoteText1">
    <w:name w:val="Footnote Text1"/>
    <w:pPr>
      <w:spacing w:after="240"/>
      <w:ind w:left="357" w:hanging="357"/>
      <w:jc w:val="both"/>
    </w:pPr>
    <w:rPr>
      <w:color w:val="000000"/>
      <w:u w:color="000000"/>
    </w:rPr>
  </w:style>
  <w:style w:type="numbering" w:customStyle="1" w:styleId="ImportedStyle10">
    <w:name w:val="Imported Style 10"/>
  </w:style>
  <w:style w:type="character" w:customStyle="1" w:styleId="Hyperlink4">
    <w:name w:val="Hyperlink.4"/>
    <w:rPr>
      <w:color w:val="000000"/>
      <w:sz w:val="20"/>
      <w:szCs w:val="20"/>
      <w:u w:val="none" w:color="000000"/>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t-EE" w:eastAsia="et-EE"/>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lang w:val="et-EE" w:eastAsia="et-EE"/>
    </w:rPr>
  </w:style>
  <w:style w:type="character" w:styleId="EndnoteReference">
    <w:name w:val="endnote reference"/>
    <w:uiPriority w:val="99"/>
    <w:locked/>
    <w:rPr>
      <w:vertAlign w:val="superscript"/>
    </w:rPr>
  </w:style>
  <w:style w:type="paragraph" w:customStyle="1" w:styleId="ListDash2">
    <w:name w:val="List Dash 2"/>
    <w:basedOn w:val="Text2"/>
    <w:pPr>
      <w:numPr>
        <w:numId w:val="2"/>
      </w:numPr>
      <w:tabs>
        <w:tab w:val="clear" w:pos="2302"/>
      </w:tabs>
    </w:pPr>
    <w:rPr>
      <w:rFonts w:eastAsia="Times New Roman" w:cs="Times New Roman"/>
      <w:color w:val="auto"/>
      <w:szCs w:val="20"/>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lang w:val="et-EE" w:eastAsia="et-EE"/>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b/>
      <w:bCs/>
      <w:lang w:val="et-EE" w:eastAsia="et-EE"/>
    </w:rPr>
  </w:style>
  <w:style w:type="paragraph" w:styleId="Revision">
    <w:name w:val="Revision"/>
    <w:hidden/>
    <w:uiPriority w:val="99"/>
    <w:semiHidden/>
  </w:style>
  <w:style w:type="character" w:styleId="Emphasis">
    <w:name w:val="Emphasis"/>
    <w:uiPriority w:val="20"/>
    <w:qFormat/>
    <w:locked/>
    <w:rPr>
      <w:b/>
      <w:bCs/>
      <w:i w:val="0"/>
      <w:iCs w:val="0"/>
    </w:rPr>
  </w:style>
  <w:style w:type="character" w:customStyle="1" w:styleId="st1">
    <w:name w:val="st1"/>
  </w:style>
  <w:style w:type="paragraph" w:styleId="BodyTextIndent3">
    <w:name w:val="Body Text Indent 3"/>
    <w:basedOn w:val="Normal"/>
    <w:link w:val="BodyTextIndent3Char"/>
    <w:locked/>
    <w:pPr>
      <w:spacing w:after="120"/>
      <w:ind w:left="283"/>
      <w:jc w:val="both"/>
    </w:pPr>
    <w:rPr>
      <w:sz w:val="16"/>
      <w:szCs w:val="20"/>
    </w:rPr>
  </w:style>
  <w:style w:type="character" w:customStyle="1" w:styleId="BodyTextIndent3Char">
    <w:name w:val="Body Text Indent 3 Char"/>
    <w:link w:val="BodyTextIndent3"/>
    <w:rPr>
      <w:sz w:val="16"/>
      <w:lang w:eastAsia="et-EE"/>
    </w:rPr>
  </w:style>
  <w:style w:type="paragraph" w:styleId="Header">
    <w:name w:val="header"/>
    <w:basedOn w:val="Normal"/>
    <w:link w:val="HeaderChar"/>
    <w:locked/>
    <w:pPr>
      <w:tabs>
        <w:tab w:val="center" w:pos="4536"/>
        <w:tab w:val="right" w:pos="9072"/>
      </w:tabs>
    </w:pPr>
  </w:style>
  <w:style w:type="character" w:customStyle="1" w:styleId="HeaderChar">
    <w:name w:val="Header Char"/>
    <w:link w:val="Header"/>
    <w:rPr>
      <w:sz w:val="24"/>
      <w:szCs w:val="24"/>
      <w:lang w:val="et-EE" w:eastAsia="et-EE"/>
    </w:rPr>
  </w:style>
  <w:style w:type="paragraph" w:styleId="Footer">
    <w:name w:val="footer"/>
    <w:basedOn w:val="Normal"/>
    <w:link w:val="FooterChar"/>
    <w:uiPriority w:val="99"/>
    <w:locked/>
    <w:pPr>
      <w:tabs>
        <w:tab w:val="center" w:pos="4536"/>
        <w:tab w:val="right" w:pos="9072"/>
      </w:tabs>
    </w:pPr>
  </w:style>
  <w:style w:type="character" w:customStyle="1" w:styleId="FooterChar">
    <w:name w:val="Footer Char"/>
    <w:link w:val="Footer"/>
    <w:uiPriority w:val="99"/>
    <w:rPr>
      <w:sz w:val="24"/>
      <w:szCs w:val="24"/>
      <w:lang w:val="et-EE" w:eastAsia="et-EE"/>
    </w:rPr>
  </w:style>
  <w:style w:type="paragraph" w:styleId="FootnoteText">
    <w:name w:val="footnote text"/>
    <w:aliases w:val="Footnote text, Char, Char1, Char1 Char, Char2, Char3, Char11, Char1 Char2, Char21, Char4, Char12, Char1 Char3, Char22, Char5, Char13, Char1 Char4, Char23, Char6, Char14, Char1 Char5, Char24, Char7, Char15, Char1 Char6, Char25, Char8"/>
    <w:basedOn w:val="Normal"/>
    <w:link w:val="FootnoteTextChar"/>
    <w:uiPriority w:val="99"/>
    <w:locked/>
    <w:pPr>
      <w:spacing w:after="240"/>
      <w:ind w:left="357" w:hanging="357"/>
      <w:jc w:val="both"/>
    </w:pPr>
    <w:rPr>
      <w:sz w:val="20"/>
      <w:szCs w:val="20"/>
    </w:rPr>
  </w:style>
  <w:style w:type="character" w:customStyle="1" w:styleId="FootnoteTextChar">
    <w:name w:val="Footnote Text Char"/>
    <w:aliases w:val="Footnote text Char, Char Char, Char1 Char1, Char1 Char Char, Char2 Char, Char3 Char, Char11 Char, Char1 Char2 Char, Char21 Char, Char4 Char, Char12 Char, Char1 Char3 Char, Char22 Char, Char5 Char, Char13 Char, Char1 Char4 Char"/>
    <w:link w:val="FootnoteText"/>
    <w:uiPriority w:val="99"/>
    <w:rPr>
      <w:lang w:eastAsia="et-EE"/>
    </w:rPr>
  </w:style>
  <w:style w:type="character" w:styleId="FootnoteReference">
    <w:name w:val="footnote reference"/>
    <w:aliases w:val="stylish,Appel note de bas de page,16 Point,Superscript 6 Point,Ref,de nota al pie"/>
    <w:uiPriority w:val="99"/>
    <w:unhideWhenUsed/>
    <w:qFormat/>
    <w:locked/>
    <w:rPr>
      <w:vertAlign w:val="superscript"/>
    </w:rPr>
  </w:style>
  <w:style w:type="character" w:customStyle="1" w:styleId="Heading1Char">
    <w:name w:val="Heading 1 Char"/>
    <w:link w:val="Heading1"/>
    <w:rPr>
      <w:b/>
      <w:smallCaps/>
      <w:szCs w:val="20"/>
      <w:lang w:eastAsia="et-EE"/>
    </w:rPr>
  </w:style>
  <w:style w:type="character" w:customStyle="1" w:styleId="Heading2Char">
    <w:name w:val="Heading 2 Char"/>
    <w:link w:val="Heading2"/>
    <w:semiHidden/>
    <w:rPr>
      <w:b/>
      <w:szCs w:val="20"/>
      <w:lang w:eastAsia="et-EE"/>
    </w:rPr>
  </w:style>
  <w:style w:type="character" w:customStyle="1" w:styleId="Heading3Char">
    <w:name w:val="Heading 3 Char"/>
    <w:link w:val="Heading3"/>
    <w:semiHidden/>
    <w:rPr>
      <w:i/>
      <w:szCs w:val="20"/>
      <w:lang w:eastAsia="et-EE"/>
    </w:rPr>
  </w:style>
  <w:style w:type="character" w:customStyle="1" w:styleId="Heading4Char">
    <w:name w:val="Heading 4 Char"/>
    <w:link w:val="Heading4"/>
    <w:semiHidden/>
    <w:rPr>
      <w:szCs w:val="20"/>
      <w:lang w:eastAsia="et-EE"/>
    </w:rPr>
  </w:style>
  <w:style w:type="paragraph" w:styleId="BodyText">
    <w:name w:val="Body Text"/>
    <w:basedOn w:val="Normal"/>
    <w:link w:val="BodyTextChar"/>
    <w:locked/>
    <w:pPr>
      <w:spacing w:after="120"/>
    </w:pPr>
  </w:style>
  <w:style w:type="character" w:customStyle="1" w:styleId="BodyTextChar">
    <w:name w:val="Body Text Char"/>
    <w:link w:val="BodyText"/>
    <w:rPr>
      <w:sz w:val="24"/>
      <w:szCs w:val="24"/>
      <w:lang w:val="et-EE" w:eastAsia="et-EE"/>
    </w:rPr>
  </w:style>
  <w:style w:type="paragraph" w:customStyle="1" w:styleId="action">
    <w:name w:val="action"/>
    <w:basedOn w:val="Normal"/>
    <w:pPr>
      <w:spacing w:after="200" w:line="276" w:lineRule="auto"/>
    </w:pPr>
    <w:rPr>
      <w:rFonts w:ascii="Cambria" w:eastAsia="Calibri" w:hAnsi="Cambria"/>
      <w:b/>
      <w:bCs/>
      <w:sz w:val="22"/>
      <w:szCs w:val="22"/>
    </w:r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kern w:val="28"/>
      <w:sz w:val="32"/>
      <w:szCs w:val="32"/>
      <w:lang w:val="et-EE" w:eastAsia="et-E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rPr>
      <w:rFonts w:eastAsia="Calibri"/>
      <w:szCs w:val="22"/>
    </w:rPr>
  </w:style>
  <w:style w:type="paragraph" w:customStyle="1" w:styleId="FooterCoverPage">
    <w:name w:val="Footer Cover Page"/>
    <w:basedOn w:val="Normal"/>
    <w:link w:val="FooterCoverPageChar"/>
    <w:pPr>
      <w:numPr>
        <w:numId w:val="1"/>
      </w:numPr>
      <w:tabs>
        <w:tab w:val="center" w:pos="4535"/>
        <w:tab w:val="right" w:pos="9071"/>
        <w:tab w:val="right" w:pos="9921"/>
      </w:tabs>
      <w:spacing w:before="360"/>
      <w:ind w:left="-850" w:right="-850"/>
    </w:pPr>
    <w:rPr>
      <w:rFonts w:eastAsia="Arial Unicode MS" w:cs="Arial Unicode MS"/>
      <w:color w:val="000000"/>
      <w:u w:color="000000"/>
    </w:rPr>
  </w:style>
  <w:style w:type="character" w:customStyle="1" w:styleId="HeadingChar">
    <w:name w:val="Heading Char"/>
    <w:link w:val="Heading"/>
    <w:rPr>
      <w:rFonts w:eastAsia="Arial Unicode MS" w:cs="Arial Unicode MS"/>
      <w:b/>
      <w:bCs/>
      <w:smallCaps/>
      <w:color w:val="000000"/>
      <w:u w:color="000000"/>
      <w:lang w:val="et-EE"/>
    </w:rPr>
  </w:style>
  <w:style w:type="character" w:customStyle="1" w:styleId="FooterCoverPageChar">
    <w:name w:val="Footer Cover Page Char"/>
    <w:link w:val="FooterCoverPage"/>
    <w:rPr>
      <w:rFonts w:eastAsia="Arial Unicode MS" w:cs="Arial Unicode MS"/>
      <w:color w:val="000000"/>
      <w:u w:color="000000"/>
    </w:rPr>
  </w:style>
  <w:style w:type="paragraph" w:customStyle="1" w:styleId="HeaderCoverPage">
    <w:name w:val="Header Cover Page"/>
    <w:basedOn w:val="Normal"/>
    <w:link w:val="HeaderCoverPageChar"/>
    <w:pPr>
      <w:tabs>
        <w:tab w:val="center" w:pos="4535"/>
        <w:tab w:val="right" w:pos="9071"/>
      </w:tabs>
      <w:spacing w:after="120"/>
      <w:jc w:val="both"/>
    </w:pPr>
    <w:rPr>
      <w:rFonts w:eastAsia="Arial Unicode MS" w:cs="Arial Unicode MS"/>
      <w:color w:val="000000"/>
      <w:u w:color="000000"/>
    </w:rPr>
  </w:style>
  <w:style w:type="character" w:customStyle="1" w:styleId="HeaderCoverPageChar">
    <w:name w:val="Header Cover Page Char"/>
    <w:link w:val="HeaderCoverPage"/>
    <w:rPr>
      <w:rFonts w:eastAsia="Arial Unicode MS" w:cs="Arial Unicode MS"/>
      <w:color w:val="000000"/>
      <w:u w:color="000000"/>
    </w:rPr>
  </w:style>
  <w:style w:type="paragraph" w:customStyle="1" w:styleId="NumPar1">
    <w:name w:val="NumPar 1"/>
    <w:basedOn w:val="Normal"/>
    <w:next w:val="Normal"/>
    <w:pPr>
      <w:numPr>
        <w:numId w:val="20"/>
      </w:numPr>
      <w:spacing w:before="120" w:after="120"/>
      <w:jc w:val="both"/>
    </w:pPr>
    <w:rPr>
      <w:szCs w:val="22"/>
    </w:rPr>
  </w:style>
  <w:style w:type="paragraph" w:customStyle="1" w:styleId="NumPar2">
    <w:name w:val="NumPar 2"/>
    <w:basedOn w:val="Normal"/>
    <w:next w:val="Normal"/>
    <w:pPr>
      <w:numPr>
        <w:ilvl w:val="1"/>
        <w:numId w:val="20"/>
      </w:numPr>
      <w:spacing w:before="120" w:after="120"/>
      <w:jc w:val="both"/>
    </w:pPr>
    <w:rPr>
      <w:szCs w:val="22"/>
    </w:rPr>
  </w:style>
  <w:style w:type="paragraph" w:customStyle="1" w:styleId="NumPar3">
    <w:name w:val="NumPar 3"/>
    <w:basedOn w:val="Normal"/>
    <w:next w:val="Normal"/>
    <w:pPr>
      <w:numPr>
        <w:ilvl w:val="2"/>
        <w:numId w:val="20"/>
      </w:numPr>
      <w:spacing w:before="120" w:after="120"/>
      <w:jc w:val="both"/>
    </w:pPr>
    <w:rPr>
      <w:szCs w:val="22"/>
    </w:rPr>
  </w:style>
  <w:style w:type="paragraph" w:customStyle="1" w:styleId="NumPar4">
    <w:name w:val="NumPar 4"/>
    <w:basedOn w:val="Normal"/>
    <w:next w:val="Normal"/>
    <w:pPr>
      <w:numPr>
        <w:ilvl w:val="3"/>
        <w:numId w:val="20"/>
      </w:numPr>
      <w:spacing w:before="120" w:after="120"/>
      <w:jc w:val="both"/>
    </w:pPr>
    <w:rPr>
      <w:szCs w:val="22"/>
    </w:rPr>
  </w:style>
  <w:style w:type="character" w:styleId="FollowedHyperlink">
    <w:name w:val="FollowedHyperlink"/>
    <w:basedOn w:val="DefaultParagraphFont"/>
    <w:rPr>
      <w:color w:val="954F72" w:themeColor="followedHyperlink"/>
      <w:u w:val="single"/>
    </w:rPr>
  </w:style>
  <w:style w:type="character" w:customStyle="1" w:styleId="st">
    <w:name w:val="st"/>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5638">
      <w:bodyDiv w:val="1"/>
      <w:marLeft w:val="0"/>
      <w:marRight w:val="0"/>
      <w:marTop w:val="0"/>
      <w:marBottom w:val="0"/>
      <w:divBdr>
        <w:top w:val="none" w:sz="0" w:space="0" w:color="auto"/>
        <w:left w:val="none" w:sz="0" w:space="0" w:color="auto"/>
        <w:bottom w:val="none" w:sz="0" w:space="0" w:color="auto"/>
        <w:right w:val="none" w:sz="0" w:space="0" w:color="auto"/>
      </w:divBdr>
    </w:div>
    <w:div w:id="153882733">
      <w:bodyDiv w:val="1"/>
      <w:marLeft w:val="0"/>
      <w:marRight w:val="0"/>
      <w:marTop w:val="0"/>
      <w:marBottom w:val="0"/>
      <w:divBdr>
        <w:top w:val="none" w:sz="0" w:space="0" w:color="auto"/>
        <w:left w:val="none" w:sz="0" w:space="0" w:color="auto"/>
        <w:bottom w:val="none" w:sz="0" w:space="0" w:color="auto"/>
        <w:right w:val="none" w:sz="0" w:space="0" w:color="auto"/>
      </w:divBdr>
    </w:div>
    <w:div w:id="357242097">
      <w:bodyDiv w:val="1"/>
      <w:marLeft w:val="0"/>
      <w:marRight w:val="0"/>
      <w:marTop w:val="0"/>
      <w:marBottom w:val="0"/>
      <w:divBdr>
        <w:top w:val="none" w:sz="0" w:space="0" w:color="auto"/>
        <w:left w:val="none" w:sz="0" w:space="0" w:color="auto"/>
        <w:bottom w:val="none" w:sz="0" w:space="0" w:color="auto"/>
        <w:right w:val="none" w:sz="0" w:space="0" w:color="auto"/>
      </w:divBdr>
    </w:div>
    <w:div w:id="360984197">
      <w:bodyDiv w:val="1"/>
      <w:marLeft w:val="0"/>
      <w:marRight w:val="0"/>
      <w:marTop w:val="0"/>
      <w:marBottom w:val="0"/>
      <w:divBdr>
        <w:top w:val="none" w:sz="0" w:space="0" w:color="auto"/>
        <w:left w:val="none" w:sz="0" w:space="0" w:color="auto"/>
        <w:bottom w:val="none" w:sz="0" w:space="0" w:color="auto"/>
        <w:right w:val="none" w:sz="0" w:space="0" w:color="auto"/>
      </w:divBdr>
    </w:div>
    <w:div w:id="501434638">
      <w:bodyDiv w:val="1"/>
      <w:marLeft w:val="0"/>
      <w:marRight w:val="0"/>
      <w:marTop w:val="0"/>
      <w:marBottom w:val="0"/>
      <w:divBdr>
        <w:top w:val="none" w:sz="0" w:space="0" w:color="auto"/>
        <w:left w:val="none" w:sz="0" w:space="0" w:color="auto"/>
        <w:bottom w:val="none" w:sz="0" w:space="0" w:color="auto"/>
        <w:right w:val="none" w:sz="0" w:space="0" w:color="auto"/>
      </w:divBdr>
    </w:div>
    <w:div w:id="525872619">
      <w:bodyDiv w:val="1"/>
      <w:marLeft w:val="0"/>
      <w:marRight w:val="0"/>
      <w:marTop w:val="0"/>
      <w:marBottom w:val="0"/>
      <w:divBdr>
        <w:top w:val="none" w:sz="0" w:space="0" w:color="auto"/>
        <w:left w:val="none" w:sz="0" w:space="0" w:color="auto"/>
        <w:bottom w:val="none" w:sz="0" w:space="0" w:color="auto"/>
        <w:right w:val="none" w:sz="0" w:space="0" w:color="auto"/>
      </w:divBdr>
    </w:div>
    <w:div w:id="551815195">
      <w:bodyDiv w:val="1"/>
      <w:marLeft w:val="0"/>
      <w:marRight w:val="0"/>
      <w:marTop w:val="0"/>
      <w:marBottom w:val="0"/>
      <w:divBdr>
        <w:top w:val="none" w:sz="0" w:space="0" w:color="auto"/>
        <w:left w:val="none" w:sz="0" w:space="0" w:color="auto"/>
        <w:bottom w:val="none" w:sz="0" w:space="0" w:color="auto"/>
        <w:right w:val="none" w:sz="0" w:space="0" w:color="auto"/>
      </w:divBdr>
    </w:div>
    <w:div w:id="556473639">
      <w:bodyDiv w:val="1"/>
      <w:marLeft w:val="0"/>
      <w:marRight w:val="0"/>
      <w:marTop w:val="0"/>
      <w:marBottom w:val="0"/>
      <w:divBdr>
        <w:top w:val="none" w:sz="0" w:space="0" w:color="auto"/>
        <w:left w:val="none" w:sz="0" w:space="0" w:color="auto"/>
        <w:bottom w:val="none" w:sz="0" w:space="0" w:color="auto"/>
        <w:right w:val="none" w:sz="0" w:space="0" w:color="auto"/>
      </w:divBdr>
    </w:div>
    <w:div w:id="691146546">
      <w:bodyDiv w:val="1"/>
      <w:marLeft w:val="0"/>
      <w:marRight w:val="0"/>
      <w:marTop w:val="0"/>
      <w:marBottom w:val="0"/>
      <w:divBdr>
        <w:top w:val="none" w:sz="0" w:space="0" w:color="auto"/>
        <w:left w:val="none" w:sz="0" w:space="0" w:color="auto"/>
        <w:bottom w:val="none" w:sz="0" w:space="0" w:color="auto"/>
        <w:right w:val="none" w:sz="0" w:space="0" w:color="auto"/>
      </w:divBdr>
    </w:div>
    <w:div w:id="712729513">
      <w:bodyDiv w:val="1"/>
      <w:marLeft w:val="0"/>
      <w:marRight w:val="0"/>
      <w:marTop w:val="0"/>
      <w:marBottom w:val="0"/>
      <w:divBdr>
        <w:top w:val="none" w:sz="0" w:space="0" w:color="auto"/>
        <w:left w:val="none" w:sz="0" w:space="0" w:color="auto"/>
        <w:bottom w:val="none" w:sz="0" w:space="0" w:color="auto"/>
        <w:right w:val="none" w:sz="0" w:space="0" w:color="auto"/>
      </w:divBdr>
    </w:div>
    <w:div w:id="732585370">
      <w:bodyDiv w:val="1"/>
      <w:marLeft w:val="0"/>
      <w:marRight w:val="0"/>
      <w:marTop w:val="0"/>
      <w:marBottom w:val="0"/>
      <w:divBdr>
        <w:top w:val="none" w:sz="0" w:space="0" w:color="auto"/>
        <w:left w:val="none" w:sz="0" w:space="0" w:color="auto"/>
        <w:bottom w:val="none" w:sz="0" w:space="0" w:color="auto"/>
        <w:right w:val="none" w:sz="0" w:space="0" w:color="auto"/>
      </w:divBdr>
    </w:div>
    <w:div w:id="740908069">
      <w:bodyDiv w:val="1"/>
      <w:marLeft w:val="0"/>
      <w:marRight w:val="0"/>
      <w:marTop w:val="0"/>
      <w:marBottom w:val="0"/>
      <w:divBdr>
        <w:top w:val="none" w:sz="0" w:space="0" w:color="auto"/>
        <w:left w:val="none" w:sz="0" w:space="0" w:color="auto"/>
        <w:bottom w:val="none" w:sz="0" w:space="0" w:color="auto"/>
        <w:right w:val="none" w:sz="0" w:space="0" w:color="auto"/>
      </w:divBdr>
    </w:div>
    <w:div w:id="820342748">
      <w:bodyDiv w:val="1"/>
      <w:marLeft w:val="0"/>
      <w:marRight w:val="0"/>
      <w:marTop w:val="0"/>
      <w:marBottom w:val="0"/>
      <w:divBdr>
        <w:top w:val="none" w:sz="0" w:space="0" w:color="auto"/>
        <w:left w:val="none" w:sz="0" w:space="0" w:color="auto"/>
        <w:bottom w:val="none" w:sz="0" w:space="0" w:color="auto"/>
        <w:right w:val="none" w:sz="0" w:space="0" w:color="auto"/>
      </w:divBdr>
    </w:div>
    <w:div w:id="846095000">
      <w:bodyDiv w:val="1"/>
      <w:marLeft w:val="0"/>
      <w:marRight w:val="0"/>
      <w:marTop w:val="0"/>
      <w:marBottom w:val="0"/>
      <w:divBdr>
        <w:top w:val="none" w:sz="0" w:space="0" w:color="auto"/>
        <w:left w:val="none" w:sz="0" w:space="0" w:color="auto"/>
        <w:bottom w:val="none" w:sz="0" w:space="0" w:color="auto"/>
        <w:right w:val="none" w:sz="0" w:space="0" w:color="auto"/>
      </w:divBdr>
    </w:div>
    <w:div w:id="895625587">
      <w:bodyDiv w:val="1"/>
      <w:marLeft w:val="0"/>
      <w:marRight w:val="0"/>
      <w:marTop w:val="0"/>
      <w:marBottom w:val="0"/>
      <w:divBdr>
        <w:top w:val="none" w:sz="0" w:space="0" w:color="auto"/>
        <w:left w:val="none" w:sz="0" w:space="0" w:color="auto"/>
        <w:bottom w:val="none" w:sz="0" w:space="0" w:color="auto"/>
        <w:right w:val="none" w:sz="0" w:space="0" w:color="auto"/>
      </w:divBdr>
    </w:div>
    <w:div w:id="1006446583">
      <w:bodyDiv w:val="1"/>
      <w:marLeft w:val="0"/>
      <w:marRight w:val="0"/>
      <w:marTop w:val="0"/>
      <w:marBottom w:val="0"/>
      <w:divBdr>
        <w:top w:val="none" w:sz="0" w:space="0" w:color="auto"/>
        <w:left w:val="none" w:sz="0" w:space="0" w:color="auto"/>
        <w:bottom w:val="none" w:sz="0" w:space="0" w:color="auto"/>
        <w:right w:val="none" w:sz="0" w:space="0" w:color="auto"/>
      </w:divBdr>
    </w:div>
    <w:div w:id="1090547370">
      <w:bodyDiv w:val="1"/>
      <w:marLeft w:val="0"/>
      <w:marRight w:val="0"/>
      <w:marTop w:val="0"/>
      <w:marBottom w:val="0"/>
      <w:divBdr>
        <w:top w:val="none" w:sz="0" w:space="0" w:color="auto"/>
        <w:left w:val="none" w:sz="0" w:space="0" w:color="auto"/>
        <w:bottom w:val="none" w:sz="0" w:space="0" w:color="auto"/>
        <w:right w:val="none" w:sz="0" w:space="0" w:color="auto"/>
      </w:divBdr>
    </w:div>
    <w:div w:id="1244335228">
      <w:bodyDiv w:val="1"/>
      <w:marLeft w:val="0"/>
      <w:marRight w:val="0"/>
      <w:marTop w:val="0"/>
      <w:marBottom w:val="0"/>
      <w:divBdr>
        <w:top w:val="none" w:sz="0" w:space="0" w:color="auto"/>
        <w:left w:val="none" w:sz="0" w:space="0" w:color="auto"/>
        <w:bottom w:val="none" w:sz="0" w:space="0" w:color="auto"/>
        <w:right w:val="none" w:sz="0" w:space="0" w:color="auto"/>
      </w:divBdr>
    </w:div>
    <w:div w:id="1332566909">
      <w:bodyDiv w:val="1"/>
      <w:marLeft w:val="0"/>
      <w:marRight w:val="0"/>
      <w:marTop w:val="0"/>
      <w:marBottom w:val="0"/>
      <w:divBdr>
        <w:top w:val="none" w:sz="0" w:space="0" w:color="auto"/>
        <w:left w:val="none" w:sz="0" w:space="0" w:color="auto"/>
        <w:bottom w:val="none" w:sz="0" w:space="0" w:color="auto"/>
        <w:right w:val="none" w:sz="0" w:space="0" w:color="auto"/>
      </w:divBdr>
    </w:div>
    <w:div w:id="1346712274">
      <w:bodyDiv w:val="1"/>
      <w:marLeft w:val="0"/>
      <w:marRight w:val="0"/>
      <w:marTop w:val="0"/>
      <w:marBottom w:val="0"/>
      <w:divBdr>
        <w:top w:val="none" w:sz="0" w:space="0" w:color="auto"/>
        <w:left w:val="none" w:sz="0" w:space="0" w:color="auto"/>
        <w:bottom w:val="none" w:sz="0" w:space="0" w:color="auto"/>
        <w:right w:val="none" w:sz="0" w:space="0" w:color="auto"/>
      </w:divBdr>
    </w:div>
    <w:div w:id="1381712164">
      <w:bodyDiv w:val="1"/>
      <w:marLeft w:val="0"/>
      <w:marRight w:val="0"/>
      <w:marTop w:val="0"/>
      <w:marBottom w:val="0"/>
      <w:divBdr>
        <w:top w:val="none" w:sz="0" w:space="0" w:color="auto"/>
        <w:left w:val="none" w:sz="0" w:space="0" w:color="auto"/>
        <w:bottom w:val="none" w:sz="0" w:space="0" w:color="auto"/>
        <w:right w:val="none" w:sz="0" w:space="0" w:color="auto"/>
      </w:divBdr>
    </w:div>
    <w:div w:id="1388724511">
      <w:bodyDiv w:val="1"/>
      <w:marLeft w:val="0"/>
      <w:marRight w:val="0"/>
      <w:marTop w:val="0"/>
      <w:marBottom w:val="0"/>
      <w:divBdr>
        <w:top w:val="none" w:sz="0" w:space="0" w:color="auto"/>
        <w:left w:val="none" w:sz="0" w:space="0" w:color="auto"/>
        <w:bottom w:val="none" w:sz="0" w:space="0" w:color="auto"/>
        <w:right w:val="none" w:sz="0" w:space="0" w:color="auto"/>
      </w:divBdr>
    </w:div>
    <w:div w:id="1400253217">
      <w:bodyDiv w:val="1"/>
      <w:marLeft w:val="0"/>
      <w:marRight w:val="0"/>
      <w:marTop w:val="0"/>
      <w:marBottom w:val="0"/>
      <w:divBdr>
        <w:top w:val="none" w:sz="0" w:space="0" w:color="auto"/>
        <w:left w:val="none" w:sz="0" w:space="0" w:color="auto"/>
        <w:bottom w:val="none" w:sz="0" w:space="0" w:color="auto"/>
        <w:right w:val="none" w:sz="0" w:space="0" w:color="auto"/>
      </w:divBdr>
    </w:div>
    <w:div w:id="1419669821">
      <w:bodyDiv w:val="1"/>
      <w:marLeft w:val="0"/>
      <w:marRight w:val="0"/>
      <w:marTop w:val="0"/>
      <w:marBottom w:val="0"/>
      <w:divBdr>
        <w:top w:val="none" w:sz="0" w:space="0" w:color="auto"/>
        <w:left w:val="none" w:sz="0" w:space="0" w:color="auto"/>
        <w:bottom w:val="none" w:sz="0" w:space="0" w:color="auto"/>
        <w:right w:val="none" w:sz="0" w:space="0" w:color="auto"/>
      </w:divBdr>
    </w:div>
    <w:div w:id="1465347902">
      <w:bodyDiv w:val="1"/>
      <w:marLeft w:val="0"/>
      <w:marRight w:val="0"/>
      <w:marTop w:val="0"/>
      <w:marBottom w:val="0"/>
      <w:divBdr>
        <w:top w:val="none" w:sz="0" w:space="0" w:color="auto"/>
        <w:left w:val="none" w:sz="0" w:space="0" w:color="auto"/>
        <w:bottom w:val="none" w:sz="0" w:space="0" w:color="auto"/>
        <w:right w:val="none" w:sz="0" w:space="0" w:color="auto"/>
      </w:divBdr>
    </w:div>
    <w:div w:id="1512601200">
      <w:bodyDiv w:val="1"/>
      <w:marLeft w:val="0"/>
      <w:marRight w:val="0"/>
      <w:marTop w:val="0"/>
      <w:marBottom w:val="0"/>
      <w:divBdr>
        <w:top w:val="none" w:sz="0" w:space="0" w:color="auto"/>
        <w:left w:val="none" w:sz="0" w:space="0" w:color="auto"/>
        <w:bottom w:val="none" w:sz="0" w:space="0" w:color="auto"/>
        <w:right w:val="none" w:sz="0" w:space="0" w:color="auto"/>
      </w:divBdr>
    </w:div>
    <w:div w:id="1515539009">
      <w:bodyDiv w:val="1"/>
      <w:marLeft w:val="0"/>
      <w:marRight w:val="0"/>
      <w:marTop w:val="0"/>
      <w:marBottom w:val="0"/>
      <w:divBdr>
        <w:top w:val="none" w:sz="0" w:space="0" w:color="auto"/>
        <w:left w:val="none" w:sz="0" w:space="0" w:color="auto"/>
        <w:bottom w:val="none" w:sz="0" w:space="0" w:color="auto"/>
        <w:right w:val="none" w:sz="0" w:space="0" w:color="auto"/>
      </w:divBdr>
    </w:div>
    <w:div w:id="1569344706">
      <w:bodyDiv w:val="1"/>
      <w:marLeft w:val="0"/>
      <w:marRight w:val="0"/>
      <w:marTop w:val="0"/>
      <w:marBottom w:val="0"/>
      <w:divBdr>
        <w:top w:val="none" w:sz="0" w:space="0" w:color="auto"/>
        <w:left w:val="none" w:sz="0" w:space="0" w:color="auto"/>
        <w:bottom w:val="none" w:sz="0" w:space="0" w:color="auto"/>
        <w:right w:val="none" w:sz="0" w:space="0" w:color="auto"/>
      </w:divBdr>
    </w:div>
    <w:div w:id="1676416651">
      <w:bodyDiv w:val="1"/>
      <w:marLeft w:val="0"/>
      <w:marRight w:val="0"/>
      <w:marTop w:val="0"/>
      <w:marBottom w:val="0"/>
      <w:divBdr>
        <w:top w:val="none" w:sz="0" w:space="0" w:color="auto"/>
        <w:left w:val="none" w:sz="0" w:space="0" w:color="auto"/>
        <w:bottom w:val="none" w:sz="0" w:space="0" w:color="auto"/>
        <w:right w:val="none" w:sz="0" w:space="0" w:color="auto"/>
      </w:divBdr>
    </w:div>
    <w:div w:id="1684240599">
      <w:bodyDiv w:val="1"/>
      <w:marLeft w:val="0"/>
      <w:marRight w:val="0"/>
      <w:marTop w:val="0"/>
      <w:marBottom w:val="0"/>
      <w:divBdr>
        <w:top w:val="none" w:sz="0" w:space="0" w:color="auto"/>
        <w:left w:val="none" w:sz="0" w:space="0" w:color="auto"/>
        <w:bottom w:val="none" w:sz="0" w:space="0" w:color="auto"/>
        <w:right w:val="none" w:sz="0" w:space="0" w:color="auto"/>
      </w:divBdr>
    </w:div>
    <w:div w:id="1754207585">
      <w:bodyDiv w:val="1"/>
      <w:marLeft w:val="0"/>
      <w:marRight w:val="0"/>
      <w:marTop w:val="0"/>
      <w:marBottom w:val="0"/>
      <w:divBdr>
        <w:top w:val="none" w:sz="0" w:space="0" w:color="auto"/>
        <w:left w:val="none" w:sz="0" w:space="0" w:color="auto"/>
        <w:bottom w:val="none" w:sz="0" w:space="0" w:color="auto"/>
        <w:right w:val="none" w:sz="0" w:space="0" w:color="auto"/>
      </w:divBdr>
    </w:div>
    <w:div w:id="1860971926">
      <w:bodyDiv w:val="1"/>
      <w:marLeft w:val="0"/>
      <w:marRight w:val="0"/>
      <w:marTop w:val="0"/>
      <w:marBottom w:val="0"/>
      <w:divBdr>
        <w:top w:val="none" w:sz="0" w:space="0" w:color="auto"/>
        <w:left w:val="none" w:sz="0" w:space="0" w:color="auto"/>
        <w:bottom w:val="none" w:sz="0" w:space="0" w:color="auto"/>
        <w:right w:val="none" w:sz="0" w:space="0" w:color="auto"/>
      </w:divBdr>
    </w:div>
    <w:div w:id="1882522368">
      <w:bodyDiv w:val="1"/>
      <w:marLeft w:val="0"/>
      <w:marRight w:val="0"/>
      <w:marTop w:val="0"/>
      <w:marBottom w:val="0"/>
      <w:divBdr>
        <w:top w:val="none" w:sz="0" w:space="0" w:color="auto"/>
        <w:left w:val="none" w:sz="0" w:space="0" w:color="auto"/>
        <w:bottom w:val="none" w:sz="0" w:space="0" w:color="auto"/>
        <w:right w:val="none" w:sz="0" w:space="0" w:color="auto"/>
      </w:divBdr>
    </w:div>
    <w:div w:id="1966811972">
      <w:bodyDiv w:val="1"/>
      <w:marLeft w:val="0"/>
      <w:marRight w:val="0"/>
      <w:marTop w:val="0"/>
      <w:marBottom w:val="0"/>
      <w:divBdr>
        <w:top w:val="none" w:sz="0" w:space="0" w:color="auto"/>
        <w:left w:val="none" w:sz="0" w:space="0" w:color="auto"/>
        <w:bottom w:val="none" w:sz="0" w:space="0" w:color="auto"/>
        <w:right w:val="none" w:sz="0" w:space="0" w:color="auto"/>
      </w:divBdr>
    </w:div>
    <w:div w:id="1971011681">
      <w:bodyDiv w:val="1"/>
      <w:marLeft w:val="0"/>
      <w:marRight w:val="0"/>
      <w:marTop w:val="0"/>
      <w:marBottom w:val="0"/>
      <w:divBdr>
        <w:top w:val="none" w:sz="0" w:space="0" w:color="auto"/>
        <w:left w:val="none" w:sz="0" w:space="0" w:color="auto"/>
        <w:bottom w:val="none" w:sz="0" w:space="0" w:color="auto"/>
        <w:right w:val="none" w:sz="0" w:space="0" w:color="auto"/>
      </w:divBdr>
    </w:div>
    <w:div w:id="2056270332">
      <w:bodyDiv w:val="1"/>
      <w:marLeft w:val="0"/>
      <w:marRight w:val="0"/>
      <w:marTop w:val="0"/>
      <w:marBottom w:val="0"/>
      <w:divBdr>
        <w:top w:val="none" w:sz="0" w:space="0" w:color="auto"/>
        <w:left w:val="none" w:sz="0" w:space="0" w:color="auto"/>
        <w:bottom w:val="none" w:sz="0" w:space="0" w:color="auto"/>
        <w:right w:val="none" w:sz="0" w:space="0" w:color="auto"/>
      </w:divBdr>
    </w:div>
    <w:div w:id="2062558280">
      <w:bodyDiv w:val="1"/>
      <w:marLeft w:val="0"/>
      <w:marRight w:val="0"/>
      <w:marTop w:val="0"/>
      <w:marBottom w:val="0"/>
      <w:divBdr>
        <w:top w:val="none" w:sz="0" w:space="0" w:color="auto"/>
        <w:left w:val="none" w:sz="0" w:space="0" w:color="auto"/>
        <w:bottom w:val="none" w:sz="0" w:space="0" w:color="auto"/>
        <w:right w:val="none" w:sz="0" w:space="0" w:color="auto"/>
      </w:divBdr>
    </w:div>
    <w:div w:id="2069957685">
      <w:bodyDiv w:val="1"/>
      <w:marLeft w:val="0"/>
      <w:marRight w:val="0"/>
      <w:marTop w:val="0"/>
      <w:marBottom w:val="0"/>
      <w:divBdr>
        <w:top w:val="none" w:sz="0" w:space="0" w:color="auto"/>
        <w:left w:val="none" w:sz="0" w:space="0" w:color="auto"/>
        <w:bottom w:val="none" w:sz="0" w:space="0" w:color="auto"/>
        <w:right w:val="none" w:sz="0" w:space="0" w:color="auto"/>
      </w:divBdr>
    </w:div>
    <w:div w:id="211281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japan.go.jp/g7/_userdata/common/data/20160517communique.pdf" TargetMode="External"/><Relationship Id="rId1" Type="http://schemas.openxmlformats.org/officeDocument/2006/relationships/hyperlink" Target="https://www.cbd.int/decision/cop/default.shtml?id=13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7354-9F67-4FAD-975A-FFF57014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18</Pages>
  <Words>6525</Words>
  <Characters>37194</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43632</CharactersWithSpaces>
  <SharedDoc>false</SharedDoc>
  <HLinks>
    <vt:vector size="48" baseType="variant">
      <vt:variant>
        <vt:i4>4522061</vt:i4>
      </vt:variant>
      <vt:variant>
        <vt:i4>0</vt:i4>
      </vt:variant>
      <vt:variant>
        <vt:i4>0</vt:i4>
      </vt:variant>
      <vt:variant>
        <vt:i4>5</vt:i4>
      </vt:variant>
      <vt:variant>
        <vt:lpwstr>http://pages.au.int/maritime</vt:lpwstr>
      </vt:variant>
      <vt:variant>
        <vt:lpwstr/>
      </vt:variant>
      <vt:variant>
        <vt:i4>2162751</vt:i4>
      </vt:variant>
      <vt:variant>
        <vt:i4>18</vt:i4>
      </vt:variant>
      <vt:variant>
        <vt:i4>0</vt:i4>
      </vt:variant>
      <vt:variant>
        <vt:i4>5</vt:i4>
      </vt:variant>
      <vt:variant>
        <vt:lpwstr>http://dx.doi.org/10.1787/9789264251724-en</vt:lpwstr>
      </vt:variant>
      <vt:variant>
        <vt:lpwstr/>
      </vt:variant>
      <vt:variant>
        <vt:i4>3670108</vt:i4>
      </vt:variant>
      <vt:variant>
        <vt:i4>15</vt:i4>
      </vt:variant>
      <vt:variant>
        <vt:i4>0</vt:i4>
      </vt:variant>
      <vt:variant>
        <vt:i4>5</vt:i4>
      </vt:variant>
      <vt:variant>
        <vt:lpwstr>http://www.japan.go.jp/g7/_userdata/common/data/20160517communique.pdf</vt:lpwstr>
      </vt:variant>
      <vt:variant>
        <vt:lpwstr/>
      </vt:variant>
      <vt:variant>
        <vt:i4>2162751</vt:i4>
      </vt:variant>
      <vt:variant>
        <vt:i4>12</vt:i4>
      </vt:variant>
      <vt:variant>
        <vt:i4>0</vt:i4>
      </vt:variant>
      <vt:variant>
        <vt:i4>5</vt:i4>
      </vt:variant>
      <vt:variant>
        <vt:lpwstr>http://dx.doi.org/10.1787/9789264251724-en</vt:lpwstr>
      </vt:variant>
      <vt:variant>
        <vt:lpwstr/>
      </vt:variant>
      <vt:variant>
        <vt:i4>3735664</vt:i4>
      </vt:variant>
      <vt:variant>
        <vt:i4>9</vt:i4>
      </vt:variant>
      <vt:variant>
        <vt:i4>0</vt:i4>
      </vt:variant>
      <vt:variant>
        <vt:i4>5</vt:i4>
      </vt:variant>
      <vt:variant>
        <vt:lpwstr>http://eur-lex.europa.eu/legal-content/EN/TXT/?uri=COM:2015:636:FIN</vt:lpwstr>
      </vt:variant>
      <vt:variant>
        <vt:lpwstr/>
      </vt:variant>
      <vt:variant>
        <vt:i4>4194381</vt:i4>
      </vt:variant>
      <vt:variant>
        <vt:i4>6</vt:i4>
      </vt:variant>
      <vt:variant>
        <vt:i4>0</vt:i4>
      </vt:variant>
      <vt:variant>
        <vt:i4>5</vt:i4>
      </vt:variant>
      <vt:variant>
        <vt:lpwstr>http://www.ellenmacarthurfoundation.org/publications</vt:lpwstr>
      </vt:variant>
      <vt:variant>
        <vt:lpwstr/>
      </vt:variant>
      <vt:variant>
        <vt:i4>2162751</vt:i4>
      </vt:variant>
      <vt:variant>
        <vt:i4>3</vt:i4>
      </vt:variant>
      <vt:variant>
        <vt:i4>0</vt:i4>
      </vt:variant>
      <vt:variant>
        <vt:i4>5</vt:i4>
      </vt:variant>
      <vt:variant>
        <vt:lpwstr>http://dx.doi.org/10.1787/9789264251724-en</vt:lpwstr>
      </vt:variant>
      <vt:variant>
        <vt:lpwstr/>
      </vt:variant>
      <vt:variant>
        <vt:i4>1376343</vt:i4>
      </vt:variant>
      <vt:variant>
        <vt:i4>0</vt:i4>
      </vt:variant>
      <vt:variant>
        <vt:i4>0</vt:i4>
      </vt:variant>
      <vt:variant>
        <vt:i4>5</vt:i4>
      </vt:variant>
      <vt:variant>
        <vt:lpwstr>http://ec.europa.eu/dgs/maritimeaffairs_fisheries/consultations/ocean-governance/doc/ocean-governance-summary_en.pdf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59</cp:revision>
  <cp:lastPrinted>2016-10-27T13:22:00Z</cp:lastPrinted>
  <dcterms:created xsi:type="dcterms:W3CDTF">2016-10-27T13:20:00Z</dcterms:created>
  <dcterms:modified xsi:type="dcterms:W3CDTF">2016-11-10T10:04:00Z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