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6EDD821B9AED43C892EFE8A0BD9861DC" style="width:451pt;height:307pt">
            <v:imagedata r:id="rId15" o:title=""/>
          </v:shape>
        </w:pict>
      </w:r>
    </w:p>
    <w:bookmarkEnd w:id="0"/>
    <w:p>
      <w:pPr>
        <w:rPr>
          <w:noProof/>
        </w:rPr>
        <w:sectPr>
          <w:headerReference w:type="even" r:id="rId16"/>
          <w:headerReference w:type="default" r:id="rId17"/>
          <w:footerReference w:type="even" r:id="rId18"/>
          <w:footerReference w:type="default" r:id="rId19"/>
          <w:headerReference w:type="first" r:id="rId20"/>
          <w:footerReference w:type="first" r:id="rId21"/>
          <w:pgSz w:w="11906" w:h="16838"/>
          <w:pgMar w:top="1134" w:right="1417" w:bottom="1134" w:left="1417" w:header="709" w:footer="709" w:gutter="0"/>
          <w:pgNumType w:start="1"/>
          <w:cols w:space="720"/>
          <w:docGrid w:linePitch="360"/>
        </w:sectPr>
      </w:pPr>
    </w:p>
    <w:p>
      <w:pPr>
        <w:pStyle w:val="Typedudocument"/>
        <w:rPr>
          <w:noProof/>
        </w:rPr>
      </w:pPr>
      <w:bookmarkStart w:id="1" w:name="_GoBack"/>
      <w:bookmarkEnd w:id="1"/>
      <w:r>
        <w:rPr>
          <w:noProof/>
        </w:rPr>
        <w:lastRenderedPageBreak/>
        <w:t>KOMISJONI ARUANNE</w:t>
      </w:r>
    </w:p>
    <w:p>
      <w:pPr>
        <w:pStyle w:val="Titreobjet"/>
        <w:rPr>
          <w:b w:val="0"/>
          <w:noProof/>
        </w:rPr>
      </w:pPr>
      <w:r>
        <w:rPr>
          <w:noProof/>
        </w:rPr>
        <w:t>Võimsuse tagamise mehhanismide sektoriuuringu lõpparuanne</w:t>
      </w:r>
    </w:p>
    <w:p>
      <w:pPr>
        <w:spacing w:before="360" w:after="120"/>
        <w:rPr>
          <w:rFonts w:ascii="Times New Roman" w:hAnsi="Times New Roman"/>
          <w:b/>
          <w:noProof/>
          <w:color w:val="000000" w:themeColor="text1"/>
          <w:sz w:val="24"/>
          <w:szCs w:val="24"/>
        </w:rPr>
      </w:pPr>
      <w:r>
        <w:rPr>
          <w:rFonts w:ascii="Times New Roman" w:hAnsi="Times New Roman"/>
          <w:b/>
          <w:noProof/>
          <w:color w:val="000000" w:themeColor="text1"/>
          <w:sz w:val="24"/>
        </w:rPr>
        <w:t>1. Sissejuhatus</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Euroopa energialiidu strateegia eesmärk on tagada Euroopa tarbijatele turvaline, säästev ja taskukohane energiavarustus</w:t>
      </w:r>
      <w:r>
        <w:rPr>
          <w:rStyle w:val="FootnoteReference"/>
          <w:noProof/>
          <w:color w:val="000000" w:themeColor="text1"/>
        </w:rPr>
        <w:footnoteReference w:id="2"/>
      </w:r>
      <w:r>
        <w:rPr>
          <w:noProof/>
        </w:rPr>
        <w:t>.</w:t>
      </w:r>
      <w:r>
        <w:rPr>
          <w:rFonts w:ascii="Times New Roman" w:hAnsi="Times New Roman"/>
          <w:noProof/>
          <w:color w:val="000000" w:themeColor="text1"/>
          <w:sz w:val="24"/>
        </w:rPr>
        <w:t xml:space="preserve"> Kuigi selle eesmärgi suunas on tehtud olulisi edusamme, on elektrienergia varustuskindlus üha enamates liikmesriikides järjest suurem probleem. Elektrienergiavarustuse võimalike katkestuste ärahoidmiseks on osa liikmesriike kasutusele võtnud mitmesugused võimsuse tagamise mehhanismid või kavatseb need kasutusele võtta. Need mehhanismid peaksid tagama elektritootjatele ja teistele tootmisvõimsuse pakkujatele, näiteks energiavahendajatele, tasu valmiduse eest.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Avaliku sektori toetus tootmisvõimsuse pakkujatele võib moonutada konkurentsi elektriturul ja põhimõtteliselt oleks selle puhul tegemist riigiabiga. Sageli toetatakse võimsuse tagamise mehhanismidega vaid kodumaiseid tootmisvõimsuse pakkujaid, võtmata seejuures arvesse importimise pakutavat väärtust ja moonutades investeerimissignaale. See tähendab, et paljud avatud ja hästi ühendatud energia siseturu pakutavad hüved jäävad kasutamata ja tarbijate kulud suurenevad. Ühtlasi võivad need mehhanismid mõnikord põhjendamatult soosida konkreetseid tehnoloogiavaldkondi või turuosalisi ning takistada uute konkureerivate osalejate sisenemist elektriturule. See moonutab konkurentsi, võib seada ohtu CO</w:t>
      </w:r>
      <w:r>
        <w:rPr>
          <w:rFonts w:ascii="Times New Roman" w:hAnsi="Times New Roman"/>
          <w:noProof/>
          <w:color w:val="000000" w:themeColor="text1"/>
          <w:sz w:val="24"/>
          <w:vertAlign w:val="subscript"/>
        </w:rPr>
        <w:t>2</w:t>
      </w:r>
      <w:r>
        <w:rPr>
          <w:rFonts w:ascii="Times New Roman" w:hAnsi="Times New Roman"/>
          <w:noProof/>
          <w:color w:val="000000" w:themeColor="text1"/>
          <w:sz w:val="24"/>
        </w:rPr>
        <w:t xml:space="preserve">-heite vähendamise eesmärkide saavutamise ja suurendab varustuskindluse eest makstavat hinda. Seetõttu käivitas komisjon 29. aprillil 2015 riigiabile keskenduva sektoriuuringu, et analüüsida võimsuse tagamise mehhanismide vajadust, kavandamist ja nende mõju turule.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Käesolevas lõpparuandes kajastatakse selle uuringu peamisi tulemusi, kusjuures üksikasjalikum teave on esitatud lisatud aruandes</w:t>
      </w:r>
      <w:r>
        <w:rPr>
          <w:rStyle w:val="FootnoteReference"/>
          <w:rFonts w:ascii="Times New Roman" w:hAnsi="Times New Roman"/>
          <w:noProof/>
          <w:color w:val="000000" w:themeColor="text1"/>
          <w:sz w:val="24"/>
        </w:rPr>
        <w:footnoteReference w:id="3"/>
      </w:r>
      <w:r>
        <w:rPr>
          <w:noProof/>
        </w:rPr>
        <w:t>.</w:t>
      </w:r>
      <w:r>
        <w:rPr>
          <w:rFonts w:ascii="Times New Roman" w:hAnsi="Times New Roman"/>
          <w:noProof/>
          <w:color w:val="000000" w:themeColor="text1"/>
          <w:sz w:val="24"/>
        </w:rPr>
        <w:t xml:space="preserve"> Lõpparuandes käsitletakse seda, millistel juhtudel kujutavad võimsuse tagamise mehhanismid endast riigiabi ja kuidas komisjon hindab kõnealuseid mehhanisme seoses riigiabi eeskirjadega</w:t>
      </w:r>
      <w:r>
        <w:rPr>
          <w:rStyle w:val="FootnoteReference"/>
          <w:rFonts w:ascii="Times New Roman" w:hAnsi="Times New Roman"/>
          <w:noProof/>
          <w:color w:val="000000" w:themeColor="text1"/>
          <w:sz w:val="24"/>
        </w:rPr>
        <w:footnoteReference w:id="4"/>
      </w:r>
      <w:r>
        <w:rPr>
          <w:rFonts w:ascii="Times New Roman" w:hAnsi="Times New Roman"/>
          <w:noProof/>
          <w:color w:val="000000" w:themeColor="text1"/>
          <w:sz w:val="24"/>
          <w:vertAlign w:val="superscript"/>
        </w:rPr>
        <w:t>,</w:t>
      </w:r>
      <w:r>
        <w:rPr>
          <w:rFonts w:ascii="Times New Roman" w:hAnsi="Times New Roman"/>
          <w:noProof/>
          <w:color w:val="000000" w:themeColor="text1"/>
          <w:sz w:val="24"/>
        </w:rPr>
        <w:t xml:space="preserve"> </w:t>
      </w:r>
      <w:r>
        <w:rPr>
          <w:rStyle w:val="FootnoteReference"/>
          <w:rFonts w:ascii="Times New Roman" w:hAnsi="Times New Roman"/>
          <w:noProof/>
          <w:color w:val="000000" w:themeColor="text1"/>
          <w:sz w:val="24"/>
        </w:rPr>
        <w:footnoteReference w:id="5"/>
      </w:r>
      <w:r>
        <w:rPr>
          <w:noProof/>
        </w:rPr>
        <w:t>.</w:t>
      </w:r>
      <w:r>
        <w:rPr>
          <w:rFonts w:ascii="Times New Roman" w:hAnsi="Times New Roman"/>
          <w:noProof/>
          <w:color w:val="000000" w:themeColor="text1"/>
          <w:sz w:val="24"/>
        </w:rPr>
        <w:t xml:space="preserve"> Nende eeskirjade kohaldamisel on komisjoni eesmärk tagada, et liikmesriigid rakendaksid võimsuse tagamise mehhanisme üksnes vajaduse korral ning väldiksid seejuures energia siseturu killustumist riikide turgudeks tarbijate ja võimalik, et ka kliimaeesmärkide saavutamise arvelt.</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Sektoriuuringu ajal keskendusid komisjoni talitused elektriturgudele 11 liikmesriigis, kus võimsuse tagamise mehhanismid olid juba kasutusele võetud või kus nende kasutuselevõtmist kavandati</w:t>
      </w:r>
      <w:r>
        <w:rPr>
          <w:rStyle w:val="FootnoteReference"/>
          <w:rFonts w:ascii="Times New Roman" w:hAnsi="Times New Roman"/>
          <w:noProof/>
          <w:color w:val="000000" w:themeColor="text1"/>
          <w:sz w:val="24"/>
        </w:rPr>
        <w:footnoteReference w:id="6"/>
      </w:r>
      <w:r>
        <w:rPr>
          <w:noProof/>
        </w:rPr>
        <w:t>.</w:t>
      </w:r>
      <w:r>
        <w:rPr>
          <w:rFonts w:ascii="Times New Roman" w:hAnsi="Times New Roman"/>
          <w:noProof/>
          <w:color w:val="000000" w:themeColor="text1"/>
          <w:sz w:val="24"/>
        </w:rPr>
        <w:t xml:space="preserve"> Komisjoni talitused kogusid hulgaliselt teavet liikmesriikidelt, energeetikasektorit reguleerivatelt asutustelt, ühendustelt ja elektrituru ettevõtjatelt, korraldades kohtumisi ja </w:t>
      </w:r>
      <w:r>
        <w:rPr>
          <w:rFonts w:ascii="Times New Roman" w:hAnsi="Times New Roman"/>
          <w:noProof/>
          <w:color w:val="000000" w:themeColor="text1"/>
          <w:sz w:val="24"/>
        </w:rPr>
        <w:lastRenderedPageBreak/>
        <w:t>saates küsimustikud (kahe avaliku konsultatsiooni raames) enam kui 200 sidusrühmale. 13. aprillil 2016 avaldas komisjon võimsuse tagamise mehhanismide sektoriuuringu vahearuande avalikuks konsulteerimiseks</w:t>
      </w:r>
      <w:r>
        <w:rPr>
          <w:rStyle w:val="FootnoteReference"/>
          <w:rFonts w:ascii="Times New Roman" w:hAnsi="Times New Roman"/>
          <w:noProof/>
          <w:color w:val="000000" w:themeColor="text1"/>
          <w:sz w:val="24"/>
        </w:rPr>
        <w:footnoteReference w:id="7"/>
      </w:r>
      <w:r>
        <w:rPr>
          <w:noProof/>
        </w:rPr>
        <w:t>.</w:t>
      </w:r>
      <w:r>
        <w:rPr>
          <w:rFonts w:ascii="Times New Roman" w:hAnsi="Times New Roman"/>
          <w:noProof/>
          <w:color w:val="000000" w:themeColor="text1"/>
          <w:sz w:val="24"/>
        </w:rPr>
        <w:t xml:space="preserve"> Käesolevas aruandes võetakse arvesse vahearuande kohta esitatud vastuseid, mida laekus kokku 114</w:t>
      </w:r>
      <w:r>
        <w:rPr>
          <w:rStyle w:val="FootnoteReference"/>
          <w:rFonts w:ascii="Times New Roman" w:hAnsi="Times New Roman"/>
          <w:noProof/>
          <w:color w:val="000000" w:themeColor="text1"/>
          <w:sz w:val="24"/>
        </w:rPr>
        <w:footnoteReference w:id="8"/>
      </w:r>
      <w:r>
        <w:rPr>
          <w:noProof/>
        </w:rPr>
        <w:t>.</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Käesolev aruanne ja selle lisad esitatakse koos seadusandlike ettepanekute paketiga osana strateegiast, mille eesmärk on luua ELi energialiit ja tulevikku suunatud kliimamuutuste poliitika. See pakett sisaldab seadusandlikke ettepanekuid, mille eesmärk on parandada ELi elektriturgude korraldust ja toimimist (turukorralduse algatus), sealhulgas ettepanekuid liikmesriikide tootmise piisavuse poliitika täiustamiseks sektoriuuringu tulemuste alusel, et lõppkokkuvõttes vältida olukordi, kus varustuskindluse jaoks on vaja rakendada võimsuse tagamise mehhanisme</w:t>
      </w:r>
      <w:r>
        <w:rPr>
          <w:rStyle w:val="FootnoteReference"/>
          <w:rFonts w:ascii="Times New Roman" w:hAnsi="Times New Roman"/>
          <w:noProof/>
          <w:color w:val="000000" w:themeColor="text1"/>
          <w:sz w:val="24"/>
        </w:rPr>
        <w:footnoteReference w:id="9"/>
      </w:r>
      <w:r>
        <w:rPr>
          <w:noProof/>
        </w:rPr>
        <w:t>.</w:t>
      </w:r>
    </w:p>
    <w:p>
      <w:pPr>
        <w:keepNext/>
        <w:spacing w:before="360" w:after="120"/>
        <w:rPr>
          <w:rFonts w:ascii="Times New Roman" w:hAnsi="Times New Roman"/>
          <w:b/>
          <w:noProof/>
          <w:color w:val="000000" w:themeColor="text1"/>
          <w:sz w:val="24"/>
        </w:rPr>
      </w:pPr>
      <w:r>
        <w:rPr>
          <w:rFonts w:ascii="Times New Roman" w:hAnsi="Times New Roman"/>
          <w:b/>
          <w:noProof/>
          <w:color w:val="000000" w:themeColor="text1"/>
          <w:sz w:val="24"/>
        </w:rPr>
        <w:t>2. Küsimused varustuskindluse kohta</w:t>
      </w:r>
    </w:p>
    <w:p>
      <w:pPr>
        <w:spacing w:before="240" w:after="120"/>
        <w:jc w:val="both"/>
        <w:rPr>
          <w:rFonts w:ascii="Times New Roman" w:hAnsi="Times New Roman"/>
          <w:i/>
          <w:noProof/>
          <w:color w:val="000000" w:themeColor="text1"/>
          <w:sz w:val="24"/>
        </w:rPr>
      </w:pPr>
      <w:r>
        <w:rPr>
          <w:rFonts w:ascii="Times New Roman" w:hAnsi="Times New Roman"/>
          <w:i/>
          <w:noProof/>
          <w:color w:val="000000" w:themeColor="text1"/>
          <w:sz w:val="24"/>
        </w:rPr>
        <w:t>2.1. Kas praegu esineb ELis probleeme elektrienergia varustuskindlusega?</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Alates majandus- ja finantskriisi puhkemisest 2008. aastal on nõudlus elektrienergia järele ELis kahanenud. Kogu ülesseatud tootmisvõimsus on samal ajavahemikul aga järjest suurenenud</w:t>
      </w:r>
      <w:r>
        <w:rPr>
          <w:rStyle w:val="FootnoteReference"/>
          <w:rFonts w:ascii="Times New Roman" w:hAnsi="Times New Roman"/>
          <w:noProof/>
          <w:color w:val="000000" w:themeColor="text1"/>
          <w:sz w:val="24"/>
        </w:rPr>
        <w:footnoteReference w:id="10"/>
      </w:r>
      <w:r>
        <w:rPr>
          <w:noProof/>
        </w:rPr>
        <w:t>.</w:t>
      </w:r>
      <w:r>
        <w:rPr>
          <w:rFonts w:ascii="Times New Roman" w:hAnsi="Times New Roman"/>
          <w:noProof/>
          <w:color w:val="000000" w:themeColor="text1"/>
          <w:sz w:val="24"/>
        </w:rPr>
        <w:t xml:space="preserve"> Võimsusmarginaalid</w:t>
      </w:r>
      <w:r>
        <w:rPr>
          <w:rStyle w:val="FootnoteReference"/>
          <w:rFonts w:ascii="Times New Roman" w:hAnsi="Times New Roman"/>
          <w:noProof/>
          <w:color w:val="000000" w:themeColor="text1"/>
          <w:sz w:val="24"/>
        </w:rPr>
        <w:footnoteReference w:id="11"/>
      </w:r>
      <w:r>
        <w:rPr>
          <w:rFonts w:ascii="Times New Roman" w:hAnsi="Times New Roman"/>
          <w:noProof/>
          <w:color w:val="000000" w:themeColor="text1"/>
          <w:sz w:val="24"/>
        </w:rPr>
        <w:t xml:space="preserve"> on seetõttu kasvanud</w:t>
      </w:r>
      <w:r>
        <w:rPr>
          <w:rStyle w:val="FootnoteReference"/>
          <w:rFonts w:ascii="Times New Roman" w:hAnsi="Times New Roman"/>
          <w:noProof/>
          <w:color w:val="000000" w:themeColor="text1"/>
          <w:sz w:val="24"/>
        </w:rPr>
        <w:footnoteReference w:id="12"/>
      </w:r>
      <w:r>
        <w:rPr>
          <w:rFonts w:ascii="Times New Roman" w:hAnsi="Times New Roman"/>
          <w:noProof/>
          <w:color w:val="000000" w:themeColor="text1"/>
          <w:sz w:val="24"/>
        </w:rPr>
        <w:t xml:space="preserve"> ja alates 2010. aastast on hinnahüpete sagedus elektriturgudel vähenenud</w:t>
      </w:r>
      <w:r>
        <w:rPr>
          <w:rStyle w:val="FootnoteReference"/>
          <w:rFonts w:ascii="Times New Roman" w:hAnsi="Times New Roman"/>
          <w:noProof/>
          <w:color w:val="000000" w:themeColor="text1"/>
          <w:sz w:val="24"/>
        </w:rPr>
        <w:footnoteReference w:id="13"/>
      </w:r>
      <w:r>
        <w:rPr>
          <w:noProof/>
        </w:rPr>
        <w:t>.</w:t>
      </w:r>
      <w:r>
        <w:rPr>
          <w:rFonts w:ascii="Times New Roman" w:hAnsi="Times New Roman"/>
          <w:noProof/>
          <w:color w:val="000000" w:themeColor="text1"/>
          <w:sz w:val="24"/>
        </w:rPr>
        <w:t xml:space="preserve"> Sektoriuuringus kinnitati, et võimsuse ebapiisavust, mille korral on tarbijad ebapiisava elektritootmise tõttu reaalselt võrgust lahti ühendatud, on viimasel viiel aastal esinenud väga harva</w:t>
      </w:r>
      <w:r>
        <w:rPr>
          <w:rStyle w:val="FootnoteReference"/>
          <w:rFonts w:ascii="Times New Roman" w:hAnsi="Times New Roman"/>
          <w:noProof/>
          <w:color w:val="000000" w:themeColor="text1"/>
          <w:sz w:val="24"/>
        </w:rPr>
        <w:footnoteReference w:id="14"/>
      </w:r>
      <w:r>
        <w:rPr>
          <w:noProof/>
        </w:rPr>
        <w:t>.</w:t>
      </w:r>
      <w:r>
        <w:rPr>
          <w:rFonts w:ascii="Times New Roman" w:hAnsi="Times New Roman"/>
          <w:noProof/>
          <w:color w:val="000000" w:themeColor="text1"/>
          <w:sz w:val="24"/>
        </w:rPr>
        <w:t xml:space="preserve"> Teisisõnu valitseb ELis tervikuna praegu ülevõimsus.</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Liikmesriikide olukord on aga erinev. Tundub, et osa liikmesriike seisab tõepoolest silmitsi varustuskindluse probleemidega, mis varieeruvad ulatuselt ja kestuselt, ning mõnes liikmesriigis mõjutavad kindlaid piirkondi teatavad kohalikud varustuskindluse probleemid. Peale selle kavatsetakse lähiaastatel järk-järgult sulgeda märkimisväärsel arvul praegu töötavaid elektrijaamu. Osa elektrijaamu on jõudmas tööea lõppu, mõni ei vasta uutele keskkonna- ega heitenormidele ning osa suletakse riigi tasandi energiapoliitika valikute tulemusena (nt Saksamaa loobub järk-järgult tuumaenergia kasutamisest).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Üldisemal tasandil on Euroopa elektrisektor pretsedenditus üleminekufaasis. Turgude liberaliseerimine ja kasvuhoonegaaside heite vähendamise jõupingutused on oluliselt muutnud elektrienergia tootmist, kaubandust ja tarbimist. Kiirel tõusuteel on elektrienergia tootmine taastuvatest energiaallikatest. Tänu sellele on langenud elektrienergia hulgihinnad, ent samal ajal on vähenenud elektrienergia tootmine tavatehnoloogiate abil, näiteks kivisöest ja gaasist, kuna taastuvenergia jooksvad kulud on üldiselt madalamad. </w:t>
      </w:r>
      <w:r>
        <w:rPr>
          <w:rFonts w:ascii="Times New Roman" w:hAnsi="Times New Roman"/>
          <w:noProof/>
          <w:sz w:val="24"/>
        </w:rPr>
        <w:t>Elektrienergia tavatootmise kasumlikkust on kärpinud ka vähenev nõudlus, madalamad hinnad ja väiksemad kasutusmäärad</w:t>
      </w:r>
      <w:r>
        <w:rPr>
          <w:rFonts w:ascii="Times New Roman" w:hAnsi="Times New Roman"/>
          <w:noProof/>
          <w:color w:val="000000" w:themeColor="text1"/>
          <w:sz w:val="24"/>
        </w:rPr>
        <w:t>. Samal ajal on endiselt oluline roll paindlikel tavatehnoloogiatel – kuna taastuvate energiaallikate, näiteks tuule- ja päikeseenergia</w:t>
      </w:r>
      <w:r>
        <w:rPr>
          <w:rStyle w:val="FootnoteReference"/>
          <w:rFonts w:ascii="Times New Roman" w:hAnsi="Times New Roman"/>
          <w:noProof/>
          <w:color w:val="000000" w:themeColor="text1"/>
          <w:sz w:val="24"/>
        </w:rPr>
        <w:footnoteReference w:id="15"/>
      </w:r>
      <w:r>
        <w:rPr>
          <w:rFonts w:ascii="Times New Roman" w:hAnsi="Times New Roman"/>
          <w:noProof/>
          <w:color w:val="000000" w:themeColor="text1"/>
          <w:sz w:val="24"/>
        </w:rPr>
        <w:t xml:space="preserve"> toodang oleneb ilmastikutingimustest ning on päevasel ja öisel ajal erinev, nõuab nende üha suurenev osakaal paindlikke energiasüsteeme, sealhulgas usaldusväärset varuvõimsust vajaduse korral tavatootmise, tarbimiskaja või energia salvestamise kujul, et tagada igakülgne varustuskindlus. </w:t>
      </w:r>
    </w:p>
    <w:p>
      <w:pPr>
        <w:spacing w:before="120" w:after="120"/>
        <w:jc w:val="both"/>
        <w:rPr>
          <w:rFonts w:ascii="Times New Roman" w:hAnsi="Times New Roman"/>
          <w:noProof/>
          <w:color w:val="000000" w:themeColor="text1"/>
          <w:sz w:val="24"/>
        </w:rPr>
      </w:pPr>
      <w:r>
        <w:rPr>
          <w:rFonts w:ascii="Times New Roman" w:hAnsi="Times New Roman"/>
          <w:noProof/>
          <w:sz w:val="24"/>
        </w:rPr>
        <w:t xml:space="preserve">Liikmesriigid on mures, et olemasolevast elektrienergia tootmisvõimsusest ja oodatavate investeeringute toel loodavast lisavõimsusest ei pruugi piisata varustuskindluse säilitamiseks tulevikus. </w:t>
      </w:r>
      <w:r>
        <w:rPr>
          <w:rFonts w:ascii="Times New Roman" w:hAnsi="Times New Roman"/>
          <w:noProof/>
          <w:color w:val="000000" w:themeColor="text1"/>
          <w:sz w:val="24"/>
        </w:rPr>
        <w:t xml:space="preserve">Kui tavatootmisel saadava tootmisvõimsuse väiksem kasumlikkus praegusel ajal peegeldab ainuüksi nüüdset liigvõimsust, ei pruugi olla olulist põhjust muretseda tulevase võimsuse piisavuse pärast. Kui kasumlikkus on kahanenud aga ka turutõrgete või õiguslike puuduste tõttu, ei pruugi investeerimisstiimulitest piisata selleks, et säilitada keskpikas ja pikas perspektiivis küllaldast tootmisvõimsuse taset. </w:t>
      </w:r>
    </w:p>
    <w:p>
      <w:pPr>
        <w:keepNext/>
        <w:spacing w:before="240" w:after="120"/>
        <w:jc w:val="both"/>
        <w:rPr>
          <w:rFonts w:ascii="Times New Roman" w:hAnsi="Times New Roman"/>
          <w:i/>
          <w:noProof/>
          <w:color w:val="000000" w:themeColor="text1"/>
          <w:sz w:val="24"/>
        </w:rPr>
      </w:pPr>
      <w:r>
        <w:rPr>
          <w:rFonts w:ascii="Times New Roman" w:hAnsi="Times New Roman"/>
          <w:i/>
          <w:noProof/>
          <w:color w:val="000000" w:themeColor="text1"/>
          <w:sz w:val="24"/>
        </w:rPr>
        <w:t>2.2. Miks ei pruugi investeeringutest piisata varustuskindluse tagamiseks tulevikus?</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Seda, kas säilitada olemasolev võimsustase või investeerida lisavõimsusesse, otsustavad ettevõtjad oodatavate tulude alusel.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Selgitamaks välja, kas analüüsitud turud suudavad pakkuda stiimuleid piisavateks investeeringuteks tulevast nõudlust rahuldavasse võimsusesse, analüüsiti sektoriuuringus võimalike õiguslike puuduste ja/või turutõrgete olemasolu, mis võivad investeeringuid takistada. Uuringus tehtigi kindlaks mitu turutõrget, mis võivad takistada elektriturgudel piisavate investeeringute ligimeelitamist varustuskindluse tagamiseks. Eeskätt järeldati sektoriuuringus, et tõhusaks toimimiseks sõltuvad elektriturud piisavast hinnatõusust perioodidel, kui pakkumine on nõudlusest väiksem. Nende n-ö nappusperioodide kõrgetest hindadest saadav kasum on oluline investeerimisstiimul, eeskätt paindlike tehnoloogiate korral, mida käitatakse harva ja mis seetõttu peavad nendesse investeeritud summad tasa tegema vaid väheste töötundidega.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Tegelikkuses on mitu tegurit, mis piiravad elektriturgude võimet tõsta energianappuse tingimustes hindu. Esiteks on vähe selliseid eraldiseisvaid elektritarbijaid, kes suudavad reageerida hinnamuutustele reaalajas ja vähendada kõrgete hindade korral tarbimist tipptundidel. Nõudluse hinnaelastsuse puudumisel sisaldavad riigi ametiasutuste koostatud pakkumise ja nõudluse tasakaalustamist reguleerivad eeskirjad sageli madalaid reguleeritud hinnalagesid, mis ei peegelda tarbijate valmidust maksta varustuskindluse eest ning mille tõttu elektrihinnad ei kajasta lisavõimsuse piisavuse tegelikku väärtust</w:t>
      </w:r>
      <w:r>
        <w:rPr>
          <w:rStyle w:val="FootnoteReference"/>
          <w:rFonts w:ascii="Times New Roman" w:hAnsi="Times New Roman"/>
          <w:noProof/>
          <w:color w:val="000000" w:themeColor="text1"/>
          <w:sz w:val="24"/>
        </w:rPr>
        <w:footnoteReference w:id="16"/>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Teiseks, isegi konkreetsete hinnalagede puudumisel määravad forvardturgude hinnalaed tegelikult eeskirjad, millega reguleeritakse bilansiturge, kus võrguettevõtjad peavad reaalajas ühitama elektritootmist ja nõudlust ning kus määratakse kindlaks lõplik tunnipõhine elektrihind</w:t>
      </w:r>
      <w:r>
        <w:rPr>
          <w:rStyle w:val="FootnoteReference"/>
          <w:rFonts w:ascii="Times New Roman" w:hAnsi="Times New Roman"/>
          <w:noProof/>
          <w:color w:val="000000" w:themeColor="text1"/>
          <w:sz w:val="24"/>
        </w:rPr>
        <w:footnoteReference w:id="17"/>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Kolmandaks mängib olulist rolli asjakohane pakkumispiirkondade piiritlus, et tagada õiged asukohapõhised signaalid tootmis- ja ülekandevõimsusesse investeerimiseks</w:t>
      </w:r>
      <w:r>
        <w:rPr>
          <w:rStyle w:val="FootnoteReference"/>
          <w:rFonts w:ascii="Times New Roman" w:hAnsi="Times New Roman"/>
          <w:noProof/>
          <w:color w:val="000000" w:themeColor="text1"/>
          <w:sz w:val="24"/>
        </w:rPr>
        <w:footnoteReference w:id="18"/>
      </w:r>
      <w:r>
        <w:rPr>
          <w:rFonts w:ascii="Times New Roman" w:hAnsi="Times New Roman"/>
          <w:noProof/>
          <w:color w:val="000000" w:themeColor="text1"/>
          <w:sz w:val="24"/>
        </w:rPr>
        <w:t>. Kui suures pakkumispiirkonnas määratakse hinnad ilma ülekandevõrgu piiranguid arvesse võtmata, on vaja turuväliseid koormuste ümberjaotamise meetmeid, et lülitada selle suure piirkonna teatavas osas elektritootmine välja ja teises osas sisse (lisatasu eest), et tagada võrgus bilanss. Selline turuväline koormuste ümberjaotamine nõrgestab investeerimissignaale ja moonutab elektrihindu, toetades varjatud kujul teatavaid tarbijaid ja põhjustades lisakulusid teistele</w:t>
      </w:r>
      <w:r>
        <w:rPr>
          <w:rStyle w:val="FootnoteReference"/>
          <w:rFonts w:ascii="Times New Roman" w:hAnsi="Times New Roman"/>
          <w:noProof/>
          <w:color w:val="000000" w:themeColor="text1"/>
          <w:sz w:val="24"/>
        </w:rPr>
        <w:footnoteReference w:id="19"/>
      </w:r>
      <w:r>
        <w:rPr>
          <w:noProof/>
        </w:rPr>
        <w:t>.</w:t>
      </w:r>
      <w:r>
        <w:rPr>
          <w:rFonts w:ascii="Times New Roman" w:hAnsi="Times New Roman"/>
          <w:noProof/>
          <w:color w:val="000000" w:themeColor="text1"/>
          <w:sz w:val="24"/>
        </w:rPr>
        <w:t xml:space="preserve"> Hinnamoonutus kahjustab piiriülest kaubandust ja vähendab stiimuleid investeerida liikmesriikidevahelise ülekandevõimsuse parandamisse. Sektoriuuringust nähtus, et ELi pakkumispiirkondade praegune konfiguratsioon takistab olulisel määral tõhusa energia siseturu toimimist ja arengut.</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Ka siis, kui nappuse hinnastamine on lubatud ja pakkumispiirkonnad asjakohaselt piiritletud, võivad turuosalised ikkagi olla lisavõimsusesse investeerimise suhtes kõhklevad, võttes arvesse märkimisväärset ebakindlust tulevaste turusuundumuste suhtes, näiteks asjaolu, kuidas mõjutab nende investeeringuid taastuvenergia suurenev turuosa ja võimalik ulatuslik hinnavolatiilsus.</w:t>
      </w:r>
    </w:p>
    <w:p>
      <w:pPr>
        <w:keepNext/>
        <w:spacing w:before="360" w:after="120"/>
        <w:rPr>
          <w:rFonts w:ascii="Times New Roman" w:hAnsi="Times New Roman"/>
          <w:b/>
          <w:noProof/>
          <w:color w:val="000000" w:themeColor="text1"/>
          <w:sz w:val="24"/>
        </w:rPr>
      </w:pPr>
      <w:r>
        <w:rPr>
          <w:rFonts w:ascii="Times New Roman" w:hAnsi="Times New Roman"/>
          <w:b/>
          <w:noProof/>
          <w:color w:val="000000" w:themeColor="text1"/>
          <w:sz w:val="24"/>
        </w:rPr>
        <w:t xml:space="preserve">3. Elektrituru reformimine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Sektoriuuringu andmetel on mitu turureformi, mis võivad hajutada kahtlusi varustuskindluse suhtes või isegi täiesti välistada vajaduse võimsuse tagamise mehhanismide järele. Seetõttu peaksid liikmesriigid enne võimsuse tagamise mehhanismi kasutuselevõtmist või selle rakendamisel ellu viima kõnealused reformid.</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Elektrienergia tegelikku väärtust kajastavad hinnad võivad anda signaale uuteks investeeringuteks usaldusväärsesse ja paindlikku võimsusesse, mida on vaja varustuskindluse tagamiseks. Peamise turureformina tuleks seega kaotada üleliia madalad hinnalaed ja lasta hindadel selle asemel tõusta, et need peegeldaksid tarbijate maksevalmidust. Bilansiturgude eeskirju tuleks parandada, et võrguettevõtjate võrgu bilansi tagamiseks kantavad kulud kajastuksid ebabilansis olevate turuosaliste makstavates ebabilansi tasudes</w:t>
      </w:r>
      <w:r>
        <w:rPr>
          <w:rStyle w:val="FootnoteReference"/>
          <w:rFonts w:ascii="Times New Roman" w:hAnsi="Times New Roman"/>
          <w:noProof/>
          <w:color w:val="000000" w:themeColor="text1"/>
          <w:sz w:val="24"/>
        </w:rPr>
        <w:footnoteReference w:id="20"/>
      </w:r>
      <w:r>
        <w:rPr>
          <w:noProof/>
        </w:rPr>
        <w:t>.</w:t>
      </w:r>
      <w:r>
        <w:rPr>
          <w:rFonts w:ascii="Times New Roman" w:hAnsi="Times New Roman"/>
          <w:noProof/>
          <w:color w:val="000000" w:themeColor="text1"/>
          <w:sz w:val="24"/>
        </w:rPr>
        <w:t xml:space="preserve"> Kõikidel turuosalistel peaksid olema stiimulid ja võimalused toetada võrgu bilanssi, veendudes, et nende tegelik arvestatud elektritootmine või -tarbimine vastab sellele elektrienergia kogusele, mida nad forvardturgudel lepingujärgselt ostavad või müüvad</w:t>
      </w:r>
      <w:r>
        <w:rPr>
          <w:rStyle w:val="FootnoteReference"/>
          <w:rFonts w:ascii="Times New Roman" w:hAnsi="Times New Roman"/>
          <w:noProof/>
          <w:sz w:val="24"/>
        </w:rPr>
        <w:footnoteReference w:id="21"/>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Liikmesriigid võivad muret tunda selle üle, et hinnalagede kaotamine ja kõrgemad hulgihinnad tippaegadel mõjutavad jaemüügihindu. </w:t>
      </w:r>
      <w:r>
        <w:rPr>
          <w:noProof/>
        </w:rPr>
        <w:t>Sektoriuuringu kohaselt suudab turg selliste riskidega ise toime tulla, näiteks riske maandavate toodete abil, mis võimaldavad pakkujatel ja lõpptarbijatel kaitsta end hindade haripunktide eest, sealhulgas pikema aja jooksul pikaajalise perspektiiviga riskimaanduslepingute abil</w:t>
      </w:r>
      <w:r>
        <w:rPr>
          <w:rStyle w:val="FootnoteReference"/>
          <w:rFonts w:ascii="Times New Roman" w:hAnsi="Times New Roman"/>
          <w:noProof/>
          <w:sz w:val="24"/>
        </w:rPr>
        <w:footnoteReference w:id="22"/>
      </w:r>
      <w:r>
        <w:rPr>
          <w:noProof/>
        </w:rPr>
        <w:t>.</w:t>
      </w:r>
      <w:r>
        <w:rPr>
          <w:rFonts w:ascii="Times New Roman" w:hAnsi="Times New Roman"/>
          <w:noProof/>
          <w:color w:val="000000" w:themeColor="text1"/>
          <w:sz w:val="24"/>
        </w:rPr>
        <w:t xml:space="preserve"> Selline pikaajalise perspektiiviga riskimaandus võib samuti suurendada investeeringutasuvust tootjate jaoks, teisendades ebakindlad elektrienergia ebapiisavuse korral rakenduvad võimalikud hinnad kindlaks ja korrapäraseks sissetulekute vooks. Riskimaanduslepingute sõlmimise soodustamine peaks seega olema positiivne areng, mis võib aidata vähendada vajadust võimsuse tagamise mehhanismide järgi.</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Peale selle ei pruugi reguleerivad asutused olla valmis hulgihindade tõusuks, kuna nad kas kardavad turuvõimu kuritarvitamist või kahtlustavad, et see võib tõsta jaemüügihindu kodumajapidamiste ja tööstuse jaoks. Suurema hinnavolatiilsusega seostatavat turuvõimu kuritarvitamise riski on võimalik maandada, laiendades turuosalust, edendades konkurentsi ning parandades ühtlasi läbipaistvust, andmete kättesaadavust ja turujärelevalvet</w:t>
      </w:r>
      <w:r>
        <w:rPr>
          <w:rStyle w:val="FootnoteReference"/>
          <w:rFonts w:ascii="Times New Roman" w:hAnsi="Times New Roman"/>
          <w:noProof/>
          <w:color w:val="000000" w:themeColor="text1"/>
          <w:sz w:val="24"/>
        </w:rPr>
        <w:footnoteReference w:id="23"/>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Teine oluline turureform on seotud energiavahendajate turuosalusega. Äärmiselt oluline on suurendada nõudluse reaalajalist hinnaelastsust, kuna see võib tasandada nõudluse haripunkte ja seetõttu vähendada vajadust täiendava tootmisvõimsuse järele. Energiavahendajad seisavad aga siiski silmitsi oluliste turutõketega ning ELi liikmesriikide lõikes on õigusraamistik ebaühtlane. Mõnel turul ei tohi energiavahendajad turul osaleda, samal ajal kui teistel turgudel on tarbijatel tehniliste eeskirjade puudumise või võrgutariifide tõttu ebamõistlik või isegi võimatu turule siseneda.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Lisaks selgus sektoriuuringust, et analüüsida tuleks pakkumispiirkondade piiritlust ja vaadata see läbi, et võimaldada sobivate kohalike hindade kujunemist, mis soodustavad investeeringuid võimsuse tagamisse energianappusega kohtades ning ülekandetaristusse, mida on vaja elektrienergia edastamiseks tootjatelt tarbijatele.</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Turukorralduse algatus hõlmab ettepanekuid kõikide nende küsimuste käsitlemiseks – näiteks tuleks selle kohaselt luua lühiajalised elektriturud, mis reageeriksid paremini muutlikuma ja vähem prognoositava tuule- ja päikeseenergia suurenevale osakaalule, tagada ühtlustatud eeskirjad energiavahendajate osaluse kohta, bilansitoodete standardimine ja eeskirjad nende pakkumise kohta piiriülesel tasandil, suurendades veelgi konkurentsi bilansiturul ja parandades pakkumispiirkondade kindlaksmääramise protsessi.</w:t>
      </w:r>
    </w:p>
    <w:p>
      <w:pPr>
        <w:spacing w:before="120" w:after="120"/>
        <w:jc w:val="both"/>
        <w:rPr>
          <w:rFonts w:ascii="Times New Roman" w:hAnsi="Times New Roman"/>
          <w:i/>
          <w:noProof/>
          <w:color w:val="000000" w:themeColor="text1"/>
          <w:sz w:val="24"/>
        </w:rPr>
      </w:pPr>
      <w:r>
        <w:rPr>
          <w:rFonts w:ascii="Times New Roman" w:hAnsi="Times New Roman"/>
          <w:noProof/>
          <w:color w:val="000000" w:themeColor="text1"/>
          <w:sz w:val="24"/>
          <w:szCs w:val="24"/>
          <w:lang w:val="en-US" w:eastAsia="en-US" w:bidi="ar-SA"/>
        </w:rPr>
        <mc:AlternateContent>
          <mc:Choice Requires="wps">
            <w:drawing>
              <wp:anchor distT="0" distB="0" distL="114300" distR="114300" simplePos="0" relativeHeight="251659264" behindDoc="1" locked="0" layoutInCell="1" allowOverlap="1">
                <wp:simplePos x="0" y="0"/>
                <wp:positionH relativeFrom="column">
                  <wp:posOffset>-129169</wp:posOffset>
                </wp:positionH>
                <wp:positionV relativeFrom="paragraph">
                  <wp:posOffset>-25652</wp:posOffset>
                </wp:positionV>
                <wp:extent cx="5980982" cy="655608"/>
                <wp:effectExtent l="0" t="0" r="20320" b="11430"/>
                <wp:wrapNone/>
                <wp:docPr id="1" name="Rectangle 1"/>
                <wp:cNvGraphicFramePr/>
                <a:graphic xmlns:a="http://schemas.openxmlformats.org/drawingml/2006/main">
                  <a:graphicData uri="http://schemas.microsoft.com/office/word/2010/wordprocessingShape">
                    <wps:wsp>
                      <wps:cNvSpPr/>
                      <wps:spPr>
                        <a:xfrm>
                          <a:off x="0" y="0"/>
                          <a:ext cx="5980982" cy="65560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xmlns:o="urn:schemas-microsoft-com:office:office" xmlns:v="urn:schemas-microsoft-com:vml" id="Rectangle 1" o:spid="_x0000_s1026" style="position:absolute;margin-left:-10.15pt;margin-top:-2pt;width:470.95pt;height:5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" filled="f" strokecolor="black [3213]" strokeweight="2pt"/>
            </w:pict>
          </mc:Fallback>
        </mc:AlternateContent>
      </w:r>
      <w:r>
        <w:rPr>
          <w:rFonts w:ascii="Times New Roman" w:hAnsi="Times New Roman"/>
          <w:i/>
          <w:noProof/>
          <w:color w:val="000000" w:themeColor="text1"/>
          <w:sz w:val="24"/>
        </w:rPr>
        <w:t>Võimsuse tagamise mehhanisme kavandavad liikmesriigid peaksid tegema piisavaid jõupingutusi selleks, et hajutada kahtlused võimsuse piisavuse suhtes turureformide abil. Teisisõnu ei tohiks ükski võimsuse tagamise mehhanism asendada turureforme.</w:t>
      </w:r>
    </w:p>
    <w:p>
      <w:pPr>
        <w:spacing w:before="120" w:after="120"/>
        <w:jc w:val="both"/>
        <w:rPr>
          <w:rFonts w:ascii="Times New Roman" w:hAnsi="Times New Roman"/>
          <w:b/>
          <w:noProof/>
          <w:color w:val="000000" w:themeColor="text1"/>
          <w:sz w:val="24"/>
        </w:rPr>
      </w:pPr>
    </w:p>
    <w:p>
      <w:pPr>
        <w:keepNext/>
        <w:spacing w:before="120" w:after="120"/>
        <w:jc w:val="both"/>
        <w:rPr>
          <w:rFonts w:ascii="Times New Roman" w:hAnsi="Times New Roman"/>
          <w:b/>
          <w:noProof/>
          <w:color w:val="000000" w:themeColor="text1"/>
          <w:sz w:val="24"/>
        </w:rPr>
      </w:pPr>
      <w:r>
        <w:rPr>
          <w:rFonts w:ascii="Times New Roman" w:hAnsi="Times New Roman"/>
          <w:b/>
          <w:noProof/>
          <w:color w:val="000000" w:themeColor="text1"/>
          <w:sz w:val="24"/>
        </w:rPr>
        <w:t>4.</w:t>
      </w:r>
      <w:r>
        <w:rPr>
          <w:noProof/>
        </w:rPr>
        <w:tab/>
      </w:r>
      <w:r>
        <w:rPr>
          <w:rFonts w:ascii="Times New Roman" w:hAnsi="Times New Roman"/>
          <w:b/>
          <w:noProof/>
          <w:color w:val="000000" w:themeColor="text1"/>
          <w:sz w:val="24"/>
        </w:rPr>
        <w:t>Millal tuleks rakendada võimsuse tagamise mehhanismi?</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Eespool kirjeldatud turureformidega on võimalik lahendada paljusid võimsuse ebapiisavust põhjustavaid õiguslikke puudusi ja turutõrkeid. Turureformide täielik elluviimine võib aga olla aeganõudev või siis ei pruugi neist piisata selleks, et kõrvaldada küllaldase tootmisvõimsuse tagamist takistav algprobleem tervikuna. Seetõttu otsustab mõni liikmesriik võtta täiendavaid meetmeid võimsuse tagamise mehhanismide kujul.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Kuigi võimsuse tagamise mehhanismide korraldus on erinev, pakuvad nad kõik tootmisvõimsuse pakkujatele lisatulu, kuna neile makstakse elektrivõimsuse kättesaadavaks tegemise eest tasu. Selline tasu sisaldab tõenäoliselt riigiabi, millest tuleb teatada komisjonile, kes hindab neid ELi riigiabi eeskirjade alusel. Riigiabi eeskirjade kohaldamisalasse kuuluva meetmena käsitab komisjon võimsuse tagamise mehhanismi tõenäoliselt juhul, kui i) selle algatas valitsus ja/või seda rakendatakse valitsuse osalusel,</w:t>
      </w:r>
      <w:r>
        <w:rPr>
          <w:rStyle w:val="FootnoteReference"/>
          <w:rFonts w:ascii="Times New Roman" w:hAnsi="Times New Roman"/>
          <w:noProof/>
          <w:color w:val="000000" w:themeColor="text1"/>
          <w:sz w:val="24"/>
        </w:rPr>
        <w:footnoteReference w:id="24"/>
      </w:r>
      <w:r>
        <w:rPr>
          <w:rFonts w:ascii="Times New Roman" w:hAnsi="Times New Roman"/>
          <w:noProof/>
          <w:color w:val="000000" w:themeColor="text1"/>
          <w:sz w:val="24"/>
        </w:rPr>
        <w:t xml:space="preserve"> ii) selle peamine eesmärk on tagada elektrienergia varustuskindlus,</w:t>
      </w:r>
      <w:r>
        <w:rPr>
          <w:rStyle w:val="FootnoteReference"/>
          <w:rFonts w:ascii="Times New Roman" w:hAnsi="Times New Roman"/>
          <w:noProof/>
          <w:color w:val="000000" w:themeColor="text1"/>
          <w:sz w:val="24"/>
        </w:rPr>
        <w:footnoteReference w:id="25"/>
      </w:r>
      <w:r>
        <w:rPr>
          <w:rFonts w:ascii="Times New Roman" w:hAnsi="Times New Roman"/>
          <w:noProof/>
          <w:color w:val="000000" w:themeColor="text1"/>
          <w:sz w:val="24"/>
        </w:rPr>
        <w:t xml:space="preserve"> iii) sellega antakse tootmisvõimsuse pakkujatele lisaks elektrienergia müümisest saadavale võimalikule tulule teatavat tasu.</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Pärast seda, kui meetmest on teatatud, hindab komisjon keskkonna- ja energiaalase abi suuniste alusel esmalt, kas see on vajalik varustuskindlusega seonduva selgelt määratletud probleemi lahendamiseks, millega turg ei tule ise toime. Selle kinnitamiseks saavad liikmesriigid esitada faktilised tõendid selle kohta, et tõenäoliselt ei suuda turg tagada piisaval tasemel varustuskindlust, kusjuures see tase on kindlaks määratud vastavalt tarbijate maksevalmidusel põhinevale majanduslikule varustuskindluse normile. Selleks tuleb kindlaks teha probleemi aluseks olevad turutõrked, kvantifitseerida nende tõenäoline mõju investeeringutele ja võrgu varustuskindlusele ning hinnata varustuskindluse oodatava ja soovitava taseme vahet.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Piisavushinnangud, mis komisjon on seni läbi vaadanud, on enamasti sisaldanud kvantifitseeritud analüüsi, kuid sektoriuuringu kohaselt tuleb teha veel palju tööd selleks, et võimsuse tagamise mehhanisme võetaks lõppkokkuvõttes kasutusele üksnes elektrisüsteemi piisavuse objektiivse ja põhjaliku hindamise alusel. Kui piisavushinnangud on ebausaldusväärsed, võivad ametiasutused olla sunnitud lahendama piisavusega seotud probleeme lühiajalises perspektiivis, mis toob kaasa kulukate, moonutavate ja turu ebakindlust suurendavate sekkumismeetmete ohu.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Esiteks tuleks märkida, et võimsuse piisavuse arvestamiseks kasutatavad lähenemisviisid ja tavad on liikmesriikide lõikes väga erinevad. Kuna liikmesriigid kasutavad selleks erinevaid meetodeid, mõõtmisaluseid ja eeldusi ning kuna nende asjus ei jagata omavahel selget teavet, on keeruline tagada tulemuste usaldusväärsust ja võrreldavust. Sektoriuuringus osalenud sidusrühmad tõdesid, et piisavuse hindamine peaks kindlasti olema võrreldavam, kontrollitavam ja objektiivsem.</w:t>
      </w:r>
      <w:r>
        <w:rPr>
          <w:noProof/>
        </w:rPr>
        <w:t xml:space="preserve"> </w:t>
      </w:r>
      <w:r>
        <w:rPr>
          <w:rFonts w:ascii="Times New Roman" w:hAnsi="Times New Roman"/>
          <w:noProof/>
          <w:color w:val="000000" w:themeColor="text1"/>
          <w:sz w:val="24"/>
        </w:rPr>
        <w:t>Nende küsimustega tegelemiseks soovitab komisjon oma turukorralduse algatusega võtta kasutusele ühtlustatud meetodil põhinev Euroopa tasandil kooskõlastatud menetlus võimsuse piisavuse hindamiseks.</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Teiseks on liikmesriikidel märkimisväärselt arenguruumi seoses sellega, kuidas nad käsitlevad varustuskindluse norme, st valitsuse soovitavat varustuskindluse taset. Majanduslikult tasuv varustuskindluse norm põhineb väärtusel, mida elektritarbijad varustuskindlusele omistavad. Teisisõnu peaks liikmesriigid tegema kulude-tulude analüüsi, et teha kindlaks, mil määral oleks kasulik anda turuosalistele stiimuleid konkreetse normi saavutamiseks. Paljud liikmesriigid sellist kulude-tulude analüüsi aga ei tee ega selgita välja väärtust, mida tarbijad omistavad katkematu varustuskindluse olemasolule. Mitu võimsuse tagamise mehhanisme kasutusele võtnud liikmesriiki ei ole sellist varustuskindluse normi üldse kindlaks määranud. Isegi kui varustuskindluse normid on kehtestatud, ei võeta neid võimsuse tagamise mehhanismi väljakujundamisel või selle ulatuse kindlaksmääramisel sageli arvesse.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ELi tasandil töötab Euroopa elektri põhivõrguettevõtjate võrgustik (ENTSO-E) välja tõenäosuspõhist metoodikat tootmisvõimsuse piisavuse seisu hindamiseks kogu Euroopas. Komisjoni turukorralduse algatuse üks eesmärke on veelgi parandada hindamis- ja väljatöötamisprotsessi seoses ELi-üleste meetoditega majanduslikult tasuvate varustuskindluse normide arvutamiseks, millest tuleks lähtuda kõikides võimsuse tagamise mehhanismide kasutuselevõtmise otsustes</w:t>
      </w:r>
      <w:r>
        <w:rPr>
          <w:rStyle w:val="FootnoteReference"/>
          <w:rFonts w:ascii="Times New Roman" w:hAnsi="Times New Roman"/>
          <w:noProof/>
          <w:color w:val="000000" w:themeColor="text1"/>
          <w:sz w:val="24"/>
        </w:rPr>
        <w:footnoteReference w:id="26"/>
      </w:r>
      <w:r>
        <w:rPr>
          <w:noProof/>
        </w:rPr>
        <w:t>.</w:t>
      </w:r>
      <w:r>
        <w:rPr>
          <w:rFonts w:ascii="Times New Roman" w:hAnsi="Times New Roman"/>
          <w:noProof/>
          <w:color w:val="000000" w:themeColor="text1"/>
          <w:sz w:val="24"/>
        </w:rPr>
        <w:t xml:space="preserve"> Samuti nähakse sellega ette, et võimsuse tagamise mehhanisme rakendavad liikmesriigid kehtestaksid varustuskindluse normi, lähtudes väärtusest, mida tarbijad varustuskindlusele omistavad. </w:t>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88"/>
      </w:tblGrid>
      <w:tr>
        <w:tc>
          <w:tcPr>
            <w:tcW w:w="9288" w:type="dxa"/>
          </w:tcPr>
          <w:p>
            <w:pPr>
              <w:spacing w:before="120" w:after="120"/>
              <w:jc w:val="both"/>
              <w:rPr>
                <w:rFonts w:ascii="Times New Roman" w:hAnsi="Times New Roman"/>
                <w:i/>
                <w:noProof/>
                <w:color w:val="000000" w:themeColor="text1"/>
                <w:sz w:val="24"/>
              </w:rPr>
            </w:pPr>
            <w:r>
              <w:rPr>
                <w:rFonts w:ascii="Times New Roman" w:hAnsi="Times New Roman"/>
                <w:i/>
                <w:noProof/>
                <w:color w:val="000000" w:themeColor="text1"/>
                <w:sz w:val="24"/>
              </w:rPr>
              <w:t>Põhjalik piisavuse hindamine, milles võetakse arvesse piirkondlikku olukorda ja lähtutakse konkreetsest majanduslikust varustuskindluse normist, on väga oluline varustuskindluse riskide kindlakstegemiseks ja võimsuse tagamise mehhanismide vajaliku ulatuse väljaselgitamiseks.</w:t>
            </w:r>
          </w:p>
        </w:tc>
      </w:tr>
    </w:tbl>
    <w:p>
      <w:pPr>
        <w:spacing w:before="120" w:after="120"/>
        <w:jc w:val="both"/>
        <w:rPr>
          <w:rFonts w:ascii="Times New Roman" w:hAnsi="Times New Roman"/>
          <w:b/>
          <w:noProof/>
          <w:color w:val="000000" w:themeColor="text1"/>
          <w:sz w:val="24"/>
        </w:rPr>
      </w:pPr>
    </w:p>
    <w:p>
      <w:pPr>
        <w:spacing w:before="120" w:after="120"/>
        <w:jc w:val="both"/>
        <w:rPr>
          <w:rFonts w:ascii="Times New Roman" w:hAnsi="Times New Roman"/>
          <w:b/>
          <w:noProof/>
          <w:color w:val="000000" w:themeColor="text1"/>
          <w:sz w:val="24"/>
        </w:rPr>
      </w:pPr>
      <w:r>
        <w:rPr>
          <w:rFonts w:ascii="Times New Roman" w:hAnsi="Times New Roman"/>
          <w:b/>
          <w:noProof/>
          <w:color w:val="000000" w:themeColor="text1"/>
          <w:sz w:val="24"/>
        </w:rPr>
        <w:t xml:space="preserve"> 5.</w:t>
      </w:r>
      <w:r>
        <w:rPr>
          <w:noProof/>
        </w:rPr>
        <w:tab/>
      </w:r>
      <w:r>
        <w:rPr>
          <w:rFonts w:ascii="Times New Roman" w:hAnsi="Times New Roman"/>
          <w:b/>
          <w:noProof/>
          <w:color w:val="000000" w:themeColor="text1"/>
          <w:sz w:val="24"/>
        </w:rPr>
        <w:t xml:space="preserve">Probleemi järgi kohandatud lahendus </w:t>
      </w:r>
    </w:p>
    <w:p>
      <w:pPr>
        <w:spacing w:before="120" w:after="120" w:line="300" w:lineRule="exact"/>
        <w:jc w:val="both"/>
        <w:rPr>
          <w:rFonts w:ascii="Times New Roman" w:hAnsi="Times New Roman"/>
          <w:noProof/>
          <w:color w:val="000000" w:themeColor="text1"/>
          <w:sz w:val="24"/>
          <w:szCs w:val="24"/>
        </w:rPr>
      </w:pPr>
      <w:r>
        <w:rPr>
          <w:rFonts w:ascii="Times New Roman" w:hAnsi="Times New Roman"/>
          <w:noProof/>
          <w:color w:val="000000" w:themeColor="text1"/>
          <w:sz w:val="24"/>
        </w:rPr>
        <w:t>Kui asjakohased turureformid on ellu viidud või kavandatud ning piisavuse nõuetekohase hindamise tulemusena on kindlaks tehtud teatav õiguslik puudus või turutõrge, mida turureform ei kõrvalda(nud), võib võimsuse tagamise mehhanism olla sobiv variant tarbijatele varustuskindluse tagamiseks. Võimsuse tagamise mehhanisme on erinevaid ning valikul tuleks arvesse võtta konkreetset piisavusega seotud probleemi.</w:t>
      </w:r>
    </w:p>
    <w:p>
      <w:pPr>
        <w:keepNext/>
        <w:spacing w:before="240" w:after="120"/>
        <w:jc w:val="both"/>
        <w:rPr>
          <w:rFonts w:ascii="Times New Roman" w:hAnsi="Times New Roman"/>
          <w:i/>
          <w:noProof/>
          <w:color w:val="000000" w:themeColor="text1"/>
          <w:sz w:val="24"/>
        </w:rPr>
      </w:pPr>
      <w:r>
        <w:rPr>
          <w:rFonts w:ascii="Times New Roman" w:hAnsi="Times New Roman"/>
          <w:i/>
          <w:noProof/>
          <w:color w:val="000000" w:themeColor="text1"/>
          <w:sz w:val="24"/>
        </w:rPr>
        <w:t xml:space="preserve"> 5.1.</w:t>
      </w:r>
      <w:r>
        <w:rPr>
          <w:noProof/>
        </w:rPr>
        <w:tab/>
      </w:r>
      <w:r>
        <w:rPr>
          <w:rFonts w:ascii="Times New Roman" w:hAnsi="Times New Roman"/>
          <w:i/>
          <w:noProof/>
          <w:color w:val="000000" w:themeColor="text1"/>
          <w:sz w:val="24"/>
        </w:rPr>
        <w:t>Milliseid võimsuse tagamise mehhanisme Euroopas kasutatakse?</w:t>
      </w:r>
    </w:p>
    <w:p>
      <w:pPr>
        <w:spacing w:before="120" w:after="120" w:line="300" w:lineRule="exact"/>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Sektoriuuringus tehti 11 hõlmatud liikmesriigis kindlaks 35 võimsuse tagamise mehhanismi. Need võib jagada sihtotstarbelisteks ja kogu turgu hõlmavateks mehhanismideks – mõlema eesmärk on tagada piisav tootmisvõimsus teatava varustuskindluse normi saavutamiseks. Sihtotstarbeliste mehhanismidega toetatakse üksnes sellist täiendavat võimsust, mida on vaja lisaks turul ilma toetusteta tagatavale tootmisvõimsusele, samal ajal kui kogu turgu hõlmavate mehhanismidega toetatakse kõiki turuosalisi, keda on vaja varustuskindluse normi saavutamiseks. Mõlemas kategoorias võib eristada veel mahupõhiseid ja hinnapõhiseid mehhanisme. Mahupõhiste mehhanismide korral määratakse eelnevalt kindlaks kogu vajaminev tootmisvõimsus ja makstav hind määratakse seejärel turupõhise protsessi abil. Hinnapõhiste mehhanismide korral määratakse hind kindlaks administratiivselt tasemel, mis peaks aitama saavutada piisavad investeeringud vajaminevasse tootmisvõimsusesse.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Sektoriuuringu kohaselt on olemas kolme liiki sihtotstarbelisi mehhanisme: strateegilised reservid, mis tähendab, et teatavat võimsuse kogust hoitakse väljaspool turgu ja see võetakse kasutusele eriolukordades; pakkumismenetlused uue võimsuse leidmiseks, mille puhul toetatakse uusi, sageli konkreetse asukohaga seotud investeerimisprojekte; hinnapõhine tasu võimsuse eest, mis tähendab, et administratiivset võimsustasu makstakse turul olemasoleva võimsuse teatava osa eest. </w:t>
      </w:r>
    </w:p>
    <w:p>
      <w:pPr>
        <w:spacing w:before="120" w:after="120"/>
        <w:jc w:val="both"/>
        <w:rPr>
          <w:rStyle w:val="FootnoteReference"/>
          <w:rFonts w:ascii="Times New Roman" w:hAnsi="Times New Roman"/>
          <w:noProof/>
          <w:color w:val="000000" w:themeColor="text1"/>
          <w:sz w:val="24"/>
          <w:szCs w:val="24"/>
          <w:vertAlign w:val="baseline"/>
        </w:rPr>
      </w:pPr>
      <w:r>
        <w:rPr>
          <w:rFonts w:ascii="Times New Roman" w:hAnsi="Times New Roman"/>
          <w:noProof/>
          <w:color w:val="000000" w:themeColor="text1"/>
          <w:sz w:val="24"/>
        </w:rPr>
        <w:t>Ühtlasi selgitati sektoriuuringus välja kolm kogu turgu hõlmavate mehhanismide kategooriat: keskse ostjaga mudelid, kus keskne ostja ostab nõutava võimsuse pakkujate/tarbijate nimel; detsentraliseeritud kohustused, mille korral kohustuvad pakkujad korraldama vajamineva võimsuse hankimise ise; ja hinnapõhine tasu võimsuse eest, mille korral on kõikidel turuosalistel võimalik saada administratiivset tasu.</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Peale selle tehti sektoriuuringuga kindlaks, et üheteistkümnest liikmesriigist kuues kasutati tarbimiskaja mehhanisme, mida nimetatakse ka katkestatavuse süsteemideks. Nende puhul on tegemist sihtotstarbeliste mehhanismidega, kus tasu saavad üksnes energiavahendajad. </w:t>
      </w:r>
    </w:p>
    <w:p>
      <w:pPr>
        <w:keepNext/>
        <w:spacing w:before="120" w:after="120"/>
        <w:jc w:val="both"/>
        <w:rPr>
          <w:rFonts w:ascii="Times New Roman" w:hAnsi="Times New Roman"/>
          <w:i/>
          <w:noProof/>
          <w:color w:val="000000" w:themeColor="text1"/>
          <w:sz w:val="24"/>
        </w:rPr>
      </w:pPr>
      <w:r>
        <w:rPr>
          <w:rFonts w:ascii="Times New Roman" w:hAnsi="Times New Roman"/>
          <w:i/>
          <w:noProof/>
          <w:color w:val="000000" w:themeColor="text1"/>
          <w:sz w:val="24"/>
        </w:rPr>
        <w:t>5.2.</w:t>
      </w:r>
      <w:r>
        <w:rPr>
          <w:noProof/>
        </w:rPr>
        <w:tab/>
      </w:r>
      <w:r>
        <w:rPr>
          <w:rFonts w:ascii="Times New Roman" w:hAnsi="Times New Roman"/>
          <w:i/>
          <w:noProof/>
          <w:color w:val="000000" w:themeColor="text1"/>
          <w:sz w:val="24"/>
        </w:rPr>
        <w:t>Milline võimsuse tagamise mehhanism sobib millise probleemi jaoks?</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Olenevalt sellest, millist laadi probleem on võimsuse piisavusega seoses kindlaks tehtud, võivad asjakohaseks osutuda eri liiki mehhanismid võimsuse tagamiseks. Peamised sektoriuuringus kindlaks tehtud piisavuse probleemid võib jagada nelja rühma: </w:t>
      </w:r>
    </w:p>
    <w:p>
      <w:pPr>
        <w:pStyle w:val="ListParagraph"/>
        <w:numPr>
          <w:ilvl w:val="0"/>
          <w:numId w:val="9"/>
        </w:numPr>
        <w:spacing w:after="0"/>
        <w:jc w:val="both"/>
        <w:rPr>
          <w:rFonts w:ascii="Times New Roman" w:hAnsi="Times New Roman"/>
          <w:noProof/>
          <w:color w:val="000000" w:themeColor="text1"/>
          <w:sz w:val="24"/>
          <w:szCs w:val="24"/>
        </w:rPr>
      </w:pPr>
      <w:r>
        <w:rPr>
          <w:rFonts w:ascii="Times New Roman" w:hAnsi="Times New Roman"/>
          <w:noProof/>
          <w:color w:val="000000" w:themeColor="text1"/>
          <w:sz w:val="24"/>
        </w:rPr>
        <w:t>kahtlused selle suhtes, kas turg on pikaajalises perspektiivis võimeline ligi meelitama piisavaid investeeringuid;</w:t>
      </w:r>
    </w:p>
    <w:p>
      <w:pPr>
        <w:pStyle w:val="ListParagraph"/>
        <w:numPr>
          <w:ilvl w:val="0"/>
          <w:numId w:val="9"/>
        </w:numPr>
        <w:spacing w:after="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ajutist laadi kahtlused olukorras, kus kehtiv turukorraldus ei suuda anda piisavaid investeerimissignaale, kuid turult oodatakse tõhusust pikaajalises perspektiivis; </w:t>
      </w:r>
    </w:p>
    <w:p>
      <w:pPr>
        <w:pStyle w:val="ListParagraph"/>
        <w:numPr>
          <w:ilvl w:val="0"/>
          <w:numId w:val="9"/>
        </w:numPr>
        <w:spacing w:after="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kohalikku laadi kahtlused (st seotud konkreetse asukohaga liikmesriigis), mida ei suudeta piisavalt kiiresti lahendada ülekandevõrku tehtavate investeeringutega ega elektrienergia pakkumispiirkondade täpsema piiritluse abil; </w:t>
      </w:r>
    </w:p>
    <w:p>
      <w:pPr>
        <w:pStyle w:val="ListParagraph"/>
        <w:numPr>
          <w:ilvl w:val="0"/>
          <w:numId w:val="9"/>
        </w:numPr>
        <w:spacing w:after="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kahtlused selle suhtes, et ilma lisatoetuseta ei mängi energiatarbijad piisavat rolli elektrienergia nõudluse ja varustuskindluse tasakaalustamisel. </w:t>
      </w:r>
    </w:p>
    <w:p>
      <w:pPr>
        <w:keepNext/>
        <w:spacing w:before="24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Pikaajalise piisavusega seotud probleem</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Kui tehakse kindlaks pikaajalise piisavusega seotud probleemid, siis tõenäoliselt on kõige sobilikum mehhanism selliste probleemide lahendamiseks ning samal ajal konkurentsi- ja kaubandusmoonutuste piiramiseks kogu turgu hõlmav mahupõhine süsteem. Sellise mehhanismiga saab muuta energianappuse korral rakenduvate kõrgete hindadega ebakindlate perioodide võimalikud tulud korrapäraseks tagatud sissetulekute vooks. Seepärast võib see suurendada investeerimiskindlust. </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Õigeaegse impordi ja võimsuse tagamise mehhanismi kasutuselevõtmise kindlustamiseks vajalike turureformide vahelise sidususe tagamiseks võib olla parim valik n-ö varustuskindluse võimalustel põhinev süsteem. Sellise süsteemi puhul saavad osalejad võimsuse eest kindlat korrapärast tulu, kuid kaotavad võimaluse teenida kasumit energianappuse korral rakenduvatelt kõrgetelt elektrihindadelt.</w:t>
      </w:r>
    </w:p>
    <w:p>
      <w:pPr>
        <w:keepNext/>
        <w:spacing w:before="24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Ajutise piisavusega seotud probleem</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Kui piisavushinnangutest nähtub ja poliitikakujundajad on veendunud, et pikas perspektiivis on võimalik turgu piisavate investeerimisstiimulite tagamiseks reformida, ning tingimusel, et olemas on piisav võimsus varustuskindluse tagamiseks seni, kuni turud hakkavad investeeringuid tegema, ei ole pikaajaline sekkumine vajalik</w:t>
      </w:r>
      <w:r>
        <w:rPr>
          <w:rStyle w:val="FootnoteReference"/>
          <w:rFonts w:ascii="Times New Roman" w:hAnsi="Times New Roman"/>
          <w:noProof/>
          <w:color w:val="000000" w:themeColor="text1"/>
          <w:sz w:val="24"/>
        </w:rPr>
        <w:footnoteReference w:id="27"/>
      </w:r>
      <w:r>
        <w:rPr>
          <w:noProof/>
        </w:rPr>
        <w:t>.</w:t>
      </w:r>
      <w:r>
        <w:rPr>
          <w:rFonts w:ascii="Times New Roman" w:hAnsi="Times New Roman"/>
          <w:noProof/>
          <w:color w:val="000000" w:themeColor="text1"/>
          <w:sz w:val="24"/>
        </w:rPr>
        <w:t xml:space="preserve"> Vajalik võib aga olla tagada, et olemasolevat võimsust enneaegselt ei likvideerita. </w:t>
      </w:r>
    </w:p>
    <w:p>
      <w:pPr>
        <w:spacing w:after="120"/>
        <w:jc w:val="both"/>
        <w:rPr>
          <w:rFonts w:ascii="Times New Roman" w:hAnsi="Times New Roman"/>
          <w:i/>
          <w:noProof/>
          <w:color w:val="000000" w:themeColor="text1"/>
          <w:sz w:val="24"/>
          <w:szCs w:val="24"/>
        </w:rPr>
      </w:pPr>
      <w:r>
        <w:rPr>
          <w:rFonts w:ascii="Times New Roman" w:hAnsi="Times New Roman"/>
          <w:noProof/>
          <w:color w:val="000000" w:themeColor="text1"/>
          <w:sz w:val="24"/>
        </w:rPr>
        <w:t>Selliste asjaolude korral</w:t>
      </w:r>
      <w:r>
        <w:rPr>
          <w:rFonts w:ascii="Times New Roman" w:hAnsi="Times New Roman"/>
          <w:b/>
          <w:noProof/>
          <w:color w:val="000000" w:themeColor="text1"/>
          <w:sz w:val="24"/>
        </w:rPr>
        <w:t xml:space="preserve"> </w:t>
      </w:r>
      <w:r>
        <w:rPr>
          <w:rFonts w:ascii="Times New Roman" w:hAnsi="Times New Roman"/>
          <w:noProof/>
          <w:color w:val="000000" w:themeColor="text1"/>
          <w:sz w:val="24"/>
        </w:rPr>
        <w:t>on tõenäoliselt kõige sobilikum lahendus</w:t>
      </w:r>
      <w:r>
        <w:rPr>
          <w:rFonts w:ascii="Times New Roman" w:hAnsi="Times New Roman"/>
          <w:b/>
          <w:noProof/>
          <w:color w:val="000000" w:themeColor="text1"/>
          <w:sz w:val="24"/>
        </w:rPr>
        <w:t xml:space="preserve"> </w:t>
      </w:r>
      <w:r>
        <w:rPr>
          <w:rFonts w:ascii="Times New Roman" w:hAnsi="Times New Roman"/>
          <w:noProof/>
          <w:color w:val="000000" w:themeColor="text1"/>
          <w:sz w:val="24"/>
        </w:rPr>
        <w:t>strateegiline reserv, sest see võib aidata kontrollida turult lahkuva olemasoleva võimsuse kogust. Peale selle saab turumoonutusi minimeerida, kui reserv on võimalikult väike, see ei ole kavandatud uue tootmisvõimsuse soodustamiseks</w:t>
      </w:r>
      <w:r>
        <w:rPr>
          <w:rStyle w:val="FootnoteReference"/>
          <w:rFonts w:ascii="Times New Roman" w:hAnsi="Times New Roman"/>
          <w:noProof/>
          <w:color w:val="000000" w:themeColor="text1"/>
          <w:sz w:val="24"/>
        </w:rPr>
        <w:footnoteReference w:id="28"/>
      </w:r>
      <w:r>
        <w:rPr>
          <w:rFonts w:ascii="Times New Roman" w:hAnsi="Times New Roman"/>
          <w:noProof/>
          <w:color w:val="000000" w:themeColor="text1"/>
          <w:sz w:val="24"/>
        </w:rPr>
        <w:t xml:space="preserve"> ja seda hoitakse väljaspool turgu, et säilitada turuhindade antavad signaalid ja stiimulid võimsuse turule jäämiseks. Strateegiliste reservide ajutise laadi tagamiseks ei tohiks nendega kaasneda pikaajalisi kohustusi (nt üheaastaseid pikendatavaid lepinguid) ega rakendusaega. Samuti peaks nende puhul algusest peale olema ette nähtud kavandatud turureformidega seotud selge lõppkuupäev, mis aitab säilitada tulevasi investeerimissignaale. </w:t>
      </w:r>
    </w:p>
    <w:p>
      <w:pPr>
        <w:keepNext/>
        <w:spacing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Kohaliku piisavusega seotud probleem</w:t>
      </w:r>
    </w:p>
    <w:p>
      <w:pPr>
        <w:tabs>
          <w:tab w:val="left" w:pos="7501"/>
        </w:tabs>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Kohalikku laadi piisavusprobleeme on enamikul juhtudel kõige mõistlikum lahendada kohaliku piirkonna parema ühendamise teel muude, piisava võimsusega piirkondadega. Kui parem ühendus ei ole võimalik (nt kõrvalistel saartel) või see on liiga kulukas, peaks kohalik võimsuse ebapiisavus kajastuma kohalikes elektrienergia hindades, sest see stimuleerib nii uude võimsusesse investeerimist kui ka tarbijatepoolset energia säästmist. Selleks on vaja kohaliku piirkonna puhul eraldi pakkumispiirkonda. </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Kui ka eraldi pakkumispiirkonna kehtestamine ei ole võimalik, näiteks kuna energiapuudujäägiga piirkond on nii väike, et seal puuduks konkurents ja kogu võimsus piirkonnas peaks olema täielikult reguleeritud, võib olla asjakohane võimsuse tagamise mehhanismi kasutuselevõtmine. Kui kindlaks on tehtud pikaajalise piisavusega seotud probleemid ja kasutusele võetakse kogu turgu hõlmav mehhanism, saab sellist mehhanismi mõnikord kohandada ka kohaliku piisavuse probleemi lahendamiseks. Näiteks Itaalia kavandab ja Iirimaa kaalub võimsuse hinnatsoonide loomist kogu turgu hõlmava mehhanismi raames, et anda signaal kohalikeks investeeringuteks.</w:t>
      </w:r>
    </w:p>
    <w:p>
      <w:pPr>
        <w:spacing w:before="24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Kohaliku piisavusega seotud probleemi lahendamiseks võib sobida ka suunatum meede. Teatavad strateegilise reservi vormid, nagu ka uut võimsust käsitlevad pakkumused võivad piirduda vaid konkreetse piirkonnaga. Selliste suunatud mehhanismide ulatust saab kohandada vastavalt kindlakstehtud võimsuse puudujäägile. Pakkumustega kaasneb aga konkreetne oht, et uus võimsus sunnib olemasoleva võimsuse turult välja ja tekitab olukorra, kus turuosalised lähtuvad edaspidi uude võimsusesse investeerimisel pakkumustest, mitte ei reageeri turusignaalidele.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Kui jätta kõrvale väga eraldatud süsteemid, kus ülekanded on üle jõu käivalt kulukad, on kokkuvõttes tõenäoliselt kõige sobilikum pikaajaline lahendus kohaliku võimsusega seotud probleemidele uus ülekandetaristu või elektrituru struktuursed reformid, milles on kajastatud kohalikud piirangud. Kohalikud võimsuse tagamise mehhanismid võivad aga osutuda vajalikeks vahenditeks nõutavate reformide elluviimise ajal. </w:t>
      </w:r>
    </w:p>
    <w:p>
      <w:pPr>
        <w:keepNext/>
        <w:spacing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Energiatarbijate rolliga seotud probleemid</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Neljas probleem on see, et energiatarbijate nõudlus on ka edaspidi paindumatu, kuigi paindlik nõudlus on äärmiselt oluline selleks, et viia elektriturg kulutõhusalt tasakaalu üha volatiilsemate hulgihindadega, mis tulenevad muutuvast taastuvenergia tootmisest ja võimalikest energianappuse korral rakenduvatest kõrgetest hindadest. See probleem võib tekitada olukorra, kus liikmesriigid kehtestavad katkestatavuse süsteemi või erieeskirjad, et stimuleerida tarbimiskaja kogu turgu hõlmava mahupõhise süsteemi raames.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Komisjoni esialgne hinnang 11 liikmesriigis toimiva kaheksa katkestatavuse süsteemi kohta osutab sellele, et niisugused süsteemid võivad olla põhjendatud, arvestades nende panust nii lühiajalisse kui ka pikaajalisse varustuskindlusse</w:t>
      </w:r>
      <w:r>
        <w:rPr>
          <w:rStyle w:val="FootnoteReference"/>
          <w:noProof/>
        </w:rPr>
        <w:footnoteReference w:id="29"/>
      </w:r>
      <w:r>
        <w:rPr>
          <w:rFonts w:ascii="Times New Roman" w:hAnsi="Times New Roman"/>
          <w:noProof/>
          <w:color w:val="000000" w:themeColor="text1"/>
          <w:sz w:val="24"/>
        </w:rPr>
        <w:t xml:space="preserve">. Tarbimiskaja võib pakkuda kasulikke vahendeid süsteemi lühiajaliseks tasakaalustamiseks ning pikas perspektiivis võib täielikult reageerimisel põhinev nõudlus kõrvaldada vajaduse võimsuse tagamise mehhanismide järele, sest see võimaldab tarbijatel tasuda erinevate varustuskindluse tasemete eest. Katkestatavuse süsteemide asjakohasus – ja seega nende vastavus ELi riigiabi eeskirjadele – sõltub aga olulisel määral sellest, kuidas need on korraldatud ja kuidas need tegelikult toimivad.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Tavaliselt nõutakse riigiabi eeskirjadega, et võimsuse tagamise mehhanismid oleksid avatud mis tahes tehnoloogiale</w:t>
      </w:r>
      <w:r>
        <w:rPr>
          <w:rStyle w:val="FootnoteReference"/>
          <w:rFonts w:ascii="Times New Roman" w:hAnsi="Times New Roman"/>
          <w:noProof/>
          <w:color w:val="000000" w:themeColor="text1"/>
          <w:sz w:val="24"/>
        </w:rPr>
        <w:footnoteReference w:id="30"/>
      </w:r>
      <w:r>
        <w:rPr>
          <w:noProof/>
        </w:rPr>
        <w:t>.</w:t>
      </w:r>
      <w:r>
        <w:rPr>
          <w:rFonts w:ascii="Times New Roman" w:hAnsi="Times New Roman"/>
          <w:noProof/>
          <w:color w:val="000000" w:themeColor="text1"/>
          <w:sz w:val="24"/>
        </w:rPr>
        <w:t xml:space="preserve"> Tarbimiskaja mehhanismide puhul võib aga eri ressursside vahelise konkurentsi puudumine olla õigustatud. Tarbimiskaja süsteem võib olla sobilik sekkumisvorm juhul, kui see võimaldab suurte ja väikeste tööstusharu esindajate ning energiavahendajate laiaulatuslikku osalemist, sellega ei hangita ülemäärast võimsust, selle alus on konkurentsipõhine hankimine ja see on korraldatud nii, et ei mõjuta energianappuse korral rakenduvate asjakohaste elektrihindade kujundamist. Teisalt ei ole tõenäoline, et riigiabi eeskirjade alusel kiidetakse heaks sellised tarbimiskaja süsteemid, millega hangitakse ülemäärast võimsust üksnes teatavalt suurte tööstuslike abisaajate alamrühmalt. Nendega kaasneb oht toetada energiamahukaid tööstusharusid, pakkumata teistele energiatarbijatele samaväärset väärtust suurema varustuskindluse näol.</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Sektoriuuringus kindlaks tehtud parim tava näitab ka seda, et kui tarbimiskajaks pakutakse eritoetust, ei tohiks selline toetus olla kättesaadav tähtajatult. Selle eesmärk peaks olema toetada tarbimiskaja arendamist, et see oleks pikas perspektiivis turul (või kogu turgu hõlmava võimsuse tagamise mehhanismi raames) konkurentsivõimeline.</w:t>
      </w:r>
    </w:p>
    <w:p>
      <w:pPr>
        <w:keepNext/>
        <w:spacing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Võimsustasud ei ole üldiselt sobilikud</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Nn võimsustasude puhul on sektoriuuringust näha, et selliste mehhanismidega ei määrata võimsuse eest tõenäoliselt õiget hinda, sest need ei võimalda turul võimsuse eest konkurentsi põhjal õiget hinda määrata, vaid sõltuvad pigem n-ö administratiivsest hinnast. Seepärast ei ole tõenäoline, et need tegelikku energianappuse olukorda täpselt kajastaksid. Nendega kaasneb suur oht hankida võimsust ebapiisavalt või ülemäära, eelkõige kuna sellised süsteemid kalduvad muutuvatele turuolukordadele aeglaselt reageerima. Seega on üldine eeldus, et olenemata konkreetsest kindlakstehtud probleemist ei ole hinnapõhised mehhanismid tõenäoliselt asjakohased meetmed. </w:t>
      </w:r>
    </w:p>
    <w:p>
      <w:pPr>
        <w:spacing w:before="120" w:after="120"/>
        <w:jc w:val="both"/>
        <w:rPr>
          <w:rFonts w:ascii="Times New Roman" w:hAnsi="Times New Roman"/>
          <w:noProof/>
          <w:color w:val="000000" w:themeColor="text1"/>
          <w:sz w:val="24"/>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88"/>
      </w:tblGrid>
      <w:tr>
        <w:tc>
          <w:tcPr>
            <w:tcW w:w="9288" w:type="dxa"/>
          </w:tcPr>
          <w:p>
            <w:pPr>
              <w:spacing w:before="12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Kindlakstehtud probleemi jaoks sobiliku võimsuse tagamise mehhanismi valimine.</w:t>
            </w:r>
          </w:p>
          <w:p>
            <w:pPr>
              <w:pStyle w:val="ListParagraph"/>
              <w:numPr>
                <w:ilvl w:val="0"/>
                <w:numId w:val="12"/>
              </w:numPr>
              <w:spacing w:before="120" w:after="120"/>
              <w:ind w:left="360"/>
              <w:jc w:val="both"/>
              <w:rPr>
                <w:rFonts w:ascii="Times New Roman" w:hAnsi="Times New Roman"/>
                <w:i/>
                <w:noProof/>
                <w:color w:val="000000" w:themeColor="text1"/>
                <w:sz w:val="24"/>
                <w:szCs w:val="24"/>
              </w:rPr>
            </w:pPr>
            <w:r>
              <w:rPr>
                <w:rFonts w:ascii="Times New Roman" w:hAnsi="Times New Roman"/>
                <w:i/>
                <w:noProof/>
                <w:color w:val="000000" w:themeColor="text1"/>
                <w:sz w:val="24"/>
              </w:rPr>
              <w:t xml:space="preserve">Pikaajaliste riskide puhul on kõige asjakohasemad vahendid kogu turgu hõlmavad võimsuse tagamise mehhanismid koos turureformidega, mille eesmärk on piirata võimsuse tagamise mehhanismi rolli. </w:t>
            </w:r>
          </w:p>
          <w:p>
            <w:pPr>
              <w:pStyle w:val="ListParagraph"/>
              <w:numPr>
                <w:ilvl w:val="0"/>
                <w:numId w:val="12"/>
              </w:numPr>
              <w:spacing w:before="120" w:after="120"/>
              <w:ind w:left="360"/>
              <w:jc w:val="both"/>
              <w:rPr>
                <w:rFonts w:ascii="Times New Roman" w:hAnsi="Times New Roman"/>
                <w:i/>
                <w:noProof/>
                <w:color w:val="000000" w:themeColor="text1"/>
                <w:sz w:val="24"/>
                <w:szCs w:val="24"/>
              </w:rPr>
            </w:pPr>
            <w:r>
              <w:rPr>
                <w:rFonts w:ascii="Times New Roman" w:hAnsi="Times New Roman"/>
                <w:i/>
                <w:noProof/>
                <w:color w:val="000000" w:themeColor="text1"/>
                <w:sz w:val="24"/>
              </w:rPr>
              <w:t>Ajutiste riskide puhul on tõenäoliselt kõige asjakohasem lahendus strateegilise reservi kasutamine ajal, mil turgu pikaajalise varustuskindluse tagamiseks reformitakse. Reservi tuleb hoida väljaspool turgu.</w:t>
            </w:r>
          </w:p>
          <w:p>
            <w:pPr>
              <w:pStyle w:val="ListParagraph"/>
              <w:numPr>
                <w:ilvl w:val="0"/>
                <w:numId w:val="12"/>
              </w:numPr>
              <w:spacing w:before="120" w:after="120"/>
              <w:ind w:left="360"/>
              <w:jc w:val="both"/>
              <w:rPr>
                <w:rFonts w:ascii="Times New Roman" w:hAnsi="Times New Roman"/>
                <w:i/>
                <w:noProof/>
                <w:color w:val="000000" w:themeColor="text1"/>
                <w:sz w:val="24"/>
                <w:szCs w:val="24"/>
              </w:rPr>
            </w:pPr>
            <w:r>
              <w:rPr>
                <w:rFonts w:ascii="Times New Roman" w:hAnsi="Times New Roman"/>
                <w:i/>
                <w:noProof/>
                <w:color w:val="000000" w:themeColor="text1"/>
                <w:sz w:val="24"/>
              </w:rPr>
              <w:t>Kohaliku piisavusega seotud probleem tuleks lahendada paremate võrguühenduste või asjakohasemate pakkumispiirkondade abil, kuid mitmesugused mehhanismid võivad osutuda sobilikeks üleminekuvahenditeks.</w:t>
            </w:r>
          </w:p>
          <w:p>
            <w:pPr>
              <w:pStyle w:val="ListParagraph"/>
              <w:numPr>
                <w:ilvl w:val="0"/>
                <w:numId w:val="12"/>
              </w:numPr>
              <w:spacing w:before="120" w:after="120"/>
              <w:ind w:left="360"/>
              <w:jc w:val="both"/>
              <w:rPr>
                <w:rFonts w:ascii="Times New Roman" w:hAnsi="Times New Roman"/>
                <w:i/>
                <w:noProof/>
                <w:color w:val="000000" w:themeColor="text1"/>
                <w:sz w:val="24"/>
                <w:szCs w:val="24"/>
              </w:rPr>
            </w:pPr>
            <w:r>
              <w:rPr>
                <w:rFonts w:ascii="Times New Roman" w:hAnsi="Times New Roman"/>
                <w:i/>
                <w:noProof/>
                <w:color w:val="000000" w:themeColor="text1"/>
                <w:sz w:val="24"/>
              </w:rPr>
              <w:t>Katkestatavuse süsteem võib olla asjakohane lahendus paindliku nõudluse arendamiseks.</w:t>
            </w:r>
          </w:p>
          <w:p>
            <w:pPr>
              <w:pStyle w:val="ListParagraph"/>
              <w:numPr>
                <w:ilvl w:val="0"/>
                <w:numId w:val="12"/>
              </w:numPr>
              <w:spacing w:before="120" w:after="120"/>
              <w:ind w:left="360"/>
              <w:jc w:val="both"/>
              <w:rPr>
                <w:rFonts w:ascii="Times New Roman" w:hAnsi="Times New Roman"/>
                <w:i/>
                <w:noProof/>
                <w:color w:val="000000" w:themeColor="text1"/>
                <w:sz w:val="24"/>
              </w:rPr>
            </w:pPr>
            <w:r>
              <w:rPr>
                <w:rFonts w:ascii="Times New Roman" w:hAnsi="Times New Roman"/>
                <w:i/>
                <w:noProof/>
                <w:color w:val="000000" w:themeColor="text1"/>
                <w:sz w:val="24"/>
              </w:rPr>
              <w:t>Administratiivsed võimsustasud ei ole tõenäoliselt asjakohased, sest kui konkurentsipõhine protsess puudub, siis esineb suur oht, et eesmärki ei saavutata või et makstakse ülemäärast hüvitist.</w:t>
            </w:r>
            <w:r>
              <w:rPr>
                <w:rFonts w:ascii="Times New Roman" w:hAnsi="Times New Roman"/>
                <w:noProof/>
                <w:color w:val="000000" w:themeColor="text1"/>
                <w:sz w:val="24"/>
              </w:rPr>
              <w:t xml:space="preserve"> </w:t>
            </w:r>
          </w:p>
        </w:tc>
      </w:tr>
    </w:tbl>
    <w:p>
      <w:pPr>
        <w:spacing w:before="120" w:after="120"/>
        <w:jc w:val="both"/>
        <w:rPr>
          <w:rFonts w:ascii="Times New Roman" w:hAnsi="Times New Roman"/>
          <w:b/>
          <w:noProof/>
          <w:color w:val="000000" w:themeColor="text1"/>
          <w:sz w:val="24"/>
        </w:rPr>
      </w:pPr>
    </w:p>
    <w:p>
      <w:pPr>
        <w:keepNext/>
        <w:spacing w:before="120" w:after="120"/>
        <w:jc w:val="both"/>
        <w:rPr>
          <w:rFonts w:ascii="Times New Roman" w:hAnsi="Times New Roman"/>
          <w:noProof/>
          <w:color w:val="000000" w:themeColor="text1"/>
          <w:sz w:val="24"/>
          <w:szCs w:val="24"/>
        </w:rPr>
      </w:pPr>
      <w:r>
        <w:rPr>
          <w:rFonts w:ascii="Times New Roman" w:hAnsi="Times New Roman"/>
          <w:b/>
          <w:noProof/>
          <w:color w:val="000000" w:themeColor="text1"/>
          <w:sz w:val="24"/>
        </w:rPr>
        <w:t>6.</w:t>
      </w:r>
      <w:r>
        <w:rPr>
          <w:noProof/>
        </w:rPr>
        <w:tab/>
      </w:r>
      <w:r>
        <w:rPr>
          <w:rFonts w:ascii="Times New Roman" w:hAnsi="Times New Roman"/>
          <w:b/>
          <w:noProof/>
          <w:color w:val="000000" w:themeColor="text1"/>
          <w:sz w:val="24"/>
        </w:rPr>
        <w:t>Õige korralduse tagamine</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Sõltumata valitud süsteemi liigist peavad kõik liikmesriigid tegema üksikasjalikke korralduslikke valikuid seoses võimsuse tagamise mehhanismide kolme põhitunnusega.</w:t>
      </w:r>
    </w:p>
    <w:p>
      <w:pPr>
        <w:pStyle w:val="ListParagraph"/>
        <w:numPr>
          <w:ilvl w:val="0"/>
          <w:numId w:val="5"/>
        </w:numPr>
        <w:spacing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rPr>
        <w:t>Abikõlblikkus: kes saavad võimsuse tagamise mehhanismis osaleda?</w:t>
      </w:r>
    </w:p>
    <w:p>
      <w:pPr>
        <w:pStyle w:val="ListParagraph"/>
        <w:numPr>
          <w:ilvl w:val="0"/>
          <w:numId w:val="5"/>
        </w:numPr>
        <w:spacing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rPr>
        <w:t>Jaotamine: kuidas määrata võimsuse hind ja valida tootmisvõimsuse pakkujad?</w:t>
      </w:r>
    </w:p>
    <w:p>
      <w:pPr>
        <w:pStyle w:val="ListParagraph"/>
        <w:numPr>
          <w:ilvl w:val="0"/>
          <w:numId w:val="5"/>
        </w:numPr>
        <w:spacing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rPr>
        <w:t>Toote omadused: millised on tootmisvõimsuse pakkujate kohustused ja nende suhtes kehtivad karistused?</w:t>
      </w:r>
    </w:p>
    <w:p>
      <w:pPr>
        <w:spacing w:before="120" w:after="120" w:line="300" w:lineRule="exact"/>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Kõiki neid küsimusi käsitlevad otsused määravad võimsuse tagamise mehhanismi tõhususe võimalikult väikeste kuludega varustuskindluse saavutamisel ning selle, mil määral see mõjutab mehhanismis toetuste pärast konkureerivate tootmisvõimsuse pakkujate vahelist konkurentsi ja kauplemist elektrituru moonutuste ja liikmesriikidevaheliste konkurentsimoonutuste kaudu. </w:t>
      </w:r>
    </w:p>
    <w:p>
      <w:pPr>
        <w:keepNext/>
        <w:spacing w:before="240" w:after="120"/>
        <w:jc w:val="both"/>
        <w:rPr>
          <w:rFonts w:ascii="Times New Roman" w:hAnsi="Times New Roman"/>
          <w:i/>
          <w:noProof/>
          <w:color w:val="000000" w:themeColor="text1"/>
          <w:sz w:val="24"/>
        </w:rPr>
      </w:pPr>
      <w:r>
        <w:rPr>
          <w:rFonts w:ascii="Times New Roman" w:hAnsi="Times New Roman"/>
          <w:i/>
          <w:noProof/>
          <w:color w:val="000000" w:themeColor="text1"/>
          <w:sz w:val="24"/>
        </w:rPr>
        <w:t>6.1.</w:t>
      </w:r>
      <w:r>
        <w:rPr>
          <w:noProof/>
        </w:rPr>
        <w:tab/>
      </w:r>
      <w:r>
        <w:rPr>
          <w:rFonts w:ascii="Times New Roman" w:hAnsi="Times New Roman"/>
          <w:i/>
          <w:noProof/>
          <w:color w:val="000000" w:themeColor="text1"/>
          <w:sz w:val="24"/>
        </w:rPr>
        <w:t>Abikõlblikkus – kes saavad osaleda?</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Seoses abikõlblikkusega on mitu olemasolevat võimsuse tagamise mehhanismi avatud vaid piiratud arvule tootmisvõimsuse pakkujatele. Mõnel juhul on konkreetsete tootmisvõimsuse pakkujate osalemine sõnaselgelt välistatud. Teistel juhtudel vähendatakse potentsiaalsete tootmisvõimsuse pakkujate arvu kaudselt selliste nõuetega nagu suurus, keskkonnanõuded või lühike rakendusaeg</w:t>
      </w:r>
      <w:r>
        <w:rPr>
          <w:rStyle w:val="FootnoteReference"/>
          <w:rFonts w:ascii="Times New Roman" w:hAnsi="Times New Roman"/>
          <w:noProof/>
          <w:color w:val="000000" w:themeColor="text1"/>
          <w:sz w:val="24"/>
        </w:rPr>
        <w:footnoteReference w:id="31"/>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Uusi ja olemasolevaid võimsusi hangitakse sageli eraldi, mitte ei soodustata nende konkureerimist ühes ja samas võimsuse tagamise mehhanismis, misläbi jäetakse kasutamata võimalus suurendada konkurentsisurvet kõikidele osalejatele. Tavaliselt jäetakse kõrvale teistest riikidest pärit tootmisvõimsus ja omamaise vajaliku võimsuse hindamisel ei võta mõni liikmesriik isegi arvesse impordi osa, mille tulemusel koguneb riigis ülemäärast võimsust.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Samuti näitas uuring, et liiga valivate võimsuse tagamise mehhanismide puhul tekib neis osalejatele liigse hüvitise maksmise oht, sest kui jaotusprotsessis osalemine on piiratud, on konkurentsisurve väiksem. Sellisest piiratud konkurentsist tingitud maksed tootmisvõimsuse pakkujatele on tavaliselt suuremad, kui neil kättesaadavuse tagamise rahastamiseks tegelikult vaja oleks.</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Kui abikõlblikkus on piiratud, on liikmesriigid võtnud aja jooksul kasutusele täiendavaid mehhanisme, nii et lõpuks on võimalik taotleda toetust peaaegu kogu tootmisvõimsuse jaoks. See aitab selgitada, miks vaid üheteistkümnes liikmesriigis tehti kindlaks 35 mehhanismi</w:t>
      </w:r>
      <w:r>
        <w:rPr>
          <w:rStyle w:val="FootnoteReference"/>
          <w:noProof/>
        </w:rPr>
        <w:footnoteReference w:id="32"/>
      </w:r>
      <w:r>
        <w:rPr>
          <w:noProof/>
        </w:rPr>
        <w:t>.</w:t>
      </w:r>
      <w:r>
        <w:rPr>
          <w:rFonts w:ascii="Times New Roman" w:hAnsi="Times New Roman"/>
          <w:noProof/>
          <w:color w:val="000000" w:themeColor="text1"/>
          <w:sz w:val="24"/>
        </w:rPr>
        <w:t xml:space="preserve"> Selline killustatud lähenemisviis võimsuse piisavusele võib tekitada ebatõhusust ning tavaliselt ei ole mitme võimsuse tagamise mehhanismi kasutamine asjakohane, välja arvatud juhul, kui täiendavat mehhanismi kasutatakse tarbimiskaja toetamiseks. Näiteks kui on kehtestatud kogu turgu hõlmav võimsuse tagamise mehhanism, siis tuleb täiendava võimsuse tagamise mehhanismi kasutuselevõtmist põhjendada, näidates ära täiendava turutõrke, mida ei saa lahendada kogu turgu hõlmava mehhanismi abil.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Olukord on aga muutumas. Positiivne on see, et üha enam mehhanisme on avatud laiemale võimalike tootmisvõimsuse pakkujate ringile, ning uued mehhanismid, mida Prantsusmaal, Iirimaal, Itaalias ja Poolas välja töötatakse, on kõik kavandatud nii, et võimaldada erinevate võimsustehnoloogiate ning uute ja olemasolevate ressursside vahelist konkurentsi. Samuti töötavad Prantsusmaa ja Iirimaa välja kavasid, mis võimaldavad otsest piiriülest osalemist nende võimsuse tagamise mehhanismides. See on väga oluline, et kõrvaldada investeerimissignaalide moonutused, mis loovad eelised omamaistele investeeringutele ja soodustavad turgu valitsevaid ettevõtjaid. Ühtlasi motiveerib see jätkama energiaühendustesse investeerimist, kui see on kõige kulutõhusam viis varustuskindluse suurendamiseks. Sektoriuuringu vahearuandes esitas komisjon mõtteid selle kohta, kuidas piiriülest osalemist praktikas ellu viia. Turukorralduse algatuses tegi komisjon ettepaneku kehtestada piiriülese osalemise kohta siduvad ühised eeskirjad, et vähendada keerukust, ebatõhusust ja lõppkokkuvõttes kulusid tarbijatele ning järgida liikmesriikide CO</w:t>
      </w:r>
      <w:r>
        <w:rPr>
          <w:rFonts w:ascii="Times New Roman" w:hAnsi="Times New Roman"/>
          <w:noProof/>
          <w:color w:val="000000" w:themeColor="text1"/>
          <w:sz w:val="24"/>
          <w:vertAlign w:val="subscript"/>
        </w:rPr>
        <w:t>2</w:t>
      </w:r>
      <w:r>
        <w:rPr>
          <w:rFonts w:ascii="Times New Roman" w:hAnsi="Times New Roman"/>
          <w:noProof/>
          <w:color w:val="000000" w:themeColor="text1"/>
          <w:sz w:val="24"/>
        </w:rPr>
        <w:t>-heite vähendamise eesmärke.</w:t>
      </w:r>
    </w:p>
    <w:p>
      <w:pPr>
        <w:spacing w:before="120" w:after="120"/>
        <w:jc w:val="both"/>
        <w:rPr>
          <w:rFonts w:ascii="Times New Roman" w:hAnsi="Times New Roman"/>
          <w:noProof/>
          <w:color w:val="000000" w:themeColor="text1"/>
          <w:sz w:val="24"/>
        </w:rPr>
      </w:pPr>
      <w:r>
        <w:rPr>
          <w:rFonts w:ascii="Times New Roman" w:hAnsi="Times New Roman"/>
          <w:noProof/>
          <w:color w:val="000000"/>
          <w:sz w:val="24"/>
        </w:rPr>
        <w:t>Kuigi avatud abikõlblikkusel on üldiselt suuri eeliseid, tehti sektoriuuringus kindlaks kaks erandit sellest reeglist. Esiteks võib tarbimiskaja kui turutõrgete parandusvahendi pikaajaline tähtsus õigustada üksnes tarbimiskajaga piirduvaid katkestatavuse süsteeme. Teiseks, kuna strateegilised reservid sobivad vaid ajutiste probleemide lahendamiseks ja kuna nende kavandamisel tuleb tagada, et need turgu võimalikult vähe häiriksid, ei tohiks need soodustada pikaajalisi kohustusi nõudvat uut tootmisvõimsust.</w:t>
      </w:r>
    </w:p>
    <w:p>
      <w:pPr>
        <w:keepNext/>
        <w:spacing w:before="24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6.2.</w:t>
      </w:r>
      <w:r>
        <w:rPr>
          <w:noProof/>
        </w:rPr>
        <w:tab/>
      </w:r>
      <w:r>
        <w:rPr>
          <w:rFonts w:ascii="Times New Roman" w:hAnsi="Times New Roman"/>
          <w:i/>
          <w:noProof/>
          <w:color w:val="000000" w:themeColor="text1"/>
          <w:sz w:val="24"/>
        </w:rPr>
        <w:t>Jaotamine – võimsuse hinna määramine ja tootmisvõimsuse pakkujate valimine</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Sektoriuuringus tehti kindlaks nii administratiivsed kui ka konkurentsipõhised jaotamisprotsessid. Administratiivse jaotamisprotsessi puhul valitakse kõik abikõlblikud tootmisvõimsuse pakkujad konkursita ning võimsustasu suuruse on ametiasutused eelnevalt kindlaks määranud või lepitakse see ametiasutuste ja tootmisvõimsuse pakkujate vahel kahepoolselt kokku. Konkurentsipõhine jaotamisprotsess võimaldab potentsiaalsetel tootmisvõimsuse pakkujatel nõutava võimsuse taseme pakkumiseks konkureerida, määrates võimsustasu suuruse turujõudude kaudu.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Administratiivsed jaotamisprotsessid ei aita üldjuhul leida võimsuse tegelikku väärtust ega ole seetõttu kulutõhusad, sest nendega kaasneb oht pakkuda liiga palju või liiga vähe võimsust. Samuti jäetakse konkurentsipõhise protsessi puudumise korral kasutamata võimalus pakkuda tarbijatele suuremat kasu. Näiteks Hispaanias langes katkestatava võimsuse teenuse hind pärast enampakkumise kasutuselevõtmist peaaegu poole võrra. Konkurentsipõhine jaotamisprotsess on üldiselt parem vahend, kui sellega kaasnevad sellised abikõlblikkuse eeskirjad, mis tagavad konkurentsi kõikide nõutavat võimsust tarnida suutvate potentsiaalsete pakkujate vahel.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Administratiivsed ja konkurentsipõhised protsessid on uuringuga hõlmatud 11 liikmesriigis seni võrdselt levinud olnud, ent liikmesriikide kavandatavates uutes või läbivaadatud mehhanismides kasutatakse üha enam konkurentsipõhiseid pakkumismenetlusi. Näiteks Iirimaa ja Itaalia kavatsevad asendada administratiivse jaotamisprotsessi konkurentsipõhiste enampakkumistega. </w:t>
      </w:r>
    </w:p>
    <w:p>
      <w:pPr>
        <w:keepNext/>
        <w:spacing w:before="24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6.3.</w:t>
      </w:r>
      <w:r>
        <w:rPr>
          <w:noProof/>
        </w:rPr>
        <w:tab/>
      </w:r>
      <w:r>
        <w:rPr>
          <w:rFonts w:ascii="Times New Roman" w:hAnsi="Times New Roman"/>
          <w:i/>
          <w:noProof/>
          <w:color w:val="000000" w:themeColor="text1"/>
          <w:sz w:val="24"/>
        </w:rPr>
        <w:t>Võimsustoode – mida tootmisvõimsuse pakkujad tegema peavad?</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Kõik võimsuse tagamise mehhanismid sisaldavad teatavaid kohustusi, mida tootmisvõimsuse pakkujad peavad täitma ning mis ulatuvad elektrijaama ehitamise ja käitamise kohustusest või võrguettevõtja juhiste täitmisega seotud kohustustest (nt elektri tootmine) keerukamate kohustusteni (nt varustuskindluse võimalused, millega kaasnevad tagasimaksed olukorras, kus võrdlushind ületab täitmishinda).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Palju erinevaid eeskirju on ka selle kohta, mis juhtub siis, kui tootmisvõimsuse pakkuja rikub oma kohustusi (trahvid). Mõne mehhanismi puhul välistatakse lihtsalt edaspidised maksed tootmisvõimsuse pakkujale, ent enamiku mehhanismidega nõutakse neilt teenitud summade tagastamist või lisatrahvide maksmist.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Sektoriuuringust nähtub, et</w:t>
      </w:r>
      <w:r>
        <w:rPr>
          <w:rFonts w:ascii="Times New Roman" w:hAnsi="Times New Roman"/>
          <w:b/>
          <w:noProof/>
          <w:color w:val="000000" w:themeColor="text1"/>
          <w:sz w:val="24"/>
        </w:rPr>
        <w:t xml:space="preserve"> </w:t>
      </w:r>
      <w:r>
        <w:rPr>
          <w:rFonts w:ascii="Times New Roman" w:hAnsi="Times New Roman"/>
          <w:noProof/>
          <w:color w:val="000000" w:themeColor="text1"/>
          <w:sz w:val="24"/>
        </w:rPr>
        <w:t>kui kohustused on piiratud ja rikkumise korral ette nähtud trahv väike, siis ei ole elektrijaamadel töökindluse tagamiseks piisavat motivatsiooni.</w:t>
      </w:r>
      <w:r>
        <w:rPr>
          <w:rFonts w:ascii="Times New Roman" w:hAnsi="Times New Roman"/>
          <w:b/>
          <w:noProof/>
          <w:color w:val="000000" w:themeColor="text1"/>
          <w:sz w:val="24"/>
        </w:rPr>
        <w:t xml:space="preserve"> </w:t>
      </w:r>
      <w:r>
        <w:rPr>
          <w:rFonts w:ascii="Times New Roman" w:hAnsi="Times New Roman"/>
          <w:noProof/>
          <w:color w:val="000000" w:themeColor="text1"/>
          <w:sz w:val="24"/>
        </w:rPr>
        <w:t xml:space="preserve">Nii võimsuse tagamise mehhanismiga seotud trahvid kui ka energianappuse korral rakenduvad elektrihinnad annavad nappuse olukorras signaali tootmiseks või nõudluse vähendamiseks. Ent üksnes elektrihinnad annavad signaali energia siseturult importimiseks. Piiriülese kaubanduse moonutamise vältimiseks peaksid liikmesriigid seepärast hoolitsema selle eest, et võimsuse tagamise mehhanismiga seotud trahvid ei asendaks elektrienergia hinnasignaale.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Lisaks leiti, et tarbimiskaja hõlmavate mehhanismidega kehtestatakse energiavahendajatele üldjuhul teistsugused kohustused kui elektritootjatele. Teatavad kohustuste ja trahvide erinevused tootmise ja tarbimiskaja vahel võivad olla vähemalt lühiajaliselt põhjendatud, et saaks arendada tarbimiskaja, mis pikemas perspektiivis võimaldab reageerida olukorra tekitanud turutõrgetele paremini kui võimsuse tagamise mehhanismid.</w:t>
      </w:r>
    </w:p>
    <w:p>
      <w:pPr>
        <w:keepNext/>
        <w:spacing w:before="240" w:after="120"/>
        <w:jc w:val="both"/>
        <w:rPr>
          <w:rFonts w:ascii="Times New Roman" w:hAnsi="Times New Roman"/>
          <w:i/>
          <w:noProof/>
          <w:color w:val="000000" w:themeColor="text1"/>
          <w:sz w:val="24"/>
        </w:rPr>
      </w:pPr>
      <w:r>
        <w:rPr>
          <w:rFonts w:ascii="Times New Roman" w:hAnsi="Times New Roman"/>
          <w:i/>
          <w:noProof/>
          <w:color w:val="000000" w:themeColor="text1"/>
          <w:sz w:val="24"/>
        </w:rPr>
        <w:t>6.4.</w:t>
      </w:r>
      <w:r>
        <w:rPr>
          <w:noProof/>
        </w:rPr>
        <w:tab/>
      </w:r>
      <w:r>
        <w:rPr>
          <w:rFonts w:ascii="Times New Roman" w:hAnsi="Times New Roman"/>
          <w:i/>
          <w:noProof/>
          <w:color w:val="000000" w:themeColor="text1"/>
          <w:sz w:val="24"/>
        </w:rPr>
        <w:t>Konkurentsi- ja kaubandusmoonutuste minimeerimine nõuetekohase korralduse kaudu</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Võimsuse tagamise mehhanismid võivad moonutada konkurentsi elektriturul, seda nii mehhanismi kehtestanud liikmesriigis kui ka piiriüleselt. Sektoriuuringus leiti aga, et selliseid moonutusi on võimalik suurel määral kõrvaldada, tagades kõrge konkurentsitaseme võimsuse tagamise mehhanismis endas.</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Esiteks võivad võimsuse tagamise mehhanismid kontsentreeritud elektriturgudel moonutada konkurentsi mehhanismi kehtestanud liikmesriigi elektriturul. Selline olukord tekib juhul, kui võimsuse tagamise mehhanismist saadavad tulud laekuvad põhiliselt turgu valitsevate ettevõtjate käes olevale olemasolevale tootmisvõimsusele. See suurendab konkurentide turule sisenemise tõkkeid ja kinnistab elektrituru kontsentreeritust. Tootmisvõimsuse pakkujate avatud ja konkurentsipõhine valikumenetlus, mille puhul mis tahes tehnoloogiat kasutavad uued osalejad saavad konkureerida olemasoleva tootmisvõimsuse pakkujatega, aitab selliseid konkurentsimoonutusi olulisel määral vähendada. Uutele osalejatele võrdsete võimaluste loomiseks võib vaja minna täiendavaid kaitsemeetmeid (nt läbipaistev ja organiseeritud sertifikaatidega kauplemine), eriti detsentraliseeritud süsteemide puhul. Teatavate asjaolude korral võib seevastu olla võimalik kasutada võimsuse tagamise mehhanisme uute osalejate turule sisenemise toetamiseks, näiteks pakkudes uute tootmisvõimsuste puhul pikaajalisi lepinguid või nähes pakkumistes ette konkurentsitoetuse.</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Teiseks loovad võimsuse tagamise mehhanismid moonutusi piiriüleselt, nii muutes elektriga kauplemise signaale kui ka mõjutades oma- ja välismaisesse võimsusesse ning energiaühendustesse investeerimise stiimuleid.</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Arvestades, et elektrihinnad on oluline signaal elektri tõhusaks impordiks ja ekspordiks energia siseturul, peaks võimsuse tagamise mehhanismide korraldus võimaldama neil eksisteerida koos energianappuse korral rakenduvate kõrgete elektrihindadega. Liikmesriik, kes otsustab tugineda elektrihindadele, suudab õigel ajal kaasata importi ja pakkuda samas olulisi stiimuleid varustuskindluse tagamiseks. Seepärast on kaubandusmoonutuste vältimiseks ülimalt olulised reformid, mis võimaldavad energianappuse korral rakenduvaid elektrihindu ja sellist võimsustoodete korraldust, mille puhul need eksisteerivad koos energianappuse korral rakenduvate elektrihindadega</w:t>
      </w:r>
      <w:r>
        <w:rPr>
          <w:rStyle w:val="FootnoteReference"/>
          <w:rFonts w:ascii="Times New Roman" w:hAnsi="Times New Roman"/>
          <w:noProof/>
          <w:color w:val="000000" w:themeColor="text1"/>
          <w:sz w:val="24"/>
        </w:rPr>
        <w:footnoteReference w:id="33"/>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rPr>
      </w:pPr>
      <w:r>
        <w:rPr>
          <w:rFonts w:ascii="Times New Roman" w:hAnsi="Times New Roman"/>
          <w:noProof/>
          <w:color w:val="000000" w:themeColor="text1"/>
          <w:sz w:val="24"/>
        </w:rPr>
        <w:t xml:space="preserve">Lisaks sellele, et kogu turgu hõlmavad võimsuse tagamise mehhanismid võivad mõjutada kaubandust nappusperioodidel, alandavad need üldiselt elektrihindu, sest tootmisvõimsuse pakkujad saavad nüüd osa oma tulust võimsuse tagamise mehhanismist, mitte elektriturult. Kui võimsuse eest saadav tulu on kättesaadav ainult omamaistele tootmisvõimsuse pakkujatele, tekitab selline hindu alandav mõju moonutuse, mis soodustab investeerimist omamaisesse võimsusesse, mitte võimsusesse muudes riikides või energiaühendustesse, mis samuti pakuvad varustuskindlust. Tõhusate signaalide tagamiseks ja energia siseturul tõkete vältimiseks on seepärast äärmiselt oluline igakülgne piiriülene osalemine kogu turgu hõlmavates mehhanismides. </w:t>
      </w:r>
    </w:p>
    <w:p>
      <w:pPr>
        <w:spacing w:before="120" w:after="120"/>
        <w:jc w:val="both"/>
        <w:rPr>
          <w:rFonts w:ascii="Times New Roman" w:hAnsi="Times New Roman"/>
          <w:noProof/>
          <w:color w:val="000000" w:themeColor="text1"/>
          <w:sz w:val="24"/>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88"/>
      </w:tblGrid>
      <w:tr>
        <w:tc>
          <w:tcPr>
            <w:tcW w:w="9288" w:type="dxa"/>
          </w:tcPr>
          <w:p>
            <w:pPr>
              <w:spacing w:before="12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Sektoriuuringust ilmneb, et võimsuse tagamise mehhanismid peaksid olema avatud mis tahes liiki potentsiaalsetele tootmisvõimsuse pakkujatele ja hõlmama konkurentsipõhist hindade määramise protsessi, millega tagatakse, et konkurentsist tulenevalt on võimsuse eest makstav hind võimalikult madal. Tootmisvõimsuse pakkujate vaheline konkurents peaks olema võimalikult laiaulatuslik ja eritähelepanu tuleks pöörata uutele turule sisenevatele osalejatele.</w:t>
            </w:r>
          </w:p>
          <w:p>
            <w:pPr>
              <w:spacing w:before="12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Võimsuse tagamise mehhanismid peaksid motiveerima varustuskindluse tagamist ja olema korraldatud nii, et need saaksid eksisteerida koos energianappuse korral rakenduvate elektrihindadega, et vältida vastuvõetamatuid kaubandusmoonutusi ja omamaist ülemäärast võimsust.</w:t>
            </w:r>
          </w:p>
          <w:p>
            <w:pPr>
              <w:spacing w:before="120" w:after="120"/>
              <w:jc w:val="both"/>
              <w:rPr>
                <w:rFonts w:ascii="Times New Roman" w:hAnsi="Times New Roman"/>
                <w:i/>
                <w:noProof/>
                <w:color w:val="000000" w:themeColor="text1"/>
                <w:sz w:val="24"/>
                <w:szCs w:val="24"/>
              </w:rPr>
            </w:pPr>
            <w:r>
              <w:rPr>
                <w:rFonts w:ascii="Times New Roman" w:hAnsi="Times New Roman"/>
                <w:i/>
                <w:noProof/>
                <w:color w:val="000000" w:themeColor="text1"/>
                <w:sz w:val="24"/>
              </w:rPr>
              <w:t>Kogu turgu hõlmavad võimsuse tagamise mehhanismid peaksid olema avatud otsesele piiriülesele osalemisele, et motiveerida jätkuvaid investeeringuid energiaühendustesse ja vähendada ELi varustuskindluse pikaajalisi kulusid.</w:t>
            </w:r>
          </w:p>
        </w:tc>
      </w:tr>
    </w:tbl>
    <w:p>
      <w:pPr>
        <w:keepNext/>
        <w:spacing w:before="360" w:after="120"/>
        <w:rPr>
          <w:rFonts w:ascii="Times New Roman" w:hAnsi="Times New Roman"/>
          <w:b/>
          <w:noProof/>
          <w:color w:val="000000" w:themeColor="text1"/>
          <w:sz w:val="24"/>
          <w:szCs w:val="24"/>
        </w:rPr>
      </w:pPr>
      <w:r>
        <w:rPr>
          <w:rFonts w:ascii="Times New Roman" w:hAnsi="Times New Roman"/>
          <w:b/>
          <w:noProof/>
          <w:color w:val="000000" w:themeColor="text1"/>
          <w:sz w:val="24"/>
        </w:rPr>
        <w:t xml:space="preserve">7. </w:t>
      </w:r>
      <w:r>
        <w:rPr>
          <w:noProof/>
        </w:rPr>
        <w:tab/>
      </w:r>
      <w:r>
        <w:rPr>
          <w:rFonts w:ascii="Times New Roman" w:hAnsi="Times New Roman"/>
          <w:b/>
          <w:noProof/>
          <w:color w:val="000000" w:themeColor="text1"/>
          <w:sz w:val="24"/>
        </w:rPr>
        <w:t>Järeldused ja järgmised sammud</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Arvestades praegusi arengusuundi ja reforme ELi elektriturgudel, jätkab komisjon võimsuse tagamise mehhanismide arengu hoolikat jälgimist ning käesolevas lõpparuandes ja selle lisades kehtestatud suuniste täpsustamist, lähtudes oma välja kujunevast otsustuspraktikast. Sektoriuuringu põhjal võib teha kaheksa üldist järeldust</w:t>
      </w:r>
      <w:r>
        <w:rPr>
          <w:rStyle w:val="FootnoteReference"/>
          <w:rFonts w:ascii="Times New Roman" w:hAnsi="Times New Roman"/>
          <w:noProof/>
          <w:color w:val="000000" w:themeColor="text1"/>
          <w:sz w:val="24"/>
        </w:rPr>
        <w:footnoteReference w:id="34"/>
      </w:r>
      <w:r>
        <w:rPr>
          <w:noProof/>
        </w:rPr>
        <w:t>.</w:t>
      </w:r>
      <w:r>
        <w:rPr>
          <w:rFonts w:ascii="Times New Roman" w:hAnsi="Times New Roman"/>
          <w:noProof/>
          <w:color w:val="000000" w:themeColor="text1"/>
          <w:sz w:val="24"/>
        </w:rPr>
        <w:t xml:space="preserve">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Esiteks on saanud selgeks, et hoolimata praegusest ülevõimsusest ELis tervikuna, tuntakse laialdaselt muret selle üle, et tulevikus jääb turule piisava varustuskindluse tagamiseks ebapiisav tootmisvõimsus või see tekib aja jooksul.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Teiseks on elektrituru reformid hädavajalikud, sest need aitavad lahendada ebapiisava varustuskindlusega seotud probleeme. Enamik liikmesriike ei ole aga asjakohaseid reforme veel rakendanud. Seepärast pakutakse komisjoni turukorralduse algatuses välja mitu reformi ELi elektriturgude toimimise parandamiseks ning komisjon nõuab liikmesriikidelt, et mis tahes võimsuse tagamise mehhanismi kavandatud kasutuselevõtmisega kaasneks reformide rakendamine.</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Kolmandaks võib isegi juhul, kui reformitud turg suudab varustuskindluse põhimõtteliselt tagada, säilida ebakindlus seoses sellega, kas üha volatiilsemaks muutuv turuhind ja harvad energianappuse olukorrad võivad mõjutada pikaajalisi investeeringuid käsitlevaid otsuseid. Seepärast on teatavad liikmesriigid otsustanud kehtestada võimsuse tagamise mehhanismid, et tagada elektrienergia varustuskindlus. Sellised mehhanismid hõlmavad riigiabi ja riigiabi eeskirjade kohaselt tuleb Euroopa Komisjoni neist teavitada. Kõnealused mehhanismid kiidetakse heaks juhul, kui liikmesriigid tõendavad nende vajalikkust ja kui nendega kaasnevad konkurentsimoonutused viiakse kooskõlas siseturu ja riigiabi eeskirjadega miinimumini, võttes arvesse sektoriuuringu tulemusi, millest on käesolevas teatises kokkuvõte esitatud.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Neljandaks on selgelt määratletud majanduslikele varustuskindluse normidele tuginev põhjalik piisavuse hindamine äärmiselt tähtis varustuskindlust ohustavate riskide ja mis tahes võimsuse tagamise mehhanismi vajaliku ulatuse kindlakstegemiseks. Selline põhjalik analüüs vähendab oluliselt ülemäärase võimsuse hankimise riski ja aitab piirata võimsuse tagamise mehhanismidega tekitatavaid konkurentsimoonutusi. Piisavuse hindamise täiendav ühtlustamine ELis aitab suurenda läbipaistvust ja kõnealuste hinnangute tulemuste usaldusväärsust. Seepärast on komisjoni turukorralduse algatuses tehtud ettepanek töötada välja kogu ELi hõlmav täiustatud piisavuse hindamise metoodika ning lasta Euroopa elektri põhivõrguettevõtjate võrgustikul viia läbi iga-aastased piisavuse hindamised. </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Viiendaks peaks valitud võimsuse tagamise mehhanismi liik olema suunatud kindlakstehtud probleemile.</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Kui liikmesriik teeb kindlaks pikaajalise investeeringute ebapiisavuse riski, kujutavad kogu turgu hõlmavad võimsuse tagamise mehhanismid (nt sellised, mis on kasutusele võetud Ühendkuningriigis ja Prantsusmaal ning mida kavandatakse Iirimaal ja Itaalias) endast tõenäoliselt kõige sobivamat sekkumisvormi. Et piirata võimsuse tagamise mehhanismi kaudu vajalikku riigiabi, tuleks ellu viia ka turureforme. </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Kui liikmesriik teeb kindlaks ajutise riski, on tõenäoliselt kõige sobivam sekkumisvorm strateegiline reserv, sest see on ette nähtud toimetulekuks olukordadega, kus pikas perspektiivis tagab turg varustuskindluse, ent lühikeses ja keskpikas perspektiivis esineb võimsusega seotud probleeme. Strateegilised reservid tuleks kasutusele võtta vaid eriolukordades. Neid tuleks hoida väljaspool turgu, et minimeerida turu igapäevase toimimise moonutamist. Strateegiliste reservide puhul peab olema tegemist turureformidega kaasnevate üleminekumeetmetega, mis kaotatakse järk-järgult niipea, kui reformid jõustuvad.</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Kui liikmesriik teeb kindlaks kohaliku tootmise piisavusega seotud probleemi, sõltub mehhanismi valik konkreetsetest turutingimustest. Pikas perspektiivis tuleks aga kohalik probleem lahendada paremate võrguühenduste või sobilikumate pakkumispiirkondade kaudu, mille puhul kehtestatakse kohaliku pakkumise ja nõudluse tasakaalu kajastavad kohalikud elektrihinnad.</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Kui liikmesriik tunneb muret paindliku nõudluse ebapiisava arendamise üle, võib asjakohane lahendus olla katkestatavuse süsteem, kuigi tuleb olla tähelepanelik, et vältida süsteemi kujunemist energiamahukatele tööstusharudele antavaks toetuseks.</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Sõltumata valitud mehhanismist tuleks see korrapäraselt läbi vaadata, et kontrollida, kas võimsuse tagamise mehhanism on jätkuvalt vajalik.</w:t>
      </w:r>
    </w:p>
    <w:p>
      <w:pPr>
        <w:pStyle w:val="ListParagraph"/>
        <w:numPr>
          <w:ilvl w:val="0"/>
          <w:numId w:val="12"/>
        </w:numPr>
        <w:spacing w:before="120" w:after="120"/>
        <w:ind w:left="360"/>
        <w:jc w:val="both"/>
        <w:rPr>
          <w:rFonts w:ascii="Times New Roman" w:hAnsi="Times New Roman"/>
          <w:noProof/>
          <w:color w:val="000000" w:themeColor="text1"/>
          <w:sz w:val="24"/>
          <w:szCs w:val="24"/>
        </w:rPr>
      </w:pPr>
      <w:r>
        <w:rPr>
          <w:rFonts w:ascii="Times New Roman" w:hAnsi="Times New Roman"/>
          <w:noProof/>
          <w:color w:val="000000" w:themeColor="text1"/>
          <w:sz w:val="24"/>
        </w:rPr>
        <w:t xml:space="preserve">Olenemata konkreetsetest probleemidest, millega liikmesriik kokku puutub, ei ole administratiivsed võimsustasud tõenäoliselt asjakohased, sest kui konkurentsipõhine protsess puudub, siis esineb suur oht, et võimsuseesmärki ei saavutata või et makstakse ülemäärast hüvitist. </w:t>
      </w:r>
    </w:p>
    <w:p>
      <w:pPr>
        <w:jc w:val="both"/>
        <w:rPr>
          <w:rFonts w:ascii="Times New Roman" w:hAnsi="Times New Roman"/>
          <w:noProof/>
          <w:color w:val="000000" w:themeColor="text1"/>
          <w:sz w:val="24"/>
          <w:szCs w:val="24"/>
        </w:rPr>
      </w:pPr>
      <w:r>
        <w:rPr>
          <w:rFonts w:ascii="Times New Roman" w:hAnsi="Times New Roman"/>
          <w:noProof/>
          <w:color w:val="000000" w:themeColor="text1"/>
          <w:sz w:val="24"/>
        </w:rPr>
        <w:t>Kuuendaks peaksid võimsuse tagamise mehhanismid olema avatud igat liiki potentsiaalsetele tootmisvõimsuse pakkujatele. Koos konkurentsipõhise hindade määramise protsessiga tagab see, et konkurentsist tulenevalt on võimsuse eest makstav hind võimalikult madal. Ainsad erandid on tarbimiskaja mehhanismid, kuna need võimaldavad olukorra tekitanud turutõrkeid väga hästi kõrvaldada, ja strateegilised reservid, mis turumoonutuste minimeerimiseks ei tohiks soodustada uusi tootmisvõimsusi.</w:t>
      </w:r>
    </w:p>
    <w:p>
      <w:pPr>
        <w:jc w:val="both"/>
        <w:rPr>
          <w:rFonts w:ascii="Times New Roman" w:hAnsi="Times New Roman"/>
          <w:noProof/>
          <w:color w:val="000000" w:themeColor="text1"/>
          <w:sz w:val="24"/>
          <w:szCs w:val="24"/>
        </w:rPr>
      </w:pPr>
      <w:r>
        <w:rPr>
          <w:rFonts w:ascii="Times New Roman" w:hAnsi="Times New Roman"/>
          <w:noProof/>
          <w:color w:val="000000" w:themeColor="text1"/>
          <w:sz w:val="24"/>
        </w:rPr>
        <w:t>Seitsmendaks peavad kogu turgu hõlmavad võimsuse tagamise mehhanismid olema avatud otsesele piiriülesele osalemisele, et minimeerida piiriülese konkurentsi ja kaubanduse moonutusi, motiveerida jätkuvaid investeeringuid energiaühendustesse ja vähendada ELi varustuskindluse pikaajalisi kulusid.</w:t>
      </w:r>
    </w:p>
    <w:p>
      <w:pPr>
        <w:spacing w:before="120" w:after="120"/>
        <w:jc w:val="both"/>
        <w:rPr>
          <w:rFonts w:ascii="Times New Roman" w:hAnsi="Times New Roman"/>
          <w:noProof/>
          <w:color w:val="000000" w:themeColor="text1"/>
          <w:sz w:val="24"/>
          <w:szCs w:val="24"/>
        </w:rPr>
      </w:pPr>
      <w:r>
        <w:rPr>
          <w:rFonts w:ascii="Times New Roman" w:hAnsi="Times New Roman"/>
          <w:noProof/>
          <w:color w:val="000000" w:themeColor="text1"/>
          <w:sz w:val="24"/>
        </w:rPr>
        <w:t>Lõpuks nähtus sektoriuuringust, et mitu olemasolevat võimsuse tagamise mehhanismi on korraldatud sellisel viisil, millega ei pöörata tähelepanu kõikidele konkurentsiprobleemidele. Komisjon teeb liikmesriikidega koostööd, et viia kõik olemasolevad võimsuse tagamise mehhanismid järk-järgult kooskõlla riigiabi eeskirjadega, võttes arvesse sektoriuuringu järeldusi. See aitab luua kindlustunnet tootmisvõimsuse pakkujate ja teiste majandustegevuses osalejate jaoks ning tagada, et investoritele antakse õigeid signaale.</w:t>
      </w:r>
    </w:p>
    <w:sectPr>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F UI Text">
    <w:altName w:val="Times New Roman"/>
    <w:panose1 w:val="00000000000000000000"/>
    <w:charset w:val="00"/>
    <w:family w:val="roman"/>
    <w:notTrueType/>
    <w:pitch w:val="default"/>
  </w:font>
  <w:font w:name=".SFUIText-Regul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088637"/>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spacing w:after="0" w:line="240" w:lineRule="auto"/>
        <w:rPr>
          <w:rFonts w:ascii="Times New Roman" w:hAnsi="Times New Roman"/>
          <w:sz w:val="18"/>
        </w:rPr>
      </w:pPr>
      <w:r>
        <w:rPr>
          <w:rFonts w:ascii="Times New Roman" w:hAnsi="Times New Roman"/>
          <w:sz w:val="18"/>
          <w:vertAlign w:val="superscript"/>
        </w:rPr>
        <w:t xml:space="preserve">1 </w:t>
      </w:r>
      <w:r>
        <w:rPr>
          <w:rFonts w:ascii="Times New Roman" w:hAnsi="Times New Roman"/>
          <w:sz w:val="18"/>
        </w:rPr>
        <w:t>Komisjoni 25. veebruari 2015. aasta teatis „Vastupidava energialiidu ja tulevikku suunatud kliimamuutuste poliitika raamstrateegia“, COM(2015) 80.</w:t>
      </w:r>
    </w:p>
  </w:footnote>
  <w:footnote w:id="3">
    <w:p>
      <w:pPr>
        <w:pStyle w:val="FootnoteText"/>
        <w:spacing w:after="0"/>
      </w:pPr>
      <w:r>
        <w:rPr>
          <w:rStyle w:val="FootnoteReference"/>
        </w:rPr>
        <w:footnoteRef/>
      </w:r>
      <w:r>
        <w:t xml:space="preserve"> </w:t>
      </w:r>
      <w:r>
        <w:rPr>
          <w:sz w:val="18"/>
        </w:rPr>
        <w:t>Komisjoni talituste töödokument, mis on lisatud 30. novembri 2016. aasta lõpuaruandele võimsuse tagamise mehhanisme käsitleva sektoriuuringu kohta, SWD(2016)385.</w:t>
      </w:r>
    </w:p>
  </w:footnote>
  <w:footnote w:id="4">
    <w:p>
      <w:pPr>
        <w:pStyle w:val="FootnoteText"/>
        <w:spacing w:after="0" w:line="240" w:lineRule="auto"/>
        <w:rPr>
          <w:sz w:val="18"/>
        </w:rPr>
      </w:pPr>
      <w:r>
        <w:rPr>
          <w:rStyle w:val="FootnoteReference"/>
          <w:sz w:val="18"/>
        </w:rPr>
        <w:footnoteRef/>
      </w:r>
      <w:r>
        <w:rPr>
          <w:sz w:val="18"/>
        </w:rPr>
        <w:t xml:space="preserve"> Keskkonna- ja energiaalase riigiabi suunised aastateks 2014–2020 (2014/C 200/01) sisaldavad konkreetseid eeskirju selle kohta, kuidas hinnata võimsuse tagamise mehhanisme konkurentsiõiguse seisukohast. </w:t>
      </w:r>
    </w:p>
  </w:footnote>
  <w:footnote w:id="5">
    <w:p>
      <w:pPr>
        <w:pStyle w:val="FootnoteText"/>
        <w:spacing w:after="0"/>
      </w:pPr>
      <w:r>
        <w:rPr>
          <w:rStyle w:val="FootnoteReference"/>
        </w:rPr>
        <w:footnoteRef/>
      </w:r>
      <w:r>
        <w:t xml:space="preserve"> </w:t>
      </w:r>
      <w:r>
        <w:rPr>
          <w:sz w:val="18"/>
        </w:rPr>
        <w:t>Tasub märkida, et sektoriuuringu järeldused on üldist laadi ning et kõiki riigiabimeetmeid tuleb alati hinnata juhtumipõhiselt.</w:t>
      </w:r>
    </w:p>
  </w:footnote>
  <w:footnote w:id="6">
    <w:p>
      <w:pPr>
        <w:pStyle w:val="FootnoteText"/>
        <w:spacing w:after="0" w:line="240" w:lineRule="auto"/>
        <w:rPr>
          <w:sz w:val="18"/>
        </w:rPr>
      </w:pPr>
      <w:r>
        <w:rPr>
          <w:rStyle w:val="FootnoteReference"/>
          <w:sz w:val="18"/>
        </w:rPr>
        <w:footnoteRef/>
      </w:r>
      <w:r>
        <w:rPr>
          <w:sz w:val="18"/>
        </w:rPr>
        <w:t xml:space="preserve"> Belgia, Horvaatia, Taani, Prantsusmaa, Saksamaa, Iirimaa, Itaalia, Poola, Portugal, Hispaania ja Rootsi. </w:t>
      </w:r>
    </w:p>
  </w:footnote>
  <w:footnote w:id="7">
    <w:p>
      <w:pPr>
        <w:pStyle w:val="FootnoteText"/>
        <w:spacing w:after="0" w:line="240" w:lineRule="auto"/>
        <w:rPr>
          <w:sz w:val="18"/>
        </w:rPr>
      </w:pPr>
      <w:r>
        <w:rPr>
          <w:rStyle w:val="FootnoteReference"/>
          <w:sz w:val="18"/>
        </w:rPr>
        <w:footnoteRef/>
      </w:r>
      <w:r>
        <w:rPr>
          <w:rStyle w:val="FootnoteReference"/>
          <w:sz w:val="18"/>
        </w:rPr>
        <w:t xml:space="preserve"> </w:t>
      </w:r>
      <w:r>
        <w:rPr>
          <w:sz w:val="18"/>
        </w:rPr>
        <w:t>C(2016) 2017 ja SWD(2016) 119.</w:t>
      </w:r>
    </w:p>
  </w:footnote>
  <w:footnote w:id="8">
    <w:p>
      <w:pPr>
        <w:pStyle w:val="FootnoteText"/>
        <w:spacing w:after="0" w:line="240" w:lineRule="auto"/>
        <w:rPr>
          <w:sz w:val="18"/>
        </w:rPr>
      </w:pPr>
      <w:r>
        <w:rPr>
          <w:rStyle w:val="FootnoteReference"/>
          <w:sz w:val="18"/>
        </w:rPr>
        <w:footnoteRef/>
      </w:r>
      <w:r>
        <w:rPr>
          <w:rStyle w:val="FootnoteReference"/>
          <w:sz w:val="18"/>
        </w:rPr>
        <w:t xml:space="preserve"> </w:t>
      </w:r>
      <w:r>
        <w:rPr>
          <w:sz w:val="18"/>
        </w:rPr>
        <w:t>Ülevaade avaliku konsultatsiooni raames laekunud vastustest on kättesaadav käesolevale teatisele lisatud aruande (komisjoni talituste töödokumendi) lisana.</w:t>
      </w:r>
    </w:p>
  </w:footnote>
  <w:footnote w:id="9">
    <w:p>
      <w:pPr>
        <w:pStyle w:val="FootnoteText"/>
        <w:spacing w:after="0"/>
      </w:pPr>
      <w:r>
        <w:rPr>
          <w:rStyle w:val="FootnoteReference"/>
        </w:rPr>
        <w:footnoteRef/>
      </w:r>
      <w:r>
        <w:t xml:space="preserve"> </w:t>
      </w:r>
      <w:r>
        <w:rPr>
          <w:sz w:val="18"/>
        </w:rPr>
        <w:t>Pakett sisaldab määruste (EÜ) nr 713/2009 ja (EÜ) nr 714/2009 ning direktiivi 2009/72/EÜ muudatusi. Pakett sisaldab ka ettepanekut võtta vastu uus määrus elektrisektoris riskideks valmisoleku kohta, millega tunnistatakse kehtetuks direktiiv 2005/89/EÜ.</w:t>
      </w:r>
    </w:p>
  </w:footnote>
  <w:footnote w:id="10">
    <w:p>
      <w:pPr>
        <w:pStyle w:val="FootnoteText"/>
        <w:spacing w:after="0" w:line="240" w:lineRule="auto"/>
        <w:rPr>
          <w:sz w:val="18"/>
        </w:rPr>
      </w:pPr>
      <w:r>
        <w:rPr>
          <w:rStyle w:val="FootnoteReference"/>
          <w:sz w:val="18"/>
        </w:rPr>
        <w:footnoteRef/>
      </w:r>
      <w:r>
        <w:rPr>
          <w:sz w:val="18"/>
        </w:rPr>
        <w:t xml:space="preserve"> See olukord on peamiselt tingitud enne kriisi puhkemist tehtud investeerimisotsuste elluviimisest. Kuigi kogu ülesseatud võimsus suurenes kõigis 11 sektoriuuringuga hõlmatud liikmesriigis erineval määral, on see alates 2000. aastast ELis tervikuna suurenenud enam kui 30 %.</w:t>
      </w:r>
    </w:p>
  </w:footnote>
  <w:footnote w:id="11">
    <w:p>
      <w:pPr>
        <w:pStyle w:val="FootnoteText"/>
        <w:spacing w:after="0" w:line="240" w:lineRule="auto"/>
        <w:rPr>
          <w:sz w:val="18"/>
        </w:rPr>
      </w:pPr>
      <w:r>
        <w:rPr>
          <w:rStyle w:val="FootnoteReference"/>
          <w:sz w:val="18"/>
        </w:rPr>
        <w:footnoteRef/>
      </w:r>
      <w:r>
        <w:rPr>
          <w:sz w:val="18"/>
        </w:rPr>
        <w:t xml:space="preserve"> Võimsusmarginaal arvutatakse enamasti ülesseatud võimsuse ja tippnõudluse (või keskmise nõudluse) vahena. Ülesseatud võimsusel saab vähendada nimiandmeid vastavalt selle prognoositavale kättesaadavusele, et kajastada paremini prognoositavat võimsusmarginaali.</w:t>
      </w:r>
    </w:p>
  </w:footnote>
  <w:footnote w:id="12">
    <w:p>
      <w:pPr>
        <w:pStyle w:val="FootnoteText"/>
        <w:spacing w:after="0" w:line="240" w:lineRule="auto"/>
        <w:rPr>
          <w:sz w:val="18"/>
        </w:rPr>
      </w:pPr>
      <w:r>
        <w:rPr>
          <w:rStyle w:val="FootnoteReference"/>
          <w:sz w:val="18"/>
        </w:rPr>
        <w:footnoteRef/>
      </w:r>
      <w:r>
        <w:rPr>
          <w:sz w:val="18"/>
        </w:rPr>
        <w:t xml:space="preserve"> Euroopa elektri põhivõrguettevõtjate võrgustiku (ENTSO-E) andmete kohaselt on tippaegadel vajamineva elektrienergia ja olemasoleva tootmisvõimsusega toodetava elektrienergia koguse vahe ELis tervikuna hinnanguliselt 13 % („ENTSO-E: 2015 Scenario Outlook &amp; Adequacy Forecast“, kättesaadav aadressil </w:t>
      </w:r>
      <w:hyperlink r:id="rId1">
        <w:r>
          <w:rPr>
            <w:rStyle w:val="Hyperlink"/>
            <w:sz w:val="18"/>
          </w:rPr>
          <w:t>https://www.entsoe.eu/Documents/SDC%20documents/SOAF/150630_SOAF_2015_publication_wcover.pdf</w:t>
        </w:r>
      </w:hyperlink>
      <w:r>
        <w:rPr>
          <w:sz w:val="18"/>
        </w:rPr>
        <w:t>).</w:t>
      </w:r>
    </w:p>
  </w:footnote>
  <w:footnote w:id="13">
    <w:p>
      <w:pPr>
        <w:pStyle w:val="FootnoteText"/>
        <w:spacing w:after="0" w:line="240" w:lineRule="auto"/>
        <w:rPr>
          <w:sz w:val="18"/>
        </w:rPr>
      </w:pPr>
      <w:r>
        <w:rPr>
          <w:rStyle w:val="FootnoteReference"/>
          <w:sz w:val="18"/>
        </w:rPr>
        <w:footnoteRef/>
      </w:r>
      <w:r>
        <w:rPr>
          <w:sz w:val="18"/>
        </w:rPr>
        <w:t xml:space="preserve"> Energeetikasektorit Reguleerivate Asutuste Koostööameti (ACER) avaldatud andmete kohaselt on hinnahüpete sagedus ELi elektriturgudel alates 2010. aastast vähenenud (ACERi aastaaruanne elektrienergia siseturu järelevalve tulemuste kohta (2015), kättesaadav aadressil </w:t>
      </w:r>
      <w:hyperlink r:id="rId2">
        <w:r>
          <w:rPr>
            <w:rStyle w:val="Hyperlink"/>
            <w:sz w:val="18"/>
          </w:rPr>
          <w:t>http://www.acer.europa.eu/Official_documents/Acts_of_the_Agency/Publication/ACER%20Market%20Monitoring%20Report%202015%20-%20ELECTRICITY.pdf</w:t>
        </w:r>
      </w:hyperlink>
      <w:r>
        <w:rPr>
          <w:sz w:val="18"/>
        </w:rPr>
        <w:t>).</w:t>
      </w:r>
    </w:p>
  </w:footnote>
  <w:footnote w:id="14">
    <w:p>
      <w:pPr>
        <w:pStyle w:val="FootnoteText"/>
        <w:spacing w:after="0" w:line="240" w:lineRule="auto"/>
        <w:rPr>
          <w:sz w:val="18"/>
        </w:rPr>
      </w:pPr>
      <w:r>
        <w:rPr>
          <w:rStyle w:val="FootnoteReference"/>
          <w:sz w:val="18"/>
        </w:rPr>
        <w:footnoteRef/>
      </w:r>
      <w:r>
        <w:rPr>
          <w:sz w:val="18"/>
        </w:rPr>
        <w:t xml:space="preserve"> Ainus suurem erand oli Poola, kus 2015. aasta augusti kuumalaine põhjustas elektrijaamades sundkatkestusi.</w:t>
      </w:r>
    </w:p>
  </w:footnote>
  <w:footnote w:id="15">
    <w:p>
      <w:pPr>
        <w:pStyle w:val="FootnoteText"/>
        <w:spacing w:after="0" w:line="240" w:lineRule="auto"/>
        <w:rPr>
          <w:sz w:val="18"/>
        </w:rPr>
      </w:pPr>
      <w:r>
        <w:rPr>
          <w:rStyle w:val="FootnoteReference"/>
          <w:sz w:val="18"/>
        </w:rPr>
        <w:footnoteRef/>
      </w:r>
      <w:r>
        <w:rPr>
          <w:sz w:val="18"/>
        </w:rPr>
        <w:t xml:space="preserve"> Tuule- ja päikeseenergia moodustas 2014. aastal 11 % EL 28 elektritoodangust (Eurostati andmetel), kuid mõnes liikmesriigis tagavad need süsteemid teatavatel kellaaegadel peaaegu kogu elektrienergia tootmise ja teatavatel kellaaegadel ei tooda need elektrienergiat üldse.</w:t>
      </w:r>
    </w:p>
  </w:footnote>
  <w:footnote w:id="16">
    <w:p>
      <w:pPr>
        <w:pStyle w:val="FootnoteText"/>
        <w:spacing w:after="0" w:line="240" w:lineRule="auto"/>
        <w:rPr>
          <w:sz w:val="18"/>
        </w:rPr>
      </w:pPr>
      <w:r>
        <w:rPr>
          <w:rStyle w:val="FootnoteReference"/>
          <w:sz w:val="18"/>
        </w:rPr>
        <w:footnoteRef/>
      </w:r>
      <w:r>
        <w:rPr>
          <w:sz w:val="18"/>
        </w:rPr>
        <w:t xml:space="preserve"> Tõhusad hinnalaed peaksid põhimõtteliselt kajastama tarbijate keskmist valmidust maksta selle eest, et neid ei ühendataks energianappuse korral lahti (nn kaotatud koormuse väärtus).</w:t>
      </w:r>
    </w:p>
  </w:footnote>
  <w:footnote w:id="17">
    <w:p>
      <w:pPr>
        <w:pStyle w:val="FootnoteText"/>
        <w:spacing w:after="0" w:line="240" w:lineRule="auto"/>
        <w:rPr>
          <w:sz w:val="18"/>
        </w:rPr>
      </w:pPr>
      <w:r>
        <w:rPr>
          <w:rStyle w:val="FootnoteReference"/>
          <w:sz w:val="18"/>
        </w:rPr>
        <w:footnoteRef/>
      </w:r>
      <w:r>
        <w:rPr>
          <w:sz w:val="18"/>
        </w:rPr>
        <w:t xml:space="preserve"> Näiteks võivad liiga väikesed trahvid ebabilansi eest tarne ajal toimida järgmise päeva ja muudel forvardturgudel kaudse hinnalaena, kuna ettevõtjad võivad kõrgete hindade maksmisele eelistada hoopis trahvi maksmist.</w:t>
      </w:r>
    </w:p>
  </w:footnote>
  <w:footnote w:id="18">
    <w:p>
      <w:pPr>
        <w:pStyle w:val="FootnoteText"/>
        <w:spacing w:after="0" w:line="240" w:lineRule="auto"/>
        <w:rPr>
          <w:sz w:val="18"/>
        </w:rPr>
      </w:pPr>
      <w:r>
        <w:rPr>
          <w:rStyle w:val="FootnoteReference"/>
          <w:sz w:val="18"/>
        </w:rPr>
        <w:footnoteRef/>
      </w:r>
      <w:r>
        <w:rPr>
          <w:sz w:val="18"/>
        </w:rPr>
        <w:t xml:space="preserve"> Pakkumispiirkonnad on määratluse järgi ühtsed hinnatsoonid, kus nõudluse ja pakkumise hinnad selgitatakse samal ajal ja samal tasemel. </w:t>
      </w:r>
    </w:p>
  </w:footnote>
  <w:footnote w:id="19">
    <w:p>
      <w:pPr>
        <w:pStyle w:val="FootnoteText"/>
        <w:spacing w:after="0"/>
      </w:pPr>
      <w:r>
        <w:rPr>
          <w:rStyle w:val="FootnoteReference"/>
        </w:rPr>
        <w:footnoteRef/>
      </w:r>
      <w:r>
        <w:t xml:space="preserve"> </w:t>
      </w:r>
      <w:r>
        <w:rPr>
          <w:sz w:val="18"/>
        </w:rPr>
        <w:t>Näiteks kui suure pakkumispiirkonna ühel territooriumil on nõudlus liiga suur, kuid elektritootmine ebapiisav, ning see territoorium ei ole ülejäänud piirkonnaga ülekandevõrgu kaudu hästi ühendatud, on selle territooriumi hinnad liiga madalad, võttes arvesse tegelikke kulusid, mida tuleb kanda sealset nõudlust rahuldavaks elektritootmiseks. Pakkumispiirkonna muudel isoleeritud territooriumidel, kus tootmine on võrreldes nõudlusega küllaldane, on hinnad aga liiga kõrged. Nii toetavad pakkumispiirkonna ühe territooriumi tarbijad teise territooriumi tarbijaid ning turuhinnad on moonutatud, mistõttu turud ei anna signaale õigetesse asukohtadesse suunatavateks investeeringuteks.</w:t>
      </w:r>
      <w:r>
        <w:t xml:space="preserve"> </w:t>
      </w:r>
    </w:p>
  </w:footnote>
  <w:footnote w:id="20">
    <w:p>
      <w:pPr>
        <w:pStyle w:val="FootnoteText"/>
        <w:spacing w:after="0"/>
      </w:pPr>
      <w:r>
        <w:rPr>
          <w:rStyle w:val="FootnoteReference"/>
        </w:rPr>
        <w:footnoteRef/>
      </w:r>
      <w:r>
        <w:t xml:space="preserve"> </w:t>
      </w:r>
      <w:r>
        <w:rPr>
          <w:sz w:val="18"/>
        </w:rPr>
        <w:t>Lubatust vähem tootvad tootjad või lubatust rohkem energiat tarbivad jaemüüjad suurendavad kogu võrgu ebabilanssi ja peavad seetõttu maksma ebabilansi eest tasu. Turukorralduse algatuse ettepanekud sisaldavad teatavaid erandeid sellest üldpõhimõttest (vt elektrimääruse eelnõu artikkel 4).</w:t>
      </w:r>
    </w:p>
  </w:footnote>
  <w:footnote w:id="21">
    <w:p>
      <w:pPr>
        <w:pStyle w:val="FootnoteText"/>
        <w:spacing w:after="0" w:line="240" w:lineRule="auto"/>
        <w:rPr>
          <w:sz w:val="18"/>
        </w:rPr>
      </w:pPr>
      <w:r>
        <w:rPr>
          <w:rStyle w:val="FootnoteReference"/>
          <w:sz w:val="18"/>
        </w:rPr>
        <w:footnoteRef/>
      </w:r>
      <w:r>
        <w:rPr>
          <w:sz w:val="18"/>
        </w:rPr>
        <w:t xml:space="preserve"> Kui hinnalagede kaotamine ei vii soovitavate energianappuse korral rakenduvate elektrihindadeni, on mõni elektrituru ettevõtja kasutusele võtnud energianappuse administratiivse hinnastamise. Tegemist on regulatiivse sekkumismeetmega, mille korral liidetakse turuhinnale rahuldamata nõudluse tõenäosuse suurenedes automaatselt teatav eelnevalt kindlaksmääratud hinnalisand. Sel viisil vähenevad võimsusmarginaalid, elektrihinnad määratakse automaatselt vastavalt ebapiisava pakkumise riskile, pakkudes turuosalistele tugevaid stiimuleid elektrienergia tootmiseks (või nõudluse vähendamiseks) siis, kui võrk seda kõige rohkem vajab. Administratiivseid hinnastamismeetmeid kasutatakse näiteks USAs Texase osariigis ja Ühendkuningriigis (</w:t>
      </w:r>
      <w:r>
        <w:rPr>
          <w:i/>
          <w:sz w:val="18"/>
        </w:rPr>
        <w:t>reserve scarcity pricing function</w:t>
      </w:r>
      <w:r>
        <w:rPr>
          <w:sz w:val="18"/>
        </w:rPr>
        <w:t>). Sarnase süsteemi võtab peagi kasutusele ka Iirimaa.</w:t>
      </w:r>
    </w:p>
  </w:footnote>
  <w:footnote w:id="22">
    <w:p>
      <w:pPr>
        <w:pStyle w:val="FootnoteText"/>
        <w:spacing w:after="0" w:line="240" w:lineRule="auto"/>
        <w:rPr>
          <w:sz w:val="18"/>
        </w:rPr>
      </w:pPr>
      <w:r>
        <w:rPr>
          <w:rStyle w:val="FootnoteReference"/>
          <w:sz w:val="18"/>
        </w:rPr>
        <w:footnoteRef/>
      </w:r>
      <w:r>
        <w:rPr>
          <w:sz w:val="18"/>
        </w:rPr>
        <w:t xml:space="preserve"> Riskimaandustooted on kasutusel näiteks Austraalias ja Saksamaal (EEX).</w:t>
      </w:r>
    </w:p>
  </w:footnote>
  <w:footnote w:id="23">
    <w:p>
      <w:pPr>
        <w:pStyle w:val="FootnoteText"/>
        <w:spacing w:after="0" w:line="240" w:lineRule="auto"/>
        <w:rPr>
          <w:sz w:val="18"/>
        </w:rPr>
      </w:pPr>
      <w:r>
        <w:rPr>
          <w:rStyle w:val="FootnoteReference"/>
          <w:sz w:val="18"/>
        </w:rPr>
        <w:footnoteRef/>
      </w:r>
      <w:r>
        <w:rPr>
          <w:sz w:val="18"/>
        </w:rPr>
        <w:t xml:space="preserve"> </w:t>
      </w:r>
      <w:r>
        <w:rPr>
          <w:color w:val="000000" w:themeColor="text1"/>
          <w:sz w:val="18"/>
        </w:rPr>
        <w:t>Konkurentsivastast tegevust on ühtlasi võimalik vältida konkurentsieeskirjade rikkumist käsitlevate nõuete täitmise tagamisega, kuid seda ei tohiks iseenesest tõlgendada kõrgete elektrihindade kujunemist takistavana, kui sellised hinnad peegeldavad elektrienergia väärtust nappuse korral.</w:t>
      </w:r>
    </w:p>
  </w:footnote>
  <w:footnote w:id="24">
    <w:p>
      <w:pPr>
        <w:pStyle w:val="FootnoteText"/>
        <w:spacing w:after="0" w:line="240" w:lineRule="auto"/>
        <w:rPr>
          <w:sz w:val="18"/>
        </w:rPr>
      </w:pPr>
      <w:r>
        <w:rPr>
          <w:rStyle w:val="FootnoteReference"/>
          <w:sz w:val="18"/>
        </w:rPr>
        <w:footnoteRef/>
      </w:r>
      <w:r>
        <w:rPr>
          <w:sz w:val="18"/>
        </w:rPr>
        <w:t xml:space="preserve"> Teenus, mille põhivõrguettevõtja on välja töötanud pelgalt kõrvalteenusena ja mida ta käitab sõltumatult, ei kvalifitseeru riigiabi eeskirjade seisukohalt oluliseks võimsuse tagamise mehhanismiks.</w:t>
      </w:r>
    </w:p>
  </w:footnote>
  <w:footnote w:id="25">
    <w:p>
      <w:pPr>
        <w:pStyle w:val="FootnoteText"/>
        <w:spacing w:after="0" w:line="240" w:lineRule="auto"/>
        <w:rPr>
          <w:sz w:val="18"/>
        </w:rPr>
      </w:pPr>
      <w:r>
        <w:rPr>
          <w:rStyle w:val="FootnoteReference"/>
          <w:sz w:val="18"/>
        </w:rPr>
        <w:footnoteRef/>
      </w:r>
      <w:r>
        <w:rPr>
          <w:sz w:val="18"/>
        </w:rPr>
        <w:t xml:space="preserve"> Kui valitsus töötab välja taastuvenergia toetusprogrammi ja annab toetusi tuuleparki käitavale ettevõtjale, on meetme peamine eesmärk tõenäoliselt CO</w:t>
      </w:r>
      <w:r>
        <w:rPr>
          <w:sz w:val="18"/>
          <w:vertAlign w:val="subscript"/>
        </w:rPr>
        <w:t>2</w:t>
      </w:r>
      <w:r>
        <w:rPr>
          <w:sz w:val="18"/>
        </w:rPr>
        <w:t>-heite vähendamine elektrienergia sektoris. Kuigi see meede suurendab turul olemasolevat võimsust, ei käsitata seda võimsuse tagamise mehhanismina ja seetõttu hinnatakse seda taastuvate energiaallikate toetamist käsitlevate eeskirjade alusel.</w:t>
      </w:r>
    </w:p>
  </w:footnote>
  <w:footnote w:id="26">
    <w:p>
      <w:pPr>
        <w:pStyle w:val="FootnoteText"/>
        <w:spacing w:after="0" w:line="240" w:lineRule="auto"/>
        <w:rPr>
          <w:sz w:val="18"/>
        </w:rPr>
      </w:pPr>
      <w:r>
        <w:rPr>
          <w:rStyle w:val="FootnoteReference"/>
          <w:sz w:val="18"/>
        </w:rPr>
        <w:footnoteRef/>
      </w:r>
      <w:r>
        <w:rPr>
          <w:sz w:val="18"/>
        </w:rPr>
        <w:t xml:space="preserve"> Näiteks soovitatakse kehtestada kohustus võtta otsuse tegemisel arvesse elektritootmise tulevase kasumlikkuse majanduslikku hinnangut (mis võib hõlmata eri kütuste ja CO</w:t>
      </w:r>
      <w:r>
        <w:rPr>
          <w:sz w:val="18"/>
          <w:vertAlign w:val="subscript"/>
        </w:rPr>
        <w:t>2</w:t>
      </w:r>
      <w:r>
        <w:rPr>
          <w:sz w:val="18"/>
        </w:rPr>
        <w:t>-hindade prognoositavate muutuste mõju hinnangut), kavandatavate turureformide osa ning tarbimiskaja ja võrguinvesteeringute suurenemise võimalikku mõju.</w:t>
      </w:r>
    </w:p>
  </w:footnote>
  <w:footnote w:id="27">
    <w:p>
      <w:pPr>
        <w:pStyle w:val="FootnoteText"/>
      </w:pPr>
      <w:r>
        <w:rPr>
          <w:rStyle w:val="FootnoteReference"/>
        </w:rPr>
        <w:footnoteRef/>
      </w:r>
      <w:r>
        <w:t xml:space="preserve"> Samas võib kogu turgu hõlmava mahupõhise mehhanismi kasutuselevõtmise ajal vajaduse korral kasutada puudujäägi katmise vahendina ka strateegilist reservi, mis võib olla kasulik kogu turgu hõlmavas süsteemis üleminekuperioodi vältimiseks juhul, kui enampakkumiste korraldamise aeg on liiga lühike, et uued osalejad suudaksid konkurentsi pakkuda. </w:t>
      </w:r>
    </w:p>
  </w:footnote>
  <w:footnote w:id="28">
    <w:p>
      <w:pPr>
        <w:pStyle w:val="FootnoteText"/>
      </w:pPr>
      <w:r>
        <w:rPr>
          <w:rStyle w:val="FootnoteReference"/>
        </w:rPr>
        <w:footnoteRef/>
      </w:r>
      <w:r>
        <w:t xml:space="preserve"> Üldiselt vajab uus tootmisvõimsus pikaajalisi kohustusi, et oleks võimalik konkureerida olemasoleva võimsusega. Sellised pikaajalised kohustused ei ole tõenäoliselt kooskõlas strateegilise reservi puhul nõutava ajutise laadiga. </w:t>
      </w:r>
    </w:p>
  </w:footnote>
  <w:footnote w:id="29">
    <w:p>
      <w:pPr>
        <w:pStyle w:val="FootnoteText"/>
        <w:spacing w:after="0" w:line="240" w:lineRule="auto"/>
        <w:rPr>
          <w:sz w:val="18"/>
        </w:rPr>
      </w:pPr>
      <w:r>
        <w:rPr>
          <w:rStyle w:val="FootnoteReference"/>
          <w:sz w:val="18"/>
        </w:rPr>
        <w:footnoteRef/>
      </w:r>
      <w:r>
        <w:rPr>
          <w:sz w:val="18"/>
        </w:rPr>
        <w:t xml:space="preserve"> Tuleb tähele panna, et selline sektoriuuringu raames tehtud hinnang ei asenda vajadust mis tahes riigiabi meetmete individuaalse hindamise järele ning seda väidet ei tule tõlgendada nii, et süsteemid, mida ei ole veel hinnatud ja mille kohta tuleb teha komisjoni otsus, leitakse olevat nõuetele vastavad.</w:t>
      </w:r>
    </w:p>
  </w:footnote>
  <w:footnote w:id="30">
    <w:p>
      <w:pPr>
        <w:pStyle w:val="FootnoteText"/>
      </w:pPr>
      <w:r>
        <w:rPr>
          <w:rStyle w:val="FootnoteReference"/>
        </w:rPr>
        <w:footnoteRef/>
      </w:r>
      <w:r>
        <w:t xml:space="preserve"> </w:t>
      </w:r>
      <w:r>
        <w:rPr>
          <w:sz w:val="18"/>
        </w:rPr>
        <w:t>Keskkonna- ja energiaalase abi suuniste punktis 220 ja punkti 233 alapunktis e täpsustatud kliimamuutuse eesmärkide piires.</w:t>
      </w:r>
    </w:p>
  </w:footnote>
  <w:footnote w:id="31">
    <w:p>
      <w:pPr>
        <w:pStyle w:val="FootnoteText"/>
        <w:spacing w:after="0" w:line="240" w:lineRule="auto"/>
        <w:rPr>
          <w:sz w:val="18"/>
        </w:rPr>
      </w:pPr>
      <w:r>
        <w:rPr>
          <w:rStyle w:val="FootnoteReference"/>
          <w:sz w:val="18"/>
        </w:rPr>
        <w:footnoteRef/>
      </w:r>
      <w:r>
        <w:rPr>
          <w:sz w:val="18"/>
        </w:rPr>
        <w:t xml:space="preserve"> Rakendusaeg on pakkumises käsitletud võimsuse jaotamise ja selle tarnimise hetke vaheline ajavahemik. </w:t>
      </w:r>
    </w:p>
  </w:footnote>
  <w:footnote w:id="32">
    <w:p>
      <w:pPr>
        <w:pStyle w:val="FootnoteText"/>
        <w:spacing w:after="0" w:line="240" w:lineRule="auto"/>
        <w:rPr>
          <w:sz w:val="18"/>
        </w:rPr>
      </w:pPr>
      <w:r>
        <w:rPr>
          <w:rStyle w:val="FootnoteReference"/>
          <w:sz w:val="18"/>
        </w:rPr>
        <w:footnoteRef/>
      </w:r>
      <w:r>
        <w:rPr>
          <w:sz w:val="18"/>
        </w:rPr>
        <w:t xml:space="preserve"> </w:t>
      </w:r>
      <w:r>
        <w:rPr>
          <w:color w:val="000000" w:themeColor="text1"/>
          <w:sz w:val="18"/>
        </w:rPr>
        <w:t>Siiski on osa neist endised või kavandatud mehhanismid ja mitte kõik neist ei toimi samaaegselt.</w:t>
      </w:r>
    </w:p>
  </w:footnote>
  <w:footnote w:id="33">
    <w:p>
      <w:pPr>
        <w:pStyle w:val="FootnoteText"/>
      </w:pPr>
      <w:r>
        <w:rPr>
          <w:rStyle w:val="FootnoteReference"/>
        </w:rPr>
        <w:footnoteRef/>
      </w:r>
      <w:r>
        <w:t xml:space="preserve"> Selle saavutamiseks võib olla eriti kasulik varustuskindluse võimalusega seotud võimsustoode, sest see ei nõrgesta turusignaale ega nõua pärast energianappuse olukorras hindade rakendamist tarnimata jätmise eest täiendavate karistuste kehtestamist võimsuse tagamise mehhanismi kaudu.</w:t>
      </w:r>
    </w:p>
  </w:footnote>
  <w:footnote w:id="34">
    <w:p>
      <w:pPr>
        <w:pStyle w:val="FootnoteText"/>
        <w:jc w:val="both"/>
      </w:pPr>
      <w:r>
        <w:rPr>
          <w:rStyle w:val="FootnoteReference"/>
        </w:rPr>
        <w:footnoteRef/>
      </w:r>
      <w:r>
        <w:t xml:space="preserve"> Need järeldused keskenduvad eelkõige mitmesuguste võimsuse tagamise mehhanismide suutlikkusele tagada elektrienergia varustuskindlust kõige kulutõhusamal ja turgu kõige vähem moonutaval viisil. Võimsuse tagamise mehhanismid võivad aga mõjutada tootmise struktuuri ja seeläbi CO</w:t>
      </w:r>
      <w:r>
        <w:rPr>
          <w:vertAlign w:val="subscript"/>
        </w:rPr>
        <w:t>2</w:t>
      </w:r>
      <w:r>
        <w:t xml:space="preserve">-heite vähendamisele suunatud poliitikavahendeid. Nagu on täpsustatud keskkonna- ja energiaalase abi suuniste punktis 220 ja punkti 233 alapunktis e, tuleks võimsuse tagamise mehhanismide korralduses neid mõjusid arvesse võtta, et toetada ELi energiapoliitika üldist sidusust elektriturgudel.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47CFD"/>
    <w:multiLevelType w:val="hybridMultilevel"/>
    <w:tmpl w:val="3990D4F4"/>
    <w:lvl w:ilvl="0" w:tplc="A74EDE6A">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B660E6"/>
    <w:multiLevelType w:val="hybridMultilevel"/>
    <w:tmpl w:val="A66C2242"/>
    <w:lvl w:ilvl="0" w:tplc="DD10577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7640D2C"/>
    <w:multiLevelType w:val="hybridMultilevel"/>
    <w:tmpl w:val="24EA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084651"/>
    <w:multiLevelType w:val="hybridMultilevel"/>
    <w:tmpl w:val="896A12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B1A5D14"/>
    <w:multiLevelType w:val="multilevel"/>
    <w:tmpl w:val="3C26F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0225E04"/>
    <w:multiLevelType w:val="hybridMultilevel"/>
    <w:tmpl w:val="F7A8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AB27B4D"/>
    <w:multiLevelType w:val="hybridMultilevel"/>
    <w:tmpl w:val="F828D8DC"/>
    <w:lvl w:ilvl="0" w:tplc="3EFA652A">
      <w:start w:val="295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C5431A9"/>
    <w:multiLevelType w:val="multilevel"/>
    <w:tmpl w:val="CFA45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30C5A02"/>
    <w:multiLevelType w:val="hybridMultilevel"/>
    <w:tmpl w:val="7BA4A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F1E7FA9"/>
    <w:multiLevelType w:val="multilevel"/>
    <w:tmpl w:val="7BD62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E77E1"/>
    <w:multiLevelType w:val="hybridMultilevel"/>
    <w:tmpl w:val="80781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255859"/>
    <w:multiLevelType w:val="hybridMultilevel"/>
    <w:tmpl w:val="5F12B2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3"/>
  </w:num>
  <w:num w:numId="5">
    <w:abstractNumId w:val="5"/>
  </w:num>
  <w:num w:numId="6">
    <w:abstractNumId w:val="11"/>
  </w:num>
  <w:num w:numId="7">
    <w:abstractNumId w:val="2"/>
  </w:num>
  <w:num w:numId="8">
    <w:abstractNumId w:val="6"/>
  </w:num>
  <w:num w:numId="9">
    <w:abstractNumId w:val="8"/>
  </w:num>
  <w:num w:numId="10">
    <w:abstractNumId w:val="1"/>
  </w:num>
  <w:num w:numId="11">
    <w:abstractNumId w:val="0"/>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hideSpellingErrors/>
  <w:hideGrammaticalErrors/>
  <w:revisionView w:markup="0"/>
  <w:defaultTabStop w:val="720"/>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Red"/>
    <w:docVar w:name="LW_CONFIDENCE" w:val=" "/>
    <w:docVar w:name="LW_CONST_RESTREINT_UE" w:val="RESTREINT UE"/>
    <w:docVar w:name="LW_CORRIGENDUM" w:val="&lt;UNUSED&gt;"/>
    <w:docVar w:name="LW_COVERPAGE_GUID" w:val="6EDD821B9AED43C892EFE8A0BD9861DC"/>
    <w:docVar w:name="LW_CROSSREFERENCE" w:val="{SWD(2016) 385 final}"/>
    <w:docVar w:name="LW_DocType" w:val="NORMAL"/>
    <w:docVar w:name="LW_EMISSION" w:val="30.11.2016"/>
    <w:docVar w:name="LW_EMISSION_ISODATE" w:val="2016-11-30"/>
    <w:docVar w:name="LW_EMISSION_LOCATION" w:val="BRX"/>
    <w:docVar w:name="LW_EMISSION_PREFIX" w:val="Brüssel,"/>
    <w:docVar w:name="LW_EMISSION_SUFFIX" w:val=" "/>
    <w:docVar w:name="LW_ID_DOCTYPE_NONLW" w:val="CP-003"/>
    <w:docVar w:name="LW_LANGUE" w:val="ET"/>
    <w:docVar w:name="LW_MARKING" w:val="&lt;UNUSED&gt;"/>
    <w:docVar w:name="LW_NOM.INST" w:val="EUROOPA KOMISJON"/>
    <w:docVar w:name="LW_NOM.INST_JOINTDOC" w:val="&lt;EMPTY&gt;"/>
    <w:docVar w:name="LW_PART_NBR" w:val="1"/>
    <w:docVar w:name="LW_PART_NBR_TOTAL" w:val="1"/>
    <w:docVar w:name="LW_REF.INST.NEW" w:val="COM"/>
    <w:docVar w:name="LW_REF.INST.NEW_ADOPTED" w:val="final"/>
    <w:docVar w:name="LW_REF.INST.NEW_TEXT" w:val="(2016) 752"/>
    <w:docVar w:name="LW_REF.INTERNE" w:val="&lt;UNUSED&gt;"/>
    <w:docVar w:name="LW_SOUS.TITRE.OBJ.CP" w:val="&lt;UNUSED&gt;"/>
    <w:docVar w:name="LW_SUPERTITRE" w:val="&lt;UNUSED&gt;"/>
    <w:docVar w:name="LW_TITRE.OBJ.CP" w:val="Võimsuse tagamise mehhanismide sektoriuuringu lõpparuanne"/>
    <w:docVar w:name="LW_TYPE.DOC.CP" w:val="KOMISJONI ARUANNE"/>
  </w:docVar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t-EE" w:eastAsia="et-EE" w:bidi="et-E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text,Fußnote,Fotnotstext1,fn,Footnote text,Footnote Text Char2,Footnote Text Char1 Char,Footnote Text Char Char Char,Footnote Text Char Char1,Footnote Text Char1 Char1,Footnote Text Char Char Char1"/>
    <w:basedOn w:val="Normal"/>
    <w:link w:val="FootnoteTextChar"/>
    <w:unhideWhenUsed/>
    <w:qFormat/>
    <w:rPr>
      <w:rFonts w:ascii="Times New Roman" w:hAnsi="Times New Roman"/>
      <w:sz w:val="20"/>
      <w:szCs w:val="20"/>
    </w:rPr>
  </w:style>
  <w:style w:type="character" w:customStyle="1" w:styleId="FootnoteTextChar">
    <w:name w:val="Footnote Text Char"/>
    <w:aliases w:val="Footnote Char,Footnotetext Char,Fußnote Char,Fotnotstext1 Char,fn Char,Footnote text Char,Footnote Text Char2 Char,Footnote Text Char1 Char Char,Footnote Text Char Char Char Char,Footnote Text Char Char1 Char"/>
    <w:link w:val="FootnoteText"/>
    <w:rPr>
      <w:rFonts w:ascii="Times New Roman" w:hAnsi="Times New Roman"/>
      <w:lang w:eastAsia="et-EE"/>
    </w:rPr>
  </w:style>
  <w:style w:type="character" w:styleId="FootnoteReference">
    <w:name w:val="footnote reference"/>
    <w:aliases w:val="Bodyfootnotes,Nota,Footnote symbol,Footnote number,Char1,Ref,de nota al pie, Char1,Signature Char, Zchn Zchn Char Char,SUPERS,Zchn Zchn Char Char,EN Footnote Reference, Char,Voetnootmarkering,fr,o,(NECG) Footnote Reference,Char"/>
    <w:link w:val="CharCharChar"/>
    <w:uiPriority w:val="99"/>
    <w:unhideWhenUsed/>
    <w:qFormat/>
    <w:rPr>
      <w:vertAlign w:val="superscript"/>
    </w:rPr>
  </w:style>
  <w:style w:type="paragraph" w:customStyle="1" w:styleId="CharCharChar">
    <w:name w:val="Char Char Char"/>
    <w:basedOn w:val="Normal"/>
    <w:link w:val="FootnoteReference"/>
    <w:uiPriority w:val="99"/>
    <w:pPr>
      <w:spacing w:after="160" w:line="240" w:lineRule="exact"/>
    </w:pPr>
    <w:rPr>
      <w:sz w:val="20"/>
      <w:szCs w:val="20"/>
      <w:vertAlign w:val="superscript"/>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et-E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t-EE"/>
    </w:rPr>
  </w:style>
  <w:style w:type="paragraph" w:customStyle="1" w:styleId="p1">
    <w:name w:val="p1"/>
    <w:basedOn w:val="Normal"/>
    <w:pPr>
      <w:spacing w:after="0" w:line="240" w:lineRule="auto"/>
    </w:pPr>
    <w:rPr>
      <w:rFonts w:ascii=".SF UI Text" w:hAnsi=".SF UI Text"/>
      <w:color w:val="454545"/>
      <w:sz w:val="26"/>
      <w:szCs w:val="26"/>
    </w:rPr>
  </w:style>
  <w:style w:type="paragraph" w:customStyle="1" w:styleId="p2">
    <w:name w:val="p2"/>
    <w:basedOn w:val="Normal"/>
    <w:pPr>
      <w:spacing w:after="0" w:line="240" w:lineRule="auto"/>
    </w:pPr>
    <w:rPr>
      <w:rFonts w:ascii=".SF UI Text" w:hAnsi=".SF UI Text"/>
      <w:color w:val="454545"/>
      <w:sz w:val="26"/>
      <w:szCs w:val="26"/>
    </w:rPr>
  </w:style>
  <w:style w:type="character" w:customStyle="1" w:styleId="s1">
    <w:name w:val="s1"/>
    <w:rPr>
      <w:rFonts w:ascii=".SFUIText-Regular" w:hAnsi=".SFUIText-Regular" w:hint="default"/>
      <w:b w:val="0"/>
      <w:bCs w:val="0"/>
      <w:i w:val="0"/>
      <w:iCs w:val="0"/>
      <w:sz w:val="34"/>
      <w:szCs w:val="34"/>
    </w:rPr>
  </w:style>
  <w:style w:type="character" w:customStyle="1" w:styleId="apple-converted-space">
    <w:name w:val="apple-converted-space"/>
  </w:style>
  <w:style w:type="paragraph" w:styleId="CommentSubject">
    <w:name w:val="annotation subject"/>
    <w:basedOn w:val="CommentText"/>
    <w:next w:val="CommentText"/>
    <w:link w:val="CommentSubjectChar"/>
    <w:uiPriority w:val="99"/>
    <w:semiHidden/>
    <w:unhideWhenUsed/>
    <w:pPr>
      <w:spacing w:line="240" w:lineRule="auto"/>
    </w:pPr>
    <w:rPr>
      <w:b/>
      <w:bCs/>
    </w:rPr>
  </w:style>
  <w:style w:type="character" w:customStyle="1" w:styleId="CommentSubjectChar">
    <w:name w:val="Comment Subject Char"/>
    <w:basedOn w:val="CommentTextChar"/>
    <w:link w:val="CommentSubject"/>
    <w:uiPriority w:val="99"/>
    <w:semiHidden/>
    <w:rPr>
      <w:b/>
      <w:bCs/>
      <w:lang w:eastAsia="et-EE"/>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sz w:val="22"/>
      <w:szCs w:val="22"/>
      <w:lang w:eastAsia="et-EE"/>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sz w:val="22"/>
      <w:szCs w:val="22"/>
      <w:lang w:eastAsia="et-EE"/>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2"/>
      <w:szCs w:val="22"/>
      <w:lang w:eastAsia="et-EE"/>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Pr>
      <w:sz w:val="22"/>
      <w:szCs w:val="22"/>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Pr>
      <w:i/>
      <w:i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olor w:val="000000" w:themeColor="text1"/>
      <w:sz w:val="24"/>
      <w:szCs w:val="28"/>
    </w:rPr>
  </w:style>
  <w:style w:type="character" w:customStyle="1" w:styleId="FooterCoverPageChar">
    <w:name w:val="Footer Cover Page Char"/>
    <w:basedOn w:val="DefaultParagraphFont"/>
    <w:link w:val="FooterCoverPage"/>
    <w:rPr>
      <w:rFonts w:ascii="Times New Roman" w:hAnsi="Times New Roman"/>
      <w:color w:val="000000" w:themeColor="text1"/>
      <w:sz w:val="24"/>
      <w:szCs w:val="28"/>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olor w:val="000000" w:themeColor="text1"/>
      <w:sz w:val="24"/>
      <w:szCs w:val="28"/>
    </w:rPr>
  </w:style>
  <w:style w:type="character" w:customStyle="1" w:styleId="HeaderCoverPageChar">
    <w:name w:val="Header Cover Page Char"/>
    <w:basedOn w:val="DefaultParagraphFont"/>
    <w:link w:val="HeaderCoverPage"/>
    <w:rPr>
      <w:rFonts w:ascii="Times New Roman" w:hAnsi="Times New Roman"/>
      <w:color w:val="000000" w:themeColor="text1"/>
      <w:sz w:val="24"/>
      <w:szCs w:val="28"/>
    </w:rPr>
  </w:style>
  <w:style w:type="paragraph" w:customStyle="1" w:styleId="Typedudocument">
    <w:name w:val="Type du document"/>
    <w:basedOn w:val="Normal"/>
    <w:next w:val="Normal"/>
    <w:pPr>
      <w:spacing w:before="360" w:after="0" w:line="240" w:lineRule="auto"/>
      <w:jc w:val="center"/>
    </w:pPr>
    <w:rPr>
      <w:rFonts w:ascii="Times New Roman" w:eastAsiaTheme="minorHAnsi" w:hAnsi="Times New Roman"/>
      <w:b/>
      <w:sz w:val="24"/>
    </w:rPr>
  </w:style>
  <w:style w:type="paragraph" w:customStyle="1" w:styleId="Titreobjet">
    <w:name w:val="Titre objet"/>
    <w:basedOn w:val="Normal"/>
    <w:next w:val="Normal"/>
    <w:pPr>
      <w:spacing w:before="360" w:after="360" w:line="240" w:lineRule="auto"/>
      <w:jc w:val="center"/>
    </w:pPr>
    <w:rPr>
      <w:rFonts w:ascii="Times New Roman" w:eastAsiaTheme="minorHAnsi" w:hAnsi="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t-EE" w:eastAsia="et-EE" w:bidi="et-E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text,Fußnote,Fotnotstext1,fn,Footnote text,Footnote Text Char2,Footnote Text Char1 Char,Footnote Text Char Char Char,Footnote Text Char Char1,Footnote Text Char1 Char1,Footnote Text Char Char Char1"/>
    <w:basedOn w:val="Normal"/>
    <w:link w:val="FootnoteTextChar"/>
    <w:unhideWhenUsed/>
    <w:qFormat/>
    <w:rPr>
      <w:rFonts w:ascii="Times New Roman" w:hAnsi="Times New Roman"/>
      <w:sz w:val="20"/>
      <w:szCs w:val="20"/>
    </w:rPr>
  </w:style>
  <w:style w:type="character" w:customStyle="1" w:styleId="FootnoteTextChar">
    <w:name w:val="Footnote Text Char"/>
    <w:aliases w:val="Footnote Char,Footnotetext Char,Fußnote Char,Fotnotstext1 Char,fn Char,Footnote text Char,Footnote Text Char2 Char,Footnote Text Char1 Char Char,Footnote Text Char Char Char Char,Footnote Text Char Char1 Char"/>
    <w:link w:val="FootnoteText"/>
    <w:rPr>
      <w:rFonts w:ascii="Times New Roman" w:hAnsi="Times New Roman"/>
      <w:lang w:eastAsia="et-EE"/>
    </w:rPr>
  </w:style>
  <w:style w:type="character" w:styleId="FootnoteReference">
    <w:name w:val="footnote reference"/>
    <w:aliases w:val="Bodyfootnotes,Nota,Footnote symbol,Footnote number,Char1,Ref,de nota al pie, Char1,Signature Char, Zchn Zchn Char Char,SUPERS,Zchn Zchn Char Char,EN Footnote Reference, Char,Voetnootmarkering,fr,o,(NECG) Footnote Reference,Char"/>
    <w:link w:val="CharCharChar"/>
    <w:uiPriority w:val="99"/>
    <w:unhideWhenUsed/>
    <w:qFormat/>
    <w:rPr>
      <w:vertAlign w:val="superscript"/>
    </w:rPr>
  </w:style>
  <w:style w:type="paragraph" w:customStyle="1" w:styleId="CharCharChar">
    <w:name w:val="Char Char Char"/>
    <w:basedOn w:val="Normal"/>
    <w:link w:val="FootnoteReference"/>
    <w:uiPriority w:val="99"/>
    <w:pPr>
      <w:spacing w:after="160" w:line="240" w:lineRule="exact"/>
    </w:pPr>
    <w:rPr>
      <w:sz w:val="20"/>
      <w:szCs w:val="20"/>
      <w:vertAlign w:val="superscript"/>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et-E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t-EE"/>
    </w:rPr>
  </w:style>
  <w:style w:type="paragraph" w:customStyle="1" w:styleId="p1">
    <w:name w:val="p1"/>
    <w:basedOn w:val="Normal"/>
    <w:pPr>
      <w:spacing w:after="0" w:line="240" w:lineRule="auto"/>
    </w:pPr>
    <w:rPr>
      <w:rFonts w:ascii=".SF UI Text" w:hAnsi=".SF UI Text"/>
      <w:color w:val="454545"/>
      <w:sz w:val="26"/>
      <w:szCs w:val="26"/>
    </w:rPr>
  </w:style>
  <w:style w:type="paragraph" w:customStyle="1" w:styleId="p2">
    <w:name w:val="p2"/>
    <w:basedOn w:val="Normal"/>
    <w:pPr>
      <w:spacing w:after="0" w:line="240" w:lineRule="auto"/>
    </w:pPr>
    <w:rPr>
      <w:rFonts w:ascii=".SF UI Text" w:hAnsi=".SF UI Text"/>
      <w:color w:val="454545"/>
      <w:sz w:val="26"/>
      <w:szCs w:val="26"/>
    </w:rPr>
  </w:style>
  <w:style w:type="character" w:customStyle="1" w:styleId="s1">
    <w:name w:val="s1"/>
    <w:rPr>
      <w:rFonts w:ascii=".SFUIText-Regular" w:hAnsi=".SFUIText-Regular" w:hint="default"/>
      <w:b w:val="0"/>
      <w:bCs w:val="0"/>
      <w:i w:val="0"/>
      <w:iCs w:val="0"/>
      <w:sz w:val="34"/>
      <w:szCs w:val="34"/>
    </w:rPr>
  </w:style>
  <w:style w:type="character" w:customStyle="1" w:styleId="apple-converted-space">
    <w:name w:val="apple-converted-space"/>
  </w:style>
  <w:style w:type="paragraph" w:styleId="CommentSubject">
    <w:name w:val="annotation subject"/>
    <w:basedOn w:val="CommentText"/>
    <w:next w:val="CommentText"/>
    <w:link w:val="CommentSubjectChar"/>
    <w:uiPriority w:val="99"/>
    <w:semiHidden/>
    <w:unhideWhenUsed/>
    <w:pPr>
      <w:spacing w:line="240" w:lineRule="auto"/>
    </w:pPr>
    <w:rPr>
      <w:b/>
      <w:bCs/>
    </w:rPr>
  </w:style>
  <w:style w:type="character" w:customStyle="1" w:styleId="CommentSubjectChar">
    <w:name w:val="Comment Subject Char"/>
    <w:basedOn w:val="CommentTextChar"/>
    <w:link w:val="CommentSubject"/>
    <w:uiPriority w:val="99"/>
    <w:semiHidden/>
    <w:rPr>
      <w:b/>
      <w:bCs/>
      <w:lang w:eastAsia="et-EE"/>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sz w:val="22"/>
      <w:szCs w:val="22"/>
      <w:lang w:eastAsia="et-EE"/>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sz w:val="22"/>
      <w:szCs w:val="22"/>
      <w:lang w:eastAsia="et-EE"/>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2"/>
      <w:szCs w:val="22"/>
      <w:lang w:eastAsia="et-EE"/>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Pr>
      <w:sz w:val="22"/>
      <w:szCs w:val="22"/>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Pr>
      <w:i/>
      <w:i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olor w:val="000000" w:themeColor="text1"/>
      <w:sz w:val="24"/>
      <w:szCs w:val="28"/>
    </w:rPr>
  </w:style>
  <w:style w:type="character" w:customStyle="1" w:styleId="FooterCoverPageChar">
    <w:name w:val="Footer Cover Page Char"/>
    <w:basedOn w:val="DefaultParagraphFont"/>
    <w:link w:val="FooterCoverPage"/>
    <w:rPr>
      <w:rFonts w:ascii="Times New Roman" w:hAnsi="Times New Roman"/>
      <w:color w:val="000000" w:themeColor="text1"/>
      <w:sz w:val="24"/>
      <w:szCs w:val="28"/>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olor w:val="000000" w:themeColor="text1"/>
      <w:sz w:val="24"/>
      <w:szCs w:val="28"/>
    </w:rPr>
  </w:style>
  <w:style w:type="character" w:customStyle="1" w:styleId="HeaderCoverPageChar">
    <w:name w:val="Header Cover Page Char"/>
    <w:basedOn w:val="DefaultParagraphFont"/>
    <w:link w:val="HeaderCoverPage"/>
    <w:rPr>
      <w:rFonts w:ascii="Times New Roman" w:hAnsi="Times New Roman"/>
      <w:color w:val="000000" w:themeColor="text1"/>
      <w:sz w:val="24"/>
      <w:szCs w:val="28"/>
    </w:rPr>
  </w:style>
  <w:style w:type="paragraph" w:customStyle="1" w:styleId="Typedudocument">
    <w:name w:val="Type du document"/>
    <w:basedOn w:val="Normal"/>
    <w:next w:val="Normal"/>
    <w:pPr>
      <w:spacing w:before="360" w:after="0" w:line="240" w:lineRule="auto"/>
      <w:jc w:val="center"/>
    </w:pPr>
    <w:rPr>
      <w:rFonts w:ascii="Times New Roman" w:eastAsiaTheme="minorHAnsi" w:hAnsi="Times New Roman"/>
      <w:b/>
      <w:sz w:val="24"/>
    </w:rPr>
  </w:style>
  <w:style w:type="paragraph" w:customStyle="1" w:styleId="Titreobjet">
    <w:name w:val="Titre objet"/>
    <w:basedOn w:val="Normal"/>
    <w:next w:val="Normal"/>
    <w:pPr>
      <w:spacing w:before="360" w:after="360" w:line="240" w:lineRule="auto"/>
      <w:jc w:val="center"/>
    </w:pPr>
    <w:rPr>
      <w:rFonts w:ascii="Times New Roman" w:eastAsiaTheme="minorHAnsi"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99690">
      <w:bodyDiv w:val="1"/>
      <w:marLeft w:val="0"/>
      <w:marRight w:val="0"/>
      <w:marTop w:val="0"/>
      <w:marBottom w:val="0"/>
      <w:divBdr>
        <w:top w:val="none" w:sz="0" w:space="0" w:color="auto"/>
        <w:left w:val="none" w:sz="0" w:space="0" w:color="auto"/>
        <w:bottom w:val="none" w:sz="0" w:space="0" w:color="auto"/>
        <w:right w:val="none" w:sz="0" w:space="0" w:color="auto"/>
      </w:divBdr>
    </w:div>
    <w:div w:id="207840130">
      <w:bodyDiv w:val="1"/>
      <w:marLeft w:val="0"/>
      <w:marRight w:val="0"/>
      <w:marTop w:val="0"/>
      <w:marBottom w:val="0"/>
      <w:divBdr>
        <w:top w:val="none" w:sz="0" w:space="0" w:color="auto"/>
        <w:left w:val="none" w:sz="0" w:space="0" w:color="auto"/>
        <w:bottom w:val="none" w:sz="0" w:space="0" w:color="auto"/>
        <w:right w:val="none" w:sz="0" w:space="0" w:color="auto"/>
      </w:divBdr>
    </w:div>
    <w:div w:id="364528634">
      <w:bodyDiv w:val="1"/>
      <w:marLeft w:val="0"/>
      <w:marRight w:val="0"/>
      <w:marTop w:val="0"/>
      <w:marBottom w:val="0"/>
      <w:divBdr>
        <w:top w:val="none" w:sz="0" w:space="0" w:color="auto"/>
        <w:left w:val="none" w:sz="0" w:space="0" w:color="auto"/>
        <w:bottom w:val="none" w:sz="0" w:space="0" w:color="auto"/>
        <w:right w:val="none" w:sz="0" w:space="0" w:color="auto"/>
      </w:divBdr>
    </w:div>
    <w:div w:id="867254582">
      <w:bodyDiv w:val="1"/>
      <w:marLeft w:val="0"/>
      <w:marRight w:val="0"/>
      <w:marTop w:val="0"/>
      <w:marBottom w:val="0"/>
      <w:divBdr>
        <w:top w:val="none" w:sz="0" w:space="0" w:color="auto"/>
        <w:left w:val="none" w:sz="0" w:space="0" w:color="auto"/>
        <w:bottom w:val="none" w:sz="0" w:space="0" w:color="auto"/>
        <w:right w:val="none" w:sz="0" w:space="0" w:color="auto"/>
      </w:divBdr>
    </w:div>
    <w:div w:id="1033920220">
      <w:bodyDiv w:val="1"/>
      <w:marLeft w:val="0"/>
      <w:marRight w:val="0"/>
      <w:marTop w:val="0"/>
      <w:marBottom w:val="0"/>
      <w:divBdr>
        <w:top w:val="none" w:sz="0" w:space="0" w:color="auto"/>
        <w:left w:val="none" w:sz="0" w:space="0" w:color="auto"/>
        <w:bottom w:val="none" w:sz="0" w:space="0" w:color="auto"/>
        <w:right w:val="none" w:sz="0" w:space="0" w:color="auto"/>
      </w:divBdr>
    </w:div>
    <w:div w:id="1403791996">
      <w:bodyDiv w:val="1"/>
      <w:marLeft w:val="0"/>
      <w:marRight w:val="0"/>
      <w:marTop w:val="0"/>
      <w:marBottom w:val="0"/>
      <w:divBdr>
        <w:top w:val="none" w:sz="0" w:space="0" w:color="auto"/>
        <w:left w:val="none" w:sz="0" w:space="0" w:color="auto"/>
        <w:bottom w:val="none" w:sz="0" w:space="0" w:color="auto"/>
        <w:right w:val="none" w:sz="0" w:space="0" w:color="auto"/>
      </w:divBdr>
    </w:div>
    <w:div w:id="1446386654">
      <w:bodyDiv w:val="1"/>
      <w:marLeft w:val="0"/>
      <w:marRight w:val="0"/>
      <w:marTop w:val="0"/>
      <w:marBottom w:val="0"/>
      <w:divBdr>
        <w:top w:val="none" w:sz="0" w:space="0" w:color="auto"/>
        <w:left w:val="none" w:sz="0" w:space="0" w:color="auto"/>
        <w:bottom w:val="none" w:sz="0" w:space="0" w:color="auto"/>
        <w:right w:val="none" w:sz="0" w:space="0" w:color="auto"/>
      </w:divBdr>
    </w:div>
    <w:div w:id="1902010614">
      <w:bodyDiv w:val="1"/>
      <w:marLeft w:val="0"/>
      <w:marRight w:val="0"/>
      <w:marTop w:val="0"/>
      <w:marBottom w:val="0"/>
      <w:divBdr>
        <w:top w:val="none" w:sz="0" w:space="0" w:color="auto"/>
        <w:left w:val="none" w:sz="0" w:space="0" w:color="auto"/>
        <w:bottom w:val="none" w:sz="0" w:space="0" w:color="auto"/>
        <w:right w:val="none" w:sz="0" w:space="0" w:color="auto"/>
      </w:divBdr>
    </w:div>
    <w:div w:id="196465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eader" Target="header5.xml"/><Relationship Id="rId28" Type="http://schemas.openxmlformats.org/officeDocument/2006/relationships/fontTable" Target="fontTable.xml"/><Relationship Id="rId10" Type="http://schemas.microsoft.com/office/2007/relationships/stylesWithEffects" Target="stylesWithEffect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2" Type="http://schemas.openxmlformats.org/officeDocument/2006/relationships/hyperlink" Target="http://www.acer.europa.eu/Official_documents/Acts_of_the_Agency/Publication/ACER%20Market%20Monitoring%20Report%202015%20-%20ELECTRICITY.pdf" TargetMode="External"/><Relationship Id="rId1" Type="http://schemas.openxmlformats.org/officeDocument/2006/relationships/hyperlink" Target="https://www.entsoe.eu/Documents/SDC%20documents/SOAF/150630_SOAF_2015_publication_wcov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ocumentTitle xmlns="f54b8284-6897-49bf-9142-93f3fbd5a2da">Communication on Final Report</documentTitle>
    <j1542cf041824167b3f28d91c4be4073 xmlns="f54b8284-6897-49bf-9142-93f3fbd5a2da">
      <Terms xmlns="http://schemas.microsoft.com/office/infopath/2007/PartnerControls"/>
    </j1542cf041824167b3f28d91c4be4073>
    <_dlc_DocId xmlns="f54b8284-6897-49bf-9142-93f3fbd5a2da">3JXUYP5D2QJQ-2-2756</_dlc_DocId>
    <documentFollowUp xmlns="f54b8284-6897-49bf-9142-93f3fbd5a2da" xsi:nil="true"/>
    <documentSummary xmlns="f54b8284-6897-49bf-9142-93f3fbd5a2da" xsi:nil="true"/>
    <_dlc_DocIdUrl xmlns="f54b8284-6897-49bf-9142-93f3fbd5a2da">
      <Url>http://workspace/cases/HT.4624/_layouts/15/DocIdRedir.aspx?ID=3JXUYP5D2QJQ-2-2756</Url>
      <Description>3JXUYP5D2QJQ-2-2756</Description>
    </_dlc_DocIdUrl>
    <TaxCatchAll xmlns="f54b8284-6897-49bf-9142-93f3fbd5a2da"/>
    <o575bb1f69244e4a901c495a93e2d62f xmlns="f54b8284-6897-49bf-9142-93f3fbd5a2da">
      <Terms xmlns="http://schemas.microsoft.com/office/infopath/2007/PartnerControls"/>
    </o575bb1f69244e4a901c495a93e2d62f>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ork Document" ma:contentTypeID="0x01010400988603A364794F7AA753E65AAE73280500E7502D328698EA4FBC563F2666812679" ma:contentTypeVersion="5" ma:contentTypeDescription="Upload a any type of Document to this Document Library, Tag and Categorize." ma:contentTypeScope="" ma:versionID="c5ca218cbf7ca05025362f6fd0b2ef79">
  <xsd:schema xmlns:xsd="http://www.w3.org/2001/XMLSchema" xmlns:xs="http://www.w3.org/2001/XMLSchema" xmlns:p="http://schemas.microsoft.com/office/2006/metadata/properties" xmlns:ns1="f54b8284-6897-49bf-9142-93f3fbd5a2da" targetNamespace="http://schemas.microsoft.com/office/2006/metadata/properties" ma:root="true" ma:fieldsID="8f1d95fa6defadf045becd600acf819d" ns1:_="">
    <xsd:import namespace="f54b8284-6897-49bf-9142-93f3fbd5a2da"/>
    <xsd:element name="properties">
      <xsd:complexType>
        <xsd:sequence>
          <xsd:element name="documentManagement">
            <xsd:complexType>
              <xsd:all>
                <xsd:element ref="ns1:documentTitle" minOccurs="0"/>
                <xsd:element ref="ns1:documentSummary" minOccurs="0"/>
                <xsd:element ref="ns1:documentFollowUp" minOccurs="0"/>
                <xsd:element ref="ns1:j1542cf041824167b3f28d91c4be4073" minOccurs="0"/>
                <xsd:element ref="ns1:TaxCatchAll" minOccurs="0"/>
                <xsd:element ref="ns1:TaxCatchAllLabel" minOccurs="0"/>
                <xsd:element ref="ns1:o575bb1f69244e4a901c495a93e2d62f"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b8284-6897-49bf-9142-93f3fbd5a2da" elementFormDefault="qualified">
    <xsd:import namespace="http://schemas.microsoft.com/office/2006/documentManagement/types"/>
    <xsd:import namespace="http://schemas.microsoft.com/office/infopath/2007/PartnerControls"/>
    <xsd:element name="documentTitle" ma:index="0" nillable="true" ma:displayName="Document Title" ma:description="The Title of the Document is different than its Filename." ma:internalName="documentTitle">
      <xsd:simpleType>
        <xsd:restriction base="dms:Text">
          <xsd:maxLength value="255"/>
        </xsd:restriction>
      </xsd:simpleType>
    </xsd:element>
    <xsd:element name="documentSummary" ma:index="1" nillable="true" ma:displayName="Summary" ma:description="The Summary is useful to further describe the document." ma:internalName="documentSummary">
      <xsd:simpleType>
        <xsd:restriction base="dms:Note">
          <xsd:maxLength value="255"/>
        </xsd:restriction>
      </xsd:simpleType>
    </xsd:element>
    <xsd:element name="documentFollowUp" ma:index="2" nillable="true" ma:displayName="Follow Up" ma:description="Any pertinent Information regarding the proposed Workflow to this document." ma:internalName="documentFollowUp">
      <xsd:simpleType>
        <xsd:restriction base="dms:Note">
          <xsd:maxLength value="255"/>
        </xsd:restriction>
      </xsd:simpleType>
    </xsd:element>
    <xsd:element name="j1542cf041824167b3f28d91c4be4073" ma:index="3" nillable="true" ma:taxonomy="true" ma:internalName="j1542cf041824167b3f28d91c4be4073" ma:taxonomyFieldName="documentGeneralTags" ma:displayName="General Tags" ma:fieldId="{31542cf0-4182-4167-b3f2-8d91c4be4073}" ma:taxonomyMulti="true" ma:sspId="0b3cc5dc-dc2a-4346-9392-57628a0b46cb" ma:termSetId="8b7e80e7-ae8a-43b2-bd33-ab5e3dce1b12" ma:anchorId="00000000-0000-0000-0000-000000000000" ma:open="false" ma:isKeyword="false">
      <xsd:complexType>
        <xsd:sequence>
          <xsd:element ref="pc:Terms" minOccurs="0" maxOccurs="1"/>
        </xsd:sequence>
      </xsd:complexType>
    </xsd:element>
    <xsd:element name="TaxCatchAll" ma:index="4" nillable="true" ma:displayName="Taxonomy Catch All Column" ma:description="" ma:hidden="true" ma:list="{0d72e050-7c2a-4e7f-ab40-70abfda80b2f}" ma:internalName="TaxCatchAll" ma:showField="CatchAllData" ma:web="f54b8284-6897-49bf-9142-93f3fbd5a2d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0d72e050-7c2a-4e7f-ab40-70abfda80b2f}" ma:internalName="TaxCatchAllLabel" ma:readOnly="true" ma:showField="CatchAllDataLabel" ma:web="f54b8284-6897-49bf-9142-93f3fbd5a2da">
      <xsd:complexType>
        <xsd:complexContent>
          <xsd:extension base="dms:MultiChoiceLookup">
            <xsd:sequence>
              <xsd:element name="Value" type="dms:Lookup" maxOccurs="unbounded" minOccurs="0" nillable="true"/>
            </xsd:sequence>
          </xsd:extension>
        </xsd:complexContent>
      </xsd:complexType>
    </xsd:element>
    <xsd:element name="o575bb1f69244e4a901c495a93e2d62f" ma:index="7" nillable="true" ma:taxonomy="true" ma:internalName="o575bb1f69244e4a901c495a93e2d62f" ma:taxonomyFieldName="documentCaseTags" ma:displayName="Case Tags" ma:fieldId="{8575bb1f-6924-4e4a-901c-495a93e2d62f}" ma:taxonomyMulti="true" ma:sspId="0b3cc5dc-dc2a-4346-9392-57628a0b46cb" ma:termSetId="16adf3a2-20ec-4d72-ad24-01f896d9cbc4" ma:anchorId="00000000-0000-0000-0000-000000000000" ma:open="true" ma:isKeyword="false">
      <xsd:complexType>
        <xsd:sequence>
          <xsd:element ref="pc:Terms" minOccurs="0" maxOccurs="1"/>
        </xsd:sequence>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2379D-8FEC-468F-AC3A-F8BD696B2FC3}">
  <ds:schemaRef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purl.org/dc/dcmitype/"/>
    <ds:schemaRef ds:uri="http://www.w3.org/XML/1998/namespace"/>
    <ds:schemaRef ds:uri="f54b8284-6897-49bf-9142-93f3fbd5a2da"/>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C300A84-10DE-44BB-AB7F-363894225681}">
  <ds:schemaRefs>
    <ds:schemaRef ds:uri="http://schemas.microsoft.com/office/2006/metadata/longProperties"/>
  </ds:schemaRefs>
</ds:datastoreItem>
</file>

<file path=customXml/itemProps3.xml><?xml version="1.0" encoding="utf-8"?>
<ds:datastoreItem xmlns:ds="http://schemas.openxmlformats.org/officeDocument/2006/customXml" ds:itemID="{CF1E4E72-680D-48DD-94F8-6BB3E3ADF653}">
  <ds:schemaRefs>
    <ds:schemaRef ds:uri="http://schemas.microsoft.com/sharepoint/events"/>
  </ds:schemaRefs>
</ds:datastoreItem>
</file>

<file path=customXml/itemProps4.xml><?xml version="1.0" encoding="utf-8"?>
<ds:datastoreItem xmlns:ds="http://schemas.openxmlformats.org/officeDocument/2006/customXml" ds:itemID="{17B219A0-7B59-47A4-8D14-E803D6527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b8284-6897-49bf-9142-93f3fbd5a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EAE10E-079F-4F38-A5FC-0388F6D3164C}">
  <ds:schemaRefs>
    <ds:schemaRef ds:uri="http://schemas.openxmlformats.org/officeDocument/2006/bibliography"/>
  </ds:schemaRefs>
</ds:datastoreItem>
</file>

<file path=customXml/itemProps6.xml><?xml version="1.0" encoding="utf-8"?>
<ds:datastoreItem xmlns:ds="http://schemas.openxmlformats.org/officeDocument/2006/customXml" ds:itemID="{4BA5F624-0518-4217-AB3E-31F70A8309CE}">
  <ds:schemaRefs>
    <ds:schemaRef ds:uri="http://schemas.openxmlformats.org/officeDocument/2006/bibliography"/>
  </ds:schemaRefs>
</ds:datastoreItem>
</file>

<file path=customXml/itemProps7.xml><?xml version="1.0" encoding="utf-8"?>
<ds:datastoreItem xmlns:ds="http://schemas.openxmlformats.org/officeDocument/2006/customXml" ds:itemID="{856FAABA-6759-4DC5-B32B-FA66E3220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5398</Words>
  <Characters>43349</Characters>
  <Application>Microsoft Office Word</Application>
  <DocSecurity>0</DocSecurity>
  <Lines>619</Lines>
  <Paragraphs>138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2016-11-22T14:04:00Z</dcterms:created>
  <dcterms:modified xsi:type="dcterms:W3CDTF">2016-12-02T15:26:00Z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ContentTypeId">
    <vt:lpwstr>0x01010400988603A364794F7AA753E65AAE73280500E7502D328698EA4FBC563F2666812679</vt:lpwstr>
  </property>
  <property fmtid="{D5CDD505-2E9C-101B-9397-08002B2CF9AE}" pid="4" name="Total parts">
    <vt:lpwstr>1</vt:lpwstr>
  </property>
  <property fmtid="{D5CDD505-2E9C-101B-9397-08002B2CF9AE}" pid="5" name="documentCaseTags">
    <vt:lpwstr/>
  </property>
  <property fmtid="{D5CDD505-2E9C-101B-9397-08002B2CF9AE}" pid="6" name="documentGeneralTags">
    <vt:lpwstr/>
  </property>
  <property fmtid="{D5CDD505-2E9C-101B-9397-08002B2CF9AE}" pid="7" name="_dlc_DocIdItemGuid">
    <vt:lpwstr>f1d3add6-2263-405c-9eed-89236ed6d626</vt:lpwstr>
  </property>
  <property fmtid="{D5CDD505-2E9C-101B-9397-08002B2CF9AE}" pid="8" name="Classification">
    <vt:lpwstr> </vt:lpwstr>
  </property>
  <property fmtid="{D5CDD505-2E9C-101B-9397-08002B2CF9AE}" pid="9" name="DocStatus">
    <vt:lpwstr>Green</vt:lpwstr>
  </property>
</Properties>
</file>