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B8" w:rsidRDefault="002F0B4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D5A8C4516F245F7A814709D2303989D" style="width:450.75pt;height:307.5pt">
            <v:imagedata r:id="rId9" o:title=""/>
          </v:shape>
        </w:pict>
      </w:r>
    </w:p>
    <w:bookmarkEnd w:id="0"/>
    <w:p w:rsidR="00A55DB8" w:rsidRDefault="00A55DB8">
      <w:pPr>
        <w:rPr>
          <w:noProof/>
        </w:rPr>
        <w:sectPr w:rsidR="00A55DB8">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A55DB8" w:rsidRDefault="00A55DB8">
      <w:pPr>
        <w:rPr>
          <w:noProof/>
        </w:rPr>
      </w:pPr>
    </w:p>
    <w:p w:rsidR="00A55DB8" w:rsidRDefault="002F0B45">
      <w:pPr>
        <w:pStyle w:val="Typedudocument"/>
        <w:rPr>
          <w:noProof/>
        </w:rPr>
      </w:pPr>
      <w:r>
        <w:rPr>
          <w:noProof/>
        </w:rPr>
        <w:t>KOMISJONI ARUANNE EUROOPA PARLAMENDILE JA NÕUKOGULE</w:t>
      </w:r>
    </w:p>
    <w:p w:rsidR="00A55DB8" w:rsidRDefault="002F0B45">
      <w:pPr>
        <w:pStyle w:val="Titreobjet"/>
        <w:rPr>
          <w:noProof/>
        </w:rPr>
      </w:pPr>
      <w:r>
        <w:rPr>
          <w:noProof/>
        </w:rPr>
        <w:t xml:space="preserve">2015. AASTAL IONISEERIVA KIIRGUSEGA TÖÖDELDUD </w:t>
      </w:r>
      <w:r>
        <w:rPr>
          <w:noProof/>
        </w:rPr>
        <w:t>TOIDU JA TOIDU KOOSTISOSADE KOHTA</w:t>
      </w:r>
    </w:p>
    <w:p w:rsidR="00A55DB8" w:rsidRDefault="00A55DB8">
      <w:pPr>
        <w:spacing w:after="0"/>
        <w:jc w:val="left"/>
        <w:rPr>
          <w:noProof/>
        </w:rPr>
      </w:pPr>
    </w:p>
    <w:p w:rsidR="00A55DB8" w:rsidRDefault="00A55DB8">
      <w:pPr>
        <w:spacing w:after="0"/>
        <w:jc w:val="left"/>
        <w:rPr>
          <w:noProof/>
        </w:rPr>
      </w:pPr>
    </w:p>
    <w:p w:rsidR="00A55DB8" w:rsidRDefault="002F0B45">
      <w:pPr>
        <w:spacing w:after="0"/>
        <w:jc w:val="left"/>
        <w:rPr>
          <w:noProof/>
        </w:rPr>
      </w:pPr>
      <w:r>
        <w:rPr>
          <w:noProof/>
        </w:rPr>
        <w:br w:type="page"/>
      </w:r>
    </w:p>
    <w:p w:rsidR="00A55DB8" w:rsidRDefault="00A55DB8">
      <w:pPr>
        <w:rPr>
          <w:noProof/>
        </w:rPr>
        <w:sectPr w:rsidR="00A55DB8">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26"/>
        </w:sectPr>
      </w:pPr>
    </w:p>
    <w:p w:rsidR="00A55DB8" w:rsidRDefault="00A55DB8">
      <w:pPr>
        <w:rPr>
          <w:noProof/>
        </w:rPr>
      </w:pPr>
    </w:p>
    <w:p w:rsidR="00A55DB8" w:rsidRDefault="002F0B45">
      <w:pPr>
        <w:jc w:val="center"/>
        <w:rPr>
          <w:noProof/>
        </w:rPr>
      </w:pPr>
      <w:r>
        <w:rPr>
          <w:b/>
          <w:noProof/>
        </w:rPr>
        <w:t>SISUKORD</w:t>
      </w:r>
    </w:p>
    <w:p w:rsidR="00A55DB8" w:rsidRDefault="002F0B45">
      <w:pPr>
        <w:pStyle w:val="TOC1"/>
        <w:rPr>
          <w:rFonts w:asciiTheme="minorHAnsi" w:eastAsiaTheme="minorEastAsia" w:hAnsiTheme="minorHAnsi" w:cstheme="minorBidi"/>
          <w:caps w:val="0"/>
          <w:noProof/>
          <w:sz w:val="22"/>
          <w:szCs w:val="22"/>
          <w:lang w:val="en-GB" w:eastAsia="en-GB" w:bidi="ar-SA"/>
        </w:rPr>
      </w:pPr>
      <w:r>
        <w:rPr>
          <w:caps w:val="0"/>
          <w:smallCaps/>
          <w:noProof/>
          <w:color w:val="0000FF" w:themeColor="hyperlink"/>
          <w:u w:val="single"/>
        </w:rPr>
        <w:fldChar w:fldCharType="begin"/>
      </w:r>
      <w:r>
        <w:rPr>
          <w:caps w:val="0"/>
          <w:smallCaps/>
          <w:noProof/>
          <w:color w:val="0000FF" w:themeColor="hyperlink"/>
          <w:u w:val="single"/>
        </w:rPr>
        <w:instrText xml:space="preserve"> TOC \o "1-4" \h \t "ChapterTitle;5;PartTitle;5;SectionTitle;5" </w:instrText>
      </w:r>
      <w:r>
        <w:rPr>
          <w:caps w:val="0"/>
          <w:smallCaps/>
          <w:noProof/>
          <w:color w:val="0000FF" w:themeColor="hyperlink"/>
          <w:u w:val="single"/>
        </w:rPr>
        <w:fldChar w:fldCharType="separate"/>
      </w:r>
      <w:hyperlink w:anchor="_Toc466567203" w:history="1">
        <w:r>
          <w:rPr>
            <w:rStyle w:val="Hyperlink"/>
            <w:noProof/>
          </w:rPr>
          <w:t>1.</w:t>
        </w:r>
        <w:r>
          <w:rPr>
            <w:rFonts w:asciiTheme="minorHAnsi" w:eastAsiaTheme="minorEastAsia" w:hAnsiTheme="minorHAnsi" w:cstheme="minorBidi"/>
            <w:caps w:val="0"/>
            <w:noProof/>
            <w:sz w:val="22"/>
            <w:szCs w:val="22"/>
            <w:lang w:val="en-GB" w:eastAsia="en-GB" w:bidi="ar-SA"/>
          </w:rPr>
          <w:tab/>
        </w:r>
        <w:r>
          <w:rPr>
            <w:rStyle w:val="Hyperlink"/>
            <w:noProof/>
          </w:rPr>
          <w:t>Kokkuvõte</w:t>
        </w:r>
        <w:r>
          <w:rPr>
            <w:noProof/>
          </w:rPr>
          <w:tab/>
        </w:r>
        <w:r>
          <w:rPr>
            <w:noProof/>
          </w:rPr>
          <w:fldChar w:fldCharType="begin"/>
        </w:r>
        <w:r>
          <w:rPr>
            <w:noProof/>
          </w:rPr>
          <w:instrText xml:space="preserve"> PAGEREF _Toc466567203 \h </w:instrText>
        </w:r>
        <w:r>
          <w:rPr>
            <w:noProof/>
          </w:rPr>
        </w:r>
        <w:r>
          <w:rPr>
            <w:noProof/>
          </w:rPr>
          <w:fldChar w:fldCharType="separate"/>
        </w:r>
        <w:r w:rsidR="009C3D9E">
          <w:rPr>
            <w:noProof/>
          </w:rPr>
          <w:t>3</w:t>
        </w:r>
        <w:r>
          <w:rPr>
            <w:noProof/>
          </w:rPr>
          <w:fldChar w:fldCharType="end"/>
        </w:r>
      </w:hyperlink>
    </w:p>
    <w:p w:rsidR="00A55DB8" w:rsidRDefault="002F0B45">
      <w:pPr>
        <w:pStyle w:val="TOC1"/>
        <w:rPr>
          <w:rFonts w:asciiTheme="minorHAnsi" w:eastAsiaTheme="minorEastAsia" w:hAnsiTheme="minorHAnsi" w:cstheme="minorBidi"/>
          <w:caps w:val="0"/>
          <w:noProof/>
          <w:sz w:val="22"/>
          <w:szCs w:val="22"/>
          <w:lang w:val="en-GB" w:eastAsia="en-GB" w:bidi="ar-SA"/>
        </w:rPr>
      </w:pPr>
      <w:hyperlink w:anchor="_Toc466567204" w:history="1">
        <w:r>
          <w:rPr>
            <w:rStyle w:val="Hyperlink"/>
            <w:noProof/>
          </w:rPr>
          <w:t>2.</w:t>
        </w:r>
        <w:r>
          <w:rPr>
            <w:rFonts w:asciiTheme="minorHAnsi" w:eastAsiaTheme="minorEastAsia" w:hAnsiTheme="minorHAnsi" w:cstheme="minorBidi"/>
            <w:caps w:val="0"/>
            <w:noProof/>
            <w:sz w:val="22"/>
            <w:szCs w:val="22"/>
            <w:lang w:val="en-GB" w:eastAsia="en-GB" w:bidi="ar-SA"/>
          </w:rPr>
          <w:tab/>
        </w:r>
        <w:r>
          <w:rPr>
            <w:rStyle w:val="Hyperlink"/>
            <w:noProof/>
          </w:rPr>
          <w:t>Taust</w:t>
        </w:r>
        <w:bookmarkStart w:id="1" w:name="_GoBack"/>
        <w:bookmarkEnd w:id="1"/>
        <w:r>
          <w:rPr>
            <w:noProof/>
          </w:rPr>
          <w:tab/>
        </w:r>
        <w:r>
          <w:rPr>
            <w:noProof/>
          </w:rPr>
          <w:fldChar w:fldCharType="begin"/>
        </w:r>
        <w:r>
          <w:rPr>
            <w:noProof/>
          </w:rPr>
          <w:instrText xml:space="preserve"> PAGEREF _Toc466567204 \h </w:instrText>
        </w:r>
        <w:r>
          <w:rPr>
            <w:noProof/>
          </w:rPr>
        </w:r>
        <w:r>
          <w:rPr>
            <w:noProof/>
          </w:rPr>
          <w:fldChar w:fldCharType="separate"/>
        </w:r>
        <w:r w:rsidR="009C3D9E">
          <w:rPr>
            <w:noProof/>
          </w:rPr>
          <w:t>4</w:t>
        </w:r>
        <w:r>
          <w:rPr>
            <w:noProof/>
          </w:rPr>
          <w:fldChar w:fldCharType="end"/>
        </w:r>
      </w:hyperlink>
    </w:p>
    <w:p w:rsidR="00A55DB8" w:rsidRDefault="002F0B45">
      <w:pPr>
        <w:pStyle w:val="TOC1"/>
        <w:rPr>
          <w:rFonts w:asciiTheme="minorHAnsi" w:eastAsiaTheme="minorEastAsia" w:hAnsiTheme="minorHAnsi" w:cstheme="minorBidi"/>
          <w:caps w:val="0"/>
          <w:noProof/>
          <w:sz w:val="22"/>
          <w:szCs w:val="22"/>
          <w:lang w:val="en-GB" w:eastAsia="en-GB" w:bidi="ar-SA"/>
        </w:rPr>
      </w:pPr>
      <w:hyperlink w:anchor="_Toc466567205" w:history="1">
        <w:r>
          <w:rPr>
            <w:rStyle w:val="Hyperlink"/>
            <w:noProof/>
          </w:rPr>
          <w:t>3.</w:t>
        </w:r>
        <w:r>
          <w:rPr>
            <w:rFonts w:asciiTheme="minorHAnsi" w:eastAsiaTheme="minorEastAsia" w:hAnsiTheme="minorHAnsi" w:cstheme="minorBidi"/>
            <w:caps w:val="0"/>
            <w:noProof/>
            <w:sz w:val="22"/>
            <w:szCs w:val="22"/>
            <w:lang w:val="en-GB" w:eastAsia="en-GB" w:bidi="ar-SA"/>
          </w:rPr>
          <w:tab/>
        </w:r>
        <w:r>
          <w:rPr>
            <w:rStyle w:val="Hyperlink"/>
            <w:noProof/>
          </w:rPr>
          <w:t>Heakskiidetud kiirituskeskused</w:t>
        </w:r>
        <w:r>
          <w:rPr>
            <w:noProof/>
          </w:rPr>
          <w:tab/>
        </w:r>
        <w:r>
          <w:rPr>
            <w:noProof/>
          </w:rPr>
          <w:fldChar w:fldCharType="begin"/>
        </w:r>
        <w:r>
          <w:rPr>
            <w:noProof/>
          </w:rPr>
          <w:instrText xml:space="preserve"> PAGEREF _Toc466567205 \h </w:instrText>
        </w:r>
        <w:r>
          <w:rPr>
            <w:noProof/>
          </w:rPr>
        </w:r>
        <w:r>
          <w:rPr>
            <w:noProof/>
          </w:rPr>
          <w:fldChar w:fldCharType="separate"/>
        </w:r>
        <w:r w:rsidR="009C3D9E">
          <w:rPr>
            <w:noProof/>
          </w:rPr>
          <w:t>5</w:t>
        </w:r>
        <w:r>
          <w:rPr>
            <w:noProof/>
          </w:rPr>
          <w:fldChar w:fldCharType="end"/>
        </w:r>
      </w:hyperlink>
    </w:p>
    <w:p w:rsidR="00A55DB8" w:rsidRDefault="002F0B45">
      <w:pPr>
        <w:pStyle w:val="TOC1"/>
        <w:rPr>
          <w:rFonts w:asciiTheme="minorHAnsi" w:eastAsiaTheme="minorEastAsia" w:hAnsiTheme="minorHAnsi" w:cstheme="minorBidi"/>
          <w:caps w:val="0"/>
          <w:noProof/>
          <w:sz w:val="22"/>
          <w:szCs w:val="22"/>
          <w:lang w:val="en-GB" w:eastAsia="en-GB" w:bidi="ar-SA"/>
        </w:rPr>
      </w:pPr>
      <w:hyperlink w:anchor="_Toc466567206" w:history="1">
        <w:r>
          <w:rPr>
            <w:rStyle w:val="Hyperlink"/>
            <w:noProof/>
          </w:rPr>
          <w:t>4.</w:t>
        </w:r>
        <w:r>
          <w:rPr>
            <w:rFonts w:asciiTheme="minorHAnsi" w:eastAsiaTheme="minorEastAsia" w:hAnsiTheme="minorHAnsi" w:cstheme="minorBidi"/>
            <w:caps w:val="0"/>
            <w:noProof/>
            <w:sz w:val="22"/>
            <w:szCs w:val="22"/>
            <w:lang w:val="en-GB" w:eastAsia="en-GB" w:bidi="ar-SA"/>
          </w:rPr>
          <w:tab/>
        </w:r>
        <w:r>
          <w:rPr>
            <w:rStyle w:val="Hyperlink"/>
            <w:noProof/>
          </w:rPr>
          <w:t>Kiirituskeskuste kontrolli tulemused</w:t>
        </w:r>
        <w:r>
          <w:rPr>
            <w:noProof/>
          </w:rPr>
          <w:tab/>
        </w:r>
        <w:r>
          <w:rPr>
            <w:noProof/>
          </w:rPr>
          <w:fldChar w:fldCharType="begin"/>
        </w:r>
        <w:r>
          <w:rPr>
            <w:noProof/>
          </w:rPr>
          <w:instrText xml:space="preserve"> PAGEREF _Toc466567206 \h </w:instrText>
        </w:r>
        <w:r>
          <w:rPr>
            <w:noProof/>
          </w:rPr>
        </w:r>
        <w:r>
          <w:rPr>
            <w:noProof/>
          </w:rPr>
          <w:fldChar w:fldCharType="separate"/>
        </w:r>
        <w:r w:rsidR="009C3D9E">
          <w:rPr>
            <w:noProof/>
          </w:rPr>
          <w:t>5</w:t>
        </w:r>
        <w:r>
          <w:rPr>
            <w:noProof/>
          </w:rPr>
          <w:fldChar w:fldCharType="end"/>
        </w:r>
      </w:hyperlink>
    </w:p>
    <w:p w:rsidR="00A55DB8" w:rsidRDefault="002F0B45">
      <w:pPr>
        <w:pStyle w:val="TOC1"/>
        <w:rPr>
          <w:rFonts w:asciiTheme="minorHAnsi" w:eastAsiaTheme="minorEastAsia" w:hAnsiTheme="minorHAnsi" w:cstheme="minorBidi"/>
          <w:caps w:val="0"/>
          <w:noProof/>
          <w:sz w:val="22"/>
          <w:szCs w:val="22"/>
          <w:lang w:val="en-GB" w:eastAsia="en-GB" w:bidi="ar-SA"/>
        </w:rPr>
      </w:pPr>
      <w:hyperlink w:anchor="_Toc466567207" w:history="1">
        <w:r>
          <w:rPr>
            <w:rStyle w:val="Hyperlink"/>
            <w:noProof/>
          </w:rPr>
          <w:t>5.</w:t>
        </w:r>
        <w:r>
          <w:rPr>
            <w:rFonts w:asciiTheme="minorHAnsi" w:eastAsiaTheme="minorEastAsia" w:hAnsiTheme="minorHAnsi" w:cstheme="minorBidi"/>
            <w:caps w:val="0"/>
            <w:noProof/>
            <w:sz w:val="22"/>
            <w:szCs w:val="22"/>
            <w:lang w:val="en-GB" w:eastAsia="en-GB" w:bidi="ar-SA"/>
          </w:rPr>
          <w:tab/>
        </w:r>
        <w:r>
          <w:rPr>
            <w:rStyle w:val="Hyperlink"/>
            <w:noProof/>
          </w:rPr>
          <w:t>Turustamise etapis tehtud kontrolli tulemused</w:t>
        </w:r>
        <w:r>
          <w:rPr>
            <w:noProof/>
          </w:rPr>
          <w:tab/>
        </w:r>
        <w:r>
          <w:rPr>
            <w:noProof/>
          </w:rPr>
          <w:fldChar w:fldCharType="begin"/>
        </w:r>
        <w:r>
          <w:rPr>
            <w:noProof/>
          </w:rPr>
          <w:instrText xml:space="preserve"> PAGEREF _Toc466567207 \h </w:instrText>
        </w:r>
        <w:r>
          <w:rPr>
            <w:noProof/>
          </w:rPr>
        </w:r>
        <w:r>
          <w:rPr>
            <w:noProof/>
          </w:rPr>
          <w:fldChar w:fldCharType="separate"/>
        </w:r>
        <w:r w:rsidR="009C3D9E">
          <w:rPr>
            <w:noProof/>
          </w:rPr>
          <w:t>7</w:t>
        </w:r>
        <w:r>
          <w:rPr>
            <w:noProof/>
          </w:rPr>
          <w:fldChar w:fldCharType="end"/>
        </w:r>
      </w:hyperlink>
    </w:p>
    <w:p w:rsidR="00A55DB8" w:rsidRDefault="002F0B45">
      <w:pPr>
        <w:pStyle w:val="TOC1"/>
        <w:rPr>
          <w:rFonts w:asciiTheme="minorHAnsi" w:eastAsiaTheme="minorEastAsia" w:hAnsiTheme="minorHAnsi" w:cstheme="minorBidi"/>
          <w:caps w:val="0"/>
          <w:noProof/>
          <w:sz w:val="22"/>
          <w:szCs w:val="22"/>
          <w:lang w:val="en-GB" w:eastAsia="en-GB" w:bidi="ar-SA"/>
        </w:rPr>
      </w:pPr>
      <w:hyperlink w:anchor="_Toc466567208" w:history="1">
        <w:r>
          <w:rPr>
            <w:rStyle w:val="Hyperlink"/>
            <w:noProof/>
          </w:rPr>
          <w:t>6.</w:t>
        </w:r>
        <w:r>
          <w:rPr>
            <w:rFonts w:asciiTheme="minorHAnsi" w:eastAsiaTheme="minorEastAsia" w:hAnsiTheme="minorHAnsi" w:cstheme="minorBidi"/>
            <w:caps w:val="0"/>
            <w:noProof/>
            <w:sz w:val="22"/>
            <w:szCs w:val="22"/>
            <w:lang w:val="en-GB" w:eastAsia="en-GB" w:bidi="ar-SA"/>
          </w:rPr>
          <w:tab/>
        </w:r>
        <w:r>
          <w:rPr>
            <w:rStyle w:val="Hyperlink"/>
            <w:noProof/>
          </w:rPr>
          <w:t>Järeldused</w:t>
        </w:r>
        <w:r>
          <w:rPr>
            <w:noProof/>
          </w:rPr>
          <w:tab/>
        </w:r>
        <w:r>
          <w:rPr>
            <w:noProof/>
          </w:rPr>
          <w:fldChar w:fldCharType="begin"/>
        </w:r>
        <w:r>
          <w:rPr>
            <w:noProof/>
          </w:rPr>
          <w:instrText xml:space="preserve"> PAGEREF _Toc466567208 \h </w:instrText>
        </w:r>
        <w:r>
          <w:rPr>
            <w:noProof/>
          </w:rPr>
        </w:r>
        <w:r>
          <w:rPr>
            <w:noProof/>
          </w:rPr>
          <w:fldChar w:fldCharType="separate"/>
        </w:r>
        <w:r w:rsidR="009C3D9E">
          <w:rPr>
            <w:noProof/>
          </w:rPr>
          <w:t>9</w:t>
        </w:r>
        <w:r>
          <w:rPr>
            <w:noProof/>
          </w:rPr>
          <w:fldChar w:fldCharType="end"/>
        </w:r>
      </w:hyperlink>
    </w:p>
    <w:p w:rsidR="00A55DB8" w:rsidRDefault="002F0B45">
      <w:pPr>
        <w:rPr>
          <w:noProof/>
          <w:szCs w:val="24"/>
        </w:rPr>
      </w:pPr>
      <w:r>
        <w:rPr>
          <w:smallCaps/>
          <w:noProof/>
          <w:color w:val="0000FF" w:themeColor="hyperlink"/>
          <w:u w:val="single"/>
        </w:rPr>
        <w:fldChar w:fldCharType="end"/>
      </w:r>
      <w:r>
        <w:rPr>
          <w:noProof/>
        </w:rPr>
        <w:br w:type="page"/>
      </w:r>
    </w:p>
    <w:p w:rsidR="00A55DB8" w:rsidRDefault="002F0B45">
      <w:pPr>
        <w:pStyle w:val="ManualHeading1"/>
        <w:rPr>
          <w:noProof/>
        </w:rPr>
      </w:pPr>
      <w:bookmarkStart w:id="2" w:name="_Toc466567203"/>
      <w:r>
        <w:lastRenderedPageBreak/>
        <w:t>1.</w:t>
      </w:r>
      <w:r>
        <w:tab/>
      </w:r>
      <w:r>
        <w:rPr>
          <w:noProof/>
        </w:rPr>
        <w:t>Kokkuvõte</w:t>
      </w:r>
      <w:bookmarkEnd w:id="2"/>
    </w:p>
    <w:p w:rsidR="00A55DB8" w:rsidRDefault="002F0B45">
      <w:pPr>
        <w:rPr>
          <w:noProof/>
        </w:rPr>
      </w:pPr>
      <w:r>
        <w:rPr>
          <w:noProof/>
        </w:rPr>
        <w:t>Direktiivi 1999/2/EÜ artikli 7 lõike 3 kohaselt peavad liikmesriigid komisjonile igal aastal edastama kiirituskeskuste kontrolli tulemused, eelkõige kiiritatud toiduainete liigid ja kogused ning kasutatud doosid, ning toodete turustamise etapis tehtud kont</w:t>
      </w:r>
      <w:r>
        <w:rPr>
          <w:noProof/>
        </w:rPr>
        <w:t xml:space="preserve">rolli tulemused. </w:t>
      </w:r>
    </w:p>
    <w:p w:rsidR="00A55DB8" w:rsidRDefault="002F0B45">
      <w:pPr>
        <w:pStyle w:val="Text1"/>
        <w:ind w:left="0"/>
        <w:rPr>
          <w:noProof/>
        </w:rPr>
      </w:pPr>
      <w:r>
        <w:rPr>
          <w:noProof/>
        </w:rPr>
        <w:t>Liikmesriikides 2015. aastal tehtud kontrollid osutavad kontrollitud toodete peaaegu täielikule vastavusele ELi õigusaktidele.</w:t>
      </w:r>
    </w:p>
    <w:p w:rsidR="00A55DB8" w:rsidRDefault="002F0B45">
      <w:pPr>
        <w:pStyle w:val="Text1"/>
        <w:ind w:left="0"/>
        <w:rPr>
          <w:noProof/>
        </w:rPr>
      </w:pPr>
      <w:r>
        <w:rPr>
          <w:b/>
          <w:noProof/>
        </w:rPr>
        <w:t xml:space="preserve">Ajavahemik: </w:t>
      </w:r>
      <w:r>
        <w:rPr>
          <w:noProof/>
        </w:rPr>
        <w:tab/>
      </w:r>
      <w:r>
        <w:rPr>
          <w:noProof/>
        </w:rPr>
        <w:tab/>
      </w:r>
      <w:r>
        <w:rPr>
          <w:noProof/>
        </w:rPr>
        <w:tab/>
      </w:r>
      <w:r>
        <w:rPr>
          <w:noProof/>
        </w:rPr>
        <w:tab/>
      </w:r>
      <w:r>
        <w:rPr>
          <w:noProof/>
        </w:rPr>
        <w:tab/>
        <w:t>1.1.2015–31.12.2015</w:t>
      </w:r>
    </w:p>
    <w:p w:rsidR="00A55DB8" w:rsidRDefault="002F0B45">
      <w:pPr>
        <w:pStyle w:val="Text1"/>
        <w:ind w:left="0"/>
        <w:rPr>
          <w:noProof/>
        </w:rPr>
      </w:pPr>
      <w:r>
        <w:rPr>
          <w:b/>
          <w:noProof/>
        </w:rPr>
        <w:t>Asjaomased riigid:</w:t>
      </w:r>
      <w:r>
        <w:rPr>
          <w:noProof/>
        </w:rPr>
        <w:tab/>
      </w:r>
      <w:r>
        <w:rPr>
          <w:noProof/>
        </w:rPr>
        <w:tab/>
      </w:r>
      <w:r>
        <w:rPr>
          <w:noProof/>
        </w:rPr>
        <w:tab/>
      </w:r>
      <w:r>
        <w:rPr>
          <w:noProof/>
        </w:rPr>
        <w:tab/>
        <w:t>ELi liikmesriigid ja EFTA riigid</w:t>
      </w:r>
    </w:p>
    <w:p w:rsidR="00A55DB8" w:rsidRDefault="002F0B45">
      <w:pPr>
        <w:rPr>
          <w:noProof/>
        </w:rPr>
      </w:pPr>
      <w:r>
        <w:rPr>
          <w:b/>
          <w:noProof/>
        </w:rPr>
        <w:t>Allikas:</w:t>
      </w:r>
      <w:r>
        <w:rPr>
          <w:noProof/>
        </w:rPr>
        <w:tab/>
      </w:r>
      <w:r>
        <w:rPr>
          <w:noProof/>
        </w:rPr>
        <w:tab/>
      </w:r>
      <w:r>
        <w:rPr>
          <w:noProof/>
        </w:rPr>
        <w:tab/>
      </w:r>
      <w:r>
        <w:rPr>
          <w:noProof/>
        </w:rPr>
        <w:tab/>
      </w:r>
      <w:r>
        <w:rPr>
          <w:noProof/>
        </w:rPr>
        <w:tab/>
        <w:t>kõik 2</w:t>
      </w:r>
      <w:r>
        <w:rPr>
          <w:noProof/>
        </w:rPr>
        <w:t>8 liikmesriiki ja Norra</w:t>
      </w:r>
    </w:p>
    <w:p w:rsidR="00A55DB8" w:rsidRDefault="002F0B45">
      <w:pPr>
        <w:pStyle w:val="Text1"/>
        <w:spacing w:after="0"/>
        <w:ind w:left="0"/>
        <w:rPr>
          <w:b/>
          <w:noProof/>
        </w:rPr>
      </w:pPr>
      <w:r>
        <w:rPr>
          <w:b/>
          <w:noProof/>
        </w:rPr>
        <w:t>Kiirituskeskused</w:t>
      </w:r>
    </w:p>
    <w:p w:rsidR="00A55DB8" w:rsidRDefault="002F0B45">
      <w:pPr>
        <w:pStyle w:val="ListDash1"/>
        <w:spacing w:after="0"/>
        <w:rPr>
          <w:noProof/>
        </w:rPr>
      </w:pPr>
      <w:r>
        <w:rPr>
          <w:noProof/>
        </w:rPr>
        <w:t>Kiirituskeskustega riikide arv:</w:t>
      </w:r>
      <w:r>
        <w:rPr>
          <w:noProof/>
        </w:rPr>
        <w:tab/>
        <w:t xml:space="preserve">14 liikmesriiki ja Norra </w:t>
      </w:r>
    </w:p>
    <w:p w:rsidR="00A55DB8" w:rsidRDefault="002F0B45">
      <w:pPr>
        <w:pStyle w:val="ListDash1"/>
        <w:spacing w:after="0"/>
        <w:rPr>
          <w:noProof/>
        </w:rPr>
      </w:pPr>
      <w:r>
        <w:rPr>
          <w:noProof/>
        </w:rPr>
        <w:t>Heakskiidetud keskuste arv:</w:t>
      </w:r>
      <w:r>
        <w:rPr>
          <w:noProof/>
        </w:rPr>
        <w:tab/>
      </w:r>
      <w:r>
        <w:rPr>
          <w:noProof/>
        </w:rPr>
        <w:tab/>
        <w:t>26</w:t>
      </w:r>
    </w:p>
    <w:p w:rsidR="00A55DB8" w:rsidRDefault="002F0B45">
      <w:pPr>
        <w:pStyle w:val="ListDash1"/>
        <w:spacing w:after="0"/>
        <w:rPr>
          <w:noProof/>
        </w:rPr>
      </w:pPr>
      <w:r>
        <w:rPr>
          <w:noProof/>
        </w:rPr>
        <w:t>Uute keskuste arv:</w:t>
      </w:r>
      <w:r>
        <w:rPr>
          <w:noProof/>
        </w:rPr>
        <w:tab/>
      </w:r>
      <w:r>
        <w:rPr>
          <w:noProof/>
        </w:rPr>
        <w:tab/>
      </w:r>
      <w:r>
        <w:rPr>
          <w:noProof/>
        </w:rPr>
        <w:tab/>
        <w:t xml:space="preserve">üks Horvaatias ja üks Norras </w:t>
      </w:r>
    </w:p>
    <w:p w:rsidR="00A55DB8" w:rsidRDefault="002F0B45">
      <w:pPr>
        <w:pStyle w:val="ListDash1"/>
        <w:spacing w:after="0"/>
        <w:rPr>
          <w:noProof/>
        </w:rPr>
      </w:pPr>
      <w:r>
        <w:rPr>
          <w:noProof/>
        </w:rPr>
        <w:t>Suletud keskuste arv:</w:t>
      </w:r>
      <w:r>
        <w:rPr>
          <w:noProof/>
        </w:rPr>
        <w:tab/>
      </w:r>
      <w:r>
        <w:rPr>
          <w:noProof/>
        </w:rPr>
        <w:tab/>
      </w:r>
      <w:r>
        <w:rPr>
          <w:noProof/>
        </w:rPr>
        <w:tab/>
        <w:t>mitte ühtegi</w:t>
      </w:r>
    </w:p>
    <w:p w:rsidR="00A55DB8" w:rsidRDefault="002F0B45">
      <w:pPr>
        <w:pStyle w:val="ListDash1"/>
        <w:rPr>
          <w:noProof/>
        </w:rPr>
      </w:pPr>
      <w:r>
        <w:rPr>
          <w:noProof/>
        </w:rPr>
        <w:t>Kiiritavate riikide arv:</w:t>
      </w:r>
      <w:r>
        <w:rPr>
          <w:noProof/>
        </w:rPr>
        <w:tab/>
      </w:r>
      <w:r>
        <w:rPr>
          <w:noProof/>
        </w:rPr>
        <w:tab/>
        <w:t>10 liikmesr</w:t>
      </w:r>
      <w:r>
        <w:rPr>
          <w:noProof/>
        </w:rPr>
        <w:t>iiki ja Norra</w:t>
      </w:r>
    </w:p>
    <w:p w:rsidR="00A55DB8" w:rsidRDefault="002F0B45">
      <w:pPr>
        <w:spacing w:after="0"/>
        <w:rPr>
          <w:b/>
          <w:noProof/>
        </w:rPr>
      </w:pPr>
      <w:r>
        <w:rPr>
          <w:b/>
          <w:noProof/>
        </w:rPr>
        <w:t>Töötlemisandmed</w:t>
      </w:r>
    </w:p>
    <w:p w:rsidR="00A55DB8" w:rsidRDefault="002F0B45">
      <w:pPr>
        <w:pStyle w:val="ListDash1"/>
        <w:spacing w:after="0"/>
        <w:ind w:left="766" w:hanging="284"/>
        <w:rPr>
          <w:noProof/>
        </w:rPr>
      </w:pPr>
      <w:r>
        <w:rPr>
          <w:noProof/>
        </w:rPr>
        <w:t>Töödeldud toodete kogus:</w:t>
      </w:r>
      <w:r>
        <w:rPr>
          <w:noProof/>
        </w:rPr>
        <w:tab/>
      </w:r>
      <w:r>
        <w:rPr>
          <w:noProof/>
        </w:rPr>
        <w:tab/>
        <w:t>5686 tonni (+9,7 % võrreldes 2014. aastaga)</w:t>
      </w:r>
    </w:p>
    <w:p w:rsidR="00A55DB8" w:rsidRDefault="002F0B45">
      <w:pPr>
        <w:pStyle w:val="ListDash1"/>
        <w:tabs>
          <w:tab w:val="left" w:pos="4321"/>
        </w:tabs>
        <w:spacing w:after="0"/>
        <w:ind w:left="4321" w:hanging="3839"/>
        <w:jc w:val="left"/>
        <w:rPr>
          <w:noProof/>
        </w:rPr>
      </w:pPr>
      <w:r>
        <w:rPr>
          <w:noProof/>
        </w:rPr>
        <w:t>Peamised töödeldud tooted:</w:t>
      </w:r>
      <w:r>
        <w:rPr>
          <w:noProof/>
        </w:rPr>
        <w:tab/>
        <w:t>konnakoivad (54,8 %) ning kuivatatud maitsetaimed, vürtsid ja köögiviljamaitseained (16,1 %)</w:t>
      </w:r>
    </w:p>
    <w:p w:rsidR="00A55DB8" w:rsidRDefault="002F0B45">
      <w:pPr>
        <w:pStyle w:val="ListDash1"/>
        <w:rPr>
          <w:noProof/>
        </w:rPr>
      </w:pPr>
      <w:r>
        <w:rPr>
          <w:noProof/>
        </w:rPr>
        <w:t>Peamine kiirituskoht:</w:t>
      </w:r>
      <w:r>
        <w:rPr>
          <w:noProof/>
        </w:rPr>
        <w:tab/>
      </w:r>
      <w:r>
        <w:rPr>
          <w:noProof/>
        </w:rPr>
        <w:tab/>
      </w:r>
      <w:r>
        <w:rPr>
          <w:noProof/>
        </w:rPr>
        <w:tab/>
        <w:t xml:space="preserve">Belgia </w:t>
      </w:r>
      <w:r>
        <w:rPr>
          <w:noProof/>
        </w:rPr>
        <w:t>(68,9 %) ja Madalmaad (11,1 %)</w:t>
      </w:r>
    </w:p>
    <w:p w:rsidR="00A55DB8" w:rsidRDefault="002F0B45">
      <w:pPr>
        <w:pStyle w:val="Text1"/>
        <w:spacing w:after="0"/>
        <w:ind w:left="0"/>
        <w:rPr>
          <w:b/>
          <w:noProof/>
        </w:rPr>
      </w:pPr>
      <w:r>
        <w:rPr>
          <w:b/>
          <w:noProof/>
        </w:rPr>
        <w:t>Turustamise etapis tehtud kontrollid</w:t>
      </w:r>
    </w:p>
    <w:p w:rsidR="00A55DB8" w:rsidRDefault="002F0B45">
      <w:pPr>
        <w:pStyle w:val="ListDash1"/>
        <w:spacing w:after="0"/>
        <w:rPr>
          <w:noProof/>
        </w:rPr>
      </w:pPr>
      <w:r>
        <w:rPr>
          <w:noProof/>
        </w:rPr>
        <w:t>Analüüsitud proove:</w:t>
      </w:r>
      <w:r>
        <w:rPr>
          <w:noProof/>
        </w:rPr>
        <w:tab/>
      </w:r>
      <w:r>
        <w:rPr>
          <w:noProof/>
        </w:rPr>
        <w:tab/>
      </w:r>
      <w:r>
        <w:rPr>
          <w:noProof/>
        </w:rPr>
        <w:tab/>
        <w:t>5973</w:t>
      </w:r>
    </w:p>
    <w:p w:rsidR="00A55DB8" w:rsidRDefault="002F0B45">
      <w:pPr>
        <w:pStyle w:val="ListDash1"/>
        <w:spacing w:after="0"/>
        <w:rPr>
          <w:noProof/>
        </w:rPr>
      </w:pPr>
      <w:r>
        <w:rPr>
          <w:noProof/>
        </w:rPr>
        <w:t>Nõuetele mittevastavaid proove:</w:t>
      </w:r>
      <w:r>
        <w:rPr>
          <w:noProof/>
        </w:rPr>
        <w:tab/>
        <w:t>104 (1,7 %)</w:t>
      </w:r>
    </w:p>
    <w:p w:rsidR="00A55DB8" w:rsidRDefault="002F0B45">
      <w:pPr>
        <w:pStyle w:val="ListDash1"/>
        <w:ind w:left="4321" w:hanging="3839"/>
        <w:jc w:val="left"/>
        <w:rPr>
          <w:noProof/>
        </w:rPr>
      </w:pPr>
      <w:r>
        <w:rPr>
          <w:noProof/>
        </w:rPr>
        <w:t>Peamised analüüsitud tooted:</w:t>
      </w:r>
      <w:r>
        <w:rPr>
          <w:noProof/>
        </w:rPr>
        <w:tab/>
        <w:t>maitsetaimed ja vürtsid (45,6 %)</w:t>
      </w:r>
      <w:r>
        <w:rPr>
          <w:noProof/>
        </w:rPr>
        <w:tab/>
        <w:t xml:space="preserve"> </w:t>
      </w:r>
      <w:r>
        <w:rPr>
          <w:noProof/>
        </w:rPr>
        <w:br/>
        <w:t>teravili, seemned, köögi- ja puuviljad ning nendest v</w:t>
      </w:r>
      <w:r>
        <w:rPr>
          <w:noProof/>
        </w:rPr>
        <w:t>almistatud tooted (21 %)</w:t>
      </w:r>
    </w:p>
    <w:p w:rsidR="00A55DB8" w:rsidRDefault="002F0B45">
      <w:pPr>
        <w:spacing w:after="0"/>
        <w:jc w:val="left"/>
        <w:rPr>
          <w:b/>
          <w:smallCaps/>
          <w:noProof/>
        </w:rPr>
      </w:pPr>
      <w:r>
        <w:rPr>
          <w:noProof/>
        </w:rPr>
        <w:br w:type="page"/>
      </w:r>
    </w:p>
    <w:p w:rsidR="00A55DB8" w:rsidRDefault="002F0B45">
      <w:pPr>
        <w:pStyle w:val="ManualHeading1"/>
        <w:rPr>
          <w:noProof/>
        </w:rPr>
      </w:pPr>
      <w:bookmarkStart w:id="3" w:name="_Toc466567204"/>
      <w:r>
        <w:lastRenderedPageBreak/>
        <w:t>2.</w:t>
      </w:r>
      <w:r>
        <w:tab/>
      </w:r>
      <w:r>
        <w:rPr>
          <w:noProof/>
        </w:rPr>
        <w:t>Taust</w:t>
      </w:r>
      <w:bookmarkEnd w:id="3"/>
    </w:p>
    <w:p w:rsidR="00A55DB8" w:rsidRDefault="002F0B45">
      <w:pPr>
        <w:rPr>
          <w:noProof/>
        </w:rPr>
      </w:pPr>
      <w:r>
        <w:rPr>
          <w:noProof/>
        </w:rPr>
        <w:t>Toidu ja toidu koostisosade töötlemine ioniseeriva kiirgusega on füüsikaline meetod, mida kasutatakse mitmeks otstarbeks, näiteks selleks, et vähendada toidutekkeliste haiguste esinemust patogeensete organismide esinemis</w:t>
      </w:r>
      <w:r>
        <w:rPr>
          <w:noProof/>
        </w:rPr>
        <w:t>e piiramise kaudu, vähendada toiduainete enneaegsest küpsemisest, idanemisest või võrsumisest tulenevaid kadusid ning kõrvaldada toiduainetest taimedele ja taimsetele saadustele kahjulikud organismid. Üldist teavet toiduainete kiiritamise kohta saab Euroop</w:t>
      </w:r>
      <w:r>
        <w:rPr>
          <w:noProof/>
        </w:rPr>
        <w:t>a Komisjoni tervise ja toiduohutuse peadirektoraadi veebisaidilt</w:t>
      </w:r>
      <w:r>
        <w:rPr>
          <w:rStyle w:val="FootnoteReference"/>
          <w:noProof/>
        </w:rPr>
        <w:footnoteReference w:id="1"/>
      </w:r>
      <w:r>
        <w:rPr>
          <w:noProof/>
        </w:rPr>
        <w:t>.</w:t>
      </w:r>
    </w:p>
    <w:p w:rsidR="00A55DB8" w:rsidRDefault="002F0B45">
      <w:pPr>
        <w:pStyle w:val="Text1"/>
        <w:ind w:left="0"/>
        <w:rPr>
          <w:iCs/>
          <w:noProof/>
        </w:rPr>
      </w:pPr>
      <w:r>
        <w:rPr>
          <w:noProof/>
        </w:rPr>
        <w:t>Euroopa Parlamendi ja nõukogu 22. veebruari 1999. aasta direktiivis 1999/2/EÜ ioniseeriva kiirgusega töödeldud toitu ja toidu koostisosasid käsitlevate liikmesriikide õigusaktide ühtlustami</w:t>
      </w:r>
      <w:r>
        <w:rPr>
          <w:noProof/>
        </w:rPr>
        <w:t>se kohta</w:t>
      </w:r>
      <w:r>
        <w:rPr>
          <w:rStyle w:val="FootnoteReference"/>
          <w:noProof/>
        </w:rPr>
        <w:footnoteReference w:id="2"/>
      </w:r>
      <w:r>
        <w:rPr>
          <w:noProof/>
        </w:rPr>
        <w:t xml:space="preserve"> on kehtestatud töödeldud toidu ja toidu koostisosade tootmist, turustamist ja importi käsitlevad erisätted. Selle direktiiviga on ette nähtud järkjärguline kiiritada lubatud toiduainete ühtlustatud loetelu koostamine, mida alustatakse olemasoleva riikliku</w:t>
      </w:r>
      <w:r>
        <w:rPr>
          <w:noProof/>
        </w:rPr>
        <w:t xml:space="preserve"> loaga toiduainetest. </w:t>
      </w:r>
    </w:p>
    <w:p w:rsidR="00A55DB8" w:rsidRDefault="002F0B45">
      <w:pPr>
        <w:pStyle w:val="Text1"/>
        <w:ind w:left="0"/>
        <w:rPr>
          <w:iCs/>
          <w:noProof/>
        </w:rPr>
      </w:pPr>
      <w:r>
        <w:rPr>
          <w:noProof/>
        </w:rPr>
        <w:t>Euroopa Parlamendi ja nõukogu 22. veebruari 1999. aasta direktiivis 1999/3/EÜ ioniseeriva kiirgusega töödeldud toidu ja toidu koostisosade ühenduse loetelu kehtestamise kohta</w:t>
      </w:r>
      <w:r>
        <w:rPr>
          <w:rStyle w:val="FootnoteReference"/>
          <w:noProof/>
        </w:rPr>
        <w:footnoteReference w:id="3"/>
      </w:r>
      <w:r>
        <w:rPr>
          <w:noProof/>
        </w:rPr>
        <w:t xml:space="preserve"> on esitatud üks toiduaineliik, mille suhtes on luba antud</w:t>
      </w:r>
      <w:r>
        <w:rPr>
          <w:noProof/>
        </w:rPr>
        <w:t xml:space="preserve"> ELi tasandil: kuivatatud maitsetaimed, vürtsid ja köögiviljasegud. Seitsmes liikmesriigis on vastavalt selle direktiivi artikli 4 lõikele 4 endiselt jõus enne 1999. aastat riiklikul tasandil antud load muud liiki toiduainete töötlemiseks, kuid neid lube e</w:t>
      </w:r>
      <w:r>
        <w:rPr>
          <w:noProof/>
        </w:rPr>
        <w:t>i saa enam pikendada. Komisjon on avaldanud riiklike lubade nimekirja</w:t>
      </w:r>
      <w:r>
        <w:rPr>
          <w:noProof/>
          <w:vertAlign w:val="superscript"/>
        </w:rPr>
        <w:footnoteReference w:id="4"/>
      </w:r>
      <w:r>
        <w:rPr>
          <w:noProof/>
        </w:rPr>
        <w:t>.</w:t>
      </w:r>
    </w:p>
    <w:p w:rsidR="00A55DB8" w:rsidRDefault="002F0B45">
      <w:pPr>
        <w:pStyle w:val="Text2"/>
        <w:ind w:left="0"/>
        <w:rPr>
          <w:b/>
          <w:i/>
          <w:noProof/>
        </w:rPr>
      </w:pPr>
      <w:r>
        <w:rPr>
          <w:noProof/>
        </w:rPr>
        <w:t>Toitu ja toidu koostisosi võib kiiritada ainult heakskiidetud kiirituskeskustes. ELis asuvaid kiirituskeskusi kiidavad heaks liikmesriikide pädevad asutused. Direktiivi 1999/2/EÜ artik</w:t>
      </w:r>
      <w:r>
        <w:rPr>
          <w:noProof/>
        </w:rPr>
        <w:t>li 7 lõike 3 kohaselt peavad liikmesriigid komisjonile edastama oma heakskiidetud kiirituskeskuste nimekirja. Komisjon avaldab liikmesriikide heakskiidetud kiirituskeskuste nimekirja</w:t>
      </w:r>
      <w:r>
        <w:rPr>
          <w:rStyle w:val="FootnoteReference"/>
          <w:noProof/>
        </w:rPr>
        <w:footnoteReference w:id="5"/>
      </w:r>
      <w:r>
        <w:rPr>
          <w:noProof/>
        </w:rPr>
        <w:t>.</w:t>
      </w:r>
    </w:p>
    <w:p w:rsidR="00A55DB8" w:rsidRDefault="002F0B45">
      <w:pPr>
        <w:rPr>
          <w:noProof/>
        </w:rPr>
      </w:pPr>
      <w:r>
        <w:rPr>
          <w:noProof/>
        </w:rPr>
        <w:t>Kõik kiiritatud toiduained, mis sisaldavad ühte või mitut toiduaine kii</w:t>
      </w:r>
      <w:r>
        <w:rPr>
          <w:noProof/>
        </w:rPr>
        <w:t xml:space="preserve">ritatud koostisosa, peavad olema tähistatud sõnadega „kiiritatud“ või „töödeldud ioniseeriva kiirgusega“. Kui kiiritatud toodet kasutatakse liittoiduaine koostisosana, lisatakse samad sõnad koostisosade loetelus sellise koostisaine juurde. Pakkimata toote </w:t>
      </w:r>
      <w:r>
        <w:rPr>
          <w:noProof/>
        </w:rPr>
        <w:t xml:space="preserve">puhul märgitakse need sõnad koos toote nimetusega tahvlile või sildile, mis asub selle mahuti kohal või kõrval, kuhu toode on paigutatud. Korrektse märgistamise jõustamiseks ja loata toodete avastamiseks on Euroopa Standardikomitee (CEN) standardiseerinud </w:t>
      </w:r>
      <w:r>
        <w:rPr>
          <w:noProof/>
        </w:rPr>
        <w:t>komisjoni volitusel mitu analüüsimeetodit.</w:t>
      </w:r>
    </w:p>
    <w:p w:rsidR="00A55DB8" w:rsidRDefault="002F0B45">
      <w:pPr>
        <w:pStyle w:val="Text1"/>
        <w:spacing w:after="0"/>
        <w:ind w:left="0"/>
        <w:rPr>
          <w:noProof/>
        </w:rPr>
      </w:pPr>
      <w:r>
        <w:rPr>
          <w:noProof/>
        </w:rPr>
        <w:t>Direktiivi 1999/2/EÜ artikli 7 lõike 3 kohaselt edastavad liikmesriigid igal aastal komisjonile:</w:t>
      </w:r>
    </w:p>
    <w:p w:rsidR="00A55DB8" w:rsidRDefault="002F0B45">
      <w:pPr>
        <w:pStyle w:val="ListDash"/>
        <w:spacing w:after="0"/>
        <w:rPr>
          <w:noProof/>
        </w:rPr>
      </w:pPr>
      <w:r>
        <w:rPr>
          <w:noProof/>
        </w:rPr>
        <w:t>kiirituskeskuste kontrolli tulemused, eelkõige töödeldud toidu ja toidu koostisosade liigid ja kogused ning kasutatu</w:t>
      </w:r>
      <w:r>
        <w:rPr>
          <w:noProof/>
        </w:rPr>
        <w:t>d doosid,</w:t>
      </w:r>
    </w:p>
    <w:p w:rsidR="00A55DB8" w:rsidRDefault="002F0B45">
      <w:pPr>
        <w:spacing w:after="0"/>
        <w:rPr>
          <w:noProof/>
        </w:rPr>
      </w:pPr>
      <w:r>
        <w:rPr>
          <w:noProof/>
        </w:rPr>
        <w:lastRenderedPageBreak/>
        <w:t>ja</w:t>
      </w:r>
    </w:p>
    <w:p w:rsidR="00A55DB8" w:rsidRDefault="002F0B45">
      <w:pPr>
        <w:pStyle w:val="ListDash"/>
        <w:rPr>
          <w:noProof/>
        </w:rPr>
      </w:pPr>
      <w:r>
        <w:rPr>
          <w:noProof/>
        </w:rPr>
        <w:t>toodete turustamise etapis tehtud kontrolli tulemused ja ioniseeriva kiirgusega töötlemise avastamiseks kasutatud meetodid.</w:t>
      </w:r>
    </w:p>
    <w:p w:rsidR="00A55DB8" w:rsidRDefault="002F0B45">
      <w:pPr>
        <w:pStyle w:val="Text1"/>
        <w:spacing w:before="120" w:after="0"/>
        <w:ind w:left="0"/>
        <w:rPr>
          <w:i/>
          <w:noProof/>
        </w:rPr>
      </w:pPr>
      <w:r>
        <w:rPr>
          <w:noProof/>
        </w:rPr>
        <w:t xml:space="preserve">Sama direktiivi artikli 7 lõike 4 kohaselt kohustub komisjon seejärel igal aastal </w:t>
      </w:r>
      <w:r>
        <w:rPr>
          <w:i/>
          <w:noProof/>
        </w:rPr>
        <w:t>Euroopa Liidu Teatajas</w:t>
      </w:r>
      <w:r>
        <w:rPr>
          <w:noProof/>
        </w:rPr>
        <w:t xml:space="preserve"> avaldama:</w:t>
      </w:r>
    </w:p>
    <w:p w:rsidR="00A55DB8" w:rsidRDefault="002F0B45">
      <w:pPr>
        <w:pStyle w:val="ListDash"/>
        <w:spacing w:after="0"/>
        <w:rPr>
          <w:noProof/>
        </w:rPr>
      </w:pPr>
      <w:r>
        <w:rPr>
          <w:noProof/>
        </w:rPr>
        <w:t>üksikasjalikud andmed liikmesriikide heakskiidetud kiirituskeskuste kohta ja võimalikud muudatused nende staatuses;</w:t>
      </w:r>
    </w:p>
    <w:p w:rsidR="00A55DB8" w:rsidRDefault="002F0B45">
      <w:pPr>
        <w:pStyle w:val="ListDash"/>
        <w:rPr>
          <w:noProof/>
        </w:rPr>
      </w:pPr>
      <w:r>
        <w:rPr>
          <w:noProof/>
        </w:rPr>
        <w:t>aruande, mis põhineb riiklike järelevalveasutuste igal aastal esitataval teabel.</w:t>
      </w:r>
    </w:p>
    <w:p w:rsidR="00A55DB8" w:rsidRDefault="002F0B45">
      <w:pPr>
        <w:rPr>
          <w:noProof/>
        </w:rPr>
      </w:pPr>
      <w:r>
        <w:rPr>
          <w:noProof/>
        </w:rPr>
        <w:t>Selle kohustuse täitmiseks koostatud käesolev aruanne hõlma</w:t>
      </w:r>
      <w:r>
        <w:rPr>
          <w:noProof/>
        </w:rPr>
        <w:t xml:space="preserve">b ajavahemikku 1. jaanuarist 31. detsembrini 2015 ning sisaldab teavet, mille 28 liikmesriiki ja üks EFTA riik (Norra) on Euroopa Komisjonile edastanud. </w:t>
      </w:r>
    </w:p>
    <w:p w:rsidR="00A55DB8" w:rsidRDefault="002F0B45">
      <w:pPr>
        <w:pStyle w:val="ManualHeading1"/>
        <w:rPr>
          <w:noProof/>
        </w:rPr>
      </w:pPr>
      <w:bookmarkStart w:id="4" w:name="_Toc466567205"/>
      <w:r>
        <w:t>3.</w:t>
      </w:r>
      <w:r>
        <w:tab/>
      </w:r>
      <w:r>
        <w:rPr>
          <w:noProof/>
        </w:rPr>
        <w:t>Heakskiidetud kiirituskeskused</w:t>
      </w:r>
      <w:bookmarkEnd w:id="4"/>
    </w:p>
    <w:p w:rsidR="00A55DB8" w:rsidRDefault="002F0B45">
      <w:pPr>
        <w:rPr>
          <w:noProof/>
        </w:rPr>
      </w:pPr>
      <w:r>
        <w:rPr>
          <w:rStyle w:val="Corpsdutexte"/>
          <w:noProof/>
          <w:color w:val="000000"/>
          <w:sz w:val="24"/>
        </w:rPr>
        <w:t>Euroopa Liidus on heaks kiidetud 26 kiirituskeskust, mis asuvad 14 l</w:t>
      </w:r>
      <w:r>
        <w:rPr>
          <w:rStyle w:val="Corpsdutexte"/>
          <w:noProof/>
          <w:color w:val="000000"/>
          <w:sz w:val="24"/>
        </w:rPr>
        <w:t xml:space="preserve">iikmesriigis: Prantsusmaal viis, Saksamaal neli, Hispaanias kolm, Bulgaarias, Madalmaades ja Poolas kaks ning Belgias, Tšehhi Vabariigis, Eestis, Horvaatias (uus keskus), Itaalias, Ungaris, Rumeenias ja Ühendkuningriigis üks. </w:t>
      </w:r>
      <w:r>
        <w:rPr>
          <w:noProof/>
        </w:rPr>
        <w:t>Teistes liikmesriikides heaksk</w:t>
      </w:r>
      <w:r>
        <w:rPr>
          <w:noProof/>
        </w:rPr>
        <w:t xml:space="preserve">iidetud keskusi ei ole. Ühtegi heakskiidetud kiirituskeskust ei suletud. </w:t>
      </w:r>
    </w:p>
    <w:p w:rsidR="00A55DB8" w:rsidRDefault="002F0B45">
      <w:pPr>
        <w:pStyle w:val="Text1"/>
        <w:ind w:left="0"/>
        <w:rPr>
          <w:noProof/>
        </w:rPr>
        <w:sectPr w:rsidR="00A55DB8">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020" w:right="1701" w:bottom="1020" w:left="1587" w:header="601" w:footer="1077" w:gutter="0"/>
          <w:cols w:space="720"/>
          <w:titlePg/>
        </w:sectPr>
      </w:pPr>
      <w:r>
        <w:rPr>
          <w:rStyle w:val="Corpsdutexte"/>
          <w:noProof/>
          <w:color w:val="000000"/>
          <w:sz w:val="24"/>
        </w:rPr>
        <w:t>2015. aastal kiiritati toiduaineid kümnes neljateistkümnest kiirituskeskus(t)ega liikmesriigist ja ü</w:t>
      </w:r>
      <w:r>
        <w:rPr>
          <w:rStyle w:val="Corpsdutexte"/>
          <w:noProof/>
          <w:color w:val="000000"/>
          <w:sz w:val="24"/>
        </w:rPr>
        <w:t>hes EFTA riigis (Norra), nagu on näidatud joonisel 1</w:t>
      </w:r>
      <w:r>
        <w:rPr>
          <w:noProof/>
        </w:rPr>
        <w:t>.</w:t>
      </w:r>
    </w:p>
    <w:p w:rsidR="00A55DB8" w:rsidRDefault="002F0B45">
      <w:pPr>
        <w:pStyle w:val="Text1"/>
        <w:ind w:left="0"/>
        <w:rPr>
          <w:noProof/>
        </w:rPr>
      </w:pPr>
      <w:r>
        <w:rPr>
          <w:noProof/>
          <w:lang w:val="en-GB" w:eastAsia="en-GB" w:bidi="ar-SA"/>
        </w:rPr>
        <w:lastRenderedPageBreak/>
        <w:drawing>
          <wp:inline distT="0" distB="0" distL="0" distR="0">
            <wp:extent cx="3310230" cy="3439231"/>
            <wp:effectExtent l="0" t="0" r="508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310230" cy="3439231"/>
                    </a:xfrm>
                    <a:prstGeom prst="rect">
                      <a:avLst/>
                    </a:prstGeom>
                  </pic:spPr>
                </pic:pic>
              </a:graphicData>
            </a:graphic>
          </wp:inline>
        </w:drawing>
      </w:r>
    </w:p>
    <w:p w:rsidR="00A55DB8" w:rsidRDefault="00A55DB8">
      <w:pPr>
        <w:pStyle w:val="Text1"/>
        <w:ind w:left="240" w:right="405"/>
        <w:rPr>
          <w:noProof/>
        </w:rPr>
      </w:pPr>
    </w:p>
    <w:p w:rsidR="00A55DB8" w:rsidRDefault="002F0B45">
      <w:pPr>
        <w:pStyle w:val="Text1"/>
        <w:ind w:left="240" w:right="405"/>
        <w:rPr>
          <w:noProof/>
        </w:rPr>
      </w:pPr>
      <w:r>
        <w:rPr>
          <w:noProof/>
        </w:rPr>
        <w:t xml:space="preserve">Joonis 1. 2015. aastal kiiritatud toiduainete osakaal igas liikmesriigis ja Norras </w:t>
      </w:r>
    </w:p>
    <w:p w:rsidR="00A55DB8" w:rsidRDefault="002F0B45">
      <w:pPr>
        <w:pStyle w:val="Text1"/>
        <w:ind w:left="240" w:right="405"/>
        <w:rPr>
          <w:noProof/>
        </w:rPr>
      </w:pPr>
      <w:r>
        <w:rPr>
          <w:noProof/>
        </w:rPr>
        <w:t xml:space="preserve">Roheline: riigid, kus on heakskiidetud kiirituskeskus(ed) ja kus toitu kiiritati </w:t>
      </w:r>
    </w:p>
    <w:p w:rsidR="00A55DB8" w:rsidRDefault="002F0B45">
      <w:pPr>
        <w:pStyle w:val="Text1"/>
        <w:ind w:left="240" w:right="405"/>
        <w:rPr>
          <w:noProof/>
        </w:rPr>
      </w:pPr>
      <w:r>
        <w:rPr>
          <w:noProof/>
        </w:rPr>
        <w:t xml:space="preserve">Kollane: riigid, kus on heakskiidetud kiirituskeskus(ed) ja kus toitu ei kiiritatud </w:t>
      </w:r>
    </w:p>
    <w:p w:rsidR="00A55DB8" w:rsidRDefault="002F0B45">
      <w:pPr>
        <w:pStyle w:val="Text1"/>
        <w:ind w:left="240" w:right="405"/>
        <w:rPr>
          <w:noProof/>
        </w:rPr>
      </w:pPr>
      <w:r>
        <w:rPr>
          <w:noProof/>
        </w:rPr>
        <w:t>Hall: riigid, kus ei ole heakskiidetud kiirituskeskusi</w:t>
      </w:r>
    </w:p>
    <w:p w:rsidR="00A55DB8" w:rsidRDefault="00A55DB8">
      <w:pPr>
        <w:pStyle w:val="Text1"/>
        <w:ind w:left="0"/>
        <w:jc w:val="center"/>
        <w:rPr>
          <w:noProof/>
        </w:rPr>
        <w:sectPr w:rsidR="00A55DB8">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020" w:right="1701" w:bottom="1020" w:left="1587" w:header="601" w:footer="1077" w:gutter="0"/>
          <w:cols w:num="2" w:space="720" w:equalWidth="0">
            <w:col w:w="4653" w:space="720"/>
            <w:col w:w="3245"/>
          </w:cols>
          <w:titlePg/>
        </w:sectPr>
      </w:pPr>
    </w:p>
    <w:p w:rsidR="00A55DB8" w:rsidRDefault="00A55DB8">
      <w:pPr>
        <w:pStyle w:val="Text1"/>
        <w:ind w:left="0"/>
        <w:jc w:val="center"/>
        <w:rPr>
          <w:noProof/>
        </w:rPr>
      </w:pPr>
    </w:p>
    <w:p w:rsidR="00A55DB8" w:rsidRDefault="002F0B45">
      <w:pPr>
        <w:pStyle w:val="ManualHeading1"/>
        <w:rPr>
          <w:noProof/>
        </w:rPr>
      </w:pPr>
      <w:bookmarkStart w:id="5" w:name="_Toc466567206"/>
      <w:r>
        <w:t>4.</w:t>
      </w:r>
      <w:r>
        <w:tab/>
      </w:r>
      <w:r>
        <w:rPr>
          <w:noProof/>
        </w:rPr>
        <w:t xml:space="preserve">Kiirituskeskuste </w:t>
      </w:r>
      <w:r>
        <w:rPr>
          <w:noProof/>
        </w:rPr>
        <w:t>kontrolli tulemused</w:t>
      </w:r>
      <w:bookmarkEnd w:id="5"/>
    </w:p>
    <w:p w:rsidR="00A55DB8" w:rsidRDefault="002F0B45">
      <w:pPr>
        <w:pStyle w:val="Text1"/>
        <w:ind w:left="0"/>
        <w:rPr>
          <w:noProof/>
        </w:rPr>
      </w:pPr>
      <w:r>
        <w:rPr>
          <w:noProof/>
        </w:rPr>
        <w:t xml:space="preserve">Pädevate asutuste läbi viidud ametlikud kontrollid kinnitasid heakskiidetud kiirituskeskuste vastavust direktiivi 1999/2/EÜ nõuetele, mis põhinevad FAO/WHO </w:t>
      </w:r>
      <w:r>
        <w:rPr>
          <w:i/>
          <w:noProof/>
        </w:rPr>
        <w:lastRenderedPageBreak/>
        <w:t>Codex Alimentarius</w:t>
      </w:r>
      <w:r>
        <w:rPr>
          <w:noProof/>
        </w:rPr>
        <w:t xml:space="preserve">’e ühiskomisjoni soovituslikul rahvusvahelisel tegevusjuhisel </w:t>
      </w:r>
      <w:r>
        <w:rPr>
          <w:noProof/>
        </w:rPr>
        <w:t>toitu töötlevate kiirituskeskuste tegevuse kohta</w:t>
      </w:r>
      <w:r>
        <w:rPr>
          <w:rStyle w:val="FootnoteReference"/>
          <w:noProof/>
        </w:rPr>
        <w:footnoteReference w:id="6"/>
      </w:r>
      <w:r>
        <w:rPr>
          <w:noProof/>
        </w:rPr>
        <w:t xml:space="preserve">. </w:t>
      </w:r>
    </w:p>
    <w:p w:rsidR="00A55DB8" w:rsidRDefault="002F0B45">
      <w:pPr>
        <w:pStyle w:val="Text1"/>
        <w:ind w:left="0"/>
        <w:rPr>
          <w:noProof/>
        </w:rPr>
      </w:pPr>
      <w:r>
        <w:rPr>
          <w:noProof/>
        </w:rPr>
        <w:t>Esitatud teabe kohaselt oli kiiritatud toidu keskmine neeldumisdoos ELis 2015. aastal vahemikus 1–10 kGy; igas liikmesriigis kiiritatud toodete liigid ja kasutatud doosid on esitatud lisas.</w:t>
      </w:r>
    </w:p>
    <w:p w:rsidR="00A55DB8" w:rsidRDefault="002F0B45">
      <w:pPr>
        <w:pStyle w:val="Text1"/>
        <w:ind w:left="0"/>
        <w:rPr>
          <w:noProof/>
        </w:rPr>
      </w:pPr>
      <w:r>
        <w:rPr>
          <w:noProof/>
        </w:rPr>
        <w:t>ELi liikmesrii</w:t>
      </w:r>
      <w:r>
        <w:rPr>
          <w:noProof/>
        </w:rPr>
        <w:t xml:space="preserve">kides töödeldi ioniseeriva kiirgusega kokku 5685,9 tonni tooteid, millest 80 % kiiritati peamiselt kahes liikmesriigis: Belgias (68,9 %) ja Madalmaades (11,1 %). </w:t>
      </w:r>
    </w:p>
    <w:p w:rsidR="00A55DB8" w:rsidRDefault="002F0B45">
      <w:pPr>
        <w:rPr>
          <w:noProof/>
        </w:rPr>
      </w:pPr>
      <w:r>
        <w:rPr>
          <w:noProof/>
        </w:rPr>
        <w:t>Joonisel 2 on esitatud ülevaade kiiritatud toiduainete liikide kohta. Kaks peamist ELis kiiri</w:t>
      </w:r>
      <w:r>
        <w:rPr>
          <w:noProof/>
        </w:rPr>
        <w:t xml:space="preserve">tatud toiduaineliiki on konnakoivad (54,75 %) ning kuivatatud maitsetaimed, vürtsid ja köögiviljamaitseained (16,10 %). </w:t>
      </w:r>
    </w:p>
    <w:p w:rsidR="00A55DB8" w:rsidRDefault="002F0B45">
      <w:pPr>
        <w:spacing w:after="0"/>
        <w:rPr>
          <w:noProof/>
        </w:rPr>
      </w:pPr>
      <w:r>
        <w:rPr>
          <w:noProof/>
        </w:rPr>
        <w:t>Joonis 2. ELis 2015. aastal kiiritatud toiduainete jagunemine liikide kaupa</w:t>
      </w:r>
    </w:p>
    <w:p w:rsidR="00A55DB8" w:rsidRDefault="002F0B45">
      <w:pPr>
        <w:pStyle w:val="Text1"/>
        <w:ind w:left="0"/>
        <w:rPr>
          <w:noProof/>
        </w:rPr>
      </w:pPr>
      <w:r>
        <w:rPr>
          <w:noProof/>
          <w:lang w:val="en-GB" w:eastAsia="en-GB" w:bidi="ar-SA"/>
        </w:rPr>
        <w:drawing>
          <wp:inline distT="0" distB="0" distL="0" distR="0">
            <wp:extent cx="5475767" cy="2636874"/>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55DB8" w:rsidRDefault="002F0B45">
      <w:pPr>
        <w:pStyle w:val="Text1"/>
        <w:ind w:left="0"/>
        <w:rPr>
          <w:noProof/>
        </w:rPr>
      </w:pPr>
      <w:r>
        <w:rPr>
          <w:noProof/>
        </w:rPr>
        <w:t>Kuna direktiivid 1999/2/EÜ ja 1999/3/EÜ on muutunud liikm</w:t>
      </w:r>
      <w:r>
        <w:rPr>
          <w:noProof/>
        </w:rPr>
        <w:t xml:space="preserve">esriikides kohaldatavaks, on kiiritatud toidukogused vähenenud, kuigi 2015. aastal kasvasid kogused 2014. aastaga võrreldes 9,7 %. </w:t>
      </w:r>
    </w:p>
    <w:p w:rsidR="00A55DB8" w:rsidRDefault="002F0B45">
      <w:pPr>
        <w:pStyle w:val="Text1"/>
        <w:ind w:left="0"/>
        <w:rPr>
          <w:noProof/>
        </w:rPr>
      </w:pPr>
      <w:r>
        <w:rPr>
          <w:noProof/>
        </w:rPr>
        <w:t xml:space="preserve">Joonisel 3 on esitatud 2015. aastal kiiritatud toiduainete (tonnides) jaotumine liikmesriikide kaupa. </w:t>
      </w:r>
    </w:p>
    <w:p w:rsidR="00A55DB8" w:rsidRDefault="002F0B45">
      <w:pPr>
        <w:spacing w:after="0"/>
        <w:jc w:val="left"/>
        <w:rPr>
          <w:noProof/>
        </w:rPr>
      </w:pPr>
      <w:r>
        <w:rPr>
          <w:noProof/>
        </w:rPr>
        <w:br w:type="page"/>
      </w:r>
    </w:p>
    <w:p w:rsidR="00A55DB8" w:rsidRDefault="002F0B45">
      <w:pPr>
        <w:pStyle w:val="Text1"/>
        <w:spacing w:after="0"/>
        <w:ind w:left="0"/>
        <w:rPr>
          <w:noProof/>
        </w:rPr>
      </w:pPr>
      <w:r>
        <w:rPr>
          <w:noProof/>
        </w:rPr>
        <w:lastRenderedPageBreak/>
        <w:t>Joonis 3. Eri liikm</w:t>
      </w:r>
      <w:r>
        <w:rPr>
          <w:noProof/>
        </w:rPr>
        <w:t>esriikide heakskiidetud keskustes 2015. aastal kiiritatud toiduainete kogused ja liigid</w:t>
      </w:r>
    </w:p>
    <w:p w:rsidR="00A55DB8" w:rsidRDefault="002F0B45">
      <w:pPr>
        <w:pStyle w:val="Text1"/>
        <w:spacing w:before="120" w:after="120"/>
        <w:ind w:left="0"/>
        <w:rPr>
          <w:smallCaps/>
          <w:noProof/>
        </w:rPr>
      </w:pPr>
      <w:r>
        <w:rPr>
          <w:noProof/>
          <w:lang w:val="en-GB" w:eastAsia="en-GB" w:bidi="ar-SA"/>
        </w:rPr>
        <w:drawing>
          <wp:inline distT="0" distB="0" distL="0" distR="0">
            <wp:extent cx="5475767" cy="337052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55DB8" w:rsidRDefault="002F0B45">
      <w:pPr>
        <w:pStyle w:val="ManualHeading1"/>
        <w:rPr>
          <w:noProof/>
        </w:rPr>
      </w:pPr>
      <w:bookmarkStart w:id="6" w:name="_Toc466567207"/>
      <w:r>
        <w:t>5.</w:t>
      </w:r>
      <w:r>
        <w:tab/>
      </w:r>
      <w:r>
        <w:rPr>
          <w:noProof/>
        </w:rPr>
        <w:t>Turustamise etapis tehtud kontrolli tulemused</w:t>
      </w:r>
      <w:bookmarkEnd w:id="6"/>
    </w:p>
    <w:p w:rsidR="00A55DB8" w:rsidRDefault="002F0B45">
      <w:pPr>
        <w:pStyle w:val="Text1"/>
        <w:ind w:left="0"/>
        <w:rPr>
          <w:noProof/>
        </w:rPr>
      </w:pPr>
      <w:r>
        <w:rPr>
          <w:noProof/>
        </w:rPr>
        <w:t>2015. aastal analüüsiti 24 liikmesriigis 5973 proovi ehk 3,4 % rohkem kui 2014. aastal.</w:t>
      </w:r>
    </w:p>
    <w:p w:rsidR="00A55DB8" w:rsidRDefault="002F0B45">
      <w:pPr>
        <w:rPr>
          <w:noProof/>
        </w:rPr>
      </w:pPr>
      <w:r>
        <w:rPr>
          <w:rStyle w:val="Corpsdutexte"/>
          <w:noProof/>
          <w:color w:val="000000"/>
          <w:sz w:val="24"/>
        </w:rPr>
        <w:t>Neljas</w:t>
      </w:r>
      <w:r>
        <w:rPr>
          <w:noProof/>
        </w:rPr>
        <w:t xml:space="preserve"> liikmesriigis analüüsiti 75,6 % proovidest (Saksamaal 56 %, Itaalias 9 %, Poolas 5,3 % ja Rumeenias 5,3 %), nagu on näidatud joonisel 4. Viies riigis (neljas liikmesriigis ja Norras) ei tehtud 2015. aastal toodete turustamise etapis ühtki analüüsi. Põhjus</w:t>
      </w:r>
      <w:r>
        <w:rPr>
          <w:noProof/>
        </w:rPr>
        <w:t xml:space="preserve">ed olid erinevad: Taanis eelarvepiirangud ning Eestis, Horvaatias, Küprosel ja Norras selliste analüüside tegemiseks vajaliku laboratoorse suutlikkuse puudumine. </w:t>
      </w:r>
    </w:p>
    <w:p w:rsidR="00A55DB8" w:rsidRDefault="002F0B45">
      <w:pPr>
        <w:rPr>
          <w:noProof/>
        </w:rPr>
      </w:pPr>
      <w:r>
        <w:rPr>
          <w:noProof/>
        </w:rPr>
        <w:t>Joonis 4. 2015. aastal eri liikmesriikides toodete turustamise etapis tehtud kontrollide ja a</w:t>
      </w:r>
      <w:r>
        <w:rPr>
          <w:noProof/>
        </w:rPr>
        <w:t>nalüüside osakaal</w:t>
      </w:r>
    </w:p>
    <w:p w:rsidR="00A55DB8" w:rsidRDefault="002F0B45">
      <w:pPr>
        <w:rPr>
          <w:noProof/>
        </w:rPr>
      </w:pPr>
      <w:r>
        <w:rPr>
          <w:noProof/>
          <w:lang w:val="en-GB" w:eastAsia="en-GB" w:bidi="ar-SA"/>
        </w:rPr>
        <w:lastRenderedPageBreak/>
        <w:drawing>
          <wp:inline distT="0" distB="0" distL="0" distR="0">
            <wp:extent cx="5248412" cy="30343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54132" cy="3037685"/>
                    </a:xfrm>
                    <a:prstGeom prst="rect">
                      <a:avLst/>
                    </a:prstGeom>
                    <a:noFill/>
                  </pic:spPr>
                </pic:pic>
              </a:graphicData>
            </a:graphic>
          </wp:inline>
        </w:drawing>
      </w:r>
    </w:p>
    <w:p w:rsidR="00A55DB8" w:rsidRDefault="002F0B45">
      <w:pPr>
        <w:rPr>
          <w:noProof/>
        </w:rPr>
      </w:pPr>
      <w:r>
        <w:rPr>
          <w:noProof/>
        </w:rPr>
        <w:t xml:space="preserve">Euroopa Liidus 2015. aastal analüüsitud toodete seas domineerisid „maitseained ja vürtsid“ (45,54 %) ning „teravili, seemned, köögi- ja puuviljad ning nendest valmistatud tooted“ (21,01 %). Üksikasjalikum teave on esitatud eri </w:t>
      </w:r>
      <w:r>
        <w:rPr>
          <w:noProof/>
        </w:rPr>
        <w:t>liikmesriikides tehtud analüüse käsitlevates tabelites (lisa). Kategooria „muu“ hõlmab peamiselt toidulisandeid (45,92 %) ning suppe ja kastmeid (30,89 %).</w:t>
      </w:r>
    </w:p>
    <w:p w:rsidR="00A55DB8" w:rsidRDefault="002F0B45">
      <w:pPr>
        <w:spacing w:after="0"/>
        <w:rPr>
          <w:noProof/>
        </w:rPr>
      </w:pPr>
      <w:r>
        <w:rPr>
          <w:noProof/>
        </w:rPr>
        <w:t>Joonis 5. Euroopa Liidus 2015. aastal toodete turustamise etapis analüüsitud toiduainete liigid</w:t>
      </w:r>
    </w:p>
    <w:p w:rsidR="00A55DB8" w:rsidRDefault="002F0B45">
      <w:pPr>
        <w:rPr>
          <w:noProof/>
        </w:rPr>
      </w:pPr>
      <w:r>
        <w:rPr>
          <w:noProof/>
          <w:lang w:val="en-GB" w:eastAsia="en-GB" w:bidi="ar-SA"/>
        </w:rPr>
        <w:drawing>
          <wp:inline distT="0" distB="0" distL="0" distR="0">
            <wp:extent cx="5472430" cy="2419133"/>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55DB8" w:rsidRDefault="002F0B45">
      <w:pPr>
        <w:pStyle w:val="Text1"/>
        <w:ind w:left="0"/>
        <w:rPr>
          <w:noProof/>
        </w:rPr>
      </w:pPr>
      <w:r>
        <w:rPr>
          <w:noProof/>
        </w:rPr>
        <w:t>20</w:t>
      </w:r>
      <w:r>
        <w:rPr>
          <w:noProof/>
        </w:rPr>
        <w:t>15. aastal vastasid 5802 proovi (97,1 %) ELi nõuetele, 104 (1,7 %) olid nõuetele mittevastavad ja 67 proovi (1,1 %) puhul olid tulemused ebaselged. Analüüsitud proovide mittevastavuse kaks peamist põhjust olid sarnaselt eelmistele aastatele ebaõige märgist</w:t>
      </w:r>
      <w:r>
        <w:rPr>
          <w:noProof/>
        </w:rPr>
        <w:t>us ja keelatud viisil kiiritamine ehk kiiritamine ELis heaks kiitmata keskustes. Üksikasjalik teave liikmesriikide kaupa on esitatud lisas.</w:t>
      </w:r>
    </w:p>
    <w:p w:rsidR="00A55DB8" w:rsidRDefault="00A55DB8">
      <w:pPr>
        <w:spacing w:after="0"/>
        <w:rPr>
          <w:noProof/>
        </w:rPr>
        <w:sectPr w:rsidR="00A55DB8">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020" w:right="1701" w:bottom="1020" w:left="1587" w:header="601" w:footer="1077" w:gutter="0"/>
          <w:cols w:space="720"/>
          <w:titlePg/>
        </w:sectPr>
      </w:pPr>
    </w:p>
    <w:p w:rsidR="00A55DB8" w:rsidRDefault="002F0B45">
      <w:pPr>
        <w:spacing w:after="0"/>
        <w:rPr>
          <w:noProof/>
        </w:rPr>
      </w:pPr>
      <w:r>
        <w:rPr>
          <w:noProof/>
          <w:lang w:val="en-GB" w:eastAsia="en-GB" w:bidi="ar-SA"/>
        </w:rPr>
        <w:lastRenderedPageBreak/>
        <w:drawing>
          <wp:inline distT="0" distB="0" distL="0" distR="0">
            <wp:extent cx="2966484" cy="2519917"/>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A55DB8" w:rsidRDefault="00A55DB8">
      <w:pPr>
        <w:spacing w:after="0"/>
        <w:rPr>
          <w:noProof/>
        </w:rPr>
      </w:pPr>
    </w:p>
    <w:p w:rsidR="00A55DB8" w:rsidRDefault="00A55DB8">
      <w:pPr>
        <w:spacing w:after="0"/>
        <w:rPr>
          <w:noProof/>
        </w:rPr>
      </w:pPr>
    </w:p>
    <w:p w:rsidR="00A55DB8" w:rsidRDefault="00A55DB8">
      <w:pPr>
        <w:spacing w:after="0"/>
        <w:rPr>
          <w:noProof/>
        </w:rPr>
      </w:pPr>
    </w:p>
    <w:p w:rsidR="00A55DB8" w:rsidRDefault="00A55DB8">
      <w:pPr>
        <w:spacing w:after="0"/>
        <w:rPr>
          <w:noProof/>
        </w:rPr>
      </w:pPr>
    </w:p>
    <w:p w:rsidR="00A55DB8" w:rsidRDefault="002F0B45">
      <w:pPr>
        <w:spacing w:after="0"/>
        <w:rPr>
          <w:smallCaps/>
          <w:noProof/>
        </w:rPr>
      </w:pPr>
      <w:r>
        <w:rPr>
          <w:noProof/>
        </w:rPr>
        <w:t>Joonis 6. Euroopa Liidus 20</w:t>
      </w:r>
      <w:r>
        <w:rPr>
          <w:noProof/>
        </w:rPr>
        <w:t xml:space="preserve">15. aastal toodete turustamise etapis tehtud kontrollide kohaselt nõuetele vastavate, nõuetele mittevastavate ja ebaselgete tulemuste osakaal </w:t>
      </w:r>
    </w:p>
    <w:p w:rsidR="00A55DB8" w:rsidRDefault="00A55DB8">
      <w:pPr>
        <w:rPr>
          <w:noProof/>
        </w:rPr>
        <w:sectPr w:rsidR="00A55DB8">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020" w:right="1701" w:bottom="1020" w:left="1587" w:header="601" w:footer="1077" w:gutter="0"/>
          <w:cols w:num="2" w:space="720"/>
          <w:titlePg/>
        </w:sectPr>
      </w:pPr>
    </w:p>
    <w:p w:rsidR="00A55DB8" w:rsidRDefault="00A55DB8">
      <w:pPr>
        <w:rPr>
          <w:noProof/>
        </w:rPr>
      </w:pPr>
    </w:p>
    <w:p w:rsidR="00A55DB8" w:rsidRDefault="002F0B45">
      <w:pPr>
        <w:pStyle w:val="ManualHeading1"/>
        <w:rPr>
          <w:noProof/>
        </w:rPr>
      </w:pPr>
      <w:bookmarkStart w:id="7" w:name="_Toc466567208"/>
      <w:r>
        <w:t>6.</w:t>
      </w:r>
      <w:r>
        <w:tab/>
      </w:r>
      <w:r>
        <w:rPr>
          <w:noProof/>
        </w:rPr>
        <w:t>Järeldused</w:t>
      </w:r>
      <w:bookmarkEnd w:id="7"/>
    </w:p>
    <w:p w:rsidR="00A55DB8" w:rsidRDefault="002F0B45">
      <w:pPr>
        <w:pStyle w:val="Text1"/>
        <w:ind w:left="0"/>
        <w:rPr>
          <w:noProof/>
        </w:rPr>
      </w:pPr>
      <w:r>
        <w:rPr>
          <w:noProof/>
        </w:rPr>
        <w:t xml:space="preserve">ELi 28 liikmesriigi esitatud andmetest 2015. aasta kohta </w:t>
      </w:r>
      <w:r>
        <w:rPr>
          <w:rStyle w:val="Corpsdutexte"/>
          <w:noProof/>
          <w:color w:val="000000"/>
          <w:sz w:val="24"/>
        </w:rPr>
        <w:t>nähtub, et ELis</w:t>
      </w:r>
      <w:r>
        <w:rPr>
          <w:noProof/>
        </w:rPr>
        <w:t xml:space="preserve"> kiiritatud toiduainete kogus on 2014. aastaga võrreldes 9,7 % kasvanud; samal ajal kasvas toodete turustamise etapis pädevate asutuste tehtud kontrollide arv 3,4 %. Kontrollid osutasi</w:t>
      </w:r>
      <w:r>
        <w:rPr>
          <w:noProof/>
        </w:rPr>
        <w:t>d peaaegu täielikule vastavusele ELi õigusaktidele: nõuetele mittevastavaks osutus alla 2 % toodetest.</w:t>
      </w:r>
    </w:p>
    <w:p w:rsidR="00A55DB8" w:rsidRDefault="002F0B45">
      <w:pPr>
        <w:pStyle w:val="Text1"/>
        <w:ind w:left="0"/>
        <w:rPr>
          <w:noProof/>
        </w:rPr>
      </w:pPr>
      <w:r>
        <w:rPr>
          <w:noProof/>
        </w:rPr>
        <w:t>Peamiseks kiiritatavaks toiduaineks on Euroopas konnakoivad, millele järgnevad (ehkki märksa väiksemas koguses) kuivatatud maitsetaimed, vürtsid ja köögi</w:t>
      </w:r>
      <w:r>
        <w:rPr>
          <w:noProof/>
        </w:rPr>
        <w:t xml:space="preserve">viljamaitseained. Umbes 70 % toidust kiiritatakse Belgias, mis on kiiritatava toidu koguste poolest ELis jätkuvalt esimesel kohal. </w:t>
      </w:r>
    </w:p>
    <w:p w:rsidR="00A55DB8" w:rsidRDefault="002F0B45">
      <w:pPr>
        <w:pStyle w:val="Text1"/>
        <w:ind w:left="0"/>
        <w:rPr>
          <w:noProof/>
        </w:rPr>
      </w:pPr>
      <w:r>
        <w:rPr>
          <w:noProof/>
        </w:rPr>
        <w:t>Turustamise etapis kontrolliti ELis kõige enam endiselt maitsetaimi ja vürtse (45,6 %), millele järgnesid teravili, seemned,</w:t>
      </w:r>
      <w:r>
        <w:rPr>
          <w:noProof/>
        </w:rPr>
        <w:t xml:space="preserve"> köögi- ja puuviljad (21 %), kusjuures kõige rohkem kontrolle tehti Saksamaal: seal tehti rohkem kontrolle kui kõigis teistes liikmesriikides kokku.</w:t>
      </w:r>
    </w:p>
    <w:p w:rsidR="00A55DB8" w:rsidRDefault="002F0B45">
      <w:pPr>
        <w:pStyle w:val="Text1"/>
        <w:ind w:left="0"/>
        <w:rPr>
          <w:noProof/>
        </w:rPr>
      </w:pPr>
      <w:r>
        <w:rPr>
          <w:noProof/>
        </w:rPr>
        <w:t>See saastuse kõrvaldamise meetod on Euroopas endiselt marginaalne võrreldes maailma teiste piirkondadega, k</w:t>
      </w:r>
      <w:r>
        <w:rPr>
          <w:noProof/>
        </w:rPr>
        <w:t xml:space="preserve">us kiiritamise kasutamine saastuse kõrvaldamise eesmärgil järjepidevalt kasvab, eriti Ameerika ja Aasia riikides. </w:t>
      </w:r>
    </w:p>
    <w:p w:rsidR="00A55DB8" w:rsidRDefault="002F0B45">
      <w:pPr>
        <w:pStyle w:val="Text1"/>
        <w:ind w:left="567"/>
        <w:jc w:val="left"/>
        <w:rPr>
          <w:b/>
          <w:noProof/>
        </w:rPr>
      </w:pPr>
      <w:r>
        <w:rPr>
          <w:noProof/>
        </w:rPr>
        <w:br w:type="page"/>
      </w:r>
    </w:p>
    <w:p w:rsidR="00A55DB8" w:rsidRDefault="002F0B45">
      <w:pPr>
        <w:spacing w:after="480"/>
        <w:jc w:val="center"/>
        <w:rPr>
          <w:noProof/>
          <w:u w:val="single"/>
        </w:rPr>
      </w:pPr>
      <w:r>
        <w:rPr>
          <w:noProof/>
          <w:u w:val="single"/>
        </w:rPr>
        <w:lastRenderedPageBreak/>
        <w:t>Lisa. Toidu kiiritamise andmed 2015. aasta kohta</w:t>
      </w:r>
    </w:p>
    <w:p w:rsidR="00A55DB8" w:rsidRDefault="002F0B45">
      <w:pPr>
        <w:jc w:val="center"/>
        <w:rPr>
          <w:noProof/>
        </w:rPr>
      </w:pPr>
      <w:r>
        <w:rPr>
          <w:noProof/>
        </w:rPr>
        <w:t xml:space="preserve">Heakskiidetud kiirituskeskustes (EL ja EFTA) ioniseeriva kiirgusega töödeldud toiduainete </w:t>
      </w:r>
      <w:r>
        <w:rPr>
          <w:noProof/>
        </w:rPr>
        <w:t>kogused (tonnides)</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360"/>
        <w:gridCol w:w="3000"/>
      </w:tblGrid>
      <w:tr w:rsidR="00A55DB8">
        <w:trPr>
          <w:trHeight w:val="202"/>
        </w:trPr>
        <w:tc>
          <w:tcPr>
            <w:tcW w:w="2160" w:type="dxa"/>
            <w:vAlign w:val="center"/>
          </w:tcPr>
          <w:p w:rsidR="00A55DB8" w:rsidRDefault="002F0B45">
            <w:pPr>
              <w:spacing w:after="0"/>
              <w:jc w:val="center"/>
              <w:rPr>
                <w:b/>
                <w:noProof/>
                <w:sz w:val="20"/>
              </w:rPr>
            </w:pPr>
            <w:r>
              <w:rPr>
                <w:b/>
                <w:noProof/>
                <w:sz w:val="20"/>
              </w:rPr>
              <w:t>Riik</w:t>
            </w:r>
          </w:p>
        </w:tc>
        <w:tc>
          <w:tcPr>
            <w:tcW w:w="3360" w:type="dxa"/>
            <w:vAlign w:val="center"/>
          </w:tcPr>
          <w:p w:rsidR="00A55DB8" w:rsidRDefault="002F0B45">
            <w:pPr>
              <w:spacing w:after="0"/>
              <w:jc w:val="center"/>
              <w:rPr>
                <w:b/>
                <w:noProof/>
                <w:sz w:val="20"/>
              </w:rPr>
            </w:pPr>
            <w:r>
              <w:rPr>
                <w:b/>
                <w:noProof/>
                <w:sz w:val="20"/>
              </w:rPr>
              <w:t>Heakskiidetud keskuste arv</w:t>
            </w:r>
          </w:p>
        </w:tc>
        <w:tc>
          <w:tcPr>
            <w:tcW w:w="3000" w:type="dxa"/>
            <w:vAlign w:val="center"/>
          </w:tcPr>
          <w:p w:rsidR="00A55DB8" w:rsidRDefault="002F0B45">
            <w:pPr>
              <w:spacing w:after="0"/>
              <w:jc w:val="center"/>
              <w:rPr>
                <w:b/>
                <w:noProof/>
                <w:sz w:val="20"/>
              </w:rPr>
            </w:pPr>
            <w:r>
              <w:rPr>
                <w:b/>
                <w:noProof/>
                <w:sz w:val="20"/>
              </w:rPr>
              <w:t>Töödeldud kogus (tonnides)</w:t>
            </w:r>
          </w:p>
        </w:tc>
      </w:tr>
      <w:tr w:rsidR="00A55DB8">
        <w:trPr>
          <w:trHeight w:val="202"/>
        </w:trPr>
        <w:tc>
          <w:tcPr>
            <w:tcW w:w="2160" w:type="dxa"/>
            <w:vAlign w:val="center"/>
          </w:tcPr>
          <w:p w:rsidR="00A55DB8" w:rsidRDefault="002F0B45">
            <w:pPr>
              <w:spacing w:after="0"/>
              <w:jc w:val="left"/>
              <w:rPr>
                <w:noProof/>
                <w:sz w:val="20"/>
              </w:rPr>
            </w:pPr>
            <w:r>
              <w:rPr>
                <w:noProof/>
                <w:sz w:val="20"/>
              </w:rPr>
              <w:t>Belgia</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3916,9</w:t>
            </w:r>
          </w:p>
        </w:tc>
      </w:tr>
      <w:tr w:rsidR="00A55DB8">
        <w:trPr>
          <w:trHeight w:val="202"/>
        </w:trPr>
        <w:tc>
          <w:tcPr>
            <w:tcW w:w="2160" w:type="dxa"/>
            <w:vAlign w:val="center"/>
          </w:tcPr>
          <w:p w:rsidR="00A55DB8" w:rsidRDefault="002F0B45">
            <w:pPr>
              <w:spacing w:after="0"/>
              <w:jc w:val="left"/>
              <w:rPr>
                <w:noProof/>
                <w:sz w:val="20"/>
              </w:rPr>
            </w:pPr>
            <w:r>
              <w:rPr>
                <w:noProof/>
                <w:sz w:val="20"/>
              </w:rPr>
              <w:t>Bulgaaria</w:t>
            </w:r>
          </w:p>
        </w:tc>
        <w:tc>
          <w:tcPr>
            <w:tcW w:w="3360" w:type="dxa"/>
            <w:vAlign w:val="center"/>
          </w:tcPr>
          <w:p w:rsidR="00A55DB8" w:rsidRDefault="002F0B45">
            <w:pPr>
              <w:spacing w:after="0"/>
              <w:jc w:val="center"/>
              <w:rPr>
                <w:noProof/>
                <w:sz w:val="20"/>
              </w:rPr>
            </w:pPr>
            <w:r>
              <w:rPr>
                <w:noProof/>
                <w:sz w:val="20"/>
              </w:rPr>
              <w:t>2</w:t>
            </w:r>
          </w:p>
        </w:tc>
        <w:tc>
          <w:tcPr>
            <w:tcW w:w="3000" w:type="dxa"/>
            <w:vAlign w:val="center"/>
          </w:tcPr>
          <w:p w:rsidR="00A55DB8" w:rsidRDefault="002F0B45">
            <w:pPr>
              <w:spacing w:after="0"/>
              <w:jc w:val="center"/>
              <w:rPr>
                <w:noProof/>
                <w:sz w:val="20"/>
              </w:rPr>
            </w:pPr>
            <w:r>
              <w:rPr>
                <w:noProof/>
                <w:sz w:val="20"/>
              </w:rPr>
              <w:t>Toitu ei kiiritatud</w:t>
            </w:r>
          </w:p>
        </w:tc>
      </w:tr>
      <w:tr w:rsidR="00A55DB8">
        <w:trPr>
          <w:trHeight w:val="202"/>
        </w:trPr>
        <w:tc>
          <w:tcPr>
            <w:tcW w:w="2160" w:type="dxa"/>
            <w:vAlign w:val="center"/>
          </w:tcPr>
          <w:p w:rsidR="00A55DB8" w:rsidRDefault="002F0B45">
            <w:pPr>
              <w:spacing w:after="0"/>
              <w:jc w:val="left"/>
              <w:rPr>
                <w:noProof/>
                <w:sz w:val="20"/>
              </w:rPr>
            </w:pPr>
            <w:r>
              <w:rPr>
                <w:noProof/>
                <w:sz w:val="20"/>
              </w:rPr>
              <w:t>Horvaatia</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12,0</w:t>
            </w:r>
          </w:p>
        </w:tc>
      </w:tr>
      <w:tr w:rsidR="00A55DB8">
        <w:trPr>
          <w:trHeight w:val="202"/>
        </w:trPr>
        <w:tc>
          <w:tcPr>
            <w:tcW w:w="2160" w:type="dxa"/>
            <w:vAlign w:val="center"/>
          </w:tcPr>
          <w:p w:rsidR="00A55DB8" w:rsidRDefault="002F0B45">
            <w:pPr>
              <w:spacing w:after="0"/>
              <w:jc w:val="left"/>
              <w:rPr>
                <w:noProof/>
                <w:sz w:val="20"/>
              </w:rPr>
            </w:pPr>
            <w:r>
              <w:rPr>
                <w:noProof/>
                <w:sz w:val="20"/>
              </w:rPr>
              <w:t>Tšehhi Vabariik</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28,3</w:t>
            </w:r>
          </w:p>
        </w:tc>
      </w:tr>
      <w:tr w:rsidR="00A55DB8">
        <w:trPr>
          <w:trHeight w:val="202"/>
        </w:trPr>
        <w:tc>
          <w:tcPr>
            <w:tcW w:w="2160" w:type="dxa"/>
            <w:vAlign w:val="center"/>
          </w:tcPr>
          <w:p w:rsidR="00A55DB8" w:rsidRDefault="002F0B45">
            <w:pPr>
              <w:spacing w:after="0"/>
              <w:jc w:val="left"/>
              <w:rPr>
                <w:noProof/>
                <w:sz w:val="20"/>
              </w:rPr>
            </w:pPr>
            <w:r>
              <w:rPr>
                <w:noProof/>
                <w:sz w:val="20"/>
              </w:rPr>
              <w:t>Eesti</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36,9</w:t>
            </w:r>
          </w:p>
        </w:tc>
      </w:tr>
      <w:tr w:rsidR="00A55DB8">
        <w:trPr>
          <w:trHeight w:val="202"/>
        </w:trPr>
        <w:tc>
          <w:tcPr>
            <w:tcW w:w="2160" w:type="dxa"/>
            <w:vAlign w:val="center"/>
          </w:tcPr>
          <w:p w:rsidR="00A55DB8" w:rsidRDefault="002F0B45">
            <w:pPr>
              <w:spacing w:after="0"/>
              <w:jc w:val="left"/>
              <w:rPr>
                <w:noProof/>
                <w:sz w:val="20"/>
              </w:rPr>
            </w:pPr>
            <w:r>
              <w:rPr>
                <w:noProof/>
                <w:sz w:val="20"/>
              </w:rPr>
              <w:t>Prantsusmaa</w:t>
            </w:r>
          </w:p>
        </w:tc>
        <w:tc>
          <w:tcPr>
            <w:tcW w:w="3360" w:type="dxa"/>
            <w:vAlign w:val="center"/>
          </w:tcPr>
          <w:p w:rsidR="00A55DB8" w:rsidRDefault="002F0B45">
            <w:pPr>
              <w:spacing w:after="0"/>
              <w:jc w:val="center"/>
              <w:rPr>
                <w:noProof/>
                <w:sz w:val="20"/>
              </w:rPr>
            </w:pPr>
            <w:r>
              <w:rPr>
                <w:noProof/>
                <w:sz w:val="20"/>
              </w:rPr>
              <w:t>5</w:t>
            </w:r>
          </w:p>
        </w:tc>
        <w:tc>
          <w:tcPr>
            <w:tcW w:w="3000" w:type="dxa"/>
            <w:vAlign w:val="center"/>
          </w:tcPr>
          <w:p w:rsidR="00A55DB8" w:rsidRDefault="002F0B45">
            <w:pPr>
              <w:spacing w:after="0"/>
              <w:jc w:val="center"/>
              <w:rPr>
                <w:noProof/>
                <w:sz w:val="20"/>
              </w:rPr>
            </w:pPr>
            <w:r>
              <w:rPr>
                <w:noProof/>
                <w:sz w:val="20"/>
              </w:rPr>
              <w:t>376,6</w:t>
            </w:r>
          </w:p>
        </w:tc>
      </w:tr>
      <w:tr w:rsidR="00A55DB8">
        <w:trPr>
          <w:trHeight w:val="202"/>
        </w:trPr>
        <w:tc>
          <w:tcPr>
            <w:tcW w:w="2160" w:type="dxa"/>
            <w:vAlign w:val="center"/>
          </w:tcPr>
          <w:p w:rsidR="00A55DB8" w:rsidRDefault="002F0B45">
            <w:pPr>
              <w:spacing w:after="0"/>
              <w:jc w:val="left"/>
              <w:rPr>
                <w:noProof/>
                <w:sz w:val="20"/>
              </w:rPr>
            </w:pPr>
            <w:r>
              <w:rPr>
                <w:noProof/>
                <w:sz w:val="20"/>
              </w:rPr>
              <w:t>Saksamaa</w:t>
            </w:r>
          </w:p>
        </w:tc>
        <w:tc>
          <w:tcPr>
            <w:tcW w:w="3360" w:type="dxa"/>
            <w:vAlign w:val="center"/>
          </w:tcPr>
          <w:p w:rsidR="00A55DB8" w:rsidRDefault="002F0B45">
            <w:pPr>
              <w:spacing w:after="0"/>
              <w:jc w:val="center"/>
              <w:rPr>
                <w:noProof/>
                <w:sz w:val="20"/>
              </w:rPr>
            </w:pPr>
            <w:r>
              <w:rPr>
                <w:noProof/>
                <w:sz w:val="20"/>
              </w:rPr>
              <w:t>4</w:t>
            </w:r>
          </w:p>
        </w:tc>
        <w:tc>
          <w:tcPr>
            <w:tcW w:w="3000" w:type="dxa"/>
            <w:vAlign w:val="center"/>
          </w:tcPr>
          <w:p w:rsidR="00A55DB8" w:rsidRDefault="002F0B45">
            <w:pPr>
              <w:spacing w:after="0"/>
              <w:jc w:val="center"/>
              <w:rPr>
                <w:noProof/>
                <w:sz w:val="20"/>
              </w:rPr>
            </w:pPr>
            <w:r>
              <w:rPr>
                <w:noProof/>
                <w:sz w:val="20"/>
              </w:rPr>
              <w:t>211,1</w:t>
            </w:r>
          </w:p>
        </w:tc>
      </w:tr>
      <w:tr w:rsidR="00A55DB8">
        <w:trPr>
          <w:trHeight w:val="202"/>
        </w:trPr>
        <w:tc>
          <w:tcPr>
            <w:tcW w:w="2160" w:type="dxa"/>
            <w:vAlign w:val="center"/>
          </w:tcPr>
          <w:p w:rsidR="00A55DB8" w:rsidRDefault="002F0B45">
            <w:pPr>
              <w:spacing w:after="0"/>
              <w:jc w:val="left"/>
              <w:rPr>
                <w:noProof/>
                <w:sz w:val="20"/>
              </w:rPr>
            </w:pPr>
            <w:r>
              <w:rPr>
                <w:noProof/>
                <w:sz w:val="20"/>
              </w:rPr>
              <w:t>Ungari</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103,0</w:t>
            </w:r>
          </w:p>
        </w:tc>
      </w:tr>
      <w:tr w:rsidR="00A55DB8">
        <w:trPr>
          <w:trHeight w:val="202"/>
        </w:trPr>
        <w:tc>
          <w:tcPr>
            <w:tcW w:w="2160" w:type="dxa"/>
            <w:vAlign w:val="center"/>
          </w:tcPr>
          <w:p w:rsidR="00A55DB8" w:rsidRDefault="002F0B45">
            <w:pPr>
              <w:spacing w:after="0"/>
              <w:jc w:val="left"/>
              <w:rPr>
                <w:noProof/>
                <w:sz w:val="20"/>
              </w:rPr>
            </w:pPr>
            <w:r>
              <w:rPr>
                <w:noProof/>
                <w:sz w:val="20"/>
              </w:rPr>
              <w:t>Itaalia</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 xml:space="preserve">Toitu </w:t>
            </w:r>
            <w:r>
              <w:rPr>
                <w:noProof/>
                <w:sz w:val="20"/>
              </w:rPr>
              <w:t>ei kiiritatud</w:t>
            </w:r>
          </w:p>
        </w:tc>
      </w:tr>
      <w:tr w:rsidR="00A55DB8">
        <w:trPr>
          <w:trHeight w:val="202"/>
        </w:trPr>
        <w:tc>
          <w:tcPr>
            <w:tcW w:w="2160" w:type="dxa"/>
            <w:vAlign w:val="center"/>
          </w:tcPr>
          <w:p w:rsidR="00A55DB8" w:rsidRDefault="002F0B45">
            <w:pPr>
              <w:spacing w:after="0"/>
              <w:jc w:val="left"/>
              <w:rPr>
                <w:noProof/>
                <w:sz w:val="20"/>
              </w:rPr>
            </w:pPr>
            <w:r>
              <w:rPr>
                <w:noProof/>
                <w:sz w:val="20"/>
              </w:rPr>
              <w:t>Madalmaad</w:t>
            </w:r>
          </w:p>
        </w:tc>
        <w:tc>
          <w:tcPr>
            <w:tcW w:w="3360" w:type="dxa"/>
            <w:vAlign w:val="center"/>
          </w:tcPr>
          <w:p w:rsidR="00A55DB8" w:rsidRDefault="002F0B45">
            <w:pPr>
              <w:spacing w:after="0"/>
              <w:jc w:val="center"/>
              <w:rPr>
                <w:noProof/>
                <w:sz w:val="20"/>
              </w:rPr>
            </w:pPr>
            <w:r>
              <w:rPr>
                <w:noProof/>
                <w:sz w:val="20"/>
              </w:rPr>
              <w:t>2</w:t>
            </w:r>
          </w:p>
        </w:tc>
        <w:tc>
          <w:tcPr>
            <w:tcW w:w="3000" w:type="dxa"/>
            <w:vAlign w:val="center"/>
          </w:tcPr>
          <w:p w:rsidR="00A55DB8" w:rsidRDefault="002F0B45">
            <w:pPr>
              <w:spacing w:after="0"/>
              <w:jc w:val="center"/>
              <w:rPr>
                <w:noProof/>
                <w:sz w:val="20"/>
              </w:rPr>
            </w:pPr>
            <w:r>
              <w:rPr>
                <w:noProof/>
                <w:sz w:val="20"/>
              </w:rPr>
              <w:t>629,2</w:t>
            </w:r>
          </w:p>
        </w:tc>
      </w:tr>
      <w:tr w:rsidR="00A55DB8">
        <w:trPr>
          <w:trHeight w:val="202"/>
        </w:trPr>
        <w:tc>
          <w:tcPr>
            <w:tcW w:w="2160" w:type="dxa"/>
            <w:vAlign w:val="center"/>
          </w:tcPr>
          <w:p w:rsidR="00A55DB8" w:rsidRDefault="002F0B45">
            <w:pPr>
              <w:spacing w:after="0"/>
              <w:jc w:val="left"/>
              <w:rPr>
                <w:noProof/>
                <w:sz w:val="20"/>
              </w:rPr>
            </w:pPr>
            <w:r>
              <w:rPr>
                <w:noProof/>
                <w:sz w:val="20"/>
              </w:rPr>
              <w:t>Poola</w:t>
            </w:r>
          </w:p>
        </w:tc>
        <w:tc>
          <w:tcPr>
            <w:tcW w:w="3360" w:type="dxa"/>
            <w:vAlign w:val="center"/>
          </w:tcPr>
          <w:p w:rsidR="00A55DB8" w:rsidRDefault="002F0B45">
            <w:pPr>
              <w:spacing w:after="0"/>
              <w:jc w:val="center"/>
              <w:rPr>
                <w:noProof/>
                <w:sz w:val="20"/>
              </w:rPr>
            </w:pPr>
            <w:r>
              <w:rPr>
                <w:noProof/>
                <w:sz w:val="20"/>
              </w:rPr>
              <w:t>2</w:t>
            </w:r>
          </w:p>
        </w:tc>
        <w:tc>
          <w:tcPr>
            <w:tcW w:w="3000" w:type="dxa"/>
            <w:vAlign w:val="center"/>
          </w:tcPr>
          <w:p w:rsidR="00A55DB8" w:rsidRDefault="002F0B45">
            <w:pPr>
              <w:spacing w:after="0"/>
              <w:jc w:val="center"/>
              <w:rPr>
                <w:noProof/>
                <w:sz w:val="20"/>
              </w:rPr>
            </w:pPr>
            <w:r>
              <w:rPr>
                <w:noProof/>
                <w:sz w:val="20"/>
              </w:rPr>
              <w:t>45,9</w:t>
            </w:r>
          </w:p>
        </w:tc>
      </w:tr>
      <w:tr w:rsidR="00A55DB8">
        <w:trPr>
          <w:trHeight w:val="202"/>
        </w:trPr>
        <w:tc>
          <w:tcPr>
            <w:tcW w:w="2160" w:type="dxa"/>
            <w:vAlign w:val="center"/>
          </w:tcPr>
          <w:p w:rsidR="00A55DB8" w:rsidRDefault="002F0B45">
            <w:pPr>
              <w:spacing w:after="0"/>
              <w:jc w:val="left"/>
              <w:rPr>
                <w:noProof/>
                <w:sz w:val="20"/>
              </w:rPr>
            </w:pPr>
            <w:r>
              <w:rPr>
                <w:noProof/>
                <w:sz w:val="20"/>
              </w:rPr>
              <w:t>Rumeenia</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Toitu ei kiiritatud</w:t>
            </w:r>
          </w:p>
        </w:tc>
      </w:tr>
      <w:tr w:rsidR="00A55DB8">
        <w:trPr>
          <w:trHeight w:val="202"/>
        </w:trPr>
        <w:tc>
          <w:tcPr>
            <w:tcW w:w="2160" w:type="dxa"/>
            <w:vAlign w:val="center"/>
          </w:tcPr>
          <w:p w:rsidR="00A55DB8" w:rsidRDefault="002F0B45">
            <w:pPr>
              <w:spacing w:after="0"/>
              <w:jc w:val="left"/>
              <w:rPr>
                <w:noProof/>
                <w:sz w:val="20"/>
              </w:rPr>
            </w:pPr>
            <w:r>
              <w:rPr>
                <w:noProof/>
                <w:sz w:val="20"/>
              </w:rPr>
              <w:t>Hispaania</w:t>
            </w:r>
          </w:p>
        </w:tc>
        <w:tc>
          <w:tcPr>
            <w:tcW w:w="3360" w:type="dxa"/>
            <w:vAlign w:val="center"/>
          </w:tcPr>
          <w:p w:rsidR="00A55DB8" w:rsidRDefault="002F0B45">
            <w:pPr>
              <w:spacing w:after="0"/>
              <w:jc w:val="center"/>
              <w:rPr>
                <w:noProof/>
                <w:sz w:val="20"/>
              </w:rPr>
            </w:pPr>
            <w:r>
              <w:rPr>
                <w:noProof/>
                <w:sz w:val="20"/>
              </w:rPr>
              <w:t>3</w:t>
            </w:r>
          </w:p>
        </w:tc>
        <w:tc>
          <w:tcPr>
            <w:tcW w:w="3000" w:type="dxa"/>
            <w:vAlign w:val="center"/>
          </w:tcPr>
          <w:p w:rsidR="00A55DB8" w:rsidRDefault="002F0B45">
            <w:pPr>
              <w:spacing w:after="0"/>
              <w:jc w:val="center"/>
              <w:rPr>
                <w:noProof/>
                <w:sz w:val="20"/>
              </w:rPr>
            </w:pPr>
            <w:r>
              <w:rPr>
                <w:noProof/>
                <w:sz w:val="20"/>
              </w:rPr>
              <w:t>326,0</w:t>
            </w:r>
          </w:p>
        </w:tc>
      </w:tr>
      <w:tr w:rsidR="00A55DB8">
        <w:trPr>
          <w:trHeight w:val="202"/>
        </w:trPr>
        <w:tc>
          <w:tcPr>
            <w:tcW w:w="2160" w:type="dxa"/>
            <w:vAlign w:val="center"/>
          </w:tcPr>
          <w:p w:rsidR="00A55DB8" w:rsidRDefault="002F0B45">
            <w:pPr>
              <w:spacing w:after="0"/>
              <w:jc w:val="left"/>
              <w:rPr>
                <w:noProof/>
                <w:sz w:val="20"/>
              </w:rPr>
            </w:pPr>
            <w:r>
              <w:rPr>
                <w:noProof/>
                <w:sz w:val="20"/>
              </w:rPr>
              <w:t>Ühendkuningriik</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Toitu ei kiiritatud</w:t>
            </w:r>
          </w:p>
        </w:tc>
      </w:tr>
      <w:tr w:rsidR="00A55DB8">
        <w:trPr>
          <w:trHeight w:val="202"/>
        </w:trPr>
        <w:tc>
          <w:tcPr>
            <w:tcW w:w="2160" w:type="dxa"/>
            <w:vAlign w:val="center"/>
          </w:tcPr>
          <w:p w:rsidR="00A55DB8" w:rsidRDefault="002F0B45">
            <w:pPr>
              <w:spacing w:after="0"/>
              <w:jc w:val="right"/>
              <w:rPr>
                <w:noProof/>
                <w:sz w:val="20"/>
              </w:rPr>
            </w:pPr>
            <w:r>
              <w:rPr>
                <w:noProof/>
                <w:sz w:val="20"/>
              </w:rPr>
              <w:t>EL kokku</w:t>
            </w:r>
          </w:p>
        </w:tc>
        <w:tc>
          <w:tcPr>
            <w:tcW w:w="3360" w:type="dxa"/>
            <w:vAlign w:val="center"/>
          </w:tcPr>
          <w:p w:rsidR="00A55DB8" w:rsidRDefault="002F0B45">
            <w:pPr>
              <w:spacing w:after="0"/>
              <w:jc w:val="center"/>
              <w:rPr>
                <w:noProof/>
                <w:sz w:val="20"/>
              </w:rPr>
            </w:pPr>
            <w:r>
              <w:rPr>
                <w:noProof/>
                <w:sz w:val="20"/>
              </w:rPr>
              <w:t>26</w:t>
            </w:r>
          </w:p>
        </w:tc>
        <w:tc>
          <w:tcPr>
            <w:tcW w:w="3000" w:type="dxa"/>
            <w:vAlign w:val="center"/>
          </w:tcPr>
          <w:p w:rsidR="00A55DB8" w:rsidRDefault="002F0B45">
            <w:pPr>
              <w:spacing w:after="0"/>
              <w:jc w:val="center"/>
              <w:rPr>
                <w:noProof/>
                <w:sz w:val="20"/>
              </w:rPr>
            </w:pPr>
            <w:r>
              <w:rPr>
                <w:noProof/>
                <w:sz w:val="20"/>
              </w:rPr>
              <w:t>5685,9</w:t>
            </w:r>
          </w:p>
        </w:tc>
      </w:tr>
      <w:tr w:rsidR="00A55DB8">
        <w:trPr>
          <w:trHeight w:val="202"/>
        </w:trPr>
        <w:tc>
          <w:tcPr>
            <w:tcW w:w="2160" w:type="dxa"/>
            <w:vAlign w:val="center"/>
          </w:tcPr>
          <w:p w:rsidR="00A55DB8" w:rsidRDefault="002F0B45">
            <w:pPr>
              <w:spacing w:after="0"/>
              <w:jc w:val="left"/>
              <w:rPr>
                <w:noProof/>
                <w:sz w:val="20"/>
              </w:rPr>
            </w:pPr>
            <w:r>
              <w:rPr>
                <w:noProof/>
                <w:sz w:val="20"/>
              </w:rPr>
              <w:t>Norra</w:t>
            </w:r>
          </w:p>
        </w:tc>
        <w:tc>
          <w:tcPr>
            <w:tcW w:w="3360" w:type="dxa"/>
            <w:vAlign w:val="center"/>
          </w:tcPr>
          <w:p w:rsidR="00A55DB8" w:rsidRDefault="002F0B45">
            <w:pPr>
              <w:spacing w:after="0"/>
              <w:jc w:val="center"/>
              <w:rPr>
                <w:noProof/>
                <w:sz w:val="20"/>
              </w:rPr>
            </w:pPr>
            <w:r>
              <w:rPr>
                <w:noProof/>
                <w:sz w:val="20"/>
              </w:rPr>
              <w:t>1</w:t>
            </w:r>
          </w:p>
        </w:tc>
        <w:tc>
          <w:tcPr>
            <w:tcW w:w="3000" w:type="dxa"/>
            <w:vAlign w:val="center"/>
          </w:tcPr>
          <w:p w:rsidR="00A55DB8" w:rsidRDefault="002F0B45">
            <w:pPr>
              <w:spacing w:after="0"/>
              <w:jc w:val="center"/>
              <w:rPr>
                <w:noProof/>
                <w:sz w:val="20"/>
              </w:rPr>
            </w:pPr>
            <w:r>
              <w:rPr>
                <w:noProof/>
                <w:sz w:val="20"/>
              </w:rPr>
              <w:t>4,2</w:t>
            </w:r>
          </w:p>
        </w:tc>
      </w:tr>
      <w:tr w:rsidR="00A55DB8">
        <w:trPr>
          <w:trHeight w:val="202"/>
        </w:trPr>
        <w:tc>
          <w:tcPr>
            <w:tcW w:w="2160" w:type="dxa"/>
            <w:vAlign w:val="center"/>
          </w:tcPr>
          <w:p w:rsidR="00A55DB8" w:rsidRDefault="002F0B45">
            <w:pPr>
              <w:spacing w:after="0"/>
              <w:jc w:val="right"/>
              <w:rPr>
                <w:noProof/>
                <w:sz w:val="20"/>
              </w:rPr>
            </w:pPr>
            <w:r>
              <w:rPr>
                <w:noProof/>
                <w:sz w:val="20"/>
              </w:rPr>
              <w:t>EL ja EFTA kokku</w:t>
            </w:r>
          </w:p>
        </w:tc>
        <w:tc>
          <w:tcPr>
            <w:tcW w:w="3360" w:type="dxa"/>
            <w:vAlign w:val="center"/>
          </w:tcPr>
          <w:p w:rsidR="00A55DB8" w:rsidRDefault="002F0B45">
            <w:pPr>
              <w:spacing w:after="0"/>
              <w:jc w:val="center"/>
              <w:rPr>
                <w:noProof/>
                <w:sz w:val="20"/>
              </w:rPr>
            </w:pPr>
            <w:r>
              <w:rPr>
                <w:noProof/>
                <w:sz w:val="20"/>
              </w:rPr>
              <w:t>27</w:t>
            </w:r>
          </w:p>
        </w:tc>
        <w:tc>
          <w:tcPr>
            <w:tcW w:w="3000" w:type="dxa"/>
            <w:vAlign w:val="center"/>
          </w:tcPr>
          <w:p w:rsidR="00A55DB8" w:rsidRDefault="002F0B45">
            <w:pPr>
              <w:spacing w:after="0"/>
              <w:jc w:val="center"/>
              <w:rPr>
                <w:noProof/>
                <w:sz w:val="20"/>
              </w:rPr>
            </w:pPr>
            <w:r>
              <w:rPr>
                <w:noProof/>
                <w:sz w:val="20"/>
              </w:rPr>
              <w:t>5690,1</w:t>
            </w:r>
          </w:p>
        </w:tc>
      </w:tr>
    </w:tbl>
    <w:p w:rsidR="00A55DB8" w:rsidRDefault="00A55DB8">
      <w:pPr>
        <w:pStyle w:val="Text2"/>
        <w:spacing w:before="120" w:after="120"/>
        <w:ind w:left="0"/>
        <w:rPr>
          <w:noProof/>
        </w:rPr>
      </w:pPr>
    </w:p>
    <w:p w:rsidR="00A55DB8" w:rsidRDefault="00A55DB8">
      <w:pPr>
        <w:pStyle w:val="Text2"/>
        <w:ind w:left="0"/>
        <w:jc w:val="center"/>
        <w:rPr>
          <w:noProof/>
        </w:rPr>
      </w:pPr>
    </w:p>
    <w:p w:rsidR="00A55DB8" w:rsidRDefault="00A55DB8">
      <w:pPr>
        <w:pStyle w:val="Text2"/>
        <w:ind w:left="0"/>
        <w:jc w:val="center"/>
        <w:rPr>
          <w:noProof/>
        </w:rPr>
      </w:pPr>
    </w:p>
    <w:p w:rsidR="00A55DB8" w:rsidRDefault="002F0B45">
      <w:pPr>
        <w:pStyle w:val="Text2"/>
        <w:ind w:left="0"/>
        <w:jc w:val="center"/>
        <w:rPr>
          <w:noProof/>
        </w:rPr>
      </w:pPr>
      <w:r>
        <w:rPr>
          <w:noProof/>
        </w:rPr>
        <w:t xml:space="preserve">Kiiritatud toodete liigid ja kasutatud doosid riikide </w:t>
      </w:r>
      <w:r>
        <w:rPr>
          <w:noProof/>
        </w:rPr>
        <w:t>kaupa</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4983"/>
        <w:gridCol w:w="1857"/>
      </w:tblGrid>
      <w:tr w:rsidR="00A55DB8">
        <w:trPr>
          <w:trHeight w:val="202"/>
        </w:trPr>
        <w:tc>
          <w:tcPr>
            <w:tcW w:w="1680" w:type="dxa"/>
            <w:vAlign w:val="center"/>
          </w:tcPr>
          <w:p w:rsidR="00A55DB8" w:rsidRDefault="002F0B45">
            <w:pPr>
              <w:spacing w:after="0"/>
              <w:jc w:val="center"/>
              <w:rPr>
                <w:b/>
                <w:noProof/>
                <w:sz w:val="20"/>
              </w:rPr>
            </w:pPr>
            <w:r>
              <w:rPr>
                <w:b/>
                <w:noProof/>
                <w:sz w:val="20"/>
              </w:rPr>
              <w:t>Riik</w:t>
            </w:r>
          </w:p>
        </w:tc>
        <w:tc>
          <w:tcPr>
            <w:tcW w:w="4983" w:type="dxa"/>
            <w:vAlign w:val="center"/>
          </w:tcPr>
          <w:p w:rsidR="00A55DB8" w:rsidRDefault="002F0B45">
            <w:pPr>
              <w:spacing w:after="0"/>
              <w:jc w:val="center"/>
              <w:rPr>
                <w:b/>
                <w:noProof/>
                <w:sz w:val="20"/>
              </w:rPr>
            </w:pPr>
            <w:r>
              <w:rPr>
                <w:b/>
                <w:noProof/>
                <w:sz w:val="20"/>
              </w:rPr>
              <w:t>Toiduained</w:t>
            </w:r>
          </w:p>
        </w:tc>
        <w:tc>
          <w:tcPr>
            <w:tcW w:w="1857" w:type="dxa"/>
            <w:vAlign w:val="center"/>
          </w:tcPr>
          <w:p w:rsidR="00A55DB8" w:rsidRDefault="002F0B45">
            <w:pPr>
              <w:spacing w:after="0"/>
              <w:jc w:val="center"/>
              <w:rPr>
                <w:b/>
                <w:noProof/>
                <w:sz w:val="20"/>
              </w:rPr>
            </w:pPr>
            <w:r>
              <w:rPr>
                <w:b/>
                <w:noProof/>
                <w:sz w:val="20"/>
              </w:rPr>
              <w:t>Neeldumisdoos (kGy)</w:t>
            </w:r>
          </w:p>
        </w:tc>
      </w:tr>
      <w:tr w:rsidR="00A55DB8">
        <w:trPr>
          <w:trHeight w:val="202"/>
        </w:trPr>
        <w:tc>
          <w:tcPr>
            <w:tcW w:w="1680" w:type="dxa"/>
            <w:vMerge w:val="restart"/>
            <w:vAlign w:val="center"/>
          </w:tcPr>
          <w:p w:rsidR="00A55DB8" w:rsidRDefault="002F0B45">
            <w:pPr>
              <w:spacing w:after="0"/>
              <w:jc w:val="left"/>
              <w:rPr>
                <w:noProof/>
                <w:sz w:val="20"/>
              </w:rPr>
            </w:pPr>
            <w:r>
              <w:rPr>
                <w:noProof/>
                <w:sz w:val="20"/>
              </w:rPr>
              <w:t>Belgia</w:t>
            </w:r>
          </w:p>
        </w:tc>
        <w:tc>
          <w:tcPr>
            <w:tcW w:w="4983" w:type="dxa"/>
            <w:vAlign w:val="center"/>
          </w:tcPr>
          <w:p w:rsidR="00A55DB8" w:rsidRDefault="002F0B45">
            <w:pPr>
              <w:spacing w:after="0"/>
              <w:jc w:val="left"/>
              <w:rPr>
                <w:noProof/>
                <w:sz w:val="20"/>
              </w:rPr>
            </w:pPr>
            <w:r>
              <w:rPr>
                <w:noProof/>
                <w:sz w:val="20"/>
              </w:rPr>
              <w:t>Dehüdreeritud veri, plasma, koagulaadid</w:t>
            </w:r>
          </w:p>
        </w:tc>
        <w:tc>
          <w:tcPr>
            <w:tcW w:w="1857" w:type="dxa"/>
            <w:vAlign w:val="center"/>
          </w:tcPr>
          <w:p w:rsidR="00A55DB8" w:rsidRDefault="002F0B45">
            <w:pPr>
              <w:spacing w:after="0"/>
              <w:jc w:val="center"/>
              <w:rPr>
                <w:noProof/>
                <w:sz w:val="20"/>
              </w:rPr>
            </w:pPr>
            <w:r>
              <w:rPr>
                <w:noProof/>
                <w:sz w:val="20"/>
              </w:rPr>
              <w:t>5,0–6,7</w:t>
            </w:r>
          </w:p>
        </w:tc>
      </w:tr>
      <w:tr w:rsidR="00A55DB8">
        <w:trPr>
          <w:trHeight w:val="202"/>
        </w:trPr>
        <w:tc>
          <w:tcPr>
            <w:tcW w:w="1680" w:type="dxa"/>
            <w:vMerge/>
            <w:vAlign w:val="center"/>
          </w:tcPr>
          <w:p w:rsidR="00A55DB8" w:rsidRDefault="00A55DB8">
            <w:pPr>
              <w:spacing w:after="0"/>
              <w:jc w:val="left"/>
              <w:rPr>
                <w:noProof/>
                <w:sz w:val="20"/>
              </w:rPr>
            </w:pPr>
          </w:p>
        </w:tc>
        <w:tc>
          <w:tcPr>
            <w:tcW w:w="4983" w:type="dxa"/>
            <w:vAlign w:val="center"/>
          </w:tcPr>
          <w:p w:rsidR="00A55DB8" w:rsidRDefault="002F0B45">
            <w:pPr>
              <w:spacing w:after="0"/>
              <w:jc w:val="left"/>
              <w:rPr>
                <w:noProof/>
                <w:sz w:val="20"/>
              </w:rPr>
            </w:pPr>
            <w:r>
              <w:rPr>
                <w:noProof/>
                <w:sz w:val="20"/>
              </w:rPr>
              <w:t>Munavalge</w:t>
            </w:r>
          </w:p>
        </w:tc>
        <w:tc>
          <w:tcPr>
            <w:tcW w:w="1857" w:type="dxa"/>
            <w:vAlign w:val="center"/>
          </w:tcPr>
          <w:p w:rsidR="00A55DB8" w:rsidRDefault="002F0B45">
            <w:pPr>
              <w:spacing w:after="0"/>
              <w:jc w:val="center"/>
              <w:rPr>
                <w:noProof/>
                <w:sz w:val="20"/>
              </w:rPr>
            </w:pPr>
            <w:r>
              <w:rPr>
                <w:noProof/>
                <w:sz w:val="20"/>
              </w:rPr>
              <w:t>4,3–5,0</w:t>
            </w:r>
          </w:p>
        </w:tc>
      </w:tr>
      <w:tr w:rsidR="00A55DB8">
        <w:trPr>
          <w:trHeight w:val="202"/>
        </w:trPr>
        <w:tc>
          <w:tcPr>
            <w:tcW w:w="1680" w:type="dxa"/>
            <w:vMerge/>
            <w:vAlign w:val="center"/>
          </w:tcPr>
          <w:p w:rsidR="00A55DB8" w:rsidRDefault="00A55DB8">
            <w:pPr>
              <w:spacing w:after="0"/>
              <w:jc w:val="left"/>
              <w:rPr>
                <w:noProof/>
                <w:sz w:val="20"/>
              </w:rPr>
            </w:pPr>
          </w:p>
        </w:tc>
        <w:tc>
          <w:tcPr>
            <w:tcW w:w="4983" w:type="dxa"/>
            <w:vAlign w:val="center"/>
          </w:tcPr>
          <w:p w:rsidR="00A55DB8" w:rsidRDefault="002F0B45">
            <w:pPr>
              <w:spacing w:after="0"/>
              <w:jc w:val="left"/>
              <w:rPr>
                <w:noProof/>
                <w:sz w:val="20"/>
              </w:rPr>
            </w:pPr>
            <w:r>
              <w:rPr>
                <w:noProof/>
                <w:sz w:val="20"/>
              </w:rPr>
              <w:t>Külmutatud konnakoivad</w:t>
            </w:r>
          </w:p>
        </w:tc>
        <w:tc>
          <w:tcPr>
            <w:tcW w:w="1857" w:type="dxa"/>
            <w:vAlign w:val="center"/>
          </w:tcPr>
          <w:p w:rsidR="00A55DB8" w:rsidRDefault="002F0B45">
            <w:pPr>
              <w:spacing w:after="0"/>
              <w:jc w:val="center"/>
              <w:rPr>
                <w:noProof/>
                <w:sz w:val="20"/>
              </w:rPr>
            </w:pPr>
            <w:r>
              <w:rPr>
                <w:noProof/>
                <w:sz w:val="20"/>
              </w:rPr>
              <w:t>4,4–5,7</w:t>
            </w:r>
          </w:p>
        </w:tc>
      </w:tr>
      <w:tr w:rsidR="00A55DB8">
        <w:trPr>
          <w:trHeight w:val="202"/>
        </w:trPr>
        <w:tc>
          <w:tcPr>
            <w:tcW w:w="1680" w:type="dxa"/>
            <w:vMerge/>
            <w:vAlign w:val="center"/>
          </w:tcPr>
          <w:p w:rsidR="00A55DB8" w:rsidRDefault="00A55DB8">
            <w:pPr>
              <w:spacing w:after="0"/>
              <w:jc w:val="left"/>
              <w:rPr>
                <w:noProof/>
                <w:sz w:val="20"/>
              </w:rPr>
            </w:pPr>
          </w:p>
        </w:tc>
        <w:tc>
          <w:tcPr>
            <w:tcW w:w="4983" w:type="dxa"/>
            <w:vAlign w:val="center"/>
          </w:tcPr>
          <w:p w:rsidR="00A55DB8" w:rsidRDefault="002F0B45">
            <w:pPr>
              <w:spacing w:after="0"/>
              <w:jc w:val="left"/>
              <w:rPr>
                <w:noProof/>
                <w:sz w:val="20"/>
              </w:rPr>
            </w:pPr>
            <w:r>
              <w:rPr>
                <w:noProof/>
                <w:sz w:val="20"/>
              </w:rPr>
              <w:t>Külmutatud kooritud või ilma peata krevetid</w:t>
            </w:r>
          </w:p>
        </w:tc>
        <w:tc>
          <w:tcPr>
            <w:tcW w:w="1857" w:type="dxa"/>
            <w:vAlign w:val="center"/>
          </w:tcPr>
          <w:p w:rsidR="00A55DB8" w:rsidRDefault="002F0B45">
            <w:pPr>
              <w:spacing w:after="0"/>
              <w:jc w:val="center"/>
              <w:rPr>
                <w:noProof/>
                <w:sz w:val="20"/>
              </w:rPr>
            </w:pPr>
            <w:r>
              <w:rPr>
                <w:noProof/>
                <w:sz w:val="20"/>
              </w:rPr>
              <w:t>4,0–4,3</w:t>
            </w:r>
          </w:p>
        </w:tc>
      </w:tr>
      <w:tr w:rsidR="00A55DB8">
        <w:trPr>
          <w:trHeight w:val="202"/>
        </w:trPr>
        <w:tc>
          <w:tcPr>
            <w:tcW w:w="1680" w:type="dxa"/>
            <w:vMerge/>
            <w:vAlign w:val="center"/>
          </w:tcPr>
          <w:p w:rsidR="00A55DB8" w:rsidRDefault="00A55DB8">
            <w:pPr>
              <w:spacing w:after="0"/>
              <w:jc w:val="left"/>
              <w:rPr>
                <w:noProof/>
                <w:sz w:val="20"/>
              </w:rPr>
            </w:pPr>
          </w:p>
        </w:tc>
        <w:tc>
          <w:tcPr>
            <w:tcW w:w="4983" w:type="dxa"/>
            <w:vAlign w:val="center"/>
          </w:tcPr>
          <w:p w:rsidR="00A55DB8" w:rsidRDefault="002F0B45">
            <w:pPr>
              <w:spacing w:after="0"/>
              <w:jc w:val="left"/>
              <w:rPr>
                <w:noProof/>
                <w:sz w:val="20"/>
              </w:rPr>
            </w:pPr>
            <w:r>
              <w:rPr>
                <w:noProof/>
                <w:sz w:val="20"/>
              </w:rPr>
              <w:t>Kodulinnuliha</w:t>
            </w:r>
          </w:p>
        </w:tc>
        <w:tc>
          <w:tcPr>
            <w:tcW w:w="1857" w:type="dxa"/>
            <w:vAlign w:val="center"/>
          </w:tcPr>
          <w:p w:rsidR="00A55DB8" w:rsidRDefault="002F0B45">
            <w:pPr>
              <w:spacing w:after="0"/>
              <w:jc w:val="center"/>
              <w:rPr>
                <w:noProof/>
                <w:sz w:val="20"/>
              </w:rPr>
            </w:pPr>
            <w:r>
              <w:rPr>
                <w:noProof/>
                <w:sz w:val="20"/>
              </w:rPr>
              <w:t>3,7–4,3</w:t>
            </w:r>
          </w:p>
        </w:tc>
      </w:tr>
      <w:tr w:rsidR="00A55DB8">
        <w:trPr>
          <w:trHeight w:val="202"/>
        </w:trPr>
        <w:tc>
          <w:tcPr>
            <w:tcW w:w="1680" w:type="dxa"/>
            <w:vAlign w:val="center"/>
          </w:tcPr>
          <w:p w:rsidR="00A55DB8" w:rsidRDefault="002F0B45">
            <w:pPr>
              <w:spacing w:after="0"/>
              <w:jc w:val="left"/>
              <w:rPr>
                <w:noProof/>
                <w:sz w:val="20"/>
              </w:rPr>
            </w:pPr>
            <w:r>
              <w:rPr>
                <w:noProof/>
                <w:sz w:val="20"/>
              </w:rPr>
              <w:t>Horvaatia</w:t>
            </w:r>
          </w:p>
        </w:tc>
        <w:tc>
          <w:tcPr>
            <w:tcW w:w="4983" w:type="dxa"/>
          </w:tcPr>
          <w:p w:rsidR="00A55DB8" w:rsidRDefault="002F0B45">
            <w:pPr>
              <w:spacing w:after="0"/>
              <w:jc w:val="left"/>
              <w:rPr>
                <w:noProof/>
                <w:sz w:val="20"/>
              </w:rPr>
            </w:pPr>
            <w:r>
              <w:rPr>
                <w:noProof/>
                <w:sz w:val="20"/>
              </w:rPr>
              <w:t xml:space="preserve">Kuivatatud </w:t>
            </w:r>
            <w:r>
              <w:rPr>
                <w:noProof/>
                <w:sz w:val="20"/>
              </w:rPr>
              <w:t>maitsetaimed, vürtsid ja köögiviljamaitseained</w:t>
            </w:r>
          </w:p>
        </w:tc>
        <w:tc>
          <w:tcPr>
            <w:tcW w:w="1857" w:type="dxa"/>
          </w:tcPr>
          <w:p w:rsidR="00A55DB8" w:rsidRDefault="002F0B45">
            <w:pPr>
              <w:spacing w:after="0"/>
              <w:jc w:val="center"/>
              <w:rPr>
                <w:noProof/>
                <w:sz w:val="20"/>
              </w:rPr>
            </w:pPr>
            <w:r>
              <w:rPr>
                <w:noProof/>
                <w:sz w:val="20"/>
              </w:rPr>
              <w:t>10</w:t>
            </w:r>
          </w:p>
        </w:tc>
      </w:tr>
      <w:tr w:rsidR="00A55DB8">
        <w:trPr>
          <w:trHeight w:val="202"/>
        </w:trPr>
        <w:tc>
          <w:tcPr>
            <w:tcW w:w="1680" w:type="dxa"/>
            <w:vAlign w:val="center"/>
          </w:tcPr>
          <w:p w:rsidR="00A55DB8" w:rsidRDefault="002F0B45">
            <w:pPr>
              <w:spacing w:after="0"/>
              <w:jc w:val="left"/>
              <w:rPr>
                <w:noProof/>
                <w:sz w:val="20"/>
              </w:rPr>
            </w:pPr>
            <w:r>
              <w:rPr>
                <w:noProof/>
                <w:sz w:val="20"/>
              </w:rPr>
              <w:t>Tšehhi Vabariik</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6,3</w:t>
            </w:r>
          </w:p>
        </w:tc>
      </w:tr>
      <w:tr w:rsidR="00A55DB8">
        <w:trPr>
          <w:trHeight w:val="202"/>
        </w:trPr>
        <w:tc>
          <w:tcPr>
            <w:tcW w:w="1680" w:type="dxa"/>
            <w:vAlign w:val="center"/>
          </w:tcPr>
          <w:p w:rsidR="00A55DB8" w:rsidRDefault="002F0B45">
            <w:pPr>
              <w:spacing w:after="0"/>
              <w:jc w:val="left"/>
              <w:rPr>
                <w:noProof/>
                <w:sz w:val="20"/>
              </w:rPr>
            </w:pPr>
            <w:r>
              <w:rPr>
                <w:noProof/>
                <w:sz w:val="20"/>
              </w:rPr>
              <w:t>Eesti</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10</w:t>
            </w:r>
          </w:p>
        </w:tc>
      </w:tr>
      <w:tr w:rsidR="00A55DB8">
        <w:trPr>
          <w:trHeight w:val="202"/>
        </w:trPr>
        <w:tc>
          <w:tcPr>
            <w:tcW w:w="1680" w:type="dxa"/>
            <w:vMerge w:val="restart"/>
            <w:vAlign w:val="center"/>
          </w:tcPr>
          <w:p w:rsidR="00A55DB8" w:rsidRDefault="002F0B45">
            <w:pPr>
              <w:spacing w:after="0"/>
              <w:jc w:val="left"/>
              <w:rPr>
                <w:noProof/>
                <w:sz w:val="20"/>
              </w:rPr>
            </w:pPr>
            <w:r>
              <w:rPr>
                <w:noProof/>
                <w:sz w:val="20"/>
              </w:rPr>
              <w:t>Prantsusmaa</w:t>
            </w:r>
          </w:p>
        </w:tc>
        <w:tc>
          <w:tcPr>
            <w:tcW w:w="4983" w:type="dxa"/>
          </w:tcPr>
          <w:p w:rsidR="00A55DB8" w:rsidRDefault="002F0B45">
            <w:pPr>
              <w:spacing w:after="0"/>
              <w:jc w:val="left"/>
              <w:rPr>
                <w:noProof/>
                <w:sz w:val="20"/>
              </w:rPr>
            </w:pPr>
            <w:r>
              <w:rPr>
                <w:noProof/>
                <w:sz w:val="20"/>
              </w:rPr>
              <w:t xml:space="preserve">Kuivatatud maitsetaimed, vürtsid ja </w:t>
            </w:r>
            <w:r>
              <w:rPr>
                <w:noProof/>
                <w:sz w:val="20"/>
              </w:rPr>
              <w:t>köögiviljamaitseained</w:t>
            </w:r>
          </w:p>
        </w:tc>
        <w:tc>
          <w:tcPr>
            <w:tcW w:w="1857" w:type="dxa"/>
          </w:tcPr>
          <w:p w:rsidR="00A55DB8" w:rsidRDefault="002F0B45">
            <w:pPr>
              <w:spacing w:after="0"/>
              <w:jc w:val="center"/>
              <w:rPr>
                <w:noProof/>
                <w:sz w:val="20"/>
              </w:rPr>
            </w:pPr>
            <w:r>
              <w:rPr>
                <w:noProof/>
                <w:sz w:val="20"/>
              </w:rPr>
              <w:t>5–10</w:t>
            </w:r>
          </w:p>
        </w:tc>
      </w:tr>
      <w:tr w:rsidR="00A55DB8">
        <w:trPr>
          <w:trHeight w:val="202"/>
        </w:trPr>
        <w:tc>
          <w:tcPr>
            <w:tcW w:w="1680" w:type="dxa"/>
            <w:vMerge/>
            <w:vAlign w:val="center"/>
          </w:tcPr>
          <w:p w:rsidR="00A55DB8" w:rsidRDefault="00A55DB8">
            <w:pPr>
              <w:spacing w:after="0"/>
              <w:jc w:val="left"/>
              <w:rPr>
                <w:noProof/>
                <w:sz w:val="20"/>
              </w:rPr>
            </w:pPr>
          </w:p>
        </w:tc>
        <w:tc>
          <w:tcPr>
            <w:tcW w:w="4983" w:type="dxa"/>
          </w:tcPr>
          <w:p w:rsidR="00A55DB8" w:rsidRDefault="002F0B45">
            <w:pPr>
              <w:spacing w:after="0"/>
              <w:jc w:val="left"/>
              <w:rPr>
                <w:noProof/>
                <w:sz w:val="20"/>
              </w:rPr>
            </w:pPr>
            <w:r>
              <w:rPr>
                <w:noProof/>
                <w:sz w:val="20"/>
              </w:rPr>
              <w:t>Kuivatatud köögiviljad ja puuviljad</w:t>
            </w:r>
          </w:p>
        </w:tc>
        <w:tc>
          <w:tcPr>
            <w:tcW w:w="1857" w:type="dxa"/>
          </w:tcPr>
          <w:p w:rsidR="00A55DB8" w:rsidRDefault="002F0B45">
            <w:pPr>
              <w:spacing w:after="0"/>
              <w:jc w:val="center"/>
              <w:rPr>
                <w:noProof/>
                <w:sz w:val="20"/>
              </w:rPr>
            </w:pPr>
            <w:r>
              <w:rPr>
                <w:noProof/>
                <w:sz w:val="20"/>
              </w:rPr>
              <w:t>1–10</w:t>
            </w:r>
          </w:p>
        </w:tc>
      </w:tr>
      <w:tr w:rsidR="00A55DB8">
        <w:trPr>
          <w:trHeight w:val="202"/>
        </w:trPr>
        <w:tc>
          <w:tcPr>
            <w:tcW w:w="1680" w:type="dxa"/>
            <w:vMerge/>
            <w:vAlign w:val="center"/>
          </w:tcPr>
          <w:p w:rsidR="00A55DB8" w:rsidRDefault="00A55DB8">
            <w:pPr>
              <w:spacing w:after="0"/>
              <w:jc w:val="left"/>
              <w:rPr>
                <w:noProof/>
                <w:sz w:val="20"/>
              </w:rPr>
            </w:pPr>
          </w:p>
        </w:tc>
        <w:tc>
          <w:tcPr>
            <w:tcW w:w="4983" w:type="dxa"/>
          </w:tcPr>
          <w:p w:rsidR="00A55DB8" w:rsidRDefault="002F0B45">
            <w:pPr>
              <w:spacing w:after="0"/>
              <w:jc w:val="left"/>
              <w:rPr>
                <w:noProof/>
                <w:sz w:val="20"/>
              </w:rPr>
            </w:pPr>
            <w:r>
              <w:rPr>
                <w:noProof/>
                <w:sz w:val="20"/>
              </w:rPr>
              <w:t>Külmutatud konnakoivad</w:t>
            </w:r>
          </w:p>
        </w:tc>
        <w:tc>
          <w:tcPr>
            <w:tcW w:w="1857" w:type="dxa"/>
          </w:tcPr>
          <w:p w:rsidR="00A55DB8" w:rsidRDefault="002F0B45">
            <w:pPr>
              <w:spacing w:after="0"/>
              <w:jc w:val="center"/>
              <w:rPr>
                <w:noProof/>
                <w:sz w:val="20"/>
              </w:rPr>
            </w:pPr>
            <w:r>
              <w:rPr>
                <w:noProof/>
                <w:sz w:val="20"/>
              </w:rPr>
              <w:t>1–10</w:t>
            </w:r>
          </w:p>
        </w:tc>
      </w:tr>
      <w:tr w:rsidR="00A55DB8">
        <w:trPr>
          <w:trHeight w:val="202"/>
        </w:trPr>
        <w:tc>
          <w:tcPr>
            <w:tcW w:w="1680" w:type="dxa"/>
            <w:vAlign w:val="center"/>
          </w:tcPr>
          <w:p w:rsidR="00A55DB8" w:rsidRDefault="002F0B45">
            <w:pPr>
              <w:spacing w:after="0"/>
              <w:jc w:val="left"/>
              <w:rPr>
                <w:noProof/>
                <w:sz w:val="20"/>
              </w:rPr>
            </w:pPr>
            <w:r>
              <w:rPr>
                <w:noProof/>
                <w:sz w:val="20"/>
              </w:rPr>
              <w:t>Saksamaa</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10</w:t>
            </w:r>
          </w:p>
        </w:tc>
      </w:tr>
      <w:tr w:rsidR="00A55DB8">
        <w:trPr>
          <w:trHeight w:val="202"/>
        </w:trPr>
        <w:tc>
          <w:tcPr>
            <w:tcW w:w="1680" w:type="dxa"/>
            <w:vAlign w:val="center"/>
          </w:tcPr>
          <w:p w:rsidR="00A55DB8" w:rsidRDefault="002F0B45">
            <w:pPr>
              <w:spacing w:after="0"/>
              <w:jc w:val="left"/>
              <w:rPr>
                <w:noProof/>
                <w:sz w:val="20"/>
              </w:rPr>
            </w:pPr>
            <w:r>
              <w:rPr>
                <w:noProof/>
                <w:sz w:val="20"/>
              </w:rPr>
              <w:t>Ungari</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2–10</w:t>
            </w:r>
          </w:p>
        </w:tc>
      </w:tr>
      <w:tr w:rsidR="00A55DB8">
        <w:trPr>
          <w:trHeight w:val="202"/>
        </w:trPr>
        <w:tc>
          <w:tcPr>
            <w:tcW w:w="1680" w:type="dxa"/>
            <w:vMerge w:val="restart"/>
            <w:vAlign w:val="center"/>
          </w:tcPr>
          <w:p w:rsidR="00A55DB8" w:rsidRDefault="002F0B45">
            <w:pPr>
              <w:spacing w:after="0"/>
              <w:jc w:val="left"/>
              <w:rPr>
                <w:noProof/>
                <w:sz w:val="20"/>
              </w:rPr>
            </w:pPr>
            <w:r>
              <w:rPr>
                <w:noProof/>
                <w:sz w:val="20"/>
              </w:rPr>
              <w:t>Madalmaad</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6</w:t>
            </w:r>
          </w:p>
        </w:tc>
      </w:tr>
      <w:tr w:rsidR="00A55DB8">
        <w:trPr>
          <w:trHeight w:val="202"/>
        </w:trPr>
        <w:tc>
          <w:tcPr>
            <w:tcW w:w="1680" w:type="dxa"/>
            <w:vMerge/>
            <w:vAlign w:val="center"/>
          </w:tcPr>
          <w:p w:rsidR="00A55DB8" w:rsidRDefault="00A55DB8">
            <w:pPr>
              <w:spacing w:after="0"/>
              <w:jc w:val="left"/>
              <w:rPr>
                <w:noProof/>
                <w:sz w:val="20"/>
              </w:rPr>
            </w:pPr>
          </w:p>
        </w:tc>
        <w:tc>
          <w:tcPr>
            <w:tcW w:w="4983" w:type="dxa"/>
          </w:tcPr>
          <w:p w:rsidR="00A55DB8" w:rsidRDefault="002F0B45">
            <w:pPr>
              <w:spacing w:after="0"/>
              <w:jc w:val="left"/>
              <w:rPr>
                <w:noProof/>
                <w:sz w:val="20"/>
              </w:rPr>
            </w:pPr>
            <w:r>
              <w:rPr>
                <w:noProof/>
                <w:sz w:val="20"/>
              </w:rPr>
              <w:t>Kuivatatud köögiviljad ja puuviljad</w:t>
            </w:r>
          </w:p>
        </w:tc>
        <w:tc>
          <w:tcPr>
            <w:tcW w:w="1857" w:type="dxa"/>
          </w:tcPr>
          <w:p w:rsidR="00A55DB8" w:rsidRDefault="002F0B45">
            <w:pPr>
              <w:spacing w:after="0"/>
              <w:jc w:val="center"/>
              <w:rPr>
                <w:noProof/>
                <w:sz w:val="20"/>
              </w:rPr>
            </w:pPr>
            <w:r>
              <w:rPr>
                <w:noProof/>
                <w:sz w:val="20"/>
              </w:rPr>
              <w:t>6</w:t>
            </w:r>
          </w:p>
        </w:tc>
      </w:tr>
      <w:tr w:rsidR="00A55DB8">
        <w:trPr>
          <w:trHeight w:val="202"/>
        </w:trPr>
        <w:tc>
          <w:tcPr>
            <w:tcW w:w="1680" w:type="dxa"/>
            <w:vAlign w:val="center"/>
          </w:tcPr>
          <w:p w:rsidR="00A55DB8" w:rsidRDefault="002F0B45">
            <w:pPr>
              <w:spacing w:after="0"/>
              <w:jc w:val="left"/>
              <w:rPr>
                <w:noProof/>
                <w:sz w:val="20"/>
              </w:rPr>
            </w:pPr>
            <w:r>
              <w:rPr>
                <w:noProof/>
                <w:sz w:val="20"/>
              </w:rPr>
              <w:t>Poola</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5</w:t>
            </w:r>
          </w:p>
        </w:tc>
      </w:tr>
      <w:tr w:rsidR="00A55DB8">
        <w:trPr>
          <w:trHeight w:val="202"/>
        </w:trPr>
        <w:tc>
          <w:tcPr>
            <w:tcW w:w="1680" w:type="dxa"/>
            <w:vAlign w:val="center"/>
          </w:tcPr>
          <w:p w:rsidR="00A55DB8" w:rsidRDefault="002F0B45">
            <w:pPr>
              <w:spacing w:after="0"/>
              <w:jc w:val="left"/>
              <w:rPr>
                <w:noProof/>
                <w:sz w:val="20"/>
              </w:rPr>
            </w:pPr>
            <w:r>
              <w:rPr>
                <w:noProof/>
                <w:sz w:val="20"/>
              </w:rPr>
              <w:t>Hispaania</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8,6–9,5</w:t>
            </w:r>
          </w:p>
        </w:tc>
      </w:tr>
      <w:tr w:rsidR="00A55DB8">
        <w:trPr>
          <w:trHeight w:val="202"/>
        </w:trPr>
        <w:tc>
          <w:tcPr>
            <w:tcW w:w="1680" w:type="dxa"/>
            <w:vAlign w:val="center"/>
          </w:tcPr>
          <w:p w:rsidR="00A55DB8" w:rsidRDefault="002F0B45">
            <w:pPr>
              <w:spacing w:after="0"/>
              <w:jc w:val="left"/>
              <w:rPr>
                <w:noProof/>
                <w:sz w:val="20"/>
              </w:rPr>
            </w:pPr>
            <w:r>
              <w:rPr>
                <w:noProof/>
                <w:sz w:val="20"/>
              </w:rPr>
              <w:t>Norra</w:t>
            </w:r>
          </w:p>
        </w:tc>
        <w:tc>
          <w:tcPr>
            <w:tcW w:w="4983" w:type="dxa"/>
          </w:tcPr>
          <w:p w:rsidR="00A55DB8" w:rsidRDefault="002F0B45">
            <w:pPr>
              <w:spacing w:after="0"/>
              <w:jc w:val="left"/>
              <w:rPr>
                <w:noProof/>
                <w:sz w:val="20"/>
              </w:rPr>
            </w:pPr>
            <w:r>
              <w:rPr>
                <w:noProof/>
                <w:sz w:val="20"/>
              </w:rPr>
              <w:t>Kuivatatud maitsetaimed, vürtsid ja köögiviljamaitseained</w:t>
            </w:r>
          </w:p>
        </w:tc>
        <w:tc>
          <w:tcPr>
            <w:tcW w:w="1857" w:type="dxa"/>
          </w:tcPr>
          <w:p w:rsidR="00A55DB8" w:rsidRDefault="002F0B45">
            <w:pPr>
              <w:spacing w:after="0"/>
              <w:jc w:val="center"/>
              <w:rPr>
                <w:noProof/>
                <w:sz w:val="20"/>
              </w:rPr>
            </w:pPr>
            <w:r>
              <w:rPr>
                <w:noProof/>
                <w:sz w:val="20"/>
              </w:rPr>
              <w:t>10</w:t>
            </w:r>
          </w:p>
        </w:tc>
      </w:tr>
    </w:tbl>
    <w:p w:rsidR="00A55DB8" w:rsidRDefault="00A55DB8">
      <w:pPr>
        <w:pStyle w:val="Text1"/>
        <w:ind w:left="567"/>
        <w:rPr>
          <w:b/>
          <w:noProof/>
        </w:rPr>
      </w:pPr>
    </w:p>
    <w:p w:rsidR="00A55DB8" w:rsidRDefault="002F0B45">
      <w:pPr>
        <w:spacing w:after="0"/>
        <w:jc w:val="left"/>
        <w:rPr>
          <w:noProof/>
        </w:rPr>
      </w:pPr>
      <w:r>
        <w:rPr>
          <w:noProof/>
        </w:rPr>
        <w:br w:type="page"/>
      </w:r>
    </w:p>
    <w:p w:rsidR="00A55DB8" w:rsidRDefault="002F0B45">
      <w:pPr>
        <w:pStyle w:val="Text1"/>
        <w:spacing w:before="120" w:after="120"/>
        <w:ind w:left="0"/>
        <w:jc w:val="center"/>
        <w:rPr>
          <w:noProof/>
        </w:rPr>
      </w:pPr>
      <w:r>
        <w:rPr>
          <w:noProof/>
        </w:rPr>
        <w:lastRenderedPageBreak/>
        <w:t>Euroopa Liidus analüüsitud proovid ja saadud tulemused</w:t>
      </w:r>
    </w:p>
    <w:p w:rsidR="00A55DB8" w:rsidRDefault="00A55DB8">
      <w:pPr>
        <w:pStyle w:val="Text1"/>
        <w:spacing w:before="120" w:after="120"/>
        <w:ind w:left="567"/>
        <w:rPr>
          <w:noProof/>
        </w:rPr>
      </w:pPr>
    </w:p>
    <w:tbl>
      <w:tblPr>
        <w:tblW w:w="8520" w:type="dxa"/>
        <w:tblInd w:w="108" w:type="dxa"/>
        <w:tblLayout w:type="fixed"/>
        <w:tblLook w:val="04A0" w:firstRow="1" w:lastRow="0" w:firstColumn="1" w:lastColumn="0" w:noHBand="0" w:noVBand="1"/>
      </w:tblPr>
      <w:tblGrid>
        <w:gridCol w:w="1680"/>
        <w:gridCol w:w="1200"/>
        <w:gridCol w:w="1320"/>
        <w:gridCol w:w="1560"/>
        <w:gridCol w:w="1440"/>
        <w:gridCol w:w="1320"/>
      </w:tblGrid>
      <w:tr w:rsidR="00A55DB8">
        <w:trPr>
          <w:trHeight w:val="570"/>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A55DB8" w:rsidRDefault="002F0B45">
            <w:pPr>
              <w:spacing w:after="0"/>
              <w:jc w:val="center"/>
              <w:rPr>
                <w:b/>
                <w:noProof/>
                <w:sz w:val="20"/>
              </w:rPr>
            </w:pPr>
            <w:r>
              <w:rPr>
                <w:b/>
                <w:noProof/>
                <w:sz w:val="20"/>
              </w:rPr>
              <w:t>Riik</w:t>
            </w:r>
          </w:p>
        </w:tc>
        <w:tc>
          <w:tcPr>
            <w:tcW w:w="1200" w:type="dxa"/>
            <w:tcBorders>
              <w:top w:val="single" w:sz="4" w:space="0" w:color="auto"/>
              <w:left w:val="nil"/>
              <w:bottom w:val="single" w:sz="4" w:space="0" w:color="auto"/>
              <w:right w:val="single" w:sz="4" w:space="0" w:color="auto"/>
            </w:tcBorders>
            <w:shd w:val="clear" w:color="auto" w:fill="auto"/>
            <w:vAlign w:val="center"/>
          </w:tcPr>
          <w:p w:rsidR="00A55DB8" w:rsidRDefault="002F0B45">
            <w:pPr>
              <w:spacing w:after="0"/>
              <w:jc w:val="center"/>
              <w:rPr>
                <w:b/>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vAlign w:val="center"/>
          </w:tcPr>
          <w:p w:rsidR="00A55DB8" w:rsidRDefault="002F0B45">
            <w:pPr>
              <w:spacing w:after="0"/>
              <w:jc w:val="center"/>
              <w:rPr>
                <w:b/>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vAlign w:val="center"/>
          </w:tcPr>
          <w:p w:rsidR="00A55DB8" w:rsidRDefault="002F0B45">
            <w:pPr>
              <w:spacing w:after="0"/>
              <w:jc w:val="center"/>
              <w:rPr>
                <w:b/>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vAlign w:val="center"/>
          </w:tcPr>
          <w:p w:rsidR="00A55DB8" w:rsidRDefault="002F0B45">
            <w:pPr>
              <w:spacing w:after="0"/>
              <w:jc w:val="center"/>
              <w:rPr>
                <w:b/>
                <w:noProof/>
                <w:sz w:val="20"/>
              </w:rPr>
            </w:pPr>
            <w:r>
              <w:rPr>
                <w:b/>
                <w:noProof/>
                <w:sz w:val="20"/>
              </w:rPr>
              <w:t>Proove kokku</w:t>
            </w:r>
          </w:p>
        </w:tc>
        <w:tc>
          <w:tcPr>
            <w:tcW w:w="1320" w:type="dxa"/>
            <w:tcBorders>
              <w:top w:val="single" w:sz="4" w:space="0" w:color="auto"/>
              <w:left w:val="nil"/>
              <w:bottom w:val="single" w:sz="4" w:space="0" w:color="auto"/>
              <w:right w:val="single" w:sz="4" w:space="0" w:color="auto"/>
            </w:tcBorders>
            <w:shd w:val="clear" w:color="auto" w:fill="auto"/>
            <w:vAlign w:val="center"/>
          </w:tcPr>
          <w:p w:rsidR="00A55DB8" w:rsidRDefault="002F0B45">
            <w:pPr>
              <w:spacing w:after="0"/>
              <w:jc w:val="center"/>
              <w:rPr>
                <w:b/>
                <w:noProof/>
                <w:sz w:val="20"/>
              </w:rPr>
            </w:pPr>
            <w:r>
              <w:rPr>
                <w:b/>
                <w:noProof/>
                <w:sz w:val="20"/>
              </w:rPr>
              <w:t>% ELi proovide koguarvust</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Austria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1,4 %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Belgia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121</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2,0 %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Bulgaaria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0,1 %</w:t>
            </w:r>
          </w:p>
        </w:tc>
      </w:tr>
      <w:tr w:rsidR="00A55DB8">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Horvaatia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r>
      <w:tr w:rsidR="00A55DB8">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Küpros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r>
      <w:tr w:rsidR="00A55DB8">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Tšehhi Vabariik</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0,5 %</w:t>
            </w:r>
          </w:p>
        </w:tc>
      </w:tr>
      <w:tr w:rsidR="00A55DB8">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Taani</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Eesti</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Prantsusmaa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160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174</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2,9 %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Soome</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213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230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3,9 %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Saksamaa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3281</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24</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39</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3344</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56,0 %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Kreeka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0,2 %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Ungari</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76</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Iirimaa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86</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1,5 %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Itaalia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532</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539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9,0 %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Läti</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12</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0,2 %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Leedu</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Luksemburg</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18</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Malta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Madalmaad</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54</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54</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0,9 %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Poola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315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317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Portugal</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0,2 %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Rumeenia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297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314</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Slovakkia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26</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26</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0,4 %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Sloveenia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0,3 %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Hispaania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235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237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4,0 %</w:t>
            </w:r>
          </w:p>
        </w:tc>
      </w:tr>
      <w:tr w:rsidR="00A55DB8">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Rootsi</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0,1 %</w:t>
            </w: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Ühendkuningriik</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14</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112</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1,9 %</w:t>
            </w:r>
          </w:p>
        </w:tc>
      </w:tr>
      <w:tr w:rsidR="00A55DB8">
        <w:trPr>
          <w:trHeight w:val="360"/>
        </w:trPr>
        <w:tc>
          <w:tcPr>
            <w:tcW w:w="1680" w:type="dxa"/>
            <w:vMerge w:val="restart"/>
            <w:tcBorders>
              <w:top w:val="nil"/>
              <w:left w:val="single" w:sz="4" w:space="0" w:color="auto"/>
              <w:bottom w:val="single" w:sz="4" w:space="0" w:color="000000"/>
              <w:right w:val="single" w:sz="4" w:space="0" w:color="auto"/>
            </w:tcBorders>
            <w:shd w:val="clear" w:color="auto" w:fill="auto"/>
            <w:vAlign w:val="center"/>
          </w:tcPr>
          <w:p w:rsidR="00A55DB8" w:rsidRDefault="002F0B45">
            <w:pPr>
              <w:spacing w:after="0"/>
              <w:jc w:val="right"/>
              <w:rPr>
                <w:noProof/>
                <w:sz w:val="20"/>
              </w:rPr>
            </w:pPr>
            <w:r>
              <w:rPr>
                <w:noProof/>
                <w:sz w:val="20"/>
              </w:rPr>
              <w:t>EL kokku</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5802</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67</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104</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5973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r>
      <w:tr w:rsidR="00A55DB8">
        <w:trPr>
          <w:trHeight w:val="360"/>
        </w:trPr>
        <w:tc>
          <w:tcPr>
            <w:tcW w:w="1680" w:type="dxa"/>
            <w:vMerge/>
            <w:tcBorders>
              <w:top w:val="nil"/>
              <w:left w:val="single" w:sz="4" w:space="0" w:color="auto"/>
              <w:bottom w:val="single" w:sz="4" w:space="0" w:color="000000"/>
              <w:right w:val="single" w:sz="4" w:space="0" w:color="auto"/>
            </w:tcBorders>
            <w:vAlign w:val="center"/>
          </w:tcPr>
          <w:p w:rsidR="00A55DB8" w:rsidRDefault="00A55DB8">
            <w:pPr>
              <w:spacing w:after="0"/>
              <w:rPr>
                <w:noProof/>
                <w:sz w:val="20"/>
              </w:rPr>
            </w:pP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97,1 %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1,8 %</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100,0 %</w:t>
            </w:r>
          </w:p>
        </w:tc>
        <w:tc>
          <w:tcPr>
            <w:tcW w:w="1320" w:type="dxa"/>
            <w:tcBorders>
              <w:top w:val="nil"/>
              <w:left w:val="nil"/>
              <w:bottom w:val="single" w:sz="4" w:space="0" w:color="auto"/>
              <w:right w:val="single" w:sz="4" w:space="0" w:color="auto"/>
            </w:tcBorders>
            <w:shd w:val="clear" w:color="auto" w:fill="auto"/>
            <w:noWrap/>
          </w:tcPr>
          <w:p w:rsidR="00A55DB8" w:rsidRDefault="00A55DB8">
            <w:pPr>
              <w:spacing w:after="0"/>
              <w:jc w:val="center"/>
              <w:rPr>
                <w:noProof/>
                <w:sz w:val="20"/>
              </w:rPr>
            </w:pPr>
          </w:p>
        </w:tc>
      </w:tr>
      <w:tr w:rsidR="00A55DB8">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Norra</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44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e.k.</w:t>
            </w:r>
          </w:p>
        </w:tc>
      </w:tr>
    </w:tbl>
    <w:p w:rsidR="00A55DB8" w:rsidRDefault="002F0B45">
      <w:pPr>
        <w:rPr>
          <w:noProof/>
          <w:sz w:val="20"/>
        </w:rPr>
      </w:pPr>
      <w:r>
        <w:rPr>
          <w:noProof/>
          <w:sz w:val="20"/>
        </w:rPr>
        <w:t>e.k.: ei kontrollitud</w:t>
      </w:r>
    </w:p>
    <w:p w:rsidR="00A55DB8" w:rsidRDefault="002F0B45">
      <w:pPr>
        <w:spacing w:after="0"/>
        <w:jc w:val="left"/>
        <w:rPr>
          <w:noProof/>
        </w:rPr>
      </w:pPr>
      <w:r>
        <w:rPr>
          <w:noProof/>
        </w:rPr>
        <w:br w:type="page"/>
      </w:r>
    </w:p>
    <w:p w:rsidR="00A55DB8" w:rsidRDefault="002F0B45">
      <w:pPr>
        <w:jc w:val="center"/>
        <w:rPr>
          <w:noProof/>
        </w:rPr>
      </w:pPr>
      <w:r>
        <w:rPr>
          <w:noProof/>
        </w:rPr>
        <w:lastRenderedPageBreak/>
        <w:t>Euroopas turustamise etapis tehtud kontrollide tulemused ja ioniseeriva kiirgusega töötlemise avastamiseks kasutatud meetodid</w:t>
      </w:r>
    </w:p>
    <w:p w:rsidR="00A55DB8" w:rsidRDefault="002F0B45">
      <w:pPr>
        <w:spacing w:after="120"/>
        <w:rPr>
          <w:noProof/>
          <w:u w:val="single"/>
        </w:rPr>
      </w:pPr>
      <w:r>
        <w:rPr>
          <w:noProof/>
          <w:u w:val="single"/>
        </w:rPr>
        <w:t>Austria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w:t>
            </w:r>
            <w:r>
              <w:rPr>
                <w:b/>
                <w:noProof/>
                <w:sz w:val="20"/>
              </w:rPr>
              <w:t xml:space="preserv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Marjad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1787</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Koorikloomad, karbid ja muud veeloomad, </w:t>
            </w:r>
            <w:r>
              <w:rPr>
                <w:noProof/>
                <w:sz w:val="20"/>
              </w:rPr>
              <w:t>sealhulgas nendest valmistatud 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sz w:val="20"/>
              </w:rPr>
              <w:t>Kokku (85)</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97,6 %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2,4 %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xml:space="preserve">* Ebaõigesti </w:t>
      </w:r>
      <w:r>
        <w:rPr>
          <w:noProof/>
          <w:sz w:val="20"/>
        </w:rPr>
        <w:t>märgistatud</w:t>
      </w:r>
    </w:p>
    <w:p w:rsidR="00A55DB8" w:rsidRDefault="002F0B45">
      <w:pPr>
        <w:spacing w:after="120"/>
        <w:rPr>
          <w:noProof/>
          <w:u w:val="single"/>
        </w:rPr>
      </w:pPr>
      <w:r>
        <w:rPr>
          <w:noProof/>
          <w:u w:val="single"/>
        </w:rPr>
        <w:t>Belgia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Teravili, seemned, köögi- ja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Koorikloomad, karbid ja muud veeloomad, sealhulgas nendest valmistatud 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Külmutatud maitsetaimed ja vürtsid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Konnakoivad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(121)</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90,9 %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6,6 %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Ebaõigesti märgistatud</w:t>
      </w:r>
    </w:p>
    <w:p w:rsidR="00A55DB8" w:rsidRDefault="002F0B45">
      <w:pPr>
        <w:spacing w:after="120"/>
        <w:rPr>
          <w:noProof/>
          <w:u w:val="single"/>
        </w:rPr>
      </w:pPr>
      <w:r>
        <w:rPr>
          <w:noProof/>
          <w:u w:val="single"/>
        </w:rPr>
        <w:t>Bulgaaria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Nõuetele </w:t>
            </w:r>
            <w:r>
              <w:rPr>
                <w:b/>
                <w:noProof/>
                <w:sz w:val="20"/>
              </w:rPr>
              <w:t>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(3)</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rPr>
          <w:noProof/>
          <w:sz w:val="20"/>
        </w:rPr>
      </w:pPr>
    </w:p>
    <w:p w:rsidR="00A55DB8" w:rsidRDefault="002F0B45">
      <w:pPr>
        <w:rPr>
          <w:noProof/>
        </w:rPr>
      </w:pPr>
      <w:r>
        <w:rPr>
          <w:noProof/>
          <w:u w:val="single"/>
        </w:rPr>
        <w:t>Horvaatia</w:t>
      </w:r>
      <w:r>
        <w:rPr>
          <w:noProof/>
        </w:rPr>
        <w:t xml:space="preserve"> </w:t>
      </w:r>
      <w:r>
        <w:rPr>
          <w:noProof/>
        </w:rPr>
        <w:br/>
        <w:t>Ioniseeriva kiirgusega töötlemise avastamise eesmärgil analüüse tegevate laborite puudumise tõttu ei tehtud 2015. aastal Horvaatias kontrolle toodete turustamise etapis.</w:t>
      </w:r>
    </w:p>
    <w:p w:rsidR="00A55DB8" w:rsidRDefault="002F0B45">
      <w:pPr>
        <w:rPr>
          <w:noProof/>
        </w:rPr>
      </w:pPr>
      <w:r>
        <w:rPr>
          <w:noProof/>
          <w:u w:val="single"/>
        </w:rPr>
        <w:lastRenderedPageBreak/>
        <w:t>Küpros</w:t>
      </w:r>
      <w:r>
        <w:rPr>
          <w:noProof/>
          <w:u w:val="single"/>
        </w:rPr>
        <w:br/>
      </w:r>
      <w:r>
        <w:rPr>
          <w:noProof/>
        </w:rPr>
        <w:t xml:space="preserve">Ioniseeriva kiirgusega töötlemise avastamise eesmärgil analüüse </w:t>
      </w:r>
      <w:r>
        <w:rPr>
          <w:noProof/>
        </w:rPr>
        <w:t>tegevate laborite puudumise tõttu ei tehtud 2015. aastal Küprosel kontrolle toodete turustamise etapis.</w:t>
      </w:r>
    </w:p>
    <w:p w:rsidR="00A55DB8" w:rsidRDefault="00A55DB8">
      <w:pPr>
        <w:rPr>
          <w:noProof/>
        </w:rPr>
      </w:pPr>
    </w:p>
    <w:p w:rsidR="00A55DB8" w:rsidRDefault="002F0B45">
      <w:pPr>
        <w:spacing w:after="120"/>
        <w:rPr>
          <w:noProof/>
          <w:u w:val="single"/>
        </w:rPr>
      </w:pPr>
      <w:r>
        <w:rPr>
          <w:noProof/>
          <w:u w:val="single"/>
        </w:rPr>
        <w:t>Tšehhi Vabariik</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 xml:space="preserve">Teravili, seemned, köögi- ja puuviljad ning </w:t>
            </w:r>
            <w:r>
              <w:rPr>
                <w:noProof/>
                <w:sz w:val="20"/>
              </w:rPr>
              <w:t>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köögiviljad ja 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Supp</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(30)</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4</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83,4 %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13,3 %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Kiiritamine ei ole lubatud</w:t>
      </w:r>
    </w:p>
    <w:p w:rsidR="00A55DB8" w:rsidRDefault="002F0B45">
      <w:pPr>
        <w:rPr>
          <w:noProof/>
        </w:rPr>
      </w:pPr>
      <w:r>
        <w:rPr>
          <w:noProof/>
          <w:u w:val="single"/>
        </w:rPr>
        <w:t>Taani</w:t>
      </w:r>
      <w:r>
        <w:rPr>
          <w:noProof/>
        </w:rPr>
        <w:t xml:space="preserve"> </w:t>
      </w:r>
      <w:r>
        <w:rPr>
          <w:noProof/>
        </w:rPr>
        <w:br/>
        <w:t xml:space="preserve">Eelarvepiirangute tõttu ei tehtud 2015. aastal Taanis kontrolle </w:t>
      </w:r>
      <w:r>
        <w:rPr>
          <w:noProof/>
        </w:rPr>
        <w:t>toodete turustamise etapis.</w:t>
      </w:r>
    </w:p>
    <w:p w:rsidR="00A55DB8" w:rsidRDefault="002F0B45">
      <w:pPr>
        <w:rPr>
          <w:noProof/>
        </w:rPr>
      </w:pPr>
      <w:r>
        <w:rPr>
          <w:noProof/>
          <w:u w:val="single"/>
        </w:rPr>
        <w:t>Eesti</w:t>
      </w:r>
      <w:r>
        <w:rPr>
          <w:noProof/>
        </w:rPr>
        <w:t xml:space="preserve"> </w:t>
      </w:r>
      <w:r>
        <w:rPr>
          <w:noProof/>
        </w:rPr>
        <w:br/>
        <w:t xml:space="preserve">Ioniseeriva kiirgusega töötlemise avastamise eesmärgil analüüse tegevate laborite puudumise tõttu ei tehtud 2015. aastal Eestis kontrolle toodete turustamise etapis. </w:t>
      </w:r>
    </w:p>
    <w:p w:rsidR="00A55DB8" w:rsidRDefault="002F0B45">
      <w:pPr>
        <w:spacing w:after="120"/>
        <w:rPr>
          <w:noProof/>
          <w:u w:val="single"/>
        </w:rPr>
      </w:pPr>
      <w:r>
        <w:rPr>
          <w:noProof/>
          <w:u w:val="single"/>
        </w:rPr>
        <w:t>Prantsusmaa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w:t>
            </w:r>
            <w:r>
              <w:rPr>
                <w:b/>
                <w:noProof/>
                <w:sz w:val="20"/>
              </w:rPr>
              <w:t>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Teravili, seemned, köögi- ja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59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1787</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 xml:space="preserve">Kalad, koorikloomad, karbid ja nendest valmistatud </w:t>
            </w:r>
            <w:r>
              <w:rPr>
                <w:noProof/>
                <w:sz w:val="20"/>
              </w:rPr>
              <w:t>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Külmutatud koorikloomad ja molluskid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Konnakoivad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Liha ja lihatooted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1784</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 xml:space="preserve">Kokku </w:t>
            </w:r>
            <w:r>
              <w:rPr>
                <w:noProof/>
                <w:color w:val="000000"/>
                <w:sz w:val="20"/>
              </w:rPr>
              <w:t>(174)</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160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92,0 %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1,7 %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after="0"/>
        <w:rPr>
          <w:noProof/>
          <w:sz w:val="20"/>
        </w:rPr>
      </w:pPr>
      <w:r>
        <w:rPr>
          <w:noProof/>
          <w:sz w:val="20"/>
        </w:rPr>
        <w:t xml:space="preserve">* Ebaõigesti märgistatud </w:t>
      </w:r>
    </w:p>
    <w:p w:rsidR="00A55DB8" w:rsidRDefault="002F0B45">
      <w:pPr>
        <w:rPr>
          <w:noProof/>
          <w:sz w:val="20"/>
        </w:rPr>
      </w:pPr>
      <w:r>
        <w:rPr>
          <w:noProof/>
          <w:sz w:val="20"/>
        </w:rPr>
        <w:t>** Ebaõigesti märgistatud ja/või kiiritamine ei ole lubatud</w:t>
      </w:r>
    </w:p>
    <w:p w:rsidR="00A55DB8" w:rsidRDefault="002F0B45">
      <w:pPr>
        <w:spacing w:after="120"/>
        <w:rPr>
          <w:noProof/>
          <w:u w:val="single"/>
        </w:rPr>
      </w:pPr>
      <w:r>
        <w:rPr>
          <w:noProof/>
          <w:u w:val="single"/>
        </w:rPr>
        <w:t>Soome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lastRenderedPageBreak/>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Marjad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Teraviljasaadused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Sibulad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Kuivatatud merevetikad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Pastatooted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Riisijahu</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Seemned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Kuivatatud köögiviljad ja 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99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 xml:space="preserve">Muu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Kakao</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 xml:space="preserve">Kohv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Valmistoidud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Muu</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Kuivkastmed 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(230)</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213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92,6 %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3,9 %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after="0"/>
        <w:rPr>
          <w:noProof/>
          <w:sz w:val="20"/>
        </w:rPr>
      </w:pPr>
      <w:r>
        <w:rPr>
          <w:noProof/>
          <w:sz w:val="20"/>
        </w:rPr>
        <w:t>* Ebaõigesti märgistatud ja/või kiiritatud keskustes, mida EL ei ole heaks kiitnud</w:t>
      </w:r>
    </w:p>
    <w:p w:rsidR="00A55DB8" w:rsidRDefault="002F0B45">
      <w:pPr>
        <w:rPr>
          <w:noProof/>
          <w:sz w:val="20"/>
        </w:rPr>
      </w:pPr>
      <w:r>
        <w:rPr>
          <w:noProof/>
          <w:sz w:val="20"/>
        </w:rPr>
        <w:t>** Kiiritamine ei ole lubatud</w:t>
      </w:r>
    </w:p>
    <w:p w:rsidR="00A55DB8" w:rsidRDefault="002F0B45">
      <w:pPr>
        <w:spacing w:after="120"/>
        <w:rPr>
          <w:noProof/>
          <w:u w:val="single"/>
        </w:rPr>
      </w:pPr>
      <w:r>
        <w:rPr>
          <w:noProof/>
          <w:u w:val="single"/>
        </w:rPr>
        <w:t>Saksamaa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Teraviljasaadused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1787</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133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9***</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13708;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w:t>
            </w:r>
            <w:r>
              <w:rPr>
                <w:noProof/>
                <w:sz w:val="20"/>
              </w:rPr>
              <w:t xml:space="preserve">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Värsked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81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13708;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Värsked seened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140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Kartulid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Kaunviljad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1784;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 xml:space="preserve">Kuivatatud köögiviljad ja </w:t>
            </w:r>
            <w:r>
              <w:rPr>
                <w:noProof/>
                <w:sz w:val="20"/>
              </w:rPr>
              <w:lastRenderedPageBreak/>
              <w:t>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lastRenderedPageBreak/>
              <w:t>44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lastRenderedPageBreak/>
              <w:t xml:space="preserve">EN 1786;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Värsked köögiviljad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Koorikloomad, karbid ja muud veeloomad,</w:t>
            </w:r>
            <w:r>
              <w:rPr>
                <w:noProof/>
                <w:sz w:val="20"/>
              </w:rPr>
              <w:t xml:space="preserve"> sealhulgas nendest valmistatud 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273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EN13708;</w:t>
            </w:r>
          </w:p>
          <w:p w:rsidR="00A55DB8" w:rsidRDefault="002F0B45">
            <w:pPr>
              <w:spacing w:after="0"/>
              <w:jc w:val="center"/>
              <w:rPr>
                <w:noProof/>
                <w:sz w:val="20"/>
              </w:rPr>
            </w:pPr>
            <w:r>
              <w:rPr>
                <w:noProof/>
                <w:sz w:val="20"/>
              </w:rPr>
              <w:t xml:space="preserve">EN 1786;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Kala ja kalatooted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58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8***</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1786; </w:t>
            </w:r>
          </w:p>
          <w:p w:rsidR="00A55DB8" w:rsidRDefault="002F0B45">
            <w:pPr>
              <w:spacing w:after="0"/>
              <w:jc w:val="center"/>
              <w:rPr>
                <w:noProof/>
                <w:sz w:val="20"/>
              </w:rPr>
            </w:pPr>
            <w:r>
              <w:rPr>
                <w:noProof/>
                <w:sz w:val="20"/>
              </w:rPr>
              <w:t>EN 1788</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 xml:space="preserve">Maitsetaimed ja vürtsid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1254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303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13708;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1785;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195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13708;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1785;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Liha (välja arvatud kodulinnu- ja ulukiliha)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1784;</w:t>
            </w:r>
          </w:p>
          <w:p w:rsidR="00A55DB8" w:rsidRDefault="002F0B45">
            <w:pPr>
              <w:spacing w:after="0"/>
              <w:jc w:val="center"/>
              <w:rPr>
                <w:noProof/>
                <w:sz w:val="20"/>
              </w:rPr>
            </w:pPr>
            <w:r>
              <w:rPr>
                <w:noProof/>
                <w:sz w:val="20"/>
              </w:rPr>
              <w:t>EN 1786</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 xml:space="preserve">Liha </w:t>
            </w:r>
            <w:r>
              <w:rPr>
                <w:noProof/>
                <w:sz w:val="20"/>
              </w:rPr>
              <w:t>(eri lindude liha, känguruliha, jäneseliha)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Lihatooted (välja arvatud vorstid)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1784; </w:t>
            </w:r>
          </w:p>
          <w:p w:rsidR="00A55DB8" w:rsidRDefault="002F0B45">
            <w:pPr>
              <w:spacing w:after="0"/>
              <w:jc w:val="center"/>
              <w:rPr>
                <w:noProof/>
                <w:sz w:val="20"/>
              </w:rPr>
            </w:pPr>
            <w:r>
              <w:rPr>
                <w:noProof/>
                <w:sz w:val="20"/>
              </w:rPr>
              <w:t>EN 1786</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Kodulinnuliha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142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1784; </w:t>
            </w:r>
          </w:p>
          <w:p w:rsidR="00A55DB8" w:rsidRDefault="002F0B45">
            <w:pPr>
              <w:spacing w:after="0"/>
              <w:jc w:val="center"/>
              <w:rPr>
                <w:noProof/>
                <w:sz w:val="20"/>
              </w:rPr>
            </w:pPr>
            <w:r>
              <w:rPr>
                <w:noProof/>
                <w:sz w:val="20"/>
              </w:rPr>
              <w:t>EN 1786</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Vorstitooted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Piim ja piimatooted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Vürtse/ürte sisaldav juust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1784;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168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Valmistoidud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Munad ja munatooted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1784</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Mitmesugused toidud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35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13708; </w:t>
            </w:r>
          </w:p>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Kuivkastmed 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159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w:t>
            </w:r>
            <w:r>
              <w:rPr>
                <w:noProof/>
                <w:sz w:val="20"/>
              </w:rPr>
              <w:t>1784; EN 1788; EN 1785; 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(3344)</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3281</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24</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39</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98,1 %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0,7 %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1,2 %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after="0"/>
        <w:rPr>
          <w:noProof/>
          <w:sz w:val="20"/>
        </w:rPr>
      </w:pPr>
      <w:r>
        <w:rPr>
          <w:noProof/>
          <w:sz w:val="20"/>
        </w:rPr>
        <w:t xml:space="preserve">* Ebaõigesti märgistatud </w:t>
      </w:r>
    </w:p>
    <w:p w:rsidR="00A55DB8" w:rsidRDefault="002F0B45">
      <w:pPr>
        <w:spacing w:after="0"/>
        <w:rPr>
          <w:noProof/>
          <w:sz w:val="20"/>
        </w:rPr>
      </w:pPr>
      <w:r>
        <w:rPr>
          <w:noProof/>
          <w:sz w:val="20"/>
        </w:rPr>
        <w:t xml:space="preserve">** Ebaõigesti märgistatud ja/või kiiritamine ei ole lubatud </w:t>
      </w:r>
    </w:p>
    <w:p w:rsidR="00A55DB8" w:rsidRDefault="002F0B45">
      <w:pPr>
        <w:rPr>
          <w:noProof/>
          <w:sz w:val="20"/>
        </w:rPr>
      </w:pPr>
      <w:r>
        <w:rPr>
          <w:noProof/>
          <w:sz w:val="20"/>
        </w:rPr>
        <w:t>*** Kiiritamine ei ole lubatud</w:t>
      </w:r>
    </w:p>
    <w:p w:rsidR="00A55DB8" w:rsidRDefault="002F0B45">
      <w:pPr>
        <w:spacing w:after="120"/>
        <w:rPr>
          <w:noProof/>
          <w:u w:val="single"/>
        </w:rPr>
      </w:pPr>
      <w:r>
        <w:rPr>
          <w:noProof/>
          <w:u w:val="single"/>
        </w:rPr>
        <w:t>Kreeka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lastRenderedPageBreak/>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(10)</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before="240" w:after="120"/>
        <w:rPr>
          <w:noProof/>
          <w:u w:val="single"/>
        </w:rPr>
      </w:pPr>
      <w:r>
        <w:rPr>
          <w:noProof/>
          <w:u w:val="single"/>
        </w:rPr>
        <w:t>Ungari</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75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(76)</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 xml:space="preserve">Protsentuaalselt </w:t>
            </w:r>
            <w:r>
              <w:rPr>
                <w:noProof/>
                <w:color w:val="000000"/>
                <w:sz w:val="20"/>
              </w:rPr>
              <w:t>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98,7 %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xml:space="preserve">* Ebaõigesti märgistatud </w:t>
      </w:r>
    </w:p>
    <w:p w:rsidR="00A55DB8" w:rsidRDefault="002F0B45">
      <w:pPr>
        <w:spacing w:after="120"/>
        <w:rPr>
          <w:noProof/>
          <w:u w:val="single"/>
        </w:rPr>
      </w:pPr>
      <w:r>
        <w:rPr>
          <w:noProof/>
          <w:u w:val="single"/>
        </w:rPr>
        <w:t>Iirimaa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Marjad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Maapähklitahvlid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Värsked maitsetaimed ja vürtsid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 xml:space="preserve">Muu: basiilik (3), loorberilehed (1), pune (1), vürtsisegu kurkide konserveerimiseks (1), suitsutatud paprika (1), </w:t>
            </w:r>
            <w:r>
              <w:rPr>
                <w:i/>
                <w:noProof/>
                <w:sz w:val="20"/>
              </w:rPr>
              <w:t>garam masala</w:t>
            </w:r>
            <w:r>
              <w:rPr>
                <w:noProof/>
                <w:sz w:val="20"/>
              </w:rPr>
              <w:t xml:space="preserve"> (1) orgaaniline punane pipar (1), jahvatatud kaneel (1), jahvatatud muskaatõis (1), maitsetaimed ja vürtsid (1)</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Eritoiduks ette nähtud toit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35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31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Sojakastmed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(87)</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86</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98,9 %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Itaalia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 xml:space="preserve">Maitsetaimed ja vürtsid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13784;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lastRenderedPageBreak/>
              <w:t xml:space="preserve">EN 1787; </w:t>
            </w:r>
          </w:p>
          <w:p w:rsidR="00A55DB8" w:rsidRDefault="002F0B45">
            <w:pPr>
              <w:spacing w:after="0"/>
              <w:jc w:val="center"/>
              <w:rPr>
                <w:noProof/>
                <w:sz w:val="20"/>
              </w:rPr>
            </w:pPr>
            <w:r>
              <w:rPr>
                <w:noProof/>
                <w:sz w:val="20"/>
              </w:rPr>
              <w:t>EN</w:t>
            </w:r>
            <w:r>
              <w:rPr>
                <w:noProof/>
                <w:sz w:val="20"/>
              </w:rPr>
              <w:t xml:space="preserve">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lastRenderedPageBreak/>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Konnakoivad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(välja arvatud kodulinnu- ja ulukiliha)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p w:rsidR="00A55DB8" w:rsidRDefault="002F0B45">
            <w:pPr>
              <w:spacing w:after="0"/>
              <w:jc w:val="center"/>
              <w:rPr>
                <w:noProof/>
                <w:sz w:val="20"/>
              </w:rPr>
            </w:pPr>
            <w:r>
              <w:rPr>
                <w:noProof/>
                <w:sz w:val="20"/>
              </w:rPr>
              <w:t>EN 13784</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Kodulinnuliha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13784;</w:t>
            </w:r>
          </w:p>
          <w:p w:rsidR="00A55DB8" w:rsidRDefault="002F0B45">
            <w:pPr>
              <w:spacing w:after="0"/>
              <w:jc w:val="center"/>
              <w:rPr>
                <w:noProof/>
                <w:sz w:val="20"/>
              </w:rPr>
            </w:pPr>
            <w:r>
              <w:rPr>
                <w:noProof/>
                <w:sz w:val="20"/>
              </w:rPr>
              <w:t>EN 1786;</w:t>
            </w:r>
          </w:p>
          <w:p w:rsidR="00A55DB8" w:rsidRDefault="002F0B45">
            <w:pPr>
              <w:spacing w:after="0"/>
              <w:jc w:val="center"/>
              <w:rPr>
                <w:noProof/>
                <w:sz w:val="20"/>
              </w:rPr>
            </w:pPr>
            <w:r>
              <w:rPr>
                <w:noProof/>
                <w:sz w:val="20"/>
              </w:rPr>
              <w:t>EN 1785</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Külmutatud </w:t>
            </w:r>
            <w:r>
              <w:rPr>
                <w:noProof/>
                <w:sz w:val="20"/>
              </w:rPr>
              <w:t>koorikloomad ja molluskid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1786;</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Kala ja kalatooted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44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13784;</w:t>
            </w:r>
          </w:p>
          <w:p w:rsidR="00A55DB8" w:rsidRDefault="002F0B45">
            <w:pPr>
              <w:spacing w:after="0"/>
              <w:jc w:val="center"/>
              <w:rPr>
                <w:noProof/>
                <w:sz w:val="20"/>
              </w:rPr>
            </w:pPr>
            <w:r>
              <w:rPr>
                <w:noProof/>
                <w:sz w:val="20"/>
              </w:rPr>
              <w:t>EN 1786;</w:t>
            </w:r>
          </w:p>
          <w:p w:rsidR="00A55DB8" w:rsidRDefault="002F0B45">
            <w:pPr>
              <w:spacing w:after="0"/>
              <w:jc w:val="center"/>
              <w:rPr>
                <w:noProof/>
                <w:sz w:val="20"/>
              </w:rPr>
            </w:pPr>
            <w:r>
              <w:rPr>
                <w:noProof/>
                <w:sz w:val="20"/>
              </w:rPr>
              <w:t>EN 1785</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Teravili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13708;</w:t>
            </w:r>
          </w:p>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1787</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Värsked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13708; </w:t>
            </w:r>
          </w:p>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EN13784;</w:t>
            </w:r>
          </w:p>
          <w:p w:rsidR="00A55DB8" w:rsidRDefault="002F0B45">
            <w:pPr>
              <w:spacing w:after="0"/>
              <w:jc w:val="center"/>
              <w:rPr>
                <w:noProof/>
                <w:sz w:val="20"/>
              </w:rPr>
            </w:pPr>
            <w:r>
              <w:rPr>
                <w:noProof/>
                <w:sz w:val="20"/>
              </w:rPr>
              <w:t>EN 1787</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Küüslauk</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13784;</w:t>
            </w:r>
          </w:p>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1787;</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Pähklid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13784;</w:t>
            </w:r>
            <w:r>
              <w:rPr>
                <w:noProof/>
                <w:sz w:val="20"/>
              </w:rPr>
              <w:br/>
              <w:t>EN 1788;</w:t>
            </w:r>
            <w:r>
              <w:rPr>
                <w:noProof/>
                <w:sz w:val="20"/>
              </w:rPr>
              <w:br/>
              <w:t>EN 1787</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Õliseemned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Sibulad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13784;</w:t>
            </w:r>
          </w:p>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Tomatid ja porgandid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Kartulid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Kaunviljad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13784; </w:t>
            </w:r>
          </w:p>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EN 1787</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Taimne </w:t>
            </w:r>
            <w:r>
              <w:rPr>
                <w:noProof/>
                <w:sz w:val="20"/>
              </w:rPr>
              <w:t>tooraine, mis on ette nähtud kasutamiseks taimsete toidulisandite koostisosana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1788; </w:t>
            </w:r>
          </w:p>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Kuivkastmed 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(539)</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532</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98,7 %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0,7 %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after="0"/>
        <w:rPr>
          <w:noProof/>
          <w:sz w:val="20"/>
        </w:rPr>
      </w:pPr>
      <w:r>
        <w:rPr>
          <w:noProof/>
          <w:sz w:val="20"/>
        </w:rPr>
        <w:t xml:space="preserve">* Ebaõigesti märgistatud </w:t>
      </w:r>
    </w:p>
    <w:p w:rsidR="00A55DB8" w:rsidRDefault="002F0B45">
      <w:pPr>
        <w:rPr>
          <w:noProof/>
          <w:sz w:val="20"/>
        </w:rPr>
      </w:pPr>
      <w:r>
        <w:rPr>
          <w:noProof/>
          <w:sz w:val="20"/>
        </w:rPr>
        <w:t xml:space="preserve">** Ebaõigesti märgistatud ja/või kiiritamine ei ole lubatud </w:t>
      </w:r>
    </w:p>
    <w:p w:rsidR="00A55DB8" w:rsidRDefault="002F0B45">
      <w:pPr>
        <w:spacing w:before="240" w:after="120"/>
        <w:rPr>
          <w:noProof/>
          <w:u w:val="single"/>
        </w:rPr>
      </w:pPr>
      <w:r>
        <w:rPr>
          <w:noProof/>
          <w:u w:val="single"/>
        </w:rPr>
        <w:t>Läti</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 xml:space="preserve">Maitsetaimed ja </w:t>
            </w:r>
            <w:r>
              <w:rPr>
                <w:noProof/>
                <w:sz w:val="20"/>
              </w:rPr>
              <w:lastRenderedPageBreak/>
              <w:t>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lastRenderedPageBreak/>
              <w:t xml:space="preserve">Kuivatatud maitsetaimed, </w:t>
            </w:r>
            <w:r>
              <w:rPr>
                <w:noProof/>
                <w:sz w:val="20"/>
              </w:rPr>
              <w:lastRenderedPageBreak/>
              <w:t xml:space="preserve">vürtsid ja </w:t>
            </w:r>
            <w:r>
              <w:rPr>
                <w:noProof/>
                <w:sz w:val="20"/>
              </w:rPr>
              <w:t>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lastRenderedPageBreak/>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lastRenderedPageBreak/>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(12)</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11</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91,7 %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xml:space="preserve">* Kiiritamine ei ole lubatud </w:t>
      </w:r>
    </w:p>
    <w:p w:rsidR="00A55DB8" w:rsidRDefault="002F0B45">
      <w:pPr>
        <w:spacing w:before="240" w:after="120"/>
        <w:rPr>
          <w:noProof/>
          <w:u w:val="single"/>
        </w:rPr>
      </w:pPr>
      <w:r>
        <w:rPr>
          <w:noProof/>
          <w:u w:val="single"/>
        </w:rPr>
        <w:t>Leedu</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w:t>
            </w:r>
            <w:r>
              <w:rPr>
                <w:b/>
                <w:noProof/>
                <w:sz w:val="20"/>
              </w:rPr>
              <w:t xml:space="preserv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13783</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13783</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13783</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Köögiviljad, köögiviljatooted ja seened, kuivatatud </w:t>
            </w:r>
            <w:r>
              <w:rPr>
                <w:noProof/>
                <w:sz w:val="20"/>
              </w:rPr>
              <w:t>merevetikad (tooraine toidu valmistamiseks)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13783</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(75)</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Luksemburg</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 xml:space="preserve">Kalad, </w:t>
            </w:r>
            <w:r>
              <w:rPr>
                <w:noProof/>
                <w:sz w:val="20"/>
              </w:rPr>
              <w:t>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Külmutatud koorikloomad ja molluskid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Koorikloomad, karbid ja muud veeloomad, sealhulgas nendest valmistatud 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Kuivkastmed 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(19)</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18</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94,7 %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5,3 %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Malta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Teravili, seemned, </w:t>
            </w:r>
            <w:r>
              <w:rPr>
                <w:noProof/>
                <w:sz w:val="20"/>
              </w:rPr>
              <w:t>köögi- ja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Kiirnuudlid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Sibulad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merevetikad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Kalad, koorikloomad, karbid ja </w:t>
            </w:r>
            <w:r>
              <w:rPr>
                <w:noProof/>
                <w:sz w:val="20"/>
              </w:rPr>
              <w:t>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kala ja mereannid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Kuivatatud maitsetaimed, vürtsid ja </w:t>
            </w:r>
            <w:r>
              <w:rPr>
                <w:noProof/>
                <w:sz w:val="20"/>
              </w:rPr>
              <w:lastRenderedPageBreak/>
              <w:t>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lastRenderedPageBreak/>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Supp</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(77)</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89,6 %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3,9 %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6,5 %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after="0"/>
        <w:rPr>
          <w:noProof/>
          <w:sz w:val="20"/>
        </w:rPr>
      </w:pPr>
      <w:r>
        <w:rPr>
          <w:noProof/>
          <w:sz w:val="20"/>
        </w:rPr>
        <w:t xml:space="preserve">* Kiiritamine ei ole lubatud </w:t>
      </w:r>
    </w:p>
    <w:p w:rsidR="00A55DB8" w:rsidRDefault="002F0B45">
      <w:pPr>
        <w:rPr>
          <w:noProof/>
          <w:sz w:val="20"/>
        </w:rPr>
      </w:pPr>
      <w:r>
        <w:rPr>
          <w:noProof/>
          <w:sz w:val="20"/>
        </w:rPr>
        <w:t>** Ebaõigesti märgistatud</w:t>
      </w:r>
    </w:p>
    <w:p w:rsidR="00A55DB8" w:rsidRDefault="002F0B45">
      <w:pPr>
        <w:spacing w:before="240" w:after="120"/>
        <w:rPr>
          <w:noProof/>
          <w:u w:val="single"/>
        </w:rPr>
      </w:pPr>
      <w:r>
        <w:rPr>
          <w:noProof/>
          <w:u w:val="single"/>
        </w:rPr>
        <w:t>Madalmaad</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Nõuetele </w:t>
            </w:r>
            <w:r>
              <w:rPr>
                <w:b/>
                <w:noProof/>
                <w:sz w:val="20"/>
              </w:rPr>
              <w:t>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Teraviljasaadused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Teravili, seemned, köögi- ja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Pähklid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köögiviljad ja 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Krevetid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Kuivatatud maitsetaimed, </w:t>
            </w:r>
            <w:r>
              <w:rPr>
                <w:noProof/>
                <w:sz w:val="20"/>
              </w:rPr>
              <w:t>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Kodulinnuliha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Laastud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r>
              <w:rPr>
                <w:noProof/>
                <w:sz w:val="20"/>
                <w:szCs w:val="18"/>
              </w:rPr>
              <w:br/>
            </w: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Supp</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r>
              <w:rPr>
                <w:noProof/>
                <w:sz w:val="20"/>
                <w:szCs w:val="18"/>
              </w:rPr>
              <w:br/>
            </w: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(54)</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54</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Poola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13708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Värsked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1787</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Troopilised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Küüslauk</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13708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Kiirnuudlid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Värsked seened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Pähklid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1787</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Sibulad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Spinatiga pasta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Pastatooted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Kartulid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Kaunviljad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köögiviljad ja 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Värsked köögiviljad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rPr>
            </w:pPr>
            <w:r>
              <w:rPr>
                <w:noProof/>
                <w:sz w:val="20"/>
              </w:rPr>
              <w:t xml:space="preserve">Kalad, koorikloomad, karbid ja </w:t>
            </w:r>
            <w:r>
              <w:rPr>
                <w:noProof/>
                <w:sz w:val="20"/>
              </w:rPr>
              <w:t>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Külmutatud koorikloomad ja molluskid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Koorikloomad, karbid ja muud veeloomad, sealhulgas nendest valmistatud 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1786; </w:t>
            </w:r>
          </w:p>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Kala ja kalatooted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Krevetipuljong</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Krevetid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 xml:space="preserve">Maitsetaimed ja vürtsid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48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jc w:val="left"/>
              <w:rPr>
                <w:noProof/>
                <w:sz w:val="20"/>
              </w:rPr>
            </w:pPr>
            <w:r>
              <w:rPr>
                <w:noProof/>
                <w:sz w:val="20"/>
              </w:rPr>
              <w:t>Piim ja piimatooted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Vürtse/ürte sisaldav juust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Kodujuust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Valminud juust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Kanapuljong</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Konnakoivad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ja lihatooted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(välja arvatud kodulinnu- ja ulukiliha)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1784; </w:t>
            </w:r>
          </w:p>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(eri lindude liha, känguruliha, jäneseliha)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1784; </w:t>
            </w:r>
          </w:p>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rups ja lihatooted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1784; </w:t>
            </w:r>
          </w:p>
          <w:p w:rsidR="00A55DB8" w:rsidRDefault="002F0B45">
            <w:pPr>
              <w:spacing w:after="0"/>
              <w:jc w:val="center"/>
              <w:rPr>
                <w:noProof/>
                <w:sz w:val="20"/>
                <w:szCs w:val="18"/>
              </w:rPr>
            </w:pPr>
            <w:r>
              <w:rPr>
                <w:noProof/>
                <w:sz w:val="20"/>
              </w:rPr>
              <w:t>EN 1786</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Kodulinnuliha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1784; </w:t>
            </w:r>
          </w:p>
          <w:p w:rsidR="00A55DB8" w:rsidRDefault="002F0B45">
            <w:pPr>
              <w:spacing w:after="0"/>
              <w:jc w:val="center"/>
              <w:rPr>
                <w:noProof/>
                <w:sz w:val="20"/>
                <w:szCs w:val="18"/>
              </w:rPr>
            </w:pPr>
            <w:r>
              <w:rPr>
                <w:noProof/>
                <w:sz w:val="20"/>
              </w:rPr>
              <w:t>EN 1786</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Kakao</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Kohv</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Eritoiduks ette nähtud toit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Muu: grillikaste (1), köögiviljapuljong (1) koriandripasta (1), kanasupi maitseained (1), kiirnuudliroog (1), köögiviljapuljongi kuubikud (1), idamaine kanaroog (1), kanakarrimaitseline </w:t>
            </w:r>
            <w:r>
              <w:rPr>
                <w:noProof/>
                <w:sz w:val="20"/>
              </w:rPr>
              <w:t>kiirsupp nuudlitega (1)</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Kuivkastmed 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(317)</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315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lastRenderedPageBreak/>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99,4 %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0,6 %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Ebaõigesti märgistatud</w:t>
      </w:r>
    </w:p>
    <w:p w:rsidR="00A55DB8" w:rsidRDefault="002F0B45">
      <w:pPr>
        <w:spacing w:before="240" w:after="120"/>
        <w:rPr>
          <w:noProof/>
          <w:u w:val="single"/>
        </w:rPr>
      </w:pPr>
      <w:r>
        <w:rPr>
          <w:noProof/>
          <w:u w:val="single"/>
        </w:rPr>
        <w:t>Portugal</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bCs/>
                <w:noProof/>
                <w:sz w:val="20"/>
                <w:szCs w:val="18"/>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bCs/>
                <w:noProof/>
                <w:sz w:val="20"/>
                <w:szCs w:val="18"/>
              </w:rPr>
            </w:pPr>
            <w:r>
              <w:rPr>
                <w:noProof/>
                <w:sz w:val="20"/>
              </w:rPr>
              <w:t>Taimeosad (sennakaunad, kummeliõied ja rõikapuu osad)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EN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bCs/>
                <w:noProof/>
                <w:sz w:val="20"/>
                <w:szCs w:val="18"/>
              </w:rPr>
            </w:pPr>
            <w:r>
              <w:rPr>
                <w:noProof/>
                <w:sz w:val="20"/>
              </w:rPr>
              <w:t>Ensüümid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 xml:space="preserve">EN </w:t>
            </w:r>
            <w:r>
              <w:rPr>
                <w:noProof/>
                <w:sz w:val="20"/>
              </w:rPr>
              <w:t>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bCs/>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bCs/>
                <w:noProof/>
                <w:sz w:val="20"/>
                <w:szCs w:val="18"/>
              </w:rPr>
            </w:pPr>
            <w:r>
              <w:rPr>
                <w:noProof/>
                <w:sz w:val="20"/>
              </w:rPr>
              <w:t>Ženšenniekstrakt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bCs/>
                <w:noProof/>
                <w:sz w:val="20"/>
                <w:szCs w:val="18"/>
              </w:rPr>
            </w:pPr>
            <w:r>
              <w:rPr>
                <w:noProof/>
                <w:sz w:val="20"/>
              </w:rPr>
              <w:t>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(9)</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rPr>
          <w:noProof/>
          <w:u w:val="single"/>
        </w:rPr>
      </w:pPr>
    </w:p>
    <w:p w:rsidR="00A55DB8" w:rsidRDefault="002F0B45">
      <w:pPr>
        <w:spacing w:before="240" w:after="120"/>
        <w:rPr>
          <w:noProof/>
          <w:u w:val="single"/>
        </w:rPr>
      </w:pPr>
      <w:r>
        <w:rPr>
          <w:noProof/>
          <w:u w:val="single"/>
        </w:rPr>
        <w:t>Rumeenia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jc w:val="left"/>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köögiviljad ja 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Kuivatatud </w:t>
            </w:r>
            <w:r>
              <w:rPr>
                <w:noProof/>
                <w:sz w:val="20"/>
              </w:rPr>
              <w:t>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143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8*</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13751 </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(314)</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297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7</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94,6 %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2,2 %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3,2 %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rPr>
          <w:noProof/>
          <w:sz w:val="20"/>
        </w:rPr>
      </w:pPr>
      <w:r>
        <w:rPr>
          <w:noProof/>
          <w:sz w:val="20"/>
        </w:rPr>
        <w:t xml:space="preserve">* </w:t>
      </w:r>
      <w:r>
        <w:rPr>
          <w:noProof/>
          <w:sz w:val="20"/>
        </w:rPr>
        <w:t>Kiiritatud keskustes, mida EL ei ole heaks kiitnud</w:t>
      </w:r>
    </w:p>
    <w:p w:rsidR="00A55DB8" w:rsidRDefault="002F0B45">
      <w:pPr>
        <w:spacing w:before="240" w:after="120"/>
        <w:rPr>
          <w:noProof/>
          <w:u w:val="single"/>
        </w:rPr>
      </w:pPr>
      <w:r>
        <w:rPr>
          <w:noProof/>
          <w:u w:val="single"/>
        </w:rPr>
        <w:t>Slovakkia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Pähklid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1784</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Õliseemned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1784</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Lõhefilee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1784</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Piim ja piimatooted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Valminud juust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1784</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(314)</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26</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 xml:space="preserve">Protsentuaalselt </w:t>
            </w:r>
            <w:r>
              <w:rPr>
                <w:noProof/>
                <w:color w:val="000000"/>
                <w:sz w:val="20"/>
              </w:rPr>
              <w:t>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Sloveenia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lastRenderedPageBreak/>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tcBorders>
              <w:top w:val="single" w:sz="4" w:space="0" w:color="auto"/>
              <w:left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Küüslauk</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13751</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rPr>
                <w:noProof/>
              </w:rPr>
            </w:pPr>
            <w:r>
              <w:rPr>
                <w:noProof/>
              </w:rPr>
              <w:t>Kodulinnuliha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rPr>
                <w:noProof/>
              </w:rPr>
            </w:pPr>
            <w:r>
              <w:rPr>
                <w:noProof/>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rPr>
                <w:noProof/>
              </w:rPr>
            </w:pPr>
            <w:r>
              <w:rPr>
                <w:noProof/>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rPr>
                <w:noProof/>
              </w:rPr>
            </w:pPr>
            <w:r>
              <w:rPr>
                <w:noProof/>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rPr>
                <w:noProof/>
              </w:rPr>
            </w:pPr>
            <w:r>
              <w:rPr>
                <w:noProof/>
              </w:rPr>
              <w:t>EN 1786</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left"/>
              <w:rPr>
                <w:noProof/>
                <w:sz w:val="20"/>
                <w:szCs w:val="18"/>
              </w:rPr>
            </w:pPr>
            <w:r>
              <w:rPr>
                <w:noProof/>
                <w:sz w:val="20"/>
              </w:rPr>
              <w:t>Kuivkastmed 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 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(17)</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17</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 xml:space="preserve">Protsentuaalselt </w:t>
            </w:r>
            <w:r>
              <w:rPr>
                <w:noProof/>
                <w:color w:val="000000"/>
                <w:sz w:val="20"/>
              </w:rPr>
              <w:t>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Hispaania</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szCs w:val="18"/>
              </w:rPr>
            </w:pPr>
            <w:r>
              <w:rPr>
                <w:noProof/>
                <w:sz w:val="20"/>
              </w:rPr>
              <w:t>Teravili, seemned, 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Kuivatatud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13708</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Kuivatatud seened ja seenetooted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Pähklid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1787</w:t>
            </w:r>
          </w:p>
        </w:tc>
      </w:tr>
      <w:tr w:rsidR="00A55DB8">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Õliseemned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Kuivatatud köögiviljad ja köögiviljatooted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1788;</w:t>
            </w:r>
          </w:p>
          <w:p w:rsidR="00A55DB8" w:rsidRDefault="002F0B45">
            <w:pPr>
              <w:spacing w:after="0"/>
              <w:jc w:val="center"/>
              <w:rPr>
                <w:noProof/>
                <w:sz w:val="20"/>
              </w:rPr>
            </w:pPr>
            <w:r>
              <w:rPr>
                <w:noProof/>
                <w:sz w:val="20"/>
              </w:rPr>
              <w:t>EN 1787;</w:t>
            </w:r>
          </w:p>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 xml:space="preserve">Kuivatatud maitsetaimed, vürtsid ja </w:t>
            </w:r>
            <w:r>
              <w:rPr>
                <w:noProof/>
                <w:sz w:val="20"/>
              </w:rPr>
              <w:t>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91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 xml:space="preserve">EN 1787; </w:t>
            </w:r>
          </w:p>
          <w:p w:rsidR="00A55DB8" w:rsidRDefault="002F0B45">
            <w:pPr>
              <w:spacing w:after="0"/>
              <w:jc w:val="center"/>
              <w:rPr>
                <w:noProof/>
                <w:sz w:val="20"/>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Taimeteed/tõmmised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13751</w:t>
            </w:r>
          </w:p>
        </w:tc>
      </w:tr>
      <w:tr w:rsidR="00A55DB8">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Koorikloomad, karbid ja muud veeloomad, sealhulgas nendest valmistatud 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A55DB8">
            <w:pPr>
              <w:spacing w:before="40" w:after="4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 xml:space="preserve">Kala ja </w:t>
            </w:r>
            <w:r>
              <w:rPr>
                <w:noProof/>
                <w:sz w:val="20"/>
              </w:rPr>
              <w:t>kalatooted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Kodulinnuliha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EN 1786</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(237)</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235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2</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99,2 %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0,8 %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Rootsi</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CENi </w:t>
            </w:r>
            <w:r>
              <w:rPr>
                <w:b/>
                <w:noProof/>
                <w:sz w:val="20"/>
              </w:rPr>
              <w:t>meetod</w:t>
            </w:r>
          </w:p>
        </w:tc>
      </w:tr>
      <w:tr w:rsidR="00A55DB8">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A55DB8" w:rsidRDefault="002F0B45">
            <w:pPr>
              <w:spacing w:after="0"/>
              <w:jc w:val="left"/>
              <w:rPr>
                <w:noProof/>
                <w:sz w:val="20"/>
              </w:rPr>
            </w:pPr>
            <w:r>
              <w:rPr>
                <w:noProof/>
                <w:sz w:val="20"/>
              </w:rPr>
              <w:t>Liha ja lihatooted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left"/>
              <w:rPr>
                <w:noProof/>
                <w:sz w:val="20"/>
                <w:szCs w:val="18"/>
              </w:rPr>
            </w:pPr>
            <w:r>
              <w:rPr>
                <w:noProof/>
                <w:sz w:val="20"/>
              </w:rPr>
              <w:t>Liha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1784</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(5)</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A55DB8">
      <w:pPr>
        <w:spacing w:before="240" w:after="120"/>
        <w:rPr>
          <w:noProof/>
          <w:u w:val="single"/>
        </w:rPr>
      </w:pPr>
    </w:p>
    <w:p w:rsidR="00A55DB8" w:rsidRDefault="002F0B45">
      <w:pPr>
        <w:spacing w:before="240" w:after="120"/>
        <w:rPr>
          <w:noProof/>
          <w:u w:val="single"/>
        </w:rPr>
      </w:pPr>
      <w:r>
        <w:rPr>
          <w:noProof/>
          <w:u w:val="single"/>
        </w:rPr>
        <w:t>Ühendkuningriik</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A55DB8">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DB8" w:rsidRDefault="002F0B45">
            <w:pPr>
              <w:spacing w:after="0"/>
              <w:rPr>
                <w:noProof/>
                <w:sz w:val="20"/>
              </w:rPr>
            </w:pPr>
            <w:r>
              <w:rPr>
                <w:b/>
                <w:noProof/>
                <w:sz w:val="20"/>
              </w:rPr>
              <w:t>Toiduaineliik</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 xml:space="preserve">Toiduained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vastavad</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Ebaselged</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Nõuetele mittevastavad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b/>
                <w:noProof/>
                <w:sz w:val="20"/>
              </w:rPr>
              <w:t>CENi meetod</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jc w:val="left"/>
              <w:rPr>
                <w:noProof/>
                <w:sz w:val="20"/>
                <w:szCs w:val="18"/>
              </w:rPr>
            </w:pPr>
            <w:r>
              <w:rPr>
                <w:noProof/>
                <w:sz w:val="20"/>
              </w:rPr>
              <w:t xml:space="preserve">Teravili, seemned, </w:t>
            </w:r>
            <w:r>
              <w:rPr>
                <w:noProof/>
                <w:sz w:val="20"/>
              </w:rPr>
              <w:t>köögi- ja puuviljad ning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left"/>
              <w:rPr>
                <w:noProof/>
                <w:sz w:val="20"/>
                <w:szCs w:val="18"/>
              </w:rPr>
            </w:pPr>
            <w:r>
              <w:rPr>
                <w:noProof/>
                <w:sz w:val="20"/>
              </w:rPr>
              <w:t>Troopilised puuviljad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left"/>
              <w:rPr>
                <w:noProof/>
                <w:sz w:val="20"/>
                <w:szCs w:val="18"/>
              </w:rPr>
            </w:pPr>
            <w:r>
              <w:rPr>
                <w:noProof/>
                <w:sz w:val="20"/>
              </w:rPr>
              <w:t>Kiirnuudlid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20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keepNext/>
              <w:keepLines/>
              <w:spacing w:before="40" w:after="40"/>
              <w:jc w:val="center"/>
              <w:rPr>
                <w:noProof/>
                <w:sz w:val="20"/>
                <w:szCs w:val="18"/>
              </w:rPr>
            </w:pPr>
            <w:r>
              <w:rPr>
                <w:noProof/>
                <w:sz w:val="20"/>
              </w:rPr>
              <w:t>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Kalad, koorikloomad, karbid ja nendest valmistatud tooted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Külmutatud koorikloomad ja molluskid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 xml:space="preserve">EN </w:t>
            </w:r>
            <w:r>
              <w:rPr>
                <w:noProof/>
                <w:sz w:val="20"/>
              </w:rPr>
              <w:t>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before="40" w:after="4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Kala ja kalatooted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 xml:space="preserve">EN 1788; </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A55DB8" w:rsidRDefault="002F0B45">
            <w:pPr>
              <w:spacing w:after="0"/>
              <w:rPr>
                <w:noProof/>
                <w:sz w:val="20"/>
              </w:rPr>
            </w:pPr>
            <w:r>
              <w:rPr>
                <w:noProof/>
                <w:sz w:val="20"/>
              </w:rPr>
              <w:t>Maitsetaimed ja vürtsid</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Kuivatatud maitsetaimed, vürtsid ja köögiviljamaitseained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56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Tee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w:t>
            </w:r>
          </w:p>
          <w:p w:rsidR="00A55DB8" w:rsidRDefault="002F0B45">
            <w:pPr>
              <w:spacing w:after="0"/>
              <w:jc w:val="center"/>
              <w:rPr>
                <w:noProof/>
                <w:sz w:val="20"/>
                <w:szCs w:val="18"/>
              </w:rPr>
            </w:pPr>
            <w:r>
              <w:rPr>
                <w:noProof/>
                <w:sz w:val="20"/>
              </w:rPr>
              <w:t>EN 13751</w:t>
            </w:r>
          </w:p>
        </w:tc>
      </w:tr>
      <w:tr w:rsidR="00A55DB8">
        <w:trPr>
          <w:trHeight w:val="270"/>
        </w:trPr>
        <w:tc>
          <w:tcPr>
            <w:tcW w:w="1920" w:type="dxa"/>
            <w:vMerge w:val="restart"/>
            <w:tcBorders>
              <w:left w:val="single" w:sz="4" w:space="0" w:color="auto"/>
              <w:right w:val="single" w:sz="4" w:space="0" w:color="auto"/>
            </w:tcBorders>
            <w:shd w:val="clear" w:color="auto" w:fill="auto"/>
            <w:noWrap/>
            <w:vAlign w:val="center"/>
          </w:tcPr>
          <w:p w:rsidR="00A55DB8" w:rsidRDefault="002F0B45">
            <w:pPr>
              <w:spacing w:before="40" w:after="40"/>
              <w:jc w:val="left"/>
              <w:rPr>
                <w:noProof/>
                <w:sz w:val="20"/>
              </w:rPr>
            </w:pPr>
            <w:r>
              <w:rPr>
                <w:noProof/>
                <w:sz w:val="20"/>
              </w:rPr>
              <w:t>Muu</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Toidulisandid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 EN 13751</w:t>
            </w:r>
          </w:p>
        </w:tc>
      </w:tr>
      <w:tr w:rsidR="00A55DB8">
        <w:trPr>
          <w:trHeight w:val="270"/>
        </w:trPr>
        <w:tc>
          <w:tcPr>
            <w:tcW w:w="1920" w:type="dxa"/>
            <w:vMerge/>
            <w:tcBorders>
              <w:left w:val="single" w:sz="4" w:space="0" w:color="auto"/>
              <w:right w:val="single" w:sz="4" w:space="0" w:color="auto"/>
            </w:tcBorders>
            <w:shd w:val="clear" w:color="auto" w:fill="auto"/>
            <w:noWrap/>
            <w:vAlign w:val="center"/>
          </w:tcPr>
          <w:p w:rsidR="00A55DB8" w:rsidRDefault="00A55DB8">
            <w:pPr>
              <w:spacing w:before="40" w:after="40"/>
              <w:jc w:val="left"/>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 xml:space="preserve">Kuivkastmed </w:t>
            </w:r>
            <w:r>
              <w:rPr>
                <w:noProof/>
                <w:sz w:val="20"/>
              </w:rPr>
              <w:t>ja -supid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 EN 13751</w:t>
            </w:r>
          </w:p>
        </w:tc>
      </w:tr>
      <w:tr w:rsidR="00A55DB8">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A55DB8" w:rsidRDefault="00A55DB8">
            <w:pPr>
              <w:spacing w:before="40" w:after="40"/>
              <w:jc w:val="left"/>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left"/>
              <w:rPr>
                <w:noProof/>
                <w:sz w:val="20"/>
                <w:szCs w:val="18"/>
              </w:rPr>
            </w:pPr>
            <w:r>
              <w:rPr>
                <w:noProof/>
                <w:sz w:val="20"/>
              </w:rPr>
              <w:t>Supp</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szCs w:val="18"/>
              </w:rPr>
            </w:pPr>
            <w:r>
              <w:rPr>
                <w:noProof/>
                <w:sz w:val="20"/>
              </w:rPr>
              <w:t>EN 1788; EN 13751</w:t>
            </w: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Kokku (112)</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93</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5</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14</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r w:rsidR="00A55DB8">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A55DB8" w:rsidRDefault="002F0B45">
            <w:pPr>
              <w:spacing w:after="0"/>
              <w:jc w:val="right"/>
              <w:rPr>
                <w:noProof/>
                <w:sz w:val="20"/>
              </w:rPr>
            </w:pPr>
            <w:r>
              <w:rPr>
                <w:noProof/>
                <w:color w:val="000000"/>
                <w:sz w:val="20"/>
              </w:rPr>
              <w:t>Protsentuaalselt kõigist analüüsitud proovidest</w:t>
            </w:r>
          </w:p>
        </w:tc>
        <w:tc>
          <w:tcPr>
            <w:tcW w:w="120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83,0 %</w:t>
            </w:r>
          </w:p>
        </w:tc>
        <w:tc>
          <w:tcPr>
            <w:tcW w:w="132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4,5 %</w:t>
            </w:r>
          </w:p>
        </w:tc>
        <w:tc>
          <w:tcPr>
            <w:tcW w:w="1560" w:type="dxa"/>
            <w:tcBorders>
              <w:top w:val="nil"/>
              <w:left w:val="nil"/>
              <w:bottom w:val="single" w:sz="4" w:space="0" w:color="auto"/>
              <w:right w:val="single" w:sz="4" w:space="0" w:color="auto"/>
            </w:tcBorders>
            <w:shd w:val="clear" w:color="auto" w:fill="auto"/>
            <w:noWrap/>
            <w:vAlign w:val="center"/>
          </w:tcPr>
          <w:p w:rsidR="00A55DB8" w:rsidRDefault="002F0B45">
            <w:pPr>
              <w:spacing w:after="0"/>
              <w:jc w:val="center"/>
              <w:rPr>
                <w:noProof/>
                <w:sz w:val="20"/>
              </w:rPr>
            </w:pPr>
            <w:r>
              <w:rPr>
                <w:noProof/>
                <w:sz w:val="20"/>
              </w:rPr>
              <w:t>12,5 %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A55DB8" w:rsidRDefault="00A55DB8">
            <w:pPr>
              <w:spacing w:after="0"/>
              <w:jc w:val="center"/>
              <w:rPr>
                <w:noProof/>
                <w:sz w:val="20"/>
              </w:rPr>
            </w:pPr>
          </w:p>
        </w:tc>
      </w:tr>
    </w:tbl>
    <w:p w:rsidR="00A55DB8" w:rsidRDefault="002F0B45">
      <w:pPr>
        <w:spacing w:after="0"/>
        <w:rPr>
          <w:noProof/>
          <w:sz w:val="20"/>
        </w:rPr>
      </w:pPr>
      <w:r>
        <w:rPr>
          <w:noProof/>
          <w:sz w:val="20"/>
        </w:rPr>
        <w:t>* Ebaõigesti märgistatud ja/või kiiritatud keskustes, mida EL ei ole heaks kiitnud</w:t>
      </w:r>
    </w:p>
    <w:p w:rsidR="00A55DB8" w:rsidRDefault="002F0B45">
      <w:pPr>
        <w:rPr>
          <w:noProof/>
          <w:sz w:val="20"/>
        </w:rPr>
      </w:pPr>
      <w:r>
        <w:rPr>
          <w:noProof/>
          <w:sz w:val="20"/>
        </w:rPr>
        <w:t xml:space="preserve">** </w:t>
      </w:r>
      <w:r>
        <w:rPr>
          <w:noProof/>
          <w:sz w:val="20"/>
        </w:rPr>
        <w:t>Kiiritamine ei ole lubatud</w:t>
      </w:r>
    </w:p>
    <w:p w:rsidR="00A55DB8" w:rsidRDefault="002F0B45">
      <w:pPr>
        <w:spacing w:after="0"/>
        <w:rPr>
          <w:noProof/>
        </w:rPr>
      </w:pPr>
      <w:r>
        <w:rPr>
          <w:noProof/>
          <w:u w:val="single"/>
        </w:rPr>
        <w:t>Norra</w:t>
      </w:r>
      <w:r>
        <w:rPr>
          <w:noProof/>
        </w:rPr>
        <w:t xml:space="preserve"> </w:t>
      </w:r>
      <w:r>
        <w:rPr>
          <w:noProof/>
        </w:rPr>
        <w:br/>
        <w:t xml:space="preserve">Ioniseeriva kiirgusega töötlemise avastamise eesmärgil analüüse tegevate laborite puudumise tõttu ei tehtud 2015. aastal Norras kontrolle toodete turustamise etapis. </w:t>
      </w:r>
    </w:p>
    <w:sectPr w:rsidR="00A55DB8">
      <w:headerReference w:type="even" r:id="rId52"/>
      <w:headerReference w:type="default" r:id="rId53"/>
      <w:footerReference w:type="even" r:id="rId54"/>
      <w:footerReference w:type="default" r:id="rId55"/>
      <w:headerReference w:type="first" r:id="rId56"/>
      <w:footerReference w:type="first" r:id="rId57"/>
      <w:type w:val="continuous"/>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45" w:rsidRDefault="002F0B45">
      <w:pPr>
        <w:spacing w:after="0"/>
      </w:pPr>
      <w:r>
        <w:separator/>
      </w:r>
    </w:p>
  </w:endnote>
  <w:endnote w:type="continuationSeparator" w:id="0">
    <w:p w:rsidR="002F0B45" w:rsidRDefault="002F0B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noProof/>
        <w:sz w:val="24"/>
        <w:szCs w:val="24"/>
      </w:rPr>
      <w:fldChar w:fldCharType="end"/>
    </w:r>
  </w:p>
  <w:p w:rsidR="00A55DB8" w:rsidRDefault="00A55DB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noProof/>
        <w:sz w:val="24"/>
        <w:szCs w:val="24"/>
      </w:rPr>
      <w:fldChar w:fldCharType="end"/>
    </w:r>
  </w:p>
  <w:p w:rsidR="00A55DB8" w:rsidRDefault="00A55DB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C3D9E">
      <w:rPr>
        <w:rFonts w:ascii="Times New Roman" w:hAnsi="Times New Roman"/>
        <w:noProof/>
        <w:sz w:val="24"/>
        <w:szCs w:val="24"/>
      </w:rPr>
      <w:t>8</w:t>
    </w:r>
    <w:r>
      <w:rPr>
        <w:rFonts w:ascii="Times New Roman" w:hAnsi="Times New Roman"/>
        <w:noProof/>
        <w:sz w:val="24"/>
        <w:szCs w:val="24"/>
      </w:rPr>
      <w:fldChar w:fldCharType="end"/>
    </w:r>
  </w:p>
  <w:p w:rsidR="00A55DB8" w:rsidRDefault="00A55DB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6</w:t>
    </w:r>
    <w:r>
      <w:rPr>
        <w:rFonts w:ascii="Times New Roman" w:hAnsi="Times New Roman"/>
        <w:noProof/>
        <w:sz w:val="24"/>
        <w:szCs w:val="24"/>
      </w:rPr>
      <w:fldChar w:fldCharType="end"/>
    </w:r>
  </w:p>
  <w:p w:rsidR="00A55DB8" w:rsidRDefault="00A55DB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noProof/>
        <w:sz w:val="24"/>
        <w:szCs w:val="24"/>
      </w:rPr>
      <w:fldChar w:fldCharType="end"/>
    </w:r>
  </w:p>
  <w:p w:rsidR="00A55DB8" w:rsidRDefault="00A55DB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C3D9E">
      <w:rPr>
        <w:rFonts w:ascii="Times New Roman" w:hAnsi="Times New Roman"/>
        <w:noProof/>
        <w:sz w:val="24"/>
        <w:szCs w:val="24"/>
      </w:rPr>
      <w:t>9</w:t>
    </w:r>
    <w:r>
      <w:rPr>
        <w:rFonts w:ascii="Times New Roman" w:hAnsi="Times New Roman"/>
        <w:noProof/>
        <w:sz w:val="24"/>
        <w:szCs w:val="24"/>
      </w:rPr>
      <w:fldChar w:fldCharType="end"/>
    </w:r>
  </w:p>
  <w:p w:rsidR="00A55DB8" w:rsidRDefault="00A55DB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ET</w:t>
    </w:r>
    <w:proofErr w:type="spellEnd"/>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C3D9E">
      <w:rPr>
        <w:rFonts w:ascii="Times New Roman" w:hAnsi="Times New Roman"/>
        <w:noProof/>
        <w:sz w:val="24"/>
        <w:szCs w:val="24"/>
      </w:rPr>
      <w:t>13</w:t>
    </w:r>
    <w:r>
      <w:rPr>
        <w:rFonts w:ascii="Times New Roman" w:hAnsi="Times New Roman"/>
        <w:noProof/>
        <w:sz w:val="24"/>
        <w:szCs w:val="24"/>
      </w:rPr>
      <w:fldChar w:fldCharType="end"/>
    </w:r>
  </w:p>
  <w:p w:rsidR="00A55DB8" w:rsidRDefault="00A55DB8">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w:instrText>
    </w:r>
    <w:r>
      <w:rPr>
        <w:rFonts w:ascii="Times New Roman" w:hAnsi="Times New Roman"/>
        <w:sz w:val="24"/>
        <w:szCs w:val="24"/>
      </w:rPr>
      <w:instrText xml:space="preserve">T </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noProof/>
        <w:sz w:val="24"/>
        <w:szCs w:val="24"/>
      </w:rPr>
      <w:fldChar w:fldCharType="end"/>
    </w:r>
  </w:p>
  <w:p w:rsidR="00A55DB8" w:rsidRDefault="00A55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C3D9E">
      <w:rPr>
        <w:rFonts w:ascii="Times New Roman" w:hAnsi="Times New Roman"/>
        <w:noProof/>
        <w:sz w:val="24"/>
        <w:szCs w:val="24"/>
      </w:rPr>
      <w:t>5</w:t>
    </w:r>
    <w:r>
      <w:rPr>
        <w:rFonts w:ascii="Times New Roman" w:hAnsi="Times New Roman"/>
        <w:noProof/>
        <w:sz w:val="24"/>
        <w:szCs w:val="24"/>
      </w:rPr>
      <w:fldChar w:fldCharType="end"/>
    </w:r>
  </w:p>
  <w:p w:rsidR="00A55DB8" w:rsidRDefault="00A55DB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2F0B45">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C3D9E">
      <w:rPr>
        <w:rFonts w:ascii="Times New Roman" w:hAnsi="Times New Roman"/>
        <w:noProof/>
        <w:sz w:val="24"/>
        <w:szCs w:val="24"/>
      </w:rPr>
      <w:t>2</w:t>
    </w:r>
    <w:r>
      <w:rPr>
        <w:rFonts w:ascii="Times New Roman" w:hAnsi="Times New Roman"/>
        <w:noProof/>
        <w:sz w:val="24"/>
        <w:szCs w:val="24"/>
      </w:rPr>
      <w:fldChar w:fldCharType="end"/>
    </w:r>
  </w:p>
  <w:p w:rsidR="00A55DB8" w:rsidRDefault="00A55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45" w:rsidRDefault="002F0B45">
      <w:pPr>
        <w:spacing w:after="0"/>
      </w:pPr>
      <w:r>
        <w:separator/>
      </w:r>
    </w:p>
  </w:footnote>
  <w:footnote w:type="continuationSeparator" w:id="0">
    <w:p w:rsidR="002F0B45" w:rsidRDefault="002F0B45">
      <w:pPr>
        <w:spacing w:after="0"/>
      </w:pPr>
      <w:r>
        <w:continuationSeparator/>
      </w:r>
    </w:p>
  </w:footnote>
  <w:footnote w:id="1">
    <w:p w:rsidR="00A55DB8" w:rsidRDefault="002F0B45">
      <w:pPr>
        <w:pStyle w:val="FootnoteText"/>
        <w:spacing w:after="0"/>
      </w:pPr>
      <w:r>
        <w:rPr>
          <w:rStyle w:val="FootnoteReference"/>
        </w:rPr>
        <w:footnoteRef/>
      </w:r>
      <w:r>
        <w:tab/>
        <w:t>http://ec.europa.eu/food/safety/biosafety/irradiation/index_en.htm.</w:t>
      </w:r>
    </w:p>
  </w:footnote>
  <w:footnote w:id="2">
    <w:p w:rsidR="00A55DB8" w:rsidRDefault="002F0B45">
      <w:pPr>
        <w:pStyle w:val="FootnoteText"/>
        <w:spacing w:after="0"/>
      </w:pPr>
      <w:r>
        <w:rPr>
          <w:rStyle w:val="FootnoteReference"/>
        </w:rPr>
        <w:footnoteRef/>
      </w:r>
      <w:r>
        <w:t xml:space="preserve"> </w:t>
      </w:r>
      <w:r>
        <w:tab/>
        <w:t xml:space="preserve">Euroopa Parlamendi ja nõukogu 22. veebruari 1999. aasta direktiiv 1999/2/EÜ ioniseeriva kiirgusega töödeldud toitu ja toidu koostisosasid käsitlevate liikmesriikide </w:t>
      </w:r>
      <w:r>
        <w:t>õigusaktide ühtlustamise kohta (EÜT L 66, 13.3.1999, lk 16).</w:t>
      </w:r>
    </w:p>
  </w:footnote>
  <w:footnote w:id="3">
    <w:p w:rsidR="00A55DB8" w:rsidRDefault="002F0B45">
      <w:pPr>
        <w:pStyle w:val="FootnoteText"/>
        <w:spacing w:after="0"/>
      </w:pPr>
      <w:r>
        <w:rPr>
          <w:rStyle w:val="FootnoteReference"/>
        </w:rPr>
        <w:footnoteRef/>
      </w:r>
      <w:r>
        <w:t xml:space="preserve"> </w:t>
      </w:r>
      <w:r>
        <w:tab/>
        <w:t>Euroopa Parlamendi ja nõukogu 22. veebruari 1999. aasta direktiiv 1999/3/EÜ ioniseeriva kiirgusega töödeldud toidu ja toidu koostisosade ühenduse loetelu kehtestamise kohta (EÜT L 66, 13.3.199</w:t>
      </w:r>
      <w:r>
        <w:t>9, lk 24).</w:t>
      </w:r>
    </w:p>
  </w:footnote>
  <w:footnote w:id="4">
    <w:p w:rsidR="00A55DB8" w:rsidRDefault="002F0B45">
      <w:pPr>
        <w:pStyle w:val="FootnoteText"/>
        <w:spacing w:after="0"/>
      </w:pPr>
      <w:r>
        <w:rPr>
          <w:rStyle w:val="FootnoteReference"/>
        </w:rPr>
        <w:footnoteRef/>
      </w:r>
      <w:r>
        <w:tab/>
      </w:r>
      <w:r>
        <w:rPr>
          <w:rStyle w:val="FootnoteReference"/>
          <w:vertAlign w:val="baseline"/>
        </w:rPr>
        <w:t>ELT C 283, 24.11.2009, lk 5.</w:t>
      </w:r>
    </w:p>
  </w:footnote>
  <w:footnote w:id="5">
    <w:p w:rsidR="00A55DB8" w:rsidRDefault="002F0B45">
      <w:pPr>
        <w:pStyle w:val="FootnoteText"/>
        <w:spacing w:after="0"/>
      </w:pPr>
      <w:r>
        <w:rPr>
          <w:rStyle w:val="FootnoteReference"/>
        </w:rPr>
        <w:footnoteRef/>
      </w:r>
      <w:r>
        <w:tab/>
      </w:r>
      <w:r>
        <w:rPr>
          <w:rStyle w:val="FootnoteReference"/>
          <w:vertAlign w:val="baseline"/>
        </w:rPr>
        <w:t xml:space="preserve">ELT C 51, 13.2.2015, lk 59–63. </w:t>
      </w:r>
    </w:p>
  </w:footnote>
  <w:footnote w:id="6">
    <w:p w:rsidR="00A55DB8" w:rsidRDefault="002F0B45">
      <w:pPr>
        <w:pStyle w:val="FootnoteText"/>
      </w:pPr>
      <w:r>
        <w:rPr>
          <w:rStyle w:val="FootnoteReference"/>
        </w:rPr>
        <w:footnoteRef/>
      </w:r>
      <w:r>
        <w:t xml:space="preserve"> Viide: FAO/WHO/CAC, XV kd, 1. väljaanne.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B8" w:rsidRDefault="00A55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50FB1"/>
    <w:multiLevelType w:val="multilevel"/>
    <w:tmpl w:val="7780DBCA"/>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2EF2C87"/>
    <w:multiLevelType w:val="hybridMultilevel"/>
    <w:tmpl w:val="B3C8AABC"/>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E43525"/>
    <w:multiLevelType w:val="multilevel"/>
    <w:tmpl w:val="449A12FE"/>
    <w:name w:val="List Number 3"/>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212747"/>
    <w:multiLevelType w:val="multilevel"/>
    <w:tmpl w:val="FBD0F48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DD5905"/>
    <w:multiLevelType w:val="singleLevel"/>
    <w:tmpl w:val="6CB4B73E"/>
    <w:name w:val="List Bullet 2"/>
    <w:lvl w:ilvl="0">
      <w:start w:val="1"/>
      <w:numFmt w:val="bullet"/>
      <w:lvlRestart w:val="0"/>
      <w:lvlText w:val=""/>
      <w:lvlJc w:val="left"/>
      <w:pPr>
        <w:tabs>
          <w:tab w:val="num" w:pos="1134"/>
        </w:tabs>
        <w:ind w:left="1134" w:hanging="283"/>
      </w:pPr>
      <w:rPr>
        <w:rFonts w:ascii="Symbol" w:hAnsi="Symbol" w:hint="default"/>
      </w:rPr>
    </w:lvl>
  </w:abstractNum>
  <w:abstractNum w:abstractNumId="7">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8">
    <w:nsid w:val="14F64798"/>
    <w:multiLevelType w:val="hybridMultilevel"/>
    <w:tmpl w:val="9FE6BB32"/>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15">
    <w:nsid w:val="245625B2"/>
    <w:multiLevelType w:val="singleLevel"/>
    <w:tmpl w:val="CE8AFADA"/>
    <w:name w:val="List Bullet__1"/>
    <w:lvl w:ilvl="0">
      <w:start w:val="1"/>
      <w:numFmt w:val="bullet"/>
      <w:lvlRestart w:val="0"/>
      <w:lvlText w:val=""/>
      <w:lvlJc w:val="left"/>
      <w:pPr>
        <w:tabs>
          <w:tab w:val="num" w:pos="283"/>
        </w:tabs>
        <w:ind w:left="283" w:hanging="283"/>
      </w:pPr>
      <w:rPr>
        <w:rFonts w:ascii="Symbol" w:hAnsi="Symbol" w:hint="default"/>
      </w:rPr>
    </w:lvl>
  </w:abstractNum>
  <w:abstractNum w:abstractNumId="16">
    <w:nsid w:val="24E930D7"/>
    <w:multiLevelType w:val="multilevel"/>
    <w:tmpl w:val="1B1A18EC"/>
    <w:name w:val="List Number 4__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665B10"/>
    <w:multiLevelType w:val="singleLevel"/>
    <w:tmpl w:val="46FC9CFA"/>
    <w:name w:val="List Bullet 4__1"/>
    <w:lvl w:ilvl="0">
      <w:start w:val="1"/>
      <w:numFmt w:val="bullet"/>
      <w:lvlRestart w:val="0"/>
      <w:lvlText w:val=""/>
      <w:lvlJc w:val="left"/>
      <w:pPr>
        <w:tabs>
          <w:tab w:val="num" w:pos="1134"/>
        </w:tabs>
        <w:ind w:left="1134" w:hanging="283"/>
      </w:pPr>
      <w:rPr>
        <w:rFonts w:ascii="Symbol" w:hAnsi="Symbol" w:hint="default"/>
      </w:rPr>
    </w:lvl>
  </w:abstractNum>
  <w:abstractNum w:abstractNumId="1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076C74"/>
    <w:multiLevelType w:val="multilevel"/>
    <w:tmpl w:val="CC8EDB1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nsid w:val="30B00343"/>
    <w:multiLevelType w:val="multilevel"/>
    <w:tmpl w:val="A9DA8D04"/>
    <w:name w:val="List Number__1"/>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nsid w:val="3E191884"/>
    <w:multiLevelType w:val="singleLevel"/>
    <w:tmpl w:val="3020C764"/>
    <w:name w:val="List Bullet 3__2"/>
    <w:lvl w:ilvl="0">
      <w:start w:val="1"/>
      <w:numFmt w:val="bullet"/>
      <w:lvlRestart w:val="0"/>
      <w:lvlText w:val=""/>
      <w:lvlJc w:val="left"/>
      <w:pPr>
        <w:tabs>
          <w:tab w:val="num" w:pos="1134"/>
        </w:tabs>
        <w:ind w:left="1134" w:hanging="283"/>
      </w:pPr>
      <w:rPr>
        <w:rFonts w:ascii="Symbol" w:hAnsi="Symbol" w:hint="default"/>
      </w:rPr>
    </w:lvl>
  </w:abstractNum>
  <w:abstractNum w:abstractNumId="27">
    <w:nsid w:val="40FF3500"/>
    <w:multiLevelType w:val="singleLevel"/>
    <w:tmpl w:val="84DA1EE8"/>
    <w:name w:val="0.6447566"/>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42237DC8"/>
    <w:multiLevelType w:val="hybridMultilevel"/>
    <w:tmpl w:val="9132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0">
    <w:nsid w:val="47624FD8"/>
    <w:multiLevelType w:val="multilevel"/>
    <w:tmpl w:val="F70ADEA0"/>
    <w:name w:val="List Number 2__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9D47C56"/>
    <w:multiLevelType w:val="multilevel"/>
    <w:tmpl w:val="77E0331E"/>
    <w:name w:val="List Bullet 4__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B7B63E2"/>
    <w:multiLevelType w:val="hybridMultilevel"/>
    <w:tmpl w:val="F9BAF79A"/>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C1D2E93"/>
    <w:multiLevelType w:val="hybridMultilevel"/>
    <w:tmpl w:val="F1222906"/>
    <w:lvl w:ilvl="0" w:tplc="7A50D5E2">
      <w:start w:val="4"/>
      <w:numFmt w:val="bullet"/>
      <w:lvlText w:val=""/>
      <w:lvlJc w:val="left"/>
      <w:pPr>
        <w:ind w:left="361" w:hanging="360"/>
      </w:pPr>
      <w:rPr>
        <w:rFonts w:ascii="Symbol" w:eastAsia="Times New Roman" w:hAnsi="Symbol" w:cs="Times New Roman"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34">
    <w:nsid w:val="525A1BE1"/>
    <w:multiLevelType w:val="multilevel"/>
    <w:tmpl w:val="5CF0C6D0"/>
    <w:name w:val="List Number 4__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6">
    <w:nsid w:val="56BD6302"/>
    <w:multiLevelType w:val="singleLevel"/>
    <w:tmpl w:val="70EA3F82"/>
    <w:name w:val="List Bullet 3__1"/>
    <w:lvl w:ilvl="0">
      <w:start w:val="1"/>
      <w:numFmt w:val="bullet"/>
      <w:lvlRestart w:val="0"/>
      <w:lvlText w:val=""/>
      <w:lvlJc w:val="left"/>
      <w:pPr>
        <w:tabs>
          <w:tab w:val="num" w:pos="1134"/>
        </w:tabs>
        <w:ind w:left="1134" w:hanging="283"/>
      </w:pPr>
      <w:rPr>
        <w:rFonts w:ascii="Symbol" w:hAnsi="Symbol" w:hint="default"/>
      </w:rPr>
    </w:lvl>
  </w:abstractNum>
  <w:abstractNum w:abstractNumId="37">
    <w:nsid w:val="5CEE73A5"/>
    <w:multiLevelType w:val="multilevel"/>
    <w:tmpl w:val="43B86EB4"/>
    <w:name w:val="List Number 3__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1">
    <w:nsid w:val="63B26268"/>
    <w:multiLevelType w:val="singleLevel"/>
    <w:tmpl w:val="491E6360"/>
    <w:lvl w:ilvl="0">
      <w:start w:val="1"/>
      <w:numFmt w:val="decimal"/>
      <w:lvlRestart w:val="0"/>
      <w:pStyle w:val="Considrant"/>
      <w:lvlText w:val="(%1)"/>
      <w:lvlJc w:val="left"/>
      <w:pPr>
        <w:tabs>
          <w:tab w:val="num" w:pos="709"/>
        </w:tabs>
        <w:ind w:left="709" w:hanging="709"/>
      </w:pPr>
    </w:lvl>
  </w:abstractNum>
  <w:abstractNum w:abstractNumId="42">
    <w:nsid w:val="64A12FA4"/>
    <w:multiLevelType w:val="multilevel"/>
    <w:tmpl w:val="428ECF3E"/>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6D0C4356"/>
    <w:multiLevelType w:val="singleLevel"/>
    <w:tmpl w:val="13F0312E"/>
    <w:name w:val="List Bullet 2__1"/>
    <w:lvl w:ilvl="0">
      <w:start w:val="1"/>
      <w:numFmt w:val="bullet"/>
      <w:lvlRestart w:val="0"/>
      <w:lvlText w:val=""/>
      <w:lvlJc w:val="left"/>
      <w:pPr>
        <w:tabs>
          <w:tab w:val="num" w:pos="1134"/>
        </w:tabs>
        <w:ind w:left="1134" w:hanging="283"/>
      </w:pPr>
      <w:rPr>
        <w:rFonts w:ascii="Symbol" w:hAnsi="Symbol" w:hint="default"/>
      </w:rPr>
    </w:lvl>
  </w:abstractNum>
  <w:abstractNum w:abstractNumId="44">
    <w:nsid w:val="6D2B5511"/>
    <w:multiLevelType w:val="singleLevel"/>
    <w:tmpl w:val="74A09970"/>
    <w:name w:val="List Number__2"/>
    <w:lvl w:ilvl="0">
      <w:start w:val="1"/>
      <w:numFmt w:val="bullet"/>
      <w:lvlRestart w:val="0"/>
      <w:lvlText w:val=""/>
      <w:lvlJc w:val="left"/>
      <w:pPr>
        <w:tabs>
          <w:tab w:val="num" w:pos="283"/>
        </w:tabs>
        <w:ind w:left="283" w:hanging="283"/>
      </w:pPr>
      <w:rPr>
        <w:rFonts w:ascii="Symbol" w:hAnsi="Symbol" w:hint="default"/>
      </w:rPr>
    </w:lvl>
  </w:abstractNum>
  <w:abstractNum w:abstractNumId="4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6">
    <w:nsid w:val="6EC300CA"/>
    <w:multiLevelType w:val="singleLevel"/>
    <w:tmpl w:val="055ABBD0"/>
    <w:name w:val="Considérant__1"/>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7">
    <w:nsid w:val="712E4B18"/>
    <w:multiLevelType w:val="singleLevel"/>
    <w:tmpl w:val="66ECC298"/>
    <w:lvl w:ilvl="0">
      <w:start w:val="1"/>
      <w:numFmt w:val="bullet"/>
      <w:lvlRestart w:val="0"/>
      <w:pStyle w:val="Tiret3"/>
      <w:lvlText w:val="–"/>
      <w:lvlJc w:val="left"/>
      <w:pPr>
        <w:tabs>
          <w:tab w:val="num" w:pos="2551"/>
        </w:tabs>
        <w:ind w:left="2551" w:hanging="567"/>
      </w:pPr>
    </w:lvl>
  </w:abstractNum>
  <w:abstractNum w:abstractNumId="48">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29504D5"/>
    <w:multiLevelType w:val="singleLevel"/>
    <w:tmpl w:val="1BC6DBFC"/>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0">
    <w:nsid w:val="78A241BD"/>
    <w:multiLevelType w:val="singleLevel"/>
    <w:tmpl w:val="53C4DF32"/>
    <w:name w:val="List Dash"/>
    <w:lvl w:ilvl="0">
      <w:start w:val="1"/>
      <w:numFmt w:val="bullet"/>
      <w:lvlRestart w:val="0"/>
      <w:lvlText w:val="–"/>
      <w:lvlJc w:val="left"/>
      <w:pPr>
        <w:tabs>
          <w:tab w:val="num" w:pos="1134"/>
        </w:tabs>
        <w:ind w:left="1134" w:hanging="283"/>
      </w:pPr>
      <w:rPr>
        <w:rFonts w:ascii="Times New Roman" w:hAnsi="Times New Roman" w:cs="Times New Roman"/>
      </w:rPr>
    </w:lvl>
  </w:abstractNum>
  <w:abstractNum w:abstractNumId="51">
    <w:nsid w:val="7B454D54"/>
    <w:multiLevelType w:val="singleLevel"/>
    <w:tmpl w:val="8A02E4B2"/>
    <w:name w:val="Default"/>
    <w:lvl w:ilvl="0">
      <w:start w:val="1"/>
      <w:numFmt w:val="bullet"/>
      <w:lvlRestart w:val="0"/>
      <w:pStyle w:val="Tiret4"/>
      <w:lvlText w:val="–"/>
      <w:lvlJc w:val="left"/>
      <w:pPr>
        <w:tabs>
          <w:tab w:val="num" w:pos="3118"/>
        </w:tabs>
        <w:ind w:left="3118" w:hanging="567"/>
      </w:pPr>
    </w:lvl>
  </w:abstractNum>
  <w:abstractNum w:abstractNumId="52">
    <w:nsid w:val="7E8224EA"/>
    <w:multiLevelType w:val="singleLevel"/>
    <w:tmpl w:val="34DEB8CE"/>
    <w:name w:val="List Bullet__2"/>
    <w:lvl w:ilvl="0">
      <w:start w:val="1"/>
      <w:numFmt w:val="bullet"/>
      <w:lvlRestart w:val="0"/>
      <w:pStyle w:val="Tiret0"/>
      <w:lvlText w:val="–"/>
      <w:lvlJc w:val="left"/>
      <w:pPr>
        <w:tabs>
          <w:tab w:val="num" w:pos="850"/>
        </w:tabs>
        <w:ind w:left="850" w:hanging="850"/>
      </w:pPr>
    </w:lvl>
  </w:abstractNum>
  <w:num w:numId="1">
    <w:abstractNumId w:val="1"/>
  </w:num>
  <w:num w:numId="2">
    <w:abstractNumId w:val="0"/>
  </w:num>
  <w:num w:numId="3">
    <w:abstractNumId w:val="12"/>
  </w:num>
  <w:num w:numId="4">
    <w:abstractNumId w:val="25"/>
  </w:num>
  <w:num w:numId="5">
    <w:abstractNumId w:val="18"/>
  </w:num>
  <w:num w:numId="6">
    <w:abstractNumId w:val="24"/>
  </w:num>
  <w:num w:numId="7">
    <w:abstractNumId w:val="40"/>
  </w:num>
  <w:num w:numId="8">
    <w:abstractNumId w:val="45"/>
  </w:num>
  <w:num w:numId="9">
    <w:abstractNumId w:val="22"/>
  </w:num>
  <w:num w:numId="10">
    <w:abstractNumId w:val="39"/>
  </w:num>
  <w:num w:numId="11">
    <w:abstractNumId w:val="38"/>
  </w:num>
  <w:num w:numId="12">
    <w:abstractNumId w:val="29"/>
  </w:num>
  <w:num w:numId="13">
    <w:abstractNumId w:val="35"/>
  </w:num>
  <w:num w:numId="14">
    <w:abstractNumId w:val="13"/>
  </w:num>
  <w:num w:numId="15">
    <w:abstractNumId w:val="23"/>
  </w:num>
  <w:num w:numId="16">
    <w:abstractNumId w:val="11"/>
  </w:num>
  <w:num w:numId="17">
    <w:abstractNumId w:val="19"/>
  </w:num>
  <w:num w:numId="18">
    <w:abstractNumId w:val="48"/>
  </w:num>
  <w:num w:numId="19">
    <w:abstractNumId w:val="52"/>
  </w:num>
  <w:num w:numId="20">
    <w:abstractNumId w:val="7"/>
  </w:num>
  <w:num w:numId="21">
    <w:abstractNumId w:val="14"/>
  </w:num>
  <w:num w:numId="22">
    <w:abstractNumId w:val="47"/>
  </w:num>
  <w:num w:numId="23">
    <w:abstractNumId w:val="51"/>
  </w:num>
  <w:num w:numId="24">
    <w:abstractNumId w:val="20"/>
  </w:num>
  <w:num w:numId="25">
    <w:abstractNumId w:val="9"/>
  </w:num>
  <w:num w:numId="26">
    <w:abstractNumId w:val="27"/>
  </w:num>
  <w:num w:numId="27">
    <w:abstractNumId w:val="10"/>
  </w:num>
  <w:num w:numId="28">
    <w:abstractNumId w:val="49"/>
  </w:num>
  <w:num w:numId="29">
    <w:abstractNumId w:val="46"/>
  </w:num>
  <w:num w:numId="30">
    <w:abstractNumId w:val="41"/>
  </w:num>
  <w:num w:numId="31">
    <w:abstractNumId w:val="33"/>
  </w:num>
  <w:num w:numId="32">
    <w:abstractNumId w:val="8"/>
  </w:num>
  <w:num w:numId="33">
    <w:abstractNumId w:val="3"/>
  </w:num>
  <w:num w:numId="34">
    <w:abstractNumId w:val="32"/>
  </w:num>
  <w:num w:numId="35">
    <w:abstractNumId w:val="42"/>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0D5A8C4516F245F7A814709D2303989D"/>
    <w:docVar w:name="LW_CROSSREFERENCE" w:val="&lt;UNUSED&gt;"/>
    <w:docVar w:name="LW_DocType" w:val="REP"/>
    <w:docVar w:name="LW_EMISSION" w:val="25.11.2016"/>
    <w:docVar w:name="LW_EMISSION_ISODATE" w:val="2016-11-25"/>
    <w:docVar w:name="LW_EMISSION_LOCATION" w:val="BRX"/>
    <w:docVar w:name="LW_EMISSION_PREFIX" w:val="Brüssel,"/>
    <w:docVar w:name="LW_EMISSION_SUFFIX" w:val=" "/>
    <w:docVar w:name="LW_ID_DOCTYPE_NONLW" w:val="CP-006"/>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6) 738"/>
    <w:docVar w:name="LW_REF.INTERNE" w:val="&lt;UNUSED&gt;"/>
    <w:docVar w:name="LW_SOUS.TITRE.OBJ.CP" w:val="&lt;UNUSED&gt;"/>
    <w:docVar w:name="LW_SUPERTITRE" w:val="&lt;UNUSED&gt;"/>
    <w:docVar w:name="LW_TITRE.OBJ.CP" w:val="2015. AASTAL IONISEERIVA KIIRGUSEGA TÖÖDELDUD TOIDU JA TOIDU KOOSTISOSADE KOHTA"/>
    <w:docVar w:name="LW_TYPE.DOC.CP" w:val="KOMISJONI ARUANNE EUROOPA PARLAMENDILE JA NÕUKOGULE"/>
  </w:docVars>
  <w:rsids>
    <w:rsidRoot w:val="00A55DB8"/>
    <w:rsid w:val="002F0B45"/>
    <w:rsid w:val="009C3D9E"/>
    <w:rsid w:val="00A5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uiPriority w:val="9"/>
    <w:qFormat/>
    <w:pPr>
      <w:keepNext/>
      <w:numPr>
        <w:numId w:val="3"/>
      </w:numPr>
      <w:spacing w:before="240"/>
      <w:outlineLvl w:val="0"/>
    </w:pPr>
    <w:rPr>
      <w:b/>
      <w:smallCaps/>
    </w:rPr>
  </w:style>
  <w:style w:type="paragraph" w:styleId="Heading2">
    <w:name w:val="heading 2"/>
    <w:basedOn w:val="Normal"/>
    <w:next w:val="Text2"/>
    <w:uiPriority w:val="9"/>
    <w:qFormat/>
    <w:pPr>
      <w:keepNext/>
      <w:numPr>
        <w:ilvl w:val="1"/>
        <w:numId w:val="3"/>
      </w:numPr>
      <w:outlineLvl w:val="1"/>
    </w:pPr>
    <w:rPr>
      <w:b/>
    </w:rPr>
  </w:style>
  <w:style w:type="paragraph" w:styleId="Heading3">
    <w:name w:val="heading 3"/>
    <w:basedOn w:val="Normal"/>
    <w:next w:val="Text3"/>
    <w:uiPriority w:val="9"/>
    <w:qFormat/>
    <w:pPr>
      <w:keepNext/>
      <w:numPr>
        <w:ilvl w:val="2"/>
        <w:numId w:val="3"/>
      </w:numPr>
      <w:outlineLvl w:val="2"/>
    </w:pPr>
    <w:rPr>
      <w:i/>
    </w:rPr>
  </w:style>
  <w:style w:type="paragraph" w:styleId="Heading4">
    <w:name w:val="heading 4"/>
    <w:basedOn w:val="Normal"/>
    <w:next w:val="Text4"/>
    <w:uiPriority w:val="9"/>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semiHidden/>
    <w:unhideWhenUsed/>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HeaderLandscape">
    <w:name w:val="HeaderLandscape"/>
    <w:basedOn w:val="Normal"/>
    <w:pPr>
      <w:tabs>
        <w:tab w:val="center" w:pos="7285"/>
        <w:tab w:val="right" w:pos="14003"/>
      </w:tabs>
      <w:spacing w:after="120"/>
    </w:pPr>
    <w:rPr>
      <w:szCs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szCs w:val="24"/>
    </w:rPr>
  </w:style>
  <w:style w:type="character" w:styleId="FootnoteReference">
    <w:name w:val="footnote reference"/>
    <w:semiHidden/>
    <w:rPr>
      <w:shd w:val="clear" w:color="auto" w:fill="auto"/>
      <w:vertAlign w:val="superscript"/>
    </w:rPr>
  </w:style>
  <w:style w:type="paragraph" w:customStyle="1" w:styleId="NormalCentered">
    <w:name w:val="Normal Centered"/>
    <w:basedOn w:val="Normal"/>
    <w:pPr>
      <w:spacing w:before="120" w:after="120"/>
      <w:jc w:val="center"/>
    </w:pPr>
    <w:rPr>
      <w:szCs w:val="24"/>
    </w:rPr>
  </w:style>
  <w:style w:type="paragraph" w:customStyle="1" w:styleId="NormalLeft">
    <w:name w:val="Normal Left"/>
    <w:basedOn w:val="Normal"/>
    <w:pPr>
      <w:spacing w:before="120" w:after="120"/>
      <w:jc w:val="left"/>
    </w:pPr>
    <w:rPr>
      <w:szCs w:val="24"/>
    </w:rPr>
  </w:style>
  <w:style w:type="paragraph" w:customStyle="1" w:styleId="NormalRight">
    <w:name w:val="Normal Right"/>
    <w:basedOn w:val="Normal"/>
    <w:pPr>
      <w:spacing w:before="120" w:after="120"/>
      <w:jc w:val="right"/>
    </w:pPr>
    <w:rPr>
      <w:szCs w:val="24"/>
    </w:rPr>
  </w:style>
  <w:style w:type="paragraph" w:customStyle="1" w:styleId="QuotedText">
    <w:name w:val="Quoted Text"/>
    <w:basedOn w:val="Normal"/>
    <w:pPr>
      <w:spacing w:before="120" w:after="120"/>
      <w:ind w:left="1417"/>
    </w:pPr>
    <w:rPr>
      <w:szCs w:val="24"/>
    </w:rPr>
  </w:style>
  <w:style w:type="paragraph" w:customStyle="1" w:styleId="Point0">
    <w:name w:val="Point 0"/>
    <w:basedOn w:val="Normal"/>
    <w:pPr>
      <w:spacing w:before="120" w:after="120"/>
      <w:ind w:left="850" w:hanging="850"/>
    </w:pPr>
    <w:rPr>
      <w:szCs w:val="24"/>
    </w:rPr>
  </w:style>
  <w:style w:type="paragraph" w:customStyle="1" w:styleId="Point1">
    <w:name w:val="Point 1"/>
    <w:basedOn w:val="Normal"/>
    <w:pPr>
      <w:spacing w:before="120" w:after="120"/>
      <w:ind w:left="1417" w:hanging="567"/>
    </w:pPr>
    <w:rPr>
      <w:szCs w:val="24"/>
    </w:rPr>
  </w:style>
  <w:style w:type="paragraph" w:customStyle="1" w:styleId="Point2">
    <w:name w:val="Point 2"/>
    <w:basedOn w:val="Normal"/>
    <w:pPr>
      <w:spacing w:before="120" w:after="120"/>
      <w:ind w:left="1984" w:hanging="567"/>
    </w:pPr>
    <w:rPr>
      <w:szCs w:val="24"/>
    </w:rPr>
  </w:style>
  <w:style w:type="paragraph" w:customStyle="1" w:styleId="Point3">
    <w:name w:val="Point 3"/>
    <w:basedOn w:val="Normal"/>
    <w:pPr>
      <w:spacing w:before="120" w:after="120"/>
      <w:ind w:left="2551" w:hanging="567"/>
    </w:pPr>
    <w:rPr>
      <w:szCs w:val="24"/>
    </w:rPr>
  </w:style>
  <w:style w:type="paragraph" w:customStyle="1" w:styleId="Point4">
    <w:name w:val="Point 4"/>
    <w:basedOn w:val="Normal"/>
    <w:pPr>
      <w:spacing w:before="120" w:after="120"/>
      <w:ind w:left="3118" w:hanging="567"/>
    </w:pPr>
    <w:rPr>
      <w:szCs w:val="24"/>
    </w:rPr>
  </w:style>
  <w:style w:type="paragraph" w:customStyle="1" w:styleId="Tiret0">
    <w:name w:val="Tiret 0"/>
    <w:basedOn w:val="Point0"/>
    <w:pPr>
      <w:numPr>
        <w:numId w:val="19"/>
      </w:numPr>
      <w:tabs>
        <w:tab w:val="clear" w:pos="850"/>
      </w:tabs>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tabs>
        <w:tab w:val="clear" w:pos="2551"/>
      </w:tabs>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ind w:left="1417" w:hanging="1417"/>
    </w:pPr>
    <w:rPr>
      <w:szCs w:val="24"/>
    </w:rPr>
  </w:style>
  <w:style w:type="paragraph" w:customStyle="1" w:styleId="PointDouble1">
    <w:name w:val="PointDouble 1"/>
    <w:basedOn w:val="Normal"/>
    <w:pPr>
      <w:tabs>
        <w:tab w:val="left" w:pos="1417"/>
      </w:tabs>
      <w:spacing w:before="120" w:after="120"/>
      <w:ind w:left="1984" w:hanging="1134"/>
    </w:pPr>
    <w:rPr>
      <w:szCs w:val="24"/>
    </w:rPr>
  </w:style>
  <w:style w:type="paragraph" w:customStyle="1" w:styleId="PointDouble2">
    <w:name w:val="PointDouble 2"/>
    <w:basedOn w:val="Normal"/>
    <w:pPr>
      <w:tabs>
        <w:tab w:val="left" w:pos="1984"/>
      </w:tabs>
      <w:spacing w:before="120" w:after="120"/>
      <w:ind w:left="2551" w:hanging="1134"/>
    </w:pPr>
    <w:rPr>
      <w:szCs w:val="24"/>
    </w:rPr>
  </w:style>
  <w:style w:type="paragraph" w:customStyle="1" w:styleId="PointDouble3">
    <w:name w:val="PointDouble 3"/>
    <w:basedOn w:val="Normal"/>
    <w:pPr>
      <w:tabs>
        <w:tab w:val="left" w:pos="2551"/>
      </w:tabs>
      <w:spacing w:before="120" w:after="120"/>
      <w:ind w:left="3118" w:hanging="1134"/>
    </w:pPr>
    <w:rPr>
      <w:szCs w:val="24"/>
    </w:rPr>
  </w:style>
  <w:style w:type="paragraph" w:customStyle="1" w:styleId="PointDouble4">
    <w:name w:val="PointDouble 4"/>
    <w:basedOn w:val="Normal"/>
    <w:pPr>
      <w:tabs>
        <w:tab w:val="left" w:pos="3118"/>
      </w:tabs>
      <w:spacing w:before="120" w:after="120"/>
      <w:ind w:left="3685" w:hanging="1134"/>
    </w:pPr>
    <w:rPr>
      <w:szCs w:val="24"/>
    </w:rPr>
  </w:style>
  <w:style w:type="paragraph" w:customStyle="1" w:styleId="PointTriple0">
    <w:name w:val="PointTriple 0"/>
    <w:basedOn w:val="Normal"/>
    <w:pPr>
      <w:tabs>
        <w:tab w:val="left" w:pos="850"/>
        <w:tab w:val="left" w:pos="1417"/>
      </w:tabs>
      <w:spacing w:before="120" w:after="120"/>
      <w:ind w:left="1984" w:hanging="1984"/>
    </w:pPr>
    <w:rPr>
      <w:szCs w:val="24"/>
    </w:rPr>
  </w:style>
  <w:style w:type="paragraph" w:customStyle="1" w:styleId="PointTriple1">
    <w:name w:val="PointTriple 1"/>
    <w:basedOn w:val="Normal"/>
    <w:pPr>
      <w:tabs>
        <w:tab w:val="left" w:pos="1417"/>
        <w:tab w:val="left" w:pos="1984"/>
      </w:tabs>
      <w:spacing w:before="120" w:after="120"/>
      <w:ind w:left="2551" w:hanging="1701"/>
    </w:pPr>
    <w:rPr>
      <w:szCs w:val="24"/>
    </w:rPr>
  </w:style>
  <w:style w:type="paragraph" w:customStyle="1" w:styleId="PointTriple2">
    <w:name w:val="PointTriple 2"/>
    <w:basedOn w:val="Normal"/>
    <w:pPr>
      <w:tabs>
        <w:tab w:val="left" w:pos="1984"/>
        <w:tab w:val="left" w:pos="2551"/>
      </w:tabs>
      <w:spacing w:before="120" w:after="120"/>
      <w:ind w:left="3118" w:hanging="1701"/>
    </w:pPr>
    <w:rPr>
      <w:szCs w:val="24"/>
    </w:rPr>
  </w:style>
  <w:style w:type="paragraph" w:customStyle="1" w:styleId="PointTriple3">
    <w:name w:val="PointTriple 3"/>
    <w:basedOn w:val="Normal"/>
    <w:pPr>
      <w:tabs>
        <w:tab w:val="left" w:pos="2551"/>
        <w:tab w:val="left" w:pos="3118"/>
      </w:tabs>
      <w:spacing w:before="120" w:after="120"/>
      <w:ind w:left="3685" w:hanging="1701"/>
    </w:pPr>
    <w:rPr>
      <w:szCs w:val="24"/>
    </w:rPr>
  </w:style>
  <w:style w:type="paragraph" w:customStyle="1" w:styleId="PointTriple4">
    <w:name w:val="PointTriple 4"/>
    <w:basedOn w:val="Normal"/>
    <w:pPr>
      <w:tabs>
        <w:tab w:val="left" w:pos="3118"/>
        <w:tab w:val="left" w:pos="3685"/>
      </w:tabs>
      <w:spacing w:before="120" w:after="120"/>
      <w:ind w:left="4252" w:hanging="1701"/>
    </w:pPr>
    <w:rPr>
      <w:szCs w:val="24"/>
    </w:rPr>
  </w:style>
  <w:style w:type="paragraph" w:customStyle="1" w:styleId="ManualNumPar1">
    <w:name w:val="Manual NumPar 1"/>
    <w:basedOn w:val="Normal"/>
    <w:next w:val="Text1"/>
    <w:pPr>
      <w:spacing w:before="120" w:after="120"/>
      <w:ind w:left="850" w:hanging="850"/>
    </w:pPr>
    <w:rPr>
      <w:szCs w:val="24"/>
    </w:rPr>
  </w:style>
  <w:style w:type="paragraph" w:customStyle="1" w:styleId="ManualNumPar2">
    <w:name w:val="Manual NumPar 2"/>
    <w:basedOn w:val="Normal"/>
    <w:next w:val="Text1"/>
    <w:pPr>
      <w:spacing w:before="120" w:after="120"/>
      <w:ind w:left="850" w:hanging="850"/>
    </w:pPr>
    <w:rPr>
      <w:szCs w:val="24"/>
    </w:rPr>
  </w:style>
  <w:style w:type="paragraph" w:customStyle="1" w:styleId="ManualNumPar3">
    <w:name w:val="Manual NumPar 3"/>
    <w:basedOn w:val="Normal"/>
    <w:next w:val="Text1"/>
    <w:pPr>
      <w:spacing w:before="120" w:after="120"/>
      <w:ind w:left="850" w:hanging="850"/>
    </w:pPr>
    <w:rPr>
      <w:szCs w:val="24"/>
    </w:rPr>
  </w:style>
  <w:style w:type="paragraph" w:customStyle="1" w:styleId="ManualNumPar4">
    <w:name w:val="Manual NumPar 4"/>
    <w:basedOn w:val="Normal"/>
    <w:next w:val="Text1"/>
    <w:pPr>
      <w:spacing w:before="120" w:after="120"/>
      <w:ind w:left="850" w:hanging="850"/>
    </w:pPr>
    <w:rPr>
      <w:szCs w:val="24"/>
    </w:rPr>
  </w:style>
  <w:style w:type="paragraph" w:customStyle="1" w:styleId="QuotedNumPar">
    <w:name w:val="Quoted NumPar"/>
    <w:basedOn w:val="Normal"/>
    <w:pPr>
      <w:spacing w:before="120" w:after="120"/>
      <w:ind w:left="1417" w:hanging="567"/>
    </w:pPr>
    <w:rPr>
      <w:szCs w:val="24"/>
    </w:rPr>
  </w:style>
  <w:style w:type="paragraph" w:customStyle="1" w:styleId="ManualHeading1">
    <w:name w:val="Manual Heading 1"/>
    <w:basedOn w:val="Normal"/>
    <w:next w:val="Text1"/>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Text1"/>
    <w:pPr>
      <w:keepNext/>
      <w:tabs>
        <w:tab w:val="left" w:pos="850"/>
      </w:tabs>
      <w:spacing w:before="120" w:after="120"/>
      <w:ind w:left="850" w:hanging="850"/>
      <w:outlineLvl w:val="1"/>
    </w:pPr>
    <w:rPr>
      <w:b/>
      <w:szCs w:val="24"/>
    </w:rPr>
  </w:style>
  <w:style w:type="paragraph" w:customStyle="1" w:styleId="ManualHeading3">
    <w:name w:val="Manual Heading 3"/>
    <w:basedOn w:val="Normal"/>
    <w:next w:val="Text1"/>
    <w:pPr>
      <w:keepNext/>
      <w:tabs>
        <w:tab w:val="left" w:pos="850"/>
      </w:tabs>
      <w:spacing w:before="120" w:after="120"/>
      <w:ind w:left="850" w:hanging="850"/>
      <w:outlineLvl w:val="2"/>
    </w:pPr>
    <w:rPr>
      <w:i/>
      <w:szCs w:val="24"/>
    </w:rPr>
  </w:style>
  <w:style w:type="paragraph" w:customStyle="1" w:styleId="ManualHeading4">
    <w:name w:val="Manual Heading 4"/>
    <w:basedOn w:val="Normal"/>
    <w:next w:val="Text1"/>
    <w:pPr>
      <w:keepNext/>
      <w:tabs>
        <w:tab w:val="left" w:pos="850"/>
      </w:tabs>
      <w:spacing w:before="120" w:after="120"/>
      <w:ind w:left="850" w:hanging="850"/>
      <w:outlineLvl w:val="3"/>
    </w:pPr>
    <w:rPr>
      <w:szCs w:val="24"/>
    </w:rPr>
  </w:style>
  <w:style w:type="paragraph" w:customStyle="1" w:styleId="TableTitle">
    <w:name w:val="Table Title"/>
    <w:basedOn w:val="Normal"/>
    <w:next w:val="Normal"/>
    <w:pPr>
      <w:spacing w:before="120" w:after="120"/>
      <w:jc w:val="center"/>
    </w:pPr>
    <w:rPr>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4"/>
      </w:numPr>
      <w:spacing w:before="120" w:after="120"/>
    </w:pPr>
    <w:rPr>
      <w:szCs w:val="24"/>
    </w:rPr>
  </w:style>
  <w:style w:type="paragraph" w:customStyle="1" w:styleId="Point1number">
    <w:name w:val="Point 1 (number)"/>
    <w:basedOn w:val="Normal"/>
    <w:pPr>
      <w:numPr>
        <w:ilvl w:val="2"/>
        <w:numId w:val="24"/>
      </w:numPr>
      <w:spacing w:before="120" w:after="120"/>
    </w:pPr>
    <w:rPr>
      <w:szCs w:val="24"/>
    </w:rPr>
  </w:style>
  <w:style w:type="paragraph" w:customStyle="1" w:styleId="Point2number">
    <w:name w:val="Point 2 (number)"/>
    <w:basedOn w:val="Normal"/>
    <w:pPr>
      <w:numPr>
        <w:ilvl w:val="4"/>
        <w:numId w:val="24"/>
      </w:numPr>
      <w:spacing w:before="120" w:after="120"/>
    </w:pPr>
    <w:rPr>
      <w:szCs w:val="24"/>
    </w:rPr>
  </w:style>
  <w:style w:type="paragraph" w:customStyle="1" w:styleId="Point3number">
    <w:name w:val="Point 3 (number)"/>
    <w:basedOn w:val="Normal"/>
    <w:pPr>
      <w:numPr>
        <w:ilvl w:val="6"/>
        <w:numId w:val="24"/>
      </w:numPr>
      <w:spacing w:before="120" w:after="120"/>
    </w:pPr>
    <w:rPr>
      <w:szCs w:val="24"/>
    </w:rPr>
  </w:style>
  <w:style w:type="paragraph" w:customStyle="1" w:styleId="Point0letter">
    <w:name w:val="Point 0 (letter)"/>
    <w:basedOn w:val="Normal"/>
    <w:pPr>
      <w:numPr>
        <w:ilvl w:val="1"/>
        <w:numId w:val="24"/>
      </w:numPr>
      <w:spacing w:before="120" w:after="120"/>
    </w:pPr>
    <w:rPr>
      <w:szCs w:val="24"/>
    </w:rPr>
  </w:style>
  <w:style w:type="paragraph" w:customStyle="1" w:styleId="Point1letter">
    <w:name w:val="Point 1 (letter)"/>
    <w:basedOn w:val="Normal"/>
    <w:pPr>
      <w:numPr>
        <w:ilvl w:val="3"/>
        <w:numId w:val="24"/>
      </w:numPr>
      <w:spacing w:before="120" w:after="120"/>
    </w:pPr>
    <w:rPr>
      <w:szCs w:val="24"/>
    </w:rPr>
  </w:style>
  <w:style w:type="paragraph" w:customStyle="1" w:styleId="Point2letter">
    <w:name w:val="Point 2 (letter)"/>
    <w:basedOn w:val="Normal"/>
    <w:pPr>
      <w:numPr>
        <w:ilvl w:val="5"/>
        <w:numId w:val="24"/>
      </w:numPr>
      <w:spacing w:before="120" w:after="120"/>
    </w:pPr>
    <w:rPr>
      <w:szCs w:val="24"/>
    </w:rPr>
  </w:style>
  <w:style w:type="paragraph" w:customStyle="1" w:styleId="Point3letter">
    <w:name w:val="Point 3 (letter)"/>
    <w:basedOn w:val="Normal"/>
    <w:pPr>
      <w:numPr>
        <w:ilvl w:val="7"/>
        <w:numId w:val="24"/>
      </w:numPr>
      <w:spacing w:before="120" w:after="120"/>
    </w:pPr>
    <w:rPr>
      <w:szCs w:val="24"/>
    </w:rPr>
  </w:style>
  <w:style w:type="paragraph" w:customStyle="1" w:styleId="Point4letter">
    <w:name w:val="Point 4 (letter)"/>
    <w:basedOn w:val="Normal"/>
    <w:pPr>
      <w:numPr>
        <w:ilvl w:val="8"/>
        <w:numId w:val="24"/>
      </w:numPr>
      <w:spacing w:before="120" w:after="120"/>
    </w:pPr>
    <w:rPr>
      <w:szCs w:val="24"/>
    </w:rPr>
  </w:style>
  <w:style w:type="paragraph" w:customStyle="1" w:styleId="Bullet0">
    <w:name w:val="Bullet 0"/>
    <w:basedOn w:val="Normal"/>
    <w:pPr>
      <w:numPr>
        <w:numId w:val="25"/>
      </w:numPr>
      <w:spacing w:before="120" w:after="120"/>
    </w:pPr>
    <w:rPr>
      <w:szCs w:val="24"/>
    </w:rPr>
  </w:style>
  <w:style w:type="paragraph" w:customStyle="1" w:styleId="Bullet1">
    <w:name w:val="Bullet 1"/>
    <w:basedOn w:val="Normal"/>
    <w:pPr>
      <w:numPr>
        <w:numId w:val="26"/>
      </w:numPr>
      <w:spacing w:before="120" w:after="120"/>
    </w:pPr>
    <w:rPr>
      <w:szCs w:val="24"/>
    </w:rPr>
  </w:style>
  <w:style w:type="paragraph" w:customStyle="1" w:styleId="Bullet2">
    <w:name w:val="Bullet 2"/>
    <w:basedOn w:val="Normal"/>
    <w:pPr>
      <w:numPr>
        <w:numId w:val="27"/>
      </w:numPr>
      <w:spacing w:before="120" w:after="120"/>
    </w:pPr>
    <w:rPr>
      <w:szCs w:val="24"/>
    </w:rPr>
  </w:style>
  <w:style w:type="paragraph" w:customStyle="1" w:styleId="Bullet3">
    <w:name w:val="Bullet 3"/>
    <w:basedOn w:val="Normal"/>
    <w:pPr>
      <w:numPr>
        <w:numId w:val="28"/>
      </w:numPr>
      <w:spacing w:before="120" w:after="120"/>
    </w:pPr>
    <w:rPr>
      <w:szCs w:val="24"/>
    </w:rPr>
  </w:style>
  <w:style w:type="paragraph" w:customStyle="1" w:styleId="Bullet4">
    <w:name w:val="Bullet 4"/>
    <w:basedOn w:val="Normal"/>
    <w:pPr>
      <w:numPr>
        <w:numId w:val="29"/>
      </w:numPr>
      <w:spacing w:before="120" w:after="120"/>
    </w:pPr>
    <w:rPr>
      <w:szCs w:val="24"/>
    </w:rPr>
  </w:style>
  <w:style w:type="paragraph" w:customStyle="1" w:styleId="Annexetitreexpos">
    <w:name w:val="Annexe titre (exposé)"/>
    <w:basedOn w:val="Normal"/>
    <w:next w:val="Normal"/>
    <w:pPr>
      <w:spacing w:before="120" w:after="120"/>
      <w:jc w:val="center"/>
    </w:pPr>
    <w:rPr>
      <w:b/>
      <w:szCs w:val="24"/>
      <w:u w:val="single"/>
    </w:rPr>
  </w:style>
  <w:style w:type="paragraph" w:customStyle="1" w:styleId="Annexetitre">
    <w:name w:val="Annexe titre"/>
    <w:basedOn w:val="Normal"/>
    <w:next w:val="Normal"/>
    <w:pPr>
      <w:spacing w:before="120" w:after="120"/>
      <w:jc w:val="center"/>
    </w:pPr>
    <w:rPr>
      <w:b/>
      <w:szCs w:val="24"/>
      <w:u w:val="single"/>
    </w:rPr>
  </w:style>
  <w:style w:type="paragraph" w:customStyle="1" w:styleId="Annexetitrefichefinancire">
    <w:name w:val="Annexe titre (fiche financière)"/>
    <w:basedOn w:val="Normal"/>
    <w:next w:val="Normal"/>
    <w:pPr>
      <w:spacing w:before="120" w:after="120"/>
      <w:jc w:val="center"/>
    </w:pPr>
    <w:rPr>
      <w:b/>
      <w:szCs w:val="24"/>
      <w:u w:val="single"/>
    </w:rPr>
  </w:style>
  <w:style w:type="paragraph" w:customStyle="1" w:styleId="Applicationdirecte">
    <w:name w:val="Application directe"/>
    <w:basedOn w:val="Normal"/>
    <w:next w:val="Fait"/>
    <w:pPr>
      <w:spacing w:before="480" w:after="120"/>
    </w:pPr>
    <w:rPr>
      <w:szCs w:val="24"/>
    </w:rPr>
  </w:style>
  <w:style w:type="paragraph" w:customStyle="1" w:styleId="Fait">
    <w:name w:val="Fait à"/>
    <w:basedOn w:val="Normal"/>
    <w:next w:val="Institutionquisigne"/>
    <w:pPr>
      <w:keepNext/>
      <w:spacing w:before="120" w:after="0"/>
    </w:pPr>
    <w:rPr>
      <w:szCs w:val="24"/>
    </w:rPr>
  </w:style>
  <w:style w:type="paragraph" w:customStyle="1" w:styleId="Institutionquisigne">
    <w:name w:val="Institution qui signe"/>
    <w:basedOn w:val="Normal"/>
    <w:next w:val="Personnequisigne"/>
    <w:pPr>
      <w:keepNext/>
      <w:tabs>
        <w:tab w:val="left" w:pos="4252"/>
      </w:tabs>
      <w:spacing w:before="720" w:after="0"/>
    </w:pPr>
    <w:rPr>
      <w:i/>
      <w:szCs w:val="24"/>
    </w:rPr>
  </w:style>
  <w:style w:type="paragraph" w:customStyle="1" w:styleId="Personnequisigne">
    <w:name w:val="Personne qui signe"/>
    <w:basedOn w:val="Normal"/>
    <w:next w:val="Institutionquisigne"/>
    <w:pPr>
      <w:tabs>
        <w:tab w:val="left" w:pos="4252"/>
      </w:tabs>
      <w:spacing w:after="0"/>
      <w:jc w:val="left"/>
    </w:pPr>
    <w:rPr>
      <w:i/>
      <w:szCs w:val="24"/>
    </w:rPr>
  </w:style>
  <w:style w:type="paragraph" w:customStyle="1" w:styleId="Avertissementtitre">
    <w:name w:val="Avertissement titre"/>
    <w:basedOn w:val="Normal"/>
    <w:next w:val="Normal"/>
    <w:pPr>
      <w:keepNext/>
      <w:spacing w:before="480" w:after="120"/>
    </w:pPr>
    <w:rPr>
      <w:szCs w:val="24"/>
      <w:u w:val="single"/>
    </w:rPr>
  </w:style>
  <w:style w:type="paragraph" w:customStyle="1" w:styleId="Confidence">
    <w:name w:val="Confidence"/>
    <w:basedOn w:val="Normal"/>
    <w:next w:val="Normal"/>
    <w:pPr>
      <w:spacing w:before="360" w:after="120"/>
      <w:jc w:val="center"/>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link w:val="TypedudocumentChar"/>
    <w:pPr>
      <w:spacing w:before="360" w:after="0"/>
      <w:jc w:val="center"/>
    </w:pPr>
    <w:rPr>
      <w:b/>
      <w:szCs w:val="24"/>
    </w:rPr>
  </w:style>
  <w:style w:type="paragraph" w:customStyle="1" w:styleId="Titreobjet">
    <w:name w:val="Titre objet"/>
    <w:basedOn w:val="Normal"/>
    <w:next w:val="Sous-titreobjet"/>
    <w:pPr>
      <w:spacing w:before="360" w:after="360"/>
      <w:jc w:val="center"/>
    </w:pPr>
    <w:rPr>
      <w:b/>
      <w:szCs w:val="24"/>
    </w:rPr>
  </w:style>
  <w:style w:type="paragraph" w:customStyle="1" w:styleId="Sous-titreobjet">
    <w:name w:val="Sous-titre objet"/>
    <w:basedOn w:val="Normal"/>
    <w:pPr>
      <w:spacing w:after="0"/>
      <w:jc w:val="center"/>
    </w:pPr>
    <w:rPr>
      <w:b/>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30"/>
      </w:numPr>
      <w:spacing w:before="120" w:after="120"/>
    </w:pPr>
    <w:rPr>
      <w:szCs w:val="24"/>
    </w:rPr>
  </w:style>
  <w:style w:type="paragraph" w:customStyle="1" w:styleId="Corrigendum">
    <w:name w:val="Corrigendum"/>
    <w:basedOn w:val="Normal"/>
    <w:next w:val="Normal"/>
    <w:pPr>
      <w:jc w:val="left"/>
    </w:pPr>
    <w:rPr>
      <w:szCs w:val="24"/>
    </w:rPr>
  </w:style>
  <w:style w:type="paragraph" w:customStyle="1" w:styleId="Datedadoption">
    <w:name w:val="Date d'adoption"/>
    <w:basedOn w:val="Normal"/>
    <w:next w:val="Titreobjet"/>
    <w:pPr>
      <w:spacing w:before="360" w:after="0"/>
      <w:jc w:val="center"/>
    </w:pPr>
    <w:rPr>
      <w:b/>
      <w:szCs w:val="24"/>
    </w:rPr>
  </w:style>
  <w:style w:type="paragraph" w:customStyle="1" w:styleId="Emission">
    <w:name w:val="Emission"/>
    <w:basedOn w:val="Normal"/>
    <w:next w:val="Rfrenceinstitutionnelle"/>
    <w:pPr>
      <w:spacing w:after="0"/>
      <w:ind w:left="5103"/>
      <w:jc w:val="left"/>
    </w:pPr>
    <w:rPr>
      <w:szCs w:val="24"/>
    </w:rPr>
  </w:style>
  <w:style w:type="paragraph" w:customStyle="1" w:styleId="Rfrenceinstitutionnelle">
    <w:name w:val="Référence institutionnelle"/>
    <w:basedOn w:val="Normal"/>
    <w:next w:val="Confidentialit"/>
    <w:pPr>
      <w:ind w:left="5103"/>
      <w:jc w:val="left"/>
    </w:pPr>
    <w:rPr>
      <w:szCs w:val="24"/>
    </w:rPr>
  </w:style>
  <w:style w:type="paragraph" w:customStyle="1" w:styleId="Exposdesmotifstitre">
    <w:name w:val="Exposé des motifs titre"/>
    <w:basedOn w:val="Normal"/>
    <w:next w:val="Normal"/>
    <w:pPr>
      <w:spacing w:before="120" w:after="120"/>
      <w:jc w:val="center"/>
    </w:pPr>
    <w:rPr>
      <w:b/>
      <w:szCs w:val="24"/>
      <w:u w:val="single"/>
    </w:rPr>
  </w:style>
  <w:style w:type="paragraph" w:customStyle="1" w:styleId="Formuledadoption">
    <w:name w:val="Formule d'adoption"/>
    <w:basedOn w:val="Normal"/>
    <w:next w:val="Titrearticle"/>
    <w:pPr>
      <w:keepNext/>
      <w:spacing w:before="120" w:after="120"/>
    </w:pPr>
    <w:rPr>
      <w:szCs w:val="24"/>
    </w:rPr>
  </w:style>
  <w:style w:type="paragraph" w:customStyle="1" w:styleId="Titrearticle">
    <w:name w:val="Titre article"/>
    <w:basedOn w:val="Normal"/>
    <w:next w:val="Normal"/>
    <w:pPr>
      <w:keepNext/>
      <w:spacing w:before="360" w:after="120"/>
      <w:jc w:val="center"/>
    </w:pPr>
    <w:rPr>
      <w:i/>
      <w:szCs w:val="24"/>
    </w:rPr>
  </w:style>
  <w:style w:type="paragraph" w:customStyle="1" w:styleId="Institutionquiagit">
    <w:name w:val="Institution qui agit"/>
    <w:basedOn w:val="Normal"/>
    <w:next w:val="Normal"/>
    <w:pPr>
      <w:keepNext/>
      <w:spacing w:before="600" w:after="120"/>
    </w:pPr>
    <w:rPr>
      <w:szCs w:val="24"/>
    </w:rPr>
  </w:style>
  <w:style w:type="paragraph" w:customStyle="1" w:styleId="Langue">
    <w:name w:val="Langue"/>
    <w:basedOn w:val="Normal"/>
    <w:next w:val="Rfrenceinterne"/>
    <w:pPr>
      <w:framePr w:wrap="around" w:vAnchor="page" w:hAnchor="text" w:xAlign="center" w:y="14741"/>
      <w:spacing w:after="600"/>
      <w:jc w:val="center"/>
    </w:pPr>
    <w:rPr>
      <w:b/>
      <w:caps/>
      <w:szCs w:val="24"/>
    </w:rPr>
  </w:style>
  <w:style w:type="paragraph" w:customStyle="1" w:styleId="Rfrenceinterne">
    <w:name w:val="Référence interne"/>
    <w:basedOn w:val="Normal"/>
    <w:next w:val="Rfrenceinterinstitutionnelle"/>
    <w:pPr>
      <w:spacing w:after="0"/>
      <w:ind w:left="5103"/>
      <w:jc w:val="left"/>
    </w:pPr>
    <w:rPr>
      <w:szCs w:val="24"/>
    </w:rPr>
  </w:style>
  <w:style w:type="paragraph" w:customStyle="1" w:styleId="Rfrenceinterinstitutionnelle">
    <w:name w:val="Référence interinstitutionnelle"/>
    <w:basedOn w:val="Normal"/>
    <w:next w:val="Statut"/>
    <w:pPr>
      <w:spacing w:after="0"/>
      <w:ind w:left="5103"/>
      <w:jc w:val="left"/>
    </w:pPr>
    <w:rPr>
      <w:szCs w:val="24"/>
    </w:rPr>
  </w:style>
  <w:style w:type="paragraph" w:customStyle="1" w:styleId="Statut">
    <w:name w:val="Statut"/>
    <w:basedOn w:val="Normal"/>
    <w:next w:val="Typedudocument"/>
    <w:pPr>
      <w:spacing w:before="360" w:after="0"/>
      <w:jc w:val="center"/>
    </w:pPr>
    <w:rPr>
      <w:szCs w:val="24"/>
    </w:rPr>
  </w:style>
  <w:style w:type="paragraph" w:customStyle="1" w:styleId="ManualConsidrant">
    <w:name w:val="Manual Considérant"/>
    <w:basedOn w:val="Normal"/>
    <w:pPr>
      <w:spacing w:before="120" w:after="120"/>
      <w:ind w:left="709" w:hanging="709"/>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Objetexterne">
    <w:name w:val="Objet externe"/>
    <w:basedOn w:val="Normal"/>
    <w:next w:val="Normal"/>
    <w:pPr>
      <w:spacing w:before="120" w:after="120"/>
    </w:pPr>
    <w:rPr>
      <w:i/>
      <w:caps/>
      <w:szCs w:val="24"/>
    </w:rPr>
  </w:style>
  <w:style w:type="paragraph" w:customStyle="1" w:styleId="Pagedecouverture">
    <w:name w:val="Page de couverture"/>
    <w:basedOn w:val="Normal"/>
    <w:next w:val="Normal"/>
    <w:pPr>
      <w:spacing w:after="0"/>
    </w:pPr>
    <w:rPr>
      <w:szCs w:val="24"/>
    </w:rPr>
  </w:style>
  <w:style w:type="paragraph" w:customStyle="1" w:styleId="Supertitre">
    <w:name w:val="Supertitre"/>
    <w:basedOn w:val="Normal"/>
    <w:next w:val="Normal"/>
    <w:pPr>
      <w:spacing w:after="600"/>
      <w:jc w:val="center"/>
    </w:pPr>
    <w:rPr>
      <w:b/>
      <w:szCs w:val="24"/>
    </w:rPr>
  </w:style>
  <w:style w:type="paragraph" w:customStyle="1" w:styleId="Languesfaisantfoi">
    <w:name w:val="Langues faisant foi"/>
    <w:basedOn w:val="Normal"/>
    <w:next w:val="Normal"/>
    <w:pPr>
      <w:spacing w:before="360" w:after="0"/>
      <w:jc w:val="center"/>
    </w:pPr>
    <w:rPr>
      <w:szCs w:val="24"/>
    </w:rPr>
  </w:style>
  <w:style w:type="paragraph" w:customStyle="1" w:styleId="Rfrencecroise">
    <w:name w:val="Référence croisée"/>
    <w:basedOn w:val="Normal"/>
    <w:pPr>
      <w:spacing w:after="0"/>
      <w:jc w:val="center"/>
    </w:pPr>
    <w:rPr>
      <w:szCs w:val="24"/>
    </w:rPr>
  </w:style>
  <w:style w:type="paragraph" w:customStyle="1" w:styleId="Fichefinanciretitre">
    <w:name w:val="Fiche financière titre"/>
    <w:basedOn w:val="Normal"/>
    <w:next w:val="Normal"/>
    <w:pPr>
      <w:spacing w:before="120" w:after="120"/>
      <w:jc w:val="center"/>
    </w:pPr>
    <w:rPr>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ind w:left="5103"/>
      <w:jc w:val="left"/>
    </w:pPr>
    <w:rPr>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jc w:val="center"/>
    </w:pPr>
    <w:rPr>
      <w:b/>
      <w:i/>
      <w:szCs w:val="24"/>
    </w:rPr>
  </w:style>
  <w:style w:type="paragraph" w:customStyle="1" w:styleId="Typeacteprincipal">
    <w:name w:val="Type acte principal"/>
    <w:basedOn w:val="Normal"/>
    <w:next w:val="Objetacteprincipal"/>
    <w:pPr>
      <w:jc w:val="center"/>
    </w:pPr>
    <w:rPr>
      <w:b/>
      <w:szCs w:val="24"/>
    </w:rPr>
  </w:style>
  <w:style w:type="paragraph" w:customStyle="1" w:styleId="Objetacteprincipal">
    <w:name w:val="Objet acte principal"/>
    <w:basedOn w:val="Normal"/>
    <w:next w:val="Titrearticle"/>
    <w:pPr>
      <w:spacing w:after="360"/>
      <w:jc w:val="center"/>
    </w:pPr>
    <w:rPr>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4"/>
    </w:rPr>
  </w:style>
  <w:style w:type="paragraph" w:styleId="BalloonText">
    <w:name w:val="Balloon Text"/>
    <w:basedOn w:val="Normal"/>
    <w:link w:val="BalloonTextChar"/>
    <w:semiHidden/>
    <w:pPr>
      <w:spacing w:before="120" w:after="120"/>
    </w:pPr>
    <w:rPr>
      <w:rFonts w:ascii="Tahoma" w:hAnsi="Tahoma"/>
      <w:sz w:val="16"/>
      <w:szCs w:val="16"/>
    </w:rPr>
  </w:style>
  <w:style w:type="character" w:customStyle="1" w:styleId="BalloonTextChar">
    <w:name w:val="Balloon Text Char"/>
    <w:link w:val="BalloonText"/>
    <w:semiHidden/>
    <w:rPr>
      <w:rFonts w:ascii="Tahoma" w:hAnsi="Tahoma" w:cs="Tahoma"/>
      <w:sz w:val="16"/>
      <w:szCs w:val="16"/>
      <w:lang w:eastAsia="et-EE"/>
    </w:rPr>
  </w:style>
  <w:style w:type="character" w:customStyle="1" w:styleId="Corpsdutexte">
    <w:name w:val="Corps du texte_"/>
    <w:link w:val="Corpsdutexte0"/>
    <w:uiPriority w:val="99"/>
    <w:rPr>
      <w:sz w:val="23"/>
      <w:szCs w:val="23"/>
      <w:shd w:val="clear" w:color="auto" w:fill="FFFFFF"/>
    </w:rPr>
  </w:style>
  <w:style w:type="paragraph" w:customStyle="1" w:styleId="Corpsdutexte0">
    <w:name w:val="Corps du texte"/>
    <w:basedOn w:val="Normal"/>
    <w:link w:val="Corpsdutexte"/>
    <w:uiPriority w:val="99"/>
    <w:pPr>
      <w:widowControl w:val="0"/>
      <w:shd w:val="clear" w:color="auto" w:fill="FFFFFF"/>
      <w:spacing w:after="1380" w:line="278" w:lineRule="exact"/>
      <w:ind w:hanging="560"/>
      <w:jc w:val="center"/>
    </w:pPr>
    <w:rPr>
      <w:sz w:val="23"/>
      <w:szCs w:val="23"/>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rPr>
      <w:shd w:val="clear" w:color="auto" w:fill="auto"/>
      <w:lang w:eastAsia="et-EE"/>
    </w:rPr>
  </w:style>
  <w:style w:type="paragraph" w:styleId="CommentSubject">
    <w:name w:val="annotation subject"/>
    <w:basedOn w:val="CommentText"/>
    <w:next w:val="CommentText"/>
    <w:link w:val="CommentSubjectChar"/>
    <w:pPr>
      <w:spacing w:before="120" w:after="120"/>
    </w:pPr>
    <w:rPr>
      <w:b/>
      <w:bCs/>
    </w:rPr>
  </w:style>
  <w:style w:type="character" w:customStyle="1" w:styleId="CommentTextChar1">
    <w:name w:val="Comment Text Char1"/>
    <w:link w:val="CommentText"/>
    <w:rPr>
      <w:lang w:eastAsia="et-EE"/>
    </w:rPr>
  </w:style>
  <w:style w:type="character" w:customStyle="1" w:styleId="CommentSubjectChar">
    <w:name w:val="Comment Subject Char"/>
    <w:link w:val="CommentSubject"/>
    <w:rPr>
      <w:b/>
      <w:bCs/>
      <w:lang w:eastAsia="et-EE"/>
    </w:rPr>
  </w:style>
  <w:style w:type="paragraph" w:styleId="Revision">
    <w:name w:val="Revision"/>
    <w:hidden/>
    <w:uiPriority w:val="99"/>
    <w:semiHidden/>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TypedudocumentChar">
    <w:name w:val="Type du document Char"/>
    <w:link w:val="Typedudocument"/>
    <w:rPr>
      <w:b/>
      <w:sz w:val="24"/>
      <w:szCs w:val="24"/>
      <w:lang w:eastAsia="et-EE"/>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link w:val="HeaderCoverPage"/>
    <w:rPr>
      <w:sz w:val="24"/>
      <w:szCs w:val="24"/>
    </w:rPr>
  </w:style>
  <w:style w:type="character" w:customStyle="1" w:styleId="FooterChar">
    <w:name w:val="Footer Char"/>
    <w:link w:val="Footer"/>
    <w:uiPriority w:val="99"/>
    <w:rPr>
      <w:rFonts w:ascii="Arial" w:hAnsi="Arial"/>
      <w:sz w:val="16"/>
      <w:lang w:eastAsia="et-EE"/>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uiPriority w:val="9"/>
    <w:qFormat/>
    <w:pPr>
      <w:keepNext/>
      <w:numPr>
        <w:numId w:val="3"/>
      </w:numPr>
      <w:spacing w:before="240"/>
      <w:outlineLvl w:val="0"/>
    </w:pPr>
    <w:rPr>
      <w:b/>
      <w:smallCaps/>
    </w:rPr>
  </w:style>
  <w:style w:type="paragraph" w:styleId="Heading2">
    <w:name w:val="heading 2"/>
    <w:basedOn w:val="Normal"/>
    <w:next w:val="Text2"/>
    <w:uiPriority w:val="9"/>
    <w:qFormat/>
    <w:pPr>
      <w:keepNext/>
      <w:numPr>
        <w:ilvl w:val="1"/>
        <w:numId w:val="3"/>
      </w:numPr>
      <w:outlineLvl w:val="1"/>
    </w:pPr>
    <w:rPr>
      <w:b/>
    </w:rPr>
  </w:style>
  <w:style w:type="paragraph" w:styleId="Heading3">
    <w:name w:val="heading 3"/>
    <w:basedOn w:val="Normal"/>
    <w:next w:val="Text3"/>
    <w:uiPriority w:val="9"/>
    <w:qFormat/>
    <w:pPr>
      <w:keepNext/>
      <w:numPr>
        <w:ilvl w:val="2"/>
        <w:numId w:val="3"/>
      </w:numPr>
      <w:outlineLvl w:val="2"/>
    </w:pPr>
    <w:rPr>
      <w:i/>
    </w:rPr>
  </w:style>
  <w:style w:type="paragraph" w:styleId="Heading4">
    <w:name w:val="heading 4"/>
    <w:basedOn w:val="Normal"/>
    <w:next w:val="Text4"/>
    <w:uiPriority w:val="9"/>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semiHidden/>
    <w:unhideWhenUsed/>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HeaderLandscape">
    <w:name w:val="HeaderLandscape"/>
    <w:basedOn w:val="Normal"/>
    <w:pPr>
      <w:tabs>
        <w:tab w:val="center" w:pos="7285"/>
        <w:tab w:val="right" w:pos="14003"/>
      </w:tabs>
      <w:spacing w:after="120"/>
    </w:pPr>
    <w:rPr>
      <w:szCs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szCs w:val="24"/>
    </w:rPr>
  </w:style>
  <w:style w:type="character" w:styleId="FootnoteReference">
    <w:name w:val="footnote reference"/>
    <w:semiHidden/>
    <w:rPr>
      <w:shd w:val="clear" w:color="auto" w:fill="auto"/>
      <w:vertAlign w:val="superscript"/>
    </w:rPr>
  </w:style>
  <w:style w:type="paragraph" w:customStyle="1" w:styleId="NormalCentered">
    <w:name w:val="Normal Centered"/>
    <w:basedOn w:val="Normal"/>
    <w:pPr>
      <w:spacing w:before="120" w:after="120"/>
      <w:jc w:val="center"/>
    </w:pPr>
    <w:rPr>
      <w:szCs w:val="24"/>
    </w:rPr>
  </w:style>
  <w:style w:type="paragraph" w:customStyle="1" w:styleId="NormalLeft">
    <w:name w:val="Normal Left"/>
    <w:basedOn w:val="Normal"/>
    <w:pPr>
      <w:spacing w:before="120" w:after="120"/>
      <w:jc w:val="left"/>
    </w:pPr>
    <w:rPr>
      <w:szCs w:val="24"/>
    </w:rPr>
  </w:style>
  <w:style w:type="paragraph" w:customStyle="1" w:styleId="NormalRight">
    <w:name w:val="Normal Right"/>
    <w:basedOn w:val="Normal"/>
    <w:pPr>
      <w:spacing w:before="120" w:after="120"/>
      <w:jc w:val="right"/>
    </w:pPr>
    <w:rPr>
      <w:szCs w:val="24"/>
    </w:rPr>
  </w:style>
  <w:style w:type="paragraph" w:customStyle="1" w:styleId="QuotedText">
    <w:name w:val="Quoted Text"/>
    <w:basedOn w:val="Normal"/>
    <w:pPr>
      <w:spacing w:before="120" w:after="120"/>
      <w:ind w:left="1417"/>
    </w:pPr>
    <w:rPr>
      <w:szCs w:val="24"/>
    </w:rPr>
  </w:style>
  <w:style w:type="paragraph" w:customStyle="1" w:styleId="Point0">
    <w:name w:val="Point 0"/>
    <w:basedOn w:val="Normal"/>
    <w:pPr>
      <w:spacing w:before="120" w:after="120"/>
      <w:ind w:left="850" w:hanging="850"/>
    </w:pPr>
    <w:rPr>
      <w:szCs w:val="24"/>
    </w:rPr>
  </w:style>
  <w:style w:type="paragraph" w:customStyle="1" w:styleId="Point1">
    <w:name w:val="Point 1"/>
    <w:basedOn w:val="Normal"/>
    <w:pPr>
      <w:spacing w:before="120" w:after="120"/>
      <w:ind w:left="1417" w:hanging="567"/>
    </w:pPr>
    <w:rPr>
      <w:szCs w:val="24"/>
    </w:rPr>
  </w:style>
  <w:style w:type="paragraph" w:customStyle="1" w:styleId="Point2">
    <w:name w:val="Point 2"/>
    <w:basedOn w:val="Normal"/>
    <w:pPr>
      <w:spacing w:before="120" w:after="120"/>
      <w:ind w:left="1984" w:hanging="567"/>
    </w:pPr>
    <w:rPr>
      <w:szCs w:val="24"/>
    </w:rPr>
  </w:style>
  <w:style w:type="paragraph" w:customStyle="1" w:styleId="Point3">
    <w:name w:val="Point 3"/>
    <w:basedOn w:val="Normal"/>
    <w:pPr>
      <w:spacing w:before="120" w:after="120"/>
      <w:ind w:left="2551" w:hanging="567"/>
    </w:pPr>
    <w:rPr>
      <w:szCs w:val="24"/>
    </w:rPr>
  </w:style>
  <w:style w:type="paragraph" w:customStyle="1" w:styleId="Point4">
    <w:name w:val="Point 4"/>
    <w:basedOn w:val="Normal"/>
    <w:pPr>
      <w:spacing w:before="120" w:after="120"/>
      <w:ind w:left="3118" w:hanging="567"/>
    </w:pPr>
    <w:rPr>
      <w:szCs w:val="24"/>
    </w:rPr>
  </w:style>
  <w:style w:type="paragraph" w:customStyle="1" w:styleId="Tiret0">
    <w:name w:val="Tiret 0"/>
    <w:basedOn w:val="Point0"/>
    <w:pPr>
      <w:numPr>
        <w:numId w:val="19"/>
      </w:numPr>
      <w:tabs>
        <w:tab w:val="clear" w:pos="850"/>
      </w:tabs>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tabs>
        <w:tab w:val="clear" w:pos="2551"/>
      </w:tabs>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ind w:left="1417" w:hanging="1417"/>
    </w:pPr>
    <w:rPr>
      <w:szCs w:val="24"/>
    </w:rPr>
  </w:style>
  <w:style w:type="paragraph" w:customStyle="1" w:styleId="PointDouble1">
    <w:name w:val="PointDouble 1"/>
    <w:basedOn w:val="Normal"/>
    <w:pPr>
      <w:tabs>
        <w:tab w:val="left" w:pos="1417"/>
      </w:tabs>
      <w:spacing w:before="120" w:after="120"/>
      <w:ind w:left="1984" w:hanging="1134"/>
    </w:pPr>
    <w:rPr>
      <w:szCs w:val="24"/>
    </w:rPr>
  </w:style>
  <w:style w:type="paragraph" w:customStyle="1" w:styleId="PointDouble2">
    <w:name w:val="PointDouble 2"/>
    <w:basedOn w:val="Normal"/>
    <w:pPr>
      <w:tabs>
        <w:tab w:val="left" w:pos="1984"/>
      </w:tabs>
      <w:spacing w:before="120" w:after="120"/>
      <w:ind w:left="2551" w:hanging="1134"/>
    </w:pPr>
    <w:rPr>
      <w:szCs w:val="24"/>
    </w:rPr>
  </w:style>
  <w:style w:type="paragraph" w:customStyle="1" w:styleId="PointDouble3">
    <w:name w:val="PointDouble 3"/>
    <w:basedOn w:val="Normal"/>
    <w:pPr>
      <w:tabs>
        <w:tab w:val="left" w:pos="2551"/>
      </w:tabs>
      <w:spacing w:before="120" w:after="120"/>
      <w:ind w:left="3118" w:hanging="1134"/>
    </w:pPr>
    <w:rPr>
      <w:szCs w:val="24"/>
    </w:rPr>
  </w:style>
  <w:style w:type="paragraph" w:customStyle="1" w:styleId="PointDouble4">
    <w:name w:val="PointDouble 4"/>
    <w:basedOn w:val="Normal"/>
    <w:pPr>
      <w:tabs>
        <w:tab w:val="left" w:pos="3118"/>
      </w:tabs>
      <w:spacing w:before="120" w:after="120"/>
      <w:ind w:left="3685" w:hanging="1134"/>
    </w:pPr>
    <w:rPr>
      <w:szCs w:val="24"/>
    </w:rPr>
  </w:style>
  <w:style w:type="paragraph" w:customStyle="1" w:styleId="PointTriple0">
    <w:name w:val="PointTriple 0"/>
    <w:basedOn w:val="Normal"/>
    <w:pPr>
      <w:tabs>
        <w:tab w:val="left" w:pos="850"/>
        <w:tab w:val="left" w:pos="1417"/>
      </w:tabs>
      <w:spacing w:before="120" w:after="120"/>
      <w:ind w:left="1984" w:hanging="1984"/>
    </w:pPr>
    <w:rPr>
      <w:szCs w:val="24"/>
    </w:rPr>
  </w:style>
  <w:style w:type="paragraph" w:customStyle="1" w:styleId="PointTriple1">
    <w:name w:val="PointTriple 1"/>
    <w:basedOn w:val="Normal"/>
    <w:pPr>
      <w:tabs>
        <w:tab w:val="left" w:pos="1417"/>
        <w:tab w:val="left" w:pos="1984"/>
      </w:tabs>
      <w:spacing w:before="120" w:after="120"/>
      <w:ind w:left="2551" w:hanging="1701"/>
    </w:pPr>
    <w:rPr>
      <w:szCs w:val="24"/>
    </w:rPr>
  </w:style>
  <w:style w:type="paragraph" w:customStyle="1" w:styleId="PointTriple2">
    <w:name w:val="PointTriple 2"/>
    <w:basedOn w:val="Normal"/>
    <w:pPr>
      <w:tabs>
        <w:tab w:val="left" w:pos="1984"/>
        <w:tab w:val="left" w:pos="2551"/>
      </w:tabs>
      <w:spacing w:before="120" w:after="120"/>
      <w:ind w:left="3118" w:hanging="1701"/>
    </w:pPr>
    <w:rPr>
      <w:szCs w:val="24"/>
    </w:rPr>
  </w:style>
  <w:style w:type="paragraph" w:customStyle="1" w:styleId="PointTriple3">
    <w:name w:val="PointTriple 3"/>
    <w:basedOn w:val="Normal"/>
    <w:pPr>
      <w:tabs>
        <w:tab w:val="left" w:pos="2551"/>
        <w:tab w:val="left" w:pos="3118"/>
      </w:tabs>
      <w:spacing w:before="120" w:after="120"/>
      <w:ind w:left="3685" w:hanging="1701"/>
    </w:pPr>
    <w:rPr>
      <w:szCs w:val="24"/>
    </w:rPr>
  </w:style>
  <w:style w:type="paragraph" w:customStyle="1" w:styleId="PointTriple4">
    <w:name w:val="PointTriple 4"/>
    <w:basedOn w:val="Normal"/>
    <w:pPr>
      <w:tabs>
        <w:tab w:val="left" w:pos="3118"/>
        <w:tab w:val="left" w:pos="3685"/>
      </w:tabs>
      <w:spacing w:before="120" w:after="120"/>
      <w:ind w:left="4252" w:hanging="1701"/>
    </w:pPr>
    <w:rPr>
      <w:szCs w:val="24"/>
    </w:rPr>
  </w:style>
  <w:style w:type="paragraph" w:customStyle="1" w:styleId="ManualNumPar1">
    <w:name w:val="Manual NumPar 1"/>
    <w:basedOn w:val="Normal"/>
    <w:next w:val="Text1"/>
    <w:pPr>
      <w:spacing w:before="120" w:after="120"/>
      <w:ind w:left="850" w:hanging="850"/>
    </w:pPr>
    <w:rPr>
      <w:szCs w:val="24"/>
    </w:rPr>
  </w:style>
  <w:style w:type="paragraph" w:customStyle="1" w:styleId="ManualNumPar2">
    <w:name w:val="Manual NumPar 2"/>
    <w:basedOn w:val="Normal"/>
    <w:next w:val="Text1"/>
    <w:pPr>
      <w:spacing w:before="120" w:after="120"/>
      <w:ind w:left="850" w:hanging="850"/>
    </w:pPr>
    <w:rPr>
      <w:szCs w:val="24"/>
    </w:rPr>
  </w:style>
  <w:style w:type="paragraph" w:customStyle="1" w:styleId="ManualNumPar3">
    <w:name w:val="Manual NumPar 3"/>
    <w:basedOn w:val="Normal"/>
    <w:next w:val="Text1"/>
    <w:pPr>
      <w:spacing w:before="120" w:after="120"/>
      <w:ind w:left="850" w:hanging="850"/>
    </w:pPr>
    <w:rPr>
      <w:szCs w:val="24"/>
    </w:rPr>
  </w:style>
  <w:style w:type="paragraph" w:customStyle="1" w:styleId="ManualNumPar4">
    <w:name w:val="Manual NumPar 4"/>
    <w:basedOn w:val="Normal"/>
    <w:next w:val="Text1"/>
    <w:pPr>
      <w:spacing w:before="120" w:after="120"/>
      <w:ind w:left="850" w:hanging="850"/>
    </w:pPr>
    <w:rPr>
      <w:szCs w:val="24"/>
    </w:rPr>
  </w:style>
  <w:style w:type="paragraph" w:customStyle="1" w:styleId="QuotedNumPar">
    <w:name w:val="Quoted NumPar"/>
    <w:basedOn w:val="Normal"/>
    <w:pPr>
      <w:spacing w:before="120" w:after="120"/>
      <w:ind w:left="1417" w:hanging="567"/>
    </w:pPr>
    <w:rPr>
      <w:szCs w:val="24"/>
    </w:rPr>
  </w:style>
  <w:style w:type="paragraph" w:customStyle="1" w:styleId="ManualHeading1">
    <w:name w:val="Manual Heading 1"/>
    <w:basedOn w:val="Normal"/>
    <w:next w:val="Text1"/>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Text1"/>
    <w:pPr>
      <w:keepNext/>
      <w:tabs>
        <w:tab w:val="left" w:pos="850"/>
      </w:tabs>
      <w:spacing w:before="120" w:after="120"/>
      <w:ind w:left="850" w:hanging="850"/>
      <w:outlineLvl w:val="1"/>
    </w:pPr>
    <w:rPr>
      <w:b/>
      <w:szCs w:val="24"/>
    </w:rPr>
  </w:style>
  <w:style w:type="paragraph" w:customStyle="1" w:styleId="ManualHeading3">
    <w:name w:val="Manual Heading 3"/>
    <w:basedOn w:val="Normal"/>
    <w:next w:val="Text1"/>
    <w:pPr>
      <w:keepNext/>
      <w:tabs>
        <w:tab w:val="left" w:pos="850"/>
      </w:tabs>
      <w:spacing w:before="120" w:after="120"/>
      <w:ind w:left="850" w:hanging="850"/>
      <w:outlineLvl w:val="2"/>
    </w:pPr>
    <w:rPr>
      <w:i/>
      <w:szCs w:val="24"/>
    </w:rPr>
  </w:style>
  <w:style w:type="paragraph" w:customStyle="1" w:styleId="ManualHeading4">
    <w:name w:val="Manual Heading 4"/>
    <w:basedOn w:val="Normal"/>
    <w:next w:val="Text1"/>
    <w:pPr>
      <w:keepNext/>
      <w:tabs>
        <w:tab w:val="left" w:pos="850"/>
      </w:tabs>
      <w:spacing w:before="120" w:after="120"/>
      <w:ind w:left="850" w:hanging="850"/>
      <w:outlineLvl w:val="3"/>
    </w:pPr>
    <w:rPr>
      <w:szCs w:val="24"/>
    </w:rPr>
  </w:style>
  <w:style w:type="paragraph" w:customStyle="1" w:styleId="TableTitle">
    <w:name w:val="Table Title"/>
    <w:basedOn w:val="Normal"/>
    <w:next w:val="Normal"/>
    <w:pPr>
      <w:spacing w:before="120" w:after="120"/>
      <w:jc w:val="center"/>
    </w:pPr>
    <w:rPr>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4"/>
      </w:numPr>
      <w:spacing w:before="120" w:after="120"/>
    </w:pPr>
    <w:rPr>
      <w:szCs w:val="24"/>
    </w:rPr>
  </w:style>
  <w:style w:type="paragraph" w:customStyle="1" w:styleId="Point1number">
    <w:name w:val="Point 1 (number)"/>
    <w:basedOn w:val="Normal"/>
    <w:pPr>
      <w:numPr>
        <w:ilvl w:val="2"/>
        <w:numId w:val="24"/>
      </w:numPr>
      <w:spacing w:before="120" w:after="120"/>
    </w:pPr>
    <w:rPr>
      <w:szCs w:val="24"/>
    </w:rPr>
  </w:style>
  <w:style w:type="paragraph" w:customStyle="1" w:styleId="Point2number">
    <w:name w:val="Point 2 (number)"/>
    <w:basedOn w:val="Normal"/>
    <w:pPr>
      <w:numPr>
        <w:ilvl w:val="4"/>
        <w:numId w:val="24"/>
      </w:numPr>
      <w:spacing w:before="120" w:after="120"/>
    </w:pPr>
    <w:rPr>
      <w:szCs w:val="24"/>
    </w:rPr>
  </w:style>
  <w:style w:type="paragraph" w:customStyle="1" w:styleId="Point3number">
    <w:name w:val="Point 3 (number)"/>
    <w:basedOn w:val="Normal"/>
    <w:pPr>
      <w:numPr>
        <w:ilvl w:val="6"/>
        <w:numId w:val="24"/>
      </w:numPr>
      <w:spacing w:before="120" w:after="120"/>
    </w:pPr>
    <w:rPr>
      <w:szCs w:val="24"/>
    </w:rPr>
  </w:style>
  <w:style w:type="paragraph" w:customStyle="1" w:styleId="Point0letter">
    <w:name w:val="Point 0 (letter)"/>
    <w:basedOn w:val="Normal"/>
    <w:pPr>
      <w:numPr>
        <w:ilvl w:val="1"/>
        <w:numId w:val="24"/>
      </w:numPr>
      <w:spacing w:before="120" w:after="120"/>
    </w:pPr>
    <w:rPr>
      <w:szCs w:val="24"/>
    </w:rPr>
  </w:style>
  <w:style w:type="paragraph" w:customStyle="1" w:styleId="Point1letter">
    <w:name w:val="Point 1 (letter)"/>
    <w:basedOn w:val="Normal"/>
    <w:pPr>
      <w:numPr>
        <w:ilvl w:val="3"/>
        <w:numId w:val="24"/>
      </w:numPr>
      <w:spacing w:before="120" w:after="120"/>
    </w:pPr>
    <w:rPr>
      <w:szCs w:val="24"/>
    </w:rPr>
  </w:style>
  <w:style w:type="paragraph" w:customStyle="1" w:styleId="Point2letter">
    <w:name w:val="Point 2 (letter)"/>
    <w:basedOn w:val="Normal"/>
    <w:pPr>
      <w:numPr>
        <w:ilvl w:val="5"/>
        <w:numId w:val="24"/>
      </w:numPr>
      <w:spacing w:before="120" w:after="120"/>
    </w:pPr>
    <w:rPr>
      <w:szCs w:val="24"/>
    </w:rPr>
  </w:style>
  <w:style w:type="paragraph" w:customStyle="1" w:styleId="Point3letter">
    <w:name w:val="Point 3 (letter)"/>
    <w:basedOn w:val="Normal"/>
    <w:pPr>
      <w:numPr>
        <w:ilvl w:val="7"/>
        <w:numId w:val="24"/>
      </w:numPr>
      <w:spacing w:before="120" w:after="120"/>
    </w:pPr>
    <w:rPr>
      <w:szCs w:val="24"/>
    </w:rPr>
  </w:style>
  <w:style w:type="paragraph" w:customStyle="1" w:styleId="Point4letter">
    <w:name w:val="Point 4 (letter)"/>
    <w:basedOn w:val="Normal"/>
    <w:pPr>
      <w:numPr>
        <w:ilvl w:val="8"/>
        <w:numId w:val="24"/>
      </w:numPr>
      <w:spacing w:before="120" w:after="120"/>
    </w:pPr>
    <w:rPr>
      <w:szCs w:val="24"/>
    </w:rPr>
  </w:style>
  <w:style w:type="paragraph" w:customStyle="1" w:styleId="Bullet0">
    <w:name w:val="Bullet 0"/>
    <w:basedOn w:val="Normal"/>
    <w:pPr>
      <w:numPr>
        <w:numId w:val="25"/>
      </w:numPr>
      <w:spacing w:before="120" w:after="120"/>
    </w:pPr>
    <w:rPr>
      <w:szCs w:val="24"/>
    </w:rPr>
  </w:style>
  <w:style w:type="paragraph" w:customStyle="1" w:styleId="Bullet1">
    <w:name w:val="Bullet 1"/>
    <w:basedOn w:val="Normal"/>
    <w:pPr>
      <w:numPr>
        <w:numId w:val="26"/>
      </w:numPr>
      <w:spacing w:before="120" w:after="120"/>
    </w:pPr>
    <w:rPr>
      <w:szCs w:val="24"/>
    </w:rPr>
  </w:style>
  <w:style w:type="paragraph" w:customStyle="1" w:styleId="Bullet2">
    <w:name w:val="Bullet 2"/>
    <w:basedOn w:val="Normal"/>
    <w:pPr>
      <w:numPr>
        <w:numId w:val="27"/>
      </w:numPr>
      <w:spacing w:before="120" w:after="120"/>
    </w:pPr>
    <w:rPr>
      <w:szCs w:val="24"/>
    </w:rPr>
  </w:style>
  <w:style w:type="paragraph" w:customStyle="1" w:styleId="Bullet3">
    <w:name w:val="Bullet 3"/>
    <w:basedOn w:val="Normal"/>
    <w:pPr>
      <w:numPr>
        <w:numId w:val="28"/>
      </w:numPr>
      <w:spacing w:before="120" w:after="120"/>
    </w:pPr>
    <w:rPr>
      <w:szCs w:val="24"/>
    </w:rPr>
  </w:style>
  <w:style w:type="paragraph" w:customStyle="1" w:styleId="Bullet4">
    <w:name w:val="Bullet 4"/>
    <w:basedOn w:val="Normal"/>
    <w:pPr>
      <w:numPr>
        <w:numId w:val="29"/>
      </w:numPr>
      <w:spacing w:before="120" w:after="120"/>
    </w:pPr>
    <w:rPr>
      <w:szCs w:val="24"/>
    </w:rPr>
  </w:style>
  <w:style w:type="paragraph" w:customStyle="1" w:styleId="Annexetitreexpos">
    <w:name w:val="Annexe titre (exposé)"/>
    <w:basedOn w:val="Normal"/>
    <w:next w:val="Normal"/>
    <w:pPr>
      <w:spacing w:before="120" w:after="120"/>
      <w:jc w:val="center"/>
    </w:pPr>
    <w:rPr>
      <w:b/>
      <w:szCs w:val="24"/>
      <w:u w:val="single"/>
    </w:rPr>
  </w:style>
  <w:style w:type="paragraph" w:customStyle="1" w:styleId="Annexetitre">
    <w:name w:val="Annexe titre"/>
    <w:basedOn w:val="Normal"/>
    <w:next w:val="Normal"/>
    <w:pPr>
      <w:spacing w:before="120" w:after="120"/>
      <w:jc w:val="center"/>
    </w:pPr>
    <w:rPr>
      <w:b/>
      <w:szCs w:val="24"/>
      <w:u w:val="single"/>
    </w:rPr>
  </w:style>
  <w:style w:type="paragraph" w:customStyle="1" w:styleId="Annexetitrefichefinancire">
    <w:name w:val="Annexe titre (fiche financière)"/>
    <w:basedOn w:val="Normal"/>
    <w:next w:val="Normal"/>
    <w:pPr>
      <w:spacing w:before="120" w:after="120"/>
      <w:jc w:val="center"/>
    </w:pPr>
    <w:rPr>
      <w:b/>
      <w:szCs w:val="24"/>
      <w:u w:val="single"/>
    </w:rPr>
  </w:style>
  <w:style w:type="paragraph" w:customStyle="1" w:styleId="Applicationdirecte">
    <w:name w:val="Application directe"/>
    <w:basedOn w:val="Normal"/>
    <w:next w:val="Fait"/>
    <w:pPr>
      <w:spacing w:before="480" w:after="120"/>
    </w:pPr>
    <w:rPr>
      <w:szCs w:val="24"/>
    </w:rPr>
  </w:style>
  <w:style w:type="paragraph" w:customStyle="1" w:styleId="Fait">
    <w:name w:val="Fait à"/>
    <w:basedOn w:val="Normal"/>
    <w:next w:val="Institutionquisigne"/>
    <w:pPr>
      <w:keepNext/>
      <w:spacing w:before="120" w:after="0"/>
    </w:pPr>
    <w:rPr>
      <w:szCs w:val="24"/>
    </w:rPr>
  </w:style>
  <w:style w:type="paragraph" w:customStyle="1" w:styleId="Institutionquisigne">
    <w:name w:val="Institution qui signe"/>
    <w:basedOn w:val="Normal"/>
    <w:next w:val="Personnequisigne"/>
    <w:pPr>
      <w:keepNext/>
      <w:tabs>
        <w:tab w:val="left" w:pos="4252"/>
      </w:tabs>
      <w:spacing w:before="720" w:after="0"/>
    </w:pPr>
    <w:rPr>
      <w:i/>
      <w:szCs w:val="24"/>
    </w:rPr>
  </w:style>
  <w:style w:type="paragraph" w:customStyle="1" w:styleId="Personnequisigne">
    <w:name w:val="Personne qui signe"/>
    <w:basedOn w:val="Normal"/>
    <w:next w:val="Institutionquisigne"/>
    <w:pPr>
      <w:tabs>
        <w:tab w:val="left" w:pos="4252"/>
      </w:tabs>
      <w:spacing w:after="0"/>
      <w:jc w:val="left"/>
    </w:pPr>
    <w:rPr>
      <w:i/>
      <w:szCs w:val="24"/>
    </w:rPr>
  </w:style>
  <w:style w:type="paragraph" w:customStyle="1" w:styleId="Avertissementtitre">
    <w:name w:val="Avertissement titre"/>
    <w:basedOn w:val="Normal"/>
    <w:next w:val="Normal"/>
    <w:pPr>
      <w:keepNext/>
      <w:spacing w:before="480" w:after="120"/>
    </w:pPr>
    <w:rPr>
      <w:szCs w:val="24"/>
      <w:u w:val="single"/>
    </w:rPr>
  </w:style>
  <w:style w:type="paragraph" w:customStyle="1" w:styleId="Confidence">
    <w:name w:val="Confidence"/>
    <w:basedOn w:val="Normal"/>
    <w:next w:val="Normal"/>
    <w:pPr>
      <w:spacing w:before="360" w:after="120"/>
      <w:jc w:val="center"/>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link w:val="TypedudocumentChar"/>
    <w:pPr>
      <w:spacing w:before="360" w:after="0"/>
      <w:jc w:val="center"/>
    </w:pPr>
    <w:rPr>
      <w:b/>
      <w:szCs w:val="24"/>
    </w:rPr>
  </w:style>
  <w:style w:type="paragraph" w:customStyle="1" w:styleId="Titreobjet">
    <w:name w:val="Titre objet"/>
    <w:basedOn w:val="Normal"/>
    <w:next w:val="Sous-titreobjet"/>
    <w:pPr>
      <w:spacing w:before="360" w:after="360"/>
      <w:jc w:val="center"/>
    </w:pPr>
    <w:rPr>
      <w:b/>
      <w:szCs w:val="24"/>
    </w:rPr>
  </w:style>
  <w:style w:type="paragraph" w:customStyle="1" w:styleId="Sous-titreobjet">
    <w:name w:val="Sous-titre objet"/>
    <w:basedOn w:val="Normal"/>
    <w:pPr>
      <w:spacing w:after="0"/>
      <w:jc w:val="center"/>
    </w:pPr>
    <w:rPr>
      <w:b/>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30"/>
      </w:numPr>
      <w:spacing w:before="120" w:after="120"/>
    </w:pPr>
    <w:rPr>
      <w:szCs w:val="24"/>
    </w:rPr>
  </w:style>
  <w:style w:type="paragraph" w:customStyle="1" w:styleId="Corrigendum">
    <w:name w:val="Corrigendum"/>
    <w:basedOn w:val="Normal"/>
    <w:next w:val="Normal"/>
    <w:pPr>
      <w:jc w:val="left"/>
    </w:pPr>
    <w:rPr>
      <w:szCs w:val="24"/>
    </w:rPr>
  </w:style>
  <w:style w:type="paragraph" w:customStyle="1" w:styleId="Datedadoption">
    <w:name w:val="Date d'adoption"/>
    <w:basedOn w:val="Normal"/>
    <w:next w:val="Titreobjet"/>
    <w:pPr>
      <w:spacing w:before="360" w:after="0"/>
      <w:jc w:val="center"/>
    </w:pPr>
    <w:rPr>
      <w:b/>
      <w:szCs w:val="24"/>
    </w:rPr>
  </w:style>
  <w:style w:type="paragraph" w:customStyle="1" w:styleId="Emission">
    <w:name w:val="Emission"/>
    <w:basedOn w:val="Normal"/>
    <w:next w:val="Rfrenceinstitutionnelle"/>
    <w:pPr>
      <w:spacing w:after="0"/>
      <w:ind w:left="5103"/>
      <w:jc w:val="left"/>
    </w:pPr>
    <w:rPr>
      <w:szCs w:val="24"/>
    </w:rPr>
  </w:style>
  <w:style w:type="paragraph" w:customStyle="1" w:styleId="Rfrenceinstitutionnelle">
    <w:name w:val="Référence institutionnelle"/>
    <w:basedOn w:val="Normal"/>
    <w:next w:val="Confidentialit"/>
    <w:pPr>
      <w:ind w:left="5103"/>
      <w:jc w:val="left"/>
    </w:pPr>
    <w:rPr>
      <w:szCs w:val="24"/>
    </w:rPr>
  </w:style>
  <w:style w:type="paragraph" w:customStyle="1" w:styleId="Exposdesmotifstitre">
    <w:name w:val="Exposé des motifs titre"/>
    <w:basedOn w:val="Normal"/>
    <w:next w:val="Normal"/>
    <w:pPr>
      <w:spacing w:before="120" w:after="120"/>
      <w:jc w:val="center"/>
    </w:pPr>
    <w:rPr>
      <w:b/>
      <w:szCs w:val="24"/>
      <w:u w:val="single"/>
    </w:rPr>
  </w:style>
  <w:style w:type="paragraph" w:customStyle="1" w:styleId="Formuledadoption">
    <w:name w:val="Formule d'adoption"/>
    <w:basedOn w:val="Normal"/>
    <w:next w:val="Titrearticle"/>
    <w:pPr>
      <w:keepNext/>
      <w:spacing w:before="120" w:after="120"/>
    </w:pPr>
    <w:rPr>
      <w:szCs w:val="24"/>
    </w:rPr>
  </w:style>
  <w:style w:type="paragraph" w:customStyle="1" w:styleId="Titrearticle">
    <w:name w:val="Titre article"/>
    <w:basedOn w:val="Normal"/>
    <w:next w:val="Normal"/>
    <w:pPr>
      <w:keepNext/>
      <w:spacing w:before="360" w:after="120"/>
      <w:jc w:val="center"/>
    </w:pPr>
    <w:rPr>
      <w:i/>
      <w:szCs w:val="24"/>
    </w:rPr>
  </w:style>
  <w:style w:type="paragraph" w:customStyle="1" w:styleId="Institutionquiagit">
    <w:name w:val="Institution qui agit"/>
    <w:basedOn w:val="Normal"/>
    <w:next w:val="Normal"/>
    <w:pPr>
      <w:keepNext/>
      <w:spacing w:before="600" w:after="120"/>
    </w:pPr>
    <w:rPr>
      <w:szCs w:val="24"/>
    </w:rPr>
  </w:style>
  <w:style w:type="paragraph" w:customStyle="1" w:styleId="Langue">
    <w:name w:val="Langue"/>
    <w:basedOn w:val="Normal"/>
    <w:next w:val="Rfrenceinterne"/>
    <w:pPr>
      <w:framePr w:wrap="around" w:vAnchor="page" w:hAnchor="text" w:xAlign="center" w:y="14741"/>
      <w:spacing w:after="600"/>
      <w:jc w:val="center"/>
    </w:pPr>
    <w:rPr>
      <w:b/>
      <w:caps/>
      <w:szCs w:val="24"/>
    </w:rPr>
  </w:style>
  <w:style w:type="paragraph" w:customStyle="1" w:styleId="Rfrenceinterne">
    <w:name w:val="Référence interne"/>
    <w:basedOn w:val="Normal"/>
    <w:next w:val="Rfrenceinterinstitutionnelle"/>
    <w:pPr>
      <w:spacing w:after="0"/>
      <w:ind w:left="5103"/>
      <w:jc w:val="left"/>
    </w:pPr>
    <w:rPr>
      <w:szCs w:val="24"/>
    </w:rPr>
  </w:style>
  <w:style w:type="paragraph" w:customStyle="1" w:styleId="Rfrenceinterinstitutionnelle">
    <w:name w:val="Référence interinstitutionnelle"/>
    <w:basedOn w:val="Normal"/>
    <w:next w:val="Statut"/>
    <w:pPr>
      <w:spacing w:after="0"/>
      <w:ind w:left="5103"/>
      <w:jc w:val="left"/>
    </w:pPr>
    <w:rPr>
      <w:szCs w:val="24"/>
    </w:rPr>
  </w:style>
  <w:style w:type="paragraph" w:customStyle="1" w:styleId="Statut">
    <w:name w:val="Statut"/>
    <w:basedOn w:val="Normal"/>
    <w:next w:val="Typedudocument"/>
    <w:pPr>
      <w:spacing w:before="360" w:after="0"/>
      <w:jc w:val="center"/>
    </w:pPr>
    <w:rPr>
      <w:szCs w:val="24"/>
    </w:rPr>
  </w:style>
  <w:style w:type="paragraph" w:customStyle="1" w:styleId="ManualConsidrant">
    <w:name w:val="Manual Considérant"/>
    <w:basedOn w:val="Normal"/>
    <w:pPr>
      <w:spacing w:before="120" w:after="120"/>
      <w:ind w:left="709" w:hanging="709"/>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Objetexterne">
    <w:name w:val="Objet externe"/>
    <w:basedOn w:val="Normal"/>
    <w:next w:val="Normal"/>
    <w:pPr>
      <w:spacing w:before="120" w:after="120"/>
    </w:pPr>
    <w:rPr>
      <w:i/>
      <w:caps/>
      <w:szCs w:val="24"/>
    </w:rPr>
  </w:style>
  <w:style w:type="paragraph" w:customStyle="1" w:styleId="Pagedecouverture">
    <w:name w:val="Page de couverture"/>
    <w:basedOn w:val="Normal"/>
    <w:next w:val="Normal"/>
    <w:pPr>
      <w:spacing w:after="0"/>
    </w:pPr>
    <w:rPr>
      <w:szCs w:val="24"/>
    </w:rPr>
  </w:style>
  <w:style w:type="paragraph" w:customStyle="1" w:styleId="Supertitre">
    <w:name w:val="Supertitre"/>
    <w:basedOn w:val="Normal"/>
    <w:next w:val="Normal"/>
    <w:pPr>
      <w:spacing w:after="600"/>
      <w:jc w:val="center"/>
    </w:pPr>
    <w:rPr>
      <w:b/>
      <w:szCs w:val="24"/>
    </w:rPr>
  </w:style>
  <w:style w:type="paragraph" w:customStyle="1" w:styleId="Languesfaisantfoi">
    <w:name w:val="Langues faisant foi"/>
    <w:basedOn w:val="Normal"/>
    <w:next w:val="Normal"/>
    <w:pPr>
      <w:spacing w:before="360" w:after="0"/>
      <w:jc w:val="center"/>
    </w:pPr>
    <w:rPr>
      <w:szCs w:val="24"/>
    </w:rPr>
  </w:style>
  <w:style w:type="paragraph" w:customStyle="1" w:styleId="Rfrencecroise">
    <w:name w:val="Référence croisée"/>
    <w:basedOn w:val="Normal"/>
    <w:pPr>
      <w:spacing w:after="0"/>
      <w:jc w:val="center"/>
    </w:pPr>
    <w:rPr>
      <w:szCs w:val="24"/>
    </w:rPr>
  </w:style>
  <w:style w:type="paragraph" w:customStyle="1" w:styleId="Fichefinanciretitre">
    <w:name w:val="Fiche financière titre"/>
    <w:basedOn w:val="Normal"/>
    <w:next w:val="Normal"/>
    <w:pPr>
      <w:spacing w:before="120" w:after="120"/>
      <w:jc w:val="center"/>
    </w:pPr>
    <w:rPr>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ind w:left="5103"/>
      <w:jc w:val="left"/>
    </w:pPr>
    <w:rPr>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jc w:val="center"/>
    </w:pPr>
    <w:rPr>
      <w:b/>
      <w:i/>
      <w:szCs w:val="24"/>
    </w:rPr>
  </w:style>
  <w:style w:type="paragraph" w:customStyle="1" w:styleId="Typeacteprincipal">
    <w:name w:val="Type acte principal"/>
    <w:basedOn w:val="Normal"/>
    <w:next w:val="Objetacteprincipal"/>
    <w:pPr>
      <w:jc w:val="center"/>
    </w:pPr>
    <w:rPr>
      <w:b/>
      <w:szCs w:val="24"/>
    </w:rPr>
  </w:style>
  <w:style w:type="paragraph" w:customStyle="1" w:styleId="Objetacteprincipal">
    <w:name w:val="Objet acte principal"/>
    <w:basedOn w:val="Normal"/>
    <w:next w:val="Titrearticle"/>
    <w:pPr>
      <w:spacing w:after="360"/>
      <w:jc w:val="center"/>
    </w:pPr>
    <w:rPr>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4"/>
    </w:rPr>
  </w:style>
  <w:style w:type="paragraph" w:styleId="BalloonText">
    <w:name w:val="Balloon Text"/>
    <w:basedOn w:val="Normal"/>
    <w:link w:val="BalloonTextChar"/>
    <w:semiHidden/>
    <w:pPr>
      <w:spacing w:before="120" w:after="120"/>
    </w:pPr>
    <w:rPr>
      <w:rFonts w:ascii="Tahoma" w:hAnsi="Tahoma"/>
      <w:sz w:val="16"/>
      <w:szCs w:val="16"/>
    </w:rPr>
  </w:style>
  <w:style w:type="character" w:customStyle="1" w:styleId="BalloonTextChar">
    <w:name w:val="Balloon Text Char"/>
    <w:link w:val="BalloonText"/>
    <w:semiHidden/>
    <w:rPr>
      <w:rFonts w:ascii="Tahoma" w:hAnsi="Tahoma" w:cs="Tahoma"/>
      <w:sz w:val="16"/>
      <w:szCs w:val="16"/>
      <w:lang w:eastAsia="et-EE"/>
    </w:rPr>
  </w:style>
  <w:style w:type="character" w:customStyle="1" w:styleId="Corpsdutexte">
    <w:name w:val="Corps du texte_"/>
    <w:link w:val="Corpsdutexte0"/>
    <w:uiPriority w:val="99"/>
    <w:rPr>
      <w:sz w:val="23"/>
      <w:szCs w:val="23"/>
      <w:shd w:val="clear" w:color="auto" w:fill="FFFFFF"/>
    </w:rPr>
  </w:style>
  <w:style w:type="paragraph" w:customStyle="1" w:styleId="Corpsdutexte0">
    <w:name w:val="Corps du texte"/>
    <w:basedOn w:val="Normal"/>
    <w:link w:val="Corpsdutexte"/>
    <w:uiPriority w:val="99"/>
    <w:pPr>
      <w:widowControl w:val="0"/>
      <w:shd w:val="clear" w:color="auto" w:fill="FFFFFF"/>
      <w:spacing w:after="1380" w:line="278" w:lineRule="exact"/>
      <w:ind w:hanging="560"/>
      <w:jc w:val="center"/>
    </w:pPr>
    <w:rPr>
      <w:sz w:val="23"/>
      <w:szCs w:val="23"/>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rPr>
      <w:shd w:val="clear" w:color="auto" w:fill="auto"/>
      <w:lang w:eastAsia="et-EE"/>
    </w:rPr>
  </w:style>
  <w:style w:type="paragraph" w:styleId="CommentSubject">
    <w:name w:val="annotation subject"/>
    <w:basedOn w:val="CommentText"/>
    <w:next w:val="CommentText"/>
    <w:link w:val="CommentSubjectChar"/>
    <w:pPr>
      <w:spacing w:before="120" w:after="120"/>
    </w:pPr>
    <w:rPr>
      <w:b/>
      <w:bCs/>
    </w:rPr>
  </w:style>
  <w:style w:type="character" w:customStyle="1" w:styleId="CommentTextChar1">
    <w:name w:val="Comment Text Char1"/>
    <w:link w:val="CommentText"/>
    <w:rPr>
      <w:lang w:eastAsia="et-EE"/>
    </w:rPr>
  </w:style>
  <w:style w:type="character" w:customStyle="1" w:styleId="CommentSubjectChar">
    <w:name w:val="Comment Subject Char"/>
    <w:link w:val="CommentSubject"/>
    <w:rPr>
      <w:b/>
      <w:bCs/>
      <w:lang w:eastAsia="et-EE"/>
    </w:rPr>
  </w:style>
  <w:style w:type="paragraph" w:styleId="Revision">
    <w:name w:val="Revision"/>
    <w:hidden/>
    <w:uiPriority w:val="99"/>
    <w:semiHidden/>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TypedudocumentChar">
    <w:name w:val="Type du document Char"/>
    <w:link w:val="Typedudocument"/>
    <w:rPr>
      <w:b/>
      <w:sz w:val="24"/>
      <w:szCs w:val="24"/>
      <w:lang w:eastAsia="et-EE"/>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link w:val="HeaderCoverPage"/>
    <w:rPr>
      <w:sz w:val="24"/>
      <w:szCs w:val="24"/>
    </w:rPr>
  </w:style>
  <w:style w:type="character" w:customStyle="1" w:styleId="FooterChar">
    <w:name w:val="Footer Char"/>
    <w:link w:val="Footer"/>
    <w:uiPriority w:val="99"/>
    <w:rPr>
      <w:rFonts w:ascii="Arial" w:hAnsi="Arial"/>
      <w:sz w:val="16"/>
      <w:lang w:eastAsia="et-EE"/>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2225">
      <w:bodyDiv w:val="1"/>
      <w:marLeft w:val="0"/>
      <w:marRight w:val="0"/>
      <w:marTop w:val="0"/>
      <w:marBottom w:val="0"/>
      <w:divBdr>
        <w:top w:val="none" w:sz="0" w:space="0" w:color="auto"/>
        <w:left w:val="none" w:sz="0" w:space="0" w:color="auto"/>
        <w:bottom w:val="none" w:sz="0" w:space="0" w:color="auto"/>
        <w:right w:val="none" w:sz="0" w:space="0" w:color="auto"/>
      </w:divBdr>
    </w:div>
    <w:div w:id="90201429">
      <w:bodyDiv w:val="1"/>
      <w:marLeft w:val="0"/>
      <w:marRight w:val="0"/>
      <w:marTop w:val="0"/>
      <w:marBottom w:val="0"/>
      <w:divBdr>
        <w:top w:val="none" w:sz="0" w:space="0" w:color="auto"/>
        <w:left w:val="none" w:sz="0" w:space="0" w:color="auto"/>
        <w:bottom w:val="none" w:sz="0" w:space="0" w:color="auto"/>
        <w:right w:val="none" w:sz="0" w:space="0" w:color="auto"/>
      </w:divBdr>
    </w:div>
    <w:div w:id="107312365">
      <w:bodyDiv w:val="1"/>
      <w:marLeft w:val="0"/>
      <w:marRight w:val="0"/>
      <w:marTop w:val="0"/>
      <w:marBottom w:val="0"/>
      <w:divBdr>
        <w:top w:val="none" w:sz="0" w:space="0" w:color="auto"/>
        <w:left w:val="none" w:sz="0" w:space="0" w:color="auto"/>
        <w:bottom w:val="none" w:sz="0" w:space="0" w:color="auto"/>
        <w:right w:val="none" w:sz="0" w:space="0" w:color="auto"/>
      </w:divBdr>
    </w:div>
    <w:div w:id="164365540">
      <w:bodyDiv w:val="1"/>
      <w:marLeft w:val="0"/>
      <w:marRight w:val="0"/>
      <w:marTop w:val="0"/>
      <w:marBottom w:val="0"/>
      <w:divBdr>
        <w:top w:val="none" w:sz="0" w:space="0" w:color="auto"/>
        <w:left w:val="none" w:sz="0" w:space="0" w:color="auto"/>
        <w:bottom w:val="none" w:sz="0" w:space="0" w:color="auto"/>
        <w:right w:val="none" w:sz="0" w:space="0" w:color="auto"/>
      </w:divBdr>
    </w:div>
    <w:div w:id="224950831">
      <w:bodyDiv w:val="1"/>
      <w:marLeft w:val="0"/>
      <w:marRight w:val="0"/>
      <w:marTop w:val="0"/>
      <w:marBottom w:val="0"/>
      <w:divBdr>
        <w:top w:val="none" w:sz="0" w:space="0" w:color="auto"/>
        <w:left w:val="none" w:sz="0" w:space="0" w:color="auto"/>
        <w:bottom w:val="none" w:sz="0" w:space="0" w:color="auto"/>
        <w:right w:val="none" w:sz="0" w:space="0" w:color="auto"/>
      </w:divBdr>
    </w:div>
    <w:div w:id="233974588">
      <w:bodyDiv w:val="1"/>
      <w:marLeft w:val="0"/>
      <w:marRight w:val="0"/>
      <w:marTop w:val="0"/>
      <w:marBottom w:val="0"/>
      <w:divBdr>
        <w:top w:val="none" w:sz="0" w:space="0" w:color="auto"/>
        <w:left w:val="none" w:sz="0" w:space="0" w:color="auto"/>
        <w:bottom w:val="none" w:sz="0" w:space="0" w:color="auto"/>
        <w:right w:val="none" w:sz="0" w:space="0" w:color="auto"/>
      </w:divBdr>
    </w:div>
    <w:div w:id="280036273">
      <w:bodyDiv w:val="1"/>
      <w:marLeft w:val="0"/>
      <w:marRight w:val="0"/>
      <w:marTop w:val="0"/>
      <w:marBottom w:val="0"/>
      <w:divBdr>
        <w:top w:val="none" w:sz="0" w:space="0" w:color="auto"/>
        <w:left w:val="none" w:sz="0" w:space="0" w:color="auto"/>
        <w:bottom w:val="none" w:sz="0" w:space="0" w:color="auto"/>
        <w:right w:val="none" w:sz="0" w:space="0" w:color="auto"/>
      </w:divBdr>
    </w:div>
    <w:div w:id="295333538">
      <w:bodyDiv w:val="1"/>
      <w:marLeft w:val="0"/>
      <w:marRight w:val="0"/>
      <w:marTop w:val="0"/>
      <w:marBottom w:val="0"/>
      <w:divBdr>
        <w:top w:val="none" w:sz="0" w:space="0" w:color="auto"/>
        <w:left w:val="none" w:sz="0" w:space="0" w:color="auto"/>
        <w:bottom w:val="none" w:sz="0" w:space="0" w:color="auto"/>
        <w:right w:val="none" w:sz="0" w:space="0" w:color="auto"/>
      </w:divBdr>
    </w:div>
    <w:div w:id="311561609">
      <w:bodyDiv w:val="1"/>
      <w:marLeft w:val="0"/>
      <w:marRight w:val="0"/>
      <w:marTop w:val="0"/>
      <w:marBottom w:val="0"/>
      <w:divBdr>
        <w:top w:val="none" w:sz="0" w:space="0" w:color="auto"/>
        <w:left w:val="none" w:sz="0" w:space="0" w:color="auto"/>
        <w:bottom w:val="none" w:sz="0" w:space="0" w:color="auto"/>
        <w:right w:val="none" w:sz="0" w:space="0" w:color="auto"/>
      </w:divBdr>
    </w:div>
    <w:div w:id="338505577">
      <w:bodyDiv w:val="1"/>
      <w:marLeft w:val="0"/>
      <w:marRight w:val="0"/>
      <w:marTop w:val="0"/>
      <w:marBottom w:val="0"/>
      <w:divBdr>
        <w:top w:val="none" w:sz="0" w:space="0" w:color="auto"/>
        <w:left w:val="none" w:sz="0" w:space="0" w:color="auto"/>
        <w:bottom w:val="none" w:sz="0" w:space="0" w:color="auto"/>
        <w:right w:val="none" w:sz="0" w:space="0" w:color="auto"/>
      </w:divBdr>
    </w:div>
    <w:div w:id="342443688">
      <w:bodyDiv w:val="1"/>
      <w:marLeft w:val="0"/>
      <w:marRight w:val="0"/>
      <w:marTop w:val="0"/>
      <w:marBottom w:val="0"/>
      <w:divBdr>
        <w:top w:val="none" w:sz="0" w:space="0" w:color="auto"/>
        <w:left w:val="none" w:sz="0" w:space="0" w:color="auto"/>
        <w:bottom w:val="none" w:sz="0" w:space="0" w:color="auto"/>
        <w:right w:val="none" w:sz="0" w:space="0" w:color="auto"/>
      </w:divBdr>
    </w:div>
    <w:div w:id="344476739">
      <w:bodyDiv w:val="1"/>
      <w:marLeft w:val="0"/>
      <w:marRight w:val="0"/>
      <w:marTop w:val="0"/>
      <w:marBottom w:val="0"/>
      <w:divBdr>
        <w:top w:val="none" w:sz="0" w:space="0" w:color="auto"/>
        <w:left w:val="none" w:sz="0" w:space="0" w:color="auto"/>
        <w:bottom w:val="none" w:sz="0" w:space="0" w:color="auto"/>
        <w:right w:val="none" w:sz="0" w:space="0" w:color="auto"/>
      </w:divBdr>
    </w:div>
    <w:div w:id="391084517">
      <w:bodyDiv w:val="1"/>
      <w:marLeft w:val="0"/>
      <w:marRight w:val="0"/>
      <w:marTop w:val="0"/>
      <w:marBottom w:val="0"/>
      <w:divBdr>
        <w:top w:val="none" w:sz="0" w:space="0" w:color="auto"/>
        <w:left w:val="none" w:sz="0" w:space="0" w:color="auto"/>
        <w:bottom w:val="none" w:sz="0" w:space="0" w:color="auto"/>
        <w:right w:val="none" w:sz="0" w:space="0" w:color="auto"/>
      </w:divBdr>
    </w:div>
    <w:div w:id="460155187">
      <w:bodyDiv w:val="1"/>
      <w:marLeft w:val="0"/>
      <w:marRight w:val="0"/>
      <w:marTop w:val="0"/>
      <w:marBottom w:val="0"/>
      <w:divBdr>
        <w:top w:val="none" w:sz="0" w:space="0" w:color="auto"/>
        <w:left w:val="none" w:sz="0" w:space="0" w:color="auto"/>
        <w:bottom w:val="none" w:sz="0" w:space="0" w:color="auto"/>
        <w:right w:val="none" w:sz="0" w:space="0" w:color="auto"/>
      </w:divBdr>
    </w:div>
    <w:div w:id="522399618">
      <w:bodyDiv w:val="1"/>
      <w:marLeft w:val="0"/>
      <w:marRight w:val="0"/>
      <w:marTop w:val="0"/>
      <w:marBottom w:val="0"/>
      <w:divBdr>
        <w:top w:val="none" w:sz="0" w:space="0" w:color="auto"/>
        <w:left w:val="none" w:sz="0" w:space="0" w:color="auto"/>
        <w:bottom w:val="none" w:sz="0" w:space="0" w:color="auto"/>
        <w:right w:val="none" w:sz="0" w:space="0" w:color="auto"/>
      </w:divBdr>
    </w:div>
    <w:div w:id="667709381">
      <w:bodyDiv w:val="1"/>
      <w:marLeft w:val="0"/>
      <w:marRight w:val="0"/>
      <w:marTop w:val="0"/>
      <w:marBottom w:val="0"/>
      <w:divBdr>
        <w:top w:val="none" w:sz="0" w:space="0" w:color="auto"/>
        <w:left w:val="none" w:sz="0" w:space="0" w:color="auto"/>
        <w:bottom w:val="none" w:sz="0" w:space="0" w:color="auto"/>
        <w:right w:val="none" w:sz="0" w:space="0" w:color="auto"/>
      </w:divBdr>
    </w:div>
    <w:div w:id="678577349">
      <w:bodyDiv w:val="1"/>
      <w:marLeft w:val="0"/>
      <w:marRight w:val="0"/>
      <w:marTop w:val="0"/>
      <w:marBottom w:val="0"/>
      <w:divBdr>
        <w:top w:val="none" w:sz="0" w:space="0" w:color="auto"/>
        <w:left w:val="none" w:sz="0" w:space="0" w:color="auto"/>
        <w:bottom w:val="none" w:sz="0" w:space="0" w:color="auto"/>
        <w:right w:val="none" w:sz="0" w:space="0" w:color="auto"/>
      </w:divBdr>
    </w:div>
    <w:div w:id="766002064">
      <w:bodyDiv w:val="1"/>
      <w:marLeft w:val="0"/>
      <w:marRight w:val="0"/>
      <w:marTop w:val="0"/>
      <w:marBottom w:val="0"/>
      <w:divBdr>
        <w:top w:val="none" w:sz="0" w:space="0" w:color="auto"/>
        <w:left w:val="none" w:sz="0" w:space="0" w:color="auto"/>
        <w:bottom w:val="none" w:sz="0" w:space="0" w:color="auto"/>
        <w:right w:val="none" w:sz="0" w:space="0" w:color="auto"/>
      </w:divBdr>
    </w:div>
    <w:div w:id="782116247">
      <w:bodyDiv w:val="1"/>
      <w:marLeft w:val="0"/>
      <w:marRight w:val="0"/>
      <w:marTop w:val="0"/>
      <w:marBottom w:val="0"/>
      <w:divBdr>
        <w:top w:val="none" w:sz="0" w:space="0" w:color="auto"/>
        <w:left w:val="none" w:sz="0" w:space="0" w:color="auto"/>
        <w:bottom w:val="none" w:sz="0" w:space="0" w:color="auto"/>
        <w:right w:val="none" w:sz="0" w:space="0" w:color="auto"/>
      </w:divBdr>
    </w:div>
    <w:div w:id="861629491">
      <w:bodyDiv w:val="1"/>
      <w:marLeft w:val="0"/>
      <w:marRight w:val="0"/>
      <w:marTop w:val="0"/>
      <w:marBottom w:val="0"/>
      <w:divBdr>
        <w:top w:val="none" w:sz="0" w:space="0" w:color="auto"/>
        <w:left w:val="none" w:sz="0" w:space="0" w:color="auto"/>
        <w:bottom w:val="none" w:sz="0" w:space="0" w:color="auto"/>
        <w:right w:val="none" w:sz="0" w:space="0" w:color="auto"/>
      </w:divBdr>
    </w:div>
    <w:div w:id="920796015">
      <w:bodyDiv w:val="1"/>
      <w:marLeft w:val="0"/>
      <w:marRight w:val="0"/>
      <w:marTop w:val="0"/>
      <w:marBottom w:val="0"/>
      <w:divBdr>
        <w:top w:val="none" w:sz="0" w:space="0" w:color="auto"/>
        <w:left w:val="none" w:sz="0" w:space="0" w:color="auto"/>
        <w:bottom w:val="none" w:sz="0" w:space="0" w:color="auto"/>
        <w:right w:val="none" w:sz="0" w:space="0" w:color="auto"/>
      </w:divBdr>
    </w:div>
    <w:div w:id="987242938">
      <w:bodyDiv w:val="1"/>
      <w:marLeft w:val="0"/>
      <w:marRight w:val="0"/>
      <w:marTop w:val="0"/>
      <w:marBottom w:val="0"/>
      <w:divBdr>
        <w:top w:val="none" w:sz="0" w:space="0" w:color="auto"/>
        <w:left w:val="none" w:sz="0" w:space="0" w:color="auto"/>
        <w:bottom w:val="none" w:sz="0" w:space="0" w:color="auto"/>
        <w:right w:val="none" w:sz="0" w:space="0" w:color="auto"/>
      </w:divBdr>
    </w:div>
    <w:div w:id="1039627185">
      <w:bodyDiv w:val="1"/>
      <w:marLeft w:val="0"/>
      <w:marRight w:val="0"/>
      <w:marTop w:val="0"/>
      <w:marBottom w:val="0"/>
      <w:divBdr>
        <w:top w:val="none" w:sz="0" w:space="0" w:color="auto"/>
        <w:left w:val="none" w:sz="0" w:space="0" w:color="auto"/>
        <w:bottom w:val="none" w:sz="0" w:space="0" w:color="auto"/>
        <w:right w:val="none" w:sz="0" w:space="0" w:color="auto"/>
      </w:divBdr>
    </w:div>
    <w:div w:id="1113208793">
      <w:bodyDiv w:val="1"/>
      <w:marLeft w:val="0"/>
      <w:marRight w:val="0"/>
      <w:marTop w:val="0"/>
      <w:marBottom w:val="0"/>
      <w:divBdr>
        <w:top w:val="none" w:sz="0" w:space="0" w:color="auto"/>
        <w:left w:val="none" w:sz="0" w:space="0" w:color="auto"/>
        <w:bottom w:val="none" w:sz="0" w:space="0" w:color="auto"/>
        <w:right w:val="none" w:sz="0" w:space="0" w:color="auto"/>
      </w:divBdr>
    </w:div>
    <w:div w:id="1139105299">
      <w:bodyDiv w:val="1"/>
      <w:marLeft w:val="0"/>
      <w:marRight w:val="0"/>
      <w:marTop w:val="0"/>
      <w:marBottom w:val="0"/>
      <w:divBdr>
        <w:top w:val="none" w:sz="0" w:space="0" w:color="auto"/>
        <w:left w:val="none" w:sz="0" w:space="0" w:color="auto"/>
        <w:bottom w:val="none" w:sz="0" w:space="0" w:color="auto"/>
        <w:right w:val="none" w:sz="0" w:space="0" w:color="auto"/>
      </w:divBdr>
    </w:div>
    <w:div w:id="1210649007">
      <w:bodyDiv w:val="1"/>
      <w:marLeft w:val="0"/>
      <w:marRight w:val="0"/>
      <w:marTop w:val="0"/>
      <w:marBottom w:val="0"/>
      <w:divBdr>
        <w:top w:val="none" w:sz="0" w:space="0" w:color="auto"/>
        <w:left w:val="none" w:sz="0" w:space="0" w:color="auto"/>
        <w:bottom w:val="none" w:sz="0" w:space="0" w:color="auto"/>
        <w:right w:val="none" w:sz="0" w:space="0" w:color="auto"/>
      </w:divBdr>
    </w:div>
    <w:div w:id="1239709912">
      <w:bodyDiv w:val="1"/>
      <w:marLeft w:val="0"/>
      <w:marRight w:val="0"/>
      <w:marTop w:val="0"/>
      <w:marBottom w:val="0"/>
      <w:divBdr>
        <w:top w:val="none" w:sz="0" w:space="0" w:color="auto"/>
        <w:left w:val="none" w:sz="0" w:space="0" w:color="auto"/>
        <w:bottom w:val="none" w:sz="0" w:space="0" w:color="auto"/>
        <w:right w:val="none" w:sz="0" w:space="0" w:color="auto"/>
      </w:divBdr>
    </w:div>
    <w:div w:id="1251770091">
      <w:bodyDiv w:val="1"/>
      <w:marLeft w:val="0"/>
      <w:marRight w:val="0"/>
      <w:marTop w:val="0"/>
      <w:marBottom w:val="0"/>
      <w:divBdr>
        <w:top w:val="none" w:sz="0" w:space="0" w:color="auto"/>
        <w:left w:val="none" w:sz="0" w:space="0" w:color="auto"/>
        <w:bottom w:val="none" w:sz="0" w:space="0" w:color="auto"/>
        <w:right w:val="none" w:sz="0" w:space="0" w:color="auto"/>
      </w:divBdr>
    </w:div>
    <w:div w:id="1256864854">
      <w:bodyDiv w:val="1"/>
      <w:marLeft w:val="0"/>
      <w:marRight w:val="0"/>
      <w:marTop w:val="0"/>
      <w:marBottom w:val="0"/>
      <w:divBdr>
        <w:top w:val="none" w:sz="0" w:space="0" w:color="auto"/>
        <w:left w:val="none" w:sz="0" w:space="0" w:color="auto"/>
        <w:bottom w:val="none" w:sz="0" w:space="0" w:color="auto"/>
        <w:right w:val="none" w:sz="0" w:space="0" w:color="auto"/>
      </w:divBdr>
    </w:div>
    <w:div w:id="1296645171">
      <w:bodyDiv w:val="1"/>
      <w:marLeft w:val="0"/>
      <w:marRight w:val="0"/>
      <w:marTop w:val="0"/>
      <w:marBottom w:val="0"/>
      <w:divBdr>
        <w:top w:val="none" w:sz="0" w:space="0" w:color="auto"/>
        <w:left w:val="none" w:sz="0" w:space="0" w:color="auto"/>
        <w:bottom w:val="none" w:sz="0" w:space="0" w:color="auto"/>
        <w:right w:val="none" w:sz="0" w:space="0" w:color="auto"/>
      </w:divBdr>
    </w:div>
    <w:div w:id="1311786235">
      <w:bodyDiv w:val="1"/>
      <w:marLeft w:val="0"/>
      <w:marRight w:val="0"/>
      <w:marTop w:val="0"/>
      <w:marBottom w:val="0"/>
      <w:divBdr>
        <w:top w:val="none" w:sz="0" w:space="0" w:color="auto"/>
        <w:left w:val="none" w:sz="0" w:space="0" w:color="auto"/>
        <w:bottom w:val="none" w:sz="0" w:space="0" w:color="auto"/>
        <w:right w:val="none" w:sz="0" w:space="0" w:color="auto"/>
      </w:divBdr>
    </w:div>
    <w:div w:id="1356728633">
      <w:bodyDiv w:val="1"/>
      <w:marLeft w:val="0"/>
      <w:marRight w:val="0"/>
      <w:marTop w:val="0"/>
      <w:marBottom w:val="0"/>
      <w:divBdr>
        <w:top w:val="none" w:sz="0" w:space="0" w:color="auto"/>
        <w:left w:val="none" w:sz="0" w:space="0" w:color="auto"/>
        <w:bottom w:val="none" w:sz="0" w:space="0" w:color="auto"/>
        <w:right w:val="none" w:sz="0" w:space="0" w:color="auto"/>
      </w:divBdr>
    </w:div>
    <w:div w:id="1357120590">
      <w:bodyDiv w:val="1"/>
      <w:marLeft w:val="0"/>
      <w:marRight w:val="0"/>
      <w:marTop w:val="0"/>
      <w:marBottom w:val="0"/>
      <w:divBdr>
        <w:top w:val="none" w:sz="0" w:space="0" w:color="auto"/>
        <w:left w:val="none" w:sz="0" w:space="0" w:color="auto"/>
        <w:bottom w:val="none" w:sz="0" w:space="0" w:color="auto"/>
        <w:right w:val="none" w:sz="0" w:space="0" w:color="auto"/>
      </w:divBdr>
    </w:div>
    <w:div w:id="1391080768">
      <w:bodyDiv w:val="1"/>
      <w:marLeft w:val="0"/>
      <w:marRight w:val="0"/>
      <w:marTop w:val="0"/>
      <w:marBottom w:val="0"/>
      <w:divBdr>
        <w:top w:val="none" w:sz="0" w:space="0" w:color="auto"/>
        <w:left w:val="none" w:sz="0" w:space="0" w:color="auto"/>
        <w:bottom w:val="none" w:sz="0" w:space="0" w:color="auto"/>
        <w:right w:val="none" w:sz="0" w:space="0" w:color="auto"/>
      </w:divBdr>
    </w:div>
    <w:div w:id="1399936328">
      <w:bodyDiv w:val="1"/>
      <w:marLeft w:val="0"/>
      <w:marRight w:val="0"/>
      <w:marTop w:val="0"/>
      <w:marBottom w:val="0"/>
      <w:divBdr>
        <w:top w:val="none" w:sz="0" w:space="0" w:color="auto"/>
        <w:left w:val="none" w:sz="0" w:space="0" w:color="auto"/>
        <w:bottom w:val="none" w:sz="0" w:space="0" w:color="auto"/>
        <w:right w:val="none" w:sz="0" w:space="0" w:color="auto"/>
      </w:divBdr>
    </w:div>
    <w:div w:id="1535846693">
      <w:bodyDiv w:val="1"/>
      <w:marLeft w:val="0"/>
      <w:marRight w:val="0"/>
      <w:marTop w:val="0"/>
      <w:marBottom w:val="0"/>
      <w:divBdr>
        <w:top w:val="none" w:sz="0" w:space="0" w:color="auto"/>
        <w:left w:val="none" w:sz="0" w:space="0" w:color="auto"/>
        <w:bottom w:val="none" w:sz="0" w:space="0" w:color="auto"/>
        <w:right w:val="none" w:sz="0" w:space="0" w:color="auto"/>
      </w:divBdr>
    </w:div>
    <w:div w:id="1540628830">
      <w:bodyDiv w:val="1"/>
      <w:marLeft w:val="0"/>
      <w:marRight w:val="0"/>
      <w:marTop w:val="0"/>
      <w:marBottom w:val="0"/>
      <w:divBdr>
        <w:top w:val="none" w:sz="0" w:space="0" w:color="auto"/>
        <w:left w:val="none" w:sz="0" w:space="0" w:color="auto"/>
        <w:bottom w:val="none" w:sz="0" w:space="0" w:color="auto"/>
        <w:right w:val="none" w:sz="0" w:space="0" w:color="auto"/>
      </w:divBdr>
    </w:div>
    <w:div w:id="1558709516">
      <w:bodyDiv w:val="1"/>
      <w:marLeft w:val="0"/>
      <w:marRight w:val="0"/>
      <w:marTop w:val="0"/>
      <w:marBottom w:val="0"/>
      <w:divBdr>
        <w:top w:val="none" w:sz="0" w:space="0" w:color="auto"/>
        <w:left w:val="none" w:sz="0" w:space="0" w:color="auto"/>
        <w:bottom w:val="none" w:sz="0" w:space="0" w:color="auto"/>
        <w:right w:val="none" w:sz="0" w:space="0" w:color="auto"/>
      </w:divBdr>
    </w:div>
    <w:div w:id="1594974171">
      <w:bodyDiv w:val="1"/>
      <w:marLeft w:val="0"/>
      <w:marRight w:val="0"/>
      <w:marTop w:val="0"/>
      <w:marBottom w:val="0"/>
      <w:divBdr>
        <w:top w:val="none" w:sz="0" w:space="0" w:color="auto"/>
        <w:left w:val="none" w:sz="0" w:space="0" w:color="auto"/>
        <w:bottom w:val="none" w:sz="0" w:space="0" w:color="auto"/>
        <w:right w:val="none" w:sz="0" w:space="0" w:color="auto"/>
      </w:divBdr>
    </w:div>
    <w:div w:id="1630553470">
      <w:bodyDiv w:val="1"/>
      <w:marLeft w:val="0"/>
      <w:marRight w:val="0"/>
      <w:marTop w:val="0"/>
      <w:marBottom w:val="0"/>
      <w:divBdr>
        <w:top w:val="none" w:sz="0" w:space="0" w:color="auto"/>
        <w:left w:val="none" w:sz="0" w:space="0" w:color="auto"/>
        <w:bottom w:val="none" w:sz="0" w:space="0" w:color="auto"/>
        <w:right w:val="none" w:sz="0" w:space="0" w:color="auto"/>
      </w:divBdr>
    </w:div>
    <w:div w:id="1647272265">
      <w:bodyDiv w:val="1"/>
      <w:marLeft w:val="0"/>
      <w:marRight w:val="0"/>
      <w:marTop w:val="0"/>
      <w:marBottom w:val="0"/>
      <w:divBdr>
        <w:top w:val="none" w:sz="0" w:space="0" w:color="auto"/>
        <w:left w:val="none" w:sz="0" w:space="0" w:color="auto"/>
        <w:bottom w:val="none" w:sz="0" w:space="0" w:color="auto"/>
        <w:right w:val="none" w:sz="0" w:space="0" w:color="auto"/>
      </w:divBdr>
    </w:div>
    <w:div w:id="1670133270">
      <w:bodyDiv w:val="1"/>
      <w:marLeft w:val="0"/>
      <w:marRight w:val="0"/>
      <w:marTop w:val="0"/>
      <w:marBottom w:val="0"/>
      <w:divBdr>
        <w:top w:val="none" w:sz="0" w:space="0" w:color="auto"/>
        <w:left w:val="none" w:sz="0" w:space="0" w:color="auto"/>
        <w:bottom w:val="none" w:sz="0" w:space="0" w:color="auto"/>
        <w:right w:val="none" w:sz="0" w:space="0" w:color="auto"/>
      </w:divBdr>
    </w:div>
    <w:div w:id="1671906271">
      <w:bodyDiv w:val="1"/>
      <w:marLeft w:val="0"/>
      <w:marRight w:val="0"/>
      <w:marTop w:val="0"/>
      <w:marBottom w:val="0"/>
      <w:divBdr>
        <w:top w:val="none" w:sz="0" w:space="0" w:color="auto"/>
        <w:left w:val="none" w:sz="0" w:space="0" w:color="auto"/>
        <w:bottom w:val="none" w:sz="0" w:space="0" w:color="auto"/>
        <w:right w:val="none" w:sz="0" w:space="0" w:color="auto"/>
      </w:divBdr>
    </w:div>
    <w:div w:id="1731533798">
      <w:bodyDiv w:val="1"/>
      <w:marLeft w:val="0"/>
      <w:marRight w:val="0"/>
      <w:marTop w:val="0"/>
      <w:marBottom w:val="0"/>
      <w:divBdr>
        <w:top w:val="none" w:sz="0" w:space="0" w:color="auto"/>
        <w:left w:val="none" w:sz="0" w:space="0" w:color="auto"/>
        <w:bottom w:val="none" w:sz="0" w:space="0" w:color="auto"/>
        <w:right w:val="none" w:sz="0" w:space="0" w:color="auto"/>
      </w:divBdr>
    </w:div>
    <w:div w:id="1738671896">
      <w:bodyDiv w:val="1"/>
      <w:marLeft w:val="0"/>
      <w:marRight w:val="0"/>
      <w:marTop w:val="0"/>
      <w:marBottom w:val="0"/>
      <w:divBdr>
        <w:top w:val="none" w:sz="0" w:space="0" w:color="auto"/>
        <w:left w:val="none" w:sz="0" w:space="0" w:color="auto"/>
        <w:bottom w:val="none" w:sz="0" w:space="0" w:color="auto"/>
        <w:right w:val="none" w:sz="0" w:space="0" w:color="auto"/>
      </w:divBdr>
    </w:div>
    <w:div w:id="1761566330">
      <w:bodyDiv w:val="1"/>
      <w:marLeft w:val="0"/>
      <w:marRight w:val="0"/>
      <w:marTop w:val="0"/>
      <w:marBottom w:val="0"/>
      <w:divBdr>
        <w:top w:val="none" w:sz="0" w:space="0" w:color="auto"/>
        <w:left w:val="none" w:sz="0" w:space="0" w:color="auto"/>
        <w:bottom w:val="none" w:sz="0" w:space="0" w:color="auto"/>
        <w:right w:val="none" w:sz="0" w:space="0" w:color="auto"/>
      </w:divBdr>
    </w:div>
    <w:div w:id="1781102818">
      <w:bodyDiv w:val="1"/>
      <w:marLeft w:val="0"/>
      <w:marRight w:val="0"/>
      <w:marTop w:val="0"/>
      <w:marBottom w:val="0"/>
      <w:divBdr>
        <w:top w:val="none" w:sz="0" w:space="0" w:color="auto"/>
        <w:left w:val="none" w:sz="0" w:space="0" w:color="auto"/>
        <w:bottom w:val="none" w:sz="0" w:space="0" w:color="auto"/>
        <w:right w:val="none" w:sz="0" w:space="0" w:color="auto"/>
      </w:divBdr>
    </w:div>
    <w:div w:id="1787384085">
      <w:bodyDiv w:val="1"/>
      <w:marLeft w:val="0"/>
      <w:marRight w:val="0"/>
      <w:marTop w:val="0"/>
      <w:marBottom w:val="0"/>
      <w:divBdr>
        <w:top w:val="none" w:sz="0" w:space="0" w:color="auto"/>
        <w:left w:val="none" w:sz="0" w:space="0" w:color="auto"/>
        <w:bottom w:val="none" w:sz="0" w:space="0" w:color="auto"/>
        <w:right w:val="none" w:sz="0" w:space="0" w:color="auto"/>
      </w:divBdr>
    </w:div>
    <w:div w:id="1820027289">
      <w:bodyDiv w:val="1"/>
      <w:marLeft w:val="0"/>
      <w:marRight w:val="0"/>
      <w:marTop w:val="0"/>
      <w:marBottom w:val="0"/>
      <w:divBdr>
        <w:top w:val="none" w:sz="0" w:space="0" w:color="auto"/>
        <w:left w:val="none" w:sz="0" w:space="0" w:color="auto"/>
        <w:bottom w:val="none" w:sz="0" w:space="0" w:color="auto"/>
        <w:right w:val="none" w:sz="0" w:space="0" w:color="auto"/>
      </w:divBdr>
    </w:div>
    <w:div w:id="1823614632">
      <w:bodyDiv w:val="1"/>
      <w:marLeft w:val="0"/>
      <w:marRight w:val="0"/>
      <w:marTop w:val="0"/>
      <w:marBottom w:val="0"/>
      <w:divBdr>
        <w:top w:val="none" w:sz="0" w:space="0" w:color="auto"/>
        <w:left w:val="none" w:sz="0" w:space="0" w:color="auto"/>
        <w:bottom w:val="none" w:sz="0" w:space="0" w:color="auto"/>
        <w:right w:val="none" w:sz="0" w:space="0" w:color="auto"/>
      </w:divBdr>
    </w:div>
    <w:div w:id="1829327317">
      <w:bodyDiv w:val="1"/>
      <w:marLeft w:val="0"/>
      <w:marRight w:val="0"/>
      <w:marTop w:val="0"/>
      <w:marBottom w:val="0"/>
      <w:divBdr>
        <w:top w:val="none" w:sz="0" w:space="0" w:color="auto"/>
        <w:left w:val="none" w:sz="0" w:space="0" w:color="auto"/>
        <w:bottom w:val="none" w:sz="0" w:space="0" w:color="auto"/>
        <w:right w:val="none" w:sz="0" w:space="0" w:color="auto"/>
      </w:divBdr>
    </w:div>
    <w:div w:id="1842038843">
      <w:bodyDiv w:val="1"/>
      <w:marLeft w:val="0"/>
      <w:marRight w:val="0"/>
      <w:marTop w:val="0"/>
      <w:marBottom w:val="0"/>
      <w:divBdr>
        <w:top w:val="none" w:sz="0" w:space="0" w:color="auto"/>
        <w:left w:val="none" w:sz="0" w:space="0" w:color="auto"/>
        <w:bottom w:val="none" w:sz="0" w:space="0" w:color="auto"/>
        <w:right w:val="none" w:sz="0" w:space="0" w:color="auto"/>
      </w:divBdr>
    </w:div>
    <w:div w:id="1912229266">
      <w:bodyDiv w:val="1"/>
      <w:marLeft w:val="0"/>
      <w:marRight w:val="0"/>
      <w:marTop w:val="0"/>
      <w:marBottom w:val="0"/>
      <w:divBdr>
        <w:top w:val="none" w:sz="0" w:space="0" w:color="auto"/>
        <w:left w:val="none" w:sz="0" w:space="0" w:color="auto"/>
        <w:bottom w:val="none" w:sz="0" w:space="0" w:color="auto"/>
        <w:right w:val="none" w:sz="0" w:space="0" w:color="auto"/>
      </w:divBdr>
    </w:div>
    <w:div w:id="1919434498">
      <w:bodyDiv w:val="1"/>
      <w:marLeft w:val="0"/>
      <w:marRight w:val="0"/>
      <w:marTop w:val="0"/>
      <w:marBottom w:val="0"/>
      <w:divBdr>
        <w:top w:val="none" w:sz="0" w:space="0" w:color="auto"/>
        <w:left w:val="none" w:sz="0" w:space="0" w:color="auto"/>
        <w:bottom w:val="none" w:sz="0" w:space="0" w:color="auto"/>
        <w:right w:val="none" w:sz="0" w:space="0" w:color="auto"/>
      </w:divBdr>
    </w:div>
    <w:div w:id="1983266853">
      <w:bodyDiv w:val="1"/>
      <w:marLeft w:val="0"/>
      <w:marRight w:val="0"/>
      <w:marTop w:val="0"/>
      <w:marBottom w:val="0"/>
      <w:divBdr>
        <w:top w:val="none" w:sz="0" w:space="0" w:color="auto"/>
        <w:left w:val="none" w:sz="0" w:space="0" w:color="auto"/>
        <w:bottom w:val="none" w:sz="0" w:space="0" w:color="auto"/>
        <w:right w:val="none" w:sz="0" w:space="0" w:color="auto"/>
      </w:divBdr>
    </w:div>
    <w:div w:id="2020816718">
      <w:bodyDiv w:val="1"/>
      <w:marLeft w:val="0"/>
      <w:marRight w:val="0"/>
      <w:marTop w:val="0"/>
      <w:marBottom w:val="0"/>
      <w:divBdr>
        <w:top w:val="none" w:sz="0" w:space="0" w:color="auto"/>
        <w:left w:val="none" w:sz="0" w:space="0" w:color="auto"/>
        <w:bottom w:val="none" w:sz="0" w:space="0" w:color="auto"/>
        <w:right w:val="none" w:sz="0" w:space="0" w:color="auto"/>
      </w:divBdr>
    </w:div>
    <w:div w:id="2045866958">
      <w:bodyDiv w:val="1"/>
      <w:marLeft w:val="0"/>
      <w:marRight w:val="0"/>
      <w:marTop w:val="0"/>
      <w:marBottom w:val="0"/>
      <w:divBdr>
        <w:top w:val="none" w:sz="0" w:space="0" w:color="auto"/>
        <w:left w:val="none" w:sz="0" w:space="0" w:color="auto"/>
        <w:bottom w:val="none" w:sz="0" w:space="0" w:color="auto"/>
        <w:right w:val="none" w:sz="0" w:space="0" w:color="auto"/>
      </w:divBdr>
    </w:div>
    <w:div w:id="2060276418">
      <w:bodyDiv w:val="1"/>
      <w:marLeft w:val="0"/>
      <w:marRight w:val="0"/>
      <w:marTop w:val="0"/>
      <w:marBottom w:val="0"/>
      <w:divBdr>
        <w:top w:val="none" w:sz="0" w:space="0" w:color="auto"/>
        <w:left w:val="none" w:sz="0" w:space="0" w:color="auto"/>
        <w:bottom w:val="none" w:sz="0" w:space="0" w:color="auto"/>
        <w:right w:val="none" w:sz="0" w:space="0" w:color="auto"/>
      </w:divBdr>
    </w:div>
    <w:div w:id="2080861508">
      <w:bodyDiv w:val="1"/>
      <w:marLeft w:val="0"/>
      <w:marRight w:val="0"/>
      <w:marTop w:val="0"/>
      <w:marBottom w:val="0"/>
      <w:divBdr>
        <w:top w:val="none" w:sz="0" w:space="0" w:color="auto"/>
        <w:left w:val="none" w:sz="0" w:space="0" w:color="auto"/>
        <w:bottom w:val="none" w:sz="0" w:space="0" w:color="auto"/>
        <w:right w:val="none" w:sz="0" w:space="0" w:color="auto"/>
      </w:divBdr>
    </w:div>
    <w:div w:id="2121024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4.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chart" Target="charts/chart3.xml"/><Relationship Id="rId46" Type="http://schemas.openxmlformats.org/officeDocument/2006/relationships/header" Target="header1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image" Target="media/image3.png"/><Relationship Id="rId40" Type="http://schemas.openxmlformats.org/officeDocument/2006/relationships/header" Target="header14.xml"/><Relationship Id="rId45" Type="http://schemas.openxmlformats.org/officeDocument/2006/relationships/chart" Target="charts/chart4.xml"/><Relationship Id="rId53" Type="http://schemas.openxmlformats.org/officeDocument/2006/relationships/header" Target="header20.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chart" Target="charts/chart2.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chart" Target="charts/chart1.xml"/><Relationship Id="rId43" Type="http://schemas.openxmlformats.org/officeDocument/2006/relationships/header" Target="header15.xml"/><Relationship Id="rId48" Type="http://schemas.openxmlformats.org/officeDocument/2006/relationships/footer" Target="footer16.xml"/><Relationship Id="rId56"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footer" Target="footer18.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troha\AppData\Local\Local%20Documents%20-%20no%20backup\DGT\Translation%20Projects\SANTE-2016-80378-00-00-00-EN-ET-00\SANTE-2016-80378-00-00-ET-SRC-0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troha\AppData\Local\Local%20Documents%20-%20no%20backup\DGT\Translation%20Projects\SANTE-2016-80378-00-00-00-EN-ET-00\SANTE-2016-80378-00-00-ET-SRC-0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troha\AppData\Local\Local%20Documents%20-%20no%20backup\DGT\Translation%20Projects\SANTE-2016-80378-00-00-00-EN-ET-00\SANTE-2016-80378-00-00-ET-SRC-0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ltroha\AppData\Local\Local%20Documents%20-%20no%20backup\DGT\Translation%20Projects\SANTE-2016-80378-00-00-00-EN-ET-00\SANTE-2016-80378-00-00-ET-SRC-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220"/>
      <c:rAngAx val="0"/>
      <c:perspective val="0"/>
    </c:view3D>
    <c:floor>
      <c:thickness val="0"/>
    </c:floor>
    <c:sideWall>
      <c:thickness val="0"/>
    </c:sideWall>
    <c:backWall>
      <c:thickness val="0"/>
    </c:backWall>
    <c:plotArea>
      <c:layout>
        <c:manualLayout>
          <c:layoutTarget val="inner"/>
          <c:xMode val="edge"/>
          <c:yMode val="edge"/>
          <c:x val="4.0496471192854454E-2"/>
          <c:y val="3.0079802163457885E-2"/>
          <c:w val="0.40295711615428798"/>
          <c:h val="0.83197662069697931"/>
        </c:manualLayout>
      </c:layout>
      <c:pie3DChart>
        <c:varyColors val="1"/>
        <c:ser>
          <c:idx val="0"/>
          <c:order val="0"/>
          <c:tx>
            <c:strRef>
              <c:f>'Figure 2'!$B$1</c:f>
              <c:strCache>
                <c:ptCount val="1"/>
                <c:pt idx="0">
                  <c:v>Toiduainete kogus tonnides [011]</c:v>
                </c:pt>
              </c:strCache>
            </c:strRef>
          </c:tx>
          <c:spPr>
            <a:solidFill>
              <a:srgbClr val="666699"/>
            </a:solidFill>
            <a:ln w="12700">
              <a:solidFill>
                <a:srgbClr val="000000"/>
              </a:solidFill>
              <a:prstDash val="solid"/>
            </a:ln>
          </c:spPr>
          <c:dPt>
            <c:idx val="0"/>
            <c:bubble3D val="0"/>
            <c:spPr>
              <a:solidFill>
                <a:schemeClr val="accent3">
                  <a:lumMod val="75000"/>
                </a:schemeClr>
              </a:solidFill>
              <a:ln w="12700">
                <a:solidFill>
                  <a:srgbClr val="000000"/>
                </a:solidFill>
                <a:prstDash val="solid"/>
              </a:ln>
            </c:spPr>
          </c:dPt>
          <c:dPt>
            <c:idx val="1"/>
            <c:bubble3D val="0"/>
            <c:spPr>
              <a:solidFill>
                <a:srgbClr val="9B86B4"/>
              </a:solidFill>
              <a:ln w="12700">
                <a:solidFill>
                  <a:srgbClr val="000000"/>
                </a:solidFill>
                <a:prstDash val="solid"/>
              </a:ln>
            </c:spPr>
          </c:dPt>
          <c:dPt>
            <c:idx val="2"/>
            <c:bubble3D val="0"/>
            <c:spPr>
              <a:solidFill>
                <a:srgbClr val="FFFF81"/>
              </a:solidFill>
              <a:ln w="12700">
                <a:solidFill>
                  <a:srgbClr val="000000"/>
                </a:solidFill>
                <a:prstDash val="solid"/>
              </a:ln>
            </c:spPr>
          </c:dPt>
          <c:dPt>
            <c:idx val="3"/>
            <c:bubble3D val="0"/>
            <c:spPr>
              <a:solidFill>
                <a:srgbClr val="FF9F5D"/>
              </a:solidFill>
              <a:ln w="12700">
                <a:solidFill>
                  <a:srgbClr val="000000"/>
                </a:solidFill>
                <a:prstDash val="solid"/>
              </a:ln>
            </c:spPr>
          </c:dPt>
          <c:dPt>
            <c:idx val="4"/>
            <c:bubble3D val="0"/>
            <c:spPr>
              <a:solidFill>
                <a:srgbClr val="FF0000"/>
              </a:solidFill>
              <a:ln w="12700">
                <a:solidFill>
                  <a:srgbClr val="000000"/>
                </a:solidFill>
                <a:prstDash val="solid"/>
              </a:ln>
            </c:spPr>
          </c:dPt>
          <c:dPt>
            <c:idx val="5"/>
            <c:bubble3D val="0"/>
            <c:spPr>
              <a:solidFill>
                <a:srgbClr val="99BCE7"/>
              </a:solidFill>
              <a:ln w="12700">
                <a:solidFill>
                  <a:srgbClr val="000000"/>
                </a:solidFill>
                <a:prstDash val="solid"/>
              </a:ln>
            </c:spPr>
          </c:dPt>
          <c:dPt>
            <c:idx val="6"/>
            <c:bubble3D val="0"/>
            <c:spPr>
              <a:solidFill>
                <a:schemeClr val="bg1"/>
              </a:solidFill>
              <a:ln w="12700">
                <a:solidFill>
                  <a:srgbClr val="000000"/>
                </a:solidFill>
                <a:prstDash val="solid"/>
              </a:ln>
            </c:spPr>
          </c:dPt>
          <c:dLbls>
            <c:dLbl>
              <c:idx val="0"/>
              <c:layout>
                <c:manualLayout>
                  <c:x val="-2.4354495809044249E-2"/>
                  <c:y val="-3.4476059948242169E-2"/>
                </c:manualLayout>
              </c:layout>
              <c:dLblPos val="bestFit"/>
              <c:showLegendKey val="0"/>
              <c:showVal val="0"/>
              <c:showCatName val="0"/>
              <c:showSerName val="0"/>
              <c:showPercent val="1"/>
              <c:showBubbleSize val="0"/>
            </c:dLbl>
            <c:dLbl>
              <c:idx val="1"/>
              <c:layout>
                <c:manualLayout>
                  <c:x val="2.5613457007393366E-2"/>
                  <c:y val="-1.9978581241123873E-2"/>
                </c:manualLayout>
              </c:layout>
              <c:dLblPos val="bestFit"/>
              <c:showLegendKey val="0"/>
              <c:showVal val="0"/>
              <c:showCatName val="0"/>
              <c:showSerName val="0"/>
              <c:showPercent val="1"/>
              <c:showBubbleSize val="0"/>
            </c:dLbl>
            <c:dLbl>
              <c:idx val="2"/>
              <c:layout>
                <c:manualLayout>
                  <c:x val="3.8654306142766638E-2"/>
                  <c:y val="-7.7776020060356767E-4"/>
                </c:manualLayout>
              </c:layout>
              <c:dLblPos val="bestFit"/>
              <c:showLegendKey val="0"/>
              <c:showVal val="0"/>
              <c:showCatName val="0"/>
              <c:showSerName val="0"/>
              <c:showPercent val="1"/>
              <c:showBubbleSize val="0"/>
            </c:dLbl>
            <c:dLbl>
              <c:idx val="3"/>
              <c:layout>
                <c:manualLayout>
                  <c:x val="2.288955259902857E-2"/>
                  <c:y val="3.4726742988106123E-2"/>
                </c:manualLayout>
              </c:layout>
              <c:dLblPos val="bestFit"/>
              <c:showLegendKey val="0"/>
              <c:showVal val="0"/>
              <c:showCatName val="0"/>
              <c:showSerName val="0"/>
              <c:showPercent val="1"/>
              <c:showBubbleSize val="0"/>
            </c:dLbl>
            <c:dLbl>
              <c:idx val="4"/>
              <c:layout>
                <c:manualLayout>
                  <c:x val="4.2722332122277822E-2"/>
                  <c:y val="7.3794730585366328E-2"/>
                </c:manualLayout>
              </c:layout>
              <c:dLblPos val="bestFit"/>
              <c:showLegendKey val="0"/>
              <c:showVal val="0"/>
              <c:showCatName val="0"/>
              <c:showSerName val="0"/>
              <c:showPercent val="1"/>
              <c:showBubbleSize val="0"/>
            </c:dLbl>
            <c:dLbl>
              <c:idx val="5"/>
              <c:layout>
                <c:manualLayout>
                  <c:x val="-2.4870339483426641E-2"/>
                  <c:y val="3.6630077179665821E-2"/>
                </c:manualLayout>
              </c:layout>
              <c:dLblPos val="bestFit"/>
              <c:showLegendKey val="0"/>
              <c:showVal val="0"/>
              <c:showCatName val="0"/>
              <c:showSerName val="0"/>
              <c:showPercent val="1"/>
              <c:showBubbleSize val="0"/>
            </c:dLbl>
            <c:dLbl>
              <c:idx val="6"/>
              <c:layout>
                <c:manualLayout>
                  <c:x val="-5.5741566786910259E-2"/>
                  <c:y val="-2.9874847742192134E-2"/>
                </c:manualLayout>
              </c:layout>
              <c:dLblPos val="bestFit"/>
              <c:showLegendKey val="0"/>
              <c:showVal val="0"/>
              <c:showCatName val="0"/>
              <c:showSerName val="0"/>
              <c:showPercent val="1"/>
              <c:showBubbleSize val="0"/>
            </c:dLbl>
            <c:numFmt formatCode="0.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0"/>
            <c:showSerName val="0"/>
            <c:showPercent val="1"/>
            <c:showBubbleSize val="0"/>
            <c:showLeaderLines val="1"/>
          </c:dLbls>
          <c:cat>
            <c:strRef>
              <c:f>'Figure 2'!$A$2:$A$8</c:f>
              <c:strCache>
                <c:ptCount val="7"/>
                <c:pt idx="0">
                  <c:v>Külmutatud konnakoivad</c:v>
                </c:pt>
                <c:pt idx="1">
                  <c:v>Kuivatatud maitsetaimed, vürtsid ja köögiviljamaitseained</c:v>
                </c:pt>
                <c:pt idx="2">
                  <c:v>Kodulinnuliha</c:v>
                </c:pt>
                <c:pt idx="3">
                  <c:v>Kuivatatud köögiviljad ja puuviljad</c:v>
                </c:pt>
                <c:pt idx="4">
                  <c:v>Dehüdreeritud veri, plasma, koagulaadid</c:v>
                </c:pt>
                <c:pt idx="5">
                  <c:v>Külmutatud kooritud või ilma peata krevetid</c:v>
                </c:pt>
                <c:pt idx="6">
                  <c:v>Munavalge</c:v>
                </c:pt>
              </c:strCache>
            </c:strRef>
          </c:cat>
          <c:val>
            <c:numRef>
              <c:f>'Figure 2'!$B$2:$B$8</c:f>
              <c:numCache>
                <c:formatCode>General</c:formatCode>
                <c:ptCount val="7"/>
                <c:pt idx="0">
                  <c:v>3115.1400000000003</c:v>
                </c:pt>
                <c:pt idx="1">
                  <c:v>916.24</c:v>
                </c:pt>
                <c:pt idx="2">
                  <c:v>879.9</c:v>
                </c:pt>
                <c:pt idx="3">
                  <c:v>485.14</c:v>
                </c:pt>
                <c:pt idx="4">
                  <c:v>238.33</c:v>
                </c:pt>
                <c:pt idx="5">
                  <c:v>54.32</c:v>
                </c:pt>
                <c:pt idx="6">
                  <c:v>1.0900000000000001</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55552692350890909"/>
          <c:y val="9.2772914914761861E-2"/>
          <c:w val="0.43505101659730955"/>
          <c:h val="0.88314572482416676"/>
        </c:manualLayout>
      </c:layout>
      <c:overlay val="0"/>
      <c:spPr>
        <a:noFill/>
        <a:ln w="25400">
          <a:noFill/>
        </a:ln>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275590551181105E-2"/>
          <c:y val="4.0000104166937937E-2"/>
          <c:w val="0.90583989501312334"/>
          <c:h val="0.47315668356605228"/>
        </c:manualLayout>
      </c:layout>
      <c:barChart>
        <c:barDir val="bar"/>
        <c:grouping val="stacked"/>
        <c:varyColors val="0"/>
        <c:ser>
          <c:idx val="0"/>
          <c:order val="0"/>
          <c:tx>
            <c:strRef>
              <c:f>'Figure 3'!$B$1</c:f>
              <c:strCache>
                <c:ptCount val="1"/>
                <c:pt idx="0">
                  <c:v>Külmutatud konnakoivad</c:v>
                </c:pt>
              </c:strCache>
            </c:strRef>
          </c:tx>
          <c:spPr>
            <a:solidFill>
              <a:schemeClr val="accent3">
                <a:lumMod val="75000"/>
              </a:schemeClr>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3'!$B$2:$B$11</c:f>
              <c:numCache>
                <c:formatCode>General</c:formatCode>
                <c:ptCount val="10"/>
                <c:pt idx="0">
                  <c:v>2743.22</c:v>
                </c:pt>
                <c:pt idx="2">
                  <c:v>371.92</c:v>
                </c:pt>
              </c:numCache>
            </c:numRef>
          </c:val>
        </c:ser>
        <c:ser>
          <c:idx val="1"/>
          <c:order val="1"/>
          <c:tx>
            <c:strRef>
              <c:f>'Figure 3'!$C$1</c:f>
              <c:strCache>
                <c:ptCount val="1"/>
                <c:pt idx="0">
                  <c:v>Kuivatatud maitsetaimed, vürtsid ja köögiviljamaitseained</c:v>
                </c:pt>
              </c:strCache>
            </c:strRef>
          </c:tx>
          <c:spPr>
            <a:solidFill>
              <a:srgbClr val="9B86B4"/>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3'!$C$2:$C$11</c:f>
              <c:numCache>
                <c:formatCode>General</c:formatCode>
                <c:ptCount val="10"/>
                <c:pt idx="1">
                  <c:v>145.94</c:v>
                </c:pt>
                <c:pt idx="2">
                  <c:v>2.85</c:v>
                </c:pt>
                <c:pt idx="3">
                  <c:v>326.02</c:v>
                </c:pt>
                <c:pt idx="4">
                  <c:v>211.1</c:v>
                </c:pt>
                <c:pt idx="5">
                  <c:v>103</c:v>
                </c:pt>
                <c:pt idx="6">
                  <c:v>45.88</c:v>
                </c:pt>
                <c:pt idx="7">
                  <c:v>36.9</c:v>
                </c:pt>
                <c:pt idx="8">
                  <c:v>28.32</c:v>
                </c:pt>
                <c:pt idx="9">
                  <c:v>12</c:v>
                </c:pt>
              </c:numCache>
            </c:numRef>
          </c:val>
        </c:ser>
        <c:ser>
          <c:idx val="2"/>
          <c:order val="2"/>
          <c:tx>
            <c:strRef>
              <c:f>'Figure 3'!$D$1</c:f>
              <c:strCache>
                <c:ptCount val="1"/>
                <c:pt idx="0">
                  <c:v>Kodulinnuliha</c:v>
                </c:pt>
              </c:strCache>
            </c:strRef>
          </c:tx>
          <c:spPr>
            <a:solidFill>
              <a:srgbClr val="FFFF81"/>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3'!$D$2:$D$11</c:f>
              <c:numCache>
                <c:formatCode>General</c:formatCode>
                <c:ptCount val="10"/>
                <c:pt idx="0">
                  <c:v>879.9</c:v>
                </c:pt>
              </c:numCache>
            </c:numRef>
          </c:val>
        </c:ser>
        <c:ser>
          <c:idx val="3"/>
          <c:order val="3"/>
          <c:tx>
            <c:strRef>
              <c:f>'Figure 3'!$E$1</c:f>
              <c:strCache>
                <c:ptCount val="1"/>
                <c:pt idx="0">
                  <c:v>Kuivatatud köögiviljad ja puuviljad</c:v>
                </c:pt>
              </c:strCache>
            </c:strRef>
          </c:tx>
          <c:spPr>
            <a:solidFill>
              <a:srgbClr val="FF9F5D"/>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3'!$E$2:$E$11</c:f>
              <c:numCache>
                <c:formatCode>General</c:formatCode>
                <c:ptCount val="10"/>
                <c:pt idx="1">
                  <c:v>483.3</c:v>
                </c:pt>
                <c:pt idx="2">
                  <c:v>1.84</c:v>
                </c:pt>
              </c:numCache>
            </c:numRef>
          </c:val>
        </c:ser>
        <c:ser>
          <c:idx val="4"/>
          <c:order val="4"/>
          <c:tx>
            <c:strRef>
              <c:f>'Figure 3'!$F$1</c:f>
              <c:strCache>
                <c:ptCount val="1"/>
                <c:pt idx="0">
                  <c:v>Dehüdreeritud veri, plasma, koagulaadid</c:v>
                </c:pt>
              </c:strCache>
            </c:strRef>
          </c:tx>
          <c:spPr>
            <a:solidFill>
              <a:srgbClr val="FF0000"/>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3'!$F$2:$F$11</c:f>
              <c:numCache>
                <c:formatCode>General</c:formatCode>
                <c:ptCount val="10"/>
                <c:pt idx="0">
                  <c:v>238.33</c:v>
                </c:pt>
              </c:numCache>
            </c:numRef>
          </c:val>
        </c:ser>
        <c:ser>
          <c:idx val="5"/>
          <c:order val="5"/>
          <c:tx>
            <c:strRef>
              <c:f>'Figure 3'!$G$1</c:f>
              <c:strCache>
                <c:ptCount val="1"/>
                <c:pt idx="0">
                  <c:v>Külmutatud kooritud või ilma peata krevetid</c:v>
                </c:pt>
              </c:strCache>
            </c:strRef>
          </c:tx>
          <c:spPr>
            <a:solidFill>
              <a:srgbClr val="99BCE7"/>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3'!$G$2:$G$11</c:f>
              <c:numCache>
                <c:formatCode>General</c:formatCode>
                <c:ptCount val="10"/>
                <c:pt idx="0">
                  <c:v>54.32</c:v>
                </c:pt>
              </c:numCache>
            </c:numRef>
          </c:val>
        </c:ser>
        <c:ser>
          <c:idx val="6"/>
          <c:order val="6"/>
          <c:tx>
            <c:strRef>
              <c:f>'Figure 3'!$H$1</c:f>
              <c:strCache>
                <c:ptCount val="1"/>
                <c:pt idx="0">
                  <c:v>Munavalge</c:v>
                </c:pt>
              </c:strCache>
            </c:strRef>
          </c:tx>
          <c:spPr>
            <a:solidFill>
              <a:schemeClr val="bg1"/>
            </a:solidFill>
            <a:ln w="12700">
              <a:solidFill>
                <a:srgbClr val="000000"/>
              </a:solidFill>
              <a:prstDash val="solid"/>
            </a:ln>
          </c:spPr>
          <c:invertIfNegative val="0"/>
          <c:cat>
            <c:strRef>
              <c:f>'Figure 3'!$A$2:$A$11</c:f>
              <c:strCache>
                <c:ptCount val="10"/>
                <c:pt idx="0">
                  <c:v>BE</c:v>
                </c:pt>
                <c:pt idx="1">
                  <c:v>NL</c:v>
                </c:pt>
                <c:pt idx="2">
                  <c:v>FR</c:v>
                </c:pt>
                <c:pt idx="3">
                  <c:v>ES</c:v>
                </c:pt>
                <c:pt idx="4">
                  <c:v>DE</c:v>
                </c:pt>
                <c:pt idx="5">
                  <c:v>HU</c:v>
                </c:pt>
                <c:pt idx="6">
                  <c:v>PL</c:v>
                </c:pt>
                <c:pt idx="7">
                  <c:v>EE</c:v>
                </c:pt>
                <c:pt idx="8">
                  <c:v>CZ</c:v>
                </c:pt>
                <c:pt idx="9">
                  <c:v>HR</c:v>
                </c:pt>
              </c:strCache>
            </c:strRef>
          </c:cat>
          <c:val>
            <c:numRef>
              <c:f>'Figure 3'!$H$2:$H$11</c:f>
              <c:numCache>
                <c:formatCode>General</c:formatCode>
                <c:ptCount val="10"/>
                <c:pt idx="0">
                  <c:v>1.0900000000000001</c:v>
                </c:pt>
              </c:numCache>
            </c:numRef>
          </c:val>
        </c:ser>
        <c:dLbls>
          <c:showLegendKey val="0"/>
          <c:showVal val="0"/>
          <c:showCatName val="0"/>
          <c:showSerName val="0"/>
          <c:showPercent val="0"/>
          <c:showBubbleSize val="0"/>
        </c:dLbls>
        <c:gapWidth val="66"/>
        <c:overlap val="100"/>
        <c:axId val="395130752"/>
        <c:axId val="395132288"/>
      </c:barChart>
      <c:catAx>
        <c:axId val="395130752"/>
        <c:scaling>
          <c:orientation val="minMax"/>
        </c:scaling>
        <c:delete val="0"/>
        <c:axPos val="l"/>
        <c:numFmt formatCode="General" sourceLinked="1"/>
        <c:majorTickMark val="out"/>
        <c:minorTickMark val="none"/>
        <c:tickLblPos val="low"/>
        <c:spPr>
          <a:ln w="3175">
            <a:solidFill>
              <a:srgbClr val="000000"/>
            </a:solidFill>
            <a:prstDash val="solid"/>
          </a:ln>
        </c:spPr>
        <c:txPr>
          <a:bodyPr rot="-2700000" vert="horz"/>
          <a:lstStyle/>
          <a:p>
            <a:pPr>
              <a:defRPr sz="1000" b="0" i="0" u="none" strike="noStrike" baseline="0">
                <a:solidFill>
                  <a:srgbClr val="000000"/>
                </a:solidFill>
                <a:latin typeface="Times New Roman"/>
                <a:ea typeface="Times New Roman"/>
                <a:cs typeface="Times New Roman"/>
              </a:defRPr>
            </a:pPr>
            <a:endParaRPr lang="en-US"/>
          </a:p>
        </c:txPr>
        <c:crossAx val="395132288"/>
        <c:crosses val="autoZero"/>
        <c:auto val="0"/>
        <c:lblAlgn val="ctr"/>
        <c:lblOffset val="100"/>
        <c:tickLblSkip val="1"/>
        <c:tickMarkSkip val="1"/>
        <c:noMultiLvlLbl val="0"/>
      </c:catAx>
      <c:valAx>
        <c:axId val="395132288"/>
        <c:scaling>
          <c:orientation val="minMax"/>
          <c:max val="4000"/>
        </c:scaling>
        <c:delete val="0"/>
        <c:axPos val="b"/>
        <c:majorGridlines>
          <c:spPr>
            <a:ln w="12700">
              <a:solidFill>
                <a:srgbClr val="C0C0C0"/>
              </a:solidFill>
              <a:prstDash val="solid"/>
            </a:ln>
          </c:spPr>
        </c:majorGridlines>
        <c:title>
          <c:tx>
            <c:rich>
              <a:bodyPr/>
              <a:lstStyle/>
              <a:p>
                <a:pPr>
                  <a:defRPr b="0">
                    <a:latin typeface="Times New Roman" panose="02020603050405020304" pitchFamily="18" charset="0"/>
                    <a:cs typeface="Times New Roman" panose="02020603050405020304" pitchFamily="18" charset="0"/>
                  </a:defRPr>
                </a:pPr>
                <a:r>
                  <a:rPr lang="en-GB" b="0">
                    <a:latin typeface="Times New Roman" panose="02020603050405020304" pitchFamily="18" charset="0"/>
                    <a:cs typeface="Times New Roman" panose="02020603050405020304" pitchFamily="18" charset="0"/>
                  </a:rPr>
                  <a:t>Kogus (tonnides)</a:t>
                </a:r>
              </a:p>
            </c:rich>
          </c:tx>
          <c:layout>
            <c:manualLayout>
              <c:xMode val="edge"/>
              <c:yMode val="edge"/>
              <c:x val="0.41726464986548917"/>
              <c:y val="0.58171869273830878"/>
            </c:manualLayout>
          </c:layout>
          <c:overlay val="0"/>
          <c:spPr>
            <a:noFill/>
            <a:ln w="25400">
              <a:noFill/>
            </a:ln>
          </c:spPr>
        </c:title>
        <c:numFmt formatCode="0.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95130752"/>
        <c:crosses val="autoZero"/>
        <c:crossBetween val="between"/>
      </c:valAx>
    </c:plotArea>
    <c:legend>
      <c:legendPos val="r"/>
      <c:legendEntry>
        <c:idx val="0"/>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2"/>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3"/>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4"/>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5"/>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6"/>
        <c:txPr>
          <a:bodyPr/>
          <a:lstStyle/>
          <a:p>
            <a:pPr>
              <a:defRPr sz="92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12458437329418874"/>
          <c:y val="0.68899878187922947"/>
          <c:w val="0.73664913061494397"/>
          <c:h val="0.26884227832560942"/>
        </c:manualLayout>
      </c:layout>
      <c:overlay val="0"/>
      <c:spPr>
        <a:noFill/>
        <a:ln w="25400">
          <a:noFill/>
        </a:ln>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220"/>
      <c:rAngAx val="0"/>
      <c:perspective val="0"/>
    </c:view3D>
    <c:floor>
      <c:thickness val="0"/>
    </c:floor>
    <c:sideWall>
      <c:thickness val="0"/>
    </c:sideWall>
    <c:backWall>
      <c:thickness val="0"/>
    </c:backWall>
    <c:plotArea>
      <c:layout>
        <c:manualLayout>
          <c:layoutTarget val="inner"/>
          <c:xMode val="edge"/>
          <c:yMode val="edge"/>
          <c:x val="1.937998060319979E-2"/>
          <c:y val="0.17227934743451187"/>
          <c:w val="0.55605376173615884"/>
          <c:h val="0.69465733449985412"/>
        </c:manualLayout>
      </c:layout>
      <c:pie3DChart>
        <c:varyColors val="1"/>
        <c:ser>
          <c:idx val="0"/>
          <c:order val="0"/>
          <c:tx>
            <c:strRef>
              <c:f>'Figure 5'!$B$1</c:f>
              <c:strCache>
                <c:ptCount val="1"/>
                <c:pt idx="0">
                  <c:v>%</c:v>
                </c:pt>
              </c:strCache>
            </c:strRef>
          </c:tx>
          <c:spPr>
            <a:solidFill>
              <a:srgbClr val="666699"/>
            </a:solidFill>
            <a:ln w="12700">
              <a:solidFill>
                <a:srgbClr val="000000"/>
              </a:solidFill>
              <a:prstDash val="solid"/>
            </a:ln>
          </c:spPr>
          <c:dPt>
            <c:idx val="0"/>
            <c:bubble3D val="0"/>
            <c:spPr>
              <a:solidFill>
                <a:srgbClr val="A9D975"/>
              </a:solidFill>
              <a:ln w="12700">
                <a:solidFill>
                  <a:srgbClr val="000000"/>
                </a:solidFill>
                <a:prstDash val="solid"/>
              </a:ln>
            </c:spPr>
          </c:dPt>
          <c:dPt>
            <c:idx val="1"/>
            <c:bubble3D val="0"/>
            <c:spPr>
              <a:solidFill>
                <a:srgbClr val="FFC000"/>
              </a:solidFill>
              <a:ln w="12700">
                <a:solidFill>
                  <a:srgbClr val="000000"/>
                </a:solidFill>
                <a:prstDash val="solid"/>
              </a:ln>
            </c:spPr>
          </c:dPt>
          <c:dPt>
            <c:idx val="2"/>
            <c:bubble3D val="0"/>
            <c:spPr>
              <a:solidFill>
                <a:schemeClr val="tx1">
                  <a:lumMod val="50000"/>
                  <a:lumOff val="50000"/>
                </a:schemeClr>
              </a:solidFill>
              <a:ln w="12700">
                <a:solidFill>
                  <a:srgbClr val="000000"/>
                </a:solidFill>
                <a:prstDash val="solid"/>
              </a:ln>
            </c:spPr>
          </c:dPt>
          <c:dPt>
            <c:idx val="3"/>
            <c:bubble3D val="0"/>
            <c:spPr>
              <a:solidFill>
                <a:srgbClr val="0070C0"/>
              </a:solidFill>
              <a:ln w="12700">
                <a:solidFill>
                  <a:srgbClr val="000000"/>
                </a:solidFill>
                <a:prstDash val="solid"/>
              </a:ln>
            </c:spPr>
          </c:dPt>
          <c:dPt>
            <c:idx val="4"/>
            <c:bubble3D val="0"/>
            <c:spPr>
              <a:solidFill>
                <a:srgbClr val="C00000"/>
              </a:solidFill>
              <a:ln w="12700">
                <a:solidFill>
                  <a:srgbClr val="000000"/>
                </a:solidFill>
                <a:prstDash val="solid"/>
              </a:ln>
            </c:spPr>
          </c:dPt>
          <c:dPt>
            <c:idx val="5"/>
            <c:bubble3D val="0"/>
            <c:spPr>
              <a:solidFill>
                <a:schemeClr val="bg1"/>
              </a:solidFill>
              <a:ln w="12700">
                <a:solidFill>
                  <a:srgbClr val="000000"/>
                </a:solidFill>
                <a:prstDash val="solid"/>
              </a:ln>
            </c:spPr>
          </c:dPt>
          <c:dLbls>
            <c:dLbl>
              <c:idx val="0"/>
              <c:layout>
                <c:manualLayout>
                  <c:x val="-1.4811966333665657E-2"/>
                  <c:y val="-2.6596675415573052E-2"/>
                </c:manualLayout>
              </c:layout>
              <c:dLblPos val="bestFit"/>
              <c:showLegendKey val="0"/>
              <c:showVal val="0"/>
              <c:showCatName val="0"/>
              <c:showSerName val="0"/>
              <c:showPercent val="1"/>
              <c:showBubbleSize val="0"/>
            </c:dLbl>
            <c:dLbl>
              <c:idx val="1"/>
              <c:layout>
                <c:manualLayout>
                  <c:x val="1.2750072907553223E-2"/>
                  <c:y val="-2.6564767639339199E-2"/>
                </c:manualLayout>
              </c:layout>
              <c:dLblPos val="bestFit"/>
              <c:showLegendKey val="0"/>
              <c:showVal val="0"/>
              <c:showCatName val="0"/>
              <c:showSerName val="0"/>
              <c:showPercent val="1"/>
              <c:showBubbleSize val="0"/>
            </c:dLbl>
            <c:dLbl>
              <c:idx val="2"/>
              <c:layout>
                <c:manualLayout>
                  <c:x val="2.5627784898980651E-2"/>
                  <c:y val="-9.9240045974645329E-3"/>
                </c:manualLayout>
              </c:layout>
              <c:dLblPos val="bestFit"/>
              <c:showLegendKey val="0"/>
              <c:showVal val="0"/>
              <c:showCatName val="0"/>
              <c:showSerName val="0"/>
              <c:showPercent val="1"/>
              <c:showBubbleSize val="0"/>
            </c:dLbl>
            <c:dLbl>
              <c:idx val="3"/>
              <c:layout>
                <c:manualLayout>
                  <c:x val="2.1871180831078287E-2"/>
                  <c:y val="3.2453982467877791E-2"/>
                </c:manualLayout>
              </c:layout>
              <c:dLblPos val="bestFit"/>
              <c:showLegendKey val="0"/>
              <c:showVal val="0"/>
              <c:showCatName val="0"/>
              <c:showSerName val="0"/>
              <c:showPercent val="1"/>
              <c:showBubbleSize val="0"/>
            </c:dLbl>
            <c:dLbl>
              <c:idx val="4"/>
              <c:layout>
                <c:manualLayout>
                  <c:x val="-3.9018766065094575E-3"/>
                  <c:y val="6.3462165268557122E-2"/>
                </c:manualLayout>
              </c:layout>
              <c:dLblPos val="bestFit"/>
              <c:showLegendKey val="0"/>
              <c:showVal val="0"/>
              <c:showCatName val="0"/>
              <c:showSerName val="0"/>
              <c:showPercent val="1"/>
              <c:showBubbleSize val="0"/>
            </c:dLbl>
            <c:dLbl>
              <c:idx val="5"/>
              <c:layout>
                <c:manualLayout>
                  <c:x val="-2.0232625960514627E-2"/>
                  <c:y val="3.8208361209750741E-2"/>
                </c:manualLayout>
              </c:layout>
              <c:dLblPos val="bestFit"/>
              <c:showLegendKey val="0"/>
              <c:showVal val="0"/>
              <c:showCatName val="0"/>
              <c:showSerName val="0"/>
              <c:showPercent val="1"/>
              <c:showBubbleSize val="0"/>
            </c:dLbl>
            <c:numFmt formatCode="0.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0"/>
            <c:showSerName val="0"/>
            <c:showPercent val="1"/>
            <c:showBubbleSize val="0"/>
            <c:showLeaderLines val="1"/>
          </c:dLbls>
          <c:cat>
            <c:strRef>
              <c:f>'Figure 5'!$A$2:$A$7</c:f>
              <c:strCache>
                <c:ptCount val="6"/>
                <c:pt idx="0">
                  <c:v>Maitsetaimed ja vürtsid</c:v>
                </c:pt>
                <c:pt idx="1">
                  <c:v>Teravili, seemned, köögi- ja puuviljad ning nendest valmistatud tooted</c:v>
                </c:pt>
                <c:pt idx="2">
                  <c:v>Muu</c:v>
                </c:pt>
                <c:pt idx="3">
                  <c:v>Kalad, koorikloomad, karbid ja nendest valmistatud tooted</c:v>
                </c:pt>
                <c:pt idx="4">
                  <c:v>Liha ja lihatooted</c:v>
                </c:pt>
                <c:pt idx="5">
                  <c:v>Piim ja piimatooted</c:v>
                </c:pt>
              </c:strCache>
            </c:strRef>
          </c:cat>
          <c:val>
            <c:numRef>
              <c:f>'Figure 5'!$B$2:$B$7</c:f>
              <c:numCache>
                <c:formatCode>General</c:formatCode>
                <c:ptCount val="6"/>
                <c:pt idx="0">
                  <c:v>0.45571739494391428</c:v>
                </c:pt>
                <c:pt idx="1">
                  <c:v>0.20977733132429266</c:v>
                </c:pt>
                <c:pt idx="2">
                  <c:v>0.143646408839779</c:v>
                </c:pt>
                <c:pt idx="3">
                  <c:v>0.10882303699983258</c:v>
                </c:pt>
                <c:pt idx="4">
                  <c:v>7.0651264021429766E-2</c:v>
                </c:pt>
                <c:pt idx="5">
                  <c:v>1.1384563870751716E-2</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58625211773985275"/>
          <c:y val="0.1440661673657293"/>
          <c:w val="0.4082012469262275"/>
          <c:h val="0.7572161149092782"/>
        </c:manualLayout>
      </c:layout>
      <c:overlay val="0"/>
      <c:spPr>
        <a:noFill/>
        <a:ln w="25400">
          <a:noFill/>
        </a:ln>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210"/>
      <c:rAngAx val="0"/>
      <c:perspective val="0"/>
    </c:view3D>
    <c:floor>
      <c:thickness val="0"/>
    </c:floor>
    <c:sideWall>
      <c:thickness val="0"/>
    </c:sideWall>
    <c:backWall>
      <c:thickness val="0"/>
    </c:backWall>
    <c:plotArea>
      <c:layout>
        <c:manualLayout>
          <c:layoutTarget val="inner"/>
          <c:xMode val="edge"/>
          <c:yMode val="edge"/>
          <c:x val="0.1899737532808399"/>
          <c:y val="0.1207854003586795"/>
          <c:w val="0.60745696768636093"/>
          <c:h val="0.64060872809245617"/>
        </c:manualLayout>
      </c:layout>
      <c:pie3DChart>
        <c:varyColors val="1"/>
        <c:ser>
          <c:idx val="0"/>
          <c:order val="0"/>
          <c:tx>
            <c:strRef>
              <c:f>'Figure 6'!$B$1</c:f>
              <c:strCache>
                <c:ptCount val="1"/>
                <c:pt idx="0">
                  <c:v>Tulemused (%)</c:v>
                </c:pt>
              </c:strCache>
            </c:strRef>
          </c:tx>
          <c:spPr>
            <a:solidFill>
              <a:srgbClr val="00CCFF"/>
            </a:solidFill>
            <a:ln w="12700">
              <a:solidFill>
                <a:srgbClr val="000000"/>
              </a:solidFill>
              <a:prstDash val="solid"/>
            </a:ln>
          </c:spPr>
          <c:dPt>
            <c:idx val="0"/>
            <c:bubble3D val="0"/>
            <c:spPr>
              <a:solidFill>
                <a:srgbClr val="FF0000"/>
              </a:solidFill>
              <a:ln w="12700">
                <a:solidFill>
                  <a:srgbClr val="000000"/>
                </a:solidFill>
                <a:prstDash val="solid"/>
              </a:ln>
            </c:spPr>
          </c:dPt>
          <c:dPt>
            <c:idx val="1"/>
            <c:bubble3D val="0"/>
            <c:spPr>
              <a:solidFill>
                <a:srgbClr val="CCFF99"/>
              </a:solidFill>
              <a:ln w="12700">
                <a:solidFill>
                  <a:srgbClr val="000000"/>
                </a:solidFill>
                <a:prstDash val="solid"/>
              </a:ln>
            </c:spPr>
          </c:dPt>
          <c:dPt>
            <c:idx val="2"/>
            <c:bubble3D val="0"/>
            <c:spPr>
              <a:solidFill>
                <a:srgbClr val="92D050"/>
              </a:solidFill>
              <a:ln w="12700">
                <a:solidFill>
                  <a:srgbClr val="000000"/>
                </a:solidFill>
                <a:prstDash val="solid"/>
              </a:ln>
            </c:spPr>
          </c:dPt>
          <c:dLbls>
            <c:dLbl>
              <c:idx val="0"/>
              <c:layout>
                <c:manualLayout>
                  <c:x val="-9.7013656273532839E-3"/>
                  <c:y val="4.4941260071748673E-2"/>
                </c:manualLayout>
              </c:layout>
              <c:dLblPos val="bestFit"/>
              <c:showLegendKey val="0"/>
              <c:showVal val="1"/>
              <c:showCatName val="0"/>
              <c:showSerName val="0"/>
              <c:showPercent val="0"/>
              <c:showBubbleSize val="0"/>
            </c:dLbl>
            <c:dLbl>
              <c:idx val="1"/>
              <c:layout>
                <c:manualLayout>
                  <c:x val="-3.3599179070556727E-2"/>
                  <c:y val="7.5324645554676844E-4"/>
                </c:manualLayout>
              </c:layout>
              <c:dLblPos val="bestFit"/>
              <c:showLegendKey val="0"/>
              <c:showVal val="1"/>
              <c:showCatName val="0"/>
              <c:showSerName val="0"/>
              <c:showPercent val="0"/>
              <c:showBubbleSize val="0"/>
            </c:dLbl>
            <c:dLbl>
              <c:idx val="2"/>
              <c:layout>
                <c:manualLayout>
                  <c:x val="4.3638970054798783E-2"/>
                  <c:y val="-9.7601118637462899E-3"/>
                </c:manualLayout>
              </c:layout>
              <c:dLblPos val="bestFit"/>
              <c:showLegendKey val="0"/>
              <c:showVal val="1"/>
              <c:showCatName val="0"/>
              <c:showSerName val="0"/>
              <c:showPercent val="0"/>
              <c:showBubbleSize val="0"/>
            </c:dLbl>
            <c:numFmt formatCode="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en-US"/>
              </a:p>
            </c:txPr>
            <c:dLblPos val="bestFit"/>
            <c:showLegendKey val="0"/>
            <c:showVal val="1"/>
            <c:showCatName val="0"/>
            <c:showSerName val="0"/>
            <c:showPercent val="0"/>
            <c:showBubbleSize val="0"/>
            <c:showLeaderLines val="1"/>
          </c:dLbls>
          <c:cat>
            <c:strRef>
              <c:f>'Figure 6'!$A$2:$A$4</c:f>
              <c:strCache>
                <c:ptCount val="3"/>
                <c:pt idx="0">
                  <c:v>Nõuetele mittevastavad</c:v>
                </c:pt>
                <c:pt idx="1">
                  <c:v>Ebaselged</c:v>
                </c:pt>
                <c:pt idx="2">
                  <c:v>Nõuetele vastavad</c:v>
                </c:pt>
              </c:strCache>
            </c:strRef>
          </c:cat>
          <c:val>
            <c:numRef>
              <c:f>'Figure 6'!$B$2:$B$4</c:f>
              <c:numCache>
                <c:formatCode>General</c:formatCode>
                <c:ptCount val="3"/>
                <c:pt idx="0">
                  <c:v>1.7411685919973212E-2</c:v>
                </c:pt>
                <c:pt idx="1">
                  <c:v>1.1217143813828897E-2</c:v>
                </c:pt>
                <c:pt idx="2">
                  <c:v>0.9713711702661979</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11489460249912019"/>
          <c:y val="0.81586868173736349"/>
          <c:w val="0.8337038055826359"/>
          <c:h val="0.15204698074947987"/>
        </c:manualLayout>
      </c:layout>
      <c:overlay val="0"/>
      <c:spPr>
        <a:noFill/>
        <a:ln w="25400">
          <a:noFill/>
        </a:ln>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1633-9849-46F9-B400-3090EAA1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67</TotalTime>
  <Pages>24</Pages>
  <Words>4888</Words>
  <Characters>27867</Characters>
  <Application>Microsoft Office Word</Application>
  <DocSecurity>0</DocSecurity>
  <Lines>232</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SANTE/11360/2016-EN</vt:lpstr>
      <vt:lpstr>SANTE/11975/2015-EN</vt:lpstr>
    </vt:vector>
  </TitlesOfParts>
  <Manager/>
  <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SANTE/11360/2016-EN</dc:title>
  <dc:subject>REPORT</dc:subject>
  <dc:creator/>
  <cp:keywords>11360</cp:keywords>
  <dc:description>Outlook 6,10,2016</dc:description>
  <cp:lastModifiedBy/>
  <cp:revision>27</cp:revision>
  <cp:lastPrinted>2016-08-26T10:02:00Z</cp:lastPrinted>
  <dcterms:created xsi:type="dcterms:W3CDTF">2016-11-10T18:33:00Z</dcterms:created>
  <dcterms:modified xsi:type="dcterms:W3CDTF">2016-11-17T08:49:00Z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4.5.0.2</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rep.dot</vt:lpwstr>
  </property>
  <property fmtid="{D5CDD505-2E9C-101B-9397-08002B2CF9AE}" pid="6" name="Part">
    <vt:lpwstr>1</vt:lpwstr>
  </property>
  <property fmtid="{D5CDD505-2E9C-101B-9397-08002B2CF9AE}" pid="7" name="Total parts">
    <vt:lpwstr>1</vt:lpwstr>
  </property>
  <property fmtid="{D5CDD505-2E9C-101B-9397-08002B2CF9AE}" pid="8" name="Classification">
    <vt:lpwstr> </vt:lpwstr>
  </property>
  <property fmtid="{D5CDD505-2E9C-101B-9397-08002B2CF9AE}" pid="9" name="Created using">
    <vt:lpwstr>EL 4.6 Build 21000</vt:lpwstr>
  </property>
  <property fmtid="{D5CDD505-2E9C-101B-9397-08002B2CF9AE}" pid="10" name="Formatting">
    <vt:lpwstr>4.1</vt:lpwstr>
  </property>
  <property fmtid="{D5CDD505-2E9C-101B-9397-08002B2CF9AE}" pid="11" name="Last edited using">
    <vt:lpwstr>EL 4.6 Build 50000</vt:lpwstr>
  </property>
  <property fmtid="{D5CDD505-2E9C-101B-9397-08002B2CF9AE}" pid="12" name="DocStatus">
    <vt:lpwstr>Red</vt:lpwstr>
  </property>
  <property name="OP_sanitized" fmtid="{D5CDD505-2E9C-101B-9397-08002B2CF9AE}" pid="13">
    <vt:lpwstr>True</vt:lpwstr>
  </property>
</Properties>
</file>