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lang w:val="et-EE"/>
        </w:rPr>
      </w:pPr>
      <w:bookmarkStart w:id="0" w:name="LW_BM_COVERPAGE"/>
      <w:r>
        <w:rPr>
          <w:noProof/>
          <w:lang w:val="et-E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5EECD209DB104C8F8CEAA79FF1D72DE8" style="width:450.8pt;height:321.2pt">
            <v:imagedata r:id="rId9" o:title=""/>
          </v:shape>
        </w:pict>
      </w:r>
    </w:p>
    <w:bookmarkEnd w:id="0"/>
    <w:p>
      <w:pPr>
        <w:rPr>
          <w:rFonts w:ascii="Times New Roman" w:hAnsi="Times New Roman" w:cs="Times New Roman"/>
          <w:noProof/>
          <w:lang w:val="et-EE"/>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60"/>
        </w:sectPr>
      </w:pPr>
    </w:p>
    <w:p>
      <w:pPr>
        <w:keepNext/>
        <w:pBdr>
          <w:top w:val="nil"/>
          <w:left w:val="nil"/>
          <w:bottom w:val="nil"/>
          <w:right w:val="nil"/>
          <w:between w:val="nil"/>
          <w:bar w:val="nil"/>
        </w:pBdr>
        <w:spacing w:before="240" w:after="60"/>
        <w:jc w:val="both"/>
        <w:outlineLvl w:val="0"/>
        <w:rPr>
          <w:rFonts w:ascii="Times New Roman" w:eastAsia="Cambria" w:hAnsi="Times New Roman" w:cs="Times New Roman"/>
          <w:b/>
          <w:bCs/>
          <w:noProof/>
          <w:kern w:val="32"/>
          <w:sz w:val="32"/>
          <w:szCs w:val="32"/>
          <w:u w:color="000000"/>
          <w:bdr w:val="nil"/>
          <w:lang w:val="et-EE"/>
        </w:rPr>
      </w:pPr>
      <w:bookmarkStart w:id="1" w:name="_GoBack"/>
      <w:bookmarkEnd w:id="1"/>
      <w:r>
        <w:rPr>
          <w:rFonts w:ascii="Times New Roman" w:hAnsi="Times New Roman" w:cs="Times New Roman"/>
          <w:b/>
          <w:bCs/>
          <w:noProof/>
          <w:sz w:val="32"/>
          <w:szCs w:val="32"/>
          <w:u w:color="000000"/>
          <w:bdr w:val="nil"/>
          <w:lang w:val="et-EE"/>
        </w:rPr>
        <w:lastRenderedPageBreak/>
        <w:t>1. Sissejuhatus</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EL seisis 2015. aastal silmitsi arvukate probleemidega: julgeolekuohud, pagulaste ja rändajate enneolematu sissevool, populismi ja ksenofoobia suurenemine. Need panid ELi väärtused ja solidaarsuse proovile. Nimetatud probleemidega silmitsi seistes on ülioluline pidada kinni ELi ühistest väärtustest, milleks on demokraatia, põhiõigused ja õigusriik.</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 xml:space="preserve">Põhiõiguste harta jõustus 2009. aastal. </w:t>
      </w:r>
      <w:r>
        <w:rPr>
          <w:rFonts w:ascii="Times New Roman" w:hAnsi="Times New Roman" w:cs="Times New Roman"/>
          <w:noProof/>
          <w:lang w:val="et-EE"/>
        </w:rPr>
        <w:t>Harta on osutunud Euroopa</w:t>
      </w:r>
      <w:r>
        <w:rPr>
          <w:rStyle w:val="FootnoteReference"/>
          <w:rFonts w:ascii="Times New Roman" w:hAnsi="Times New Roman" w:cs="Times New Roman"/>
          <w:noProof/>
          <w:lang w:val="et-EE"/>
        </w:rPr>
        <w:footnoteReference w:id="1"/>
      </w:r>
      <w:r>
        <w:rPr>
          <w:rFonts w:ascii="Times New Roman" w:hAnsi="Times New Roman" w:cs="Times New Roman"/>
          <w:noProof/>
          <w:lang w:val="et-EE"/>
        </w:rPr>
        <w:t xml:space="preserve"> ja siseriiklikele kohtutele oluliseks võrdlusmaterjaliks. Euroopa Komisjon edendab harta järgimist kõigi ELi tegevuste käigus ning teeb sel eesmärgil tihedat koostööd siseriiklike, Euroopa ja rahvusvaheliste organisatsioonidega.</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Käesolevas kuuendas aastaaruandes vaadatakse läbi, kuidas EL ja tema liikmesriigid kohaldasid hartat 2015. aastal. Fookusosas esitatakse teave 2015. aastal toimunud iga-aastase põhiõiguste kollokviumi kohta, millel käsitleti sallivuse ja austuse edendamist Euroopas juudi- ja moslemivastase vaenu ennetamiseks ja selle vastu võitlemiseks.</w:t>
      </w:r>
    </w:p>
    <w:p>
      <w:pPr>
        <w:pBdr>
          <w:top w:val="nil"/>
          <w:left w:val="nil"/>
          <w:bottom w:val="nil"/>
          <w:right w:val="nil"/>
          <w:between w:val="nil"/>
          <w:bar w:val="nil"/>
        </w:pBdr>
        <w:spacing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2016. aastal toimuv põhiõiguste kollokvium on pühendatud teemale „Meedia mitmekesisus ja demokraatia“. Kollokviumil arutatakse meedia mitmekesisuse ja demokraatia vahelisi seoseid muutuva meediakeskkonna kontekstis, mida iseloomustab suurenev meedia ühtesulandumine ja digitaalse ühtse turu arendamine. Kollokviumil analüüsitakse meedia mitmekesisuse mitmeid aspekte meedia sõltumatusest ja reguleerimisest sõna- ja ajakirjandusvabaduse küsimusteni. Kollokviumile eelnevad konsultatsioonid kodanikuühiskonna ja sidusrühmadega.</w:t>
      </w:r>
    </w:p>
    <w:p>
      <w:pPr>
        <w:keepNext/>
        <w:pBdr>
          <w:top w:val="nil"/>
          <w:left w:val="nil"/>
          <w:bottom w:val="nil"/>
          <w:right w:val="nil"/>
          <w:between w:val="nil"/>
          <w:bar w:val="nil"/>
        </w:pBdr>
        <w:spacing w:before="240" w:after="60"/>
        <w:jc w:val="both"/>
        <w:outlineLvl w:val="0"/>
        <w:rPr>
          <w:rFonts w:ascii="Times New Roman" w:eastAsia="Cambria" w:hAnsi="Times New Roman" w:cs="Times New Roman"/>
          <w:b/>
          <w:bCs/>
          <w:noProof/>
          <w:kern w:val="32"/>
          <w:sz w:val="32"/>
          <w:szCs w:val="32"/>
          <w:u w:color="000000"/>
          <w:bdr w:val="nil"/>
          <w:lang w:val="et-EE"/>
        </w:rPr>
      </w:pPr>
      <w:r>
        <w:rPr>
          <w:rFonts w:ascii="Times New Roman" w:hAnsi="Times New Roman" w:cs="Times New Roman"/>
          <w:b/>
          <w:bCs/>
          <w:noProof/>
          <w:sz w:val="32"/>
          <w:szCs w:val="32"/>
          <w:u w:color="000000"/>
          <w:bdr w:val="nil"/>
          <w:lang w:val="et-EE"/>
        </w:rPr>
        <w:t>2. Harta kohaldamine ELis ja ELi poolt</w:t>
      </w:r>
    </w:p>
    <w:p>
      <w:pPr>
        <w:keepNext/>
        <w:pBdr>
          <w:top w:val="nil"/>
          <w:left w:val="nil"/>
          <w:bottom w:val="nil"/>
          <w:right w:val="nil"/>
          <w:between w:val="nil"/>
          <w:bar w:val="nil"/>
        </w:pBdr>
        <w:spacing w:before="240" w:after="60"/>
        <w:jc w:val="both"/>
        <w:outlineLvl w:val="1"/>
        <w:rPr>
          <w:rFonts w:ascii="Times New Roman" w:eastAsia="Cambria" w:hAnsi="Times New Roman" w:cs="Times New Roman"/>
          <w:noProof/>
          <w:sz w:val="28"/>
          <w:szCs w:val="28"/>
          <w:u w:color="000000"/>
          <w:bdr w:val="nil"/>
          <w:lang w:val="et-EE"/>
        </w:rPr>
      </w:pPr>
      <w:r>
        <w:rPr>
          <w:rFonts w:ascii="Times New Roman" w:hAnsi="Times New Roman" w:cs="Times New Roman"/>
          <w:b/>
          <w:bCs/>
          <w:i/>
          <w:iCs/>
          <w:noProof/>
          <w:sz w:val="28"/>
          <w:szCs w:val="28"/>
          <w:u w:color="000000"/>
          <w:bdr w:val="nil"/>
          <w:lang w:val="et-EE"/>
        </w:rPr>
        <w:t>2.1. Harta integreerimine ja parem õigusloome</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 xml:space="preserve">Õigusloomeprotsessi käigus peab toimuma süstemaatiline põhiõiguste tagamise kontroll, kindlustamaks, et õigusaktide eelnõud on hartaga kooskõlas. </w:t>
      </w:r>
      <w:r>
        <w:rPr>
          <w:rFonts w:ascii="Times New Roman" w:hAnsi="Times New Roman" w:cs="Times New Roman"/>
          <w:noProof/>
          <w:lang w:val="et-EE"/>
        </w:rPr>
        <w:t xml:space="preserve">Komisjoni </w:t>
      </w:r>
      <w:r>
        <w:rPr>
          <w:rFonts w:ascii="Times New Roman" w:hAnsi="Times New Roman" w:cs="Times New Roman"/>
          <w:b/>
          <w:noProof/>
          <w:lang w:val="et-EE"/>
        </w:rPr>
        <w:t>parema õigusloome tegevuskavaga</w:t>
      </w:r>
      <w:r>
        <w:rPr>
          <w:rStyle w:val="FootnoteReference"/>
          <w:rFonts w:ascii="Times New Roman" w:hAnsi="Times New Roman" w:cs="Times New Roman"/>
          <w:noProof/>
          <w:lang w:val="et-EE"/>
        </w:rPr>
        <w:footnoteReference w:id="2"/>
      </w:r>
      <w:r>
        <w:rPr>
          <w:rFonts w:ascii="Times New Roman" w:hAnsi="Times New Roman" w:cs="Times New Roman"/>
          <w:noProof/>
          <w:lang w:val="et-EE"/>
        </w:rPr>
        <w:t xml:space="preserve"> muudeti olemasolevaid suuniseid, et parandada õigusaktide eelnõude ja poliitikakavandite mõjuhinnangut.</w:t>
      </w:r>
      <w:r>
        <w:rPr>
          <w:rFonts w:ascii="Times New Roman" w:hAnsi="Times New Roman" w:cs="Times New Roman"/>
          <w:noProof/>
          <w:u w:color="000000"/>
          <w:bdr w:val="nil"/>
          <w:lang w:val="et-EE"/>
        </w:rPr>
        <w:t xml:space="preserve"> Parema õigusloome eesmärk on suurendada ELi otsuste tegemise läbipaistvust ja parandada õigusaktide kvaliteeti. </w:t>
      </w:r>
      <w:r>
        <w:rPr>
          <w:rFonts w:ascii="Times New Roman" w:hAnsi="Times New Roman" w:cs="Times New Roman"/>
          <w:noProof/>
          <w:lang w:val="et-EE"/>
        </w:rPr>
        <w:t>„Parema õigusloome töövahendid“</w:t>
      </w:r>
      <w:r>
        <w:rPr>
          <w:rStyle w:val="FootnoteReference"/>
          <w:rFonts w:ascii="Times New Roman" w:hAnsi="Times New Roman" w:cs="Times New Roman"/>
          <w:noProof/>
          <w:lang w:val="et-EE"/>
        </w:rPr>
        <w:footnoteReference w:id="3"/>
      </w:r>
      <w:r>
        <w:rPr>
          <w:rFonts w:ascii="Times New Roman" w:hAnsi="Times New Roman" w:cs="Times New Roman"/>
          <w:noProof/>
          <w:lang w:val="et-EE"/>
        </w:rPr>
        <w:t xml:space="preserve"> hõlmavad põhiõiguste kontrollnimekirja, mida komisjon peab kasutama hindamiste läbiviimisel.</w:t>
      </w:r>
      <w:r>
        <w:rPr>
          <w:rFonts w:ascii="Times New Roman" w:hAnsi="Times New Roman" w:cs="Times New Roman"/>
          <w:noProof/>
          <w:u w:color="000000"/>
          <w:bdr w:val="nil"/>
          <w:lang w:val="et-EE"/>
        </w:rPr>
        <w:t xml:space="preserve"> Komisjon korraldas 2015. aastal väljaõppe spetsiifilistele üksustele, misläbi tagati, et ametnikel on vahendid põhiõigustele tugineva lähenemisviisi kohaldamiseks poliitika kujundamisel ja seadusloome käigus.</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lang w:val="et-EE"/>
        </w:rPr>
        <w:t>Euroopa Parlament võttis 2015. aasta septembris vastu resolutsiooni põhiõiguste kohta Euroopa Liidus 2013–2014</w:t>
      </w:r>
      <w:r>
        <w:rPr>
          <w:rStyle w:val="FootnoteReference"/>
          <w:rFonts w:ascii="Times New Roman" w:hAnsi="Times New Roman" w:cs="Times New Roman"/>
          <w:noProof/>
          <w:lang w:val="et-EE"/>
        </w:rPr>
        <w:footnoteReference w:id="4"/>
      </w:r>
      <w:r>
        <w:rPr>
          <w:rFonts w:ascii="Times New Roman" w:hAnsi="Times New Roman" w:cs="Times New Roman"/>
          <w:noProof/>
          <w:lang w:val="et-EE"/>
        </w:rPr>
        <w:t>.</w:t>
      </w:r>
      <w:r>
        <w:rPr>
          <w:rFonts w:ascii="Times New Roman" w:hAnsi="Times New Roman" w:cs="Times New Roman"/>
          <w:noProof/>
          <w:u w:color="000000"/>
          <w:bdr w:val="nil"/>
          <w:lang w:val="et-EE"/>
        </w:rPr>
        <w:t xml:space="preserve"> Selles tuuakse esile mureküsimused põhiõiguste olukorra kohta mõnes liikmesriigis ja kutsutakse üles kehtestama raamistikku õigusriigi olukorra jälgimiseks. </w:t>
      </w:r>
      <w:r>
        <w:rPr>
          <w:rFonts w:ascii="Times New Roman" w:hAnsi="Times New Roman" w:cs="Times New Roman"/>
          <w:noProof/>
          <w:lang w:val="et-EE"/>
        </w:rPr>
        <w:t>Nõukogu võttis 2015. aasta juunis vastu järeldused harta kohaldamise kohta 2014. aastal</w:t>
      </w:r>
      <w:r>
        <w:rPr>
          <w:rStyle w:val="FootnoteReference"/>
          <w:rFonts w:ascii="Times New Roman" w:hAnsi="Times New Roman" w:cs="Times New Roman"/>
          <w:noProof/>
          <w:lang w:val="et-EE"/>
        </w:rPr>
        <w:footnoteReference w:id="5"/>
      </w:r>
      <w:r>
        <w:rPr>
          <w:rFonts w:ascii="Times New Roman" w:hAnsi="Times New Roman" w:cs="Times New Roman"/>
          <w:noProof/>
          <w:lang w:val="et-EE"/>
        </w:rPr>
        <w:t>.</w:t>
      </w:r>
    </w:p>
    <w:p>
      <w:pPr>
        <w:keepNext/>
        <w:pBdr>
          <w:top w:val="nil"/>
          <w:left w:val="nil"/>
          <w:bottom w:val="nil"/>
          <w:right w:val="nil"/>
          <w:between w:val="nil"/>
          <w:bar w:val="nil"/>
        </w:pBdr>
        <w:spacing w:before="240" w:after="60"/>
        <w:jc w:val="both"/>
        <w:outlineLvl w:val="1"/>
        <w:rPr>
          <w:rFonts w:ascii="Times New Roman" w:eastAsia="Cambria" w:hAnsi="Times New Roman" w:cs="Times New Roman"/>
          <w:b/>
          <w:bCs/>
          <w:i/>
          <w:iCs/>
          <w:noProof/>
          <w:sz w:val="28"/>
          <w:szCs w:val="28"/>
          <w:u w:color="000000"/>
          <w:bdr w:val="nil"/>
          <w:lang w:val="et-EE"/>
        </w:rPr>
      </w:pPr>
      <w:r>
        <w:rPr>
          <w:rFonts w:ascii="Times New Roman" w:hAnsi="Times New Roman" w:cs="Times New Roman"/>
          <w:b/>
          <w:bCs/>
          <w:i/>
          <w:iCs/>
          <w:noProof/>
          <w:sz w:val="28"/>
          <w:szCs w:val="28"/>
          <w:u w:color="000000"/>
          <w:bdr w:val="nil"/>
          <w:lang w:val="et-EE"/>
        </w:rPr>
        <w:t>2.2. Harta integreerimine seadusandlikus ja poliitilises tegevuses</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ELi institutsioonid peavad kogu oma tegevuses hartat järgima. Selle üle teostab järelevalvet Euroopa Liidu Kohus. Komisjon tagas 2015. aastal jätkuvalt, et tema õigusaktide ja poliitikate kooskõla üle hartaga teostatakse korrapärast kontrolli. Lisaks edendas komisjon seadusandlikke projekte, millega edendatakse põhiõigusi.</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 xml:space="preserve">Euroopa Parlament ja nõukogu jõudsid 2015. aasta detsembris kokkuleppele </w:t>
      </w:r>
      <w:r>
        <w:rPr>
          <w:rFonts w:ascii="Times New Roman" w:hAnsi="Times New Roman" w:cs="Times New Roman"/>
          <w:b/>
          <w:noProof/>
          <w:u w:color="000000"/>
          <w:bdr w:val="nil"/>
          <w:lang w:val="et-EE"/>
        </w:rPr>
        <w:t xml:space="preserve">isikuandmete kaitse reformi paketi </w:t>
      </w:r>
      <w:r>
        <w:rPr>
          <w:rFonts w:ascii="Times New Roman" w:hAnsi="Times New Roman" w:cs="Times New Roman"/>
          <w:noProof/>
          <w:u w:color="000000"/>
          <w:bdr w:val="nil"/>
          <w:lang w:val="et-EE"/>
        </w:rPr>
        <w:t>osas</w:t>
      </w:r>
      <w:r>
        <w:rPr>
          <w:rStyle w:val="FootnoteReference"/>
          <w:rFonts w:ascii="Times New Roman" w:hAnsi="Times New Roman" w:cs="Times New Roman"/>
          <w:noProof/>
          <w:lang w:val="et-EE"/>
        </w:rPr>
        <w:footnoteReference w:id="6"/>
      </w:r>
      <w:r>
        <w:rPr>
          <w:rFonts w:ascii="Times New Roman" w:hAnsi="Times New Roman" w:cs="Times New Roman"/>
          <w:noProof/>
          <w:u w:color="000000"/>
          <w:bdr w:val="nil"/>
          <w:lang w:val="et-EE"/>
        </w:rPr>
        <w:t xml:space="preserve">. </w:t>
      </w:r>
      <w:r>
        <w:rPr>
          <w:rFonts w:ascii="Times New Roman" w:hAnsi="Times New Roman" w:cs="Times New Roman"/>
          <w:noProof/>
          <w:lang w:val="et-EE"/>
        </w:rPr>
        <w:t xml:space="preserve">Pakett on ülioluline, et kaitsta selliseid põhiõigusi nagu õigus eraelu puutumatusele ja isikuandmete kaitse (harta artiklid 7 ja 8) ning on </w:t>
      </w:r>
      <w:r>
        <w:rPr>
          <w:rFonts w:ascii="Times New Roman" w:hAnsi="Times New Roman" w:cs="Times New Roman"/>
          <w:b/>
          <w:noProof/>
          <w:lang w:val="et-EE"/>
        </w:rPr>
        <w:t>digitaalse ühtse turu</w:t>
      </w:r>
      <w:r>
        <w:rPr>
          <w:rFonts w:ascii="Times New Roman" w:hAnsi="Times New Roman" w:cs="Times New Roman"/>
          <w:noProof/>
          <w:lang w:val="et-EE"/>
        </w:rPr>
        <w:t xml:space="preserve"> võtmetähtsusega alustala.</w:t>
      </w:r>
      <w:r>
        <w:rPr>
          <w:rFonts w:ascii="Times New Roman" w:hAnsi="Times New Roman" w:cs="Times New Roman"/>
          <w:noProof/>
          <w:u w:color="000000"/>
          <w:bdr w:val="nil"/>
          <w:lang w:val="et-EE"/>
        </w:rPr>
        <w:t xml:space="preserve"> </w:t>
      </w:r>
      <w:r>
        <w:rPr>
          <w:rFonts w:ascii="Times New Roman" w:hAnsi="Times New Roman" w:cs="Times New Roman"/>
          <w:noProof/>
          <w:lang w:val="et-EE"/>
        </w:rPr>
        <w:t>Pakett koosneb isikuandmete kaitse üldmäärusest</w:t>
      </w:r>
      <w:r>
        <w:rPr>
          <w:rStyle w:val="FootnoteReference"/>
          <w:rFonts w:ascii="Times New Roman" w:hAnsi="Times New Roman" w:cs="Times New Roman"/>
          <w:noProof/>
          <w:lang w:val="et-EE"/>
        </w:rPr>
        <w:footnoteReference w:id="7"/>
      </w:r>
      <w:r>
        <w:rPr>
          <w:rFonts w:ascii="Times New Roman" w:hAnsi="Times New Roman" w:cs="Times New Roman"/>
          <w:noProof/>
          <w:lang w:val="et-EE"/>
        </w:rPr>
        <w:t xml:space="preserve"> ning politseitöö ja kriminaalõiguse valdkonna andmekaitse direktiivist</w:t>
      </w:r>
      <w:r>
        <w:rPr>
          <w:rStyle w:val="FootnoteReference"/>
          <w:rFonts w:ascii="Times New Roman" w:eastAsia="Calibri" w:hAnsi="Times New Roman" w:cs="Times New Roman"/>
          <w:noProof/>
          <w:u w:color="000000"/>
          <w:bdr w:val="nil"/>
          <w:lang w:val="et-EE"/>
        </w:rPr>
        <w:footnoteReference w:id="8"/>
      </w:r>
      <w:r>
        <w:rPr>
          <w:rFonts w:ascii="Times New Roman" w:hAnsi="Times New Roman" w:cs="Times New Roman"/>
          <w:noProof/>
          <w:lang w:val="et-EE"/>
        </w:rPr>
        <w:t>.</w:t>
      </w:r>
      <w:r>
        <w:rPr>
          <w:rFonts w:ascii="Times New Roman" w:hAnsi="Times New Roman" w:cs="Times New Roman"/>
          <w:noProof/>
          <w:u w:color="000000"/>
          <w:bdr w:val="nil"/>
          <w:lang w:val="et-EE"/>
        </w:rPr>
        <w:t xml:space="preserve"> Direktiiviga asendatakse kehtivad õigusaktid ja seda hakatakse kohaldama 2018. aasta alguses.</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lang w:val="et-EE"/>
        </w:rPr>
        <w:t xml:space="preserve">Euroopa Parlament ja nõukogu jõudsid 2015. aastal kokkuleppele kahe direktiivi suhtes, mis käsitlevad vastavalt </w:t>
      </w:r>
      <w:r>
        <w:rPr>
          <w:rFonts w:ascii="Times New Roman" w:hAnsi="Times New Roman" w:cs="Times New Roman"/>
          <w:b/>
          <w:noProof/>
          <w:lang w:val="et-EE"/>
        </w:rPr>
        <w:t>süütuse presumptsiooni ja õigust viibida isiklikult kohtulikul arutelul</w:t>
      </w:r>
      <w:r>
        <w:rPr>
          <w:rStyle w:val="FootnoteReference"/>
          <w:rFonts w:ascii="Times New Roman" w:hAnsi="Times New Roman" w:cs="Times New Roman"/>
          <w:noProof/>
          <w:lang w:val="et-EE"/>
        </w:rPr>
        <w:footnoteReference w:id="9"/>
      </w:r>
      <w:r>
        <w:rPr>
          <w:rFonts w:ascii="Times New Roman" w:hAnsi="Times New Roman" w:cs="Times New Roman"/>
          <w:noProof/>
          <w:lang w:val="et-EE"/>
        </w:rPr>
        <w:t xml:space="preserve"> ning </w:t>
      </w:r>
      <w:r>
        <w:rPr>
          <w:rFonts w:ascii="Times New Roman" w:hAnsi="Times New Roman" w:cs="Times New Roman"/>
          <w:b/>
          <w:noProof/>
          <w:lang w:val="et-EE"/>
        </w:rPr>
        <w:t>lastele kriminaalmenetluse raames antavaid eritagatisi</w:t>
      </w:r>
      <w:r>
        <w:rPr>
          <w:rStyle w:val="FootnoteReference"/>
          <w:rFonts w:ascii="Times New Roman" w:hAnsi="Times New Roman" w:cs="Times New Roman"/>
          <w:noProof/>
          <w:lang w:val="et-EE"/>
        </w:rPr>
        <w:footnoteReference w:id="10"/>
      </w:r>
      <w:r>
        <w:rPr>
          <w:rFonts w:ascii="Times New Roman" w:hAnsi="Times New Roman" w:cs="Times New Roman"/>
          <w:b/>
          <w:noProof/>
          <w:lang w:val="et-EE"/>
        </w:rPr>
        <w:t>.</w:t>
      </w:r>
      <w:r>
        <w:rPr>
          <w:rFonts w:ascii="Times New Roman" w:hAnsi="Times New Roman" w:cs="Times New Roman"/>
          <w:noProof/>
          <w:lang w:val="et-EE"/>
        </w:rPr>
        <w:t xml:space="preserve"> Nendega edendatakse selliseid põhiõigusi nagu õigus tõhusale õiguskaitsevahendile ja õigus õiglasele kohtulikule arutamisele ning süütuse presumptsioon ja kaitseõigus (harta artiklid 47 ja 48).</w:t>
      </w:r>
      <w:r>
        <w:rPr>
          <w:rFonts w:ascii="Times New Roman" w:hAnsi="Times New Roman" w:cs="Times New Roman"/>
          <w:noProof/>
          <w:u w:color="000000"/>
          <w:bdr w:val="nil"/>
          <w:lang w:val="et-EE"/>
        </w:rPr>
        <w:t xml:space="preserve"> </w:t>
      </w:r>
      <w:r>
        <w:rPr>
          <w:rFonts w:ascii="Times New Roman" w:hAnsi="Times New Roman" w:cs="Times New Roman"/>
          <w:b/>
          <w:noProof/>
          <w:lang w:val="et-EE"/>
        </w:rPr>
        <w:t>Kuriteoohvrite direktiiv</w:t>
      </w:r>
      <w:r>
        <w:rPr>
          <w:rStyle w:val="FootnoteReference"/>
          <w:rFonts w:ascii="Times New Roman" w:hAnsi="Times New Roman" w:cs="Times New Roman"/>
          <w:noProof/>
          <w:lang w:val="et-EE"/>
        </w:rPr>
        <w:footnoteReference w:id="11"/>
      </w:r>
      <w:r>
        <w:rPr>
          <w:rFonts w:ascii="Times New Roman" w:hAnsi="Times New Roman" w:cs="Times New Roman"/>
          <w:noProof/>
          <w:lang w:val="et-EE"/>
        </w:rPr>
        <w:t xml:space="preserve"> jõustus 2015. aasta novembris.</w:t>
      </w:r>
      <w:r>
        <w:rPr>
          <w:rFonts w:ascii="Times New Roman" w:hAnsi="Times New Roman" w:cs="Times New Roman"/>
          <w:noProof/>
          <w:u w:color="000000"/>
          <w:bdr w:val="nil"/>
          <w:lang w:val="et-EE"/>
        </w:rPr>
        <w:t xml:space="preserve"> Sellega sätestatakse kuriteoohvrite siduvad õigused, sealhulgas õigus, et ohvrite staatust tunnustatakse ning et neisse suhtutakse austavalt, diskreetselt, isikupära arvestades, professionaalselt ning mittediskrimineerivalt.</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 xml:space="preserve">Lisaks võeti vastu </w:t>
      </w:r>
      <w:r>
        <w:rPr>
          <w:rFonts w:ascii="Times New Roman" w:hAnsi="Times New Roman" w:cs="Times New Roman"/>
          <w:b/>
          <w:noProof/>
          <w:u w:color="000000"/>
          <w:bdr w:val="nil"/>
          <w:lang w:val="et-EE"/>
        </w:rPr>
        <w:t>direktiiv, mis käsitleb koordineerimis- ja koostöömeetmeid, millega hõlbustatakse liidu esindamata kodanike konsulaarkaitset kolmandates riikides</w:t>
      </w:r>
      <w:r>
        <w:rPr>
          <w:rFonts w:ascii="Times New Roman" w:eastAsia="Calibri" w:hAnsi="Times New Roman" w:cs="Times New Roman"/>
          <w:noProof/>
          <w:u w:color="000000"/>
          <w:bdr w:val="nil"/>
          <w:vertAlign w:val="superscript"/>
          <w:lang w:val="et-EE"/>
        </w:rPr>
        <w:footnoteReference w:id="12"/>
      </w:r>
      <w:r>
        <w:rPr>
          <w:rFonts w:ascii="Times New Roman" w:hAnsi="Times New Roman" w:cs="Times New Roman"/>
          <w:noProof/>
          <w:u w:color="000000"/>
          <w:bdr w:val="nil"/>
          <w:lang w:val="et-EE"/>
        </w:rPr>
        <w:t>. Direktiiviga täpsustatakse muu hulgas, millal ja kuidas võivad saada kaitset liidu kodanike kolmanda riigi kodanikest pereliikmed, et tagada võimalus kasutada konsulaarkaitse saamise õigust ning harta artiklis 7 tunnustatud õigust era- ja perekonnaelule.</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u w:color="000000"/>
          <w:bdr w:val="nil"/>
          <w:lang w:val="et-EE"/>
        </w:rPr>
      </w:pP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lang w:val="et-EE"/>
        </w:rPr>
        <w:t>Komisjon esitas 2015. aasta mais</w:t>
      </w:r>
      <w:r>
        <w:rPr>
          <w:rFonts w:ascii="Times New Roman" w:hAnsi="Times New Roman" w:cs="Times New Roman"/>
          <w:b/>
          <w:noProof/>
          <w:lang w:val="et-EE"/>
        </w:rPr>
        <w:t xml:space="preserve"> Euroopa rände tegevuskava</w:t>
      </w:r>
      <w:r>
        <w:rPr>
          <w:rFonts w:ascii="Times New Roman" w:hAnsi="Times New Roman" w:cs="Times New Roman"/>
          <w:noProof/>
          <w:lang w:val="et-EE"/>
        </w:rPr>
        <w:t>,</w:t>
      </w:r>
      <w:r>
        <w:rPr>
          <w:rStyle w:val="FootnoteReference"/>
          <w:rFonts w:ascii="Times New Roman" w:hAnsi="Times New Roman" w:cs="Times New Roman"/>
          <w:noProof/>
          <w:lang w:val="et-EE"/>
        </w:rPr>
        <w:footnoteReference w:id="13"/>
      </w:r>
      <w:r>
        <w:rPr>
          <w:rFonts w:ascii="Times New Roman" w:hAnsi="Times New Roman" w:cs="Times New Roman"/>
          <w:noProof/>
          <w:lang w:val="et-EE"/>
        </w:rPr>
        <w:t xml:space="preserve"> </w:t>
      </w:r>
      <w:r>
        <w:rPr>
          <w:rStyle w:val="FootnoteReference"/>
          <w:rFonts w:ascii="Times New Roman" w:eastAsia="Calibri" w:hAnsi="Times New Roman" w:cs="Times New Roman"/>
          <w:b/>
          <w:noProof/>
          <w:u w:color="000000"/>
          <w:bdr w:val="nil"/>
          <w:lang w:val="et-EE"/>
        </w:rPr>
        <w:footnoteReference w:id="14"/>
      </w:r>
      <w:r>
        <w:rPr>
          <w:rFonts w:ascii="Times New Roman" w:hAnsi="Times New Roman" w:cs="Times New Roman"/>
          <w:noProof/>
          <w:lang w:val="et-EE"/>
        </w:rPr>
        <w:t xml:space="preserve"> milles toodi esile kiireloomulised meetmed rände paremaks haldamiseks ELi tasandil.</w:t>
      </w:r>
      <w:r>
        <w:rPr>
          <w:rFonts w:ascii="Times New Roman" w:hAnsi="Times New Roman" w:cs="Times New Roman"/>
          <w:noProof/>
          <w:u w:color="000000"/>
          <w:bdr w:val="nil"/>
          <w:lang w:val="et-EE"/>
        </w:rPr>
        <w:t xml:space="preserve"> Selles tehti ettepanek edasi arendada komisjoni presidendi Junckeri poliitilisi suuniseid, mis tuginevad neljale terviklikule sambale:</w:t>
      </w:r>
    </w:p>
    <w:p>
      <w:pPr>
        <w:pStyle w:val="ListParagraph"/>
        <w:numPr>
          <w:ilvl w:val="0"/>
          <w:numId w:val="1"/>
        </w:num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lang w:val="et-EE"/>
        </w:rPr>
      </w:pPr>
      <w:r>
        <w:rPr>
          <w:rFonts w:ascii="Times New Roman" w:hAnsi="Times New Roman" w:cs="Times New Roman"/>
          <w:noProof/>
          <w:u w:color="000000"/>
          <w:bdr w:val="nil"/>
          <w:lang w:val="et-EE"/>
        </w:rPr>
        <w:t>ebaseadusliku rände stiimulite vähendamine;</w:t>
      </w:r>
      <w:r>
        <w:rPr>
          <w:rFonts w:ascii="Times New Roman" w:eastAsia="Calibri" w:hAnsi="Times New Roman" w:cs="Times New Roman"/>
          <w:noProof/>
          <w:color w:val="000000"/>
          <w:u w:color="000000"/>
          <w:bdr w:val="nil"/>
          <w:lang w:val="et-EE"/>
        </w:rPr>
        <w:t xml:space="preserve"> </w:t>
      </w:r>
    </w:p>
    <w:p>
      <w:pPr>
        <w:pStyle w:val="ListParagraph"/>
        <w:numPr>
          <w:ilvl w:val="0"/>
          <w:numId w:val="1"/>
        </w:num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lang w:val="et-EE"/>
        </w:rPr>
      </w:pPr>
      <w:r>
        <w:rPr>
          <w:rFonts w:ascii="Times New Roman" w:hAnsi="Times New Roman" w:cs="Times New Roman"/>
          <w:noProof/>
          <w:u w:color="000000"/>
          <w:bdr w:val="nil"/>
          <w:lang w:val="et-EE"/>
        </w:rPr>
        <w:t>piirihaldus – elude päästmine ja välispiiride kindlustamine;</w:t>
      </w:r>
      <w:r>
        <w:rPr>
          <w:rFonts w:ascii="Times New Roman" w:eastAsia="Calibri" w:hAnsi="Times New Roman" w:cs="Times New Roman"/>
          <w:noProof/>
          <w:color w:val="000000"/>
          <w:u w:color="000000"/>
          <w:bdr w:val="nil"/>
          <w:lang w:val="et-EE"/>
        </w:rPr>
        <w:t xml:space="preserve"> </w:t>
      </w:r>
    </w:p>
    <w:p>
      <w:pPr>
        <w:pStyle w:val="ListParagraph"/>
        <w:numPr>
          <w:ilvl w:val="0"/>
          <w:numId w:val="1"/>
        </w:num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lang w:val="et-EE"/>
        </w:rPr>
      </w:pPr>
      <w:r>
        <w:rPr>
          <w:rFonts w:ascii="Times New Roman" w:hAnsi="Times New Roman" w:cs="Times New Roman"/>
          <w:noProof/>
          <w:u w:color="000000"/>
          <w:bdr w:val="nil"/>
          <w:lang w:val="et-EE"/>
        </w:rPr>
        <w:t>tugeva ühise varjupaigapoliitika kaudu täidetakse Euroopa kohustus kaitsta; ning</w:t>
      </w:r>
    </w:p>
    <w:p>
      <w:pPr>
        <w:pStyle w:val="ListParagraph"/>
        <w:numPr>
          <w:ilvl w:val="0"/>
          <w:numId w:val="1"/>
        </w:numPr>
        <w:pBdr>
          <w:top w:val="nil"/>
          <w:left w:val="nil"/>
          <w:bottom w:val="nil"/>
          <w:right w:val="nil"/>
          <w:between w:val="nil"/>
          <w:bar w:val="nil"/>
        </w:pBdr>
        <w:spacing w:before="120" w:after="120" w:line="360" w:lineRule="auto"/>
        <w:jc w:val="both"/>
        <w:rPr>
          <w:rFonts w:ascii="Times New Roman" w:eastAsia="Calibri" w:hAnsi="Times New Roman" w:cs="Times New Roman"/>
          <w:noProof/>
          <w:color w:val="000000"/>
          <w:u w:color="000000"/>
          <w:bdr w:val="nil"/>
          <w:lang w:val="et-EE"/>
        </w:rPr>
      </w:pPr>
      <w:r>
        <w:rPr>
          <w:rFonts w:ascii="Times New Roman" w:hAnsi="Times New Roman" w:cs="Times New Roman"/>
          <w:noProof/>
          <w:u w:color="000000"/>
          <w:bdr w:val="nil"/>
          <w:lang w:val="et-EE"/>
        </w:rPr>
        <w:t>uue seadusliku rände poliitika väljatöötamine.</w:t>
      </w:r>
      <w:r>
        <w:rPr>
          <w:rFonts w:ascii="Times New Roman" w:eastAsia="Calibri" w:hAnsi="Times New Roman" w:cs="Times New Roman"/>
          <w:noProof/>
          <w:color w:val="000000"/>
          <w:u w:color="000000"/>
          <w:bdr w:val="nil"/>
          <w:lang w:val="et-EE"/>
        </w:rPr>
        <w:t xml:space="preserve"> </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 xml:space="preserve">Erilist tähelepanu pöörati kiireloomulistele meetmetele, mille eesmärk on hoida ära surmajuhtumeid merel. </w:t>
      </w:r>
      <w:r>
        <w:rPr>
          <w:rFonts w:ascii="Times New Roman" w:hAnsi="Times New Roman" w:cs="Times New Roman"/>
          <w:noProof/>
          <w:lang w:val="et-EE"/>
        </w:rPr>
        <w:t>See sisaldas ettepanekut kogu ELi hõlmava ümberasustuskava kohta, mis hõlmab kõiki liikmesriike ja mille raames võetakse Euroopas vastu 20 000 põgenikku, kes selgelt vajavad rahvusvahelist kaitset,</w:t>
      </w:r>
      <w:r>
        <w:rPr>
          <w:rStyle w:val="FootnoteReference"/>
          <w:rFonts w:ascii="Times New Roman" w:hAnsi="Times New Roman" w:cs="Times New Roman"/>
          <w:noProof/>
          <w:lang w:val="et-EE"/>
        </w:rPr>
        <w:footnoteReference w:id="15"/>
      </w:r>
      <w:r>
        <w:rPr>
          <w:rFonts w:ascii="Times New Roman" w:hAnsi="Times New Roman" w:cs="Times New Roman"/>
          <w:noProof/>
          <w:lang w:val="et-EE"/>
        </w:rPr>
        <w:t xml:space="preserve"> ning hiljuti lisandus ettepanek, mis käsitles Türgiga kokkulepitavat vabatahtliku humanitaarsetel põhjustel vastuvõtmise kava</w:t>
      </w:r>
      <w:r>
        <w:rPr>
          <w:rStyle w:val="FootnoteReference"/>
          <w:rFonts w:ascii="Times New Roman" w:hAnsi="Times New Roman" w:cs="Times New Roman"/>
          <w:noProof/>
          <w:lang w:val="et-EE"/>
        </w:rPr>
        <w:footnoteReference w:id="16"/>
      </w:r>
      <w:r>
        <w:rPr>
          <w:rFonts w:ascii="Times New Roman" w:hAnsi="Times New Roman" w:cs="Times New Roman"/>
          <w:noProof/>
          <w:lang w:val="et-EE"/>
        </w:rPr>
        <w:t>.</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 xml:space="preserve">Kavandatud poliitikaalgatused on põhiõiguste kaitse ja edendamise osas otseselt asjakohased. </w:t>
      </w:r>
      <w:r>
        <w:rPr>
          <w:rFonts w:ascii="Times New Roman" w:hAnsi="Times New Roman" w:cs="Times New Roman"/>
          <w:noProof/>
          <w:lang w:val="et-EE"/>
        </w:rPr>
        <w:t xml:space="preserve">Näiteks tagasisaatmise küsimuses avaldas komisjon </w:t>
      </w:r>
      <w:r>
        <w:rPr>
          <w:rFonts w:ascii="Times New Roman" w:hAnsi="Times New Roman" w:cs="Times New Roman"/>
          <w:b/>
          <w:noProof/>
          <w:lang w:val="et-EE"/>
        </w:rPr>
        <w:t>tagasisaatmise käsiraamatu,</w:t>
      </w:r>
      <w:r>
        <w:rPr>
          <w:rStyle w:val="FootnoteReference"/>
          <w:rFonts w:ascii="Times New Roman" w:hAnsi="Times New Roman" w:cs="Times New Roman"/>
          <w:noProof/>
          <w:lang w:val="et-EE"/>
        </w:rPr>
        <w:footnoteReference w:id="17"/>
      </w:r>
      <w:r>
        <w:rPr>
          <w:rFonts w:ascii="Times New Roman" w:hAnsi="Times New Roman" w:cs="Times New Roman"/>
          <w:noProof/>
          <w:lang w:val="et-EE"/>
        </w:rPr>
        <w:t xml:space="preserve"> millega toetati 2015. aasta septembril vastu võetud tagasisaatmise tegevuskava</w:t>
      </w:r>
      <w:r>
        <w:rPr>
          <w:rStyle w:val="FootnoteReference"/>
          <w:rFonts w:ascii="Times New Roman" w:hAnsi="Times New Roman" w:cs="Times New Roman"/>
          <w:noProof/>
          <w:lang w:val="et-EE"/>
        </w:rPr>
        <w:footnoteReference w:id="18"/>
      </w:r>
      <w:r>
        <w:rPr>
          <w:rFonts w:ascii="Times New Roman" w:hAnsi="Times New Roman" w:cs="Times New Roman"/>
          <w:noProof/>
          <w:lang w:val="et-EE"/>
        </w:rPr>
        <w:t>. Käsiraamatus antakse siseriiklikele asutustele suuniseid muu hulgas küsimuses, kuidas tagada, et tagasisaatmisoperatsioonid järgivad täielikult põhiõigusi ning seda eelkõige saatjata laste puhul.</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Komisjon tegi ettepaneku töötada välja nn</w:t>
      </w:r>
      <w:r>
        <w:rPr>
          <w:rFonts w:ascii="Times New Roman" w:hAnsi="Times New Roman" w:cs="Times New Roman"/>
          <w:b/>
          <w:noProof/>
          <w:u w:color="000000"/>
          <w:bdr w:val="nil"/>
          <w:lang w:val="et-EE"/>
        </w:rPr>
        <w:t xml:space="preserve"> esmase vastuvõtu süsteem </w:t>
      </w:r>
      <w:r>
        <w:rPr>
          <w:rFonts w:ascii="Times New Roman" w:hAnsi="Times New Roman" w:cs="Times New Roman"/>
          <w:noProof/>
          <w:u w:color="000000"/>
          <w:bdr w:val="nil"/>
          <w:lang w:val="et-EE"/>
        </w:rPr>
        <w:t>(</w:t>
      </w:r>
      <w:r>
        <w:rPr>
          <w:rFonts w:ascii="Times New Roman" w:hAnsi="Times New Roman" w:cs="Times New Roman"/>
          <w:i/>
          <w:noProof/>
          <w:u w:color="000000"/>
          <w:bdr w:val="nil"/>
          <w:lang w:val="et-EE"/>
        </w:rPr>
        <w:t>hotspot approach</w:t>
      </w:r>
      <w:r>
        <w:rPr>
          <w:rFonts w:ascii="Times New Roman" w:hAnsi="Times New Roman" w:cs="Times New Roman"/>
          <w:noProof/>
          <w:u w:color="000000"/>
          <w:bdr w:val="nil"/>
          <w:lang w:val="et-EE"/>
        </w:rPr>
        <w:t>), mis on kohene meede, millega aidatakse piiriäärseid liikmesriike, kes seisavad ELi välispiiril silmitsi ebaproportsionaalse rändesurvega. Esmase vastuvõtu keskused aitavad liikmesriikidel paremini tagada põhiõigusalaste tagatiste praktilist kohaldamist, kui tehakse ühiseid jõupingutusi, tagamaks piisavate ressursside ja töötajate olemasolu. Pärast 2015. aasta oktoobris toimunud kohtumist Lääne-Balkani riikide juhtidega on komisjon tähelepanelikult jälginud arenguid Lääne-Balkani rändeteel. Riigijuhtide avalduses võtsid Kreeka ja Lääne-Balkani riigid kohustuse suurendada oma vastuvõtusuutlikkust, mis võimaldab paremini ja prognoositavamalt hallata rändevoogusid. Komisjon on sel eesmärgil andnud nii häda- kui humanitaarabi.</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lang w:val="et-EE"/>
        </w:rPr>
        <w:t xml:space="preserve">Põhiõiguste tagamise valdkonnas on oluline ka 2015. aasta detsembris esitatud ettepanek võtta vastu </w:t>
      </w:r>
      <w:r>
        <w:rPr>
          <w:rFonts w:ascii="Times New Roman" w:hAnsi="Times New Roman" w:cs="Times New Roman"/>
          <w:b/>
          <w:noProof/>
          <w:lang w:val="et-EE"/>
        </w:rPr>
        <w:t>määrus, millega luuakse Euroopa Piiri- ja Rannikuvalve Amet</w:t>
      </w:r>
      <w:r>
        <w:rPr>
          <w:rStyle w:val="FootnoteReference"/>
          <w:rFonts w:ascii="Times New Roman" w:hAnsi="Times New Roman" w:cs="Times New Roman"/>
          <w:noProof/>
          <w:lang w:val="et-EE"/>
        </w:rPr>
        <w:footnoteReference w:id="19"/>
      </w:r>
      <w:r>
        <w:rPr>
          <w:rFonts w:ascii="Times New Roman" w:hAnsi="Times New Roman" w:cs="Times New Roman"/>
          <w:noProof/>
          <w:lang w:val="et-EE"/>
        </w:rPr>
        <w:t xml:space="preserve"> (edaspidi „amet“).</w:t>
      </w:r>
      <w:r>
        <w:rPr>
          <w:rFonts w:ascii="Times New Roman" w:hAnsi="Times New Roman" w:cs="Times New Roman"/>
          <w:noProof/>
          <w:u w:color="000000"/>
          <w:bdr w:val="nil"/>
          <w:lang w:val="et-EE"/>
        </w:rPr>
        <w:t xml:space="preserve"> Määruse kohaselt võetakse vastu käitumisjuhend, mida kohaldatakse kõikide ameti poolt koordineeritavate piirikontrollioperatsioonide suhtes, ning käitumisjuhend tagasisaatmiste jaoks. Põhiõiguste ametnik jälgib, et amet järgiks põhiõigusi ning kaebuste mehhanismiga käsitletakse kõiki põhiõiguste rikkumisi operatiivtegevuste käigus. Ühisoperatsioonid või piirivalve kiirreageerimisoperatsioonid võidakse peatada või lõpetada, kui põhiõigusi või rahvusvahelise kaitsega seotud kohustusi on rikutud. Amet koostab põhiõiguste strateegia, milles keskendutakse eriliselt lastele, inimkaubanduse ohvritele, arstiabi või rahvusvahelist kaitset vajavatele isikutele, merehädas isikutele ja teistele haavatavas olukorras isikutele. Harta järgimist toetataks ka ameti piirivalvurite väljaõppe ühise põhiõppekava abil.</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u w:color="000000"/>
          <w:bdr w:val="nil"/>
          <w:lang w:val="et-EE"/>
        </w:rPr>
      </w:pPr>
      <w:r>
        <w:rPr>
          <w:rFonts w:ascii="Times New Roman" w:hAnsi="Times New Roman" w:cs="Times New Roman"/>
          <w:b/>
          <w:noProof/>
          <w:u w:color="000000"/>
          <w:bdr w:val="nil"/>
          <w:lang w:val="et-EE"/>
        </w:rPr>
        <w:t>Euroopa julgeoleku tegevuskaval</w:t>
      </w:r>
      <w:r>
        <w:rPr>
          <w:rFonts w:ascii="Times New Roman" w:hAnsi="Times New Roman" w:cs="Times New Roman"/>
          <w:noProof/>
          <w:u w:color="000000"/>
          <w:bdr w:val="nil"/>
          <w:lang w:val="et-EE"/>
        </w:rPr>
        <w:t xml:space="preserve"> on viis juhtpõhimõtet, millest üks on põhiõiguste täielik järgimine</w:t>
      </w:r>
      <w:r>
        <w:rPr>
          <w:rStyle w:val="FootnoteReference"/>
          <w:rFonts w:ascii="Times New Roman" w:hAnsi="Times New Roman" w:cs="Times New Roman"/>
          <w:noProof/>
          <w:lang w:val="et-EE"/>
        </w:rPr>
        <w:footnoteReference w:id="20"/>
      </w:r>
      <w:r>
        <w:rPr>
          <w:rFonts w:ascii="Times New Roman" w:hAnsi="Times New Roman" w:cs="Times New Roman"/>
          <w:noProof/>
          <w:u w:color="000000"/>
          <w:bdr w:val="nil"/>
          <w:lang w:val="et-EE"/>
        </w:rPr>
        <w:t xml:space="preserve">. </w:t>
      </w:r>
      <w:r>
        <w:rPr>
          <w:rFonts w:ascii="Times New Roman" w:hAnsi="Times New Roman" w:cs="Times New Roman"/>
          <w:noProof/>
          <w:lang w:val="et-EE"/>
        </w:rPr>
        <w:t>Tegevuskavas rõhutatakse, et julgeolek ja põhiõiguste austamine ei ole vastuolulised, vaid sidusad ja üksteist täiendavad poliitilised eesmärgid.</w:t>
      </w:r>
      <w:r>
        <w:rPr>
          <w:rFonts w:ascii="Times New Roman" w:hAnsi="Times New Roman" w:cs="Times New Roman"/>
          <w:noProof/>
          <w:u w:color="000000"/>
          <w:bdr w:val="nil"/>
          <w:lang w:val="et-EE"/>
        </w:rPr>
        <w:t xml:space="preserve"> Julgeoleku tagamine on põhiõiguste kaitsmise ja vaba kasutamise oluline eeldus. Samal ajal peavad kõik julgeolekumeetmed järgima põhiõigusi ja õigusriigi põhimõtteid ning olema kooskõlas vajalikkuse, proportsionaalsuse ja seaduslikkuse põhimõtetega, koos asjakohaste kaitsemeetmetega vastutuse ja õiguskaitse tagamiseks. Pärast 2015. aasta novembris Pariisis toimepandud rünnakuid komisjoni poolt esitatud terrorismivastase võitluse ettepanekud kajastavad sellist lähenemisviisi. </w:t>
      </w:r>
      <w:r>
        <w:rPr>
          <w:rFonts w:ascii="Times New Roman" w:hAnsi="Times New Roman" w:cs="Times New Roman"/>
          <w:noProof/>
          <w:lang w:val="et-EE"/>
        </w:rPr>
        <w:t>Kavandatavas</w:t>
      </w:r>
      <w:r>
        <w:rPr>
          <w:rFonts w:ascii="Times New Roman" w:hAnsi="Times New Roman" w:cs="Times New Roman"/>
          <w:b/>
          <w:noProof/>
          <w:lang w:val="et-EE"/>
        </w:rPr>
        <w:t xml:space="preserve"> terrorismi direktiivis</w:t>
      </w:r>
      <w:r>
        <w:rPr>
          <w:rStyle w:val="FootnoteReference"/>
          <w:rFonts w:ascii="Times New Roman" w:hAnsi="Times New Roman" w:cs="Times New Roman"/>
          <w:noProof/>
          <w:lang w:val="et-EE"/>
        </w:rPr>
        <w:footnoteReference w:id="21"/>
      </w:r>
      <w:r>
        <w:rPr>
          <w:rFonts w:ascii="Times New Roman" w:hAnsi="Times New Roman" w:cs="Times New Roman"/>
          <w:noProof/>
          <w:lang w:val="et-EE"/>
        </w:rPr>
        <w:t xml:space="preserve"> toonitatakse, et kriminaalõiguse sätete siseriiklikusse õigusse ülevõtmisel tuleb austada põhiõigusi.</w:t>
      </w:r>
      <w:r>
        <w:rPr>
          <w:rFonts w:ascii="Times New Roman" w:hAnsi="Times New Roman" w:cs="Times New Roman"/>
          <w:noProof/>
          <w:u w:color="000000"/>
          <w:bdr w:val="nil"/>
          <w:lang w:val="et-EE"/>
        </w:rPr>
        <w:t xml:space="preserve"> Direktiiviga kaitstakse ohvrite ja võimalike ohvrite põhiõigusi. Direktiiviga kriminaliseeritakse ettevalmistav tegevus, nagu näiteks terroristlikel eesmärkidel toimepandud väljaõpe ja välisriiki reisimine, terroriaktidele kaasaaitamine ja kihutamine ning nende toimepanemise katsed ning terrorismi rahastamine. Samuti püütakse direktiiviga tagada, et kahtlustatavate ja süüdistatavate põhiõiguste piiramine ei lähe hädavajalikust kaugemale, misläbi järgitakse kuritegude ja karistuste seaduslikkuse ja proportsionaalsuse põhimõtet (harta artikkel 49).</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Põhiõiguste tähtsus julgeolekumeetmetes leiab kajastamist terrorismivastase võitluse poliitika raames võetavate ennetavate meetmete rolli olulisuses. ELi reageering ekstremismile ei tohi põhjustada mis tahes rühmade või kogukondade häbimärgistamist, vaid peab põhinema ühistel Euroopa väärtustel, milleks on sallivus, mitmekesisus ja vastastikune austus. Euroopa julgeoleku tegevuskava püüab</w:t>
      </w:r>
      <w:r>
        <w:rPr>
          <w:rFonts w:ascii="Times New Roman" w:hAnsi="Times New Roman" w:cs="Times New Roman"/>
          <w:b/>
          <w:noProof/>
          <w:u w:color="000000"/>
          <w:bdr w:val="nil"/>
          <w:lang w:val="et-EE"/>
        </w:rPr>
        <w:t xml:space="preserve"> käsitleda ekstremismi algpõhjuseid</w:t>
      </w:r>
      <w:r>
        <w:rPr>
          <w:rFonts w:ascii="Times New Roman" w:hAnsi="Times New Roman" w:cs="Times New Roman"/>
          <w:noProof/>
          <w:u w:color="000000"/>
          <w:bdr w:val="nil"/>
          <w:lang w:val="et-EE"/>
        </w:rPr>
        <w:t xml:space="preserve"> hariduse, noorte kaasatuse, religioonide- ja kultuuridevahelise dialoogi ning tööhõive ja sotsiaalse kaasatuse kaudu. Tegevuskavas rõhutatakse diskrimineerimise, rassismi ja ksenofoobia vastase võitluse tähtsust ning tuuakse esile ELi põhimeetmed antud valdkonnas.</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Seda kajastati ka ELi haridusministrite 17. märtsi 2015. aasta mitteametlikul kohtumisel Pariisis vastu võetud Pariisi deklaratsioonis kodanikuaktiivsuse ning vabaduse, sallivuse ja mittediskrimineerimise ühiste väärtuste edendamise kohta hariduse kaudu (Pariisi deklaratsioon),</w:t>
      </w:r>
      <w:r>
        <w:rPr>
          <w:rFonts w:ascii="Times New Roman" w:eastAsia="Calibri" w:hAnsi="Times New Roman" w:cs="Times New Roman"/>
          <w:noProof/>
          <w:u w:color="000000"/>
          <w:bdr w:val="nil"/>
          <w:vertAlign w:val="superscript"/>
          <w:lang w:val="et-EE"/>
        </w:rPr>
        <w:footnoteReference w:id="22"/>
      </w:r>
      <w:r>
        <w:rPr>
          <w:rFonts w:ascii="Times New Roman" w:hAnsi="Times New Roman" w:cs="Times New Roman"/>
          <w:noProof/>
          <w:u w:color="000000"/>
          <w:bdr w:val="nil"/>
          <w:lang w:val="et-EE"/>
        </w:rPr>
        <w:t xml:space="preserve"> milles esitatakse mitmeid soovitusi seoses hariduse olulise rolliga selliste põhiväärtuse edendamisel nagu kodanikuaktiivsus, vastastikune austus, mitmekesisus, võrdsus ja sotsiaalne kaasatus ning vägivaldse äärmusluse ennetamine. Pariisi deklaratsiooni järelmeetmena kiitsid komisjon ja liikmesriigid heaks uued prioriteetsed valdkonnad ELi tasandil 2020. aastani koostöö tegemiseks</w:t>
      </w:r>
      <w:r>
        <w:rPr>
          <w:rFonts w:ascii="Times New Roman" w:eastAsia="Calibri" w:hAnsi="Times New Roman" w:cs="Times New Roman"/>
          <w:noProof/>
          <w:u w:color="000000"/>
          <w:bdr w:val="nil"/>
          <w:vertAlign w:val="superscript"/>
          <w:lang w:val="et-EE"/>
        </w:rPr>
        <w:footnoteReference w:id="23"/>
      </w:r>
      <w:r>
        <w:rPr>
          <w:rFonts w:ascii="Times New Roman" w:hAnsi="Times New Roman" w:cs="Times New Roman"/>
          <w:noProof/>
          <w:u w:color="000000"/>
          <w:bdr w:val="nil"/>
          <w:lang w:val="et-EE"/>
        </w:rPr>
        <w:t>.</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Lõpetuseks, komisjon korraldas 19. oktoobril 2015 radikaliseerumisele kriminaalõiguslike vahenditega reageerimist käsitleva kõrgetasemelise ministrite konverentsi, mille käigus vahetati kogemusi seoses vanglates toimuva radikaliseerumise tõkestamise ning välisvõitlejate ja tagasisaadetavate isikute jaoks mõeldud rehabilitatsiooniprogrammidega. Liikmesriikide ühist pühendumust kõnealuses valdkonnas tegutsemiseks kinnitati nõukogu 20. novembri 2015. aasta järeldustes terrorismi ja vägivaldse äärmusluseni viivale radikaliseerumisele kriminaalõiguslike vahenditega reageerimise tugevdamise kohta</w:t>
      </w:r>
      <w:r>
        <w:rPr>
          <w:rStyle w:val="FootnoteReference"/>
          <w:rFonts w:ascii="Times New Roman" w:eastAsia="Calibri" w:hAnsi="Times New Roman" w:cs="Times New Roman"/>
          <w:noProof/>
          <w:u w:color="000000"/>
          <w:bdr w:val="nil"/>
          <w:lang w:val="et-EE"/>
        </w:rPr>
        <w:footnoteReference w:id="24"/>
      </w:r>
      <w:r>
        <w:rPr>
          <w:rFonts w:ascii="Times New Roman" w:hAnsi="Times New Roman" w:cs="Times New Roman"/>
          <w:noProof/>
          <w:u w:color="000000"/>
          <w:bdr w:val="nil"/>
          <w:lang w:val="et-EE"/>
        </w:rPr>
        <w:t>.</w:t>
      </w:r>
    </w:p>
    <w:p>
      <w:pPr>
        <w:keepNext/>
        <w:pBdr>
          <w:top w:val="nil"/>
          <w:left w:val="nil"/>
          <w:bottom w:val="nil"/>
          <w:right w:val="nil"/>
          <w:between w:val="nil"/>
          <w:bar w:val="nil"/>
        </w:pBdr>
        <w:spacing w:before="240" w:after="60"/>
        <w:jc w:val="both"/>
        <w:outlineLvl w:val="1"/>
        <w:rPr>
          <w:rFonts w:ascii="Times New Roman" w:eastAsia="Cambria" w:hAnsi="Times New Roman" w:cs="Times New Roman"/>
          <w:b/>
          <w:bCs/>
          <w:i/>
          <w:iCs/>
          <w:noProof/>
          <w:sz w:val="28"/>
          <w:szCs w:val="28"/>
          <w:u w:color="000000"/>
          <w:bdr w:val="nil"/>
          <w:lang w:val="et-EE"/>
        </w:rPr>
      </w:pPr>
      <w:r>
        <w:rPr>
          <w:rFonts w:ascii="Times New Roman" w:hAnsi="Times New Roman" w:cs="Times New Roman"/>
          <w:b/>
          <w:bCs/>
          <w:i/>
          <w:iCs/>
          <w:noProof/>
          <w:sz w:val="28"/>
          <w:szCs w:val="28"/>
          <w:u w:color="000000"/>
          <w:bdr w:val="nil"/>
          <w:lang w:val="et-EE"/>
        </w:rPr>
        <w:t>2.3. Harta integreerimine rahvusvahelistesse lepingutesse ning sidususe tagamine inimõiguste valdkonnas</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ELi välistegevus tugineb Euroopa Liidu lepingu artiklile 21.</w:t>
      </w:r>
    </w:p>
    <w:p>
      <w:pPr>
        <w:pBdr>
          <w:top w:val="nil"/>
          <w:left w:val="nil"/>
          <w:bottom w:val="nil"/>
          <w:right w:val="nil"/>
          <w:between w:val="nil"/>
          <w:bar w:val="nil"/>
        </w:pBdr>
        <w:spacing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lang w:val="et-EE"/>
        </w:rPr>
        <w:t>Vastusena 2015. aasta aprillis esitatud ühisteatisele „Inimõigused ELi tegevuskava keskmes“,</w:t>
      </w:r>
      <w:r>
        <w:rPr>
          <w:rStyle w:val="FootnoteReference"/>
          <w:rFonts w:ascii="Times New Roman" w:hAnsi="Times New Roman" w:cs="Times New Roman"/>
          <w:noProof/>
          <w:lang w:val="et-EE"/>
        </w:rPr>
        <w:footnoteReference w:id="25"/>
      </w:r>
      <w:r>
        <w:rPr>
          <w:rFonts w:ascii="Times New Roman" w:hAnsi="Times New Roman" w:cs="Times New Roman"/>
          <w:noProof/>
          <w:lang w:val="et-EE"/>
        </w:rPr>
        <w:t xml:space="preserve"> võttis nõukogu juulis vastu </w:t>
      </w:r>
      <w:r>
        <w:rPr>
          <w:rFonts w:ascii="Times New Roman" w:hAnsi="Times New Roman" w:cs="Times New Roman"/>
          <w:b/>
          <w:noProof/>
          <w:lang w:val="et-EE"/>
        </w:rPr>
        <w:t>ELi inimõiguste ja demokraatia tegevuskava (2015–2019)</w:t>
      </w:r>
      <w:r>
        <w:rPr>
          <w:rFonts w:ascii="Times New Roman" w:hAnsi="Times New Roman" w:cs="Times New Roman"/>
          <w:noProof/>
          <w:lang w:val="et-EE"/>
        </w:rPr>
        <w:t>.</w:t>
      </w:r>
      <w:r>
        <w:rPr>
          <w:rFonts w:ascii="Times New Roman" w:hAnsi="Times New Roman" w:cs="Times New Roman"/>
          <w:b/>
          <w:noProof/>
          <w:u w:color="000000"/>
          <w:bdr w:val="nil"/>
          <w:lang w:val="et-EE"/>
        </w:rPr>
        <w:t xml:space="preserve"> </w:t>
      </w:r>
      <w:r>
        <w:rPr>
          <w:rFonts w:ascii="Times New Roman" w:hAnsi="Times New Roman" w:cs="Times New Roman"/>
          <w:noProof/>
          <w:u w:color="000000"/>
          <w:bdr w:val="nil"/>
          <w:lang w:val="et-EE"/>
        </w:rPr>
        <w:t>Selles on loetletud enam kui 100 meedet inimõiguste ja demokraatia valdkonnas, mis on jaotatud 34 punkti vahel</w:t>
      </w:r>
      <w:r>
        <w:rPr>
          <w:rStyle w:val="FootnoteReference"/>
          <w:rFonts w:ascii="Times New Roman" w:hAnsi="Times New Roman" w:cs="Times New Roman"/>
          <w:noProof/>
          <w:lang w:val="et-EE"/>
        </w:rPr>
        <w:footnoteReference w:id="26"/>
      </w:r>
      <w:r>
        <w:rPr>
          <w:rFonts w:ascii="Times New Roman" w:hAnsi="Times New Roman" w:cs="Times New Roman"/>
          <w:noProof/>
          <w:u w:color="000000"/>
          <w:bdr w:val="nil"/>
          <w:lang w:val="et-EE"/>
        </w:rPr>
        <w:t xml:space="preserve">. </w:t>
      </w:r>
      <w:r>
        <w:rPr>
          <w:rFonts w:ascii="Times New Roman" w:hAnsi="Times New Roman" w:cs="Times New Roman"/>
          <w:noProof/>
          <w:lang w:val="et-EE"/>
        </w:rPr>
        <w:t>Artikli 21 jõustamiseks rakendatakse tegevuskavaga inimõiguste ja demokraatia strateegilises raamistikus</w:t>
      </w:r>
      <w:r>
        <w:rPr>
          <w:rStyle w:val="FootnoteReference"/>
          <w:rFonts w:ascii="Times New Roman" w:hAnsi="Times New Roman" w:cs="Times New Roman"/>
          <w:noProof/>
          <w:lang w:val="et-EE"/>
        </w:rPr>
        <w:footnoteReference w:id="27"/>
      </w:r>
      <w:r>
        <w:rPr>
          <w:rFonts w:ascii="Times New Roman" w:hAnsi="Times New Roman" w:cs="Times New Roman"/>
          <w:noProof/>
          <w:lang w:val="et-EE"/>
        </w:rPr>
        <w:t xml:space="preserve"> esitatud kohustusi ning antakse tõuge kõigi ELi asutuste ja sidusrühmade kaasamiseks ning inimõigustega seotud kaalutluste integreerimiseks kõigisse ELi välispoliitika valdkondadesse.</w:t>
      </w:r>
      <w:r>
        <w:rPr>
          <w:rFonts w:ascii="Times New Roman" w:hAnsi="Times New Roman" w:cs="Times New Roman"/>
          <w:noProof/>
          <w:u w:color="000000"/>
          <w:bdr w:val="nil"/>
          <w:lang w:val="et-EE"/>
        </w:rPr>
        <w:t xml:space="preserve"> Kavandatud meetmed hõlmavad inimõigusalaste mureküsimuste käsitlemist selliste poliitikate mõjuhindamises, mis võivad omada märkimisväärset mõju ELi mittekuuluvates riikides. Tegevuskavaga kehtestatakse meetmed, mis on seotud komisjoni tööga põhiõiguste ELi sisese järgimise valdkonnas, eelkõige seoses eraelu puutumatusega massilise jälgimistegevuse tingimustes, õigusreformi, laste õiguste, soolise võrdõiguslikkuse, rassismi ja ksenofoobia vastase võitluse, rände ja terrorismivastase võitluse valdkonnas.</w:t>
      </w:r>
    </w:p>
    <w:p>
      <w:pPr>
        <w:pBdr>
          <w:top w:val="nil"/>
          <w:left w:val="nil"/>
          <w:bottom w:val="nil"/>
          <w:right w:val="nil"/>
          <w:between w:val="nil"/>
          <w:bar w:val="nil"/>
        </w:pBdr>
        <w:spacing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 xml:space="preserve">Komisjoni poolt 2015. aasta oktoobris vastu võetud </w:t>
      </w:r>
      <w:r>
        <w:rPr>
          <w:rFonts w:ascii="Times New Roman" w:hAnsi="Times New Roman" w:cs="Times New Roman"/>
          <w:b/>
          <w:noProof/>
          <w:u w:color="000000"/>
          <w:bdr w:val="nil"/>
          <w:lang w:val="et-EE"/>
        </w:rPr>
        <w:t>strateegias</w:t>
      </w:r>
      <w:r>
        <w:rPr>
          <w:rFonts w:ascii="Times New Roman" w:hAnsi="Times New Roman" w:cs="Times New Roman"/>
          <w:noProof/>
          <w:u w:color="000000"/>
          <w:bdr w:val="nil"/>
          <w:lang w:val="et-EE"/>
        </w:rPr>
        <w:t xml:space="preserve"> </w:t>
      </w:r>
      <w:r>
        <w:rPr>
          <w:rFonts w:ascii="Times New Roman" w:hAnsi="Times New Roman" w:cs="Times New Roman"/>
          <w:b/>
          <w:noProof/>
          <w:u w:color="000000"/>
          <w:bdr w:val="nil"/>
          <w:lang w:val="et-EE"/>
        </w:rPr>
        <w:t xml:space="preserve">„Kaubandus kõigile“ </w:t>
      </w:r>
      <w:r>
        <w:rPr>
          <w:rFonts w:ascii="Times New Roman" w:hAnsi="Times New Roman" w:cs="Times New Roman"/>
          <w:noProof/>
          <w:u w:color="000000"/>
          <w:bdr w:val="nil"/>
          <w:lang w:val="et-EE"/>
        </w:rPr>
        <w:t>kehtestatakse meetmed, millega tagatakse, et põhiõigusi järgitakse nii ELi liikmesriikides kui ELi mittekuuluvates riikides</w:t>
      </w:r>
      <w:r>
        <w:rPr>
          <w:rStyle w:val="FootnoteReference"/>
          <w:rFonts w:ascii="Times New Roman" w:hAnsi="Times New Roman" w:cs="Times New Roman"/>
          <w:noProof/>
          <w:lang w:val="et-EE"/>
        </w:rPr>
        <w:footnoteReference w:id="28"/>
      </w:r>
      <w:r>
        <w:rPr>
          <w:rFonts w:ascii="Times New Roman" w:hAnsi="Times New Roman" w:cs="Times New Roman"/>
          <w:noProof/>
          <w:u w:color="000000"/>
          <w:bdr w:val="nil"/>
          <w:lang w:val="et-EE"/>
        </w:rPr>
        <w:t xml:space="preserve">. </w:t>
      </w:r>
      <w:r>
        <w:rPr>
          <w:rFonts w:ascii="Times New Roman" w:hAnsi="Times New Roman" w:cs="Times New Roman"/>
          <w:noProof/>
          <w:lang w:val="et-EE"/>
        </w:rPr>
        <w:t>Strateegia hõlmab reguleerimisõigust ning selle hindamist, millist mõju omavad kaubanduspoliitika ja kaubanduslepingud põhi- ja inimõigustele.</w:t>
      </w:r>
      <w:r>
        <w:rPr>
          <w:rFonts w:ascii="Times New Roman" w:hAnsi="Times New Roman" w:cs="Times New Roman"/>
          <w:noProof/>
          <w:u w:color="000000"/>
          <w:bdr w:val="nil"/>
          <w:lang w:val="et-EE"/>
        </w:rPr>
        <w:t xml:space="preserve"> Strateegiaga seotakse omavahel kaubanduspoliitika ja inimõiguste edendamine ELi mittekuuluvates riikides, eelkõige seoses lapstööjõu kasutamise, vangide sunniviisilise töö ning inimkaubandusest ja maa hõivamisest tuleneva sunniviisilise tööga. Inimõigusalaseid elemente lisatakse üha enam ELi kahepoolsetesse vabakaubanduslepingutesse ja ELi ekspordikontrolli poliitikasse.</w:t>
      </w:r>
    </w:p>
    <w:p>
      <w:pPr>
        <w:pBdr>
          <w:top w:val="nil"/>
          <w:left w:val="nil"/>
          <w:bottom w:val="nil"/>
          <w:right w:val="nil"/>
          <w:between w:val="nil"/>
          <w:bar w:val="nil"/>
        </w:pBdr>
        <w:spacing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 xml:space="preserve">Komisjon viis 2015. aasta septembris lõpule läbirääkimised, mida peeti </w:t>
      </w:r>
      <w:r>
        <w:rPr>
          <w:rFonts w:ascii="Times New Roman" w:hAnsi="Times New Roman" w:cs="Times New Roman"/>
          <w:b/>
          <w:noProof/>
          <w:u w:color="000000"/>
          <w:bdr w:val="nil"/>
          <w:lang w:val="et-EE"/>
        </w:rPr>
        <w:t>ELi ja USA vahelise andmekaitset käsitleva raamlepingu</w:t>
      </w:r>
      <w:r>
        <w:rPr>
          <w:rFonts w:ascii="Times New Roman" w:hAnsi="Times New Roman" w:cs="Times New Roman"/>
          <w:noProof/>
          <w:u w:color="000000"/>
          <w:bdr w:val="nil"/>
          <w:lang w:val="et-EE"/>
        </w:rPr>
        <w:t xml:space="preserve"> sõlmimiseks. Raamlepinguga tagatakse andmekaitsealased kaitsemeetmed, mida kasutatakse ELi ja USA vahelisel isikuandmete edastamisel kriminaalasjades tehtava politseikoostöö või õigusalase koostöö valdkonnas. Raamlepingu kohaselt saavad ELi kodanikud (mitteresidendid USAs) pöörduda õiguskaitse saamiseks USA kohtute poole, kui nende isikuandmed edastatakse USA õiguskaitseasutustele ning need andmed on ebaõiged või nende töötlemine on ebaseaduslik</w:t>
      </w:r>
      <w:r>
        <w:rPr>
          <w:rStyle w:val="FootnoteReference"/>
          <w:rFonts w:ascii="Times New Roman" w:eastAsia="Calibri" w:hAnsi="Times New Roman" w:cs="Times New Roman"/>
          <w:noProof/>
          <w:u w:color="000000"/>
          <w:bdr w:val="nil"/>
          <w:lang w:val="et-EE"/>
        </w:rPr>
        <w:footnoteReference w:id="29"/>
      </w:r>
      <w:r>
        <w:rPr>
          <w:rFonts w:ascii="Times New Roman" w:hAnsi="Times New Roman" w:cs="Times New Roman"/>
          <w:noProof/>
          <w:u w:color="000000"/>
          <w:bdr w:val="nil"/>
          <w:lang w:val="et-EE"/>
        </w:rPr>
        <w:t>. Tegemist on märkimisväärse edasiminekuga USAs õiguskaitse saamise valdkonnas.</w:t>
      </w:r>
    </w:p>
    <w:p>
      <w:pPr>
        <w:pBdr>
          <w:top w:val="nil"/>
          <w:left w:val="nil"/>
          <w:bottom w:val="nil"/>
          <w:right w:val="nil"/>
          <w:between w:val="nil"/>
          <w:bar w:val="nil"/>
        </w:pBdr>
        <w:spacing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EL pidas 2015. aasta augustis esimest korda dialoogi ÜRO puuetega inimeste õiguste komiteega, mille käigus käsitleti ÜRO puuetega inimeste õiguste konventsiooni rakendamist ELi poolt</w:t>
      </w:r>
      <w:r>
        <w:rPr>
          <w:rStyle w:val="FootnoteReference"/>
          <w:rFonts w:ascii="Times New Roman" w:eastAsia="Calibri" w:hAnsi="Times New Roman" w:cs="Times New Roman"/>
          <w:noProof/>
          <w:u w:color="000000"/>
          <w:bdr w:val="nil"/>
          <w:lang w:val="et-EE"/>
        </w:rPr>
        <w:footnoteReference w:id="30"/>
      </w:r>
      <w:r>
        <w:rPr>
          <w:rFonts w:ascii="Times New Roman" w:hAnsi="Times New Roman" w:cs="Times New Roman"/>
          <w:noProof/>
          <w:u w:color="000000"/>
          <w:bdr w:val="nil"/>
          <w:lang w:val="et-EE"/>
        </w:rPr>
        <w:t>. ELi esindas komisjon, mis on konventsiooni kohaselt ELi esindav kontaktpunkt. Kõnealuse konventsiooniga seotud komitee võttis 2015. aasta oktoobris vastu lõppjäreldused ning komisjon teatas oma pühendumusest need ellu viia.</w:t>
      </w:r>
    </w:p>
    <w:p>
      <w:pPr>
        <w:pBdr>
          <w:top w:val="nil"/>
          <w:left w:val="nil"/>
          <w:bottom w:val="nil"/>
          <w:right w:val="nil"/>
          <w:between w:val="nil"/>
          <w:bar w:val="nil"/>
        </w:pBdr>
        <w:spacing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 xml:space="preserve">Komisjon võttis 2015. aasta juulis parema õigusloome tegevuskava osana vastu </w:t>
      </w:r>
      <w:r>
        <w:rPr>
          <w:rFonts w:ascii="Times New Roman" w:hAnsi="Times New Roman" w:cs="Times New Roman"/>
          <w:b/>
          <w:noProof/>
          <w:u w:color="000000"/>
          <w:bdr w:val="nil"/>
          <w:lang w:val="et-EE"/>
        </w:rPr>
        <w:t>suunised kaubandusega seotud mõjuhinnangutes inimõigusalaste mõjude analüüsimiseks</w:t>
      </w:r>
      <w:r>
        <w:rPr>
          <w:rStyle w:val="FootnoteReference"/>
          <w:rFonts w:ascii="Times New Roman" w:hAnsi="Times New Roman" w:cs="Times New Roman"/>
          <w:noProof/>
          <w:lang w:val="et-EE"/>
        </w:rPr>
        <w:footnoteReference w:id="31"/>
      </w:r>
      <w:r>
        <w:rPr>
          <w:rFonts w:ascii="Times New Roman" w:hAnsi="Times New Roman" w:cs="Times New Roman"/>
          <w:noProof/>
          <w:u w:color="000000"/>
          <w:bdr w:val="nil"/>
          <w:lang w:val="et-EE"/>
        </w:rPr>
        <w:t xml:space="preserve">. </w:t>
      </w:r>
      <w:r>
        <w:rPr>
          <w:rFonts w:ascii="Times New Roman" w:hAnsi="Times New Roman" w:cs="Times New Roman"/>
          <w:noProof/>
          <w:lang w:val="et-EE"/>
        </w:rPr>
        <w:t>Suunistega lihtsustatakse kaubanduspoliitika algatuste inimõigusalaste mõjude analüüsimist nii ELi liikmesriikides kui ELi mittekuuluvates riikides. Parema õigusloome tegevuskavaga nähakse samuti ette inimõigusalaste mõjuhinnangute läbiviimine ettepanekute puhul, millel on välismõõde.</w:t>
      </w:r>
    </w:p>
    <w:p>
      <w:pPr>
        <w:keepNext/>
        <w:pBdr>
          <w:top w:val="nil"/>
          <w:left w:val="nil"/>
          <w:bottom w:val="nil"/>
          <w:right w:val="nil"/>
          <w:between w:val="nil"/>
          <w:bar w:val="nil"/>
        </w:pBdr>
        <w:spacing w:before="240" w:after="60"/>
        <w:jc w:val="both"/>
        <w:outlineLvl w:val="1"/>
        <w:rPr>
          <w:rFonts w:ascii="Times New Roman" w:eastAsia="Cambria" w:hAnsi="Times New Roman" w:cs="Times New Roman"/>
          <w:b/>
          <w:bCs/>
          <w:i/>
          <w:iCs/>
          <w:noProof/>
          <w:sz w:val="28"/>
          <w:szCs w:val="28"/>
          <w:u w:color="000000"/>
          <w:bdr w:val="nil"/>
          <w:lang w:val="et-EE"/>
        </w:rPr>
      </w:pPr>
      <w:r>
        <w:rPr>
          <w:rFonts w:ascii="Times New Roman" w:hAnsi="Times New Roman" w:cs="Times New Roman"/>
          <w:b/>
          <w:bCs/>
          <w:i/>
          <w:iCs/>
          <w:noProof/>
          <w:sz w:val="28"/>
          <w:szCs w:val="28"/>
          <w:u w:color="000000"/>
          <w:bdr w:val="nil"/>
          <w:lang w:val="et-EE"/>
        </w:rPr>
        <w:t>2.4. Euroopa Kohtu poolt ELi institutsioonide üle teostatav kontroll</w:t>
      </w:r>
    </w:p>
    <w:p>
      <w:pPr>
        <w:pBdr>
          <w:top w:val="nil"/>
          <w:left w:val="nil"/>
          <w:bottom w:val="nil"/>
          <w:right w:val="nil"/>
          <w:between w:val="nil"/>
          <w:bar w:val="nil"/>
        </w:pBdr>
        <w:spacing w:line="360" w:lineRule="auto"/>
        <w:jc w:val="both"/>
        <w:rPr>
          <w:rFonts w:ascii="Times New Roman" w:eastAsia="Calibri" w:hAnsi="Times New Roman" w:cs="Times New Roman"/>
          <w:noProof/>
          <w:u w:color="000000"/>
          <w:bdr w:val="nil"/>
          <w:lang w:val="et-EE"/>
        </w:rPr>
      </w:pPr>
      <w:r>
        <w:rPr>
          <w:rFonts w:ascii="Times New Roman" w:hAnsi="Times New Roman" w:cs="Times New Roman"/>
          <w:b/>
          <w:noProof/>
          <w:lang w:val="et-EE"/>
        </w:rPr>
        <w:t>Euroopa Liidu Kohus tunnistas</w:t>
      </w:r>
      <w:r>
        <w:rPr>
          <w:rFonts w:ascii="Times New Roman" w:hAnsi="Times New Roman" w:cs="Times New Roman"/>
          <w:noProof/>
          <w:lang w:val="et-EE"/>
        </w:rPr>
        <w:t xml:space="preserve"> kohtuasjas </w:t>
      </w:r>
      <w:r>
        <w:rPr>
          <w:rFonts w:ascii="Times New Roman" w:hAnsi="Times New Roman" w:cs="Times New Roman"/>
          <w:i/>
          <w:noProof/>
          <w:lang w:val="et-EE"/>
        </w:rPr>
        <w:t>Schrems</w:t>
      </w:r>
      <w:r>
        <w:rPr>
          <w:rStyle w:val="FootnoteReference"/>
          <w:rFonts w:ascii="Times New Roman" w:hAnsi="Times New Roman" w:cs="Times New Roman"/>
          <w:noProof/>
          <w:lang w:val="et-EE"/>
        </w:rPr>
        <w:footnoteReference w:id="32"/>
      </w:r>
      <w:r>
        <w:rPr>
          <w:rFonts w:ascii="Times New Roman" w:hAnsi="Times New Roman" w:cs="Times New Roman"/>
          <w:i/>
          <w:noProof/>
          <w:lang w:val="et-EE"/>
        </w:rPr>
        <w:t xml:space="preserve"> </w:t>
      </w:r>
      <w:r>
        <w:rPr>
          <w:rFonts w:ascii="Times New Roman" w:hAnsi="Times New Roman" w:cs="Times New Roman"/>
          <w:b/>
          <w:noProof/>
          <w:lang w:val="et-EE"/>
        </w:rPr>
        <w:t>kehtetuks komisjoni poolt 2000. aastal vastu võetud programmi Safe Harbor käsitleva otsuse</w:t>
      </w:r>
      <w:r>
        <w:rPr>
          <w:rStyle w:val="FootnoteReference"/>
          <w:rFonts w:ascii="Times New Roman" w:hAnsi="Times New Roman" w:cs="Times New Roman"/>
          <w:noProof/>
          <w:lang w:val="et-EE"/>
        </w:rPr>
        <w:footnoteReference w:id="33"/>
      </w:r>
      <w:r>
        <w:rPr>
          <w:rFonts w:ascii="Times New Roman" w:hAnsi="Times New Roman" w:cs="Times New Roman"/>
          <w:noProof/>
          <w:lang w:val="et-EE"/>
        </w:rPr>
        <w:t>.</w:t>
      </w:r>
      <w:r>
        <w:rPr>
          <w:rFonts w:ascii="Times New Roman" w:hAnsi="Times New Roman" w:cs="Times New Roman"/>
          <w:noProof/>
          <w:u w:color="000000"/>
          <w:bdr w:val="nil"/>
          <w:lang w:val="et-EE"/>
        </w:rPr>
        <w:t xml:space="preserve"> Kõnealune otsus oli otsus andmekaitse taseme piisavuse kohta, vastavalt andmekaitse direktiivi artikli 25 lõikele 6</w:t>
      </w:r>
      <w:r>
        <w:rPr>
          <w:rStyle w:val="FootnoteReference"/>
          <w:rFonts w:ascii="Times New Roman" w:hAnsi="Times New Roman" w:cs="Times New Roman"/>
          <w:noProof/>
          <w:lang w:val="et-EE"/>
        </w:rPr>
        <w:footnoteReference w:id="34"/>
      </w:r>
      <w:r>
        <w:rPr>
          <w:rFonts w:ascii="Times New Roman" w:hAnsi="Times New Roman" w:cs="Times New Roman"/>
          <w:noProof/>
          <w:u w:color="000000"/>
          <w:bdr w:val="nil"/>
          <w:lang w:val="et-EE"/>
        </w:rPr>
        <w:t xml:space="preserve">. </w:t>
      </w:r>
      <w:r>
        <w:rPr>
          <w:rFonts w:ascii="Times New Roman" w:hAnsi="Times New Roman" w:cs="Times New Roman"/>
          <w:noProof/>
          <w:lang w:val="et-EE"/>
        </w:rPr>
        <w:t>Otsusega lubati edastada isikuandmeid ELi mittekuuluvasse riiki, antud juhul USAsse.</w:t>
      </w:r>
      <w:r>
        <w:rPr>
          <w:rFonts w:ascii="Times New Roman" w:hAnsi="Times New Roman" w:cs="Times New Roman"/>
          <w:noProof/>
          <w:u w:color="000000"/>
          <w:bdr w:val="nil"/>
          <w:lang w:val="et-EE"/>
        </w:rPr>
        <w:t xml:space="preserve"> Otsuses leiti, et andmete kaitse on piisaval tasemel, tulenevalt siseriiklikust õigusest või USA rahvusvahelistest kohustustest. Kõnealuse otsusega lubati Facebooki Iirimaa filiaalil edastada isikuandmeid USAs asuvatesse serveritesse, kuid see vaidlustati Iirimaa kohtus, mille põhjuseks olid eelkõige 2013. aastal ilmnenud tõendid USA luureasutuste poolt teostatava massilise jälgimistegevuse kohta.</w:t>
      </w:r>
    </w:p>
    <w:p>
      <w:pPr>
        <w:pBdr>
          <w:top w:val="nil"/>
          <w:left w:val="nil"/>
          <w:bottom w:val="nil"/>
          <w:right w:val="nil"/>
          <w:between w:val="nil"/>
          <w:bar w:val="nil"/>
        </w:pBdr>
        <w:spacing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Kohus otsustas, et andmete kaitse piisavuse otsus eeldab, et komisjon leiab, et isikuandmete kaitse tase asjaomases ELi mittekuuluvas riigis ei pruugi küll olla identne, kuid on „sisuliselt samaväärne“ sellega, mis on ELis tagatud vastavalt direktiivile koostoimes põhiõiguste hartaga. Kohus otsustas, et 2000.</w:t>
      </w:r>
      <w:r>
        <w:rPr>
          <w:rFonts w:ascii="Times New Roman" w:hAnsi="Times New Roman" w:cs="Times New Roman"/>
          <w:noProof/>
          <w:lang w:val="et-EE"/>
        </w:rPr>
        <w:t> </w:t>
      </w:r>
      <w:r>
        <w:rPr>
          <w:rFonts w:ascii="Times New Roman" w:hAnsi="Times New Roman" w:cs="Times New Roman"/>
          <w:noProof/>
          <w:u w:color="000000"/>
          <w:bdr w:val="nil"/>
          <w:lang w:val="et-EE"/>
        </w:rPr>
        <w:t xml:space="preserve">aastal vastu võetud programmi Safe Harbor käsitlev otsus ei sisaldanud piisavaid komisjonipoolseid järeldusi piirangute kohta seoses USA ametiasutuste juurdepääsuga kõnealuse otsuse alusel edastatud andmetele ja tõhusa õigusliku kaitse olemasolu kohta selliste sekkumiste vastu. Kohus otsustas, et õigusakti, mis võimaldab ametiasutusel elektroonilise side sisuga üldiselt tutvuda, tuleb pidada eraelu puutumatuse põhiõiguse põhisisu kahjustavaks. Kohtu otsusega õigustati täiendavalt lähenemisviisi, mida komisjon on alates 2013. aasta novembrist kasutanud programmi Safe Harbor korralduse läbivaatamisel: komisjon püüab tagada ELi õigusega nõutavat andmekaitse taset. </w:t>
      </w:r>
      <w:r>
        <w:rPr>
          <w:rFonts w:ascii="Times New Roman" w:hAnsi="Times New Roman" w:cs="Times New Roman"/>
          <w:noProof/>
          <w:lang w:val="et-EE"/>
        </w:rPr>
        <w:t>Komisjon koostas 2015. aasta novembris suunised,</w:t>
      </w:r>
      <w:r>
        <w:rPr>
          <w:rStyle w:val="FootnoteReference"/>
          <w:rFonts w:ascii="Times New Roman" w:hAnsi="Times New Roman" w:cs="Times New Roman"/>
          <w:noProof/>
          <w:lang w:val="et-EE"/>
        </w:rPr>
        <w:footnoteReference w:id="35"/>
      </w:r>
      <w:r>
        <w:rPr>
          <w:rFonts w:ascii="Times New Roman" w:hAnsi="Times New Roman" w:cs="Times New Roman"/>
          <w:noProof/>
          <w:lang w:val="et-EE"/>
        </w:rPr>
        <w:t xml:space="preserve"> mis käsitlesid andmete edastamise võimalusi, võttes arvesse kohtuasjas </w:t>
      </w:r>
      <w:r>
        <w:rPr>
          <w:rFonts w:ascii="Times New Roman" w:hAnsi="Times New Roman" w:cs="Times New Roman"/>
          <w:i/>
          <w:noProof/>
          <w:lang w:val="et-EE"/>
        </w:rPr>
        <w:t xml:space="preserve">Schrems </w:t>
      </w:r>
      <w:r>
        <w:rPr>
          <w:rFonts w:ascii="Times New Roman" w:hAnsi="Times New Roman" w:cs="Times New Roman"/>
          <w:noProof/>
          <w:lang w:val="et-EE"/>
        </w:rPr>
        <w:t>tehtud otsust, ning millega kehtestati alternatiivsed süsteemid, mida kasutatakse isikuandmete edastamiseks USAsse kuni uue raamistiku kehtestamiseni</w:t>
      </w:r>
      <w:r>
        <w:rPr>
          <w:rStyle w:val="FootnoteReference"/>
          <w:rFonts w:ascii="Times New Roman" w:hAnsi="Times New Roman" w:cs="Times New Roman"/>
          <w:noProof/>
          <w:lang w:val="et-EE"/>
        </w:rPr>
        <w:footnoteReference w:id="36"/>
      </w:r>
      <w:r>
        <w:rPr>
          <w:rFonts w:ascii="Times New Roman" w:hAnsi="Times New Roman" w:cs="Times New Roman"/>
          <w:noProof/>
          <w:lang w:val="et-EE"/>
        </w:rPr>
        <w:t>.</w:t>
      </w:r>
    </w:p>
    <w:p>
      <w:pPr>
        <w:keepNext/>
        <w:pBdr>
          <w:top w:val="nil"/>
          <w:left w:val="nil"/>
          <w:bottom w:val="nil"/>
          <w:right w:val="nil"/>
          <w:between w:val="nil"/>
          <w:bar w:val="nil"/>
        </w:pBdr>
        <w:spacing w:before="240" w:after="60"/>
        <w:jc w:val="both"/>
        <w:outlineLvl w:val="1"/>
        <w:rPr>
          <w:rFonts w:ascii="Times New Roman" w:eastAsia="Cambria" w:hAnsi="Times New Roman" w:cs="Times New Roman"/>
          <w:b/>
          <w:bCs/>
          <w:i/>
          <w:iCs/>
          <w:noProof/>
          <w:sz w:val="28"/>
          <w:szCs w:val="28"/>
          <w:u w:color="000000"/>
          <w:bdr w:val="nil"/>
          <w:lang w:val="et-EE"/>
        </w:rPr>
      </w:pPr>
      <w:r>
        <w:rPr>
          <w:rFonts w:ascii="Times New Roman" w:hAnsi="Times New Roman" w:cs="Times New Roman"/>
          <w:b/>
          <w:bCs/>
          <w:i/>
          <w:iCs/>
          <w:noProof/>
          <w:sz w:val="28"/>
          <w:szCs w:val="28"/>
          <w:u w:color="000000"/>
          <w:bdr w:val="nil"/>
          <w:lang w:val="et-EE"/>
        </w:rPr>
        <w:t>2.5. Euroopa inimõiguste konventsioon</w:t>
      </w:r>
    </w:p>
    <w:p>
      <w:pPr>
        <w:pBdr>
          <w:top w:val="nil"/>
          <w:left w:val="nil"/>
          <w:bottom w:val="nil"/>
          <w:right w:val="nil"/>
          <w:between w:val="nil"/>
          <w:bar w:val="nil"/>
        </w:pBdr>
        <w:spacing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Komisjon toetab jätkuvalt ELi ühinemist Euroopa inimõiguste konventsiooniga. Konventsiooniga ühinemine tugevdab põhiväärtusi, muudab ELi õiguse tõhusamaks ja põhiõiguste kaitse Euroopas sidusamaks. Euroopa Kohtu poolt 2014. aasta detsembris esitatud arvamus, milles kohus tunnistas 2013. aasta ühinemislepingu eelnõu aluslepingutega vastuolus olevaks, tekitas keerulisi õiguslikke ja poliitilisi probleeme. Järgnenud analüüsiperioodil kaalus komisjon parimaid tegevusstsenaariume, misjärel peab ta ELi poolse läbirääkija volitusi täites nüüd konsultatsioone nõukogu määratud erikomiteega, et leida konkreetseid lahendusi erinevatele küsimustele, mille Euroopa Kohus oma arvamuses tõstatas.</w:t>
      </w:r>
    </w:p>
    <w:p>
      <w:pPr>
        <w:keepNext/>
        <w:pBdr>
          <w:top w:val="nil"/>
          <w:left w:val="nil"/>
          <w:bottom w:val="nil"/>
          <w:right w:val="nil"/>
          <w:between w:val="nil"/>
          <w:bar w:val="nil"/>
        </w:pBdr>
        <w:spacing w:before="240" w:after="60"/>
        <w:jc w:val="both"/>
        <w:outlineLvl w:val="0"/>
        <w:rPr>
          <w:rFonts w:ascii="Times New Roman" w:eastAsia="Cambria" w:hAnsi="Times New Roman" w:cs="Times New Roman"/>
          <w:b/>
          <w:bCs/>
          <w:noProof/>
          <w:kern w:val="32"/>
          <w:sz w:val="32"/>
          <w:szCs w:val="32"/>
          <w:u w:color="000000"/>
          <w:bdr w:val="nil"/>
          <w:lang w:val="et-EE"/>
        </w:rPr>
      </w:pPr>
      <w:r>
        <w:rPr>
          <w:rFonts w:ascii="Times New Roman" w:hAnsi="Times New Roman" w:cs="Times New Roman"/>
          <w:b/>
          <w:bCs/>
          <w:noProof/>
          <w:sz w:val="32"/>
          <w:szCs w:val="32"/>
          <w:u w:color="000000"/>
          <w:bdr w:val="nil"/>
          <w:lang w:val="et-EE"/>
        </w:rPr>
        <w:t>3. Harta kohaldamine liikmesriikides ja liikmesriikide poolt</w:t>
      </w:r>
    </w:p>
    <w:p>
      <w:pPr>
        <w:pBdr>
          <w:top w:val="nil"/>
          <w:left w:val="nil"/>
          <w:bottom w:val="nil"/>
          <w:right w:val="nil"/>
          <w:between w:val="nil"/>
          <w:bar w:val="nil"/>
        </w:pBdr>
        <w:spacing w:line="360" w:lineRule="auto"/>
        <w:jc w:val="both"/>
        <w:rPr>
          <w:rFonts w:ascii="Times New Roman" w:hAnsi="Times New Roman" w:cs="Times New Roman"/>
          <w:noProof/>
          <w:lang w:val="et-EE"/>
        </w:rPr>
      </w:pPr>
      <w:r>
        <w:rPr>
          <w:rFonts w:ascii="Times New Roman" w:hAnsi="Times New Roman" w:cs="Times New Roman"/>
          <w:noProof/>
          <w:u w:color="000000"/>
          <w:bdr w:val="nil"/>
          <w:lang w:val="et-EE"/>
        </w:rPr>
        <w:t xml:space="preserve">Euroopa Kohtu kontrolli all valvab komisjon selle järele, kas liikmesriigid järgivad hartat ELi õiguse rakendamisel. Harta sätete rikkumise korral võib komisjon algatada rikkumismenetluse. Liikmesriikide kohtunikud kohaldavad samuti hartat, tagamaks et liikmesriigid austavad põhiõigusi. Kui liikmesriigi kohtul on kahtlusi harta kohaldatavuse või selle sätete õige tõlgendamise suhtes, võib ta pöörduda – ja liikmesriigi viimase astme kohtu puhul peab ta seda tegema – Euroopa Kohtusse eelotsuse saamiseks. See aitab arendada hartaga seotud kohtupraktikat ja tugevdab liikmesriikide kohtunike rolli harta kehtivuse tagamisel. </w:t>
      </w:r>
      <w:r>
        <w:rPr>
          <w:rFonts w:ascii="Times New Roman" w:hAnsi="Times New Roman" w:cs="Times New Roman"/>
          <w:noProof/>
          <w:lang w:val="et-EE"/>
        </w:rPr>
        <w:t>2015. aastal esitasid liikmesriikide kohtunikud 36 sellist eelotsusetaotlust</w:t>
      </w:r>
      <w:r>
        <w:rPr>
          <w:rStyle w:val="FootnoteReference"/>
          <w:rFonts w:ascii="Times New Roman" w:hAnsi="Times New Roman" w:cs="Times New Roman"/>
          <w:noProof/>
          <w:lang w:val="et-EE"/>
        </w:rPr>
        <w:footnoteReference w:id="37"/>
      </w:r>
      <w:r>
        <w:rPr>
          <w:rFonts w:ascii="Times New Roman" w:hAnsi="Times New Roman" w:cs="Times New Roman"/>
          <w:noProof/>
          <w:lang w:val="et-EE"/>
        </w:rPr>
        <w:t>.</w:t>
      </w:r>
    </w:p>
    <w:p>
      <w:pPr>
        <w:pBdr>
          <w:top w:val="nil"/>
          <w:left w:val="nil"/>
          <w:bottom w:val="nil"/>
          <w:right w:val="nil"/>
          <w:between w:val="nil"/>
          <w:bar w:val="nil"/>
        </w:pBdr>
        <w:spacing w:before="120" w:after="120" w:line="360" w:lineRule="auto"/>
        <w:jc w:val="both"/>
        <w:rPr>
          <w:rFonts w:ascii="Times New Roman" w:eastAsia="Times New Roman" w:hAnsi="Times New Roman" w:cs="Times New Roman"/>
          <w:noProof/>
          <w:u w:color="000000"/>
          <w:bdr w:val="nil"/>
          <w:lang w:val="et-EE"/>
        </w:rPr>
      </w:pPr>
      <w:r>
        <w:rPr>
          <w:rFonts w:ascii="Times New Roman" w:hAnsi="Times New Roman" w:cs="Times New Roman"/>
          <w:b/>
          <w:bCs/>
          <w:i/>
          <w:iCs/>
          <w:noProof/>
          <w:sz w:val="28"/>
          <w:szCs w:val="28"/>
          <w:u w:color="000000"/>
          <w:bdr w:val="nil"/>
          <w:lang w:val="et-EE"/>
        </w:rPr>
        <w:t>3.1. Rikkumismenetlused</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Kuna liikmesriigid peavad hartat kohaldama ainult liidu õiguse rakendamisel, saab hartaga seonduvaid rikkumismenetlusi algatada üksnes juhul, kui esineb piisav seos ELi õigusega, mis muudab harta kohaldatavaks.</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 xml:space="preserve">Rikkumismenetluse näite võib tuua 2015. aastast ning on seotud </w:t>
      </w:r>
      <w:r>
        <w:rPr>
          <w:rFonts w:ascii="Times New Roman" w:hAnsi="Times New Roman" w:cs="Times New Roman"/>
          <w:b/>
          <w:noProof/>
          <w:u w:color="000000"/>
          <w:bdr w:val="nil"/>
          <w:lang w:val="et-EE"/>
        </w:rPr>
        <w:t>õiglase kohtuliku arutamise õiguse tagamisega varjupaigamenetluste direktiivi rakendamisel.</w:t>
      </w:r>
    </w:p>
    <w:p>
      <w:pPr>
        <w:pBdr>
          <w:top w:val="nil"/>
          <w:left w:val="nil"/>
          <w:bottom w:val="nil"/>
          <w:right w:val="nil"/>
          <w:between w:val="nil"/>
          <w:bar w:val="nil"/>
        </w:pBdr>
        <w:spacing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Euroopa rände tegevuskava teise rakenduspaketi järelmeetmena tõhustas komisjon oma jõupingutusi, et tagada ELi rände- ja varjupaigaõiguse täielik kohaldamine. Komisjon võttis 2015. aasta septembrist detsembrini vastu 49 rikkumist käsitlevat otsust seoses liikmesriikide poolt Euroopa ühise varjupaigasüsteemi moodustavate õigusaktide ebapiisava rakendamisega. See hõlmas Ungari suhtes algatatud rikkumismenetlust pärast sealsetes varjupaiga valdkonda reguleerivates õigusaktides tehtud muudatusi</w:t>
      </w:r>
      <w:r>
        <w:rPr>
          <w:rStyle w:val="FootnoteReference"/>
          <w:rFonts w:ascii="Times New Roman" w:hAnsi="Times New Roman" w:cs="Times New Roman"/>
          <w:noProof/>
          <w:lang w:val="et-EE"/>
        </w:rPr>
        <w:footnoteReference w:id="38"/>
      </w:r>
      <w:r>
        <w:rPr>
          <w:rFonts w:ascii="Times New Roman" w:hAnsi="Times New Roman" w:cs="Times New Roman"/>
          <w:noProof/>
          <w:u w:color="000000"/>
          <w:bdr w:val="nil"/>
          <w:lang w:val="et-EE"/>
        </w:rPr>
        <w:t>.</w:t>
      </w:r>
      <w:r>
        <w:rPr>
          <w:rFonts w:ascii="Times New Roman" w:hAnsi="Times New Roman" w:cs="Times New Roman"/>
          <w:noProof/>
          <w:lang w:val="et-EE"/>
        </w:rPr>
        <w:t xml:space="preserve"> Vaidlused olid seotud õigusega tõhusale õiguskaitsevahendile, mis on sätestatud varjupaigamenetluste direktiivi artiklis 46 koostoimes harta artikliga 47, eelkõige seoses edasikaebamise korra piiratud ulatuse ja tõhususe ning kohtuasutuste sõltumatuse võimaliku puudumisega.</w:t>
      </w:r>
      <w:r>
        <w:rPr>
          <w:rFonts w:ascii="Times New Roman" w:hAnsi="Times New Roman" w:cs="Times New Roman"/>
          <w:noProof/>
          <w:u w:color="000000"/>
          <w:bdr w:val="nil"/>
          <w:lang w:val="et-EE"/>
        </w:rPr>
        <w:t xml:space="preserve"> Ungarit teavitati rikkumismenetlusest ametlikult 10. detsembril 2015. Komisjon on palunud esitada täiendavat teavet teiste lahendamata küsimuste kohta ning jätkab koostööd Ungari ametiasutustega.</w:t>
      </w:r>
    </w:p>
    <w:p>
      <w:pPr>
        <w:pBdr>
          <w:top w:val="nil"/>
          <w:left w:val="nil"/>
          <w:bottom w:val="nil"/>
          <w:right w:val="nil"/>
          <w:between w:val="nil"/>
          <w:bar w:val="nil"/>
        </w:pBdr>
        <w:spacing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Komisjon saatis 2015. aasta septembris Kreekale täiendava märgukirja rikkumismenetluse kohta seoses rahvusvahelise kaitse taotlejate vastuvõtu suutlikkusega ning suutmatusega kehtestada kord, millega tagatakse vastuvõetavad elutingimused ja saatjata laste vastuvõetav kohtlemine.</w:t>
      </w:r>
    </w:p>
    <w:p>
      <w:pPr>
        <w:pBdr>
          <w:top w:val="nil"/>
          <w:left w:val="nil"/>
          <w:bottom w:val="nil"/>
          <w:right w:val="nil"/>
          <w:between w:val="nil"/>
          <w:bar w:val="nil"/>
        </w:pBdr>
        <w:spacing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 xml:space="preserve">Täiendav rikkumismenetlus algatati 2015. aasta aprillis ühe liikmesriigi vastu seoses roma laste diskrimineerimisega haridusasutustes. </w:t>
      </w:r>
      <w:r>
        <w:rPr>
          <w:rFonts w:ascii="Times New Roman" w:hAnsi="Times New Roman" w:cs="Times New Roman"/>
          <w:noProof/>
          <w:lang w:val="et-EE"/>
        </w:rPr>
        <w:t>Sellega rikutakse rassilise võrdõiguslikkuse direktiivi</w:t>
      </w:r>
      <w:r>
        <w:rPr>
          <w:rStyle w:val="FootnoteReference"/>
          <w:rFonts w:ascii="Times New Roman" w:hAnsi="Times New Roman" w:cs="Times New Roman"/>
          <w:noProof/>
          <w:lang w:val="et-EE"/>
        </w:rPr>
        <w:footnoteReference w:id="39"/>
      </w:r>
      <w:r>
        <w:rPr>
          <w:rFonts w:ascii="Times New Roman" w:hAnsi="Times New Roman" w:cs="Times New Roman"/>
          <w:noProof/>
          <w:lang w:val="et-EE"/>
        </w:rPr>
        <w:t xml:space="preserve"> ja harta artiklit 21, mis keelab diskrimineerimise rassi või etnilise päritolu tõttu.</w:t>
      </w:r>
    </w:p>
    <w:p>
      <w:pPr>
        <w:keepNext/>
        <w:pBdr>
          <w:top w:val="nil"/>
          <w:left w:val="nil"/>
          <w:bottom w:val="nil"/>
          <w:right w:val="nil"/>
          <w:between w:val="nil"/>
          <w:bar w:val="nil"/>
        </w:pBdr>
        <w:spacing w:before="240" w:after="60"/>
        <w:jc w:val="both"/>
        <w:outlineLvl w:val="1"/>
        <w:rPr>
          <w:rFonts w:ascii="Times New Roman" w:eastAsia="Cambria" w:hAnsi="Times New Roman" w:cs="Times New Roman"/>
          <w:b/>
          <w:bCs/>
          <w:i/>
          <w:iCs/>
          <w:noProof/>
          <w:sz w:val="28"/>
          <w:szCs w:val="28"/>
          <w:u w:color="000000"/>
          <w:bdr w:val="nil"/>
          <w:lang w:val="et-EE"/>
        </w:rPr>
      </w:pPr>
      <w:r>
        <w:rPr>
          <w:rFonts w:ascii="Times New Roman" w:hAnsi="Times New Roman" w:cs="Times New Roman"/>
          <w:b/>
          <w:bCs/>
          <w:i/>
          <w:iCs/>
          <w:noProof/>
          <w:sz w:val="28"/>
          <w:szCs w:val="28"/>
          <w:u w:color="000000"/>
          <w:bdr w:val="nil"/>
          <w:lang w:val="et-EE"/>
        </w:rPr>
        <w:t>3.2. Euroopa Kohtu suunised liikmesriikidele</w:t>
      </w:r>
    </w:p>
    <w:p>
      <w:pPr>
        <w:pBdr>
          <w:top w:val="nil"/>
          <w:left w:val="nil"/>
          <w:bottom w:val="nil"/>
          <w:right w:val="nil"/>
          <w:between w:val="nil"/>
          <w:bar w:val="nil"/>
        </w:pBdr>
        <w:spacing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Euroopa Kohus andis 2015. aastal eelotsusetaotluste süsteemi raames jätkuvalt suuniseid liikmesriikide kohtunikele harta kohaldatavuse ja tõlgendamise küsimustes.</w:t>
      </w:r>
    </w:p>
    <w:p>
      <w:pPr>
        <w:pBdr>
          <w:top w:val="nil"/>
          <w:left w:val="nil"/>
          <w:bottom w:val="nil"/>
          <w:right w:val="nil"/>
          <w:between w:val="nil"/>
          <w:bar w:val="nil"/>
        </w:pBdr>
        <w:spacing w:line="360" w:lineRule="auto"/>
        <w:jc w:val="both"/>
        <w:rPr>
          <w:rFonts w:ascii="Times New Roman" w:eastAsia="Calibri" w:hAnsi="Times New Roman" w:cs="Times New Roman"/>
          <w:iCs/>
          <w:noProof/>
          <w:u w:color="000000"/>
          <w:bdr w:val="nil"/>
          <w:lang w:val="et-EE"/>
        </w:rPr>
      </w:pPr>
      <w:r>
        <w:rPr>
          <w:rFonts w:ascii="Times New Roman" w:hAnsi="Times New Roman" w:cs="Times New Roman"/>
          <w:noProof/>
          <w:lang w:val="et-EE"/>
        </w:rPr>
        <w:t xml:space="preserve">Esimeses romade diskrimineerimist käsitlevas kohtuasjas </w:t>
      </w:r>
      <w:r>
        <w:rPr>
          <w:rFonts w:ascii="Times New Roman" w:hAnsi="Times New Roman" w:cs="Times New Roman"/>
          <w:i/>
          <w:noProof/>
          <w:lang w:val="et-EE"/>
        </w:rPr>
        <w:t>Chez Razpredelenie</w:t>
      </w:r>
      <w:r>
        <w:rPr>
          <w:rStyle w:val="FootnoteReference"/>
          <w:rFonts w:ascii="Times New Roman" w:hAnsi="Times New Roman" w:cs="Times New Roman"/>
          <w:noProof/>
          <w:lang w:val="et-EE"/>
        </w:rPr>
        <w:footnoteReference w:id="40"/>
      </w:r>
      <w:r>
        <w:rPr>
          <w:rFonts w:ascii="Times New Roman" w:hAnsi="Times New Roman" w:cs="Times New Roman"/>
          <w:noProof/>
          <w:lang w:val="et-EE"/>
        </w:rPr>
        <w:t xml:space="preserve"> otsustas kohus, et suure romade osakaaluga piirkonnas on elektrimõõdikute kättesaamatusse kõrgusse paigaldamise näol tegemist etnilisest päritolust tingitud diskrimineerimisega, võttes arvesse, et teistes piirkondades paigaldatakse mõõdikud tavalisele kõrgusele. </w:t>
      </w:r>
      <w:r>
        <w:rPr>
          <w:rFonts w:ascii="Times New Roman" w:hAnsi="Times New Roman" w:cs="Times New Roman"/>
          <w:iCs/>
          <w:noProof/>
          <w:u w:color="000000"/>
          <w:bdr w:val="nil"/>
          <w:lang w:val="et-EE"/>
        </w:rPr>
        <w:t>Kohus kinnitas, et rassilise võrdõiguslikkuse direktiivi kohaldamisala ei saa määratleda piiravalt. Selle põhjuseks on asjaolu, et direktiiv väljendab võrdse kohtlemise põhimõtet, mis on üks ELi õiguse üldpõhimõte, mida tunnistatakse harta artikliga 21.</w:t>
      </w:r>
    </w:p>
    <w:p>
      <w:pPr>
        <w:pBdr>
          <w:top w:val="nil"/>
          <w:left w:val="nil"/>
          <w:bottom w:val="nil"/>
          <w:right w:val="nil"/>
          <w:between w:val="nil"/>
          <w:bar w:val="nil"/>
        </w:pBdr>
        <w:spacing w:line="360" w:lineRule="auto"/>
        <w:jc w:val="both"/>
        <w:rPr>
          <w:rFonts w:ascii="Times New Roman" w:eastAsia="Calibri" w:hAnsi="Times New Roman" w:cs="Times New Roman"/>
          <w:iCs/>
          <w:noProof/>
          <w:u w:color="000000"/>
          <w:bdr w:val="nil"/>
          <w:lang w:val="et-EE"/>
        </w:rPr>
      </w:pPr>
      <w:r>
        <w:rPr>
          <w:rFonts w:ascii="Times New Roman" w:hAnsi="Times New Roman" w:cs="Times New Roman"/>
          <w:iCs/>
          <w:noProof/>
          <w:u w:color="000000"/>
          <w:bdr w:val="nil"/>
          <w:lang w:val="et-EE"/>
        </w:rPr>
        <w:t>Kohus viitas artiklile 21 taas oma järelduses, et direktiivis sätestatud etnilisest päritolust tingitud diskrimineerimise keeldu ei kohaldata üksnes selliste isikute suhtes, kellel on teatud konkreetne etniline päritolu. Kõnealust keeldu kohaldatakse ka selliste isikute suhtes, kellel küll ei ole asjaomast etnilist päritolu, kuid kes koos sellesse kuuluvate isikutega kannatavad diskrimineeriva meetme tõttu vähem soodsa kohtlemise või ebasoodsamasse olukorda seadmise tulemusel. Lõpetuseks, kohus viitas artiklile 21, et tõlgendada rassist või etnilisest päritolust tuleneva otsese diskrimineerimise mõistet.</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lang w:val="et-EE"/>
        </w:rPr>
        <w:t xml:space="preserve">Kohtuasjas </w:t>
      </w:r>
      <w:r>
        <w:rPr>
          <w:rFonts w:ascii="Times New Roman" w:hAnsi="Times New Roman" w:cs="Times New Roman"/>
          <w:i/>
          <w:noProof/>
          <w:lang w:val="et-EE"/>
        </w:rPr>
        <w:t>Leger</w:t>
      </w:r>
      <w:r>
        <w:rPr>
          <w:rStyle w:val="FootnoteReference"/>
          <w:rFonts w:ascii="Times New Roman" w:hAnsi="Times New Roman" w:cs="Times New Roman"/>
          <w:noProof/>
          <w:lang w:val="et-EE"/>
        </w:rPr>
        <w:footnoteReference w:id="41"/>
      </w:r>
      <w:r>
        <w:rPr>
          <w:rFonts w:ascii="Times New Roman" w:hAnsi="Times New Roman" w:cs="Times New Roman"/>
          <w:noProof/>
          <w:lang w:val="et-EE"/>
        </w:rPr>
        <w:t xml:space="preserve"> hindas kohus Prantsusmaa määrust, millega vastunäidustati selliste meeste veredoonorlus, kellel on olnud seksuaalvahekordi meestega.</w:t>
      </w:r>
      <w:r>
        <w:rPr>
          <w:rFonts w:ascii="Times New Roman" w:hAnsi="Times New Roman" w:cs="Times New Roman"/>
          <w:noProof/>
          <w:u w:color="000000"/>
          <w:bdr w:val="nil"/>
          <w:lang w:val="et-EE"/>
        </w:rPr>
        <w:t xml:space="preserve"> Määruse aluseks oli HIV viiruse laialdane levik kõnealuse võimalike doonorite rühma seas ning suur oht haigestuda rasketesse vere kaudu edasikanduvatesse nakkushaigustesse. </w:t>
      </w:r>
      <w:r>
        <w:rPr>
          <w:rFonts w:ascii="Times New Roman" w:hAnsi="Times New Roman" w:cs="Times New Roman"/>
          <w:noProof/>
          <w:lang w:val="et-EE"/>
        </w:rPr>
        <w:t>Kohus märkis, et kuna määrusega kohaldati direktiivi 2004/33/EÜ seoses vere ja verekomponentide osas kehtestatud nõuetega,</w:t>
      </w:r>
      <w:r>
        <w:rPr>
          <w:rStyle w:val="FootnoteReference"/>
          <w:rFonts w:ascii="Times New Roman" w:hAnsi="Times New Roman" w:cs="Times New Roman"/>
          <w:noProof/>
          <w:lang w:val="et-EE"/>
        </w:rPr>
        <w:footnoteReference w:id="42"/>
      </w:r>
      <w:r>
        <w:rPr>
          <w:rFonts w:ascii="Times New Roman" w:hAnsi="Times New Roman" w:cs="Times New Roman"/>
          <w:noProof/>
          <w:lang w:val="et-EE"/>
        </w:rPr>
        <w:t xml:space="preserve"> on harta kohaldatav.</w:t>
      </w:r>
      <w:r>
        <w:rPr>
          <w:rFonts w:ascii="Times New Roman" w:hAnsi="Times New Roman" w:cs="Times New Roman"/>
          <w:noProof/>
          <w:u w:color="000000"/>
          <w:bdr w:val="nil"/>
          <w:lang w:val="et-EE"/>
        </w:rPr>
        <w:t xml:space="preserve"> Kohus otsustas, et seksuaalsel sättumusel põhineva vastunäidustusega piiratakse harta artikli 21 lõikes 1 sätestatud õigust mittediskrimineerivale suhtumisele. Harta artikli 52 lõike 1 kohaselt võib õiguse rakendamist piirata, kui see vastab tegelikult ELi poolt tunnustatud üldist huvi pakkuvatele eesmärkidele. See võib hõlmata eesmärki, milleks on vähendada suurt ohtu edastada nakkushaigusi vereülekande retsipientidele. Sellest hoolimata otsustas kohus, et proportsionaalsuse põhimõte oleks täidetud üksnes juhul, kui puuduksid tõhusad meetodid selliste nakkushaiguste avastamiseks või (selliste meetodite puudumisel) kui puuduksid vastunäidustusest vähem piiravad vahendid, millega saaks tagada vereülekande retsipientide tervisekaitse kõrge taseme.</w:t>
      </w:r>
    </w:p>
    <w:p>
      <w:pPr>
        <w:pBdr>
          <w:top w:val="nil"/>
          <w:left w:val="nil"/>
          <w:bottom w:val="nil"/>
          <w:right w:val="nil"/>
          <w:between w:val="nil"/>
          <w:bar w:val="nil"/>
        </w:pBdr>
        <w:spacing w:line="360" w:lineRule="auto"/>
        <w:jc w:val="both"/>
        <w:rPr>
          <w:rFonts w:ascii="Times New Roman" w:eastAsia="Cambria" w:hAnsi="Times New Roman" w:cs="Times New Roman"/>
          <w:b/>
          <w:bCs/>
          <w:i/>
          <w:iCs/>
          <w:noProof/>
          <w:sz w:val="28"/>
          <w:szCs w:val="28"/>
          <w:u w:color="000000"/>
          <w:bdr w:val="nil"/>
          <w:lang w:val="et-EE"/>
        </w:rPr>
      </w:pPr>
      <w:r>
        <w:rPr>
          <w:rFonts w:ascii="Times New Roman" w:hAnsi="Times New Roman" w:cs="Times New Roman"/>
          <w:b/>
          <w:bCs/>
          <w:i/>
          <w:iCs/>
          <w:noProof/>
          <w:sz w:val="28"/>
          <w:szCs w:val="28"/>
          <w:u w:color="000000"/>
          <w:bdr w:val="nil"/>
          <w:lang w:val="et-EE"/>
        </w:rPr>
        <w:t>3.3. Harta tsiteerimine siseriiklikus kohtupraktikas</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 xml:space="preserve">Liikmesriikide kohtunikud etendavad võtmetähtsusega rolli põhiõiguste ja õigusriigi tagamisel. </w:t>
      </w:r>
      <w:r>
        <w:rPr>
          <w:rFonts w:ascii="Times New Roman" w:hAnsi="Times New Roman" w:cs="Times New Roman"/>
          <w:noProof/>
          <w:lang w:val="et-EE"/>
        </w:rPr>
        <w:t>Põhiõiguste Amet tuvastas 2015. aastal,</w:t>
      </w:r>
      <w:r>
        <w:rPr>
          <w:rStyle w:val="FootnoteReference"/>
          <w:rFonts w:ascii="Times New Roman" w:hAnsi="Times New Roman" w:cs="Times New Roman"/>
          <w:noProof/>
          <w:lang w:val="et-EE"/>
        </w:rPr>
        <w:footnoteReference w:id="43"/>
      </w:r>
      <w:r>
        <w:rPr>
          <w:rFonts w:ascii="Times New Roman" w:hAnsi="Times New Roman" w:cs="Times New Roman"/>
          <w:noProof/>
          <w:lang w:val="et-EE"/>
        </w:rPr>
        <w:t xml:space="preserve"> et liikmesriikide kohtud kasutasid jätkuvalt hartat suuniste ja inspiratsiooni saamiseks ka selliste kohtuasjade puhul, mis jäid väljapoole ELi õiguse kohaldamisala.</w:t>
      </w:r>
    </w:p>
    <w:p>
      <w:pPr>
        <w:pBdr>
          <w:top w:val="nil"/>
          <w:left w:val="nil"/>
          <w:bottom w:val="nil"/>
          <w:right w:val="nil"/>
          <w:between w:val="nil"/>
          <w:bar w:val="nil"/>
        </w:pBdr>
        <w:spacing w:before="120" w:after="120"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lang w:val="et-EE"/>
        </w:rPr>
        <w:t>Saksamaa föderaalne konstitutsioonikohus otsustas 2015. aasta detsembris,</w:t>
      </w:r>
      <w:r>
        <w:rPr>
          <w:rStyle w:val="FootnoteReference"/>
          <w:rFonts w:ascii="Times New Roman" w:hAnsi="Times New Roman" w:cs="Times New Roman"/>
          <w:noProof/>
          <w:lang w:val="et-EE"/>
        </w:rPr>
        <w:footnoteReference w:id="44"/>
      </w:r>
      <w:r>
        <w:rPr>
          <w:rFonts w:ascii="Times New Roman" w:hAnsi="Times New Roman" w:cs="Times New Roman"/>
          <w:noProof/>
          <w:lang w:val="et-EE"/>
        </w:rPr>
        <w:t xml:space="preserve"> et konkreetsetel juhtumitel võib põhiõiguste kaitsmine hõlmata liidu õigusega määratletud õigusaktide läbivaatamist, kui see on möödapääsmatu, et kaitsta põhiseaduslikku identiteeti, mis on tagatud Saksamaa põhiseaduse artikliga 79.</w:t>
      </w:r>
      <w:r>
        <w:rPr>
          <w:rFonts w:ascii="Times New Roman" w:hAnsi="Times New Roman" w:cs="Times New Roman"/>
          <w:noProof/>
          <w:u w:color="000000"/>
          <w:bdr w:val="nil"/>
          <w:lang w:val="et-EE"/>
        </w:rPr>
        <w:t xml:space="preserve"> Põhiseaduse artiklis 1 sätestatud inimväärikuse tagamisest tuleneva isikliku süü põhimõtte kohaselt on kriminaalkaristuse määramise eelduseks, et nii õigusrikkumine kui õigusrikkuja süü on tõendatud viisil, mis on kooskõlas kohaldatavate menetlusnormidega. Konstitutsioonikohus otsustas, et liidu õiguse kohaselt ei saa Euroopa vahistamismäärust täita, kui see ei vasta raamotsuses</w:t>
      </w:r>
      <w:r>
        <w:rPr>
          <w:rStyle w:val="FootnoteReference"/>
          <w:rFonts w:ascii="Times New Roman" w:eastAsia="Calibri" w:hAnsi="Times New Roman" w:cs="Times New Roman"/>
          <w:noProof/>
          <w:u w:color="000000"/>
          <w:bdr w:val="nil"/>
          <w:lang w:val="et-EE"/>
        </w:rPr>
        <w:footnoteReference w:id="45"/>
      </w:r>
      <w:r>
        <w:rPr>
          <w:rFonts w:ascii="Times New Roman" w:hAnsi="Times New Roman" w:cs="Times New Roman"/>
          <w:noProof/>
          <w:u w:color="000000"/>
          <w:bdr w:val="nil"/>
          <w:lang w:val="et-EE"/>
        </w:rPr>
        <w:t xml:space="preserve"> sätestatud nõuetele või kui väljaandmine tooks kaasa liidu põhiõiguste rikkumise. Kohus otsustas, et antud konkreetse juhtumi korral puudus vajadus piirata liidu õiguse ülimuslikkust ning kohaldada Saksamaa õiguse standardeid. Selle põhjuseks on asjaolu, et raamotsusega nähakse väljaandmise kontekstis ette tõlgendamine, millega võetakse arvesse süüdistatava isiku õiguste tagatisi, mis on ette nähtud põhiseaduse artikliga 1.</w:t>
      </w:r>
    </w:p>
    <w:p>
      <w:pPr>
        <w:pBdr>
          <w:top w:val="nil"/>
          <w:left w:val="nil"/>
          <w:bottom w:val="nil"/>
          <w:right w:val="nil"/>
          <w:between w:val="nil"/>
          <w:bar w:val="nil"/>
        </w:pBdr>
        <w:spacing w:before="120" w:after="120" w:line="360" w:lineRule="auto"/>
        <w:jc w:val="both"/>
        <w:rPr>
          <w:rFonts w:ascii="Times New Roman" w:eastAsia="Cambria" w:hAnsi="Times New Roman" w:cs="Times New Roman"/>
          <w:b/>
          <w:bCs/>
          <w:i/>
          <w:iCs/>
          <w:noProof/>
          <w:sz w:val="28"/>
          <w:szCs w:val="28"/>
          <w:u w:color="000000"/>
          <w:bdr w:val="nil"/>
          <w:lang w:val="et-EE"/>
        </w:rPr>
      </w:pPr>
      <w:r>
        <w:rPr>
          <w:rFonts w:ascii="Times New Roman" w:hAnsi="Times New Roman" w:cs="Times New Roman"/>
          <w:b/>
          <w:bCs/>
          <w:i/>
          <w:iCs/>
          <w:noProof/>
          <w:sz w:val="28"/>
          <w:szCs w:val="28"/>
          <w:u w:color="000000"/>
          <w:bdr w:val="nil"/>
          <w:lang w:val="et-EE"/>
        </w:rPr>
        <w:t>3.4. Teadlikkuse suurendamine harta kohta</w:t>
      </w:r>
    </w:p>
    <w:p>
      <w:pPr>
        <w:spacing w:before="120" w:after="120" w:line="360" w:lineRule="auto"/>
        <w:jc w:val="both"/>
        <w:rPr>
          <w:rFonts w:ascii="Times New Roman" w:eastAsia="Calibri" w:hAnsi="Times New Roman" w:cs="Times New Roman"/>
          <w:noProof/>
          <w:u w:color="000000"/>
          <w:lang w:val="et-EE"/>
        </w:rPr>
      </w:pPr>
      <w:hyperlink r:id="rId16" w:history="1">
        <w:r>
          <w:rPr>
            <w:rFonts w:ascii="Times New Roman" w:hAnsi="Times New Roman" w:cs="Times New Roman"/>
            <w:noProof/>
            <w:u w:color="000000"/>
            <w:lang w:val="et-EE"/>
          </w:rPr>
          <w:t>2015. aastal läbiviidud Eurobaromeetri uuring harta alase teadlikkuse kohta</w:t>
        </w:r>
      </w:hyperlink>
      <w:r>
        <w:rPr>
          <w:rStyle w:val="FootnoteReference"/>
          <w:rFonts w:ascii="Times New Roman" w:hAnsi="Times New Roman" w:cs="Times New Roman"/>
          <w:noProof/>
          <w:lang w:val="et-EE"/>
        </w:rPr>
        <w:footnoteReference w:id="46"/>
      </w:r>
      <w:r>
        <w:rPr>
          <w:rFonts w:ascii="Times New Roman" w:hAnsi="Times New Roman" w:cs="Times New Roman"/>
          <w:noProof/>
          <w:lang w:val="et-EE"/>
        </w:rPr>
        <w:t xml:space="preserve"> näitas, et inimestel on jätkuvalt suur huvi saada teavet oma õiguste kohta, mis neil harta alusel on.</w:t>
      </w:r>
      <w:r>
        <w:rPr>
          <w:rFonts w:ascii="Times New Roman" w:hAnsi="Times New Roman" w:cs="Times New Roman"/>
          <w:noProof/>
          <w:u w:color="000000"/>
          <w:lang w:val="et-EE"/>
        </w:rPr>
        <w:t xml:space="preserve"> Üle 60 % vastanutest sooviks saada lisateavet selle kohta, milline on harta sisu, kuhu pöörduda nende õiguste rikkumise korral ning millal on harta kohaldatav.</w:t>
      </w:r>
    </w:p>
    <w:p>
      <w:pPr>
        <w:spacing w:before="120" w:after="120" w:line="360" w:lineRule="auto"/>
        <w:jc w:val="both"/>
        <w:rPr>
          <w:rFonts w:ascii="Times New Roman" w:eastAsia="Calibri" w:hAnsi="Times New Roman" w:cs="Times New Roman"/>
          <w:noProof/>
          <w:u w:color="000000"/>
          <w:lang w:val="et-EE"/>
        </w:rPr>
      </w:pPr>
      <w:r>
        <w:rPr>
          <w:rFonts w:ascii="Times New Roman" w:hAnsi="Times New Roman" w:cs="Times New Roman"/>
          <w:noProof/>
          <w:u w:color="000000"/>
          <w:lang w:val="et-EE"/>
        </w:rPr>
        <w:t>Eesistujariik Läti korraldas 2015. aasta aprillis Riias konverentsi, et suurendada harta alast teadlikkust praktikute seas. Konverents käsitles harta kohaldatavust liikmesriikide ametiasutuste poolt ELi õiguse rakendamisel ning sellel keskenduti harta rollile ELi õigusloomeprotsessis.</w:t>
      </w:r>
    </w:p>
    <w:p>
      <w:pPr>
        <w:keepNext/>
        <w:pBdr>
          <w:top w:val="nil"/>
          <w:left w:val="nil"/>
          <w:bottom w:val="nil"/>
          <w:right w:val="nil"/>
          <w:between w:val="nil"/>
          <w:bar w:val="nil"/>
        </w:pBdr>
        <w:spacing w:before="240" w:after="60"/>
        <w:jc w:val="both"/>
        <w:outlineLvl w:val="0"/>
        <w:rPr>
          <w:rFonts w:ascii="Times New Roman" w:eastAsia="Cambria" w:hAnsi="Times New Roman" w:cs="Times New Roman"/>
          <w:b/>
          <w:bCs/>
          <w:noProof/>
          <w:kern w:val="32"/>
          <w:sz w:val="32"/>
          <w:szCs w:val="32"/>
          <w:u w:color="000000"/>
          <w:bdr w:val="nil"/>
          <w:lang w:val="et-EE"/>
        </w:rPr>
      </w:pPr>
      <w:r>
        <w:rPr>
          <w:rFonts w:ascii="Times New Roman" w:hAnsi="Times New Roman" w:cs="Times New Roman"/>
          <w:b/>
          <w:bCs/>
          <w:noProof/>
          <w:sz w:val="32"/>
          <w:szCs w:val="32"/>
          <w:u w:color="000000"/>
          <w:bdr w:val="nil"/>
          <w:lang w:val="et-EE"/>
        </w:rPr>
        <w:t>4. Fookusosa: 2015. aastal toimunud iga-aastane kollokvium – tulemused ja edasised meetmed</w:t>
      </w:r>
    </w:p>
    <w:p>
      <w:pPr>
        <w:pBdr>
          <w:top w:val="nil"/>
          <w:left w:val="nil"/>
          <w:bottom w:val="nil"/>
          <w:right w:val="nil"/>
          <w:between w:val="nil"/>
          <w:bar w:val="nil"/>
        </w:pBdr>
        <w:spacing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Komisjoni esimene asepresident Timmermans kohustus ametisse asumisel korraldama igal aastal kollokviumi, millel käsitletakse põhiõiguste olukorda ELis. Eesmärgiks on parandada vastastikust koostööd ja poliitilist osalemist põhiõiguste edendamisel ja kaitsmisel.</w:t>
      </w:r>
    </w:p>
    <w:p>
      <w:pPr>
        <w:pBdr>
          <w:top w:val="nil"/>
          <w:left w:val="nil"/>
          <w:bottom w:val="nil"/>
          <w:right w:val="nil"/>
          <w:between w:val="nil"/>
          <w:bar w:val="nil"/>
        </w:pBdr>
        <w:spacing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Esimene kollokvium toimus 2015. aasta oktoobris Brüsselis ning sellel keskenduti sallivuse ja austuse edendamisele Euroopas juudi- ja moslemivastase vaenu ennetamiseks ja selle vastu võitlemiseks. Tegemist oli esimese moslemi- ja juudikogukondade esindajate kohtumisega ELi tasandil, mille käigus arutati, kuidas võidelda juudi- ja moslemivastase vaenu vastu. Osalejaid oli umbes 300: kohaliku, riikliku ja ELi tasandi poliitikakujundajad, rahvusvahelised ja kodanikuühiskonna organisatsioonid, usu- ja kogukonnajuhid, võrdõiguslikkuse küsimustega tegelevad asutused, haridus-, töö- ja meediaringkondade esindajad ning akadeemikud ja filosoofid kogu EList. Nad analüüsisid juudi- ja moslemivastaste vahejuhtumite arvu suurenemise põhjusi Euroopas, määratlesid mooduseid suundumuste käsitlemiseks ning leppisid kokku koostöö tegemises, et edendada kaasava sallivuse ja austuse kultuuri.</w:t>
      </w:r>
    </w:p>
    <w:p>
      <w:pPr>
        <w:pBdr>
          <w:top w:val="nil"/>
          <w:left w:val="nil"/>
          <w:bottom w:val="nil"/>
          <w:right w:val="nil"/>
          <w:between w:val="nil"/>
          <w:bar w:val="nil"/>
        </w:pBdr>
        <w:spacing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lang w:val="et-EE"/>
        </w:rPr>
        <w:t>Kollokviumil</w:t>
      </w:r>
      <w:r>
        <w:rPr>
          <w:rStyle w:val="FootnoteReference"/>
          <w:rFonts w:ascii="Times New Roman" w:hAnsi="Times New Roman" w:cs="Times New Roman"/>
          <w:noProof/>
          <w:lang w:val="et-EE"/>
        </w:rPr>
        <w:footnoteReference w:id="47"/>
      </w:r>
      <w:r>
        <w:rPr>
          <w:rFonts w:ascii="Times New Roman" w:hAnsi="Times New Roman" w:cs="Times New Roman"/>
          <w:noProof/>
          <w:lang w:val="et-EE"/>
        </w:rPr>
        <w:t xml:space="preserve"> määratleti võtmetähtsusega meetmed juudi- ja moslemivastase vaenu ennetamiseks ja selle vastu võitlemiseks, sealhulgas määrati kaks koordinaatorit, kellest üks käsitleb võitlust juudivastase ja teine võitlust moslemivastase vaenuga, misläbi kooskõlastatakse ja tugevdatakse poliitilist reageeringut kõnealuste ohtude käsitlemisel</w:t>
      </w:r>
      <w:r>
        <w:rPr>
          <w:rStyle w:val="FootnoteReference"/>
          <w:rFonts w:ascii="Times New Roman" w:hAnsi="Times New Roman" w:cs="Times New Roman"/>
          <w:noProof/>
          <w:lang w:val="et-EE"/>
        </w:rPr>
        <w:footnoteReference w:id="48"/>
      </w:r>
      <w:r>
        <w:rPr>
          <w:rFonts w:ascii="Times New Roman" w:hAnsi="Times New Roman" w:cs="Times New Roman"/>
          <w:noProof/>
          <w:lang w:val="et-EE"/>
        </w:rPr>
        <w:t>.</w:t>
      </w:r>
    </w:p>
    <w:p>
      <w:pPr>
        <w:pBdr>
          <w:top w:val="nil"/>
          <w:left w:val="nil"/>
          <w:bottom w:val="nil"/>
          <w:right w:val="nil"/>
          <w:between w:val="nil"/>
          <w:bar w:val="nil"/>
        </w:pBdr>
        <w:spacing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Võeti olulisi meetmeid, et võidelda veebis toimuva vihakõne vastu. Komisjon algatas koostöös liikmesriikidega ELi tasandi dialoogi suurte IT-ettevõtjatega, et tuvastada mooduseid, kuidas vahendajad ja teised organid saaksid aidata võidelda veebis toimuva vihakõne vastu, millega õhutatakse vägivalda.</w:t>
      </w:r>
    </w:p>
    <w:p>
      <w:pPr>
        <w:pBdr>
          <w:top w:val="nil"/>
          <w:left w:val="nil"/>
          <w:bottom w:val="nil"/>
          <w:right w:val="nil"/>
          <w:between w:val="nil"/>
          <w:bar w:val="nil"/>
        </w:pBdr>
        <w:spacing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lang w:val="et-EE"/>
        </w:rPr>
        <w:t>Komisjon jätkas 2015. aastal rassismi ja ksenofoobia vastast võitlust käsitlevate ELi õigusnormide</w:t>
      </w:r>
      <w:r>
        <w:rPr>
          <w:rStyle w:val="FootnoteReference"/>
          <w:rFonts w:ascii="Times New Roman" w:hAnsi="Times New Roman" w:cs="Times New Roman"/>
          <w:noProof/>
          <w:lang w:val="et-EE"/>
        </w:rPr>
        <w:footnoteReference w:id="49"/>
      </w:r>
      <w:r>
        <w:rPr>
          <w:rFonts w:ascii="Times New Roman" w:hAnsi="Times New Roman" w:cs="Times New Roman"/>
          <w:noProof/>
          <w:lang w:val="et-EE"/>
        </w:rPr>
        <w:t xml:space="preserve"> jälgimist, et tagada nende täielik ja nõuetekohane kohaldamine.</w:t>
      </w:r>
      <w:r>
        <w:rPr>
          <w:rFonts w:ascii="Times New Roman" w:hAnsi="Times New Roman" w:cs="Times New Roman"/>
          <w:noProof/>
          <w:u w:color="000000"/>
          <w:bdr w:val="nil"/>
          <w:lang w:val="et-EE"/>
        </w:rPr>
        <w:t xml:space="preserve"> Neli liikmesriiki muutsid oma kriminaalõiguse norme, et viia need vastavusse ELi õigusega. Komisjon on eesistujaks liikmesriikide ekspertrühmas, mis muutub 2016. aastal ELi kõrgetasemeliseks töörühmaks rassismi, ksenofoobia ja teiste sallimatuse liikide küsimustes. Tegemist on parimate tavade alaste suuniste jagamise ja tõhustatud koostöö tegemise platvormiga, mis on avatud kodanikuühiskonna ja kogukondade esindajatele, Põhiõiguste Ametile ning asjakohastele rahvusvahelistele organisatsioonidele.</w:t>
      </w:r>
    </w:p>
    <w:p>
      <w:pPr>
        <w:pBdr>
          <w:top w:val="nil"/>
          <w:left w:val="nil"/>
          <w:bottom w:val="nil"/>
          <w:right w:val="nil"/>
          <w:between w:val="nil"/>
          <w:bar w:val="nil"/>
        </w:pBdr>
        <w:spacing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Õiguste, võrdõiguslikkuse ja kodakondsuse programmi raames tehti siseriiklikele ametiasutustele ja kodanikuühiskonnale 2015. aastal kättesaadavaks 5,4 miljonit eurot. Rahastamine on ette nähtud koolituseks ja suutlikkuse arendamiseks, parimate tavade vahetamiseks rassismi ja ksenofoobia ennetamise ja sellevastase võitluse eesmärgil, vihakuritegudele ja vihakõnele kriminaalõiguslike vahenditega reageerimise tugevdamiseks ning ohvrite mõjuvõimu suurendamiseks ja toetamiseks.</w:t>
      </w:r>
    </w:p>
    <w:p>
      <w:pPr>
        <w:pBdr>
          <w:top w:val="nil"/>
          <w:left w:val="nil"/>
          <w:bottom w:val="nil"/>
          <w:right w:val="nil"/>
          <w:between w:val="nil"/>
          <w:bar w:val="nil"/>
        </w:pBdr>
        <w:spacing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lang w:val="et-EE"/>
        </w:rPr>
        <w:t>Programmist „Erasmus+“ eraldati 2015. aastal rahalisi vahendeid, et rakendada kollokviumis määratletud meetmeid</w:t>
      </w:r>
      <w:r>
        <w:rPr>
          <w:rStyle w:val="FootnoteReference"/>
          <w:rFonts w:ascii="Times New Roman" w:hAnsi="Times New Roman" w:cs="Times New Roman"/>
          <w:noProof/>
          <w:lang w:val="et-EE"/>
        </w:rPr>
        <w:footnoteReference w:id="50"/>
      </w:r>
      <w:r>
        <w:rPr>
          <w:rFonts w:ascii="Times New Roman" w:hAnsi="Times New Roman" w:cs="Times New Roman"/>
          <w:noProof/>
          <w:lang w:val="et-EE"/>
        </w:rPr>
        <w:t xml:space="preserve"> ning et suurendada kõigi kohaliku tasandi osalejate mõjuvõimu, et luua tolerantsi ja austuse kultuur ning ületada eelarvamusi.</w:t>
      </w:r>
    </w:p>
    <w:p>
      <w:pPr>
        <w:pBdr>
          <w:top w:val="nil"/>
          <w:left w:val="nil"/>
          <w:bottom w:val="nil"/>
          <w:right w:val="nil"/>
          <w:between w:val="nil"/>
          <w:bar w:val="nil"/>
        </w:pBdr>
        <w:spacing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Kuigi ELi institutsioonid ja organid saavad toetada kohapeal tehtavaid edusamme, on rassismi ja ksenofoobia ennetamine ja sellevastane võitlus eelkõige kohalikul tasandil läbiviidav tegevus ning eeldab nii asjaomaste kogukondade kui kogu ühiskonna täielikku omavastutust.</w:t>
      </w:r>
    </w:p>
    <w:p>
      <w:pPr>
        <w:keepNext/>
        <w:pBdr>
          <w:top w:val="nil"/>
          <w:left w:val="nil"/>
          <w:bottom w:val="nil"/>
          <w:right w:val="nil"/>
          <w:between w:val="nil"/>
          <w:bar w:val="nil"/>
        </w:pBdr>
        <w:spacing w:before="240" w:after="60"/>
        <w:jc w:val="both"/>
        <w:outlineLvl w:val="0"/>
        <w:rPr>
          <w:rFonts w:ascii="Times New Roman" w:eastAsia="Cambria" w:hAnsi="Times New Roman" w:cs="Times New Roman"/>
          <w:b/>
          <w:bCs/>
          <w:noProof/>
          <w:kern w:val="32"/>
          <w:sz w:val="32"/>
          <w:szCs w:val="32"/>
          <w:u w:color="000000"/>
          <w:bdr w:val="nil"/>
          <w:lang w:val="et-EE"/>
        </w:rPr>
      </w:pPr>
      <w:r>
        <w:rPr>
          <w:rFonts w:ascii="Times New Roman" w:hAnsi="Times New Roman" w:cs="Times New Roman"/>
          <w:b/>
          <w:bCs/>
          <w:noProof/>
          <w:sz w:val="32"/>
          <w:szCs w:val="32"/>
          <w:u w:color="000000"/>
          <w:bdr w:val="nil"/>
          <w:lang w:val="et-EE"/>
        </w:rPr>
        <w:t>5. Kokkuvõte</w:t>
      </w:r>
    </w:p>
    <w:p>
      <w:pPr>
        <w:pBdr>
          <w:top w:val="nil"/>
          <w:left w:val="nil"/>
          <w:bottom w:val="nil"/>
          <w:right w:val="nil"/>
          <w:between w:val="nil"/>
          <w:bar w:val="nil"/>
        </w:pBdr>
        <w:spacing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Komisjon on pühendunud sellele, et tagada ELis põhiõiguste kaitse kõrge tase. Komisjon püüab tagada, et kõik seadusandlikud ettepanekud ja meetmed oleksid hartaga täielikult kooskõlas.</w:t>
      </w:r>
    </w:p>
    <w:p>
      <w:pPr>
        <w:pBdr>
          <w:top w:val="nil"/>
          <w:left w:val="nil"/>
          <w:bottom w:val="nil"/>
          <w:right w:val="nil"/>
          <w:between w:val="nil"/>
          <w:bar w:val="nil"/>
        </w:pBdr>
        <w:spacing w:line="360" w:lineRule="auto"/>
        <w:jc w:val="both"/>
        <w:rPr>
          <w:rFonts w:ascii="Times New Roman" w:eastAsia="Calibri" w:hAnsi="Times New Roman" w:cs="Times New Roman"/>
          <w:noProof/>
          <w:u w:color="000000"/>
          <w:bdr w:val="nil"/>
          <w:lang w:val="et-EE"/>
        </w:rPr>
      </w:pPr>
      <w:r>
        <w:rPr>
          <w:rFonts w:ascii="Times New Roman" w:hAnsi="Times New Roman" w:cs="Times New Roman"/>
          <w:noProof/>
          <w:u w:color="000000"/>
          <w:bdr w:val="nil"/>
          <w:lang w:val="et-EE"/>
        </w:rPr>
        <w:t>Komisjon kavatseb parandada koostööd teiste ELi institutsioonide ja ametitega, eelkõige Põhiõiguste Ametiga, ning Euroopa Nõukoguga, tagamaks et põhiõigusi käsitatakse esmatähtsatena.</w:t>
      </w:r>
    </w:p>
    <w:p>
      <w:pPr>
        <w:pBdr>
          <w:top w:val="nil"/>
          <w:left w:val="nil"/>
          <w:bottom w:val="nil"/>
          <w:right w:val="nil"/>
          <w:between w:val="nil"/>
          <w:bar w:val="nil"/>
        </w:pBdr>
        <w:spacing w:line="360" w:lineRule="auto"/>
        <w:jc w:val="both"/>
        <w:rPr>
          <w:rFonts w:ascii="Times New Roman" w:hAnsi="Times New Roman" w:cs="Times New Roman"/>
          <w:noProof/>
          <w:u w:color="000000"/>
          <w:bdr w:val="nil"/>
          <w:lang w:val="et-EE"/>
        </w:rPr>
      </w:pPr>
      <w:r>
        <w:rPr>
          <w:rFonts w:ascii="Times New Roman" w:hAnsi="Times New Roman" w:cs="Times New Roman"/>
          <w:noProof/>
          <w:u w:color="000000"/>
          <w:bdr w:val="nil"/>
          <w:lang w:val="et-EE"/>
        </w:rPr>
        <w:t>Komisjon kavatseb edendada ELi ühiste väärtuste ja eelkõige harta alast teadlikkust, mistarvis kasutatakse sihipärast rahastamist ja koolitust, kodanikuühiskonnaga peetavat dialoogi ning praktilisi vahendeid, millega innustatakse dialoogi liikmesriikide kohtute vahel.</w:t>
      </w:r>
    </w:p>
    <w:p>
      <w:pPr>
        <w:pBdr>
          <w:top w:val="nil"/>
          <w:left w:val="nil"/>
          <w:bottom w:val="nil"/>
          <w:right w:val="nil"/>
          <w:between w:val="nil"/>
          <w:bar w:val="nil"/>
        </w:pBdr>
        <w:spacing w:line="360" w:lineRule="auto"/>
        <w:jc w:val="both"/>
        <w:rPr>
          <w:rFonts w:ascii="Times New Roman" w:eastAsia="Times New Roman" w:hAnsi="Times New Roman" w:cs="Times New Roman"/>
          <w:noProof/>
          <w:u w:color="000000"/>
          <w:bdr w:val="nil"/>
          <w:lang w:val="et-EE"/>
        </w:rPr>
      </w:pPr>
    </w:p>
    <w:sectPr>
      <w:headerReference w:type="even" r:id="rId17"/>
      <w:headerReference w:type="default" r:id="rId18"/>
      <w:footerReference w:type="even" r:id="rId19"/>
      <w:footerReference w:type="default" r:id="rId20"/>
      <w:headerReference w:type="first" r:id="rId21"/>
      <w:footerReference w:type="first" r:id="rId22"/>
      <w:pgSz w:w="11907" w:h="16839" w:code="9"/>
      <w:pgMar w:top="1417" w:right="1417" w:bottom="1417" w:left="1417" w:header="708" w:footer="708"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ET</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ET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046"/>
      </w:tabs>
      <w:jc w:val="center"/>
    </w:pPr>
    <w:r>
      <w:fldChar w:fldCharType="begin"/>
    </w:r>
    <w:r>
      <w:instrText xml:space="preserve"> PAGE </w:instrText>
    </w:r>
    <w:r>
      <w:fldChar w:fldCharType="separate"/>
    </w:r>
    <w:r>
      <w:rPr>
        <w:noProof/>
      </w:rPr>
      <w:t>14</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8044854"/>
      <w:docPartObj>
        <w:docPartGallery w:val="Page Numbers (Bottom of Page)"/>
        <w:docPartUnique/>
      </w:docPartObj>
    </w:sdtPr>
    <w:sdtContent>
      <w:p>
        <w:pPr>
          <w:pStyle w:val="Footer"/>
          <w:jc w:val="center"/>
        </w:pPr>
        <w:r>
          <w:fldChar w:fldCharType="begin"/>
        </w:r>
        <w:r>
          <w:instrText xml:space="preserve"> PAGE   \* MERGEFORMAT </w:instrText>
        </w:r>
        <w:r>
          <w:fldChar w:fldCharType="separate"/>
        </w:r>
        <w:r>
          <w:rPr>
            <w:noProof/>
          </w:rPr>
          <w:t>2</w:t>
        </w:r>
        <w:r>
          <w:fldChar w:fldCharType="end"/>
        </w:r>
      </w:p>
    </w:sdtContent>
  </w:sdt>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Üldkohus, avaliku teenistuse kohus ja Euroopa Kohus.</w:t>
      </w:r>
    </w:p>
  </w:footnote>
  <w:footnote w:id="2">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„Parem õigusloome paremate tulemuste saavutamiseks – ELi tegevuskava“ COM(2015) 215 final, 19.5.2015.</w:t>
      </w:r>
    </w:p>
  </w:footnote>
  <w:footnote w:id="3">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w:t>
      </w:r>
      <w:hyperlink r:id="rId1" w:history="1">
        <w:r>
          <w:rPr>
            <w:rStyle w:val="Hyperlink"/>
            <w:rFonts w:ascii="Times New Roman" w:hAnsi="Times New Roman" w:cs="Times New Roman"/>
            <w:lang w:val="et-EE"/>
          </w:rPr>
          <w:t>http://ec.europa.eu/smart-regulation/guidelines/toc_tool_en.htm</w:t>
        </w:r>
      </w:hyperlink>
      <w:r>
        <w:rPr>
          <w:rStyle w:val="Hyperlink"/>
          <w:rFonts w:ascii="Times New Roman" w:hAnsi="Times New Roman" w:cs="Times New Roman"/>
          <w:lang w:val="et-EE"/>
        </w:rPr>
        <w:t>.</w:t>
      </w:r>
      <w:r>
        <w:rPr>
          <w:rFonts w:ascii="Times New Roman" w:hAnsi="Times New Roman" w:cs="Times New Roman"/>
          <w:lang w:val="et-EE"/>
        </w:rPr>
        <w:t xml:space="preserve"> Vt vahend 24 „Põhiõigused ja inimõigused“, lk 176.</w:t>
      </w:r>
    </w:p>
  </w:footnote>
  <w:footnote w:id="4">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2014/2254(INI)), kättesaadav aadressil: </w:t>
      </w:r>
      <w:hyperlink r:id="rId2" w:history="1">
        <w:r>
          <w:rPr>
            <w:rStyle w:val="Hyperlink"/>
            <w:rFonts w:ascii="Times New Roman" w:hAnsi="Times New Roman" w:cs="Times New Roman"/>
            <w:lang w:val="et-EE"/>
          </w:rPr>
          <w:t>http://www.europarl.europa.eu/sides/getDoc.do?type=TA&amp;reference=P8-TA-2015-0286&amp;language=EN&amp;ring=A8-2015-0230</w:t>
        </w:r>
      </w:hyperlink>
      <w:r>
        <w:rPr>
          <w:rFonts w:ascii="Times New Roman" w:hAnsi="Times New Roman" w:cs="Times New Roman"/>
          <w:lang w:val="et-EE"/>
        </w:rPr>
        <w:t>.</w:t>
      </w:r>
    </w:p>
  </w:footnote>
  <w:footnote w:id="5">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Nõukogu istungi tulemused, 23. juuni 2015, (10228/15) lk 17.</w:t>
      </w:r>
    </w:p>
  </w:footnote>
  <w:footnote w:id="6">
    <w:p>
      <w:pPr>
        <w:pStyle w:val="FootnoteText"/>
        <w:spacing w:afterLines="50" w:after="120"/>
        <w:rPr>
          <w:rFonts w:ascii="Times New Roman" w:hAnsi="Times New Roman" w:cs="Times New Roman"/>
          <w:lang w:val="et-EE"/>
        </w:rPr>
      </w:pPr>
      <w:r>
        <w:rPr>
          <w:rStyle w:val="FootnoteReference"/>
          <w:rFonts w:ascii="Times New Roman" w:eastAsia="Cambria" w:hAnsi="Times New Roman" w:cs="Times New Roman"/>
          <w:lang w:val="et-EE"/>
        </w:rPr>
        <w:footnoteRef/>
      </w:r>
      <w:r>
        <w:rPr>
          <w:rFonts w:ascii="Times New Roman" w:hAnsi="Times New Roman" w:cs="Times New Roman"/>
          <w:lang w:val="et-EE"/>
        </w:rPr>
        <w:t xml:space="preserve"> Vt Euroopa Komisjoni pressiteade „</w:t>
      </w:r>
      <w:r>
        <w:rPr>
          <w:rFonts w:ascii="Times New Roman" w:hAnsi="Times New Roman" w:cs="Times New Roman"/>
          <w:i/>
          <w:lang w:val="et-EE"/>
        </w:rPr>
        <w:t>Komisjoni algatatud ELi andmekaitsereformis kokkuleppimine hoogustab digitaalse ühtse turu arengut“</w:t>
      </w:r>
      <w:r>
        <w:rPr>
          <w:rFonts w:ascii="Times New Roman" w:hAnsi="Times New Roman" w:cs="Times New Roman"/>
          <w:lang w:val="et-EE"/>
        </w:rPr>
        <w:t xml:space="preserve">, mis on kättesaadav aadressil: </w:t>
      </w:r>
      <w:hyperlink r:id="rId3" w:history="1">
        <w:r>
          <w:rPr>
            <w:rStyle w:val="Hyperlink"/>
            <w:rFonts w:ascii="Times New Roman" w:hAnsi="Times New Roman" w:cs="Times New Roman"/>
            <w:lang w:val="et-EE"/>
          </w:rPr>
          <w:t>http://europa.eu/rapid/press-release_IP-15-6321_en.htm</w:t>
        </w:r>
      </w:hyperlink>
      <w:r>
        <w:rPr>
          <w:rFonts w:ascii="Times New Roman" w:hAnsi="Times New Roman" w:cs="Times New Roman"/>
          <w:lang w:val="et-EE"/>
        </w:rPr>
        <w:t>.</w:t>
      </w:r>
    </w:p>
  </w:footnote>
  <w:footnote w:id="7">
    <w:p>
      <w:pPr>
        <w:pStyle w:val="FootnoteText"/>
        <w:spacing w:afterLines="50" w:after="120"/>
        <w:rPr>
          <w:rFonts w:ascii="Times New Roman" w:hAnsi="Times New Roman" w:cs="Times New Roman"/>
          <w:lang w:val="et-EE"/>
        </w:rPr>
      </w:pPr>
      <w:r>
        <w:rPr>
          <w:rStyle w:val="FootnoteReference"/>
          <w:rFonts w:ascii="Times New Roman" w:eastAsia="Cambria" w:hAnsi="Times New Roman" w:cs="Times New Roman"/>
          <w:lang w:val="et-EE"/>
        </w:rPr>
        <w:footnoteRef/>
      </w:r>
      <w:r>
        <w:rPr>
          <w:rFonts w:ascii="Times New Roman" w:hAnsi="Times New Roman" w:cs="Times New Roman"/>
          <w:lang w:val="et-EE"/>
        </w:rPr>
        <w:t xml:space="preserve"> Ettepanek: määrus üksikisikute kaitse kohta isikuandmete töötlemisel ja selliste andmete vaba liikumise kohta (isikuandmete kaitse üldmäärus), COM(2012) 11 final, 25.1.2012.</w:t>
      </w:r>
    </w:p>
  </w:footnote>
  <w:footnote w:id="8">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Ettepanek: direktiiv üksikisikute kaitse kohta seoses pädevates asutustes isikuandmete töötlemisega kuritegude tõkestamise, uurimise, avastamise ja nende eest vastutusele võtmise või kriminaalkaristuste täitmisele pööramise eesmärgil ning selliste andmete vaba liikumise kohta, COM(2012) 10 final, 25.1.2012.</w:t>
      </w:r>
    </w:p>
  </w:footnote>
  <w:footnote w:id="9">
    <w:p>
      <w:pPr>
        <w:pStyle w:val="FootnoteText"/>
        <w:spacing w:afterLines="50" w:after="120"/>
        <w:rPr>
          <w:rFonts w:ascii="Times New Roman" w:hAnsi="Times New Roman" w:cs="Times New Roman"/>
          <w:lang w:val="et-EE"/>
        </w:rPr>
      </w:pPr>
      <w:r>
        <w:rPr>
          <w:rStyle w:val="FootnoteReference"/>
          <w:rFonts w:ascii="Times New Roman" w:eastAsia="Cambria" w:hAnsi="Times New Roman" w:cs="Times New Roman"/>
          <w:lang w:val="et-EE"/>
        </w:rPr>
        <w:footnoteRef/>
      </w:r>
      <w:r>
        <w:rPr>
          <w:rFonts w:ascii="Times New Roman" w:hAnsi="Times New Roman" w:cs="Times New Roman"/>
          <w:lang w:val="et-EE"/>
        </w:rPr>
        <w:t xml:space="preserve"> Ettepanek: direktiiv, millega tugevdatakse süütuse presumptsiooni teatavaid aspekte ja õigust viibida kriminaalmenetluse korral isiklikult kohtulikul arutelul, COM(2013) 821 final, 27.11.2013.</w:t>
      </w:r>
    </w:p>
  </w:footnote>
  <w:footnote w:id="10">
    <w:p>
      <w:pPr>
        <w:pStyle w:val="FootnoteText"/>
        <w:spacing w:afterLines="50" w:after="120"/>
        <w:rPr>
          <w:rFonts w:ascii="Times New Roman" w:hAnsi="Times New Roman" w:cs="Times New Roman"/>
          <w:lang w:val="et-EE"/>
        </w:rPr>
      </w:pPr>
      <w:r>
        <w:rPr>
          <w:rStyle w:val="FootnoteReference"/>
          <w:rFonts w:ascii="Times New Roman" w:eastAsia="Cambria" w:hAnsi="Times New Roman" w:cs="Times New Roman"/>
          <w:lang w:val="et-EE"/>
        </w:rPr>
        <w:footnoteRef/>
      </w:r>
      <w:r>
        <w:rPr>
          <w:rFonts w:ascii="Times New Roman" w:hAnsi="Times New Roman" w:cs="Times New Roman"/>
          <w:lang w:val="et-EE"/>
        </w:rPr>
        <w:t xml:space="preserve"> Ettepanek: direktiiv kriminaalmenetluse raames kahtlustatavate või süüdistatavate laste menetluslike tagatiste kohta, COM(2013) 822 final, 27.11.2013.</w:t>
      </w:r>
    </w:p>
  </w:footnote>
  <w:footnote w:id="11">
    <w:p>
      <w:pPr>
        <w:pStyle w:val="FootnoteText"/>
        <w:spacing w:afterLines="50" w:after="120"/>
        <w:rPr>
          <w:rFonts w:ascii="Times New Roman" w:hAnsi="Times New Roman" w:cs="Times New Roman"/>
          <w:lang w:val="et-EE"/>
        </w:rPr>
      </w:pPr>
      <w:r>
        <w:rPr>
          <w:rStyle w:val="FootnoteReference"/>
          <w:rFonts w:ascii="Times New Roman" w:eastAsia="Cambria" w:hAnsi="Times New Roman" w:cs="Times New Roman"/>
          <w:lang w:val="et-EE"/>
        </w:rPr>
        <w:footnoteRef/>
      </w:r>
      <w:r>
        <w:rPr>
          <w:rFonts w:ascii="Times New Roman" w:hAnsi="Times New Roman" w:cs="Times New Roman"/>
          <w:lang w:val="et-EE"/>
        </w:rPr>
        <w:t xml:space="preserve"> 25. oktoobri 2012. aasta direktiiv 2012/29/EL, millega kehtestatakse kuriteoohvrite õiguste ning neile pakutava toe ja kaitse miinimumnõuded ning asendatakse nõukogu raamotsus 2001/220/JSK (ELT L 315, 25.10.2012, lk 57).</w:t>
      </w:r>
    </w:p>
  </w:footnote>
  <w:footnote w:id="12">
    <w:p>
      <w:pPr>
        <w:pStyle w:val="FootnoteText"/>
        <w:jc w:val="both"/>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Nõukogu direktiiv 2015/637/EL, mis käsitleb koordineerimis- ja koostöömeetmeid, millega hõlbustatakse liidu esindamata kodanike konsulaarkaitset kolmandates riikides ning tunnistatakse kehtetuks otsus 95/553/EÜ (ELT L 106, 20.4.2015, lk 1).</w:t>
      </w:r>
    </w:p>
  </w:footnote>
  <w:footnote w:id="13">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Euroopa rände tegevuskava, COM(2015) 240 final, 13.5.2015.</w:t>
      </w:r>
    </w:p>
  </w:footnote>
  <w:footnote w:id="14">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See aruanne hõlmab peamisi arenguid 2015. aastal. Ülevaade Euroopa rände tegevuskava rakendamisel tehtud edusammudest ja viimastest ettepanekutest on kättesaadav veebisaidil </w:t>
      </w:r>
      <w:hyperlink r:id="rId4" w:history="1">
        <w:r>
          <w:rPr>
            <w:rStyle w:val="Hyperlink"/>
            <w:rFonts w:ascii="Times New Roman" w:hAnsi="Times New Roman" w:cs="Times New Roman"/>
            <w:lang w:val="et-EE"/>
          </w:rPr>
          <w:t>http://ec.europa.eu/dgs/home-affairs/what-we-do/policies/european-agenda-migration/proposal-implementation-package/index_en.htm</w:t>
        </w:r>
      </w:hyperlink>
      <w:r>
        <w:rPr>
          <w:rFonts w:ascii="Times New Roman" w:hAnsi="Times New Roman" w:cs="Times New Roman"/>
          <w:lang w:val="et-EE"/>
        </w:rPr>
        <w:t xml:space="preserve"> </w:t>
      </w:r>
    </w:p>
    <w:p>
      <w:pPr>
        <w:pStyle w:val="FootnoteText"/>
        <w:rPr>
          <w:rFonts w:ascii="Times New Roman" w:hAnsi="Times New Roman" w:cs="Times New Roman"/>
          <w:lang w:val="et-EE"/>
        </w:rPr>
      </w:pPr>
      <w:r>
        <w:rPr>
          <w:rFonts w:ascii="Times New Roman" w:hAnsi="Times New Roman" w:cs="Times New Roman"/>
          <w:lang w:val="et-EE"/>
        </w:rPr>
        <w:t xml:space="preserve">Informatiivsed teabelehed on kättesaadavad aadressil </w:t>
      </w:r>
      <w:hyperlink r:id="rId5" w:history="1">
        <w:r>
          <w:rPr>
            <w:rStyle w:val="Hyperlink"/>
            <w:rFonts w:ascii="Times New Roman" w:hAnsi="Times New Roman" w:cs="Times New Roman"/>
            <w:lang w:val="et-EE"/>
          </w:rPr>
          <w:t>http://ec.europa.eu/dgs/home-affairs/what-we-do/policies/european-agenda-migration/background-information/index_en.htm</w:t>
        </w:r>
      </w:hyperlink>
      <w:r>
        <w:rPr>
          <w:rFonts w:ascii="Times New Roman" w:hAnsi="Times New Roman" w:cs="Times New Roman"/>
          <w:lang w:val="et-EE"/>
        </w:rPr>
        <w:t xml:space="preserve"> </w:t>
      </w:r>
    </w:p>
  </w:footnote>
  <w:footnote w:id="15">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Komisjoni soovitus Euroopa ümberasustamiskava kohta, C(2015) 3560 final, 8.6.2015.</w:t>
      </w:r>
    </w:p>
  </w:footnote>
  <w:footnote w:id="16">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Komisjoni soovitus, mis käsitleb Türgiga kokkulepitavat vabatahtliku humanitaarsetel põhjustel vastuvõtmise kava, C(2015) 9490, 15.12.2015.</w:t>
      </w:r>
    </w:p>
  </w:footnote>
  <w:footnote w:id="17">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Komisjoni soovitus tagasisaatmise käsiraamatu kohta, mis on mõeldud liikmesriikide pädevatele asutustele tagasisaatmisega seotud küsimuste lahendamisel, C(2015) 6250 final, 1.10.2015.</w:t>
      </w:r>
    </w:p>
  </w:footnote>
  <w:footnote w:id="18">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ELi tagasisaatmisalane tegevuskava, COM(2015) 453 final, 9.9.2015.</w:t>
      </w:r>
    </w:p>
  </w:footnote>
  <w:footnote w:id="19">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Ettepanek: määrus, mis käsitleb Euroopa piiri- ja rannikuvalvet ning millega tunnistatakse kehtetuks määrus (EÜ) nr 2007/2004, määrus (EÜ) nr 863/2007 ja nõukogu otsus 2005/267/EÜ, COM(2015) 671 final, 15.12.2015.</w:t>
      </w:r>
    </w:p>
  </w:footnote>
  <w:footnote w:id="20">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Euroopa julgeoleku tegevuskava, COM(2015) 185 final, 28.4.2015.</w:t>
      </w:r>
    </w:p>
  </w:footnote>
  <w:footnote w:id="21">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Ettepanek: direktiiv terrorismivastase võitluse kohta, millega asendatakse nõukogu raamotsus 2002/475/JSK terrorismivastase võitluse kohta, COM(2015) 625 final, 2.12.2015.</w:t>
      </w:r>
    </w:p>
  </w:footnote>
  <w:footnote w:id="22">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http://ec.europa.eu/education/news/2015/documents/citizenship-education-declaration_en.pdf</w:t>
      </w:r>
    </w:p>
  </w:footnote>
  <w:footnote w:id="23">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2015. aastal esitatud ühine aruanne, mis käsitleb hariduse ja koolituse alase Euroopa koostöö strateegilise raamistiku („Haridus ja koolitus 2020“) rakendamisel tehtud edusamme, mis on kättesaadav aadressil http://eur-lex.europa.eu/legal-content/EN/TXT/?uri=uriserv:OJ.C_.2015.417.01.0025.01.ENG&amp;toc=OJ:C:2015:417:TOC</w:t>
      </w:r>
    </w:p>
  </w:footnote>
  <w:footnote w:id="24">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http://www.consilium.europa.eu/en/press/press-releases/2015/11/20-conclusions-radicalisation/?utm_source=dsms-auto&amp;utm_medium=email&amp;utm_campaign=Conclusions%20of%20the%20Council%20of%20the%20European%20Union%20and%20of%20the%20Member%20States%20meeting%20within%20the%20Council%20on%20enhancing%20the%20criminal%20justice%20response%20to%20radicalisation%20leading%20to%20terrorism%20and%20violent%20extremism</w:t>
      </w:r>
    </w:p>
  </w:footnote>
  <w:footnote w:id="25">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JOIN (2015) 16 final, 28.4.</w:t>
      </w:r>
    </w:p>
  </w:footnote>
  <w:footnote w:id="26">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w:t>
      </w:r>
      <w:hyperlink r:id="rId6" w:history="1">
        <w:r>
          <w:rPr>
            <w:rStyle w:val="Hyperlink"/>
            <w:rFonts w:ascii="Times New Roman" w:hAnsi="Times New Roman" w:cs="Times New Roman"/>
            <w:lang w:val="et-EE"/>
          </w:rPr>
          <w:t>http://www.consilium.europa.eu/en/press/press-releases/2015/07/20-fac-human-rights/</w:t>
        </w:r>
      </w:hyperlink>
      <w:r>
        <w:rPr>
          <w:rStyle w:val="Hyperlink"/>
          <w:rFonts w:ascii="Times New Roman" w:hAnsi="Times New Roman" w:cs="Times New Roman"/>
          <w:lang w:val="et-EE"/>
        </w:rPr>
        <w:t>.</w:t>
      </w:r>
    </w:p>
  </w:footnote>
  <w:footnote w:id="27">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Nõukogu 25. juuni 2012. aasta dokument ST 11855/12.</w:t>
      </w:r>
    </w:p>
  </w:footnote>
  <w:footnote w:id="28">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Kaubandus kõigile: vastutustundlikuma kaubandus- ja investeerimispoliitika poole, 14.10.2015, COM(2015) 497 final.</w:t>
      </w:r>
    </w:p>
  </w:footnote>
  <w:footnote w:id="29">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ELi kodanikud saavad kõnealused õigused vastavalt 2015. aasta USA õiguskaitse seadusele (H.R.1428), mis kehtestati 24. veebruaril 2016 ning mis jõustub 90 päeva möödumisel. Kõnealuseid õigusi saab anda kõigi riikide kodanikele, tuginedes eelnimetatud seaduses määratletud kriteeriumitele. </w:t>
      </w:r>
    </w:p>
  </w:footnote>
  <w:footnote w:id="30">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Komitee peab korrapäraseid dialooge konventsiooni osalisriikidega, tuginedes nende riiklikele (või ELi) aruannetele, dialoogid toimuvad paariaastaste vahedega. • Euroopa Komisjon esitas ELi esimese aruande 2014. aastal. Vt https://documents-dds-ny.un.org/doc/UNDOC/GEN/G14/232/64/PDF/G1423264.pdf?OpenElement</w:t>
      </w:r>
      <w:r>
        <w:rPr>
          <w:rFonts w:ascii="Times New Roman" w:hAnsi="Times New Roman" w:cs="Times New Roman"/>
          <w:lang w:val="et-EE"/>
        </w:rPr>
        <w:br/>
        <w:t>EL peaks esitama ühendatud teise ja kolmanda aruande 2021. aastal.</w:t>
      </w:r>
    </w:p>
  </w:footnote>
  <w:footnote w:id="31">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w:t>
      </w:r>
      <w:hyperlink r:id="rId7" w:history="1">
        <w:r>
          <w:rPr>
            <w:rStyle w:val="Hyperlink"/>
            <w:rFonts w:ascii="Times New Roman" w:hAnsi="Times New Roman" w:cs="Times New Roman"/>
            <w:lang w:val="et-EE"/>
          </w:rPr>
          <w:t>http://trade.ec.europa.eu/doclib/press/index.cfm?id=1344.</w:t>
        </w:r>
      </w:hyperlink>
      <w:r>
        <w:rPr>
          <w:rStyle w:val="Hyperlink"/>
          <w:rFonts w:ascii="Times New Roman" w:hAnsi="Times New Roman" w:cs="Times New Roman"/>
          <w:lang w:val="et-EE"/>
        </w:rPr>
        <w:t>http://trade.ec.europa.eu/doclib/press/index.cfm?id=1344.</w:t>
      </w:r>
    </w:p>
  </w:footnote>
  <w:footnote w:id="32">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C-362/14.</w:t>
      </w:r>
    </w:p>
  </w:footnote>
  <w:footnote w:id="33">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Direktiivi 95/46/EÜ kohaselt vastu võetud komisjoni 26. juuli 2000. aasta otsus 2000/520/EÜ piisava kaitse kohta, mis on ette nähtud programmi Safe Harbor põhimõtetega ja sellega seotud korduma kippuvate küsimustega, mille on välja andnud Ameerika Ühendriikide kaubandusministeerium.</w:t>
      </w:r>
    </w:p>
  </w:footnote>
  <w:footnote w:id="34">
    <w:p>
      <w:pPr>
        <w:pStyle w:val="FootnoteText"/>
        <w:rPr>
          <w:rFonts w:ascii="Times New Roman" w:hAnsi="Times New Roman" w:cs="Times New Roman"/>
          <w:lang w:val="et-EE"/>
        </w:rPr>
      </w:pPr>
      <w:r>
        <w:rPr>
          <w:rStyle w:val="FootnoteReference"/>
          <w:rFonts w:ascii="Times New Roman" w:eastAsia="Cambria" w:hAnsi="Times New Roman" w:cs="Times New Roman"/>
          <w:lang w:val="et-EE"/>
        </w:rPr>
        <w:footnoteRef/>
      </w:r>
      <w:r>
        <w:rPr>
          <w:rFonts w:ascii="Times New Roman" w:hAnsi="Times New Roman" w:cs="Times New Roman"/>
          <w:lang w:val="et-EE"/>
        </w:rPr>
        <w:t xml:space="preserve"> 24. oktoobri 1995. aasta direktiiv 95/46/EÜ üksikisikute kaitse kohta isikuandmete töötlemisel ja selliste andmete vaba liikumise kohta (EÜT L 281, 23.11.1995, lk 31).</w:t>
      </w:r>
    </w:p>
  </w:footnote>
  <w:footnote w:id="35">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COM(2015) 566 (final).</w:t>
      </w:r>
    </w:p>
  </w:footnote>
  <w:footnote w:id="36">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Euroopa Komisjon ja USA jõudsid 2. veebruaril 2016 kokkuleppele seoses Atlandi-üleste andmevoogude uue raamistikuga: ELi–USA andmekaitseraamistik </w:t>
      </w:r>
      <w:r>
        <w:rPr>
          <w:rFonts w:ascii="Times New Roman" w:hAnsi="Times New Roman" w:cs="Times New Roman"/>
          <w:i/>
          <w:lang w:val="et-EE"/>
        </w:rPr>
        <w:t>Privacy Shield</w:t>
      </w:r>
      <w:r>
        <w:rPr>
          <w:rFonts w:ascii="Times New Roman" w:hAnsi="Times New Roman" w:cs="Times New Roman"/>
          <w:lang w:val="et-EE"/>
        </w:rPr>
        <w:t xml:space="preserve">. Komisjon esitas 29. veebruaril 2016 kaitse piisavuse otsuse eelnõu, milles võetakse arvesse kohtuasjas Schrems tehtud otsuses esitatud nõudeid. </w:t>
      </w:r>
    </w:p>
  </w:footnote>
  <w:footnote w:id="37">
    <w:p>
      <w:pPr>
        <w:pStyle w:val="FootnoteText"/>
        <w:rPr>
          <w:rFonts w:ascii="Times New Roman" w:hAnsi="Times New Roman" w:cs="Times New Roman"/>
          <w:lang w:val="et-EE"/>
        </w:rPr>
      </w:pPr>
      <w:r>
        <w:rPr>
          <w:rFonts w:ascii="Times New Roman" w:hAnsi="Times New Roman" w:cs="Times New Roman"/>
          <w:vertAlign w:val="superscript"/>
          <w:lang w:val="et-EE"/>
        </w:rPr>
        <w:footnoteRef/>
      </w:r>
      <w:r>
        <w:rPr>
          <w:rFonts w:ascii="Times New Roman" w:hAnsi="Times New Roman" w:cs="Times New Roman"/>
          <w:lang w:val="et-EE"/>
        </w:rPr>
        <w:t xml:space="preserve"> Euroopa Liidu Kohtule esitati 2011. aastal 27 eelotsusetaotlust, 2012. ja 2013. aastal 41 eelotsusetaotlust ning 2014. aastal 43 eelotsusetaotlust, milles viidati hartale. Vt komisjoni talituste töödokumendi „Ülevaade 2015. aastal esitatud eelotsusetaotlustest, mis viitavad hartale“ II lisa.</w:t>
      </w:r>
    </w:p>
  </w:footnote>
  <w:footnote w:id="38">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w:t>
      </w:r>
      <w:hyperlink r:id="rId8" w:history="1">
        <w:r>
          <w:rPr>
            <w:rStyle w:val="Hyperlink"/>
            <w:rFonts w:ascii="Times New Roman" w:hAnsi="Times New Roman" w:cs="Times New Roman"/>
            <w:lang w:val="et-EE"/>
          </w:rPr>
          <w:t>http://europa.eu/rapid/press-release_IP-15-6228_en.htm</w:t>
        </w:r>
      </w:hyperlink>
      <w:r>
        <w:rPr>
          <w:rFonts w:ascii="Times New Roman" w:hAnsi="Times New Roman" w:cs="Times New Roman"/>
          <w:lang w:val="et-EE"/>
        </w:rPr>
        <w:t>.</w:t>
      </w:r>
    </w:p>
  </w:footnote>
  <w:footnote w:id="39">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Nõukogu 29. juuni 2000. aasta direktiiv 2000/43/EÜ, millega rakendatakse võrdse kohtlemise põhimõte sõltumata isikute rassilisest või etnilisest päritolust (EÜT L 180, 19.7.2000, lk 22).</w:t>
      </w:r>
    </w:p>
  </w:footnote>
  <w:footnote w:id="40">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C-83/14.</w:t>
      </w:r>
    </w:p>
  </w:footnote>
  <w:footnote w:id="41">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C-528/13.</w:t>
      </w:r>
    </w:p>
  </w:footnote>
  <w:footnote w:id="42">
    <w:p>
      <w:pPr>
        <w:pStyle w:val="Caption"/>
        <w:spacing w:afterLines="50" w:after="120"/>
        <w:jc w:val="both"/>
        <w:rPr>
          <w:rFonts w:ascii="Times New Roman" w:hAnsi="Times New Roman" w:cs="Times New Roman"/>
          <w:b w:val="0"/>
          <w:bCs w:val="0"/>
          <w:color w:val="auto"/>
          <w:sz w:val="20"/>
          <w:szCs w:val="20"/>
          <w:lang w:val="et-EE"/>
        </w:rPr>
      </w:pPr>
      <w:r>
        <w:rPr>
          <w:rStyle w:val="FootnoteReference"/>
          <w:rFonts w:ascii="Times New Roman" w:hAnsi="Times New Roman" w:cs="Times New Roman"/>
          <w:color w:val="auto"/>
          <w:sz w:val="20"/>
          <w:szCs w:val="20"/>
          <w:lang w:val="et-EE"/>
        </w:rPr>
        <w:footnoteRef/>
      </w:r>
      <w:r>
        <w:rPr>
          <w:rFonts w:ascii="Times New Roman" w:hAnsi="Times New Roman" w:cs="Times New Roman"/>
          <w:color w:val="auto"/>
          <w:sz w:val="20"/>
          <w:szCs w:val="20"/>
          <w:lang w:val="et-EE"/>
        </w:rPr>
        <w:t xml:space="preserve"> </w:t>
      </w:r>
      <w:r>
        <w:rPr>
          <w:rStyle w:val="Strong"/>
          <w:rFonts w:ascii="Times New Roman" w:hAnsi="Times New Roman" w:cs="Times New Roman"/>
          <w:color w:val="auto"/>
          <w:sz w:val="20"/>
          <w:szCs w:val="20"/>
          <w:lang w:val="et-EE"/>
        </w:rPr>
        <w:t>Komisjoni 22. märtsi 2004. aasta direktiiv 2004/33/EÜ, millega rakendatakse Euroopa Parlamendi ja nõukogu direktiivi 2002/98/EÜ seoses teatavate tehniliste nõuetega vere ja verekomponentide osas</w:t>
      </w:r>
      <w:r>
        <w:rPr>
          <w:rFonts w:ascii="Times New Roman" w:hAnsi="Times New Roman" w:cs="Times New Roman"/>
          <w:color w:val="auto"/>
          <w:sz w:val="20"/>
          <w:szCs w:val="20"/>
          <w:lang w:val="et-EE"/>
        </w:rPr>
        <w:t xml:space="preserve"> </w:t>
      </w:r>
      <w:r>
        <w:rPr>
          <w:rFonts w:ascii="Times New Roman" w:hAnsi="Times New Roman" w:cs="Times New Roman"/>
          <w:b w:val="0"/>
          <w:bCs w:val="0"/>
          <w:color w:val="auto"/>
          <w:sz w:val="20"/>
          <w:szCs w:val="20"/>
          <w:lang w:val="et-EE"/>
        </w:rPr>
        <w:t xml:space="preserve">(ELT L 91, 30.3.2004, lk 25). </w:t>
      </w:r>
    </w:p>
  </w:footnote>
  <w:footnote w:id="43">
    <w:p>
      <w:pPr>
        <w:pStyle w:val="FootnoteText"/>
        <w:rPr>
          <w:rFonts w:ascii="Times New Roman" w:hAnsi="Times New Roman" w:cs="Times New Roman"/>
          <w:lang w:val="et-EE"/>
        </w:rPr>
      </w:pPr>
      <w:r>
        <w:rPr>
          <w:rFonts w:ascii="Times New Roman" w:hAnsi="Times New Roman" w:cs="Times New Roman"/>
          <w:vertAlign w:val="superscript"/>
          <w:lang w:val="et-EE"/>
        </w:rPr>
        <w:footnoteRef/>
      </w:r>
      <w:r>
        <w:rPr>
          <w:rFonts w:ascii="Times New Roman" w:hAnsi="Times New Roman" w:cs="Times New Roman"/>
          <w:lang w:val="et-EE"/>
        </w:rPr>
        <w:t xml:space="preserve"> Põhiõiguste Ameti 2015. aasta aruanne, mis avaldatakse 2016. aasta mais.</w:t>
      </w:r>
    </w:p>
  </w:footnote>
  <w:footnote w:id="44">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BVerfG, Beschluss des Zweiten Senats vom 15. Dezember 2015 - 2 BvR 2735/14.</w:t>
      </w:r>
    </w:p>
  </w:footnote>
  <w:footnote w:id="45">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2002/584/JSK: Nõukogu 13. juuni 2002. aasta raamotsus Euroopa vahistamismääruse ja liikmesriikidevahelise üleandmiskorra kohta (EÜT L 190, 18.7.2002, lk 1).</w:t>
      </w:r>
    </w:p>
  </w:footnote>
  <w:footnote w:id="46">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w:t>
      </w:r>
      <w:hyperlink r:id="rId9" w:history="1">
        <w:r>
          <w:rPr>
            <w:rStyle w:val="Hyperlink"/>
            <w:rFonts w:ascii="Times New Roman" w:hAnsi="Times New Roman" w:cs="Times New Roman"/>
            <w:lang w:val="et-EE"/>
          </w:rPr>
          <w:t>http://ec.europa.eu/public_opinion/archives/flash_arch_420_405_en.htm</w:t>
        </w:r>
      </w:hyperlink>
      <w:r>
        <w:rPr>
          <w:rFonts w:ascii="Times New Roman" w:hAnsi="Times New Roman" w:cs="Times New Roman"/>
          <w:lang w:val="et-EE"/>
        </w:rPr>
        <w:t>.</w:t>
      </w:r>
    </w:p>
  </w:footnote>
  <w:footnote w:id="47">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Järelduste dokument, mis käsitleb ELis tehtavat koostööd juudi- ja moslemivastase vaenu vastu võitlemisel: esimese iga-aastase põhiõiguste alase kollokviumi tulemused: </w:t>
      </w:r>
      <w:hyperlink r:id="rId10" w:history="1">
        <w:r>
          <w:rPr>
            <w:rStyle w:val="Hyperlink"/>
            <w:rFonts w:ascii="Times New Roman" w:hAnsi="Times New Roman" w:cs="Times New Roman"/>
            <w:lang w:val="et-EE"/>
          </w:rPr>
          <w:t>http://ec.europa.eu/justice/events/colloquium-fundamental-rights-2015/files/fundamental_rights_colloquium_conclusions_en.pdf</w:t>
        </w:r>
      </w:hyperlink>
      <w:r>
        <w:rPr>
          <w:rStyle w:val="Hyperlink"/>
          <w:rFonts w:ascii="Times New Roman" w:hAnsi="Times New Roman" w:cs="Times New Roman"/>
          <w:lang w:val="et-EE"/>
        </w:rPr>
        <w:t>.</w:t>
      </w:r>
    </w:p>
  </w:footnote>
  <w:footnote w:id="48">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w:t>
      </w:r>
      <w:hyperlink r:id="rId11" w:history="1">
        <w:r>
          <w:rPr>
            <w:rStyle w:val="Hyperlink"/>
            <w:rFonts w:ascii="Times New Roman" w:hAnsi="Times New Roman" w:cs="Times New Roman"/>
            <w:lang w:val="et-EE"/>
          </w:rPr>
          <w:t>http://ec.europa.eu/justice/newsroom/fundamental-rights/news/151201_en.htm</w:t>
        </w:r>
      </w:hyperlink>
      <w:r>
        <w:rPr>
          <w:rStyle w:val="Hyperlink"/>
          <w:rFonts w:ascii="Times New Roman" w:hAnsi="Times New Roman" w:cs="Times New Roman"/>
          <w:lang w:val="et-EE"/>
        </w:rPr>
        <w:t>.</w:t>
      </w:r>
    </w:p>
  </w:footnote>
  <w:footnote w:id="49">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Nõukogu 28. novembri 2008. aasta raamotsus 2008/913/JSK teatud rassismi ja ksenofoobia vormide ja ilmingute vastu võitlemise kohta kriminaalõiguse vahenditega (ELT L 328, 6.12.2008, lk 55).</w:t>
      </w:r>
    </w:p>
  </w:footnote>
  <w:footnote w:id="50">
    <w:p>
      <w:pPr>
        <w:pStyle w:val="FootnoteText"/>
        <w:rPr>
          <w:rFonts w:ascii="Times New Roman" w:hAnsi="Times New Roman" w:cs="Times New Roman"/>
          <w:lang w:val="et-EE"/>
        </w:rPr>
      </w:pPr>
      <w:r>
        <w:rPr>
          <w:rStyle w:val="FootnoteReference"/>
          <w:rFonts w:ascii="Times New Roman" w:hAnsi="Times New Roman" w:cs="Times New Roman"/>
          <w:lang w:val="et-EE"/>
        </w:rPr>
        <w:footnoteRef/>
      </w:r>
      <w:r>
        <w:rPr>
          <w:rFonts w:ascii="Times New Roman" w:hAnsi="Times New Roman" w:cs="Times New Roman"/>
          <w:lang w:val="et-EE"/>
        </w:rPr>
        <w:t xml:space="preserve"> Vt kollokviumi järelduste 1. osas esitatud peamisi meetmeid.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A0EFD"/>
    <w:multiLevelType w:val="hybridMultilevel"/>
    <w:tmpl w:val="707830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956239A"/>
    <w:multiLevelType w:val="hybridMultilevel"/>
    <w:tmpl w:val="0A7ECD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61025F16"/>
    <w:multiLevelType w:val="hybridMultilevel"/>
    <w:tmpl w:val="E7A2CB46"/>
    <w:lvl w:ilvl="0" w:tplc="5F18AB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5EECD209DB104C8F8CEAA79FF1D72DE8"/>
    <w:docVar w:name="LW_CROSSREFERENCE" w:val="{SWD(2016) 158 final}"/>
    <w:docVar w:name="LW_DocType" w:val="NORMAL"/>
    <w:docVar w:name="LW_EMISSION" w:val="19.5.2016"/>
    <w:docVar w:name="LW_EMISSION_ISODATE" w:val="2016-05-19"/>
    <w:docVar w:name="LW_EMISSION_LOCATION" w:val="BRX"/>
    <w:docVar w:name="LW_EMISSION_PREFIX" w:val="Brüssel,"/>
    <w:docVar w:name="LW_EMISSION_SUFFIX" w:val=" "/>
    <w:docVar w:name="LW_ID_DOCTYPE_NONLW" w:val="CP-008"/>
    <w:docVar w:name="LW_LANGUE" w:val="ET"/>
    <w:docVar w:name="LW_MARKING" w:val="&lt;UNUSED&gt;"/>
    <w:docVar w:name="LW_NOM.INST" w:val="EUROOPA KOMISJON"/>
    <w:docVar w:name="LW_NOM.INST_JOINTDOC" w:val="&lt;EMPTY&gt;"/>
    <w:docVar w:name="LW_PART_NBR" w:val="1"/>
    <w:docVar w:name="LW_PART_NBR_TOTAL" w:val="1"/>
    <w:docVar w:name="LW_REF.INST.NEW" w:val="COM"/>
    <w:docVar w:name="LW_REF.INST.NEW_ADOPTED" w:val="final"/>
    <w:docVar w:name="LW_REF.INST.NEW_TEXT" w:val="(2016) 265"/>
    <w:docVar w:name="LW_REF.INTERNE" w:val="&lt;UNUSED&gt;"/>
    <w:docVar w:name="LW_SOUS.TITRE.OBJ.CP" w:val="&lt;UNUSED&gt;"/>
    <w:docVar w:name="LW_SUPERTITRE" w:val="&lt;UNUSED&gt;"/>
    <w:docVar w:name="LW_TITRE.OBJ.CP" w:val="2015. aasta aruanne ELi põhiõiguste harta kohaldamise kohta"/>
    <w:docVar w:name="LW_TYPE.DOC.CP" w:val="KOMISJONI ARUANNE EUROOPA PARLAMENDILE, NÕUKOGULE, EUROOPA MAJANDUS- JA SOTSIAALKOMITEELE NING REGIOONIDE KOMITEELE"/>
    <w:docVar w:name="Stamp" w:val="\\dossiers.dgt.cec.eu.int\dossiers\JUST\JUST-2016-00716\JUST-2016-00716-00-00-EN-REV-00.DOCX"/>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styleId="FootnoteText">
    <w:name w:val="footnote text"/>
    <w:basedOn w:val="Normal"/>
    <w:uiPriority w:val="99"/>
    <w:unhideWhenUsed/>
    <w:pPr>
      <w:spacing w:after="0" w:line="240" w:lineRule="auto"/>
    </w:pPr>
    <w:rPr>
      <w:sz w:val="20"/>
      <w:szCs w:val="20"/>
    </w:rPr>
  </w:style>
  <w:style w:type="character" w:customStyle="1" w:styleId="FootnoteTextChar">
    <w:name w:val="Footnote Text Char"/>
    <w:basedOn w:val="DefaultParagraphFont"/>
    <w:uiPriority w:val="99"/>
    <w:semiHidden/>
    <w:rPr>
      <w:sz w:val="20"/>
      <w:szCs w:val="20"/>
    </w:rPr>
  </w:style>
  <w:style w:type="character" w:styleId="Hyperlink">
    <w:name w:val="Hyperlink"/>
    <w:rPr>
      <w:u w:val="single"/>
    </w:rPr>
  </w:style>
  <w:style w:type="character" w:styleId="FootnoteReference">
    <w:name w:val="footnote reference"/>
    <w:aliases w:val="Odwołanie przypisu,Footnote symbol,BVI fnr,Footnote,Footnotes refss,SUPERS,Footnote Reference Superscript,Ref,de nota al pie,-E Fußnotenzeichen,Footnote reference number,Times 10 Point,Exposant 3 Point,E,E FNZ,Footnote#,note TESI,FR,F"/>
    <w:basedOn w:val="DefaultParagraphFont"/>
    <w:link w:val="ftrefCharCharCharCharCharCharCharCharChar"/>
    <w:uiPriority w:val="99"/>
    <w:unhideWhenUsed/>
    <w:qFormat/>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pPr>
      <w:spacing w:after="160" w:line="240" w:lineRule="exact"/>
    </w:pPr>
    <w:rPr>
      <w:vertAlign w:val="superscript"/>
    </w:rPr>
  </w:style>
  <w:style w:type="paragraph" w:styleId="Caption">
    <w:name w:val="caption"/>
    <w:basedOn w:val="Normal"/>
    <w:next w:val="Normal"/>
    <w:semiHidden/>
    <w:unhideWhenUsed/>
    <w:qFormat/>
    <w:pPr>
      <w:pBdr>
        <w:top w:val="nil"/>
        <w:left w:val="nil"/>
        <w:bottom w:val="nil"/>
        <w:right w:val="nil"/>
        <w:between w:val="nil"/>
        <w:bar w:val="nil"/>
      </w:pBdr>
      <w:spacing w:line="240" w:lineRule="auto"/>
    </w:pPr>
    <w:rPr>
      <w:rFonts w:ascii="Calibri" w:eastAsia="Calibri" w:hAnsi="Calibri" w:cs="Calibri"/>
      <w:b/>
      <w:bCs/>
      <w:color w:val="4F81BD" w:themeColor="accent1"/>
      <w:sz w:val="18"/>
      <w:szCs w:val="18"/>
      <w:u w:color="000000"/>
      <w:bdr w:val="nil"/>
    </w:rPr>
  </w:style>
  <w:style w:type="character" w:styleId="Strong">
    <w:name w:val="Strong"/>
    <w:uiPriority w:val="22"/>
    <w:qFormat/>
    <w:rPr>
      <w:b/>
      <w:bC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FollowedHyperlink">
    <w:name w:val="FollowedHyperlink"/>
    <w:basedOn w:val="DefaultParagraphFont"/>
    <w:uiPriority w:val="99"/>
    <w:semiHidden/>
    <w:unhideWhenUsed/>
    <w:rPr>
      <w:color w:val="800080" w:themeColor="followedHyperlink"/>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styleId="FootnoteText">
    <w:name w:val="footnote text"/>
    <w:basedOn w:val="Normal"/>
    <w:uiPriority w:val="99"/>
    <w:unhideWhenUsed/>
    <w:pPr>
      <w:spacing w:after="0" w:line="240" w:lineRule="auto"/>
    </w:pPr>
    <w:rPr>
      <w:sz w:val="20"/>
      <w:szCs w:val="20"/>
    </w:rPr>
  </w:style>
  <w:style w:type="character" w:customStyle="1" w:styleId="FootnoteTextChar">
    <w:name w:val="Footnote Text Char"/>
    <w:basedOn w:val="DefaultParagraphFont"/>
    <w:uiPriority w:val="99"/>
    <w:semiHidden/>
    <w:rPr>
      <w:sz w:val="20"/>
      <w:szCs w:val="20"/>
    </w:rPr>
  </w:style>
  <w:style w:type="character" w:styleId="Hyperlink">
    <w:name w:val="Hyperlink"/>
    <w:rPr>
      <w:u w:val="single"/>
    </w:rPr>
  </w:style>
  <w:style w:type="character" w:styleId="FootnoteReference">
    <w:name w:val="footnote reference"/>
    <w:aliases w:val="Odwołanie przypisu,Footnote symbol,BVI fnr,Footnote,Footnotes refss,SUPERS,Footnote Reference Superscript,Ref,de nota al pie,-E Fußnotenzeichen,Footnote reference number,Times 10 Point,Exposant 3 Point,E,E FNZ,Footnote#,note TESI,FR,F"/>
    <w:basedOn w:val="DefaultParagraphFont"/>
    <w:link w:val="ftrefCharCharCharCharCharCharCharCharChar"/>
    <w:uiPriority w:val="99"/>
    <w:unhideWhenUsed/>
    <w:qFormat/>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pPr>
      <w:spacing w:after="160" w:line="240" w:lineRule="exact"/>
    </w:pPr>
    <w:rPr>
      <w:vertAlign w:val="superscript"/>
    </w:rPr>
  </w:style>
  <w:style w:type="paragraph" w:styleId="Caption">
    <w:name w:val="caption"/>
    <w:basedOn w:val="Normal"/>
    <w:next w:val="Normal"/>
    <w:semiHidden/>
    <w:unhideWhenUsed/>
    <w:qFormat/>
    <w:pPr>
      <w:pBdr>
        <w:top w:val="nil"/>
        <w:left w:val="nil"/>
        <w:bottom w:val="nil"/>
        <w:right w:val="nil"/>
        <w:between w:val="nil"/>
        <w:bar w:val="nil"/>
      </w:pBdr>
      <w:spacing w:line="240" w:lineRule="auto"/>
    </w:pPr>
    <w:rPr>
      <w:rFonts w:ascii="Calibri" w:eastAsia="Calibri" w:hAnsi="Calibri" w:cs="Calibri"/>
      <w:b/>
      <w:bCs/>
      <w:color w:val="4F81BD" w:themeColor="accent1"/>
      <w:sz w:val="18"/>
      <w:szCs w:val="18"/>
      <w:u w:color="000000"/>
      <w:bdr w:val="nil"/>
    </w:rPr>
  </w:style>
  <w:style w:type="character" w:styleId="Strong">
    <w:name w:val="Strong"/>
    <w:uiPriority w:val="22"/>
    <w:qFormat/>
    <w:rPr>
      <w:b/>
      <w:bC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FollowedHyperlink">
    <w:name w:val="FollowedHyperlink"/>
    <w:basedOn w:val="DefaultParagraphFont"/>
    <w:uiPriority w:val="99"/>
    <w:semiHidden/>
    <w:unhideWhenUsed/>
    <w:rPr>
      <w:color w:val="800080" w:themeColor="followedHyperlink"/>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45206">
      <w:bodyDiv w:val="1"/>
      <w:marLeft w:val="0"/>
      <w:marRight w:val="0"/>
      <w:marTop w:val="0"/>
      <w:marBottom w:val="0"/>
      <w:divBdr>
        <w:top w:val="none" w:sz="0" w:space="0" w:color="auto"/>
        <w:left w:val="none" w:sz="0" w:space="0" w:color="auto"/>
        <w:bottom w:val="none" w:sz="0" w:space="0" w:color="auto"/>
        <w:right w:val="none" w:sz="0" w:space="0" w:color="auto"/>
      </w:divBdr>
    </w:div>
    <w:div w:id="417409768">
      <w:bodyDiv w:val="1"/>
      <w:marLeft w:val="0"/>
      <w:marRight w:val="0"/>
      <w:marTop w:val="0"/>
      <w:marBottom w:val="0"/>
      <w:divBdr>
        <w:top w:val="none" w:sz="0" w:space="0" w:color="auto"/>
        <w:left w:val="none" w:sz="0" w:space="0" w:color="auto"/>
        <w:bottom w:val="none" w:sz="0" w:space="0" w:color="auto"/>
        <w:right w:val="none" w:sz="0" w:space="0" w:color="auto"/>
      </w:divBdr>
    </w:div>
    <w:div w:id="1272400909">
      <w:bodyDiv w:val="1"/>
      <w:marLeft w:val="0"/>
      <w:marRight w:val="0"/>
      <w:marTop w:val="0"/>
      <w:marBottom w:val="0"/>
      <w:divBdr>
        <w:top w:val="none" w:sz="0" w:space="0" w:color="auto"/>
        <w:left w:val="none" w:sz="0" w:space="0" w:color="auto"/>
        <w:bottom w:val="none" w:sz="0" w:space="0" w:color="auto"/>
        <w:right w:val="none" w:sz="0" w:space="0" w:color="auto"/>
      </w:divBdr>
    </w:div>
    <w:div w:id="210044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ec.europa.eu/public_opinion/archives/flash_arch_420_405_en.htm"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europa.eu/rapid/press-release_IP-15-6228_en.htm" TargetMode="External"/><Relationship Id="rId3" Type="http://schemas.openxmlformats.org/officeDocument/2006/relationships/hyperlink" Target="http://europa.eu/rapid/press-release_IP-15-6321_en.htm" TargetMode="External"/><Relationship Id="rId7" Type="http://schemas.openxmlformats.org/officeDocument/2006/relationships/hyperlink" Target="http://trade.ec.europa.eu/doclib/press/index.cfm?id=1344." TargetMode="External"/><Relationship Id="rId2" Type="http://schemas.openxmlformats.org/officeDocument/2006/relationships/hyperlink" Target="http://www.europarl.europa.eu/sides/getDoc.do?type=TA&amp;reference=P8-TA-2015-0286&amp;language=EN&amp;ring=A8-2015-0230" TargetMode="External"/><Relationship Id="rId1" Type="http://schemas.openxmlformats.org/officeDocument/2006/relationships/hyperlink" Target="http://ec.europa.eu/smart-regulation/guidelines/toc_tool_en.htm" TargetMode="External"/><Relationship Id="rId6" Type="http://schemas.openxmlformats.org/officeDocument/2006/relationships/hyperlink" Target="http://www.consilium.europa.eu/en/press/press-releases/2015/07/20-fac-human-rights/" TargetMode="External"/><Relationship Id="rId11" Type="http://schemas.openxmlformats.org/officeDocument/2006/relationships/hyperlink" Target="http://ec.europa.eu/justice/newsroom/fundamental-rights/news/151201_en.htm" TargetMode="External"/><Relationship Id="rId5" Type="http://schemas.openxmlformats.org/officeDocument/2006/relationships/hyperlink" Target="http://ec.europa.eu/dgs/home-affairs/what-we-do/policies/european-agenda-migration/background-information/index_en.htm" TargetMode="External"/><Relationship Id="rId10" Type="http://schemas.openxmlformats.org/officeDocument/2006/relationships/hyperlink" Target="http://ec.europa.eu/justice/events/colloquium-fundamental-rights-2015/files/fundamental_rights_colloquium_conclusions_en.pdf" TargetMode="External"/><Relationship Id="rId4" Type="http://schemas.openxmlformats.org/officeDocument/2006/relationships/hyperlink" Target="http://ec.europa.eu/dgs/home-affairs/what-we-do/policies/european-agenda-migration/proposal-implementation-package/index_en.htm" TargetMode="External"/><Relationship Id="rId9" Type="http://schemas.openxmlformats.org/officeDocument/2006/relationships/hyperlink" Target="http://ec.europa.eu/public_opinion/archives/flash_arch_420_405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0B17A-106E-4768-A41F-E9FF9FF6F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14</Pages>
  <Words>3326</Words>
  <Characters>26078</Characters>
  <Application>Microsoft Office Word</Application>
  <DocSecurity>0</DocSecurity>
  <Lines>338</Lines>
  <Paragraphs>80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28</cp:revision>
  <cp:lastPrinted>2016-04-08T07:03:00Z</cp:lastPrinted>
  <dcterms:created xsi:type="dcterms:W3CDTF">2016-05-19T08:12:00Z</dcterms:created>
  <dcterms:modified xsi:type="dcterms:W3CDTF">2016-05-23T15:26:00Z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Classification">
    <vt:lpwstr> </vt:lpwstr>
  </property>
  <property fmtid="{D5CDD505-2E9C-101B-9397-08002B2CF9AE}" pid="5" name="DocStatus">
    <vt:lpwstr>Green</vt:lpwstr>
  </property>
  <property name="OP_sanitized" fmtid="{D5CDD505-2E9C-101B-9397-08002B2CF9AE}" pid="6">
    <vt:lpwstr>True</vt:lpwstr>
  </property>
</Properties>
</file>