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852" w:rsidRDefault="00394F90">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51AD69BF29A4C7999CFC63D6245A976" style="width:450.7pt;height:402.1pt">
            <v:imagedata r:id="rId9" o:title=""/>
          </v:shape>
        </w:pict>
      </w:r>
    </w:p>
    <w:bookmarkEnd w:id="0"/>
    <w:p w:rsidR="00683852" w:rsidRDefault="00683852">
      <w:pPr>
        <w:rPr>
          <w:noProof/>
        </w:rPr>
        <w:sectPr w:rsidR="00683852">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683852" w:rsidRDefault="00394F90">
      <w:pPr>
        <w:pStyle w:val="Heading1"/>
        <w:rPr>
          <w:noProof/>
          <w:szCs w:val="24"/>
        </w:rPr>
      </w:pPr>
      <w:r>
        <w:rPr>
          <w:noProof/>
        </w:rPr>
        <w:lastRenderedPageBreak/>
        <w:t>Sissejuhatus</w:t>
      </w:r>
    </w:p>
    <w:p w:rsidR="00683852" w:rsidRDefault="00394F90">
      <w:pPr>
        <w:pStyle w:val="CommentText"/>
        <w:spacing w:line="276" w:lineRule="auto"/>
        <w:rPr>
          <w:rFonts w:ascii="Times New Roman" w:hAnsi="Times New Roman"/>
          <w:noProof/>
          <w:sz w:val="24"/>
          <w:szCs w:val="24"/>
        </w:rPr>
      </w:pPr>
      <w:r>
        <w:rPr>
          <w:rFonts w:ascii="Times New Roman" w:hAnsi="Times New Roman"/>
          <w:noProof/>
          <w:sz w:val="24"/>
        </w:rPr>
        <w:t xml:space="preserve">E-valitsus toetab haldusprotsesse, parandab teenuste kvaliteeti ja suurendab avaliku </w:t>
      </w:r>
      <w:r>
        <w:rPr>
          <w:rFonts w:ascii="Times New Roman" w:hAnsi="Times New Roman"/>
          <w:noProof/>
          <w:sz w:val="24"/>
        </w:rPr>
        <w:t xml:space="preserve">sektori sisemist tõhusust. Digitaalsed avaliku sektori teenused vähendavad ettevõtjate ja kodanike halduskoormust, sest suhtlus avaliku sektori asutustega muutub kiiremaks, tõhusamaks, mugavamaks, läbipaistvamaks ja odavamaks. Ühtlasi võib digitehnoloogia </w:t>
      </w:r>
      <w:r>
        <w:rPr>
          <w:rFonts w:ascii="Times New Roman" w:hAnsi="Times New Roman"/>
          <w:noProof/>
          <w:sz w:val="24"/>
        </w:rPr>
        <w:t>kasutamine valitsemissektori ajakohastamisstrateegiate lahutamatu osana tuua kaasa täiendavat majanduslikku ja sotsiaalset kasu kogu ühiskonnale</w:t>
      </w:r>
      <w:r>
        <w:rPr>
          <w:rStyle w:val="FootnoteReference"/>
          <w:noProof/>
          <w:sz w:val="22"/>
        </w:rPr>
        <w:footnoteReference w:id="1"/>
      </w:r>
      <w:r>
        <w:rPr>
          <w:rFonts w:ascii="Times New Roman" w:hAnsi="Times New Roman"/>
          <w:noProof/>
          <w:sz w:val="24"/>
        </w:rPr>
        <w:t>. Valitsemissektori digitaalne ümberkujundamine on ühtse turu edu üks peamisi komponente.</w:t>
      </w:r>
    </w:p>
    <w:p w:rsidR="00683852" w:rsidRDefault="00394F90">
      <w:pPr>
        <w:pStyle w:val="CommentText"/>
        <w:spacing w:line="276" w:lineRule="auto"/>
        <w:rPr>
          <w:rFonts w:ascii="Times New Roman" w:hAnsi="Times New Roman"/>
          <w:noProof/>
          <w:sz w:val="24"/>
          <w:szCs w:val="24"/>
        </w:rPr>
      </w:pPr>
      <w:r>
        <w:rPr>
          <w:rFonts w:ascii="Times New Roman" w:hAnsi="Times New Roman"/>
          <w:noProof/>
          <w:sz w:val="24"/>
        </w:rPr>
        <w:t>E-valitsuse tegevuska</w:t>
      </w:r>
      <w:r>
        <w:rPr>
          <w:rFonts w:ascii="Times New Roman" w:hAnsi="Times New Roman"/>
          <w:noProof/>
          <w:sz w:val="24"/>
        </w:rPr>
        <w:t>vad</w:t>
      </w:r>
      <w:r>
        <w:rPr>
          <w:rStyle w:val="FootnoteReference"/>
          <w:noProof/>
          <w:sz w:val="22"/>
        </w:rPr>
        <w:footnoteReference w:id="2"/>
      </w:r>
      <w:r>
        <w:rPr>
          <w:rFonts w:ascii="Times New Roman" w:hAnsi="Times New Roman"/>
          <w:noProof/>
          <w:sz w:val="24"/>
        </w:rPr>
        <w:t xml:space="preserve"> on olnud avaliku sektori ajakohastamise suunas liikumise poliitilised tööriistad kogu Euroopa Liidus. Nad on toetanud liikmesriikide ja komisjoni vahelist koordineerimist ja koostööd ning toonud kaasa e-valitsuse teemalisi ühismeetmeid.</w:t>
      </w:r>
    </w:p>
    <w:p w:rsidR="00683852" w:rsidRDefault="00394F90">
      <w:pPr>
        <w:pStyle w:val="CommentText"/>
        <w:spacing w:line="276" w:lineRule="auto"/>
        <w:rPr>
          <w:noProof/>
        </w:rPr>
      </w:pPr>
      <w:r>
        <w:rPr>
          <w:rFonts w:ascii="Times New Roman" w:hAnsi="Times New Roman"/>
          <w:noProof/>
          <w:sz w:val="24"/>
        </w:rPr>
        <w:t>Varasema, 2011</w:t>
      </w:r>
      <w:r>
        <w:rPr>
          <w:rFonts w:ascii="Times New Roman" w:hAnsi="Times New Roman"/>
          <w:noProof/>
          <w:sz w:val="24"/>
        </w:rPr>
        <w:t>.–2015. aasta e-valitsuse tegevuskava</w:t>
      </w:r>
      <w:r>
        <w:rPr>
          <w:rStyle w:val="FootnoteReference"/>
          <w:noProof/>
          <w:sz w:val="22"/>
        </w:rPr>
        <w:footnoteReference w:id="3"/>
      </w:r>
      <w:r>
        <w:rPr>
          <w:rStyle w:val="FootnoteReference"/>
          <w:noProof/>
          <w:sz w:val="22"/>
        </w:rPr>
        <w:footnoteReference w:id="4"/>
      </w:r>
      <w:r>
        <w:rPr>
          <w:rFonts w:ascii="Times New Roman" w:hAnsi="Times New Roman"/>
          <w:noProof/>
          <w:sz w:val="24"/>
        </w:rPr>
        <w:t xml:space="preserve"> hindamistulemustes tunnistati, et tegevuskaval</w:t>
      </w:r>
      <w:r>
        <w:rPr>
          <w:rStyle w:val="FootnoteReference"/>
          <w:rFonts w:ascii="Times New Roman" w:hAnsi="Times New Roman"/>
          <w:noProof/>
          <w:sz w:val="24"/>
        </w:rPr>
        <w:footnoteReference w:id="5"/>
      </w:r>
      <w:r>
        <w:rPr>
          <w:rFonts w:ascii="Times New Roman" w:hAnsi="Times New Roman"/>
          <w:noProof/>
          <w:sz w:val="24"/>
        </w:rPr>
        <w:t xml:space="preserve"> oli positiivne mõju e-valitsuse arendamisele nii Euroopa kui ka liikmesriikide tasandil. See aitas muuta riikide e-valitsuse strateegiad ühtsemaks ning toetas parimate </w:t>
      </w:r>
      <w:r>
        <w:rPr>
          <w:rFonts w:ascii="Times New Roman" w:hAnsi="Times New Roman"/>
          <w:noProof/>
          <w:sz w:val="24"/>
        </w:rPr>
        <w:t>tavade vahetamist ja lahenduste koostalitlusvõimet liikmesriikide vahel. Eeskätt arenesid tänu sellele tehnoloogia tõuketegurid, mis on võtmetähtsusega, et soodustada juurdepääsu avalikele teenustele ja nende kasutamist. Samas ei saa kodanikud ja ettevõtja</w:t>
      </w:r>
      <w:r>
        <w:rPr>
          <w:rFonts w:ascii="Times New Roman" w:hAnsi="Times New Roman"/>
          <w:noProof/>
          <w:sz w:val="24"/>
        </w:rPr>
        <w:t>d siiski veel täit kasu digitaalsetest teenustest, mis peaksid olema sujuvalt kättesaadavad kogu ELis.</w:t>
      </w:r>
    </w:p>
    <w:p w:rsidR="00683852" w:rsidRDefault="00394F90">
      <w:pPr>
        <w:rPr>
          <w:rFonts w:ascii="Times New Roman" w:hAnsi="Times New Roman"/>
          <w:noProof/>
          <w:sz w:val="24"/>
          <w:szCs w:val="24"/>
        </w:rPr>
      </w:pPr>
      <w:r>
        <w:rPr>
          <w:rFonts w:ascii="Times New Roman" w:hAnsi="Times New Roman"/>
          <w:noProof/>
          <w:sz w:val="24"/>
        </w:rPr>
        <w:t>Tegutsedes Euroopa Liidu tasandil ühiselt, saab e-valitsuse teenuste kättesaadavust ja levikut suurendada, mille tulemuseks on kiiremad, odavamad ja kasu</w:t>
      </w:r>
      <w:r>
        <w:rPr>
          <w:rFonts w:ascii="Times New Roman" w:hAnsi="Times New Roman"/>
          <w:noProof/>
          <w:sz w:val="24"/>
        </w:rPr>
        <w:t>tajakesksemad digitaalsed avalikud teenused. Sujuvad piiriülesed ja digitaalsed avalikud teenused aitavad parandada konkurentsivõimet ning muudavad ELi atraktiivsemaks kohaks, kuhu investeerida</w:t>
      </w:r>
      <w:r>
        <w:rPr>
          <w:rStyle w:val="FootnoteReference"/>
          <w:rFonts w:ascii="Times New Roman" w:hAnsi="Times New Roman"/>
          <w:noProof/>
          <w:sz w:val="24"/>
        </w:rPr>
        <w:footnoteReference w:id="6"/>
      </w:r>
      <w:r>
        <w:rPr>
          <w:rFonts w:ascii="Times New Roman" w:hAnsi="Times New Roman"/>
          <w:noProof/>
          <w:sz w:val="24"/>
        </w:rPr>
        <w:t xml:space="preserve"> ja kus elada.</w:t>
      </w:r>
    </w:p>
    <w:p w:rsidR="00683852" w:rsidRDefault="00394F90">
      <w:pPr>
        <w:rPr>
          <w:rFonts w:ascii="Times New Roman" w:hAnsi="Times New Roman" w:cs="Times New Roman"/>
          <w:noProof/>
          <w:sz w:val="24"/>
          <w:szCs w:val="24"/>
        </w:rPr>
      </w:pPr>
      <w:r>
        <w:rPr>
          <w:rFonts w:ascii="Times New Roman" w:hAnsi="Times New Roman"/>
          <w:noProof/>
          <w:sz w:val="24"/>
        </w:rPr>
        <w:t>Euroopa digitaalse ühtse turu strateegias</w:t>
      </w:r>
      <w:r>
        <w:rPr>
          <w:rStyle w:val="FootnoteReference"/>
          <w:noProof/>
        </w:rPr>
        <w:footnoteReference w:id="7"/>
      </w:r>
      <w:r>
        <w:rPr>
          <w:rFonts w:ascii="Times New Roman" w:hAnsi="Times New Roman"/>
          <w:noProof/>
          <w:sz w:val="24"/>
        </w:rPr>
        <w:t xml:space="preserve"> kuul</w:t>
      </w:r>
      <w:r>
        <w:rPr>
          <w:rFonts w:ascii="Times New Roman" w:hAnsi="Times New Roman"/>
          <w:noProof/>
          <w:sz w:val="24"/>
        </w:rPr>
        <w:t>utati välja uus e-valitsuse tegevuskava aastateks 2016–2020, mille eesmärk on kõrvaldada digitaalselt ühtselt turult senised digitaalsed tõkked ja vältida edasist killustumist, mis võiks tekkida seoses avaliku halduse ajakohastamisega. Käesoleva ELi e-vali</w:t>
      </w:r>
      <w:r>
        <w:rPr>
          <w:rFonts w:ascii="Times New Roman" w:hAnsi="Times New Roman"/>
          <w:noProof/>
          <w:sz w:val="24"/>
        </w:rPr>
        <w:t>tsuse tegevuskava eesmärk on olla jõupingutuste ühendamise töövahend. Kui liikmesriigid tegelevad oma strateegiate ja meetmetega, siis pikaajalisel jagatud nägemusel põhinevas käesolevas tegevuskavas esitatakse rida põhimõtteid, mida tuleks tulevastes alga</w:t>
      </w:r>
      <w:r>
        <w:rPr>
          <w:rFonts w:ascii="Times New Roman" w:hAnsi="Times New Roman"/>
          <w:noProof/>
          <w:sz w:val="24"/>
        </w:rPr>
        <w:t>tustes arvesse võtta, et realiseerida need eelised, mida e-valitsus võib ettevõtjate, kodanike ja avaliku sektori asutuste endi jaoks luua.</w:t>
      </w:r>
    </w:p>
    <w:p w:rsidR="00683852" w:rsidRDefault="00394F90">
      <w:pPr>
        <w:rPr>
          <w:rFonts w:ascii="Times New Roman" w:eastAsia="Calibri" w:hAnsi="Times New Roman" w:cs="Times New Roman"/>
          <w:noProof/>
          <w:sz w:val="24"/>
          <w:szCs w:val="24"/>
        </w:rPr>
      </w:pPr>
      <w:r>
        <w:rPr>
          <w:rFonts w:ascii="Times New Roman" w:hAnsi="Times New Roman"/>
          <w:noProof/>
          <w:sz w:val="24"/>
        </w:rPr>
        <w:lastRenderedPageBreak/>
        <w:t xml:space="preserve">Tegevuskavas kirjeldatakse dünaamilist ja paindlikku lähenemisviisi, mis võimaldaks pidada sammu keskkonna kiire </w:t>
      </w:r>
      <w:r>
        <w:rPr>
          <w:rFonts w:ascii="Times New Roman" w:hAnsi="Times New Roman"/>
          <w:noProof/>
          <w:sz w:val="24"/>
        </w:rPr>
        <w:t>muutumisega</w:t>
      </w:r>
      <w:r>
        <w:rPr>
          <w:rStyle w:val="FootnoteReference"/>
          <w:noProof/>
        </w:rPr>
        <w:footnoteReference w:id="8"/>
      </w:r>
      <w:r>
        <w:rPr>
          <w:rFonts w:ascii="Times New Roman" w:hAnsi="Times New Roman"/>
          <w:noProof/>
          <w:sz w:val="24"/>
        </w:rPr>
        <w:t>. Lisaks käesolevas tegevuskavas loetletud meetmetele võib komisjon või võivad sidusrühmad, sh liikmesriigid, pakkuda ka omalt poolt välja täiendavaid meetmeid. Kõik komisjoni eestvedamisel kavandatavad meetmed valmistatakse ette komisjoni pare</w:t>
      </w:r>
      <w:r>
        <w:rPr>
          <w:rFonts w:ascii="Times New Roman" w:hAnsi="Times New Roman"/>
          <w:noProof/>
          <w:sz w:val="24"/>
        </w:rPr>
        <w:t>m õigusloome standardite kohaselt.</w:t>
      </w:r>
    </w:p>
    <w:p w:rsidR="00683852" w:rsidRDefault="00394F90">
      <w:pPr>
        <w:rPr>
          <w:rFonts w:ascii="Times New Roman" w:hAnsi="Times New Roman" w:cs="Times New Roman"/>
          <w:noProof/>
          <w:sz w:val="24"/>
          <w:szCs w:val="24"/>
        </w:rPr>
      </w:pPr>
      <w:r>
        <w:rPr>
          <w:rFonts w:ascii="Times New Roman" w:hAnsi="Times New Roman"/>
          <w:noProof/>
          <w:sz w:val="24"/>
        </w:rPr>
        <w:t>Tegevuskava on katalüsaator, mille põhjalt koordineerida avaliku sektori ajakohastamist ja e-valitsuse valdkonna ressursse. Tegevuskava jaoks ei looda eraldi eelarvet ega rahastamisvahendit, kuid see aitab koordineerida r</w:t>
      </w:r>
      <w:r>
        <w:rPr>
          <w:rFonts w:ascii="Times New Roman" w:hAnsi="Times New Roman"/>
          <w:noProof/>
          <w:sz w:val="24"/>
        </w:rPr>
        <w:t>ahastamisallikaid ja kaasnevaid meetmeid, mis on liikmesriikide käsutuses tänu erinevatele ELi programmidele</w:t>
      </w:r>
      <w:r>
        <w:rPr>
          <w:rStyle w:val="FootnoteReference"/>
          <w:noProof/>
        </w:rPr>
        <w:footnoteReference w:id="9"/>
      </w:r>
      <w:r>
        <w:rPr>
          <w:rFonts w:ascii="Times New Roman" w:hAnsi="Times New Roman"/>
          <w:noProof/>
          <w:sz w:val="24"/>
        </w:rPr>
        <w:t>.</w:t>
      </w:r>
    </w:p>
    <w:p w:rsidR="00683852" w:rsidRDefault="00394F90">
      <w:pPr>
        <w:pStyle w:val="Heading1"/>
        <w:rPr>
          <w:noProof/>
          <w:szCs w:val="24"/>
        </w:rPr>
      </w:pPr>
      <w:r>
        <w:rPr>
          <w:noProof/>
        </w:rPr>
        <w:t>Visioon ja aluspõhimõtted</w:t>
      </w:r>
    </w:p>
    <w:p w:rsidR="00683852" w:rsidRDefault="00394F90">
      <w:pPr>
        <w:rPr>
          <w:rFonts w:ascii="Times New Roman" w:hAnsi="Times New Roman" w:cs="Times New Roman"/>
          <w:noProof/>
          <w:sz w:val="24"/>
          <w:szCs w:val="24"/>
        </w:rPr>
      </w:pPr>
      <w:r>
        <w:rPr>
          <w:rFonts w:ascii="Times New Roman" w:hAnsi="Times New Roman"/>
          <w:noProof/>
          <w:sz w:val="24"/>
        </w:rPr>
        <w:t>Liikmesriikide valitsused on pikka aega püüelnud selle poole, et olla suhetes kodanike ja ettevõtjatega avatud, paindli</w:t>
      </w:r>
      <w:r>
        <w:rPr>
          <w:rFonts w:ascii="Times New Roman" w:hAnsi="Times New Roman"/>
          <w:noProof/>
          <w:sz w:val="24"/>
        </w:rPr>
        <w:t>kud ja koostööle orienteeritud, kasutades selleks e-valitsuse võimalusi, et olla tõhusam ja tulemuslikum ning parandada pidevalt avaliku sektori teenuseid</w:t>
      </w:r>
      <w:r>
        <w:rPr>
          <w:rStyle w:val="FootnoteReference"/>
          <w:noProof/>
        </w:rPr>
        <w:footnoteReference w:id="10"/>
      </w:r>
      <w:r>
        <w:rPr>
          <w:rFonts w:ascii="Times New Roman" w:hAnsi="Times New Roman"/>
          <w:noProof/>
          <w:sz w:val="24"/>
        </w:rPr>
        <w:t>.</w:t>
      </w:r>
    </w:p>
    <w:p w:rsidR="00683852" w:rsidRDefault="00394F90">
      <w:pPr>
        <w:rPr>
          <w:noProof/>
        </w:rPr>
      </w:pPr>
      <w:r>
        <w:rPr>
          <w:rFonts w:ascii="Times New Roman" w:hAnsi="Times New Roman"/>
          <w:noProof/>
          <w:sz w:val="24"/>
        </w:rPr>
        <w:t>Tegevuskava aluseks on järgmine visioon:</w:t>
      </w:r>
    </w:p>
    <w:p w:rsidR="00683852" w:rsidRDefault="00394F90">
      <w:pPr>
        <w:pBdr>
          <w:top w:val="single" w:sz="4" w:space="1" w:color="auto"/>
          <w:left w:val="single" w:sz="4" w:space="4" w:color="auto"/>
          <w:bottom w:val="single" w:sz="4" w:space="1" w:color="auto"/>
          <w:right w:val="single" w:sz="4" w:space="4" w:color="auto"/>
        </w:pBdr>
        <w:shd w:val="clear" w:color="auto" w:fill="C7C7C7" w:themeFill="background1" w:themeFillShade="D9"/>
        <w:ind w:left="360"/>
        <w:rPr>
          <w:rFonts w:ascii="Times New Roman" w:hAnsi="Times New Roman" w:cs="Times New Roman"/>
          <w:noProof/>
          <w:sz w:val="24"/>
          <w:szCs w:val="24"/>
        </w:rPr>
      </w:pPr>
      <w:r>
        <w:rPr>
          <w:rFonts w:ascii="Times New Roman" w:hAnsi="Times New Roman"/>
          <w:noProof/>
          <w:sz w:val="24"/>
        </w:rPr>
        <w:t xml:space="preserve">2020. aastaks peaksid Euroopa Liidu haldusasutused ja </w:t>
      </w:r>
      <w:r>
        <w:rPr>
          <w:rFonts w:ascii="Times New Roman" w:hAnsi="Times New Roman"/>
          <w:noProof/>
          <w:sz w:val="24"/>
        </w:rPr>
        <w:t>avalikud institutsioonid olema avatud, tõhusad ja kaasavad ning pakkuma piirideta, personaalseid, kasutajasõbralikke, algusest lõpuni digitaalseid avaliku sektori teenuseid kõigile ELi kodanikele ja ettevõtjatele. Paremate teenuste kavandamiseks ja osutami</w:t>
      </w:r>
      <w:r>
        <w:rPr>
          <w:rFonts w:ascii="Times New Roman" w:hAnsi="Times New Roman"/>
          <w:noProof/>
          <w:sz w:val="24"/>
        </w:rPr>
        <w:t>seks kasutatakse innovaatilist lähenemist, mis on kooskõlas kodanike ja ettevõtjate vajaduste ja nõudmistega. Haldusasutused kasutavad uue digitaalse keskkonna pakutavaid võimalusi, et muuta suhtlus sidusrühmade ja üksteisega hõlpsamaks.</w:t>
      </w:r>
    </w:p>
    <w:p w:rsidR="00683852" w:rsidRDefault="00394F90">
      <w:pPr>
        <w:rPr>
          <w:rFonts w:ascii="Times New Roman" w:hAnsi="Times New Roman" w:cs="Times New Roman"/>
          <w:noProof/>
          <w:sz w:val="24"/>
          <w:szCs w:val="24"/>
        </w:rPr>
      </w:pPr>
      <w:r>
        <w:rPr>
          <w:rFonts w:ascii="Times New Roman" w:hAnsi="Times New Roman"/>
          <w:noProof/>
          <w:sz w:val="24"/>
        </w:rPr>
        <w:t>Haldusasutuste vah</w:t>
      </w:r>
      <w:r>
        <w:rPr>
          <w:rFonts w:ascii="Times New Roman" w:hAnsi="Times New Roman"/>
          <w:noProof/>
          <w:sz w:val="24"/>
        </w:rPr>
        <w:t>eline andmete ja teenuste avamine nii piiride sees kui ka piiriüleselt muudab nad tõhusamaks ja aitab kaasa ettevõtete ja kodanike vabale liikumisele. Kodanike elus on üha rohkem infotehnoloogiat ning ka ootused haldusasutuste tööle kasvavad</w:t>
      </w:r>
      <w:r>
        <w:rPr>
          <w:rStyle w:val="FootnoteReference"/>
          <w:noProof/>
        </w:rPr>
        <w:footnoteReference w:id="11"/>
      </w:r>
      <w:r>
        <w:rPr>
          <w:rFonts w:ascii="Times New Roman" w:hAnsi="Times New Roman"/>
          <w:noProof/>
          <w:sz w:val="24"/>
        </w:rPr>
        <w:t>. Kasutajad ta</w:t>
      </w:r>
      <w:r>
        <w:rPr>
          <w:rFonts w:ascii="Times New Roman" w:hAnsi="Times New Roman"/>
          <w:noProof/>
          <w:sz w:val="24"/>
        </w:rPr>
        <w:t>havad teada, kuidas konkreetne teenus töötab,</w:t>
      </w:r>
      <w:r>
        <w:rPr>
          <w:rStyle w:val="FootnoteReference"/>
          <w:noProof/>
        </w:rPr>
        <w:footnoteReference w:id="12"/>
      </w:r>
      <w:r>
        <w:rPr>
          <w:rFonts w:ascii="Times New Roman" w:hAnsi="Times New Roman"/>
          <w:noProof/>
          <w:sz w:val="24"/>
        </w:rPr>
        <w:t xml:space="preserve"> ning nad ootavad suuremat läbipaistvust.</w:t>
      </w:r>
      <w:r>
        <w:rPr>
          <w:rFonts w:ascii="Times New Roman" w:hAnsi="Times New Roman"/>
          <w:b/>
          <w:noProof/>
          <w:sz w:val="24"/>
        </w:rPr>
        <w:t xml:space="preserve"> </w:t>
      </w:r>
      <w:r>
        <w:rPr>
          <w:rFonts w:ascii="Times New Roman" w:hAnsi="Times New Roman"/>
          <w:noProof/>
          <w:sz w:val="24"/>
        </w:rPr>
        <w:t>Haldusasutuste suurem avatus ja otsustusprotsessi käigus toimuv suhtlemine sidusrühmadega</w:t>
      </w:r>
      <w:r>
        <w:rPr>
          <w:rStyle w:val="FootnoteReference"/>
          <w:noProof/>
        </w:rPr>
        <w:footnoteReference w:id="13"/>
      </w:r>
      <w:r>
        <w:rPr>
          <w:rFonts w:ascii="Times New Roman" w:hAnsi="Times New Roman"/>
          <w:noProof/>
          <w:sz w:val="24"/>
        </w:rPr>
        <w:t xml:space="preserve"> suurendab nende usaldusväärsust ja vastutustunnet. Pealegi, kui avaliku sekto</w:t>
      </w:r>
      <w:r>
        <w:rPr>
          <w:rFonts w:ascii="Times New Roman" w:hAnsi="Times New Roman"/>
          <w:noProof/>
          <w:sz w:val="24"/>
        </w:rPr>
        <w:t>ri andmed ja teenused avatakse kolmandatele isikutele, järgides sealjuures täielikult isikuandmete kaitse ja privaatsuse õigusraamistikku, võib see aidata kaasa majanduskasvule ja konkurentsivõimele.</w:t>
      </w:r>
    </w:p>
    <w:p w:rsidR="00683852" w:rsidRDefault="00394F90">
      <w:pPr>
        <w:spacing w:before="60" w:after="60"/>
        <w:rPr>
          <w:rFonts w:ascii="Times New Roman" w:hAnsi="Times New Roman" w:cs="Times New Roman"/>
          <w:noProof/>
          <w:sz w:val="24"/>
          <w:szCs w:val="24"/>
        </w:rPr>
      </w:pPr>
      <w:r>
        <w:rPr>
          <w:rFonts w:ascii="Times New Roman" w:hAnsi="Times New Roman"/>
          <w:noProof/>
          <w:sz w:val="24"/>
        </w:rPr>
        <w:lastRenderedPageBreak/>
        <w:t>Käesoleva tegevuskava raames käivitatavad algatused peak</w:t>
      </w:r>
      <w:r>
        <w:rPr>
          <w:rFonts w:ascii="Times New Roman" w:hAnsi="Times New Roman"/>
          <w:noProof/>
          <w:sz w:val="24"/>
        </w:rPr>
        <w:t>sid järgima järgmisi aluspõhimõtteid, mida toetavad jõuliselt ka sidusrühmad</w:t>
      </w:r>
      <w:r>
        <w:rPr>
          <w:rStyle w:val="FootnoteReference"/>
          <w:noProof/>
        </w:rPr>
        <w:footnoteReference w:id="14"/>
      </w:r>
      <w:r>
        <w:rPr>
          <w:rFonts w:ascii="Times New Roman" w:hAnsi="Times New Roman"/>
          <w:noProof/>
          <w:sz w:val="24"/>
        </w:rPr>
        <w:t>:</w:t>
      </w:r>
    </w:p>
    <w:p w:rsidR="00683852" w:rsidRDefault="00394F90">
      <w:pPr>
        <w:pStyle w:val="ListParagraph"/>
        <w:numPr>
          <w:ilvl w:val="0"/>
          <w:numId w:val="33"/>
        </w:numPr>
        <w:rPr>
          <w:rFonts w:ascii="Times New Roman" w:hAnsi="Times New Roman"/>
          <w:noProof/>
          <w:sz w:val="24"/>
          <w:szCs w:val="24"/>
        </w:rPr>
      </w:pPr>
      <w:r>
        <w:rPr>
          <w:rFonts w:ascii="Times New Roman" w:hAnsi="Times New Roman"/>
          <w:noProof/>
          <w:sz w:val="24"/>
          <w:u w:val="single"/>
        </w:rPr>
        <w:t>Digitaalsus normiks</w:t>
      </w:r>
      <w:r>
        <w:rPr>
          <w:rFonts w:ascii="Times New Roman" w:hAnsi="Times New Roman"/>
          <w:noProof/>
          <w:sz w:val="24"/>
        </w:rPr>
        <w:t xml:space="preserve">: haldusasutused peaksid eelistatavalt pakkuma teenuseid digitaalselt (see hõlmab masinloetavat teavet), kuigi neile, kes eelistavad omal soovil või vajaduse </w:t>
      </w:r>
      <w:r>
        <w:rPr>
          <w:rFonts w:ascii="Times New Roman" w:hAnsi="Times New Roman"/>
          <w:noProof/>
          <w:sz w:val="24"/>
        </w:rPr>
        <w:t>tõttu olla võrguühenduseta, tuleb siiski säilitada ka muud võimalused. Ühtlasi tuleks avaliku sektori teenuseid pakkuda ühe kontaktpunkti või universaalse keskuse kaudu, kasutades selleks eri kanaleid.</w:t>
      </w:r>
    </w:p>
    <w:p w:rsidR="00683852" w:rsidRDefault="00394F90">
      <w:pPr>
        <w:pStyle w:val="ListParagraph"/>
        <w:numPr>
          <w:ilvl w:val="0"/>
          <w:numId w:val="33"/>
        </w:numPr>
        <w:rPr>
          <w:rFonts w:ascii="Times New Roman" w:hAnsi="Times New Roman"/>
          <w:noProof/>
          <w:sz w:val="24"/>
          <w:szCs w:val="24"/>
        </w:rPr>
      </w:pPr>
      <w:r>
        <w:rPr>
          <w:rFonts w:ascii="Times New Roman" w:hAnsi="Times New Roman"/>
          <w:noProof/>
          <w:sz w:val="24"/>
          <w:u w:val="single"/>
        </w:rPr>
        <w:t>Ühekordsuse põhimõte</w:t>
      </w:r>
      <w:r>
        <w:rPr>
          <w:rFonts w:ascii="Times New Roman" w:hAnsi="Times New Roman"/>
          <w:noProof/>
          <w:sz w:val="24"/>
        </w:rPr>
        <w:t>: haldusasutused peaksid tagama, e</w:t>
      </w:r>
      <w:r>
        <w:rPr>
          <w:rFonts w:ascii="Times New Roman" w:hAnsi="Times New Roman"/>
          <w:noProof/>
          <w:sz w:val="24"/>
        </w:rPr>
        <w:t>t kodanikud ja ettevõtjad peavad sama teavet esitama haldusasutustele vaid ühe korra. Kui haldusasutuste büroodel on luba neid andmeid asutusesiseselt taaskasutada, võtavad nad andmekaitseeeskirju austades meetmeid, et kodanikele ja ettevõtjatele ei tekiks</w:t>
      </w:r>
      <w:r>
        <w:rPr>
          <w:rFonts w:ascii="Times New Roman" w:hAnsi="Times New Roman"/>
          <w:noProof/>
          <w:sz w:val="24"/>
        </w:rPr>
        <w:t xml:space="preserve"> lisakohustusi.</w:t>
      </w:r>
    </w:p>
    <w:p w:rsidR="00683852" w:rsidRDefault="00394F90">
      <w:pPr>
        <w:pStyle w:val="ListParagraph"/>
        <w:numPr>
          <w:ilvl w:val="0"/>
          <w:numId w:val="33"/>
        </w:numPr>
        <w:spacing w:before="60" w:after="60"/>
        <w:rPr>
          <w:rFonts w:ascii="Times New Roman" w:hAnsi="Times New Roman"/>
          <w:noProof/>
          <w:sz w:val="24"/>
          <w:szCs w:val="24"/>
          <w:u w:val="single"/>
        </w:rPr>
      </w:pPr>
      <w:r>
        <w:rPr>
          <w:rFonts w:ascii="Times New Roman" w:hAnsi="Times New Roman"/>
          <w:noProof/>
          <w:sz w:val="24"/>
          <w:u w:val="single"/>
        </w:rPr>
        <w:t>Kaasavus ja juurdepääsetavus</w:t>
      </w:r>
      <w:r>
        <w:rPr>
          <w:rFonts w:ascii="Times New Roman" w:hAnsi="Times New Roman"/>
          <w:noProof/>
          <w:sz w:val="24"/>
        </w:rPr>
        <w:t>: haldusasutuste projekteeritavad digitaalsed avalikud teenused peaksid olema vaikimisi kaasavad ja vastama mitmesugustele vajadustele, st ka eakate ja puuetega inimeste vajadustele</w:t>
      </w:r>
      <w:r>
        <w:rPr>
          <w:rStyle w:val="FootnoteReference"/>
          <w:rFonts w:ascii="Times New Roman" w:hAnsi="Times New Roman"/>
          <w:noProof/>
          <w:sz w:val="24"/>
        </w:rPr>
        <w:footnoteReference w:id="15"/>
      </w:r>
      <w:r>
        <w:rPr>
          <w:rFonts w:ascii="Times New Roman" w:hAnsi="Times New Roman"/>
          <w:noProof/>
          <w:sz w:val="24"/>
        </w:rPr>
        <w:t>.</w:t>
      </w:r>
    </w:p>
    <w:p w:rsidR="00683852" w:rsidRDefault="00394F90">
      <w:pPr>
        <w:pStyle w:val="ListParagraph"/>
        <w:numPr>
          <w:ilvl w:val="0"/>
          <w:numId w:val="33"/>
        </w:numPr>
        <w:spacing w:before="60" w:after="60"/>
        <w:rPr>
          <w:rFonts w:ascii="Times New Roman" w:hAnsi="Times New Roman"/>
          <w:noProof/>
          <w:sz w:val="24"/>
          <w:szCs w:val="24"/>
        </w:rPr>
      </w:pPr>
      <w:r>
        <w:rPr>
          <w:rFonts w:ascii="Times New Roman" w:hAnsi="Times New Roman"/>
          <w:noProof/>
          <w:sz w:val="24"/>
          <w:u w:val="single"/>
        </w:rPr>
        <w:t>Avatus ja läbipaistvus</w:t>
      </w:r>
      <w:r>
        <w:rPr>
          <w:rFonts w:ascii="Times New Roman" w:hAnsi="Times New Roman"/>
          <w:noProof/>
          <w:sz w:val="24"/>
        </w:rPr>
        <w:t xml:space="preserve">: </w:t>
      </w:r>
      <w:r>
        <w:rPr>
          <w:rFonts w:ascii="Times New Roman" w:hAnsi="Times New Roman"/>
          <w:noProof/>
          <w:sz w:val="24"/>
        </w:rPr>
        <w:t>haldusasutused peaksid jagama omavahel teavet ja andmeid ning pakkuma kodanikele ja ettevõtjatele juurdepääsu nende kohta käivatele andmetele ning võimalust nende kasutamist kontrollida ja neid parandada. Samuti peaksid kasutajad saama jälgida neid puuduta</w:t>
      </w:r>
      <w:r>
        <w:rPr>
          <w:rFonts w:ascii="Times New Roman" w:hAnsi="Times New Roman"/>
          <w:noProof/>
          <w:sz w:val="24"/>
        </w:rPr>
        <w:t>vaid haldusprotsesse ning ühtlasi tuleks teenuste kavandamisse ja pakkumisse kaasata sidusrühmi (nt ettevõtjad, teadlased ja mittetulundusühendused) ja nendega neil teemadel suhelda.</w:t>
      </w:r>
    </w:p>
    <w:p w:rsidR="00683852" w:rsidRDefault="00394F90">
      <w:pPr>
        <w:pStyle w:val="ListParagraph"/>
        <w:numPr>
          <w:ilvl w:val="0"/>
          <w:numId w:val="33"/>
        </w:numPr>
        <w:rPr>
          <w:rFonts w:ascii="Times New Roman" w:hAnsi="Times New Roman"/>
          <w:noProof/>
          <w:sz w:val="24"/>
          <w:szCs w:val="24"/>
          <w:u w:val="single"/>
        </w:rPr>
      </w:pPr>
      <w:r>
        <w:rPr>
          <w:rFonts w:ascii="Times New Roman" w:hAnsi="Times New Roman"/>
          <w:noProof/>
          <w:sz w:val="24"/>
          <w:u w:val="single"/>
        </w:rPr>
        <w:t>Piiriülesus normiks</w:t>
      </w:r>
      <w:r>
        <w:rPr>
          <w:rFonts w:ascii="Times New Roman" w:hAnsi="Times New Roman"/>
          <w:noProof/>
          <w:sz w:val="24"/>
        </w:rPr>
        <w:t>: liikuvuse hõlbustamiseks ühtse turu piires peaksid h</w:t>
      </w:r>
      <w:r>
        <w:rPr>
          <w:rFonts w:ascii="Times New Roman" w:hAnsi="Times New Roman"/>
          <w:noProof/>
          <w:sz w:val="24"/>
        </w:rPr>
        <w:t>aldusasutused tegema asjakohased digitaalsed avaliku sektori teenused kättesaadavaks piiriüleselt ega tohiks tekitada täiendavat killustamist.</w:t>
      </w:r>
    </w:p>
    <w:p w:rsidR="00683852" w:rsidRDefault="00394F90">
      <w:pPr>
        <w:pStyle w:val="ListParagraph"/>
        <w:numPr>
          <w:ilvl w:val="0"/>
          <w:numId w:val="33"/>
        </w:numPr>
        <w:rPr>
          <w:rFonts w:ascii="Times New Roman" w:hAnsi="Times New Roman"/>
          <w:noProof/>
          <w:sz w:val="24"/>
          <w:szCs w:val="24"/>
        </w:rPr>
      </w:pPr>
      <w:r>
        <w:rPr>
          <w:rFonts w:ascii="Times New Roman" w:hAnsi="Times New Roman"/>
          <w:noProof/>
          <w:sz w:val="24"/>
          <w:u w:val="single"/>
        </w:rPr>
        <w:t>Koostalitlusvõime normiks</w:t>
      </w:r>
      <w:r>
        <w:rPr>
          <w:rFonts w:ascii="Times New Roman" w:hAnsi="Times New Roman"/>
          <w:noProof/>
          <w:sz w:val="24"/>
        </w:rPr>
        <w:t>: avaliku sektori teenused tuleks kavandada selliselt, et nad töötaksid sujuvalt kõikjal</w:t>
      </w:r>
      <w:r>
        <w:rPr>
          <w:rFonts w:ascii="Times New Roman" w:hAnsi="Times New Roman"/>
          <w:noProof/>
          <w:sz w:val="24"/>
        </w:rPr>
        <w:t xml:space="preserve"> ühtsel turul ja eri organisatsioonide lõikes ning põhineksid andmete ja digitaalsete teenuste vabal liikumisel Euroopa Liidus.</w:t>
      </w:r>
    </w:p>
    <w:p w:rsidR="00683852" w:rsidRDefault="00394F90">
      <w:pPr>
        <w:pStyle w:val="ListParagraph"/>
        <w:numPr>
          <w:ilvl w:val="0"/>
          <w:numId w:val="33"/>
        </w:numPr>
        <w:rPr>
          <w:rFonts w:ascii="Times New Roman" w:hAnsi="Times New Roman"/>
          <w:noProof/>
          <w:sz w:val="24"/>
          <w:szCs w:val="24"/>
        </w:rPr>
      </w:pPr>
      <w:r>
        <w:rPr>
          <w:rFonts w:ascii="Times New Roman" w:hAnsi="Times New Roman"/>
          <w:noProof/>
          <w:sz w:val="24"/>
          <w:u w:val="single"/>
        </w:rPr>
        <w:t>Usaldusväärsus ja turvalisus</w:t>
      </w:r>
      <w:r>
        <w:rPr>
          <w:rFonts w:ascii="Times New Roman" w:hAnsi="Times New Roman"/>
          <w:noProof/>
          <w:sz w:val="24"/>
        </w:rPr>
        <w:t>: ükski algatus ei tohiks piirduda vaid isikuandmete kaitse ja privaatsuse õigusraamistiku ja IT-tur</w:t>
      </w:r>
      <w:r>
        <w:rPr>
          <w:rFonts w:ascii="Times New Roman" w:hAnsi="Times New Roman"/>
          <w:noProof/>
          <w:sz w:val="24"/>
        </w:rPr>
        <w:t>be nõuete järgimisega, vaid nende elementide integreerimisega tuleks alustada juba kavandamisetapis. Need on usalduse suurendamise ja digitaalsete teenuste kasutuselevõtu olulised eeltingimused.</w:t>
      </w:r>
    </w:p>
    <w:p w:rsidR="00683852" w:rsidRDefault="00394F90">
      <w:pPr>
        <w:ind w:left="360"/>
        <w:rPr>
          <w:rFonts w:ascii="Times New Roman" w:hAnsi="Times New Roman"/>
          <w:noProof/>
          <w:sz w:val="24"/>
          <w:szCs w:val="24"/>
        </w:rPr>
      </w:pPr>
      <w:r>
        <w:rPr>
          <w:rFonts w:ascii="Times New Roman" w:hAnsi="Times New Roman"/>
          <w:noProof/>
          <w:sz w:val="24"/>
        </w:rPr>
        <w:t>Haldusasutused, avaliku sektori asutused, ettevõtjad ja kasut</w:t>
      </w:r>
      <w:r>
        <w:rPr>
          <w:rFonts w:ascii="Times New Roman" w:hAnsi="Times New Roman"/>
          <w:noProof/>
          <w:sz w:val="24"/>
        </w:rPr>
        <w:t>ajad ise teavad kõige paremini, mida neil vaja on. Peaks olema nende endi asi otsustada lähtuvalt oma vajadustest, milliseid süsteeme ja tehnoloogiaid kasutada, kas eelistada hajusaid või tsentraliseeritud projekte, kuid alati tuleb täielikult kinni pidada</w:t>
      </w:r>
      <w:r>
        <w:rPr>
          <w:rFonts w:ascii="Times New Roman" w:hAnsi="Times New Roman"/>
          <w:noProof/>
          <w:sz w:val="24"/>
        </w:rPr>
        <w:t xml:space="preserve"> kokkulepitud koostalitlusvõime nõuetest.</w:t>
      </w:r>
    </w:p>
    <w:p w:rsidR="00683852" w:rsidRDefault="00394F90">
      <w:pPr>
        <w:pStyle w:val="Heading1"/>
        <w:rPr>
          <w:noProof/>
          <w:szCs w:val="24"/>
        </w:rPr>
      </w:pPr>
      <w:bookmarkStart w:id="1" w:name="_Toc435177060"/>
      <w:r>
        <w:rPr>
          <w:noProof/>
        </w:rPr>
        <w:t>Poliitilised prioriteedid</w:t>
      </w:r>
    </w:p>
    <w:p w:rsidR="00683852" w:rsidRDefault="00394F90">
      <w:pPr>
        <w:rPr>
          <w:rFonts w:ascii="Times New Roman" w:hAnsi="Times New Roman" w:cs="Times New Roman"/>
          <w:noProof/>
          <w:sz w:val="24"/>
          <w:szCs w:val="24"/>
        </w:rPr>
      </w:pPr>
      <w:r>
        <w:rPr>
          <w:rFonts w:ascii="Times New Roman" w:hAnsi="Times New Roman"/>
          <w:noProof/>
          <w:sz w:val="24"/>
        </w:rPr>
        <w:t>Digitaalse ühtse turu strateegias on esitatud strateegilised eesmärgid „avaliku halduse ajakohastamiseks, piiriülese koostalitlusvõime saavutamiseks ja sujuva kodanikega suhtlemise soodust</w:t>
      </w:r>
      <w:r>
        <w:rPr>
          <w:rFonts w:ascii="Times New Roman" w:hAnsi="Times New Roman"/>
          <w:noProof/>
          <w:sz w:val="24"/>
        </w:rPr>
        <w:t>amiseks”, et kiirendada liikmesriikide ja komisjoni haldusasutuste digitaalset üleminekut. Neid poliitilisi prioriteete silmas pidades esitatakse käesolevas tegevuskavas konkreetsed meetmed, et kiirendada kehtivate õigusaktide rakendamist ja nendega seotud</w:t>
      </w:r>
      <w:r>
        <w:rPr>
          <w:rFonts w:ascii="Times New Roman" w:hAnsi="Times New Roman"/>
          <w:noProof/>
          <w:sz w:val="24"/>
        </w:rPr>
        <w:t xml:space="preserve"> avalike veebiteenuste kasutuselevõttu.</w:t>
      </w:r>
    </w:p>
    <w:p w:rsidR="00683852" w:rsidRDefault="00394F90">
      <w:pPr>
        <w:pStyle w:val="Heading2"/>
        <w:rPr>
          <w:noProof/>
          <w:szCs w:val="24"/>
        </w:rPr>
      </w:pPr>
      <w:r>
        <w:rPr>
          <w:noProof/>
        </w:rPr>
        <w:t>Avaliku halduse ajakohastamine IKT abil, kasutades selleks peamisi digitaalseid vahendeid</w:t>
      </w:r>
    </w:p>
    <w:p w:rsidR="00683852" w:rsidRDefault="00394F90">
      <w:pPr>
        <w:rPr>
          <w:rFonts w:ascii="Times New Roman" w:hAnsi="Times New Roman" w:cs="Times New Roman"/>
          <w:noProof/>
          <w:sz w:val="24"/>
          <w:szCs w:val="24"/>
        </w:rPr>
      </w:pPr>
      <w:r>
        <w:rPr>
          <w:rFonts w:ascii="Times New Roman" w:hAnsi="Times New Roman"/>
          <w:noProof/>
          <w:sz w:val="24"/>
        </w:rPr>
        <w:t>Nagu hiljutistes iga-aastastes majanduskasvu analüüsides tõdetud, peab nüüdisaegne ja tõhus avalik haldus tagama kiired ja kva</w:t>
      </w:r>
      <w:r>
        <w:rPr>
          <w:rFonts w:ascii="Times New Roman" w:hAnsi="Times New Roman"/>
          <w:noProof/>
          <w:sz w:val="24"/>
        </w:rPr>
        <w:t>liteetsed teenused kodanikele ja ettevõtlussõbraliku keskkonna</w:t>
      </w:r>
      <w:r>
        <w:rPr>
          <w:rStyle w:val="FootnoteReference"/>
          <w:noProof/>
        </w:rPr>
        <w:footnoteReference w:id="16"/>
      </w:r>
      <w:r>
        <w:rPr>
          <w:rFonts w:ascii="Times New Roman" w:hAnsi="Times New Roman"/>
          <w:noProof/>
          <w:sz w:val="24"/>
        </w:rPr>
        <w:t xml:space="preserve">. Haldusasutused peavad oma </w:t>
      </w:r>
      <w:r>
        <w:rPr>
          <w:rFonts w:ascii="Times New Roman" w:hAnsi="Times New Roman"/>
          <w:i/>
          <w:noProof/>
          <w:sz w:val="24"/>
        </w:rPr>
        <w:t>back office</w:t>
      </w:r>
      <w:r>
        <w:rPr>
          <w:rFonts w:ascii="Times New Roman" w:hAnsi="Times New Roman"/>
          <w:noProof/>
          <w:sz w:val="24"/>
        </w:rPr>
        <w:t>'eid muutma, senised protsessid ja teenused uuesti läbi mõtlema ja ümber kujundama ning avama oma andmed ja teenused teistele haldusasutustele ning võimal</w:t>
      </w:r>
      <w:r>
        <w:rPr>
          <w:rFonts w:ascii="Times New Roman" w:hAnsi="Times New Roman"/>
          <w:noProof/>
          <w:sz w:val="24"/>
        </w:rPr>
        <w:t>use korral ka ettevõtjatele ja kodanikuühiskonnale.</w:t>
      </w:r>
    </w:p>
    <w:p w:rsidR="00683852" w:rsidRDefault="00394F90">
      <w:pPr>
        <w:rPr>
          <w:rFonts w:ascii="Times New Roman" w:eastAsia="Times New Roman" w:hAnsi="Times New Roman" w:cs="Times New Roman"/>
          <w:noProof/>
          <w:sz w:val="24"/>
          <w:szCs w:val="24"/>
        </w:rPr>
      </w:pPr>
      <w:r>
        <w:rPr>
          <w:rFonts w:ascii="Times New Roman" w:hAnsi="Times New Roman"/>
          <w:noProof/>
          <w:sz w:val="24"/>
        </w:rPr>
        <w:t>Sellises töös tuleb tugineda digitaalsetele vahenditele. Digitaalsed avaliku sektori teenused tuleks üles ehitada jagatud ja taaskasutatavatele lahendustele ja teenustele, mis põhinevad kokkulepitud stand</w:t>
      </w:r>
      <w:r>
        <w:rPr>
          <w:rFonts w:ascii="Times New Roman" w:hAnsi="Times New Roman"/>
          <w:noProof/>
          <w:sz w:val="24"/>
        </w:rPr>
        <w:t>arditel ja tehnilistel kirjeldustel, et vähendada nende arendamise kulusid ja juurutamisele kuluvat aega ning suurendada koostalitlusvõimet. Kogu Euroopa Liidus tagab ühesuguse arusaama koostalitlusvõimest Euroopa koostalitlusvõime raamistik</w:t>
      </w:r>
      <w:r>
        <w:rPr>
          <w:rStyle w:val="FootnoteReference"/>
          <w:noProof/>
        </w:rPr>
        <w:footnoteReference w:id="17"/>
      </w:r>
      <w:r>
        <w:rPr>
          <w:rFonts w:ascii="Times New Roman" w:hAnsi="Times New Roman"/>
          <w:noProof/>
          <w:sz w:val="24"/>
        </w:rPr>
        <w:t>. Selline koos</w:t>
      </w:r>
      <w:r>
        <w:rPr>
          <w:rFonts w:ascii="Times New Roman" w:hAnsi="Times New Roman"/>
          <w:noProof/>
          <w:sz w:val="24"/>
        </w:rPr>
        <w:t>talitlusvõime on väga kasulik piiriüleste investeeringute seisukohast.</w:t>
      </w:r>
    </w:p>
    <w:p w:rsidR="00683852" w:rsidRDefault="00394F90">
      <w:pPr>
        <w:rPr>
          <w:rFonts w:ascii="Times New Roman" w:hAnsi="Times New Roman" w:cs="Times New Roman"/>
          <w:noProof/>
          <w:sz w:val="24"/>
          <w:szCs w:val="24"/>
        </w:rPr>
      </w:pPr>
      <w:r>
        <w:rPr>
          <w:rFonts w:ascii="Times New Roman" w:hAnsi="Times New Roman"/>
          <w:noProof/>
          <w:sz w:val="24"/>
        </w:rPr>
        <w:t xml:space="preserve">Töö käib selle nimel, et toetada liikmesriikide haldusasutuste täielikku üleminekut e-hangetele ning </w:t>
      </w:r>
      <w:r>
        <w:rPr>
          <w:rFonts w:ascii="Times New Roman"/>
          <w:noProof/>
          <w:sz w:val="24"/>
        </w:rPr>
        <w:t>lepingute registrite ja koostalitlusv</w:t>
      </w:r>
      <w:r>
        <w:rPr>
          <w:rFonts w:ascii="Times New Roman"/>
          <w:noProof/>
          <w:sz w:val="24"/>
        </w:rPr>
        <w:t>õ</w:t>
      </w:r>
      <w:r>
        <w:rPr>
          <w:rFonts w:ascii="Times New Roman"/>
          <w:noProof/>
          <w:sz w:val="24"/>
        </w:rPr>
        <w:t>imeliste e-allkirjade kasutamist</w:t>
      </w:r>
      <w:r>
        <w:rPr>
          <w:rStyle w:val="FootnoteReference"/>
          <w:noProof/>
        </w:rPr>
        <w:footnoteReference w:id="18"/>
      </w:r>
      <w:r>
        <w:rPr>
          <w:rFonts w:ascii="Times New Roman"/>
          <w:noProof/>
          <w:sz w:val="24"/>
        </w:rPr>
        <w:t>.</w:t>
      </w:r>
      <w:r>
        <w:rPr>
          <w:noProof/>
        </w:rPr>
        <w:t xml:space="preserve"> </w:t>
      </w:r>
      <w:r>
        <w:rPr>
          <w:rFonts w:ascii="Times New Roman" w:hAnsi="Times New Roman"/>
          <w:noProof/>
          <w:sz w:val="24"/>
        </w:rPr>
        <w:t>Keskendutud</w:t>
      </w:r>
      <w:r>
        <w:rPr>
          <w:rFonts w:ascii="Times New Roman" w:hAnsi="Times New Roman"/>
          <w:noProof/>
          <w:sz w:val="24"/>
        </w:rPr>
        <w:t xml:space="preserve"> on Euroopa ühtsele hankedokumendile, elektroonilisele tõendite andmebaasile (e-Certis), e-arveldamisele ja riikide e-hankesüsteemide arendamise koordineeritud lähenemisele; selle eesmärk on, et 2018. aastaks peaksid ettevõtted saama esitada hankepakkumusi</w:t>
      </w:r>
      <w:r>
        <w:rPr>
          <w:rFonts w:ascii="Times New Roman" w:hAnsi="Times New Roman"/>
          <w:noProof/>
          <w:sz w:val="24"/>
        </w:rPr>
        <w:t xml:space="preserve"> kogu Euroopa Liidus elektrooniliselt ning 2019. aastaks peaksid ELi haldusasutused aktsepteerima e-arveldamist.</w:t>
      </w:r>
    </w:p>
    <w:p w:rsidR="00683852" w:rsidRDefault="00394F90">
      <w:pPr>
        <w:rPr>
          <w:rFonts w:ascii="Times New Roman" w:hAnsi="Times New Roman" w:cs="Times New Roman"/>
          <w:noProof/>
          <w:sz w:val="24"/>
          <w:szCs w:val="24"/>
        </w:rPr>
      </w:pPr>
      <w:r>
        <w:rPr>
          <w:rFonts w:ascii="Times New Roman" w:hAnsi="Times New Roman"/>
          <w:noProof/>
          <w:sz w:val="24"/>
        </w:rPr>
        <w:t>Kõik haldusasutused peavad veel pingutama, et kiirendada siseturul e-identimise ja e-tehingute jaoks vajalike usaldusteenuste (eIDASe</w:t>
      </w:r>
      <w:r>
        <w:rPr>
          <w:rStyle w:val="FootnoteReference"/>
          <w:noProof/>
        </w:rPr>
        <w:footnoteReference w:id="19"/>
      </w:r>
      <w:r>
        <w:rPr>
          <w:rFonts w:ascii="Times New Roman" w:hAnsi="Times New Roman"/>
          <w:noProof/>
          <w:sz w:val="24"/>
        </w:rPr>
        <w:t xml:space="preserve"> teenused</w:t>
      </w:r>
      <w:r>
        <w:rPr>
          <w:rFonts w:ascii="Times New Roman" w:hAnsi="Times New Roman"/>
          <w:noProof/>
          <w:sz w:val="24"/>
        </w:rPr>
        <w:t>) kasutuselevõttu. Täiendavaid meetmeid võetakse selleks, et kiirendada e-identimise, sh mobiilse identimise ja usaldusteenuste (eeskätt e-allkirja, veebisaitide autentimise ja registreeritud veeedastusteenuste) piiriülest ja valdkondadevahelist kasutusele</w:t>
      </w:r>
      <w:r>
        <w:rPr>
          <w:rFonts w:ascii="Times New Roman" w:hAnsi="Times New Roman"/>
          <w:noProof/>
          <w:sz w:val="24"/>
        </w:rPr>
        <w:t>võttu digitaalseid lahendusi kasutavates ettevõtetes (nt panganduses, rahanduses, e-kaubanduses ja ühistarbimises) ja avalikus sektoris, eeskätt Euroopa e-õiguskeskkonna portaalis. Lisaks uurib komisjon, kas oleks vaja soodustada kaugidentimise ja turvalis</w:t>
      </w:r>
      <w:r>
        <w:rPr>
          <w:rFonts w:ascii="Times New Roman" w:hAnsi="Times New Roman"/>
          <w:noProof/>
          <w:sz w:val="24"/>
        </w:rPr>
        <w:t>e autentimise kasutamist jaefinantsteenuste vallas</w:t>
      </w:r>
      <w:r>
        <w:rPr>
          <w:rStyle w:val="FootnoteReference"/>
          <w:noProof/>
        </w:rPr>
        <w:footnoteReference w:id="20"/>
      </w:r>
      <w:r>
        <w:rPr>
          <w:rFonts w:ascii="Times New Roman" w:hAnsi="Times New Roman"/>
          <w:noProof/>
          <w:sz w:val="24"/>
        </w:rPr>
        <w:t>.</w:t>
      </w:r>
    </w:p>
    <w:p w:rsidR="00683852" w:rsidRDefault="00394F90">
      <w:pPr>
        <w:pStyle w:val="ListParagraph"/>
        <w:spacing w:after="240"/>
        <w:ind w:left="0"/>
        <w:rPr>
          <w:rFonts w:ascii="Times New Roman" w:hAnsi="Times New Roman"/>
          <w:noProof/>
          <w:sz w:val="24"/>
          <w:szCs w:val="24"/>
        </w:rPr>
      </w:pPr>
      <w:bookmarkStart w:id="2" w:name="_ftnref1"/>
      <w:bookmarkStart w:id="3" w:name="_ftnref2"/>
      <w:bookmarkStart w:id="4" w:name="_ftnref3"/>
      <w:bookmarkEnd w:id="2"/>
      <w:bookmarkEnd w:id="3"/>
      <w:bookmarkEnd w:id="4"/>
      <w:r>
        <w:rPr>
          <w:rFonts w:ascii="Times New Roman" w:hAnsi="Times New Roman"/>
          <w:noProof/>
          <w:sz w:val="24"/>
        </w:rPr>
        <w:t xml:space="preserve">Avatud teenuste ja tehniliste komponentide (nt eID, e-allkirja, e-väljastuse ja e-arvelduse) taaskasutamine liikmesriikides on koostalitlusvõime seisukohast hädavajalik. Nende teenuste kättesaadavuse </w:t>
      </w:r>
      <w:r>
        <w:rPr>
          <w:rFonts w:ascii="Times New Roman" w:hAnsi="Times New Roman"/>
          <w:noProof/>
          <w:sz w:val="24"/>
        </w:rPr>
        <w:t xml:space="preserve">tagab praegu Euroopa ühendamise rahastu rahastamine; samas tuleks siiski tagada nende kättesaadavus ja pikaajaline jätkusuutlikkus ka pärast selle rahastamisprogrammi lõppu. Seepärast tutvustab komisjon meetmeid nende jätkusuutlikkuse tagamiseks ka pärast </w:t>
      </w:r>
      <w:r>
        <w:rPr>
          <w:rFonts w:ascii="Times New Roman" w:hAnsi="Times New Roman"/>
          <w:noProof/>
          <w:sz w:val="24"/>
        </w:rPr>
        <w:t>2020. aastat.</w:t>
      </w:r>
    </w:p>
    <w:p w:rsidR="00683852" w:rsidRDefault="00683852">
      <w:pPr>
        <w:pStyle w:val="ListParagraph"/>
        <w:spacing w:after="240"/>
        <w:ind w:left="0"/>
        <w:rPr>
          <w:rFonts w:ascii="Times New Roman" w:hAnsi="Times New Roman"/>
          <w:noProof/>
          <w:sz w:val="24"/>
          <w:szCs w:val="24"/>
        </w:rPr>
      </w:pPr>
    </w:p>
    <w:p w:rsidR="00683852" w:rsidRDefault="00683852">
      <w:pPr>
        <w:pStyle w:val="ListParagraph"/>
        <w:spacing w:after="240"/>
        <w:ind w:left="0"/>
        <w:rPr>
          <w:rFonts w:ascii="Times New Roman" w:hAnsi="Times New Roman"/>
          <w:noProof/>
          <w:sz w:val="24"/>
          <w:szCs w:val="24"/>
        </w:rPr>
      </w:pPr>
    </w:p>
    <w:p w:rsidR="00683852" w:rsidRDefault="00683852">
      <w:pPr>
        <w:pStyle w:val="ListParagraph"/>
        <w:spacing w:after="240"/>
        <w:ind w:left="0"/>
        <w:rPr>
          <w:rFonts w:ascii="Times New Roman" w:hAnsi="Times New Roman"/>
          <w:noProof/>
          <w:sz w:val="24"/>
          <w:szCs w:val="24"/>
        </w:rPr>
      </w:pPr>
    </w:p>
    <w:tbl>
      <w:tblPr>
        <w:tblStyle w:val="TableGrid"/>
        <w:tblW w:w="9214" w:type="dxa"/>
        <w:tblInd w:w="-34" w:type="dxa"/>
        <w:tblLayout w:type="fixed"/>
        <w:tblLook w:val="04A0" w:firstRow="1" w:lastRow="0" w:firstColumn="1" w:lastColumn="0" w:noHBand="0" w:noVBand="1"/>
      </w:tblPr>
      <w:tblGrid>
        <w:gridCol w:w="7797"/>
        <w:gridCol w:w="1417"/>
      </w:tblGrid>
      <w:tr w:rsidR="00683852">
        <w:tc>
          <w:tcPr>
            <w:tcW w:w="7797" w:type="dxa"/>
          </w:tcPr>
          <w:p w:rsidR="00683852" w:rsidRDefault="00394F90">
            <w:pPr>
              <w:shd w:val="clear" w:color="auto" w:fill="EBEBEB" w:themeFill="background1"/>
              <w:rPr>
                <w:rFonts w:ascii="Times New Roman" w:hAnsi="Times New Roman" w:cs="Times New Roman"/>
                <w:b/>
                <w:i/>
                <w:noProof/>
                <w:sz w:val="24"/>
                <w:szCs w:val="24"/>
              </w:rPr>
            </w:pPr>
            <w:r>
              <w:rPr>
                <w:rFonts w:ascii="Times New Roman" w:hAnsi="Times New Roman"/>
                <w:b/>
                <w:i/>
                <w:noProof/>
                <w:sz w:val="24"/>
              </w:rPr>
              <w:t xml:space="preserve">Meetmed </w:t>
            </w:r>
          </w:p>
          <w:p w:rsidR="00683852" w:rsidRDefault="00394F90">
            <w:pPr>
              <w:shd w:val="clear" w:color="auto" w:fill="EBEBEB" w:themeFill="background1"/>
              <w:rPr>
                <w:rFonts w:ascii="Times New Roman" w:hAnsi="Times New Roman" w:cs="Times New Roman"/>
                <w:b/>
                <w:noProof/>
                <w:sz w:val="24"/>
                <w:szCs w:val="24"/>
              </w:rPr>
            </w:pPr>
            <w:r>
              <w:rPr>
                <w:rFonts w:ascii="Times New Roman" w:hAnsi="Times New Roman"/>
                <w:noProof/>
                <w:sz w:val="24"/>
              </w:rPr>
              <w:t>Komisjon</w:t>
            </w:r>
          </w:p>
        </w:tc>
        <w:tc>
          <w:tcPr>
            <w:tcW w:w="1417" w:type="dxa"/>
          </w:tcPr>
          <w:p w:rsidR="00683852" w:rsidRDefault="00394F90">
            <w:pPr>
              <w:shd w:val="clear" w:color="auto" w:fill="EBEBEB" w:themeFill="background1"/>
              <w:rPr>
                <w:rFonts w:ascii="Times New Roman" w:hAnsi="Times New Roman" w:cs="Times New Roman"/>
                <w:b/>
                <w:i/>
                <w:noProof/>
                <w:sz w:val="24"/>
                <w:szCs w:val="24"/>
              </w:rPr>
            </w:pPr>
            <w:r>
              <w:rPr>
                <w:rFonts w:ascii="Times New Roman" w:hAnsi="Times New Roman"/>
                <w:b/>
                <w:i/>
                <w:noProof/>
                <w:sz w:val="24"/>
              </w:rPr>
              <w:t>Tähtaeg</w:t>
            </w:r>
          </w:p>
        </w:tc>
      </w:tr>
      <w:tr w:rsidR="00683852">
        <w:tc>
          <w:tcPr>
            <w:tcW w:w="7797" w:type="dxa"/>
          </w:tcPr>
          <w:p w:rsidR="00683852" w:rsidRDefault="00394F90">
            <w:pPr>
              <w:pStyle w:val="ListParagraph"/>
              <w:numPr>
                <w:ilvl w:val="0"/>
                <w:numId w:val="2"/>
              </w:numPr>
              <w:spacing w:before="120" w:after="120"/>
              <w:ind w:left="714" w:hanging="357"/>
              <w:rPr>
                <w:rFonts w:ascii="Times New Roman" w:hAnsi="Times New Roman"/>
                <w:i/>
                <w:noProof/>
                <w:sz w:val="24"/>
                <w:szCs w:val="24"/>
              </w:rPr>
            </w:pPr>
            <w:r>
              <w:rPr>
                <w:rFonts w:ascii="Times New Roman" w:hAnsi="Times New Roman"/>
                <w:noProof/>
                <w:sz w:val="24"/>
              </w:rPr>
              <w:t xml:space="preserve">toetab liikmesriikide täielikku üleminekut e-riigihangetele ja </w:t>
            </w:r>
            <w:r>
              <w:rPr>
                <w:rFonts w:ascii="Times New Roman"/>
                <w:noProof/>
                <w:sz w:val="24"/>
              </w:rPr>
              <w:t>lepinguregistrite kasutamist.</w:t>
            </w:r>
            <w:r>
              <w:rPr>
                <w:noProof/>
              </w:rPr>
              <w:t xml:space="preserve"> </w:t>
            </w:r>
          </w:p>
        </w:tc>
        <w:tc>
          <w:tcPr>
            <w:tcW w:w="1417" w:type="dxa"/>
          </w:tcPr>
          <w:p w:rsidR="00683852" w:rsidRDefault="00394F90">
            <w:pPr>
              <w:shd w:val="clear" w:color="auto" w:fill="EBEBEB" w:themeFill="background1"/>
              <w:ind w:left="360"/>
              <w:rPr>
                <w:rFonts w:ascii="Times New Roman" w:hAnsi="Times New Roman"/>
                <w:noProof/>
                <w:sz w:val="24"/>
                <w:szCs w:val="24"/>
              </w:rPr>
            </w:pPr>
            <w:r>
              <w:rPr>
                <w:rFonts w:ascii="Times New Roman" w:hAnsi="Times New Roman"/>
                <w:noProof/>
                <w:sz w:val="24"/>
              </w:rPr>
              <w:t>2019</w:t>
            </w:r>
          </w:p>
        </w:tc>
      </w:tr>
      <w:tr w:rsidR="00683852">
        <w:tc>
          <w:tcPr>
            <w:tcW w:w="7797" w:type="dxa"/>
          </w:tcPr>
          <w:p w:rsidR="00683852" w:rsidRDefault="00394F90">
            <w:pPr>
              <w:pStyle w:val="ListParagraph"/>
              <w:numPr>
                <w:ilvl w:val="0"/>
                <w:numId w:val="2"/>
              </w:numPr>
              <w:spacing w:before="120" w:after="120"/>
              <w:ind w:left="714" w:hanging="357"/>
              <w:rPr>
                <w:rFonts w:ascii="Times New Roman" w:hAnsi="Times New Roman"/>
                <w:i/>
                <w:noProof/>
                <w:sz w:val="24"/>
                <w:szCs w:val="24"/>
              </w:rPr>
            </w:pPr>
            <w:r>
              <w:rPr>
                <w:rFonts w:ascii="Times New Roman" w:hAnsi="Times New Roman"/>
                <w:noProof/>
                <w:sz w:val="24"/>
              </w:rPr>
              <w:t>kiirendab eIDASe teenuste, sh eID ja e-allkirja kasutuselevõttu.</w:t>
            </w:r>
            <w:r>
              <w:rPr>
                <w:noProof/>
              </w:rPr>
              <w:t xml:space="preserve"> </w:t>
            </w:r>
          </w:p>
        </w:tc>
        <w:tc>
          <w:tcPr>
            <w:tcW w:w="1417" w:type="dxa"/>
          </w:tcPr>
          <w:p w:rsidR="00683852" w:rsidRDefault="00394F90">
            <w:pPr>
              <w:shd w:val="clear" w:color="auto" w:fill="EBEBEB" w:themeFill="background1"/>
              <w:ind w:left="360"/>
              <w:rPr>
                <w:rFonts w:ascii="Times New Roman" w:hAnsi="Times New Roman"/>
                <w:noProof/>
                <w:sz w:val="24"/>
                <w:szCs w:val="24"/>
              </w:rPr>
            </w:pPr>
            <w:r>
              <w:rPr>
                <w:rFonts w:ascii="Times New Roman" w:hAnsi="Times New Roman"/>
                <w:noProof/>
                <w:sz w:val="24"/>
              </w:rPr>
              <w:t>2016</w:t>
            </w:r>
          </w:p>
        </w:tc>
      </w:tr>
      <w:tr w:rsidR="00683852">
        <w:tc>
          <w:tcPr>
            <w:tcW w:w="7797" w:type="dxa"/>
          </w:tcPr>
          <w:p w:rsidR="00683852" w:rsidRDefault="00394F90">
            <w:pPr>
              <w:pStyle w:val="ListParagraph"/>
              <w:numPr>
                <w:ilvl w:val="0"/>
                <w:numId w:val="2"/>
              </w:numPr>
              <w:spacing w:before="120" w:after="120"/>
              <w:rPr>
                <w:rFonts w:ascii="Times New Roman" w:hAnsi="Times New Roman"/>
                <w:noProof/>
                <w:sz w:val="24"/>
                <w:szCs w:val="24"/>
              </w:rPr>
            </w:pPr>
            <w:r>
              <w:rPr>
                <w:rFonts w:ascii="Times New Roman" w:hAnsi="Times New Roman"/>
                <w:noProof/>
                <w:sz w:val="24"/>
              </w:rPr>
              <w:t xml:space="preserve">tagab piiriüleste digitaalsete teenuste </w:t>
            </w:r>
            <w:r>
              <w:rPr>
                <w:rFonts w:ascii="Times New Roman" w:hAnsi="Times New Roman"/>
                <w:noProof/>
                <w:sz w:val="24"/>
              </w:rPr>
              <w:t>taristu pikaajalise jätkusuutlikkuse.</w:t>
            </w:r>
          </w:p>
        </w:tc>
        <w:tc>
          <w:tcPr>
            <w:tcW w:w="1417" w:type="dxa"/>
          </w:tcPr>
          <w:p w:rsidR="00683852" w:rsidRDefault="00394F90">
            <w:pPr>
              <w:shd w:val="clear" w:color="auto" w:fill="EBEBEB" w:themeFill="background1"/>
              <w:ind w:left="360"/>
              <w:rPr>
                <w:rFonts w:ascii="Times New Roman" w:hAnsi="Times New Roman"/>
                <w:noProof/>
                <w:sz w:val="24"/>
                <w:szCs w:val="24"/>
              </w:rPr>
            </w:pPr>
            <w:r>
              <w:rPr>
                <w:rFonts w:ascii="Times New Roman" w:hAnsi="Times New Roman"/>
                <w:noProof/>
                <w:sz w:val="24"/>
              </w:rPr>
              <w:t>2018</w:t>
            </w:r>
          </w:p>
        </w:tc>
      </w:tr>
    </w:tbl>
    <w:p w:rsidR="00683852" w:rsidRDefault="00394F90">
      <w:pPr>
        <w:rPr>
          <w:rFonts w:ascii="Times New Roman" w:eastAsia="Times New Roman" w:hAnsi="Times New Roman" w:cs="Times New Roman"/>
          <w:noProof/>
          <w:sz w:val="24"/>
          <w:szCs w:val="24"/>
        </w:rPr>
      </w:pPr>
      <w:r>
        <w:rPr>
          <w:rFonts w:ascii="Times New Roman" w:hAnsi="Times New Roman"/>
          <w:noProof/>
          <w:sz w:val="24"/>
        </w:rPr>
        <w:t xml:space="preserve">Nagu digitaalse ühtse turu strateegias öeldud, kavatseb komisjon esitada 2016. aasta lõpuks läbivaadatud Euroopa koostalitlusvõime raamistiku ning ühtlasi toetab ta selle kasutuselevõttu riikide haldusasutustes, </w:t>
      </w:r>
      <w:r>
        <w:rPr>
          <w:rFonts w:ascii="Times New Roman" w:hAnsi="Times New Roman"/>
          <w:noProof/>
          <w:sz w:val="24"/>
        </w:rPr>
        <w:t>et tugevdada ELi avalike teenuste koostalitlusvõimet.</w:t>
      </w:r>
    </w:p>
    <w:p w:rsidR="00683852" w:rsidRDefault="00394F90">
      <w:pPr>
        <w:rPr>
          <w:rFonts w:ascii="Times New Roman" w:hAnsi="Times New Roman" w:cs="Times New Roman"/>
          <w:noProof/>
          <w:sz w:val="24"/>
          <w:szCs w:val="24"/>
        </w:rPr>
      </w:pPr>
      <w:r>
        <w:rPr>
          <w:rFonts w:ascii="Times New Roman" w:hAnsi="Times New Roman"/>
          <w:noProof/>
          <w:sz w:val="24"/>
        </w:rPr>
        <w:t>Olemasolevate Euroopa ja rahvusvaheliste standardite ja tehniliste kirjelduste kasutuselevõtu tagamiseks on vaja teha veel tööd. Sama puudutab ka prioriteetsete IKT standardite kava alusel väljatöötatav</w:t>
      </w:r>
      <w:r>
        <w:rPr>
          <w:rFonts w:ascii="Times New Roman" w:hAnsi="Times New Roman"/>
          <w:noProof/>
          <w:sz w:val="24"/>
        </w:rPr>
        <w:t>aid standardeid ja kirjeldusi. Komisjon koordineerib liikmesriikidega avalike hangete IKT standardite Euroopa kataloogi prototüübi arendamist, mis toetaks koostalitlusvõimet digitaalsete lahenduste omandamisel, julgustades avalikke hankijaid viitama pakkum</w:t>
      </w:r>
      <w:r>
        <w:rPr>
          <w:rFonts w:ascii="Times New Roman" w:hAnsi="Times New Roman"/>
          <w:noProof/>
          <w:sz w:val="24"/>
        </w:rPr>
        <w:t>iskutsetes ühistele IKT standarditele ja profiilidele.</w:t>
      </w:r>
    </w:p>
    <w:tbl>
      <w:tblPr>
        <w:tblStyle w:val="TableGrid"/>
        <w:tblW w:w="9214" w:type="dxa"/>
        <w:tblInd w:w="-34" w:type="dxa"/>
        <w:tblLayout w:type="fixed"/>
        <w:tblLook w:val="04A0" w:firstRow="1" w:lastRow="0" w:firstColumn="1" w:lastColumn="0" w:noHBand="0" w:noVBand="1"/>
      </w:tblPr>
      <w:tblGrid>
        <w:gridCol w:w="7797"/>
        <w:gridCol w:w="1417"/>
      </w:tblGrid>
      <w:tr w:rsidR="00683852">
        <w:tc>
          <w:tcPr>
            <w:tcW w:w="7797" w:type="dxa"/>
          </w:tcPr>
          <w:p w:rsidR="00683852" w:rsidRDefault="00394F90">
            <w:pPr>
              <w:shd w:val="clear" w:color="auto" w:fill="EBEBEB" w:themeFill="background1"/>
              <w:rPr>
                <w:rFonts w:ascii="Times New Roman" w:hAnsi="Times New Roman" w:cs="Times New Roman"/>
                <w:b/>
                <w:i/>
                <w:noProof/>
                <w:sz w:val="24"/>
                <w:szCs w:val="24"/>
              </w:rPr>
            </w:pPr>
            <w:r>
              <w:rPr>
                <w:rFonts w:ascii="Times New Roman" w:hAnsi="Times New Roman"/>
                <w:b/>
                <w:i/>
                <w:noProof/>
                <w:sz w:val="24"/>
              </w:rPr>
              <w:t>Meetmed</w:t>
            </w:r>
          </w:p>
          <w:p w:rsidR="00683852" w:rsidRDefault="00394F90">
            <w:pPr>
              <w:shd w:val="clear" w:color="auto" w:fill="EBEBEB" w:themeFill="background1"/>
              <w:rPr>
                <w:rFonts w:ascii="Times New Roman" w:hAnsi="Times New Roman" w:cs="Times New Roman"/>
                <w:b/>
                <w:i/>
                <w:noProof/>
                <w:sz w:val="24"/>
                <w:szCs w:val="24"/>
              </w:rPr>
            </w:pPr>
            <w:r>
              <w:rPr>
                <w:rFonts w:ascii="Times New Roman" w:hAnsi="Times New Roman"/>
                <w:noProof/>
                <w:sz w:val="24"/>
              </w:rPr>
              <w:t>Komisjon</w:t>
            </w:r>
          </w:p>
        </w:tc>
        <w:tc>
          <w:tcPr>
            <w:tcW w:w="1417" w:type="dxa"/>
          </w:tcPr>
          <w:p w:rsidR="00683852" w:rsidRDefault="00394F90">
            <w:pPr>
              <w:shd w:val="clear" w:color="auto" w:fill="EBEBEB" w:themeFill="background1"/>
              <w:rPr>
                <w:rFonts w:ascii="Times New Roman" w:hAnsi="Times New Roman" w:cs="Times New Roman"/>
                <w:b/>
                <w:i/>
                <w:noProof/>
                <w:sz w:val="24"/>
                <w:szCs w:val="24"/>
              </w:rPr>
            </w:pPr>
            <w:r>
              <w:rPr>
                <w:rFonts w:ascii="Times New Roman" w:hAnsi="Times New Roman"/>
                <w:b/>
                <w:i/>
                <w:noProof/>
                <w:sz w:val="24"/>
              </w:rPr>
              <w:t>Tähtaeg</w:t>
            </w:r>
          </w:p>
        </w:tc>
      </w:tr>
      <w:tr w:rsidR="00683852">
        <w:tc>
          <w:tcPr>
            <w:tcW w:w="7797" w:type="dxa"/>
          </w:tcPr>
          <w:p w:rsidR="00683852" w:rsidRDefault="00394F90">
            <w:pPr>
              <w:pStyle w:val="ListParagraph"/>
              <w:numPr>
                <w:ilvl w:val="0"/>
                <w:numId w:val="2"/>
              </w:numPr>
              <w:spacing w:before="120" w:after="120"/>
              <w:rPr>
                <w:rFonts w:ascii="Times New Roman" w:hAnsi="Times New Roman"/>
                <w:noProof/>
                <w:sz w:val="24"/>
                <w:szCs w:val="24"/>
              </w:rPr>
            </w:pPr>
            <w:r>
              <w:rPr>
                <w:rFonts w:ascii="Times New Roman" w:hAnsi="Times New Roman"/>
                <w:noProof/>
                <w:sz w:val="24"/>
              </w:rPr>
              <w:t>esitab Euroopa koostalitlusvõime raamistiku läbivaadatud teksti ja toetab selle kasutuselevõttu</w:t>
            </w:r>
            <w:r>
              <w:rPr>
                <w:noProof/>
              </w:rPr>
              <w:t xml:space="preserve"> </w:t>
            </w:r>
            <w:r>
              <w:rPr>
                <w:rFonts w:ascii="Times New Roman" w:hAnsi="Times New Roman"/>
                <w:noProof/>
                <w:sz w:val="24"/>
              </w:rPr>
              <w:t xml:space="preserve">liikmesriikide haldusasutustes. </w:t>
            </w:r>
          </w:p>
        </w:tc>
        <w:tc>
          <w:tcPr>
            <w:tcW w:w="1417" w:type="dxa"/>
          </w:tcPr>
          <w:p w:rsidR="00683852" w:rsidRDefault="00394F90">
            <w:pPr>
              <w:shd w:val="clear" w:color="auto" w:fill="EBEBEB" w:themeFill="background1"/>
              <w:ind w:left="360"/>
              <w:jc w:val="center"/>
              <w:rPr>
                <w:rFonts w:ascii="Times New Roman" w:hAnsi="Times New Roman"/>
                <w:noProof/>
                <w:sz w:val="24"/>
                <w:szCs w:val="24"/>
              </w:rPr>
            </w:pPr>
            <w:r>
              <w:rPr>
                <w:rFonts w:ascii="Times New Roman" w:hAnsi="Times New Roman"/>
                <w:noProof/>
                <w:sz w:val="24"/>
              </w:rPr>
              <w:t>2016–2019</w:t>
            </w:r>
          </w:p>
        </w:tc>
      </w:tr>
      <w:tr w:rsidR="00683852">
        <w:tc>
          <w:tcPr>
            <w:tcW w:w="7797" w:type="dxa"/>
          </w:tcPr>
          <w:p w:rsidR="00683852" w:rsidRDefault="00394F90">
            <w:pPr>
              <w:pStyle w:val="ListParagraph"/>
              <w:numPr>
                <w:ilvl w:val="0"/>
                <w:numId w:val="2"/>
              </w:numPr>
              <w:spacing w:before="120" w:after="120"/>
              <w:rPr>
                <w:rFonts w:ascii="Times New Roman" w:hAnsi="Times New Roman"/>
                <w:noProof/>
                <w:sz w:val="24"/>
                <w:szCs w:val="24"/>
              </w:rPr>
            </w:pPr>
            <w:r>
              <w:rPr>
                <w:rStyle w:val="CharAttribute3"/>
                <w:rFonts w:eastAsia="Calibri"/>
                <w:noProof/>
              </w:rPr>
              <w:t xml:space="preserve">koordineerib avalike hangete IKT </w:t>
            </w:r>
            <w:r>
              <w:rPr>
                <w:rStyle w:val="CharAttribute3"/>
                <w:rFonts w:eastAsia="Calibri"/>
                <w:noProof/>
              </w:rPr>
              <w:t>standardite Euroopa kataloogi protot</w:t>
            </w:r>
            <w:r>
              <w:rPr>
                <w:rStyle w:val="CharAttribute3"/>
                <w:rFonts w:eastAsia="Calibri"/>
                <w:noProof/>
              </w:rPr>
              <w:t>üü</w:t>
            </w:r>
            <w:r>
              <w:rPr>
                <w:rStyle w:val="CharAttribute3"/>
                <w:rFonts w:eastAsia="Calibri"/>
                <w:noProof/>
              </w:rPr>
              <w:t>bi arendamist.</w:t>
            </w:r>
          </w:p>
        </w:tc>
        <w:tc>
          <w:tcPr>
            <w:tcW w:w="1417" w:type="dxa"/>
          </w:tcPr>
          <w:p w:rsidR="00683852" w:rsidRDefault="00394F90">
            <w:pPr>
              <w:shd w:val="clear" w:color="auto" w:fill="EBEBEB" w:themeFill="background1"/>
              <w:ind w:left="360"/>
              <w:jc w:val="center"/>
              <w:rPr>
                <w:rFonts w:ascii="Times New Roman" w:hAnsi="Times New Roman"/>
                <w:noProof/>
                <w:sz w:val="24"/>
                <w:szCs w:val="24"/>
              </w:rPr>
            </w:pPr>
            <w:r>
              <w:rPr>
                <w:rFonts w:ascii="Times New Roman" w:hAnsi="Times New Roman"/>
                <w:noProof/>
                <w:sz w:val="24"/>
              </w:rPr>
              <w:t>2017</w:t>
            </w:r>
          </w:p>
        </w:tc>
      </w:tr>
    </w:tbl>
    <w:p w:rsidR="00683852" w:rsidRDefault="00394F90">
      <w:pPr>
        <w:spacing w:before="120"/>
        <w:rPr>
          <w:rFonts w:ascii="Times New Roman" w:hAnsi="Times New Roman" w:cs="Times New Roman"/>
          <w:noProof/>
          <w:sz w:val="24"/>
          <w:szCs w:val="24"/>
        </w:rPr>
      </w:pPr>
      <w:r>
        <w:rPr>
          <w:rFonts w:ascii="Times New Roman" w:hAnsi="Times New Roman"/>
          <w:noProof/>
          <w:sz w:val="24"/>
        </w:rPr>
        <w:t>Arvestades komisjoni enda digitaalset arengut ja selleks, et täita ELi haldusasutustele kehtestatud õiguslikud kohustused, kavatseb Euroopa Komisjon ühtlasi võtta rea konkreetseid meetmeid.</w:t>
      </w:r>
    </w:p>
    <w:p w:rsidR="00683852" w:rsidRDefault="00394F90">
      <w:pPr>
        <w:spacing w:before="240"/>
        <w:rPr>
          <w:rFonts w:ascii="Times New Roman" w:hAnsi="Times New Roman" w:cs="Times New Roman"/>
          <w:noProof/>
          <w:sz w:val="24"/>
          <w:szCs w:val="24"/>
        </w:rPr>
      </w:pPr>
      <w:r>
        <w:rPr>
          <w:rFonts w:ascii="Times New Roman" w:hAnsi="Times New Roman"/>
          <w:noProof/>
          <w:sz w:val="24"/>
        </w:rPr>
        <w:t>Siseturu olemasoleva õigustiku läbivaatamiseks tehtava õigusloome kvaliteedi hindamise (REFIT) ja/või uute ettepanekute koostamise käigus pöörab komisjon erilist tähelepanu koostalitlusvõimele ja digitaaltehnoloogiate tulemusliku kasutamise võimalikele eel</w:t>
      </w:r>
      <w:r>
        <w:rPr>
          <w:rFonts w:ascii="Times New Roman" w:hAnsi="Times New Roman"/>
          <w:noProof/>
          <w:sz w:val="24"/>
        </w:rPr>
        <w:t>istele. Eesmärk on kõrvaldada kasutult keerukad, paberipõhised ja üksteist kordavad protsessid (nt kontaktpunktide, aruandlusprotsesside, andmevahetuse või süsteeminõuete paljusus).</w:t>
      </w:r>
    </w:p>
    <w:p w:rsidR="00683852" w:rsidRDefault="00394F90">
      <w:pPr>
        <w:spacing w:before="240"/>
        <w:rPr>
          <w:rFonts w:ascii="Times New Roman" w:hAnsi="Times New Roman" w:cs="Times New Roman"/>
          <w:noProof/>
          <w:sz w:val="24"/>
          <w:szCs w:val="24"/>
        </w:rPr>
      </w:pPr>
      <w:r>
        <w:rPr>
          <w:rFonts w:ascii="Times New Roman" w:hAnsi="Times New Roman"/>
          <w:noProof/>
          <w:sz w:val="24"/>
        </w:rPr>
        <w:t>Omaenda digitaalset arengut silmas pidades avaldab komisjon oma andmed ELi</w:t>
      </w:r>
      <w:r>
        <w:rPr>
          <w:rFonts w:ascii="Times New Roman" w:hAnsi="Times New Roman"/>
          <w:noProof/>
          <w:sz w:val="24"/>
        </w:rPr>
        <w:t xml:space="preserve"> avatud andmete portaalis,</w:t>
      </w:r>
      <w:r>
        <w:rPr>
          <w:rStyle w:val="FootnoteReference"/>
          <w:noProof/>
        </w:rPr>
        <w:footnoteReference w:id="21"/>
      </w:r>
      <w:r>
        <w:rPr>
          <w:rFonts w:ascii="Times New Roman" w:hAnsi="Times New Roman"/>
          <w:noProof/>
          <w:sz w:val="24"/>
        </w:rPr>
        <w:t xml:space="preserve"> kust andmed edastatakse Euroopa avatud andmete portaali,</w:t>
      </w:r>
      <w:r>
        <w:rPr>
          <w:rStyle w:val="FootnoteReference"/>
          <w:noProof/>
        </w:rPr>
        <w:footnoteReference w:id="22"/>
      </w:r>
      <w:r>
        <w:rPr>
          <w:rFonts w:ascii="Times New Roman" w:hAnsi="Times New Roman"/>
          <w:noProof/>
          <w:sz w:val="24"/>
        </w:rPr>
        <w:t xml:space="preserve"> jagab ja taaskasutab vajaduse korral selliseid käituse komponente nagu digitaalteenuste taristud ning kohaldab Euroopa koostalitlusvõime raamistiku läbivaadatud versiooni</w:t>
      </w:r>
      <w:r>
        <w:rPr>
          <w:rFonts w:ascii="Times New Roman" w:hAnsi="Times New Roman"/>
          <w:noProof/>
          <w:sz w:val="24"/>
        </w:rPr>
        <w:t xml:space="preserve">. Komisjon võtab veebis väliste sidusrühmadega suheldes järk-järgult kasutusele põhimõtte „digitaalsus normiks” ning kasutab eIDASe teenuseid (aastal 2018), e-arveldamist (2018) ja e-hankeid (2019). Halduskoormuse vähendamiseks juurutab komisjon tarnijate </w:t>
      </w:r>
      <w:r>
        <w:rPr>
          <w:rFonts w:ascii="Times New Roman" w:hAnsi="Times New Roman"/>
          <w:noProof/>
          <w:sz w:val="24"/>
        </w:rPr>
        <w:t xml:space="preserve">ja toetusesaajatega suhtlemises tasapisi ka ühekordsuse põhimõtte ning uurib võimalusi võtta ühekordsuse põhimõte kasutusele ka teiste sidusrühmade jaoks. Komisjon hindab, millist mõju võiks haldusasutustele avaldada pärandsüsteemidest hoidumise põhimõtte </w:t>
      </w:r>
      <w:r>
        <w:rPr>
          <w:rFonts w:ascii="Times New Roman" w:hAnsi="Times New Roman"/>
          <w:noProof/>
          <w:sz w:val="24"/>
        </w:rPr>
        <w:t>(st IT-süsteeme ja tehnoloogiaid uuendatakse teatava aja tagant, et pidada sammu pidevalt muutuva keskkonna ja tehnika arenguga) rakendamine.</w:t>
      </w:r>
    </w:p>
    <w:tbl>
      <w:tblPr>
        <w:tblStyle w:val="TableGrid"/>
        <w:tblW w:w="9214" w:type="dxa"/>
        <w:tblInd w:w="-34" w:type="dxa"/>
        <w:tblLayout w:type="fixed"/>
        <w:tblLook w:val="04A0" w:firstRow="1" w:lastRow="0" w:firstColumn="1" w:lastColumn="0" w:noHBand="0" w:noVBand="1"/>
      </w:tblPr>
      <w:tblGrid>
        <w:gridCol w:w="7797"/>
        <w:gridCol w:w="1417"/>
      </w:tblGrid>
      <w:tr w:rsidR="00683852">
        <w:tc>
          <w:tcPr>
            <w:tcW w:w="7797" w:type="dxa"/>
          </w:tcPr>
          <w:p w:rsidR="00683852" w:rsidRDefault="00683852">
            <w:pPr>
              <w:shd w:val="clear" w:color="auto" w:fill="EBEBEB" w:themeFill="background1"/>
              <w:rPr>
                <w:rFonts w:ascii="Times New Roman" w:hAnsi="Times New Roman" w:cs="Times New Roman"/>
                <w:b/>
                <w:i/>
                <w:noProof/>
                <w:sz w:val="24"/>
                <w:szCs w:val="24"/>
              </w:rPr>
            </w:pPr>
          </w:p>
          <w:p w:rsidR="00683852" w:rsidRDefault="00394F90">
            <w:pPr>
              <w:shd w:val="clear" w:color="auto" w:fill="EBEBEB" w:themeFill="background1"/>
              <w:rPr>
                <w:rFonts w:ascii="Times New Roman" w:hAnsi="Times New Roman" w:cs="Times New Roman"/>
                <w:b/>
                <w:i/>
                <w:noProof/>
                <w:sz w:val="24"/>
                <w:szCs w:val="24"/>
              </w:rPr>
            </w:pPr>
            <w:r>
              <w:rPr>
                <w:rFonts w:ascii="Times New Roman" w:hAnsi="Times New Roman"/>
                <w:b/>
                <w:i/>
                <w:noProof/>
                <w:sz w:val="24"/>
              </w:rPr>
              <w:t>Meetmed</w:t>
            </w:r>
          </w:p>
        </w:tc>
        <w:tc>
          <w:tcPr>
            <w:tcW w:w="1417" w:type="dxa"/>
          </w:tcPr>
          <w:p w:rsidR="00683852" w:rsidRDefault="00394F90">
            <w:pPr>
              <w:shd w:val="clear" w:color="auto" w:fill="EBEBEB" w:themeFill="background1"/>
              <w:rPr>
                <w:rFonts w:ascii="Times New Roman" w:hAnsi="Times New Roman" w:cs="Times New Roman"/>
                <w:b/>
                <w:i/>
                <w:noProof/>
                <w:sz w:val="24"/>
                <w:szCs w:val="24"/>
              </w:rPr>
            </w:pPr>
            <w:r>
              <w:rPr>
                <w:rFonts w:ascii="Times New Roman" w:hAnsi="Times New Roman"/>
                <w:b/>
                <w:i/>
                <w:noProof/>
                <w:sz w:val="24"/>
              </w:rPr>
              <w:t>Tähtaeg</w:t>
            </w:r>
          </w:p>
        </w:tc>
      </w:tr>
      <w:tr w:rsidR="00683852">
        <w:tc>
          <w:tcPr>
            <w:tcW w:w="7797" w:type="dxa"/>
          </w:tcPr>
          <w:p w:rsidR="00683852" w:rsidRDefault="00394F90">
            <w:pPr>
              <w:pStyle w:val="ListParagraph"/>
              <w:numPr>
                <w:ilvl w:val="0"/>
                <w:numId w:val="2"/>
              </w:numPr>
              <w:spacing w:before="120" w:after="120"/>
              <w:ind w:left="714" w:hanging="357"/>
              <w:rPr>
                <w:rFonts w:ascii="Times New Roman" w:hAnsi="Times New Roman"/>
                <w:noProof/>
                <w:sz w:val="24"/>
                <w:szCs w:val="24"/>
              </w:rPr>
            </w:pPr>
            <w:r>
              <w:rPr>
                <w:rFonts w:ascii="Times New Roman" w:hAnsi="Times New Roman"/>
                <w:noProof/>
                <w:sz w:val="24"/>
              </w:rPr>
              <w:t>Komisjon hakkab kasutama ühiseid komponente nagu Euroopa ühendamise rahastu digitaalteenuste tar</w:t>
            </w:r>
            <w:r>
              <w:rPr>
                <w:rFonts w:ascii="Times New Roman" w:hAnsi="Times New Roman"/>
                <w:noProof/>
                <w:sz w:val="24"/>
              </w:rPr>
              <w:t>istud ning järgib Euroopa koostalitlusvõime raamistikku. Ta võtab järk-järgult kasutusele põhimõtte „digitaalsus normiks” ja ühekordsuse põhimõtte, e-arveldamise ja e-hanked ning hindab pärandsüsteemidest hoidumise põhimõtte võimaliku rakendamise mõjusid.</w:t>
            </w:r>
          </w:p>
        </w:tc>
        <w:tc>
          <w:tcPr>
            <w:tcW w:w="1417" w:type="dxa"/>
          </w:tcPr>
          <w:p w:rsidR="00683852" w:rsidRDefault="00394F90">
            <w:pPr>
              <w:shd w:val="clear" w:color="auto" w:fill="EBEBEB" w:themeFill="background1"/>
              <w:ind w:left="360"/>
              <w:rPr>
                <w:rFonts w:ascii="Times New Roman" w:hAnsi="Times New Roman"/>
                <w:noProof/>
                <w:sz w:val="24"/>
                <w:szCs w:val="24"/>
              </w:rPr>
            </w:pPr>
            <w:r>
              <w:rPr>
                <w:rFonts w:ascii="Times New Roman" w:hAnsi="Times New Roman"/>
                <w:noProof/>
                <w:sz w:val="24"/>
              </w:rPr>
              <w:t>2016–2019</w:t>
            </w:r>
          </w:p>
        </w:tc>
      </w:tr>
    </w:tbl>
    <w:p w:rsidR="00683852" w:rsidRDefault="00394F90">
      <w:pPr>
        <w:spacing w:before="120"/>
        <w:rPr>
          <w:rFonts w:ascii="Times New Roman" w:hAnsi="Times New Roman" w:cs="Times New Roman"/>
          <w:noProof/>
          <w:sz w:val="24"/>
          <w:szCs w:val="24"/>
        </w:rPr>
      </w:pPr>
      <w:r>
        <w:rPr>
          <w:rFonts w:ascii="Times New Roman" w:hAnsi="Times New Roman"/>
          <w:noProof/>
          <w:sz w:val="24"/>
        </w:rPr>
        <w:t xml:space="preserve">Täiendavate algatustega võiks püüda vähendada halduskoormust ja suurendada haldusasutuste tõhusust ja tulemuslikkust sellega, et digitaalsed avaliku sektori teenused muudetakse vajaduspõhiseks ja kasutajasõbralikuks, või sellega, haldusasutused </w:t>
      </w:r>
      <w:r>
        <w:rPr>
          <w:rFonts w:ascii="Times New Roman" w:hAnsi="Times New Roman"/>
          <w:noProof/>
          <w:sz w:val="24"/>
        </w:rPr>
        <w:t>taaskasutavad üksteise andmeid ja teenuseid (pidades sealjuures kinni andmekaitse ja privaatsuse normidest).</w:t>
      </w:r>
    </w:p>
    <w:p w:rsidR="00683852" w:rsidRDefault="00394F90">
      <w:pPr>
        <w:rPr>
          <w:rFonts w:ascii="Times New Roman" w:hAnsi="Times New Roman"/>
          <w:noProof/>
          <w:sz w:val="24"/>
          <w:szCs w:val="24"/>
        </w:rPr>
      </w:pPr>
      <w:r>
        <w:rPr>
          <w:rFonts w:ascii="Times New Roman" w:hAnsi="Times New Roman"/>
          <w:noProof/>
          <w:sz w:val="24"/>
        </w:rPr>
        <w:t>Muude algatustega võiks püüda arendada lisaks olemasolevatele ka uusi ühiseid komponente,</w:t>
      </w:r>
      <w:r>
        <w:rPr>
          <w:rStyle w:val="FootnoteReference"/>
          <w:noProof/>
        </w:rPr>
        <w:footnoteReference w:id="23"/>
      </w:r>
      <w:r>
        <w:rPr>
          <w:rFonts w:ascii="Times New Roman" w:hAnsi="Times New Roman"/>
          <w:noProof/>
          <w:sz w:val="24"/>
        </w:rPr>
        <w:t xml:space="preserve"> toetada nende kasutuselevõttu ning julgustada kasutama j</w:t>
      </w:r>
      <w:r>
        <w:rPr>
          <w:rFonts w:ascii="Times New Roman" w:hAnsi="Times New Roman"/>
          <w:noProof/>
          <w:sz w:val="24"/>
        </w:rPr>
        <w:t>a jagama pilvandmetöötluse, andme- ja andmetöötlustaristuid. Algatustega võiks edendada ka suurandmete või asjade interneti kasutamist näiteks andmemahukate teenuste ja tõenduspõhise poliitikakujundamise, rakendamise ja täitmise tagamise puhul, eeldusel et</w:t>
      </w:r>
      <w:r>
        <w:rPr>
          <w:rFonts w:ascii="Times New Roman" w:hAnsi="Times New Roman"/>
          <w:noProof/>
          <w:sz w:val="24"/>
        </w:rPr>
        <w:t xml:space="preserve"> seda toetab vajalik taristu. Jagatud pilvetaristu kasutamine e-valitsuse teenuste majutamiseks võiks aidata oluliselt raha kokku hoida tänu mastaabisäästule; ühtlasi võiks see kiirendada selliste teenuste turulejõudmist ja muuta haldusasutuste andmed ja t</w:t>
      </w:r>
      <w:r>
        <w:rPr>
          <w:rFonts w:ascii="Times New Roman" w:hAnsi="Times New Roman"/>
          <w:noProof/>
          <w:sz w:val="24"/>
        </w:rPr>
        <w:t>eenused avatumaks. Euroopa pilvandmetöötluse</w:t>
      </w:r>
      <w:r>
        <w:rPr>
          <w:rStyle w:val="FootnoteReference"/>
          <w:rFonts w:ascii="Times New Roman" w:hAnsi="Times New Roman"/>
          <w:noProof/>
          <w:sz w:val="24"/>
        </w:rPr>
        <w:footnoteReference w:id="24"/>
      </w:r>
      <w:r>
        <w:rPr>
          <w:rFonts w:ascii="Times New Roman" w:hAnsi="Times New Roman"/>
          <w:noProof/>
          <w:sz w:val="24"/>
        </w:rPr>
        <w:t xml:space="preserve"> algatus pakub taristut teaduskasutuseks, kuid ühtlasi laiendab ta seda haldusasutustele, pakkudes juurdepääsu seninägematutele andmemahtudele ja andmetöötlusvõimsusele, et pakkuda paremaid teenuseid kõigil tasa</w:t>
      </w:r>
      <w:r>
        <w:rPr>
          <w:rFonts w:ascii="Times New Roman" w:hAnsi="Times New Roman"/>
          <w:noProof/>
          <w:sz w:val="24"/>
        </w:rPr>
        <w:t>ndeil (alates kohalikust ja riigi tasandist kuni ELi tasandini).</w:t>
      </w:r>
    </w:p>
    <w:p w:rsidR="00683852" w:rsidRDefault="00394F90">
      <w:pPr>
        <w:pStyle w:val="Heading2"/>
        <w:rPr>
          <w:noProof/>
          <w:szCs w:val="24"/>
        </w:rPr>
      </w:pPr>
      <w:r>
        <w:rPr>
          <w:noProof/>
        </w:rPr>
        <w:t>Piiriülese liikuvuse võimaldamine tänu koostalitlusvõimelistele digitaalsetele avaliku sektori teenustele</w:t>
      </w:r>
    </w:p>
    <w:p w:rsidR="00683852" w:rsidRDefault="00394F90">
      <w:pPr>
        <w:rPr>
          <w:noProof/>
        </w:rPr>
      </w:pPr>
      <w:r>
        <w:rPr>
          <w:rFonts w:ascii="Times New Roman" w:hAnsi="Times New Roman"/>
          <w:noProof/>
          <w:sz w:val="24"/>
        </w:rPr>
        <w:t>ELi ühtne turg ei saa tulemuslikult toimida ilma piiriüleste digitaalsete avaliku sek</w:t>
      </w:r>
      <w:r>
        <w:rPr>
          <w:rFonts w:ascii="Times New Roman" w:hAnsi="Times New Roman"/>
          <w:noProof/>
          <w:sz w:val="24"/>
        </w:rPr>
        <w:t>tori teenusteta. Sellised teenused hõlbustavad juurdepääsu turgudele, suurendavad kindlustunnet ja elavdavad konkurentsi kogu ühtsel turul. Haldusasutused peaksid ettevõtjatel aitama tegutseda veebis piirüleselt kogu ühtsel turul, lihtsustama juurdepääsu t</w:t>
      </w:r>
      <w:r>
        <w:rPr>
          <w:rFonts w:ascii="Times New Roman" w:hAnsi="Times New Roman"/>
          <w:noProof/>
          <w:sz w:val="24"/>
        </w:rPr>
        <w:t>eabele vastavalt ELi ettevõtlus- ja äriühinguseadustele ning pakkuma ettevõtjatele läbivalt digitaalsete avaliku sektori e-teenuste lihtsaid võimalusi alustada ettevõtlust, laieneda ja tegutseda teistes liikmesriikides.</w:t>
      </w:r>
    </w:p>
    <w:p w:rsidR="00683852" w:rsidRDefault="00394F90">
      <w:pPr>
        <w:rPr>
          <w:rFonts w:ascii="Times New Roman" w:hAnsi="Times New Roman" w:cs="Times New Roman"/>
          <w:noProof/>
          <w:sz w:val="24"/>
          <w:szCs w:val="24"/>
        </w:rPr>
      </w:pPr>
      <w:r>
        <w:rPr>
          <w:rFonts w:ascii="Times New Roman" w:hAnsi="Times New Roman"/>
          <w:noProof/>
          <w:sz w:val="24"/>
        </w:rPr>
        <w:t xml:space="preserve">Nende poliitiliste prioriteetide </w:t>
      </w:r>
      <w:r>
        <w:rPr>
          <w:rFonts w:ascii="Times New Roman" w:hAnsi="Times New Roman"/>
          <w:noProof/>
          <w:sz w:val="24"/>
        </w:rPr>
        <w:t>suunas liikumiseks kirjeldatakse käesolevas tegevuskavas hulka konkreetseid meetmeid, et aidata kaasa ettevõtlussõbraliku piiriülese avaliku halduse loomisele ja soodustada kodanike liikuvust.</w:t>
      </w:r>
    </w:p>
    <w:p w:rsidR="00683852" w:rsidRDefault="00394F90">
      <w:pPr>
        <w:pStyle w:val="Default"/>
        <w:spacing w:after="200" w:line="276" w:lineRule="auto"/>
        <w:jc w:val="both"/>
        <w:rPr>
          <w:rStyle w:val="CharAttribute3"/>
          <w:rFonts w:eastAsia="Batang"/>
          <w:noProof/>
          <w:color w:val="auto"/>
        </w:rPr>
      </w:pPr>
      <w:r>
        <w:rPr>
          <w:rFonts w:ascii="Times New Roman" w:hAnsi="Times New Roman"/>
          <w:noProof/>
        </w:rPr>
        <w:t>Praegu ei toimi ühtse turuga seotud teave, nõuanded, probleemid</w:t>
      </w:r>
      <w:r>
        <w:rPr>
          <w:rFonts w:ascii="Times New Roman" w:hAnsi="Times New Roman"/>
          <w:noProof/>
        </w:rPr>
        <w:t>e lahendamise mehhanismid, kontaktpunktid ja menetlused ühe tervikuna, vaid on hajutatud, ebatäielikud, ebapiisavalt omavahel ühendatud ja nende kasutajasõbralikkus ei ole järjekindel – seda nii ELi kui ka riikide tasandil. Seepärast on kasutajatel raske l</w:t>
      </w:r>
      <w:r>
        <w:rPr>
          <w:rFonts w:ascii="Times New Roman" w:hAnsi="Times New Roman"/>
          <w:noProof/>
        </w:rPr>
        <w:t>eida õiget teavet ja vajalikku abi. Seepärast teeb komisjon ettepaneku luua ühtne digiportaal, mis põhineks olemasolevatel portaalidel, kontaktpunktidel ja võrgustikel, kuid laiendaks, parendaks ja optimeeriks kogu teabe, abi ja kõik probleemide lahendamis</w:t>
      </w:r>
      <w:r>
        <w:rPr>
          <w:rFonts w:ascii="Times New Roman" w:hAnsi="Times New Roman"/>
          <w:noProof/>
        </w:rPr>
        <w:t>e teenused, mida on vaja tõhusaks piirüleseks toimimiseks, ning võimaldaks kasutajatel teha kõige sagedasemad riiklikud protseduurid ära täielikult veebis.</w:t>
      </w:r>
    </w:p>
    <w:p w:rsidR="00683852" w:rsidRDefault="00394F90">
      <w:pPr>
        <w:pStyle w:val="Default"/>
        <w:spacing w:after="200" w:line="276" w:lineRule="auto"/>
        <w:jc w:val="both"/>
        <w:rPr>
          <w:rStyle w:val="CharAttribute3"/>
          <w:rFonts w:eastAsia="Batang"/>
          <w:noProof/>
        </w:rPr>
      </w:pPr>
      <w:r>
        <w:rPr>
          <w:rStyle w:val="CharAttribute3"/>
          <w:rFonts w:eastAsiaTheme="minorHAnsi"/>
          <w:noProof/>
        </w:rPr>
        <w:t>Komisjon teeb Euroopa e-</w:t>
      </w:r>
      <w:r>
        <w:rPr>
          <w:rStyle w:val="CharAttribute3"/>
          <w:rFonts w:eastAsiaTheme="minorHAnsi"/>
          <w:noProof/>
        </w:rPr>
        <w:t>õ</w:t>
      </w:r>
      <w:r>
        <w:rPr>
          <w:rStyle w:val="CharAttribute3"/>
          <w:rFonts w:eastAsiaTheme="minorHAnsi"/>
          <w:noProof/>
        </w:rPr>
        <w:t>iguskeskkonna portaalist keskse koha, kust saab teavet Euroopa kohtus</w:t>
      </w:r>
      <w:r>
        <w:rPr>
          <w:rStyle w:val="CharAttribute3"/>
          <w:rFonts w:eastAsiaTheme="minorHAnsi"/>
          <w:noProof/>
        </w:rPr>
        <w:t>ü</w:t>
      </w:r>
      <w:r>
        <w:rPr>
          <w:rStyle w:val="CharAttribute3"/>
          <w:rFonts w:eastAsiaTheme="minorHAnsi"/>
          <w:noProof/>
        </w:rPr>
        <w:t>steemi kohta ja p</w:t>
      </w:r>
      <w:r>
        <w:rPr>
          <w:rStyle w:val="CharAttribute3"/>
          <w:rFonts w:eastAsiaTheme="minorHAnsi"/>
          <w:noProof/>
        </w:rPr>
        <w:t>ää</w:t>
      </w:r>
      <w:r>
        <w:rPr>
          <w:rStyle w:val="CharAttribute3"/>
          <w:rFonts w:eastAsiaTheme="minorHAnsi"/>
          <w:noProof/>
        </w:rPr>
        <w:t>seb juurde liikmesriikide kohtumenetlustele. 2016. aastal h</w:t>
      </w:r>
      <w:r>
        <w:rPr>
          <w:rStyle w:val="CharAttribute3"/>
          <w:rFonts w:eastAsiaTheme="minorHAnsi"/>
          <w:noProof/>
        </w:rPr>
        <w:t>õ</w:t>
      </w:r>
      <w:r>
        <w:rPr>
          <w:rStyle w:val="CharAttribute3"/>
          <w:rFonts w:eastAsiaTheme="minorHAnsi"/>
          <w:noProof/>
        </w:rPr>
        <w:t>lmab see kodanike ja teistes liikmesriikides asuvate kohtute vahelise otsesuhtluse vahendite (e-CODEX) ning Euroopa kohtulahendi tunnuse (ECLI) kasutuselev</w:t>
      </w:r>
      <w:r>
        <w:rPr>
          <w:rStyle w:val="CharAttribute3"/>
          <w:rFonts w:eastAsiaTheme="minorHAnsi"/>
          <w:noProof/>
        </w:rPr>
        <w:t>õ</w:t>
      </w:r>
      <w:r>
        <w:rPr>
          <w:rStyle w:val="CharAttribute3"/>
          <w:rFonts w:eastAsiaTheme="minorHAnsi"/>
          <w:noProof/>
        </w:rPr>
        <w:t>ttu. Edasised meetmed</w:t>
      </w:r>
      <w:r>
        <w:rPr>
          <w:rStyle w:val="CharAttribute3"/>
          <w:rFonts w:eastAsiaTheme="minorHAnsi"/>
          <w:noProof/>
        </w:rPr>
        <w:t xml:space="preserve"> on koosk</w:t>
      </w:r>
      <w:r>
        <w:rPr>
          <w:rStyle w:val="CharAttribute3"/>
          <w:rFonts w:eastAsiaTheme="minorHAnsi"/>
          <w:noProof/>
        </w:rPr>
        <w:t>õ</w:t>
      </w:r>
      <w:r>
        <w:rPr>
          <w:rStyle w:val="CharAttribute3"/>
          <w:rFonts w:eastAsiaTheme="minorHAnsi"/>
          <w:noProof/>
        </w:rPr>
        <w:t>las Euroopa e-</w:t>
      </w:r>
      <w:r>
        <w:rPr>
          <w:rStyle w:val="CharAttribute3"/>
          <w:rFonts w:eastAsiaTheme="minorHAnsi"/>
          <w:noProof/>
        </w:rPr>
        <w:t>õ</w:t>
      </w:r>
      <w:r>
        <w:rPr>
          <w:rStyle w:val="CharAttribute3"/>
          <w:rFonts w:eastAsiaTheme="minorHAnsi"/>
          <w:noProof/>
        </w:rPr>
        <w:t>iguskeskkonna mitmeaastase tegevuskavaga (2014</w:t>
      </w:r>
      <w:r>
        <w:rPr>
          <w:rStyle w:val="CharAttribute3"/>
          <w:rFonts w:eastAsiaTheme="minorHAnsi"/>
          <w:noProof/>
        </w:rPr>
        <w:t>–</w:t>
      </w:r>
      <w:r>
        <w:rPr>
          <w:rStyle w:val="CharAttribute3"/>
          <w:rFonts w:eastAsiaTheme="minorHAnsi"/>
          <w:noProof/>
        </w:rPr>
        <w:t>2018).</w:t>
      </w:r>
    </w:p>
    <w:p w:rsidR="00683852" w:rsidRDefault="00394F90">
      <w:pPr>
        <w:pStyle w:val="Default"/>
        <w:spacing w:after="200" w:line="276" w:lineRule="auto"/>
        <w:jc w:val="both"/>
        <w:rPr>
          <w:rFonts w:ascii="Times New Roman" w:eastAsia="Batang" w:hAnsi="Times New Roman"/>
          <w:noProof/>
          <w:kern w:val="2"/>
        </w:rPr>
      </w:pPr>
      <w:r>
        <w:rPr>
          <w:rFonts w:ascii="Times New Roman" w:hAnsi="Times New Roman"/>
          <w:noProof/>
          <w:kern w:val="2"/>
        </w:rPr>
        <w:t>Komisjon jätkab koos liikmesriikidega pooleliolevat tööd kõigi liikmesriikide äriregistrite kohustusliku omavahelise sidumise kallal,</w:t>
      </w:r>
      <w:r>
        <w:rPr>
          <w:rStyle w:val="FootnoteReference"/>
          <w:rFonts w:asciiTheme="minorHAnsi" w:hAnsiTheme="minorHAnsi" w:cstheme="minorBidi"/>
          <w:noProof/>
          <w:color w:val="auto"/>
          <w:sz w:val="22"/>
        </w:rPr>
        <w:footnoteReference w:id="25"/>
      </w:r>
      <w:r>
        <w:rPr>
          <w:rFonts w:ascii="Times New Roman" w:hAnsi="Times New Roman"/>
          <w:noProof/>
          <w:kern w:val="2"/>
        </w:rPr>
        <w:t xml:space="preserve"> et võimaldada Euroopa e-õiguskeskkonna por</w:t>
      </w:r>
      <w:r>
        <w:rPr>
          <w:rFonts w:ascii="Times New Roman" w:hAnsi="Times New Roman"/>
          <w:noProof/>
          <w:kern w:val="2"/>
        </w:rPr>
        <w:t>taali kaudu juurdepääsu teatavale teabele liikmesriikides registreeritud äriühingute kohta ning tagada, et kõik ELi asjaomased äriregistrid saavad omavahel elektrooniliselt suhelda turvalisel ja ohutul viisil. See suurendab usaldust ühtse turu vastu tänu ä</w:t>
      </w:r>
      <w:r>
        <w:rPr>
          <w:rFonts w:ascii="Times New Roman" w:hAnsi="Times New Roman"/>
          <w:noProof/>
          <w:kern w:val="2"/>
        </w:rPr>
        <w:t>riühinguid puudutava teabe läbipaistvusele ja ajakohasusele ning vähendab äriühingute koormust.</w:t>
      </w:r>
    </w:p>
    <w:p w:rsidR="00683852" w:rsidRDefault="00394F90">
      <w:pPr>
        <w:pStyle w:val="Default"/>
        <w:spacing w:after="200" w:line="276" w:lineRule="auto"/>
        <w:jc w:val="both"/>
        <w:rPr>
          <w:rStyle w:val="CharAttribute3"/>
          <w:rFonts w:eastAsia="Batang"/>
          <w:noProof/>
        </w:rPr>
      </w:pPr>
      <w:r>
        <w:rPr>
          <w:rFonts w:ascii="Times New Roman" w:hAnsi="Times New Roman"/>
          <w:noProof/>
        </w:rPr>
        <w:t>Komisjon jätkab ka maksejõuetusregistrite elektroonilise sidumise arendamist, et suurendada siseturul läbipaistvust ja õiguskindlust</w:t>
      </w:r>
      <w:r>
        <w:rPr>
          <w:rStyle w:val="FootnoteReference"/>
          <w:rFonts w:asciiTheme="minorHAnsi" w:hAnsiTheme="minorHAnsi" w:cstheme="minorBidi"/>
          <w:noProof/>
          <w:color w:val="auto"/>
          <w:sz w:val="22"/>
        </w:rPr>
        <w:footnoteReference w:id="26"/>
      </w:r>
      <w:r>
        <w:rPr>
          <w:rFonts w:ascii="Times New Roman" w:hAnsi="Times New Roman"/>
          <w:noProof/>
        </w:rPr>
        <w:t>. Määrusega 2015/848 kohust</w:t>
      </w:r>
      <w:r>
        <w:rPr>
          <w:rFonts w:ascii="Times New Roman" w:hAnsi="Times New Roman"/>
          <w:noProof/>
        </w:rPr>
        <w:t xml:space="preserve">ati liikmesriike looma oma riigi sisesed maksejõuetusregistrid aastaks 2018 ning maksejõuetusregistrite omavaheline sidumine on kavas aastaks 2019. </w:t>
      </w:r>
      <w:r>
        <w:rPr>
          <w:rStyle w:val="CharAttribute3"/>
          <w:rFonts w:eastAsiaTheme="minorHAnsi"/>
          <w:noProof/>
        </w:rPr>
        <w:t>See realiseeritakse Euroopa e-</w:t>
      </w:r>
      <w:r>
        <w:rPr>
          <w:rStyle w:val="CharAttribute3"/>
          <w:rFonts w:eastAsiaTheme="minorHAnsi"/>
          <w:noProof/>
        </w:rPr>
        <w:t>õ</w:t>
      </w:r>
      <w:r>
        <w:rPr>
          <w:rStyle w:val="CharAttribute3"/>
          <w:rFonts w:eastAsiaTheme="minorHAnsi"/>
          <w:noProof/>
        </w:rPr>
        <w:t>iguskeskkonna portaali kaudu.</w:t>
      </w:r>
    </w:p>
    <w:p w:rsidR="00683852" w:rsidRDefault="00394F90">
      <w:pPr>
        <w:pStyle w:val="Default"/>
        <w:spacing w:after="200" w:line="276" w:lineRule="auto"/>
        <w:jc w:val="both"/>
        <w:rPr>
          <w:rStyle w:val="CharAttribute3"/>
          <w:rFonts w:eastAsia="Calibri"/>
          <w:noProof/>
        </w:rPr>
      </w:pPr>
      <w:r>
        <w:rPr>
          <w:rFonts w:ascii="Times New Roman" w:hAnsi="Times New Roman"/>
          <w:noProof/>
        </w:rPr>
        <w:t>Digitaalsete vahendite parem kasutamine äriühin</w:t>
      </w:r>
      <w:r>
        <w:rPr>
          <w:rFonts w:ascii="Times New Roman" w:hAnsi="Times New Roman"/>
          <w:noProof/>
        </w:rPr>
        <w:t>guõigusega seotud nõuete täitmiseks äriühingu elutsükli eri etappides tähendaks äriühingute jaoks lihtsamaid ja vähem koormavaid lahendusi.</w:t>
      </w:r>
      <w:r>
        <w:rPr>
          <w:rFonts w:ascii="Times New Roman" w:hAnsi="Times New Roman"/>
          <w:noProof/>
          <w:color w:val="auto"/>
        </w:rPr>
        <w:t xml:space="preserve"> </w:t>
      </w:r>
      <w:r>
        <w:rPr>
          <w:rFonts w:ascii="Times New Roman" w:hAnsi="Times New Roman"/>
          <w:noProof/>
        </w:rPr>
        <w:t>Lisaks ühe osanikuga äriühingute ettepanekule kaalub komisjon ühtse turu strateegias kirjeldatud algatuse raames täi</w:t>
      </w:r>
      <w:r>
        <w:rPr>
          <w:rFonts w:ascii="Times New Roman" w:hAnsi="Times New Roman"/>
          <w:noProof/>
        </w:rPr>
        <w:t>endavaid mooduseid,</w:t>
      </w:r>
      <w:r>
        <w:rPr>
          <w:rStyle w:val="FootnoteReference"/>
          <w:rFonts w:asciiTheme="minorHAnsi" w:hAnsiTheme="minorHAnsi" w:cstheme="minorBidi"/>
          <w:noProof/>
          <w:color w:val="auto"/>
          <w:sz w:val="22"/>
        </w:rPr>
        <w:footnoteReference w:id="27"/>
      </w:r>
      <w:r>
        <w:rPr>
          <w:rFonts w:ascii="Times New Roman" w:hAnsi="Times New Roman"/>
          <w:noProof/>
        </w:rPr>
        <w:t xml:space="preserve"> kuidas soodustada digitaalsete lahenduste kasutamist kogu äriühingu elutsükli jooksul eeskätt selles osas, mis puudutab veebis registreerimist ning äriühingu dokumentide ja teabe</w:t>
      </w:r>
      <w:r>
        <w:rPr>
          <w:rStyle w:val="FootnoteReference"/>
          <w:rFonts w:asciiTheme="minorHAnsi" w:hAnsiTheme="minorHAnsi" w:cstheme="minorBidi"/>
          <w:noProof/>
          <w:color w:val="auto"/>
          <w:sz w:val="22"/>
        </w:rPr>
        <w:footnoteReference w:id="28"/>
      </w:r>
      <w:r>
        <w:rPr>
          <w:rFonts w:ascii="Times New Roman" w:hAnsi="Times New Roman"/>
          <w:noProof/>
        </w:rPr>
        <w:t xml:space="preserve"> elektroonilist esitamist äriregistrites, seda ka piiriü</w:t>
      </w:r>
      <w:r>
        <w:rPr>
          <w:rFonts w:ascii="Times New Roman" w:hAnsi="Times New Roman"/>
          <w:noProof/>
        </w:rPr>
        <w:t>leselt.</w:t>
      </w:r>
    </w:p>
    <w:p w:rsidR="00683852" w:rsidRDefault="00394F90">
      <w:pPr>
        <w:rPr>
          <w:rStyle w:val="CharAttribute3"/>
          <w:rFonts w:eastAsia="Batang"/>
          <w:noProof/>
          <w:szCs w:val="24"/>
        </w:rPr>
      </w:pPr>
      <w:r>
        <w:rPr>
          <w:rStyle w:val="CharAttribute3"/>
          <w:rFonts w:eastAsiaTheme="minorHAnsi"/>
          <w:noProof/>
        </w:rPr>
        <w:t xml:space="preserve">Komisjon esitab </w:t>
      </w:r>
      <w:r>
        <w:rPr>
          <w:rStyle w:val="CharAttribute3"/>
          <w:rFonts w:eastAsiaTheme="minorHAnsi"/>
          <w:noProof/>
        </w:rPr>
        <w:t>õ</w:t>
      </w:r>
      <w:r>
        <w:rPr>
          <w:rStyle w:val="CharAttribute3"/>
          <w:rFonts w:eastAsiaTheme="minorHAnsi"/>
          <w:noProof/>
        </w:rPr>
        <w:t>igusakti ettepaneku, et laiendada k</w:t>
      </w:r>
      <w:r>
        <w:rPr>
          <w:rStyle w:val="CharAttribute3"/>
          <w:rFonts w:eastAsiaTheme="minorHAnsi"/>
          <w:noProof/>
        </w:rPr>
        <w:t>ä</w:t>
      </w:r>
      <w:r>
        <w:rPr>
          <w:rStyle w:val="CharAttribute3"/>
          <w:rFonts w:eastAsiaTheme="minorHAnsi"/>
          <w:noProof/>
        </w:rPr>
        <w:t xml:space="preserve">ibemaksu registreerimise ja tasumise </w:t>
      </w:r>
      <w:r>
        <w:rPr>
          <w:rStyle w:val="CharAttribute3"/>
          <w:rFonts w:eastAsiaTheme="minorHAnsi"/>
          <w:noProof/>
        </w:rPr>
        <w:t>ü</w:t>
      </w:r>
      <w:r>
        <w:rPr>
          <w:rStyle w:val="CharAttribute3"/>
          <w:rFonts w:eastAsiaTheme="minorHAnsi"/>
          <w:noProof/>
        </w:rPr>
        <w:t>htset elektroonilist mehhanismi f</w:t>
      </w:r>
      <w:r>
        <w:rPr>
          <w:rStyle w:val="CharAttribute3"/>
          <w:rFonts w:eastAsiaTheme="minorHAnsi"/>
          <w:noProof/>
        </w:rPr>
        <w:t>üü</w:t>
      </w:r>
      <w:r>
        <w:rPr>
          <w:rStyle w:val="CharAttribute3"/>
          <w:rFonts w:eastAsiaTheme="minorHAnsi"/>
          <w:noProof/>
        </w:rPr>
        <w:t>siliste kaupade piiri</w:t>
      </w:r>
      <w:r>
        <w:rPr>
          <w:rStyle w:val="CharAttribute3"/>
          <w:rFonts w:eastAsiaTheme="minorHAnsi"/>
          <w:noProof/>
        </w:rPr>
        <w:t>ü</w:t>
      </w:r>
      <w:r>
        <w:rPr>
          <w:rStyle w:val="CharAttribute3"/>
          <w:rFonts w:eastAsiaTheme="minorHAnsi"/>
          <w:noProof/>
        </w:rPr>
        <w:t>lesele veebim</w:t>
      </w:r>
      <w:r>
        <w:rPr>
          <w:rStyle w:val="CharAttribute3"/>
          <w:rFonts w:eastAsiaTheme="minorHAnsi"/>
          <w:noProof/>
        </w:rPr>
        <w:t>üü</w:t>
      </w:r>
      <w:r>
        <w:rPr>
          <w:rStyle w:val="CharAttribute3"/>
          <w:rFonts w:eastAsiaTheme="minorHAnsi"/>
          <w:noProof/>
        </w:rPr>
        <w:t>gile ettev</w:t>
      </w:r>
      <w:r>
        <w:rPr>
          <w:rStyle w:val="CharAttribute3"/>
          <w:rFonts w:eastAsiaTheme="minorHAnsi"/>
          <w:noProof/>
        </w:rPr>
        <w:t>õ</w:t>
      </w:r>
      <w:r>
        <w:rPr>
          <w:rStyle w:val="CharAttribute3"/>
          <w:rFonts w:eastAsiaTheme="minorHAnsi"/>
          <w:noProof/>
        </w:rPr>
        <w:t>tjate ja tarbijate vahel, et v</w:t>
      </w:r>
      <w:r>
        <w:rPr>
          <w:rStyle w:val="CharAttribute3"/>
          <w:rFonts w:eastAsiaTheme="minorHAnsi"/>
          <w:noProof/>
        </w:rPr>
        <w:t>ä</w:t>
      </w:r>
      <w:r>
        <w:rPr>
          <w:rStyle w:val="CharAttribute3"/>
          <w:rFonts w:eastAsiaTheme="minorHAnsi"/>
          <w:noProof/>
        </w:rPr>
        <w:t>hendada halduskoormust, mis on ettev</w:t>
      </w:r>
      <w:r>
        <w:rPr>
          <w:rStyle w:val="CharAttribute3"/>
          <w:rFonts w:eastAsiaTheme="minorHAnsi"/>
          <w:noProof/>
        </w:rPr>
        <w:t>õ</w:t>
      </w:r>
      <w:r>
        <w:rPr>
          <w:rStyle w:val="CharAttribute3"/>
          <w:rFonts w:eastAsiaTheme="minorHAnsi"/>
          <w:noProof/>
        </w:rPr>
        <w:t xml:space="preserve">tjate </w:t>
      </w:r>
      <w:r>
        <w:rPr>
          <w:rStyle w:val="CharAttribute3"/>
          <w:rFonts w:eastAsiaTheme="minorHAnsi"/>
          <w:noProof/>
        </w:rPr>
        <w:t xml:space="preserve">jaoks </w:t>
      </w:r>
      <w:r>
        <w:rPr>
          <w:rStyle w:val="CharAttribute3"/>
          <w:rFonts w:eastAsiaTheme="minorHAnsi"/>
          <w:noProof/>
        </w:rPr>
        <w:t>ü</w:t>
      </w:r>
      <w:r>
        <w:rPr>
          <w:rStyle w:val="CharAttribute3"/>
          <w:rFonts w:eastAsiaTheme="minorHAnsi"/>
          <w:noProof/>
        </w:rPr>
        <w:t>ks piiri</w:t>
      </w:r>
      <w:r>
        <w:rPr>
          <w:rStyle w:val="CharAttribute3"/>
          <w:rFonts w:eastAsiaTheme="minorHAnsi"/>
          <w:noProof/>
        </w:rPr>
        <w:t>ü</w:t>
      </w:r>
      <w:r>
        <w:rPr>
          <w:rStyle w:val="CharAttribute3"/>
          <w:rFonts w:eastAsiaTheme="minorHAnsi"/>
          <w:noProof/>
        </w:rPr>
        <w:t>lese tegutsemise peamisi takistusi.</w:t>
      </w:r>
    </w:p>
    <w:p w:rsidR="00683852" w:rsidRDefault="00394F90">
      <w:pPr>
        <w:rPr>
          <w:rStyle w:val="CharAttribute3"/>
          <w:rFonts w:eastAsia="Batang"/>
          <w:noProof/>
        </w:rPr>
      </w:pPr>
      <w:r>
        <w:rPr>
          <w:rStyle w:val="CharAttribute3"/>
          <w:rFonts w:eastAsiaTheme="minorHAnsi"/>
          <w:noProof/>
        </w:rPr>
        <w:t xml:space="preserve">Nagu digitaalse </w:t>
      </w:r>
      <w:r>
        <w:rPr>
          <w:rStyle w:val="CharAttribute3"/>
          <w:rFonts w:eastAsiaTheme="minorHAnsi"/>
          <w:noProof/>
        </w:rPr>
        <w:t>ü</w:t>
      </w:r>
      <w:r>
        <w:rPr>
          <w:rStyle w:val="CharAttribute3"/>
          <w:rFonts w:eastAsiaTheme="minorHAnsi"/>
          <w:noProof/>
        </w:rPr>
        <w:t>htse turu strateegias v</w:t>
      </w:r>
      <w:r>
        <w:rPr>
          <w:rStyle w:val="CharAttribute3"/>
          <w:rFonts w:eastAsiaTheme="minorHAnsi"/>
          <w:noProof/>
        </w:rPr>
        <w:t>ä</w:t>
      </w:r>
      <w:r>
        <w:rPr>
          <w:rStyle w:val="CharAttribute3"/>
          <w:rFonts w:eastAsiaTheme="minorHAnsi"/>
          <w:noProof/>
        </w:rPr>
        <w:t>lja kuulutatud, k</w:t>
      </w:r>
      <w:r>
        <w:rPr>
          <w:rStyle w:val="CharAttribute3"/>
          <w:rFonts w:eastAsiaTheme="minorHAnsi"/>
          <w:noProof/>
        </w:rPr>
        <w:t>ä</w:t>
      </w:r>
      <w:r>
        <w:rPr>
          <w:rStyle w:val="CharAttribute3"/>
          <w:rFonts w:eastAsiaTheme="minorHAnsi"/>
          <w:noProof/>
        </w:rPr>
        <w:t xml:space="preserve">ivitatakse 2016. aastal liikmesriikide osalusel </w:t>
      </w:r>
      <w:r>
        <w:rPr>
          <w:rStyle w:val="CharAttribute3"/>
          <w:rFonts w:eastAsiaTheme="minorHAnsi"/>
          <w:noProof/>
        </w:rPr>
        <w:t>ü</w:t>
      </w:r>
      <w:r>
        <w:rPr>
          <w:rStyle w:val="CharAttribute3"/>
          <w:rFonts w:eastAsiaTheme="minorHAnsi"/>
          <w:noProof/>
        </w:rPr>
        <w:t>hekordsuse p</w:t>
      </w:r>
      <w:r>
        <w:rPr>
          <w:rStyle w:val="CharAttribute3"/>
          <w:rFonts w:eastAsiaTheme="minorHAnsi"/>
          <w:noProof/>
        </w:rPr>
        <w:t>õ</w:t>
      </w:r>
      <w:r>
        <w:rPr>
          <w:rStyle w:val="CharAttribute3"/>
          <w:rFonts w:eastAsiaTheme="minorHAnsi"/>
          <w:noProof/>
        </w:rPr>
        <w:t>him</w:t>
      </w:r>
      <w:r>
        <w:rPr>
          <w:rStyle w:val="CharAttribute3"/>
          <w:rFonts w:eastAsiaTheme="minorHAnsi"/>
          <w:noProof/>
        </w:rPr>
        <w:t>õ</w:t>
      </w:r>
      <w:r>
        <w:rPr>
          <w:rStyle w:val="CharAttribute3"/>
          <w:rFonts w:eastAsiaTheme="minorHAnsi"/>
          <w:noProof/>
        </w:rPr>
        <w:t>tte piiri</w:t>
      </w:r>
      <w:r>
        <w:rPr>
          <w:rStyle w:val="CharAttribute3"/>
          <w:rFonts w:eastAsiaTheme="minorHAnsi"/>
          <w:noProof/>
        </w:rPr>
        <w:t>ü</w:t>
      </w:r>
      <w:r>
        <w:rPr>
          <w:rStyle w:val="CharAttribute3"/>
          <w:rFonts w:eastAsiaTheme="minorHAnsi"/>
          <w:noProof/>
        </w:rPr>
        <w:t>lese rakendamise ulatuslik katseprojekt ettev</w:t>
      </w:r>
      <w:r>
        <w:rPr>
          <w:rStyle w:val="CharAttribute3"/>
          <w:rFonts w:eastAsiaTheme="minorHAnsi"/>
          <w:noProof/>
        </w:rPr>
        <w:t>õ</w:t>
      </w:r>
      <w:r>
        <w:rPr>
          <w:rStyle w:val="CharAttribute3"/>
          <w:rFonts w:eastAsiaTheme="minorHAnsi"/>
          <w:noProof/>
        </w:rPr>
        <w:t>tjate ja valitsuse vahe</w:t>
      </w:r>
      <w:r>
        <w:rPr>
          <w:rStyle w:val="CharAttribute3"/>
          <w:rFonts w:eastAsiaTheme="minorHAnsi"/>
          <w:noProof/>
        </w:rPr>
        <w:t>liste suhete vallas.</w:t>
      </w:r>
    </w:p>
    <w:p w:rsidR="00683852" w:rsidRDefault="00394F90">
      <w:pPr>
        <w:rPr>
          <w:rStyle w:val="CharAttribute3"/>
          <w:rFonts w:eastAsia="Batang"/>
          <w:noProof/>
          <w:szCs w:val="24"/>
        </w:rPr>
      </w:pPr>
      <w:r>
        <w:rPr>
          <w:rStyle w:val="CharAttribute3"/>
          <w:rFonts w:eastAsiaTheme="minorHAnsi"/>
          <w:noProof/>
        </w:rPr>
        <w:t xml:space="preserve">Lisaks loob komisjon Euroopa </w:t>
      </w:r>
      <w:r>
        <w:rPr>
          <w:rStyle w:val="CharAttribute3"/>
          <w:rFonts w:eastAsiaTheme="minorHAnsi"/>
          <w:noProof/>
        </w:rPr>
        <w:t>ü</w:t>
      </w:r>
      <w:r>
        <w:rPr>
          <w:rStyle w:val="CharAttribute3"/>
          <w:rFonts w:eastAsiaTheme="minorHAnsi"/>
          <w:noProof/>
        </w:rPr>
        <w:t xml:space="preserve">htse kontaktpunkti, mis tegeleks </w:t>
      </w:r>
      <w:r>
        <w:rPr>
          <w:rStyle w:val="CharAttribute3"/>
          <w:rFonts w:eastAsiaTheme="minorHAnsi"/>
          <w:noProof/>
        </w:rPr>
        <w:t>ü</w:t>
      </w:r>
      <w:r>
        <w:rPr>
          <w:rStyle w:val="CharAttribute3"/>
          <w:rFonts w:eastAsiaTheme="minorHAnsi"/>
          <w:noProof/>
        </w:rPr>
        <w:t>hekordsuse p</w:t>
      </w:r>
      <w:r>
        <w:rPr>
          <w:rStyle w:val="CharAttribute3"/>
          <w:rFonts w:eastAsiaTheme="minorHAnsi"/>
          <w:noProof/>
        </w:rPr>
        <w:t>õ</w:t>
      </w:r>
      <w:r>
        <w:rPr>
          <w:rStyle w:val="CharAttribute3"/>
          <w:rFonts w:eastAsiaTheme="minorHAnsi"/>
          <w:noProof/>
        </w:rPr>
        <w:t>him</w:t>
      </w:r>
      <w:r>
        <w:rPr>
          <w:rStyle w:val="CharAttribute3"/>
          <w:rFonts w:eastAsiaTheme="minorHAnsi"/>
          <w:noProof/>
        </w:rPr>
        <w:t>õ</w:t>
      </w:r>
      <w:r>
        <w:rPr>
          <w:rStyle w:val="CharAttribute3"/>
          <w:rFonts w:eastAsiaTheme="minorHAnsi"/>
          <w:noProof/>
        </w:rPr>
        <w:t>ttega ka meretranspordi aruandluses. Laiemas kontekstis tegeleb komisjon k</w:t>
      </w:r>
      <w:r>
        <w:rPr>
          <w:rStyle w:val="CharAttribute3"/>
          <w:rFonts w:eastAsiaTheme="minorHAnsi"/>
          <w:noProof/>
        </w:rPr>
        <w:t>õ</w:t>
      </w:r>
      <w:r>
        <w:rPr>
          <w:rStyle w:val="CharAttribute3"/>
          <w:rFonts w:eastAsiaTheme="minorHAnsi"/>
          <w:noProof/>
        </w:rPr>
        <w:t>igi transpordiliikide veokirjade digitaliseerimisega ja nende vastuv</w:t>
      </w:r>
      <w:r>
        <w:rPr>
          <w:rStyle w:val="CharAttribute3"/>
          <w:rFonts w:eastAsiaTheme="minorHAnsi"/>
          <w:noProof/>
        </w:rPr>
        <w:t>õ</w:t>
      </w:r>
      <w:r>
        <w:rPr>
          <w:rStyle w:val="CharAttribute3"/>
          <w:rFonts w:eastAsiaTheme="minorHAnsi"/>
          <w:noProof/>
        </w:rPr>
        <w:t>etavuse ed</w:t>
      </w:r>
      <w:r>
        <w:rPr>
          <w:rStyle w:val="CharAttribute3"/>
          <w:rFonts w:eastAsiaTheme="minorHAnsi"/>
          <w:noProof/>
        </w:rPr>
        <w:t>endamisega avaliku sektori asutustes.</w:t>
      </w:r>
    </w:p>
    <w:tbl>
      <w:tblPr>
        <w:tblStyle w:val="TableGrid"/>
        <w:tblW w:w="9039" w:type="dxa"/>
        <w:tblLayout w:type="fixed"/>
        <w:tblLook w:val="04A0" w:firstRow="1" w:lastRow="0" w:firstColumn="1" w:lastColumn="0" w:noHBand="0" w:noVBand="1"/>
      </w:tblPr>
      <w:tblGrid>
        <w:gridCol w:w="7763"/>
        <w:gridCol w:w="1276"/>
      </w:tblGrid>
      <w:tr w:rsidR="00683852">
        <w:tc>
          <w:tcPr>
            <w:tcW w:w="7763" w:type="dxa"/>
          </w:tcPr>
          <w:p w:rsidR="00683852" w:rsidRDefault="00394F90">
            <w:pPr>
              <w:shd w:val="clear" w:color="auto" w:fill="EBEBEB" w:themeFill="background1"/>
              <w:rPr>
                <w:rFonts w:ascii="Times New Roman" w:hAnsi="Times New Roman" w:cs="Times New Roman"/>
                <w:b/>
                <w:i/>
                <w:noProof/>
                <w:sz w:val="24"/>
                <w:szCs w:val="24"/>
              </w:rPr>
            </w:pPr>
            <w:r>
              <w:rPr>
                <w:rFonts w:ascii="Times New Roman" w:hAnsi="Times New Roman"/>
                <w:b/>
                <w:i/>
                <w:noProof/>
                <w:sz w:val="24"/>
              </w:rPr>
              <w:t>Meetmed</w:t>
            </w:r>
          </w:p>
          <w:p w:rsidR="00683852" w:rsidRDefault="00394F90">
            <w:pPr>
              <w:shd w:val="clear" w:color="auto" w:fill="EBEBEB" w:themeFill="background1"/>
              <w:rPr>
                <w:rFonts w:ascii="Times New Roman" w:hAnsi="Times New Roman" w:cs="Times New Roman"/>
                <w:noProof/>
                <w:sz w:val="24"/>
                <w:szCs w:val="24"/>
              </w:rPr>
            </w:pPr>
            <w:r>
              <w:rPr>
                <w:rFonts w:ascii="Times New Roman" w:hAnsi="Times New Roman"/>
                <w:noProof/>
                <w:sz w:val="24"/>
              </w:rPr>
              <w:t>Komisjon</w:t>
            </w:r>
          </w:p>
        </w:tc>
        <w:tc>
          <w:tcPr>
            <w:tcW w:w="1276" w:type="dxa"/>
          </w:tcPr>
          <w:p w:rsidR="00683852" w:rsidRDefault="00394F90">
            <w:pPr>
              <w:shd w:val="clear" w:color="auto" w:fill="EBEBEB" w:themeFill="background1"/>
              <w:rPr>
                <w:rFonts w:ascii="Times New Roman" w:hAnsi="Times New Roman" w:cs="Times New Roman"/>
                <w:b/>
                <w:i/>
                <w:noProof/>
                <w:sz w:val="24"/>
                <w:szCs w:val="24"/>
              </w:rPr>
            </w:pPr>
            <w:r>
              <w:rPr>
                <w:rFonts w:ascii="Times New Roman" w:hAnsi="Times New Roman"/>
                <w:b/>
                <w:i/>
                <w:noProof/>
                <w:sz w:val="24"/>
              </w:rPr>
              <w:t>Tähtaeg</w:t>
            </w:r>
          </w:p>
        </w:tc>
      </w:tr>
      <w:tr w:rsidR="00683852">
        <w:tc>
          <w:tcPr>
            <w:tcW w:w="7763" w:type="dxa"/>
          </w:tcPr>
          <w:p w:rsidR="00683852" w:rsidRDefault="00394F90">
            <w:pPr>
              <w:pStyle w:val="ListParagraph"/>
              <w:numPr>
                <w:ilvl w:val="0"/>
                <w:numId w:val="2"/>
              </w:numPr>
              <w:shd w:val="clear" w:color="auto" w:fill="EBEBEB" w:themeFill="background1"/>
              <w:spacing w:before="120" w:after="120"/>
              <w:rPr>
                <w:rFonts w:ascii="Times New Roman" w:hAnsi="Times New Roman"/>
                <w:noProof/>
                <w:sz w:val="24"/>
                <w:szCs w:val="24"/>
              </w:rPr>
            </w:pPr>
            <w:r>
              <w:rPr>
                <w:rFonts w:ascii="Times New Roman" w:hAnsi="Times New Roman"/>
                <w:noProof/>
                <w:sz w:val="24"/>
              </w:rPr>
              <w:t>esitab ettepaneku ühtse digiportaali kohta.</w:t>
            </w:r>
          </w:p>
        </w:tc>
        <w:tc>
          <w:tcPr>
            <w:tcW w:w="1276" w:type="dxa"/>
          </w:tcPr>
          <w:p w:rsidR="00683852" w:rsidRDefault="00394F90">
            <w:pPr>
              <w:shd w:val="clear" w:color="auto" w:fill="EBEBEB" w:themeFill="background1"/>
              <w:ind w:left="360"/>
              <w:rPr>
                <w:rFonts w:ascii="Times New Roman" w:hAnsi="Times New Roman"/>
                <w:noProof/>
                <w:sz w:val="24"/>
                <w:szCs w:val="24"/>
              </w:rPr>
            </w:pPr>
            <w:r>
              <w:rPr>
                <w:rFonts w:ascii="Times New Roman" w:hAnsi="Times New Roman"/>
                <w:noProof/>
                <w:sz w:val="24"/>
              </w:rPr>
              <w:t>2017</w:t>
            </w:r>
          </w:p>
        </w:tc>
      </w:tr>
      <w:tr w:rsidR="00683852">
        <w:tc>
          <w:tcPr>
            <w:tcW w:w="7763" w:type="dxa"/>
          </w:tcPr>
          <w:p w:rsidR="00683852" w:rsidRDefault="00394F90">
            <w:pPr>
              <w:pStyle w:val="ListParagraph"/>
              <w:numPr>
                <w:ilvl w:val="0"/>
                <w:numId w:val="2"/>
              </w:numPr>
              <w:shd w:val="clear" w:color="auto" w:fill="EBEBEB" w:themeFill="background1"/>
              <w:spacing w:before="120" w:after="120"/>
              <w:rPr>
                <w:rStyle w:val="CharAttribute3"/>
                <w:rFonts w:eastAsia="Batang" w:hAnsiTheme="minorHAnsi" w:cstheme="minorBidi"/>
                <w:noProof/>
              </w:rPr>
            </w:pPr>
            <w:r>
              <w:rPr>
                <w:rFonts w:ascii="Times New Roman" w:hAnsi="Times New Roman"/>
                <w:noProof/>
                <w:sz w:val="24"/>
              </w:rPr>
              <w:t>teeb Euroopa e-õiguskeskkonna portaalist Euroopa kohtusüsteemi puudutava teabe ühtse kontaktpunkti.</w:t>
            </w:r>
          </w:p>
        </w:tc>
        <w:tc>
          <w:tcPr>
            <w:tcW w:w="1276" w:type="dxa"/>
          </w:tcPr>
          <w:p w:rsidR="00683852" w:rsidRDefault="00394F90">
            <w:pPr>
              <w:shd w:val="clear" w:color="auto" w:fill="EBEBEB" w:themeFill="background1"/>
              <w:ind w:left="360"/>
              <w:rPr>
                <w:rFonts w:ascii="Times New Roman" w:hAnsi="Times New Roman"/>
                <w:noProof/>
                <w:sz w:val="24"/>
                <w:szCs w:val="24"/>
              </w:rPr>
            </w:pPr>
            <w:r>
              <w:rPr>
                <w:rFonts w:ascii="Times New Roman" w:hAnsi="Times New Roman"/>
                <w:noProof/>
                <w:sz w:val="24"/>
              </w:rPr>
              <w:t>2016</w:t>
            </w:r>
          </w:p>
        </w:tc>
      </w:tr>
      <w:tr w:rsidR="00683852">
        <w:tc>
          <w:tcPr>
            <w:tcW w:w="7763" w:type="dxa"/>
          </w:tcPr>
          <w:p w:rsidR="00683852" w:rsidRDefault="00394F90">
            <w:pPr>
              <w:pStyle w:val="ListParagraph"/>
              <w:numPr>
                <w:ilvl w:val="0"/>
                <w:numId w:val="2"/>
              </w:numPr>
              <w:shd w:val="clear" w:color="auto" w:fill="EBEBEB" w:themeFill="background1"/>
              <w:spacing w:before="120" w:after="120"/>
              <w:rPr>
                <w:rFonts w:ascii="Times New Roman" w:hAnsi="Times New Roman"/>
                <w:noProof/>
                <w:sz w:val="24"/>
                <w:szCs w:val="24"/>
              </w:rPr>
            </w:pPr>
            <w:r>
              <w:rPr>
                <w:rFonts w:ascii="Times New Roman" w:hAnsi="Times New Roman"/>
                <w:noProof/>
                <w:kern w:val="2"/>
                <w:sz w:val="24"/>
              </w:rPr>
              <w:t xml:space="preserve">paneb koostöös liikmesriikidega </w:t>
            </w:r>
            <w:r>
              <w:rPr>
                <w:rFonts w:ascii="Times New Roman" w:hAnsi="Times New Roman"/>
                <w:noProof/>
                <w:kern w:val="2"/>
                <w:sz w:val="24"/>
              </w:rPr>
              <w:t>paika kõigi liikmesriikide äriregistrite kohustusliku omavahelise sidumise.</w:t>
            </w:r>
          </w:p>
        </w:tc>
        <w:tc>
          <w:tcPr>
            <w:tcW w:w="1276" w:type="dxa"/>
          </w:tcPr>
          <w:p w:rsidR="00683852" w:rsidRDefault="00394F90">
            <w:pPr>
              <w:shd w:val="clear" w:color="auto" w:fill="EBEBEB" w:themeFill="background1"/>
              <w:ind w:left="360"/>
              <w:rPr>
                <w:rFonts w:ascii="Times New Roman" w:hAnsi="Times New Roman"/>
                <w:noProof/>
                <w:sz w:val="24"/>
                <w:szCs w:val="24"/>
              </w:rPr>
            </w:pPr>
            <w:r>
              <w:rPr>
                <w:rFonts w:ascii="Times New Roman" w:hAnsi="Times New Roman"/>
                <w:noProof/>
                <w:sz w:val="24"/>
              </w:rPr>
              <w:t>2017</w:t>
            </w:r>
          </w:p>
        </w:tc>
      </w:tr>
      <w:tr w:rsidR="00683852">
        <w:tc>
          <w:tcPr>
            <w:tcW w:w="7763" w:type="dxa"/>
          </w:tcPr>
          <w:p w:rsidR="00683852" w:rsidRDefault="00394F90">
            <w:pPr>
              <w:pStyle w:val="ListParagraph"/>
              <w:numPr>
                <w:ilvl w:val="0"/>
                <w:numId w:val="2"/>
              </w:numPr>
              <w:shd w:val="clear" w:color="auto" w:fill="EBEBEB" w:themeFill="background1"/>
              <w:spacing w:before="120" w:after="120"/>
              <w:rPr>
                <w:rFonts w:ascii="Times New Roman" w:hAnsi="Times New Roman"/>
                <w:i/>
                <w:noProof/>
                <w:sz w:val="24"/>
                <w:szCs w:val="24"/>
              </w:rPr>
            </w:pPr>
            <w:r>
              <w:rPr>
                <w:rFonts w:ascii="Times New Roman" w:hAnsi="Times New Roman"/>
                <w:noProof/>
                <w:sz w:val="24"/>
              </w:rPr>
              <w:t>arendab edasi maksejõuetusregistrite elektroonilist sidumist.</w:t>
            </w:r>
          </w:p>
        </w:tc>
        <w:tc>
          <w:tcPr>
            <w:tcW w:w="1276" w:type="dxa"/>
          </w:tcPr>
          <w:p w:rsidR="00683852" w:rsidRDefault="00394F90">
            <w:pPr>
              <w:shd w:val="clear" w:color="auto" w:fill="EBEBEB" w:themeFill="background1"/>
              <w:ind w:left="360"/>
              <w:rPr>
                <w:rFonts w:ascii="Times New Roman" w:hAnsi="Times New Roman"/>
                <w:noProof/>
                <w:sz w:val="24"/>
                <w:szCs w:val="24"/>
              </w:rPr>
            </w:pPr>
            <w:r>
              <w:rPr>
                <w:rFonts w:ascii="Times New Roman" w:hAnsi="Times New Roman"/>
                <w:noProof/>
                <w:sz w:val="24"/>
              </w:rPr>
              <w:t>2019</w:t>
            </w:r>
          </w:p>
        </w:tc>
      </w:tr>
      <w:tr w:rsidR="00683852">
        <w:tc>
          <w:tcPr>
            <w:tcW w:w="7763" w:type="dxa"/>
          </w:tcPr>
          <w:p w:rsidR="00683852" w:rsidRDefault="00394F90">
            <w:pPr>
              <w:pStyle w:val="ListParagraph"/>
              <w:numPr>
                <w:ilvl w:val="0"/>
                <w:numId w:val="2"/>
              </w:numPr>
              <w:spacing w:before="120" w:after="120"/>
              <w:rPr>
                <w:rFonts w:ascii="Times New Roman" w:hAnsi="Times New Roman"/>
                <w:noProof/>
                <w:sz w:val="24"/>
                <w:szCs w:val="24"/>
              </w:rPr>
            </w:pPr>
            <w:r>
              <w:rPr>
                <w:rFonts w:ascii="Times New Roman" w:hAnsi="Times New Roman"/>
                <w:noProof/>
                <w:kern w:val="2"/>
                <w:sz w:val="24"/>
              </w:rPr>
              <w:t>esitab algatuse, et hõlbustada digitaalsete lahenduste kasutamist kogu äriühingu elutsükli jooksul.</w:t>
            </w:r>
          </w:p>
        </w:tc>
        <w:tc>
          <w:tcPr>
            <w:tcW w:w="1276" w:type="dxa"/>
          </w:tcPr>
          <w:p w:rsidR="00683852" w:rsidRDefault="00394F90">
            <w:pPr>
              <w:shd w:val="clear" w:color="auto" w:fill="EBEBEB" w:themeFill="background1"/>
              <w:ind w:left="360"/>
              <w:rPr>
                <w:rFonts w:ascii="Times New Roman" w:hAnsi="Times New Roman"/>
                <w:noProof/>
                <w:sz w:val="24"/>
                <w:szCs w:val="24"/>
              </w:rPr>
            </w:pPr>
            <w:r>
              <w:rPr>
                <w:rFonts w:ascii="Times New Roman" w:hAnsi="Times New Roman"/>
                <w:noProof/>
                <w:sz w:val="24"/>
              </w:rPr>
              <w:t>2017</w:t>
            </w:r>
          </w:p>
        </w:tc>
      </w:tr>
      <w:tr w:rsidR="00683852">
        <w:tc>
          <w:tcPr>
            <w:tcW w:w="7763" w:type="dxa"/>
          </w:tcPr>
          <w:p w:rsidR="00683852" w:rsidRDefault="00394F90">
            <w:pPr>
              <w:pStyle w:val="ListParagraph"/>
              <w:numPr>
                <w:ilvl w:val="0"/>
                <w:numId w:val="2"/>
              </w:numPr>
              <w:shd w:val="clear" w:color="auto" w:fill="EBEBEB" w:themeFill="background1"/>
              <w:spacing w:before="120" w:after="120"/>
              <w:rPr>
                <w:rFonts w:ascii="Times New Roman" w:hAnsi="Times New Roman"/>
                <w:noProof/>
                <w:sz w:val="24"/>
                <w:szCs w:val="24"/>
              </w:rPr>
            </w:pPr>
            <w:r>
              <w:rPr>
                <w:rStyle w:val="CharAttribute3"/>
                <w:rFonts w:eastAsia="Calibri"/>
                <w:noProof/>
              </w:rPr>
              <w:t>esitab seadusandliku ettepaneku laiendada k</w:t>
            </w:r>
            <w:r>
              <w:rPr>
                <w:rStyle w:val="CharAttribute3"/>
                <w:rFonts w:eastAsia="Calibri"/>
                <w:noProof/>
              </w:rPr>
              <w:t>ä</w:t>
            </w:r>
            <w:r>
              <w:rPr>
                <w:rStyle w:val="CharAttribute3"/>
                <w:rFonts w:eastAsia="Calibri"/>
                <w:noProof/>
              </w:rPr>
              <w:t xml:space="preserve">ibemaksu registreerimise ja tasumise </w:t>
            </w:r>
            <w:r>
              <w:rPr>
                <w:rStyle w:val="CharAttribute3"/>
                <w:rFonts w:eastAsia="Calibri"/>
                <w:noProof/>
              </w:rPr>
              <w:t>ü</w:t>
            </w:r>
            <w:r>
              <w:rPr>
                <w:rStyle w:val="CharAttribute3"/>
                <w:rFonts w:eastAsia="Calibri"/>
                <w:noProof/>
              </w:rPr>
              <w:t>htset elektroonilist mehhanismi.</w:t>
            </w:r>
          </w:p>
        </w:tc>
        <w:tc>
          <w:tcPr>
            <w:tcW w:w="1276" w:type="dxa"/>
          </w:tcPr>
          <w:p w:rsidR="00683852" w:rsidRDefault="00394F90">
            <w:pPr>
              <w:shd w:val="clear" w:color="auto" w:fill="EBEBEB" w:themeFill="background1"/>
              <w:ind w:left="360"/>
              <w:rPr>
                <w:rFonts w:ascii="Times New Roman" w:hAnsi="Times New Roman"/>
                <w:noProof/>
                <w:sz w:val="24"/>
                <w:szCs w:val="24"/>
              </w:rPr>
            </w:pPr>
            <w:r>
              <w:rPr>
                <w:rFonts w:ascii="Times New Roman" w:hAnsi="Times New Roman"/>
                <w:noProof/>
                <w:sz w:val="24"/>
              </w:rPr>
              <w:t>2016</w:t>
            </w:r>
          </w:p>
        </w:tc>
      </w:tr>
      <w:tr w:rsidR="00683852">
        <w:tc>
          <w:tcPr>
            <w:tcW w:w="7763" w:type="dxa"/>
          </w:tcPr>
          <w:p w:rsidR="00683852" w:rsidRDefault="00394F90">
            <w:pPr>
              <w:pStyle w:val="ListParagraph"/>
              <w:numPr>
                <w:ilvl w:val="0"/>
                <w:numId w:val="2"/>
              </w:numPr>
              <w:shd w:val="clear" w:color="auto" w:fill="EBEBEB" w:themeFill="background1"/>
              <w:spacing w:before="120" w:after="120"/>
              <w:rPr>
                <w:rStyle w:val="CharAttribute3"/>
                <w:rFonts w:eastAsia="Batang"/>
                <w:noProof/>
              </w:rPr>
            </w:pPr>
            <w:r>
              <w:rPr>
                <w:rStyle w:val="CharAttribute3"/>
                <w:rFonts w:eastAsia="Calibri"/>
                <w:noProof/>
              </w:rPr>
              <w:t>k</w:t>
            </w:r>
            <w:r>
              <w:rPr>
                <w:rStyle w:val="CharAttribute3"/>
                <w:rFonts w:eastAsia="Calibri"/>
                <w:noProof/>
              </w:rPr>
              <w:t>ä</w:t>
            </w:r>
            <w:r>
              <w:rPr>
                <w:rStyle w:val="CharAttribute3"/>
                <w:rFonts w:eastAsia="Calibri"/>
                <w:noProof/>
              </w:rPr>
              <w:t xml:space="preserve">ivitab </w:t>
            </w:r>
            <w:r>
              <w:rPr>
                <w:rStyle w:val="CharAttribute3"/>
                <w:rFonts w:eastAsia="Calibri"/>
                <w:noProof/>
              </w:rPr>
              <w:t>ü</w:t>
            </w:r>
            <w:r>
              <w:rPr>
                <w:rStyle w:val="CharAttribute3"/>
                <w:rFonts w:eastAsia="Calibri"/>
                <w:noProof/>
              </w:rPr>
              <w:t>hekordsuse p</w:t>
            </w:r>
            <w:r>
              <w:rPr>
                <w:rStyle w:val="CharAttribute3"/>
                <w:rFonts w:eastAsia="Calibri"/>
                <w:noProof/>
              </w:rPr>
              <w:t>õ</w:t>
            </w:r>
            <w:r>
              <w:rPr>
                <w:rStyle w:val="CharAttribute3"/>
                <w:rFonts w:eastAsia="Calibri"/>
                <w:noProof/>
              </w:rPr>
              <w:t>him</w:t>
            </w:r>
            <w:r>
              <w:rPr>
                <w:rStyle w:val="CharAttribute3"/>
                <w:rFonts w:eastAsia="Calibri"/>
                <w:noProof/>
              </w:rPr>
              <w:t>õ</w:t>
            </w:r>
            <w:r>
              <w:rPr>
                <w:rStyle w:val="CharAttribute3"/>
                <w:rFonts w:eastAsia="Calibri"/>
                <w:noProof/>
              </w:rPr>
              <w:t>tte alase ettev</w:t>
            </w:r>
            <w:r>
              <w:rPr>
                <w:rStyle w:val="CharAttribute3"/>
                <w:rFonts w:eastAsia="Calibri"/>
                <w:noProof/>
              </w:rPr>
              <w:t>õ</w:t>
            </w:r>
            <w:r>
              <w:rPr>
                <w:rStyle w:val="CharAttribute3"/>
                <w:rFonts w:eastAsia="Calibri"/>
                <w:noProof/>
              </w:rPr>
              <w:t>tjatele suunatud katseprojekti.</w:t>
            </w:r>
          </w:p>
        </w:tc>
        <w:tc>
          <w:tcPr>
            <w:tcW w:w="1276" w:type="dxa"/>
          </w:tcPr>
          <w:p w:rsidR="00683852" w:rsidRDefault="00394F90">
            <w:pPr>
              <w:shd w:val="clear" w:color="auto" w:fill="EBEBEB" w:themeFill="background1"/>
              <w:ind w:left="360"/>
              <w:rPr>
                <w:rFonts w:ascii="Times New Roman" w:hAnsi="Times New Roman"/>
                <w:noProof/>
                <w:sz w:val="24"/>
                <w:szCs w:val="24"/>
              </w:rPr>
            </w:pPr>
            <w:r>
              <w:rPr>
                <w:rFonts w:ascii="Times New Roman" w:hAnsi="Times New Roman"/>
                <w:noProof/>
                <w:sz w:val="24"/>
              </w:rPr>
              <w:t>2016</w:t>
            </w:r>
          </w:p>
        </w:tc>
      </w:tr>
      <w:tr w:rsidR="00683852">
        <w:tc>
          <w:tcPr>
            <w:tcW w:w="7763" w:type="dxa"/>
          </w:tcPr>
          <w:p w:rsidR="00683852" w:rsidRDefault="00394F90">
            <w:pPr>
              <w:pStyle w:val="ListParagraph"/>
              <w:numPr>
                <w:ilvl w:val="0"/>
                <w:numId w:val="2"/>
              </w:numPr>
              <w:shd w:val="clear" w:color="auto" w:fill="EBEBEB" w:themeFill="background1"/>
              <w:spacing w:before="120" w:after="120"/>
              <w:rPr>
                <w:rStyle w:val="CharAttribute3"/>
                <w:rFonts w:eastAsia="Batang"/>
                <w:noProof/>
              </w:rPr>
            </w:pPr>
            <w:r>
              <w:rPr>
                <w:rStyle w:val="CharAttribute3"/>
                <w:rFonts w:eastAsia="Calibri"/>
                <w:noProof/>
              </w:rPr>
              <w:t xml:space="preserve">loob meretranspordi jaoks aruandluse </w:t>
            </w:r>
            <w:r>
              <w:rPr>
                <w:rStyle w:val="CharAttribute3"/>
                <w:rFonts w:eastAsia="Calibri"/>
                <w:noProof/>
              </w:rPr>
              <w:t>ü</w:t>
            </w:r>
            <w:r>
              <w:rPr>
                <w:rStyle w:val="CharAttribute3"/>
                <w:rFonts w:eastAsia="Calibri"/>
                <w:noProof/>
              </w:rPr>
              <w:t xml:space="preserve">htse </w:t>
            </w:r>
            <w:r>
              <w:rPr>
                <w:rStyle w:val="CharAttribute3"/>
                <w:rFonts w:eastAsia="Calibri"/>
                <w:noProof/>
              </w:rPr>
              <w:t>kontaktpunkti ja digitaliseerib veodokumendid</w:t>
            </w:r>
          </w:p>
        </w:tc>
        <w:tc>
          <w:tcPr>
            <w:tcW w:w="1276" w:type="dxa"/>
          </w:tcPr>
          <w:p w:rsidR="00683852" w:rsidRDefault="00394F90">
            <w:pPr>
              <w:shd w:val="clear" w:color="auto" w:fill="EBEBEB" w:themeFill="background1"/>
              <w:ind w:left="360"/>
              <w:rPr>
                <w:rFonts w:ascii="Times New Roman" w:hAnsi="Times New Roman"/>
                <w:noProof/>
                <w:sz w:val="24"/>
                <w:szCs w:val="24"/>
              </w:rPr>
            </w:pPr>
            <w:r>
              <w:rPr>
                <w:rFonts w:ascii="Times New Roman" w:hAnsi="Times New Roman"/>
                <w:noProof/>
                <w:sz w:val="24"/>
              </w:rPr>
              <w:t>2018</w:t>
            </w:r>
          </w:p>
        </w:tc>
      </w:tr>
    </w:tbl>
    <w:p w:rsidR="00683852" w:rsidRDefault="00394F90">
      <w:pPr>
        <w:spacing w:before="120"/>
        <w:rPr>
          <w:rFonts w:ascii="Times New Roman" w:hAnsi="Times New Roman" w:cs="Times New Roman"/>
          <w:noProof/>
          <w:sz w:val="24"/>
          <w:szCs w:val="24"/>
        </w:rPr>
      </w:pPr>
      <w:r>
        <w:rPr>
          <w:rStyle w:val="CharAttribute3"/>
          <w:rFonts w:eastAsiaTheme="minorHAnsi"/>
          <w:noProof/>
        </w:rPr>
        <w:t>Toetamaks kodanike piiri</w:t>
      </w:r>
      <w:r>
        <w:rPr>
          <w:rStyle w:val="CharAttribute3"/>
          <w:rFonts w:eastAsiaTheme="minorHAnsi"/>
          <w:noProof/>
        </w:rPr>
        <w:t>ü</w:t>
      </w:r>
      <w:r>
        <w:rPr>
          <w:rStyle w:val="CharAttribute3"/>
          <w:rFonts w:eastAsiaTheme="minorHAnsi"/>
          <w:noProof/>
        </w:rPr>
        <w:t>lest liikuvust loob komisjon sotsiaalkindlustusalase teabe elektroonilise vahetamise s</w:t>
      </w:r>
      <w:r>
        <w:rPr>
          <w:rStyle w:val="CharAttribute3"/>
          <w:rFonts w:eastAsiaTheme="minorHAnsi"/>
          <w:noProof/>
        </w:rPr>
        <w:t>ü</w:t>
      </w:r>
      <w:r>
        <w:rPr>
          <w:rStyle w:val="CharAttribute3"/>
          <w:rFonts w:eastAsiaTheme="minorHAnsi"/>
          <w:noProof/>
        </w:rPr>
        <w:t>steemi (EESSI), mis v</w:t>
      </w:r>
      <w:r>
        <w:rPr>
          <w:rStyle w:val="CharAttribute3"/>
          <w:rFonts w:eastAsiaTheme="minorHAnsi"/>
          <w:noProof/>
        </w:rPr>
        <w:t>õ</w:t>
      </w:r>
      <w:r>
        <w:rPr>
          <w:rStyle w:val="CharAttribute3"/>
          <w:rFonts w:eastAsiaTheme="minorHAnsi"/>
          <w:noProof/>
        </w:rPr>
        <w:t>imaldab elektroonilise andmevahetuse jaoks omavahel siduda 32 riigi so</w:t>
      </w:r>
      <w:r>
        <w:rPr>
          <w:rStyle w:val="CharAttribute3"/>
          <w:rFonts w:eastAsiaTheme="minorHAnsi"/>
          <w:noProof/>
        </w:rPr>
        <w:t>tsiaalkindlustuse eest vastutavad haldusasutused</w:t>
      </w:r>
      <w:r>
        <w:rPr>
          <w:rStyle w:val="FootnoteReference"/>
          <w:noProof/>
        </w:rPr>
        <w:footnoteReference w:id="29"/>
      </w:r>
      <w:r>
        <w:rPr>
          <w:rStyle w:val="CharAttribute3"/>
          <w:rFonts w:eastAsiaTheme="minorHAnsi"/>
          <w:noProof/>
        </w:rPr>
        <w:t xml:space="preserve">. </w:t>
      </w:r>
      <w:r>
        <w:rPr>
          <w:rFonts w:ascii="Times New Roman"/>
          <w:noProof/>
          <w:sz w:val="24"/>
        </w:rPr>
        <w:t>EESSI eesm</w:t>
      </w:r>
      <w:r>
        <w:rPr>
          <w:rFonts w:ascii="Times New Roman"/>
          <w:noProof/>
          <w:sz w:val="24"/>
        </w:rPr>
        <w:t>ä</w:t>
      </w:r>
      <w:r>
        <w:rPr>
          <w:rFonts w:ascii="Times New Roman"/>
          <w:noProof/>
          <w:sz w:val="24"/>
        </w:rPr>
        <w:t xml:space="preserve">rk on tugevdada kodanike </w:t>
      </w:r>
      <w:r>
        <w:rPr>
          <w:rFonts w:ascii="Times New Roman"/>
          <w:noProof/>
          <w:sz w:val="24"/>
        </w:rPr>
        <w:t>õ</w:t>
      </w:r>
      <w:r>
        <w:rPr>
          <w:rFonts w:ascii="Times New Roman"/>
          <w:noProof/>
          <w:sz w:val="24"/>
        </w:rPr>
        <w:t>iguste kaitset t</w:t>
      </w:r>
      <w:r>
        <w:rPr>
          <w:rFonts w:ascii="Times New Roman"/>
          <w:noProof/>
          <w:sz w:val="24"/>
        </w:rPr>
        <w:t>ä</w:t>
      </w:r>
      <w:r>
        <w:rPr>
          <w:rFonts w:ascii="Times New Roman"/>
          <w:noProof/>
          <w:sz w:val="24"/>
        </w:rPr>
        <w:t>nu v</w:t>
      </w:r>
      <w:r>
        <w:rPr>
          <w:rFonts w:ascii="Times New Roman"/>
          <w:noProof/>
          <w:sz w:val="24"/>
        </w:rPr>
        <w:t>õ</w:t>
      </w:r>
      <w:r>
        <w:rPr>
          <w:rFonts w:ascii="Times New Roman"/>
          <w:noProof/>
          <w:sz w:val="24"/>
        </w:rPr>
        <w:t>imalusele vahetada ELis isikute sotsiaalkindlustusteavet liikmesriikide p</w:t>
      </w:r>
      <w:r>
        <w:rPr>
          <w:rFonts w:ascii="Times New Roman"/>
          <w:noProof/>
          <w:sz w:val="24"/>
        </w:rPr>
        <w:t>ä</w:t>
      </w:r>
      <w:r>
        <w:rPr>
          <w:rFonts w:ascii="Times New Roman"/>
          <w:noProof/>
          <w:sz w:val="24"/>
        </w:rPr>
        <w:t>devate haldusasutuste vahel elektrooniliselt.</w:t>
      </w:r>
    </w:p>
    <w:p w:rsidR="00683852" w:rsidRDefault="00394F90">
      <w:pPr>
        <w:widowControl w:val="0"/>
        <w:autoSpaceDE w:val="0"/>
        <w:autoSpaceDN w:val="0"/>
        <w:spacing w:before="120" w:after="120"/>
        <w:rPr>
          <w:rStyle w:val="CharAttribute3"/>
          <w:rFonts w:eastAsia="Batang"/>
          <w:noProof/>
          <w:szCs w:val="24"/>
        </w:rPr>
      </w:pPr>
      <w:r>
        <w:rPr>
          <w:rStyle w:val="CharAttribute3"/>
          <w:rFonts w:eastAsiaTheme="minorHAnsi"/>
          <w:noProof/>
        </w:rPr>
        <w:t>Komisjon j</w:t>
      </w:r>
      <w:r>
        <w:rPr>
          <w:rStyle w:val="CharAttribute3"/>
          <w:rFonts w:eastAsiaTheme="minorHAnsi"/>
          <w:noProof/>
        </w:rPr>
        <w:t>ä</w:t>
      </w:r>
      <w:r>
        <w:rPr>
          <w:rStyle w:val="CharAttribute3"/>
          <w:rFonts w:eastAsiaTheme="minorHAnsi"/>
          <w:noProof/>
        </w:rPr>
        <w:t>tkab Euroopa t</w:t>
      </w:r>
      <w:r>
        <w:rPr>
          <w:rStyle w:val="CharAttribute3"/>
          <w:rFonts w:eastAsiaTheme="minorHAnsi"/>
          <w:noProof/>
        </w:rPr>
        <w:t>öö</w:t>
      </w:r>
      <w:r>
        <w:rPr>
          <w:rStyle w:val="CharAttribute3"/>
          <w:rFonts w:eastAsiaTheme="minorHAnsi"/>
          <w:noProof/>
        </w:rPr>
        <w:t>alase liikuvuse portaali EURES arendamist, et pakkuda t</w:t>
      </w:r>
      <w:r>
        <w:rPr>
          <w:rStyle w:val="CharAttribute3"/>
          <w:rFonts w:eastAsiaTheme="minorHAnsi"/>
          <w:noProof/>
        </w:rPr>
        <w:t>öö</w:t>
      </w:r>
      <w:r>
        <w:rPr>
          <w:rStyle w:val="CharAttribute3"/>
          <w:rFonts w:eastAsiaTheme="minorHAnsi"/>
          <w:noProof/>
        </w:rPr>
        <w:t>otsijatele ja t</w:t>
      </w:r>
      <w:r>
        <w:rPr>
          <w:rStyle w:val="CharAttribute3"/>
          <w:rFonts w:eastAsiaTheme="minorHAnsi"/>
          <w:noProof/>
        </w:rPr>
        <w:t>öö</w:t>
      </w:r>
      <w:r>
        <w:rPr>
          <w:rStyle w:val="CharAttribute3"/>
          <w:rFonts w:eastAsiaTheme="minorHAnsi"/>
          <w:noProof/>
        </w:rPr>
        <w:t>andjatele rohkem teenuseid ning suurendada avalike t</w:t>
      </w:r>
      <w:r>
        <w:rPr>
          <w:rStyle w:val="CharAttribute3"/>
          <w:rFonts w:eastAsiaTheme="minorHAnsi"/>
          <w:noProof/>
        </w:rPr>
        <w:t>öö</w:t>
      </w:r>
      <w:r>
        <w:rPr>
          <w:rStyle w:val="CharAttribute3"/>
          <w:rFonts w:eastAsiaTheme="minorHAnsi"/>
          <w:noProof/>
        </w:rPr>
        <w:t>turuasutuste s</w:t>
      </w:r>
      <w:r>
        <w:rPr>
          <w:rStyle w:val="CharAttribute3"/>
          <w:rFonts w:eastAsiaTheme="minorHAnsi"/>
          <w:noProof/>
        </w:rPr>
        <w:t>ü</w:t>
      </w:r>
      <w:r>
        <w:rPr>
          <w:rStyle w:val="CharAttribute3"/>
          <w:rFonts w:eastAsiaTheme="minorHAnsi"/>
          <w:noProof/>
        </w:rPr>
        <w:t>steemide ja portaali integreeritust muu hulgas t</w:t>
      </w:r>
      <w:r>
        <w:rPr>
          <w:rStyle w:val="CharAttribute3"/>
          <w:rFonts w:eastAsiaTheme="minorHAnsi"/>
          <w:noProof/>
        </w:rPr>
        <w:t>öö</w:t>
      </w:r>
      <w:r>
        <w:rPr>
          <w:rStyle w:val="CharAttribute3"/>
          <w:rFonts w:eastAsiaTheme="minorHAnsi"/>
          <w:noProof/>
        </w:rPr>
        <w:t>otsijate profiilide (CVde) vahetamise kaudu</w:t>
      </w:r>
      <w:r>
        <w:rPr>
          <w:rStyle w:val="FootnoteReference"/>
          <w:noProof/>
        </w:rPr>
        <w:footnoteReference w:id="30"/>
      </w:r>
      <w:r>
        <w:rPr>
          <w:rStyle w:val="CharAttribute3"/>
          <w:rFonts w:eastAsiaTheme="minorHAnsi"/>
          <w:noProof/>
        </w:rPr>
        <w:t>. See h</w:t>
      </w:r>
      <w:r>
        <w:rPr>
          <w:rStyle w:val="CharAttribute3"/>
          <w:rFonts w:eastAsiaTheme="minorHAnsi"/>
          <w:noProof/>
        </w:rPr>
        <w:t>õ</w:t>
      </w:r>
      <w:r>
        <w:rPr>
          <w:rStyle w:val="CharAttribute3"/>
          <w:rFonts w:eastAsiaTheme="minorHAnsi"/>
          <w:noProof/>
        </w:rPr>
        <w:t>lbustab t</w:t>
      </w:r>
      <w:r>
        <w:rPr>
          <w:rStyle w:val="CharAttribute3"/>
          <w:rFonts w:eastAsiaTheme="minorHAnsi"/>
          <w:noProof/>
        </w:rPr>
        <w:t>öö</w:t>
      </w:r>
      <w:r>
        <w:rPr>
          <w:rStyle w:val="CharAttribute3"/>
          <w:rFonts w:eastAsiaTheme="minorHAnsi"/>
          <w:noProof/>
        </w:rPr>
        <w:t>otsijate liikuvust ELis.</w:t>
      </w:r>
    </w:p>
    <w:p w:rsidR="00683852" w:rsidRDefault="00394F90">
      <w:pPr>
        <w:widowControl w:val="0"/>
        <w:autoSpaceDE w:val="0"/>
        <w:autoSpaceDN w:val="0"/>
        <w:spacing w:before="120" w:after="120"/>
        <w:rPr>
          <w:rFonts w:ascii="Times New Roman" w:hAnsi="Times New Roman" w:cs="Times New Roman"/>
          <w:noProof/>
          <w:sz w:val="24"/>
          <w:szCs w:val="24"/>
        </w:rPr>
      </w:pPr>
      <w:r>
        <w:rPr>
          <w:rStyle w:val="CharAttribute3"/>
          <w:rFonts w:eastAsiaTheme="minorHAnsi"/>
          <w:noProof/>
        </w:rPr>
        <w:t>Komisjon toetab liikmesriike selliste e-tervise teenuste arendamisel, mis v</w:t>
      </w:r>
      <w:r>
        <w:rPr>
          <w:rStyle w:val="CharAttribute3"/>
          <w:rFonts w:eastAsiaTheme="minorHAnsi"/>
          <w:noProof/>
        </w:rPr>
        <w:t>õ</w:t>
      </w:r>
      <w:r>
        <w:rPr>
          <w:rStyle w:val="CharAttribute3"/>
          <w:rFonts w:eastAsiaTheme="minorHAnsi"/>
          <w:noProof/>
        </w:rPr>
        <w:t>imaldavad ka e-retseptide piiri</w:t>
      </w:r>
      <w:r>
        <w:rPr>
          <w:rStyle w:val="CharAttribute3"/>
          <w:rFonts w:eastAsiaTheme="minorHAnsi"/>
          <w:noProof/>
        </w:rPr>
        <w:t>ü</w:t>
      </w:r>
      <w:r>
        <w:rPr>
          <w:rStyle w:val="CharAttribute3"/>
          <w:rFonts w:eastAsiaTheme="minorHAnsi"/>
          <w:noProof/>
        </w:rPr>
        <w:t>lest vahetamist e-tervise v</w:t>
      </w:r>
      <w:r>
        <w:rPr>
          <w:rStyle w:val="CharAttribute3"/>
          <w:rFonts w:eastAsiaTheme="minorHAnsi"/>
          <w:noProof/>
        </w:rPr>
        <w:t>õ</w:t>
      </w:r>
      <w:r>
        <w:rPr>
          <w:rStyle w:val="CharAttribute3"/>
          <w:rFonts w:eastAsiaTheme="minorHAnsi"/>
          <w:noProof/>
        </w:rPr>
        <w:t>rgustiku vastuv</w:t>
      </w:r>
      <w:r>
        <w:rPr>
          <w:rStyle w:val="CharAttribute3"/>
          <w:rFonts w:eastAsiaTheme="minorHAnsi"/>
          <w:noProof/>
        </w:rPr>
        <w:t>õ</w:t>
      </w:r>
      <w:r>
        <w:rPr>
          <w:rStyle w:val="CharAttribute3"/>
          <w:rFonts w:eastAsiaTheme="minorHAnsi"/>
          <w:noProof/>
        </w:rPr>
        <w:t>etud e-retsepti suunistest l</w:t>
      </w:r>
      <w:r>
        <w:rPr>
          <w:rStyle w:val="CharAttribute3"/>
          <w:rFonts w:eastAsiaTheme="minorHAnsi"/>
          <w:noProof/>
        </w:rPr>
        <w:t>ä</w:t>
      </w:r>
      <w:r>
        <w:rPr>
          <w:rStyle w:val="CharAttribute3"/>
          <w:rFonts w:eastAsiaTheme="minorHAnsi"/>
          <w:noProof/>
        </w:rPr>
        <w:t>htuvalt</w:t>
      </w:r>
      <w:r>
        <w:rPr>
          <w:rStyle w:val="FootnoteReference"/>
          <w:noProof/>
        </w:rPr>
        <w:footnoteReference w:id="31"/>
      </w:r>
      <w:r>
        <w:rPr>
          <w:rStyle w:val="CharAttribute3"/>
          <w:rFonts w:eastAsiaTheme="minorHAnsi"/>
          <w:noProof/>
        </w:rPr>
        <w:t xml:space="preserve"> </w:t>
      </w:r>
      <w:r>
        <w:rPr>
          <w:rFonts w:ascii="Times New Roman" w:hAnsi="Times New Roman"/>
          <w:noProof/>
          <w:sz w:val="24"/>
        </w:rPr>
        <w:t>ning telemeditsiini ja kaugmonitooringu</w:t>
      </w:r>
      <w:r>
        <w:rPr>
          <w:rFonts w:ascii="Times New Roman" w:hAnsi="Times New Roman"/>
          <w:noProof/>
          <w:sz w:val="24"/>
        </w:rPr>
        <w:t xml:space="preserve"> lahendusi, eeskätt Euroopa tugivõrgustike pakutava ravi jaoks</w:t>
      </w:r>
      <w:r>
        <w:rPr>
          <w:rStyle w:val="FootnoteReference"/>
          <w:noProof/>
        </w:rPr>
        <w:footnoteReference w:id="32"/>
      </w:r>
      <w:r>
        <w:rPr>
          <w:rFonts w:ascii="Times New Roman" w:hAnsi="Times New Roman"/>
          <w:noProof/>
          <w:sz w:val="24"/>
        </w:rPr>
        <w:t xml:space="preserve">. </w:t>
      </w:r>
      <w:r>
        <w:rPr>
          <w:rStyle w:val="CharAttribute3"/>
          <w:rFonts w:eastAsiaTheme="minorHAnsi"/>
          <w:noProof/>
        </w:rPr>
        <w:t>Lisaks toetab ta ka seda, et e-tervise v</w:t>
      </w:r>
      <w:r>
        <w:rPr>
          <w:rStyle w:val="CharAttribute3"/>
          <w:rFonts w:eastAsiaTheme="minorHAnsi"/>
          <w:noProof/>
        </w:rPr>
        <w:t>õ</w:t>
      </w:r>
      <w:r>
        <w:rPr>
          <w:rStyle w:val="CharAttribute3"/>
          <w:rFonts w:eastAsiaTheme="minorHAnsi"/>
          <w:noProof/>
        </w:rPr>
        <w:t>rgustik koostaks aruande ja suunised kodanike elektroonilise juurdep</w:t>
      </w:r>
      <w:r>
        <w:rPr>
          <w:rStyle w:val="CharAttribute3"/>
          <w:rFonts w:eastAsiaTheme="minorHAnsi"/>
          <w:noProof/>
        </w:rPr>
        <w:t>ää</w:t>
      </w:r>
      <w:r>
        <w:rPr>
          <w:rStyle w:val="CharAttribute3"/>
          <w:rFonts w:eastAsiaTheme="minorHAnsi"/>
          <w:noProof/>
        </w:rPr>
        <w:t>su kohta oma terviseandmetele.</w:t>
      </w:r>
    </w:p>
    <w:tbl>
      <w:tblPr>
        <w:tblStyle w:val="TableGrid"/>
        <w:tblW w:w="9039" w:type="dxa"/>
        <w:tblLayout w:type="fixed"/>
        <w:tblLook w:val="04A0" w:firstRow="1" w:lastRow="0" w:firstColumn="1" w:lastColumn="0" w:noHBand="0" w:noVBand="1"/>
      </w:tblPr>
      <w:tblGrid>
        <w:gridCol w:w="7763"/>
        <w:gridCol w:w="1276"/>
      </w:tblGrid>
      <w:tr w:rsidR="00683852">
        <w:tc>
          <w:tcPr>
            <w:tcW w:w="7763" w:type="dxa"/>
          </w:tcPr>
          <w:p w:rsidR="00683852" w:rsidRDefault="00394F90">
            <w:pPr>
              <w:shd w:val="clear" w:color="auto" w:fill="EBEBEB" w:themeFill="background1"/>
              <w:rPr>
                <w:rFonts w:ascii="Times New Roman" w:hAnsi="Times New Roman" w:cs="Times New Roman"/>
                <w:b/>
                <w:i/>
                <w:noProof/>
                <w:sz w:val="24"/>
                <w:szCs w:val="24"/>
              </w:rPr>
            </w:pPr>
            <w:r>
              <w:rPr>
                <w:rFonts w:ascii="Times New Roman" w:hAnsi="Times New Roman"/>
                <w:b/>
                <w:i/>
                <w:noProof/>
                <w:sz w:val="24"/>
              </w:rPr>
              <w:t>Meetmed</w:t>
            </w:r>
          </w:p>
          <w:p w:rsidR="00683852" w:rsidRDefault="00394F90">
            <w:pPr>
              <w:shd w:val="clear" w:color="auto" w:fill="EBEBEB" w:themeFill="background1"/>
              <w:rPr>
                <w:rFonts w:ascii="Times New Roman" w:hAnsi="Times New Roman" w:cs="Times New Roman"/>
                <w:b/>
                <w:i/>
                <w:noProof/>
                <w:sz w:val="24"/>
                <w:szCs w:val="24"/>
              </w:rPr>
            </w:pPr>
            <w:r>
              <w:rPr>
                <w:rStyle w:val="CharAttribute3"/>
                <w:rFonts w:eastAsiaTheme="minorHAnsi"/>
                <w:noProof/>
              </w:rPr>
              <w:t>Komisjon</w:t>
            </w:r>
          </w:p>
        </w:tc>
        <w:tc>
          <w:tcPr>
            <w:tcW w:w="1276" w:type="dxa"/>
          </w:tcPr>
          <w:p w:rsidR="00683852" w:rsidRDefault="00394F90">
            <w:pPr>
              <w:shd w:val="clear" w:color="auto" w:fill="EBEBEB" w:themeFill="background1"/>
              <w:rPr>
                <w:rFonts w:ascii="Times New Roman" w:hAnsi="Times New Roman" w:cs="Times New Roman"/>
                <w:b/>
                <w:i/>
                <w:noProof/>
                <w:sz w:val="24"/>
                <w:szCs w:val="24"/>
              </w:rPr>
            </w:pPr>
            <w:r>
              <w:rPr>
                <w:rFonts w:ascii="Times New Roman" w:hAnsi="Times New Roman"/>
                <w:b/>
                <w:i/>
                <w:noProof/>
                <w:sz w:val="24"/>
              </w:rPr>
              <w:t>Tähtaeg</w:t>
            </w:r>
          </w:p>
        </w:tc>
      </w:tr>
      <w:tr w:rsidR="00683852">
        <w:tc>
          <w:tcPr>
            <w:tcW w:w="7763" w:type="dxa"/>
          </w:tcPr>
          <w:p w:rsidR="00683852" w:rsidRDefault="00394F90">
            <w:pPr>
              <w:pStyle w:val="ListParagraph"/>
              <w:numPr>
                <w:ilvl w:val="0"/>
                <w:numId w:val="2"/>
              </w:numPr>
              <w:shd w:val="clear" w:color="auto" w:fill="EBEBEB" w:themeFill="background1"/>
              <w:spacing w:before="120" w:after="120"/>
              <w:rPr>
                <w:rFonts w:ascii="Times New Roman" w:eastAsia="Batang"/>
                <w:noProof/>
                <w:sz w:val="24"/>
                <w:szCs w:val="24"/>
              </w:rPr>
            </w:pPr>
            <w:r>
              <w:rPr>
                <w:rStyle w:val="CharAttribute3"/>
                <w:rFonts w:eastAsia="Calibri"/>
                <w:noProof/>
              </w:rPr>
              <w:t>viib l</w:t>
            </w:r>
            <w:r>
              <w:rPr>
                <w:rStyle w:val="CharAttribute3"/>
                <w:rFonts w:eastAsia="Calibri"/>
                <w:noProof/>
              </w:rPr>
              <w:t>õ</w:t>
            </w:r>
            <w:r>
              <w:rPr>
                <w:rStyle w:val="CharAttribute3"/>
                <w:rFonts w:eastAsia="Calibri"/>
                <w:noProof/>
              </w:rPr>
              <w:t>pule sotsiaalkin</w:t>
            </w:r>
            <w:r>
              <w:rPr>
                <w:rStyle w:val="CharAttribute3"/>
                <w:rFonts w:eastAsia="Calibri"/>
                <w:noProof/>
              </w:rPr>
              <w:t>dlustusalase teabe elektroonilise vahetamise s</w:t>
            </w:r>
            <w:r>
              <w:rPr>
                <w:rStyle w:val="CharAttribute3"/>
                <w:rFonts w:eastAsia="Calibri"/>
                <w:noProof/>
              </w:rPr>
              <w:t>ü</w:t>
            </w:r>
            <w:r>
              <w:rPr>
                <w:rStyle w:val="CharAttribute3"/>
                <w:rFonts w:eastAsia="Calibri"/>
                <w:noProof/>
              </w:rPr>
              <w:t>steemi (EESSI) loomise.</w:t>
            </w:r>
          </w:p>
        </w:tc>
        <w:tc>
          <w:tcPr>
            <w:tcW w:w="1276" w:type="dxa"/>
          </w:tcPr>
          <w:p w:rsidR="00683852" w:rsidRDefault="00394F90">
            <w:pPr>
              <w:shd w:val="clear" w:color="auto" w:fill="EBEBEB" w:themeFill="background1"/>
              <w:ind w:left="360"/>
              <w:rPr>
                <w:rFonts w:ascii="Times New Roman" w:hAnsi="Times New Roman"/>
                <w:noProof/>
                <w:sz w:val="24"/>
                <w:szCs w:val="24"/>
              </w:rPr>
            </w:pPr>
            <w:r>
              <w:rPr>
                <w:rFonts w:ascii="Times New Roman" w:hAnsi="Times New Roman"/>
                <w:noProof/>
                <w:sz w:val="24"/>
              </w:rPr>
              <w:t>2019</w:t>
            </w:r>
          </w:p>
        </w:tc>
      </w:tr>
      <w:tr w:rsidR="00683852">
        <w:tc>
          <w:tcPr>
            <w:tcW w:w="7763" w:type="dxa"/>
          </w:tcPr>
          <w:p w:rsidR="00683852" w:rsidRDefault="00394F90">
            <w:pPr>
              <w:pStyle w:val="ListParagraph"/>
              <w:numPr>
                <w:ilvl w:val="0"/>
                <w:numId w:val="2"/>
              </w:numPr>
              <w:shd w:val="clear" w:color="auto" w:fill="EBEBEB" w:themeFill="background1"/>
              <w:spacing w:before="120" w:after="120"/>
              <w:rPr>
                <w:rStyle w:val="CharAttribute3"/>
                <w:rFonts w:eastAsia="Batang" w:hAnsiTheme="minorHAnsi" w:cstheme="minorBidi"/>
                <w:noProof/>
              </w:rPr>
            </w:pPr>
            <w:r>
              <w:rPr>
                <w:rStyle w:val="CharAttribute3"/>
                <w:rFonts w:eastAsia="Calibri"/>
                <w:noProof/>
              </w:rPr>
              <w:t>arendab edasi Euroopa t</w:t>
            </w:r>
            <w:r>
              <w:rPr>
                <w:rStyle w:val="CharAttribute3"/>
                <w:rFonts w:eastAsia="Calibri"/>
                <w:noProof/>
              </w:rPr>
              <w:t>öö</w:t>
            </w:r>
            <w:r>
              <w:rPr>
                <w:rStyle w:val="CharAttribute3"/>
                <w:rFonts w:eastAsia="Calibri"/>
                <w:noProof/>
              </w:rPr>
              <w:t>alase liikuvuse portaali EURES.</w:t>
            </w:r>
          </w:p>
        </w:tc>
        <w:tc>
          <w:tcPr>
            <w:tcW w:w="1276" w:type="dxa"/>
          </w:tcPr>
          <w:p w:rsidR="00683852" w:rsidRDefault="00394F90">
            <w:pPr>
              <w:shd w:val="clear" w:color="auto" w:fill="EBEBEB" w:themeFill="background1"/>
              <w:ind w:left="360"/>
              <w:rPr>
                <w:rFonts w:ascii="Times New Roman" w:hAnsi="Times New Roman"/>
                <w:noProof/>
                <w:sz w:val="24"/>
                <w:szCs w:val="24"/>
              </w:rPr>
            </w:pPr>
            <w:r>
              <w:rPr>
                <w:rFonts w:ascii="Times New Roman" w:hAnsi="Times New Roman"/>
                <w:noProof/>
                <w:sz w:val="24"/>
              </w:rPr>
              <w:t>2017</w:t>
            </w:r>
          </w:p>
        </w:tc>
      </w:tr>
      <w:tr w:rsidR="00683852">
        <w:tc>
          <w:tcPr>
            <w:tcW w:w="7763" w:type="dxa"/>
          </w:tcPr>
          <w:p w:rsidR="00683852" w:rsidRDefault="00394F90">
            <w:pPr>
              <w:pStyle w:val="ListParagraph"/>
              <w:numPr>
                <w:ilvl w:val="0"/>
                <w:numId w:val="2"/>
              </w:numPr>
              <w:shd w:val="clear" w:color="auto" w:fill="EBEBEB" w:themeFill="background1"/>
              <w:spacing w:before="120" w:after="120"/>
              <w:rPr>
                <w:rStyle w:val="CharAttribute3"/>
                <w:rFonts w:eastAsia="Batang"/>
                <w:noProof/>
                <w:szCs w:val="24"/>
              </w:rPr>
            </w:pPr>
            <w:r>
              <w:rPr>
                <w:rStyle w:val="CharAttribute3"/>
                <w:rFonts w:eastAsia="Calibri"/>
                <w:noProof/>
              </w:rPr>
              <w:t>toetab liikmesriike piiri</w:t>
            </w:r>
            <w:r>
              <w:rPr>
                <w:rStyle w:val="CharAttribute3"/>
                <w:rFonts w:eastAsia="Calibri"/>
                <w:noProof/>
              </w:rPr>
              <w:t>ü</w:t>
            </w:r>
            <w:r>
              <w:rPr>
                <w:rStyle w:val="CharAttribute3"/>
                <w:rFonts w:eastAsia="Calibri"/>
                <w:noProof/>
              </w:rPr>
              <w:t>leste e-tervise teenuste arendamisel.</w:t>
            </w:r>
          </w:p>
        </w:tc>
        <w:tc>
          <w:tcPr>
            <w:tcW w:w="1276" w:type="dxa"/>
          </w:tcPr>
          <w:p w:rsidR="00683852" w:rsidRDefault="00394F90">
            <w:pPr>
              <w:shd w:val="clear" w:color="auto" w:fill="EBEBEB" w:themeFill="background1"/>
              <w:ind w:left="360"/>
              <w:rPr>
                <w:rFonts w:ascii="Times New Roman" w:hAnsi="Times New Roman"/>
                <w:noProof/>
                <w:sz w:val="24"/>
                <w:szCs w:val="24"/>
              </w:rPr>
            </w:pPr>
            <w:r>
              <w:rPr>
                <w:rFonts w:ascii="Times New Roman" w:hAnsi="Times New Roman"/>
                <w:noProof/>
                <w:sz w:val="24"/>
              </w:rPr>
              <w:t>2016–</w:t>
            </w:r>
          </w:p>
          <w:p w:rsidR="00683852" w:rsidRDefault="00394F90">
            <w:pPr>
              <w:shd w:val="clear" w:color="auto" w:fill="EBEBEB" w:themeFill="background1"/>
              <w:ind w:left="360"/>
              <w:rPr>
                <w:rFonts w:ascii="Times New Roman" w:hAnsi="Times New Roman"/>
                <w:noProof/>
                <w:sz w:val="24"/>
                <w:szCs w:val="24"/>
              </w:rPr>
            </w:pPr>
            <w:r>
              <w:rPr>
                <w:rFonts w:ascii="Times New Roman" w:hAnsi="Times New Roman"/>
                <w:noProof/>
                <w:sz w:val="24"/>
              </w:rPr>
              <w:t>2018</w:t>
            </w:r>
          </w:p>
        </w:tc>
      </w:tr>
    </w:tbl>
    <w:p w:rsidR="00683852" w:rsidRDefault="00394F90">
      <w:pPr>
        <w:spacing w:before="120"/>
        <w:rPr>
          <w:rFonts w:ascii="Times New Roman" w:hAnsi="Times New Roman" w:cs="Times New Roman"/>
          <w:noProof/>
          <w:sz w:val="24"/>
          <w:szCs w:val="24"/>
        </w:rPr>
      </w:pPr>
      <w:r>
        <w:rPr>
          <w:rFonts w:ascii="Times New Roman" w:hAnsi="Times New Roman"/>
          <w:noProof/>
          <w:sz w:val="24"/>
        </w:rPr>
        <w:t xml:space="preserve">Edaspidi selle prioriteedi raames </w:t>
      </w:r>
      <w:r>
        <w:rPr>
          <w:rFonts w:ascii="Times New Roman" w:hAnsi="Times New Roman"/>
          <w:noProof/>
          <w:sz w:val="24"/>
        </w:rPr>
        <w:t>esitatavate algatustega võiks püüda pakkuda sujuvaid piiriüleseid teenuseid kodanikele nende elus oluliste sündmuste (nt töökohavahetus, kolimine, abiellumine) jaoks ja ettevõtjatele ettevõtlusega alustamise, tegevuse laiendamise ja teistes liikmesriikides</w:t>
      </w:r>
      <w:r>
        <w:rPr>
          <w:rFonts w:ascii="Times New Roman" w:hAnsi="Times New Roman"/>
          <w:noProof/>
          <w:sz w:val="24"/>
        </w:rPr>
        <w:t xml:space="preserve"> tegutsemise lihtsustamiseks. Selle prioriteedi raames tehtavate täiendavate algatustega võiks püüda parandada ka praegu teiste liikmesriikide kodanikele ja ettevõtjatele pakutavate e-valitsuse teenuste kvaliteeti.</w:t>
      </w:r>
    </w:p>
    <w:p w:rsidR="00683852" w:rsidRDefault="00394F90">
      <w:pPr>
        <w:pStyle w:val="Heading2"/>
        <w:rPr>
          <w:noProof/>
        </w:rPr>
      </w:pPr>
      <w:r>
        <w:rPr>
          <w:noProof/>
        </w:rPr>
        <w:t xml:space="preserve">Haldusasutuste ja kodanike/ettevõtjate </w:t>
      </w:r>
      <w:r>
        <w:rPr>
          <w:noProof/>
        </w:rPr>
        <w:t>vahelise digitaalse suhtluse hõlbustamine kvaliteetsete avaliku sektori teenuste nimel</w:t>
      </w:r>
    </w:p>
    <w:p w:rsidR="00683852" w:rsidRDefault="00394F90">
      <w:pPr>
        <w:rPr>
          <w:rFonts w:ascii="Times New Roman" w:hAnsi="Times New Roman" w:cs="Times New Roman"/>
          <w:noProof/>
          <w:sz w:val="24"/>
          <w:szCs w:val="24"/>
        </w:rPr>
      </w:pPr>
      <w:r>
        <w:rPr>
          <w:rFonts w:ascii="Times New Roman" w:hAnsi="Times New Roman"/>
          <w:noProof/>
          <w:sz w:val="24"/>
        </w:rPr>
        <w:t>Uus digitaalne keskkond võimaldab hõlbustada kodanike, ettevõtjate ja valitsusväliste organisatsioonide suhtlust haldusasutustega. Kvaliteetsed avalikud teenused on seot</w:t>
      </w:r>
      <w:r>
        <w:rPr>
          <w:rFonts w:ascii="Times New Roman" w:hAnsi="Times New Roman"/>
          <w:noProof/>
          <w:sz w:val="24"/>
        </w:rPr>
        <w:t>ud konkurentsivõimega ning mõjutavad seda, kuhu suunatakse investeeringud. Viimase aja kogemused on näidanud, et selliste kvaliteetsete avaliku sektori teenuste pakkumisel on potentsiaali, kui nende kavandamisse ja pakkumisse kaasata nii ettevõtjad ja koda</w:t>
      </w:r>
      <w:r>
        <w:rPr>
          <w:rFonts w:ascii="Times New Roman" w:hAnsi="Times New Roman"/>
          <w:noProof/>
          <w:sz w:val="24"/>
        </w:rPr>
        <w:t>nikud kui ka teadlased ning tagada vajaduse korral paranduste tegemiseks vajalik tagasiside. Selliselt saaks veelgi vähendada bürokraatiat, muuta teenuste kasutamine lihtsamaks ja vähendada nende pakkumise kulukust.</w:t>
      </w:r>
    </w:p>
    <w:p w:rsidR="00683852" w:rsidRDefault="00394F90">
      <w:pPr>
        <w:rPr>
          <w:rFonts w:ascii="Times New Roman" w:hAnsi="Times New Roman" w:cs="Times New Roman"/>
          <w:noProof/>
          <w:sz w:val="24"/>
          <w:szCs w:val="24"/>
        </w:rPr>
      </w:pPr>
      <w:r>
        <w:rPr>
          <w:rFonts w:ascii="Times New Roman" w:hAnsi="Times New Roman"/>
          <w:noProof/>
          <w:sz w:val="24"/>
        </w:rPr>
        <w:t>Kui haldusasutused muudavad avaliku sekt</w:t>
      </w:r>
      <w:r>
        <w:rPr>
          <w:rFonts w:ascii="Times New Roman" w:hAnsi="Times New Roman"/>
          <w:noProof/>
          <w:sz w:val="24"/>
        </w:rPr>
        <w:t>ori andmed ja teenused avatumaks ja hõlbustavad nende taaskasutamist kolmandate isikute poolt kooskõlas usaldusväärsuse ja turvalisuse põhimõttega, võib see aidata luua uusi võimalusi teadmiste, majanduskasvu ja töökohtade jaoks. Andmete avatumaks muutmise</w:t>
      </w:r>
      <w:r>
        <w:rPr>
          <w:rFonts w:ascii="Times New Roman" w:hAnsi="Times New Roman"/>
          <w:noProof/>
          <w:sz w:val="24"/>
        </w:rPr>
        <w:t xml:space="preserve"> kaudu muutuvad haldusasutused läbipaistvamaks, kasvab nende vastutustundlikkus ja nad liiguvad kodanikele lähemale.</w:t>
      </w:r>
    </w:p>
    <w:p w:rsidR="00683852" w:rsidRDefault="00394F90">
      <w:pPr>
        <w:rPr>
          <w:rFonts w:ascii="Times New Roman" w:hAnsi="Times New Roman" w:cs="Times New Roman"/>
          <w:noProof/>
          <w:sz w:val="24"/>
          <w:szCs w:val="24"/>
        </w:rPr>
      </w:pPr>
      <w:r>
        <w:rPr>
          <w:rFonts w:ascii="Times New Roman" w:hAnsi="Times New Roman"/>
          <w:noProof/>
          <w:sz w:val="24"/>
        </w:rPr>
        <w:t>Nimetatud poliitilisi prioriteete silmas pidades kavatseb komisjon pakkuda ELi kodanikele ja ettevõtjatele kvaliteetseid ja juurdepääsetava</w:t>
      </w:r>
      <w:r>
        <w:rPr>
          <w:rFonts w:ascii="Times New Roman" w:hAnsi="Times New Roman"/>
          <w:noProof/>
          <w:sz w:val="24"/>
        </w:rPr>
        <w:t>id veebiteenuseid ning muuta komisjoni hallatavad veebisaidid temaatilisteks ja kasutajakeskseteks. Asjakohased, järjepidevad ja kulutõhusad veebilehed muudavad oluliselt komisjoni veebis toimuvat suhtlust kodanikega. See suurendab läbipaistvust ning võima</w:t>
      </w:r>
      <w:r>
        <w:rPr>
          <w:rFonts w:ascii="Times New Roman" w:hAnsi="Times New Roman"/>
          <w:noProof/>
          <w:sz w:val="24"/>
        </w:rPr>
        <w:t>ldab kodanikke ja ettevõtjaid ELi programmidesse ja poliitikakujundamisse kaasata ja neil seal osaleda.</w:t>
      </w:r>
    </w:p>
    <w:p w:rsidR="00683852" w:rsidRDefault="00394F90">
      <w:pPr>
        <w:rPr>
          <w:rStyle w:val="CharAttribute3"/>
          <w:rFonts w:eastAsia="Batang"/>
          <w:noProof/>
        </w:rPr>
      </w:pPr>
      <w:r>
        <w:rPr>
          <w:rFonts w:ascii="Times New Roman" w:hAnsi="Times New Roman"/>
          <w:noProof/>
          <w:sz w:val="24"/>
        </w:rPr>
        <w:t>Hõlbustamaks kodanike ja haldusasutuste suhtlust, hindab komisjon võimalust kohaldada ühekordsuse põhimõtet kodanike suhtes ka piiriüleselt, järgides nõ</w:t>
      </w:r>
      <w:r>
        <w:rPr>
          <w:rFonts w:ascii="Times New Roman" w:hAnsi="Times New Roman"/>
          <w:noProof/>
          <w:sz w:val="24"/>
        </w:rPr>
        <w:t>uetekohaselt isikuandmete kaitse ja privaatsuse õigusraamistikku.</w:t>
      </w:r>
    </w:p>
    <w:p w:rsidR="00683852" w:rsidRDefault="00394F90">
      <w:pPr>
        <w:rPr>
          <w:rStyle w:val="CharAttribute3"/>
          <w:rFonts w:eastAsia="Batang"/>
          <w:noProof/>
        </w:rPr>
      </w:pPr>
      <w:r>
        <w:rPr>
          <w:rStyle w:val="CharAttribute3"/>
          <w:rFonts w:eastAsiaTheme="minorHAnsi"/>
          <w:noProof/>
        </w:rPr>
        <w:t>Euroopa pilvandmet</w:t>
      </w:r>
      <w:r>
        <w:rPr>
          <w:rStyle w:val="CharAttribute3"/>
          <w:rFonts w:eastAsiaTheme="minorHAnsi"/>
          <w:noProof/>
        </w:rPr>
        <w:t>öö</w:t>
      </w:r>
      <w:r>
        <w:rPr>
          <w:rStyle w:val="CharAttribute3"/>
          <w:rFonts w:eastAsiaTheme="minorHAnsi"/>
          <w:noProof/>
        </w:rPr>
        <w:t>tluse algatuse</w:t>
      </w:r>
      <w:r>
        <w:rPr>
          <w:rStyle w:val="FootnoteReference"/>
          <w:rFonts w:ascii="Times New Roman" w:hAnsi="Times New Roman"/>
          <w:noProof/>
          <w:sz w:val="24"/>
        </w:rPr>
        <w:footnoteReference w:id="33"/>
      </w:r>
      <w:r>
        <w:rPr>
          <w:rStyle w:val="CharAttribute3"/>
          <w:rFonts w:eastAsiaTheme="minorHAnsi"/>
          <w:noProof/>
        </w:rPr>
        <w:t xml:space="preserve"> raames loob komisjon riigiasutustele platvormi, mille kaudu saab avada oma andmed ja teenused, ning paneb ELis aluse valitsuse pakkumisele teenusena (</w:t>
      </w:r>
      <w:r>
        <w:rPr>
          <w:rStyle w:val="CharAttribute3"/>
          <w:rFonts w:eastAsiaTheme="minorHAnsi"/>
          <w:i/>
          <w:noProof/>
        </w:rPr>
        <w:t>Gove</w:t>
      </w:r>
      <w:r>
        <w:rPr>
          <w:rStyle w:val="CharAttribute3"/>
          <w:rFonts w:eastAsiaTheme="minorHAnsi"/>
          <w:i/>
          <w:noProof/>
        </w:rPr>
        <w:t>rnment as a Service</w:t>
      </w:r>
      <w:r>
        <w:rPr>
          <w:rStyle w:val="CharAttribute3"/>
          <w:rFonts w:eastAsiaTheme="minorHAnsi"/>
          <w:noProof/>
        </w:rPr>
        <w:t xml:space="preserve"> ehk GaaS).</w:t>
      </w:r>
    </w:p>
    <w:p w:rsidR="00394F90" w:rsidRDefault="00394F90">
      <w:pPr>
        <w:rPr>
          <w:rFonts w:ascii="Times New Roman" w:hAnsi="Times New Roman"/>
          <w:noProof/>
          <w:sz w:val="24"/>
        </w:rPr>
      </w:pPr>
      <w:r>
        <w:rPr>
          <w:rFonts w:ascii="Times New Roman" w:hAnsi="Times New Roman"/>
          <w:noProof/>
          <w:sz w:val="24"/>
        </w:rPr>
        <w:t>Üha enam kasvab ettevõtjate ja kodanike nõudlus kvaliteetsete, koostalitlusvõimeliste ja taaskasutatavate andmete järele, mis võimaldaksid pakkuda uusi teenuseid, eeskätt ruumiandmete vallas. Ruumiandmete kasutamine linnakesk</w:t>
      </w:r>
      <w:r>
        <w:rPr>
          <w:rFonts w:ascii="Times New Roman" w:hAnsi="Times New Roman"/>
          <w:noProof/>
          <w:sz w:val="24"/>
        </w:rPr>
        <w:t>konna. maakasutuse, liikluskorralduse või teaduse jaoks võib kaasa tuua uusi innovatsioone, mis vastavad ühiskonna vajadustele, aidates näiteks vähendada negatiivset mõju keskkonnale. Seoses sellega propageerib komisjon lõppkasutajatele mõeldud rakenduste,</w:t>
      </w:r>
      <w:r>
        <w:rPr>
          <w:rFonts w:ascii="Times New Roman" w:hAnsi="Times New Roman"/>
          <w:noProof/>
          <w:sz w:val="24"/>
        </w:rPr>
        <w:t xml:space="preserve"> muu hulgas ka spetsiaalsete ELi tasandi rakenduste arendamist, et saada ELi poliitika kujundamise ja rakendamise jaoks kodanikelt ja ettevõtjatelt tõhusamalt kätte ruumiandmete infrastruktuuri (INSPIRE) kaudu esitatavaid andmeid, seda eriti aruandluse ja </w:t>
      </w:r>
      <w:r>
        <w:rPr>
          <w:rFonts w:ascii="Times New Roman" w:hAnsi="Times New Roman"/>
          <w:noProof/>
          <w:sz w:val="24"/>
        </w:rPr>
        <w:t>vastavuse edendamise puhul</w:t>
      </w:r>
      <w:r>
        <w:rPr>
          <w:rStyle w:val="FootnoteReference"/>
          <w:noProof/>
        </w:rPr>
        <w:footnoteReference w:id="34"/>
      </w:r>
      <w:r>
        <w:rPr>
          <w:rFonts w:ascii="Times New Roman" w:hAnsi="Times New Roman"/>
          <w:noProof/>
          <w:sz w:val="24"/>
        </w:rPr>
        <w:t>. See parandab tõenduspõhist poliitikakujundamist ja toetab e-valitsuse protsesse, mille jaoks on vaja kvaliteetseid ruumiandmeid (nt katastrid, kaardid, aadressid, hooned, pargid, kaitsealad, looduslikud ohutsoonid vms).</w:t>
      </w:r>
    </w:p>
    <w:p w:rsidR="00394F90" w:rsidRDefault="00394F90" w:rsidP="00394F90">
      <w:pPr>
        <w:rPr>
          <w:noProof/>
        </w:rPr>
      </w:pPr>
      <w:r>
        <w:rPr>
          <w:noProof/>
        </w:rPr>
        <w:br w:type="page"/>
      </w:r>
    </w:p>
    <w:p w:rsidR="00683852" w:rsidRDefault="00683852">
      <w:pPr>
        <w:rPr>
          <w:rFonts w:ascii="Times New Roman" w:hAnsi="Times New Roman" w:cs="Times New Roman"/>
          <w:noProof/>
          <w:sz w:val="24"/>
          <w:szCs w:val="24"/>
        </w:rPr>
      </w:pPr>
    </w:p>
    <w:tbl>
      <w:tblPr>
        <w:tblStyle w:val="TableGrid"/>
        <w:tblW w:w="9039" w:type="dxa"/>
        <w:tblLayout w:type="fixed"/>
        <w:tblLook w:val="04A0" w:firstRow="1" w:lastRow="0" w:firstColumn="1" w:lastColumn="0" w:noHBand="0" w:noVBand="1"/>
      </w:tblPr>
      <w:tblGrid>
        <w:gridCol w:w="7479"/>
        <w:gridCol w:w="1560"/>
      </w:tblGrid>
      <w:tr w:rsidR="00683852">
        <w:tc>
          <w:tcPr>
            <w:tcW w:w="7479" w:type="dxa"/>
          </w:tcPr>
          <w:p w:rsidR="00683852" w:rsidRDefault="00394F90">
            <w:pPr>
              <w:shd w:val="clear" w:color="auto" w:fill="EBEBEB" w:themeFill="background1"/>
              <w:rPr>
                <w:rFonts w:ascii="Times New Roman" w:hAnsi="Times New Roman" w:cs="Times New Roman"/>
                <w:b/>
                <w:i/>
                <w:noProof/>
                <w:sz w:val="24"/>
                <w:szCs w:val="24"/>
              </w:rPr>
            </w:pPr>
            <w:r>
              <w:rPr>
                <w:rFonts w:ascii="Times New Roman" w:hAnsi="Times New Roman"/>
                <w:b/>
                <w:i/>
                <w:noProof/>
                <w:sz w:val="24"/>
              </w:rPr>
              <w:t>Meetmed</w:t>
            </w:r>
          </w:p>
          <w:p w:rsidR="00683852" w:rsidRDefault="00394F90">
            <w:pPr>
              <w:shd w:val="clear" w:color="auto" w:fill="EBEBEB" w:themeFill="background1"/>
              <w:rPr>
                <w:rFonts w:ascii="Times New Roman" w:hAnsi="Times New Roman" w:cs="Times New Roman"/>
                <w:b/>
                <w:i/>
                <w:noProof/>
                <w:sz w:val="24"/>
                <w:szCs w:val="24"/>
              </w:rPr>
            </w:pPr>
            <w:r>
              <w:rPr>
                <w:rFonts w:ascii="Times New Roman" w:hAnsi="Times New Roman"/>
                <w:noProof/>
                <w:sz w:val="24"/>
              </w:rPr>
              <w:t>Komisjon</w:t>
            </w:r>
          </w:p>
        </w:tc>
        <w:tc>
          <w:tcPr>
            <w:tcW w:w="1560" w:type="dxa"/>
          </w:tcPr>
          <w:p w:rsidR="00683852" w:rsidRDefault="00394F90">
            <w:pPr>
              <w:shd w:val="clear" w:color="auto" w:fill="EBEBEB" w:themeFill="background1"/>
              <w:rPr>
                <w:rFonts w:ascii="Times New Roman" w:hAnsi="Times New Roman" w:cs="Times New Roman"/>
                <w:b/>
                <w:i/>
                <w:noProof/>
                <w:sz w:val="24"/>
                <w:szCs w:val="24"/>
              </w:rPr>
            </w:pPr>
            <w:r>
              <w:rPr>
                <w:rFonts w:ascii="Times New Roman" w:hAnsi="Times New Roman"/>
                <w:b/>
                <w:i/>
                <w:noProof/>
                <w:sz w:val="24"/>
              </w:rPr>
              <w:t>Tähtaeg</w:t>
            </w:r>
          </w:p>
        </w:tc>
      </w:tr>
      <w:tr w:rsidR="00683852">
        <w:tc>
          <w:tcPr>
            <w:tcW w:w="7479" w:type="dxa"/>
          </w:tcPr>
          <w:p w:rsidR="00683852" w:rsidRDefault="00394F90">
            <w:pPr>
              <w:pStyle w:val="ListParagraph"/>
              <w:numPr>
                <w:ilvl w:val="0"/>
                <w:numId w:val="2"/>
              </w:numPr>
              <w:shd w:val="clear" w:color="auto" w:fill="EBEBEB" w:themeFill="background1"/>
              <w:spacing w:before="120" w:after="120"/>
              <w:rPr>
                <w:rFonts w:ascii="Times New Roman" w:hAnsi="Times New Roman"/>
                <w:noProof/>
                <w:sz w:val="24"/>
                <w:szCs w:val="24"/>
              </w:rPr>
            </w:pPr>
            <w:r>
              <w:rPr>
                <w:rStyle w:val="CharAttribute3"/>
                <w:rFonts w:eastAsia="Calibri"/>
                <w:noProof/>
              </w:rPr>
              <w:t>hindab v</w:t>
            </w:r>
            <w:r>
              <w:rPr>
                <w:rStyle w:val="CharAttribute3"/>
                <w:rFonts w:eastAsia="Calibri"/>
                <w:noProof/>
              </w:rPr>
              <w:t>õ</w:t>
            </w:r>
            <w:r>
              <w:rPr>
                <w:rStyle w:val="CharAttribute3"/>
                <w:rFonts w:eastAsia="Calibri"/>
                <w:noProof/>
              </w:rPr>
              <w:t xml:space="preserve">imalust kohaldada </w:t>
            </w:r>
            <w:r>
              <w:rPr>
                <w:rStyle w:val="CharAttribute3"/>
                <w:rFonts w:eastAsia="Calibri"/>
                <w:noProof/>
              </w:rPr>
              <w:t>ü</w:t>
            </w:r>
            <w:r>
              <w:rPr>
                <w:rStyle w:val="CharAttribute3"/>
                <w:rFonts w:eastAsia="Calibri"/>
                <w:noProof/>
              </w:rPr>
              <w:t>hekordsuse p</w:t>
            </w:r>
            <w:r>
              <w:rPr>
                <w:rStyle w:val="CharAttribute3"/>
                <w:rFonts w:eastAsia="Calibri"/>
                <w:noProof/>
              </w:rPr>
              <w:t>õ</w:t>
            </w:r>
            <w:r>
              <w:rPr>
                <w:rStyle w:val="CharAttribute3"/>
                <w:rFonts w:eastAsia="Calibri"/>
                <w:noProof/>
              </w:rPr>
              <w:t>him</w:t>
            </w:r>
            <w:r>
              <w:rPr>
                <w:rStyle w:val="CharAttribute3"/>
                <w:rFonts w:eastAsia="Calibri"/>
                <w:noProof/>
              </w:rPr>
              <w:t>õ</w:t>
            </w:r>
            <w:r>
              <w:rPr>
                <w:rStyle w:val="CharAttribute3"/>
                <w:rFonts w:eastAsia="Calibri"/>
                <w:noProof/>
              </w:rPr>
              <w:t>tet kodanike suhtes piiri</w:t>
            </w:r>
            <w:r>
              <w:rPr>
                <w:rStyle w:val="CharAttribute3"/>
                <w:rFonts w:eastAsia="Calibri"/>
                <w:noProof/>
              </w:rPr>
              <w:t>ü</w:t>
            </w:r>
            <w:r>
              <w:rPr>
                <w:rStyle w:val="CharAttribute3"/>
                <w:rFonts w:eastAsia="Calibri"/>
                <w:noProof/>
              </w:rPr>
              <w:t>leses kontekstis.</w:t>
            </w:r>
          </w:p>
        </w:tc>
        <w:tc>
          <w:tcPr>
            <w:tcW w:w="1560" w:type="dxa"/>
          </w:tcPr>
          <w:p w:rsidR="00683852" w:rsidRDefault="00394F90">
            <w:pPr>
              <w:shd w:val="clear" w:color="auto" w:fill="EBEBEB" w:themeFill="background1"/>
              <w:ind w:left="360"/>
              <w:jc w:val="center"/>
              <w:rPr>
                <w:rFonts w:ascii="Times New Roman" w:hAnsi="Times New Roman"/>
                <w:noProof/>
                <w:sz w:val="24"/>
                <w:szCs w:val="24"/>
              </w:rPr>
            </w:pPr>
            <w:r>
              <w:rPr>
                <w:rFonts w:ascii="Times New Roman" w:hAnsi="Times New Roman"/>
                <w:noProof/>
                <w:sz w:val="24"/>
              </w:rPr>
              <w:t>2019</w:t>
            </w:r>
          </w:p>
        </w:tc>
      </w:tr>
      <w:tr w:rsidR="00683852">
        <w:tc>
          <w:tcPr>
            <w:tcW w:w="7479" w:type="dxa"/>
          </w:tcPr>
          <w:p w:rsidR="00683852" w:rsidRDefault="00394F90">
            <w:pPr>
              <w:pStyle w:val="ListParagraph"/>
              <w:numPr>
                <w:ilvl w:val="0"/>
                <w:numId w:val="2"/>
              </w:numPr>
              <w:shd w:val="clear" w:color="auto" w:fill="EBEBEB" w:themeFill="background1"/>
              <w:spacing w:before="120" w:after="120"/>
              <w:rPr>
                <w:rStyle w:val="CharAttribute3"/>
                <w:rFonts w:eastAsia="Batang" w:hAnsi="Times New Roman"/>
                <w:noProof/>
              </w:rPr>
            </w:pPr>
            <w:r>
              <w:rPr>
                <w:rFonts w:ascii="Times New Roman" w:hAnsi="Times New Roman"/>
                <w:noProof/>
                <w:sz w:val="24"/>
              </w:rPr>
              <w:t>kiirendab INSPIRE direktiivi andmetaristu juurutamist ja kasutuselevõttu.</w:t>
            </w:r>
          </w:p>
        </w:tc>
        <w:tc>
          <w:tcPr>
            <w:tcW w:w="1560" w:type="dxa"/>
          </w:tcPr>
          <w:p w:rsidR="00683852" w:rsidRDefault="00394F90">
            <w:pPr>
              <w:shd w:val="clear" w:color="auto" w:fill="EBEBEB" w:themeFill="background1"/>
              <w:ind w:left="360"/>
              <w:jc w:val="center"/>
              <w:rPr>
                <w:rFonts w:ascii="Times New Roman" w:hAnsi="Times New Roman" w:cs="Times New Roman"/>
                <w:noProof/>
                <w:sz w:val="24"/>
                <w:szCs w:val="24"/>
              </w:rPr>
            </w:pPr>
            <w:r>
              <w:rPr>
                <w:rFonts w:ascii="Times New Roman" w:hAnsi="Times New Roman"/>
                <w:noProof/>
                <w:sz w:val="24"/>
              </w:rPr>
              <w:t>2016-2020</w:t>
            </w:r>
          </w:p>
        </w:tc>
      </w:tr>
      <w:tr w:rsidR="00683852">
        <w:tc>
          <w:tcPr>
            <w:tcW w:w="7479" w:type="dxa"/>
          </w:tcPr>
          <w:p w:rsidR="00683852" w:rsidRDefault="00394F90">
            <w:pPr>
              <w:pStyle w:val="ListParagraph"/>
              <w:numPr>
                <w:ilvl w:val="0"/>
                <w:numId w:val="2"/>
              </w:numPr>
              <w:shd w:val="clear" w:color="auto" w:fill="EBEBEB" w:themeFill="background1"/>
              <w:spacing w:before="120" w:after="120"/>
              <w:rPr>
                <w:rFonts w:ascii="Times New Roman" w:hAnsi="Times New Roman"/>
                <w:noProof/>
                <w:sz w:val="24"/>
                <w:szCs w:val="24"/>
              </w:rPr>
            </w:pPr>
            <w:r>
              <w:rPr>
                <w:rFonts w:ascii="Times New Roman" w:hAnsi="Times New Roman"/>
                <w:noProof/>
                <w:sz w:val="24"/>
              </w:rPr>
              <w:t>muudab oma veebisaite, et toetada kodanike ja ettevõtjate</w:t>
            </w:r>
            <w:r>
              <w:rPr>
                <w:rFonts w:ascii="Times New Roman" w:hAnsi="Times New Roman"/>
                <w:noProof/>
                <w:sz w:val="24"/>
              </w:rPr>
              <w:t xml:space="preserve"> üha suuremat kaasatust ja osalemist ELi programmides ja poliitikakujundamises.</w:t>
            </w:r>
          </w:p>
        </w:tc>
        <w:tc>
          <w:tcPr>
            <w:tcW w:w="1560" w:type="dxa"/>
          </w:tcPr>
          <w:p w:rsidR="00683852" w:rsidRDefault="00394F90">
            <w:pPr>
              <w:shd w:val="clear" w:color="auto" w:fill="EBEBEB" w:themeFill="background1"/>
              <w:ind w:left="360"/>
              <w:jc w:val="center"/>
              <w:rPr>
                <w:rFonts w:ascii="Times New Roman" w:hAnsi="Times New Roman"/>
                <w:noProof/>
                <w:sz w:val="24"/>
                <w:szCs w:val="24"/>
              </w:rPr>
            </w:pPr>
            <w:r>
              <w:rPr>
                <w:rFonts w:ascii="Times New Roman" w:hAnsi="Times New Roman"/>
                <w:noProof/>
                <w:sz w:val="24"/>
              </w:rPr>
              <w:t>2018</w:t>
            </w:r>
          </w:p>
        </w:tc>
      </w:tr>
    </w:tbl>
    <w:p w:rsidR="00683852" w:rsidRDefault="00394F90">
      <w:pPr>
        <w:spacing w:before="120"/>
        <w:rPr>
          <w:rFonts w:ascii="Times New Roman" w:hAnsi="Times New Roman"/>
          <w:noProof/>
          <w:sz w:val="24"/>
          <w:szCs w:val="24"/>
        </w:rPr>
      </w:pPr>
      <w:r>
        <w:rPr>
          <w:rFonts w:ascii="Times New Roman" w:hAnsi="Times New Roman"/>
          <w:noProof/>
          <w:sz w:val="24"/>
        </w:rPr>
        <w:t xml:space="preserve">Selle prioriteedi raames edaspidi kavandatavad algatused peaksid aitama kaasata kodanikke, ettevõtjaid ja kodanikuühiskonda avaliku sektori teenuste ühisesse </w:t>
      </w:r>
      <w:r>
        <w:rPr>
          <w:rFonts w:ascii="Times New Roman" w:hAnsi="Times New Roman"/>
          <w:noProof/>
          <w:sz w:val="24"/>
        </w:rPr>
        <w:t>kujundamisse, tootmisse ja pakkumisse ning hõlbustama suhtlust haldusasutuste ja ettevõtjate ja kodanike vahel. Muud uued algatused võiksid puudutada näiteks andmete traalimist mistahes allikatest ning avaliku sektori andmete ja teenuste taaskasutamist uut</w:t>
      </w:r>
      <w:r>
        <w:rPr>
          <w:rFonts w:ascii="Times New Roman" w:hAnsi="Times New Roman"/>
          <w:noProof/>
          <w:sz w:val="24"/>
        </w:rPr>
        <w:t>e, innovatiivsete teenuste loomiseks teiste isikute poolt (olgu need siis avalik-õiguslikud või eraõiguslikud). Ühtlasi võiksid algatused keskenduda ka haldusasutuste läbipaistvuse suurendamisele, sest eelduste kohaselt võiks sidusrühmade kaasatus ja osale</w:t>
      </w:r>
      <w:r>
        <w:rPr>
          <w:rFonts w:ascii="Times New Roman" w:hAnsi="Times New Roman"/>
          <w:noProof/>
          <w:sz w:val="24"/>
        </w:rPr>
        <w:t>mine suurendada vastutavust ja usaldust ning vähendada korruptsioonivõimalusi.</w:t>
      </w:r>
    </w:p>
    <w:bookmarkEnd w:id="1"/>
    <w:p w:rsidR="00683852" w:rsidRDefault="00394F90">
      <w:pPr>
        <w:pStyle w:val="Heading1"/>
        <w:rPr>
          <w:noProof/>
          <w:szCs w:val="24"/>
        </w:rPr>
      </w:pPr>
      <w:r>
        <w:rPr>
          <w:noProof/>
        </w:rPr>
        <w:t>Tegevuskava elluviimine</w:t>
      </w:r>
    </w:p>
    <w:p w:rsidR="00683852" w:rsidRDefault="00394F90">
      <w:pPr>
        <w:rPr>
          <w:rFonts w:ascii="Times New Roman" w:hAnsi="Times New Roman" w:cs="Times New Roman"/>
          <w:noProof/>
          <w:sz w:val="24"/>
          <w:szCs w:val="24"/>
        </w:rPr>
      </w:pPr>
      <w:r>
        <w:rPr>
          <w:rFonts w:ascii="Times New Roman" w:hAnsi="Times New Roman"/>
          <w:noProof/>
          <w:sz w:val="24"/>
        </w:rPr>
        <w:t>Käesolevas tegevuskavas kirjeldatud meetmed tuleks käivitada 2016. ja 2017. aastal. Iga eespool nimetatud poliitilise prioriteedi raames kirjeldatud eesm</w:t>
      </w:r>
      <w:r>
        <w:rPr>
          <w:rFonts w:ascii="Times New Roman" w:hAnsi="Times New Roman"/>
          <w:noProof/>
          <w:sz w:val="24"/>
        </w:rPr>
        <w:t>ärkide saavutamiseks ning tehnoloogilise keskkonna kiire muutumisega kohanemiseks võib vaja olla täiendavaid meetmeid.</w:t>
      </w:r>
    </w:p>
    <w:p w:rsidR="00683852" w:rsidRDefault="00394F90">
      <w:pPr>
        <w:rPr>
          <w:rFonts w:ascii="Times New Roman" w:hAnsi="Times New Roman" w:cs="Times New Roman"/>
          <w:noProof/>
          <w:sz w:val="24"/>
          <w:szCs w:val="24"/>
        </w:rPr>
      </w:pPr>
      <w:r>
        <w:rPr>
          <w:rFonts w:ascii="Times New Roman" w:hAnsi="Times New Roman"/>
          <w:noProof/>
          <w:sz w:val="24"/>
        </w:rPr>
        <w:t xml:space="preserve">Komisjon võib teha ettepanekuid uute meetmete kohta, et rakendada ELi õigusakte või algatada ühismeetmeid. Ka sidusrühmad (sh </w:t>
      </w:r>
      <w:r>
        <w:rPr>
          <w:rFonts w:ascii="Times New Roman" w:hAnsi="Times New Roman"/>
          <w:noProof/>
          <w:sz w:val="24"/>
        </w:rPr>
        <w:t>liikmesriikide rühmad) võivad teha interaktiivse digitaalse kaasamise platvormi ettepanekuid meetmete kohta (eeskätt erinevate elusündmuste puhul), mida rakendada e-valitsuse tegevuskava alusel.</w:t>
      </w:r>
    </w:p>
    <w:p w:rsidR="00683852" w:rsidRDefault="00394F90">
      <w:pPr>
        <w:rPr>
          <w:rFonts w:ascii="Times New Roman" w:hAnsi="Times New Roman" w:cs="Times New Roman"/>
          <w:noProof/>
          <w:sz w:val="24"/>
          <w:szCs w:val="24"/>
        </w:rPr>
      </w:pPr>
      <w:r>
        <w:rPr>
          <w:rFonts w:ascii="Times New Roman" w:hAnsi="Times New Roman"/>
          <w:noProof/>
          <w:sz w:val="24"/>
        </w:rPr>
        <w:t>Komisjon loob e-valitsuse tegevuskava juhtnõukogu ja on selle</w:t>
      </w:r>
      <w:r>
        <w:rPr>
          <w:rFonts w:ascii="Times New Roman" w:hAnsi="Times New Roman"/>
          <w:noProof/>
          <w:sz w:val="24"/>
        </w:rPr>
        <w:t xml:space="preserve"> eesistuja. Juhtnõukogu hakkab koosnema liikmesriikide esindajatest, kes vastutavad oma riigi e-valitsuse strateegiate eest. Juhtnõukogu vastutab tegevuskava juhtimise eest (kuid mitte tegevuskava üksikute meetmete eest). Eelkõige hakkab ta hindama ja vali</w:t>
      </w:r>
      <w:r>
        <w:rPr>
          <w:rFonts w:ascii="Times New Roman" w:hAnsi="Times New Roman"/>
          <w:noProof/>
          <w:sz w:val="24"/>
        </w:rPr>
        <w:t>ma tegevuskava kogu kestuse ajal värskelt kindlaks määratud meetmeid ja koordineerima tegevuskava meetmete tulemuslikku rakendamist ja seiret. Kui kavandatud meetme tulemuseks on komisjoni algatus, kohaldatakse selle suhtes komisjoni parem õigusloome nõude</w:t>
      </w:r>
      <w:r>
        <w:rPr>
          <w:rFonts w:ascii="Times New Roman" w:hAnsi="Times New Roman"/>
          <w:noProof/>
          <w:sz w:val="24"/>
        </w:rPr>
        <w:t>id</w:t>
      </w:r>
      <w:r>
        <w:rPr>
          <w:rStyle w:val="FootnoteReference"/>
          <w:rFonts w:ascii="Times New Roman" w:hAnsi="Times New Roman"/>
          <w:noProof/>
          <w:sz w:val="24"/>
        </w:rPr>
        <w:footnoteReference w:id="35"/>
      </w:r>
      <w:r>
        <w:rPr>
          <w:rFonts w:ascii="Times New Roman" w:hAnsi="Times New Roman"/>
          <w:noProof/>
          <w:sz w:val="24"/>
        </w:rPr>
        <w:t>.</w:t>
      </w:r>
    </w:p>
    <w:p w:rsidR="00683852" w:rsidRDefault="00394F90">
      <w:pPr>
        <w:rPr>
          <w:rFonts w:ascii="Times New Roman" w:hAnsi="Times New Roman" w:cs="Times New Roman"/>
          <w:noProof/>
          <w:sz w:val="24"/>
          <w:szCs w:val="24"/>
        </w:rPr>
      </w:pPr>
      <w:r>
        <w:rPr>
          <w:rFonts w:ascii="Times New Roman" w:hAnsi="Times New Roman"/>
          <w:noProof/>
          <w:sz w:val="24"/>
        </w:rPr>
        <w:t>Käesolevas e-valitsuse tegevuskavas kirjeldatud meetmed saavad anda tulemusi vaid läbi komisjoni ja liikmesriikide ühise panuse ja ühisvastutuse, seda kõigil haldustasanditel.</w:t>
      </w:r>
      <w:bookmarkStart w:id="5" w:name="_GoBack"/>
      <w:bookmarkEnd w:id="5"/>
    </w:p>
    <w:sectPr w:rsidR="00683852">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852" w:rsidRDefault="00394F90">
      <w:pPr>
        <w:spacing w:after="0" w:line="240" w:lineRule="auto"/>
      </w:pPr>
      <w:r>
        <w:separator/>
      </w:r>
    </w:p>
  </w:endnote>
  <w:endnote w:type="continuationSeparator" w:id="0">
    <w:p w:rsidR="00683852" w:rsidRDefault="0039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852" w:rsidRDefault="006838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852" w:rsidRDefault="00394F90">
    <w:pPr>
      <w:pStyle w:val="FooterCoverPage"/>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852" w:rsidRDefault="00683852">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852" w:rsidRDefault="0068385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017180693"/>
      <w:docPartObj>
        <w:docPartGallery w:val="Page Numbers (Bottom of Page)"/>
        <w:docPartUnique/>
      </w:docPartObj>
    </w:sdtPr>
    <w:sdtEndPr>
      <w:rPr>
        <w:noProof/>
      </w:rPr>
    </w:sdtEndPr>
    <w:sdtContent>
      <w:p w:rsidR="00683852" w:rsidRDefault="00394F90">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12</w:t>
        </w:r>
        <w:r>
          <w:rPr>
            <w:noProof/>
            <w:sz w:val="20"/>
            <w:szCs w:val="20"/>
          </w:rPr>
          <w:fldChar w:fldCharType="end"/>
        </w:r>
      </w:p>
    </w:sdtContent>
  </w:sdt>
  <w:p w:rsidR="00683852" w:rsidRDefault="00683852">
    <w:pPr>
      <w:pStyle w:val="Footer"/>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852" w:rsidRDefault="00683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852" w:rsidRDefault="00394F90">
      <w:pPr>
        <w:spacing w:after="0" w:line="240" w:lineRule="auto"/>
      </w:pPr>
      <w:r>
        <w:separator/>
      </w:r>
    </w:p>
  </w:footnote>
  <w:footnote w:type="continuationSeparator" w:id="0">
    <w:p w:rsidR="00683852" w:rsidRDefault="00394F90">
      <w:pPr>
        <w:spacing w:after="0" w:line="240" w:lineRule="auto"/>
      </w:pPr>
      <w:r>
        <w:continuationSeparator/>
      </w:r>
    </w:p>
  </w:footnote>
  <w:footnote w:id="1">
    <w:p w:rsidR="00683852" w:rsidRDefault="00394F90">
      <w:pPr>
        <w:pStyle w:val="FootnoteText"/>
        <w:rPr>
          <w:lang w:val="en-GB"/>
        </w:rPr>
      </w:pPr>
      <w:r>
        <w:rPr>
          <w:rStyle w:val="FootnoteReference"/>
        </w:rPr>
        <w:footnoteRef/>
      </w:r>
      <w:r>
        <w:t xml:space="preserve"> </w:t>
      </w:r>
      <w:r>
        <w:tab/>
        <w:t>Recommendation of the Council o</w:t>
      </w:r>
      <w:r>
        <w:t>n Digital Government Strategies, OECD, 2014.</w:t>
      </w:r>
    </w:p>
  </w:footnote>
  <w:footnote w:id="2">
    <w:p w:rsidR="00683852" w:rsidRDefault="00394F90">
      <w:pPr>
        <w:pStyle w:val="FootnoteText"/>
        <w:rPr>
          <w:lang w:val="fi-FI"/>
        </w:rPr>
      </w:pPr>
      <w:r>
        <w:rPr>
          <w:rStyle w:val="FootnoteReference"/>
        </w:rPr>
        <w:footnoteRef/>
      </w:r>
      <w:r>
        <w:t xml:space="preserve"> </w:t>
      </w:r>
      <w:r>
        <w:tab/>
        <w:t>i2010 e-valitsuse tegevuskava, 2006–2010 ja e-valitsuse tegevuskava 2011–2015.</w:t>
      </w:r>
    </w:p>
  </w:footnote>
  <w:footnote w:id="3">
    <w:p w:rsidR="00683852" w:rsidRDefault="00394F90">
      <w:pPr>
        <w:pStyle w:val="FootnoteText"/>
        <w:rPr>
          <w:rStyle w:val="FootnoteReference"/>
          <w:vertAlign w:val="baseline"/>
        </w:rPr>
      </w:pPr>
      <w:r>
        <w:rPr>
          <w:rStyle w:val="FootnoteReference"/>
        </w:rPr>
        <w:footnoteRef/>
      </w:r>
      <w:r>
        <w:rPr>
          <w:rStyle w:val="FootnoteReference"/>
          <w:vertAlign w:val="baseline"/>
        </w:rPr>
        <w:t xml:space="preserve"> </w:t>
      </w:r>
      <w:r>
        <w:tab/>
      </w:r>
      <w:hyperlink r:id="rId1">
        <w:r>
          <w:rPr>
            <w:rStyle w:val="FootnoteReference"/>
            <w:vertAlign w:val="baseline"/>
          </w:rPr>
          <w:t>https://ec.europa.eu/digital-agenda/en/news/mid-term-evaluation-e-government-action-plan-2011-2015-implemen</w:t>
        </w:r>
        <w:r>
          <w:rPr>
            <w:rStyle w:val="FootnoteReference"/>
            <w:vertAlign w:val="baseline"/>
          </w:rPr>
          <w:t>tation-smart-2012-006020</w:t>
        </w:r>
      </w:hyperlink>
    </w:p>
  </w:footnote>
  <w:footnote w:id="4">
    <w:p w:rsidR="00683852" w:rsidRDefault="00394F90">
      <w:pPr>
        <w:pStyle w:val="FootnoteText"/>
        <w:rPr>
          <w:rStyle w:val="FootnoteReference"/>
          <w:vertAlign w:val="baseline"/>
          <w:lang w:val="fi-FI"/>
        </w:rPr>
      </w:pPr>
      <w:r>
        <w:rPr>
          <w:rStyle w:val="FootnoteReference"/>
        </w:rPr>
        <w:footnoteRef/>
      </w:r>
      <w:r>
        <w:rPr>
          <w:rStyle w:val="FootnoteReference"/>
        </w:rPr>
        <w:t xml:space="preserve"> </w:t>
      </w:r>
      <w:r>
        <w:tab/>
        <w:t>Komisjoni talituste hindamisalane töödokument, mis on lisatud ELi e-valitsus tegevuskava (2016–2020) teatisele.</w:t>
      </w:r>
    </w:p>
  </w:footnote>
  <w:footnote w:id="5">
    <w:p w:rsidR="00683852" w:rsidRDefault="00394F90">
      <w:pPr>
        <w:pStyle w:val="FootnoteText"/>
        <w:rPr>
          <w:rStyle w:val="FootnoteReference"/>
          <w:vertAlign w:val="baseline"/>
        </w:rPr>
      </w:pPr>
      <w:r>
        <w:rPr>
          <w:rStyle w:val="FootnoteReference"/>
        </w:rPr>
        <w:footnoteRef/>
      </w:r>
      <w:r>
        <w:rPr>
          <w:rStyle w:val="FootnoteReference"/>
          <w:vertAlign w:val="baseline"/>
        </w:rPr>
        <w:t xml:space="preserve"> </w:t>
      </w:r>
      <w:r>
        <w:tab/>
      </w:r>
      <w:r>
        <w:rPr>
          <w:rStyle w:val="FootnoteReference"/>
          <w:vertAlign w:val="baseline"/>
        </w:rPr>
        <w:t>KOM(2010) 743 (lõplik).</w:t>
      </w:r>
    </w:p>
  </w:footnote>
  <w:footnote w:id="6">
    <w:p w:rsidR="00683852" w:rsidRDefault="00394F90">
      <w:pPr>
        <w:pStyle w:val="FootnoteText"/>
        <w:rPr>
          <w:lang w:val="fi-FI"/>
        </w:rPr>
      </w:pPr>
      <w:r>
        <w:rPr>
          <w:rStyle w:val="FootnoteReference"/>
        </w:rPr>
        <w:footnoteRef/>
      </w:r>
      <w:r>
        <w:t xml:space="preserve"> </w:t>
      </w:r>
      <w:r>
        <w:tab/>
        <w:t>Kooskõlas Euroopa investeerimiskavaga http://ec.europa.eu/priorities/jobs-growth-and-i</w:t>
      </w:r>
      <w:r>
        <w:t>nvestment_en.</w:t>
      </w:r>
    </w:p>
  </w:footnote>
  <w:footnote w:id="7">
    <w:p w:rsidR="00683852" w:rsidRDefault="00394F90">
      <w:pPr>
        <w:pStyle w:val="FootnoteText"/>
        <w:rPr>
          <w:rStyle w:val="FootnoteReference"/>
          <w:vertAlign w:val="baseline"/>
        </w:rPr>
      </w:pPr>
      <w:r>
        <w:rPr>
          <w:rStyle w:val="FootnoteReference"/>
        </w:rPr>
        <w:footnoteRef/>
      </w:r>
      <w:r>
        <w:rPr>
          <w:rStyle w:val="FootnoteReference"/>
        </w:rPr>
        <w:t xml:space="preserve"> </w:t>
      </w:r>
      <w:r>
        <w:tab/>
      </w:r>
      <w:r>
        <w:rPr>
          <w:rStyle w:val="FootnoteReference"/>
          <w:vertAlign w:val="baseline"/>
        </w:rPr>
        <w:t>COM(2015) 192 final.</w:t>
      </w:r>
    </w:p>
  </w:footnote>
  <w:footnote w:id="8">
    <w:p w:rsidR="00683852" w:rsidRDefault="00394F90">
      <w:pPr>
        <w:pStyle w:val="FootnoteText"/>
        <w:rPr>
          <w:rStyle w:val="FootnoteReference"/>
          <w:vertAlign w:val="baseline"/>
        </w:rPr>
      </w:pPr>
      <w:r>
        <w:rPr>
          <w:rStyle w:val="FootnoteReference"/>
        </w:rPr>
        <w:footnoteRef/>
      </w:r>
      <w:r>
        <w:rPr>
          <w:rStyle w:val="FootnoteReference"/>
          <w:vertAlign w:val="baseline"/>
        </w:rPr>
        <w:t xml:space="preserve"> </w:t>
      </w:r>
      <w:r>
        <w:tab/>
      </w:r>
      <w:hyperlink r:id="rId2">
        <w:r>
          <w:rPr>
            <w:rStyle w:val="FootnoteReference"/>
            <w:vertAlign w:val="baseline"/>
          </w:rPr>
          <w:t>https://ec.europa.eu/digital-agenda/en/news/mid-term-evaluation-</w:t>
        </w:r>
        <w:r>
          <w:rPr>
            <w:rStyle w:val="FootnoteReference"/>
            <w:vertAlign w:val="baseline"/>
          </w:rPr>
          <w:t>e-government-action-plan-2011-2015-implementation-smart-2012-006020</w:t>
        </w:r>
      </w:hyperlink>
    </w:p>
  </w:footnote>
  <w:footnote w:id="9">
    <w:p w:rsidR="00683852" w:rsidRDefault="00394F90">
      <w:pPr>
        <w:pStyle w:val="FootnoteText"/>
      </w:pPr>
      <w:r>
        <w:rPr>
          <w:rStyle w:val="FootnoteReference"/>
        </w:rPr>
        <w:footnoteRef/>
      </w:r>
      <w:r>
        <w:rPr>
          <w:rStyle w:val="FootnoteReference"/>
          <w:vertAlign w:val="baseline"/>
        </w:rPr>
        <w:t xml:space="preserve"> </w:t>
      </w:r>
      <w:r>
        <w:tab/>
        <w:t>Sh Euroopa ühendamise rahastu, Euroopa haldusasutuste koostalitlusvõimealaste lahenduste programm (ISA²) , Horisont 2020, Euroopa struktuuri- ja investeerimisfondid (ESIF), õigusprogram</w:t>
      </w:r>
      <w:r>
        <w:t>m ja struktuurireformi tugiprogramm.</w:t>
      </w:r>
    </w:p>
  </w:footnote>
  <w:footnote w:id="10">
    <w:p w:rsidR="00683852" w:rsidRDefault="00394F90">
      <w:pPr>
        <w:pStyle w:val="FootnoteText"/>
        <w:rPr>
          <w:rStyle w:val="FootnoteReference"/>
          <w:vertAlign w:val="baseline"/>
        </w:rPr>
      </w:pPr>
      <w:r>
        <w:rPr>
          <w:rStyle w:val="FootnoteReference"/>
        </w:rPr>
        <w:footnoteRef/>
      </w:r>
      <w:r>
        <w:rPr>
          <w:rStyle w:val="FootnoteReference"/>
        </w:rPr>
        <w:t xml:space="preserve"> </w:t>
      </w:r>
      <w:r>
        <w:tab/>
      </w:r>
      <w:r>
        <w:rPr>
          <w:rStyle w:val="FootnoteReference"/>
          <w:vertAlign w:val="baseline"/>
        </w:rPr>
        <w:t>Malmö ministrite deklaratsioon e-valitsuse kohta, 2009.</w:t>
      </w:r>
    </w:p>
  </w:footnote>
  <w:footnote w:id="11">
    <w:p w:rsidR="00683852" w:rsidRDefault="00394F90">
      <w:pPr>
        <w:pStyle w:val="FootnoteText"/>
        <w:rPr>
          <w:rStyle w:val="FootnoteReference"/>
          <w:vertAlign w:val="baseline"/>
        </w:rPr>
      </w:pPr>
      <w:r>
        <w:rPr>
          <w:rStyle w:val="FootnoteReference"/>
        </w:rPr>
        <w:footnoteRef/>
      </w:r>
      <w:r>
        <w:rPr>
          <w:rStyle w:val="FootnoteReference"/>
        </w:rPr>
        <w:t xml:space="preserve"> </w:t>
      </w:r>
      <w:r>
        <w:tab/>
      </w:r>
      <w:r>
        <w:rPr>
          <w:rStyle w:val="FootnoteReference"/>
          <w:vertAlign w:val="baseline"/>
        </w:rPr>
        <w:t>E-valitsuse võrdlusuuringu aruanne, 2014.</w:t>
      </w:r>
    </w:p>
  </w:footnote>
  <w:footnote w:id="12">
    <w:p w:rsidR="00683852" w:rsidRDefault="00394F90">
      <w:pPr>
        <w:pStyle w:val="FootnoteText"/>
        <w:rPr>
          <w:rStyle w:val="FootnoteReference"/>
          <w:vertAlign w:val="baseline"/>
        </w:rPr>
      </w:pPr>
      <w:r>
        <w:rPr>
          <w:rStyle w:val="FootnoteReference"/>
        </w:rPr>
        <w:footnoteRef/>
      </w:r>
      <w:r>
        <w:rPr>
          <w:rStyle w:val="FootnoteReference"/>
          <w:vertAlign w:val="baseline"/>
        </w:rPr>
        <w:t xml:space="preserve"> </w:t>
      </w:r>
      <w:r>
        <w:tab/>
      </w:r>
      <w:r>
        <w:rPr>
          <w:rStyle w:val="FootnoteReference"/>
          <w:vertAlign w:val="baseline"/>
        </w:rPr>
        <w:t>E-valitsuse võrdlusuuringu aruanne, 2015.</w:t>
      </w:r>
    </w:p>
  </w:footnote>
  <w:footnote w:id="13">
    <w:p w:rsidR="00683852" w:rsidRDefault="00394F90">
      <w:pPr>
        <w:pStyle w:val="FootnoteText"/>
        <w:rPr>
          <w:rStyle w:val="FootnoteReference"/>
          <w:vertAlign w:val="baseline"/>
        </w:rPr>
      </w:pPr>
      <w:r>
        <w:rPr>
          <w:rStyle w:val="FootnoteReference"/>
        </w:rPr>
        <w:footnoteRef/>
      </w:r>
      <w:r>
        <w:rPr>
          <w:rStyle w:val="FootnoteReference"/>
        </w:rPr>
        <w:t xml:space="preserve"> </w:t>
      </w:r>
      <w:r>
        <w:tab/>
      </w:r>
      <w:r>
        <w:rPr>
          <w:rStyle w:val="FootnoteReference"/>
          <w:vertAlign w:val="baseline"/>
        </w:rPr>
        <w:t>Recommendation of the Council on Digital Government Strategies, OEC</w:t>
      </w:r>
      <w:r>
        <w:rPr>
          <w:rStyle w:val="FootnoteReference"/>
          <w:vertAlign w:val="baseline"/>
        </w:rPr>
        <w:t>D, 2014.</w:t>
      </w:r>
    </w:p>
  </w:footnote>
  <w:footnote w:id="14">
    <w:p w:rsidR="00683852" w:rsidRDefault="00394F90">
      <w:pPr>
        <w:pStyle w:val="FootnoteText"/>
        <w:rPr>
          <w:rStyle w:val="FootnoteReference"/>
          <w:vertAlign w:val="baseline"/>
        </w:rPr>
      </w:pPr>
      <w:r>
        <w:rPr>
          <w:rStyle w:val="FootnoteReference"/>
        </w:rPr>
        <w:footnoteRef/>
      </w:r>
      <w:r>
        <w:tab/>
      </w:r>
      <w:hyperlink r:id="rId3">
        <w:r>
          <w:rPr>
            <w:rStyle w:val="Hyperlink"/>
          </w:rPr>
          <w:t>https://ec.europa.eu/digital-agenda/en/news/contributions-and-preliminary-trends-public-con</w:t>
        </w:r>
        <w:r>
          <w:rPr>
            <w:rStyle w:val="Hyperlink"/>
          </w:rPr>
          <w:t>sultation-egovernment-action-plan-2016-2020</w:t>
        </w:r>
      </w:hyperlink>
      <w:r>
        <w:t xml:space="preserve"> </w:t>
      </w:r>
    </w:p>
  </w:footnote>
  <w:footnote w:id="15">
    <w:p w:rsidR="00683852" w:rsidRDefault="00394F90">
      <w:pPr>
        <w:pStyle w:val="FootnoteText"/>
      </w:pPr>
      <w:r>
        <w:rPr>
          <w:rStyle w:val="FootnoteReference"/>
        </w:rPr>
        <w:footnoteRef/>
      </w:r>
      <w:r>
        <w:t xml:space="preserve"> </w:t>
      </w:r>
      <w:r>
        <w:tab/>
        <w:t>Veebisaitide käideldavuse direktiivi ettepaneku menetlemine on kaasseadusandjatel parasjagu pooleli; COM(2012) 721.</w:t>
      </w:r>
    </w:p>
  </w:footnote>
  <w:footnote w:id="16">
    <w:p w:rsidR="00683852" w:rsidRDefault="00394F90">
      <w:pPr>
        <w:pStyle w:val="FootnoteText"/>
        <w:rPr>
          <w:rStyle w:val="FootnoteReference"/>
          <w:vertAlign w:val="baseline"/>
        </w:rPr>
      </w:pPr>
      <w:r>
        <w:rPr>
          <w:rStyle w:val="FootnoteReference"/>
        </w:rPr>
        <w:footnoteRef/>
      </w:r>
      <w:r>
        <w:rPr>
          <w:rStyle w:val="FootnoteReference"/>
        </w:rPr>
        <w:t xml:space="preserve"> </w:t>
      </w:r>
      <w:r>
        <w:tab/>
      </w:r>
      <w:r>
        <w:rPr>
          <w:rStyle w:val="FootnoteReference"/>
          <w:vertAlign w:val="baseline"/>
        </w:rPr>
        <w:t>Iga-aastased majanduskasvu analüüsid, 2015 ja 2016.</w:t>
      </w:r>
    </w:p>
  </w:footnote>
  <w:footnote w:id="17">
    <w:p w:rsidR="00683852" w:rsidRDefault="00394F90">
      <w:pPr>
        <w:pStyle w:val="FootnoteText"/>
        <w:rPr>
          <w:rStyle w:val="FootnoteReference"/>
          <w:vertAlign w:val="baseline"/>
          <w:lang w:val="fi-FI"/>
        </w:rPr>
      </w:pPr>
      <w:r>
        <w:rPr>
          <w:rStyle w:val="FootnoteReference"/>
        </w:rPr>
        <w:footnoteRef/>
      </w:r>
      <w:r>
        <w:rPr>
          <w:rStyle w:val="FootnoteReference"/>
        </w:rPr>
        <w:t xml:space="preserve"> </w:t>
      </w:r>
      <w:r>
        <w:tab/>
        <w:t xml:space="preserve">Läbivaadatud Euroopa </w:t>
      </w:r>
      <w:r>
        <w:t>koostalitlusvõime raamistik avaldatakse 2016. aastal.</w:t>
      </w:r>
    </w:p>
  </w:footnote>
  <w:footnote w:id="18">
    <w:p w:rsidR="00683852" w:rsidRDefault="00394F90">
      <w:pPr>
        <w:pStyle w:val="FootnoteText"/>
        <w:rPr>
          <w:rStyle w:val="FootnoteReference"/>
          <w:vertAlign w:val="baseline"/>
        </w:rPr>
      </w:pPr>
      <w:r>
        <w:rPr>
          <w:rStyle w:val="FootnoteReference"/>
        </w:rPr>
        <w:footnoteRef/>
      </w:r>
      <w:r>
        <w:rPr>
          <w:rStyle w:val="FootnoteReference"/>
          <w:vertAlign w:val="baseline"/>
        </w:rPr>
        <w:t xml:space="preserve"> </w:t>
      </w:r>
      <w:r>
        <w:tab/>
      </w:r>
      <w:r>
        <w:rPr>
          <w:rStyle w:val="FootnoteReference"/>
          <w:vertAlign w:val="baseline"/>
        </w:rPr>
        <w:t>COM(2015) 192 final, http://eur-lex.europa.eu/legal-content/ET/TXT/?uri=CELEX:52015DC0192</w:t>
      </w:r>
    </w:p>
  </w:footnote>
  <w:footnote w:id="19">
    <w:p w:rsidR="00683852" w:rsidRDefault="00394F90">
      <w:pPr>
        <w:pStyle w:val="FootnoteText"/>
        <w:rPr>
          <w:lang w:val="es-ES"/>
        </w:rPr>
      </w:pPr>
      <w:r>
        <w:rPr>
          <w:rStyle w:val="FootnoteReference"/>
        </w:rPr>
        <w:footnoteRef/>
      </w:r>
      <w:r>
        <w:t xml:space="preserve"> </w:t>
      </w:r>
      <w:r>
        <w:tab/>
        <w:t>Määrus (EL) nr 910/2014.</w:t>
      </w:r>
    </w:p>
  </w:footnote>
  <w:footnote w:id="20">
    <w:p w:rsidR="00683852" w:rsidRDefault="00394F90">
      <w:pPr>
        <w:pStyle w:val="FootnoteText"/>
        <w:rPr>
          <w:lang w:val="es-ES"/>
        </w:rPr>
      </w:pPr>
      <w:r>
        <w:rPr>
          <w:rStyle w:val="FootnoteReference"/>
        </w:rPr>
        <w:footnoteRef/>
      </w:r>
      <w:r>
        <w:t xml:space="preserve"> </w:t>
      </w:r>
      <w:r>
        <w:tab/>
      </w:r>
      <w:r>
        <w:t>http://ec.europa.eu/finance/consultations/2015/retail-financial-services/index_en.htm</w:t>
      </w:r>
    </w:p>
  </w:footnote>
  <w:footnote w:id="21">
    <w:p w:rsidR="00683852" w:rsidRDefault="00394F90">
      <w:pPr>
        <w:pStyle w:val="FootnoteText"/>
        <w:rPr>
          <w:lang w:val="es-ES"/>
        </w:rPr>
      </w:pPr>
      <w:r>
        <w:rPr>
          <w:rStyle w:val="FootnoteReference"/>
        </w:rPr>
        <w:footnoteRef/>
      </w:r>
      <w:r>
        <w:t xml:space="preserve"> </w:t>
      </w:r>
      <w:r>
        <w:tab/>
      </w:r>
      <w:hyperlink r:id="rId4" w:history="1">
        <w:r>
          <w:rPr>
            <w:rStyle w:val="Hyperlink"/>
          </w:rPr>
          <w:t>http://open-data.europa.eu</w:t>
        </w:r>
      </w:hyperlink>
      <w:r>
        <w:t xml:space="preserve"> </w:t>
      </w:r>
    </w:p>
  </w:footnote>
  <w:footnote w:id="22">
    <w:p w:rsidR="00683852" w:rsidRDefault="00394F90">
      <w:pPr>
        <w:pStyle w:val="FootnoteText"/>
        <w:rPr>
          <w:rStyle w:val="FootnoteReference"/>
          <w:vertAlign w:val="baseline"/>
          <w:lang w:val="es-ES"/>
        </w:rPr>
      </w:pPr>
      <w:r>
        <w:rPr>
          <w:rStyle w:val="FootnoteReference"/>
        </w:rPr>
        <w:footnoteRef/>
      </w:r>
      <w:r>
        <w:t xml:space="preserve"> </w:t>
      </w:r>
      <w:r>
        <w:tab/>
      </w:r>
      <w:hyperlink r:id="rId5" w:history="1">
        <w:r>
          <w:rPr>
            <w:rStyle w:val="FootnoteReference"/>
            <w:vertAlign w:val="baseline"/>
          </w:rPr>
          <w:t>http://data.europa.e/europeandatapor</w:t>
        </w:r>
        <w:r>
          <w:rPr>
            <w:rStyle w:val="FootnoteReference"/>
            <w:vertAlign w:val="baseline"/>
          </w:rPr>
          <w:t>tal</w:t>
        </w:r>
      </w:hyperlink>
    </w:p>
  </w:footnote>
  <w:footnote w:id="23">
    <w:p w:rsidR="00683852" w:rsidRDefault="00394F90">
      <w:pPr>
        <w:pStyle w:val="FootnoteText"/>
        <w:rPr>
          <w:lang w:val="es-ES"/>
        </w:rPr>
      </w:pPr>
      <w:r>
        <w:rPr>
          <w:rStyle w:val="FootnoteReference"/>
        </w:rPr>
        <w:footnoteRef/>
      </w:r>
      <w:r>
        <w:t xml:space="preserve"> </w:t>
      </w:r>
      <w:r>
        <w:tab/>
      </w:r>
      <w:r>
        <w:rPr>
          <w:rStyle w:val="FootnoteReference"/>
          <w:vertAlign w:val="baseline"/>
        </w:rPr>
        <w:t>Nt eID, e-allkiri, e-väljastus, e-arveldamine ja e-tõlge.</w:t>
      </w:r>
    </w:p>
  </w:footnote>
  <w:footnote w:id="24">
    <w:p w:rsidR="00683852" w:rsidRPr="00394F90" w:rsidRDefault="00394F90">
      <w:pPr>
        <w:pStyle w:val="FootnoteText"/>
        <w:rPr>
          <w:lang w:val="es-ES"/>
        </w:rPr>
      </w:pPr>
      <w:r>
        <w:rPr>
          <w:rStyle w:val="FootnoteReference"/>
        </w:rPr>
        <w:footnoteRef/>
      </w:r>
      <w:r>
        <w:t xml:space="preserve"> </w:t>
      </w:r>
      <w:r>
        <w:tab/>
        <w:t>Euroopa pilvandmetöötluse algatus. Konkurentsivõimelise andme- ja teadmuspõhise majanduse ülesehitamine Euroopas.</w:t>
      </w:r>
    </w:p>
  </w:footnote>
  <w:footnote w:id="25">
    <w:p w:rsidR="00683852" w:rsidRDefault="00394F90">
      <w:pPr>
        <w:pStyle w:val="FootnoteText"/>
        <w:jc w:val="left"/>
        <w:rPr>
          <w:rStyle w:val="FootnoteReference"/>
          <w:vertAlign w:val="baseline"/>
        </w:rPr>
      </w:pPr>
      <w:r>
        <w:rPr>
          <w:rStyle w:val="FootnoteReference"/>
        </w:rPr>
        <w:footnoteRef/>
      </w:r>
      <w:r>
        <w:rPr>
          <w:rStyle w:val="FootnoteReference"/>
        </w:rPr>
        <w:t xml:space="preserve"> </w:t>
      </w:r>
      <w:r>
        <w:tab/>
      </w:r>
      <w:r>
        <w:rPr>
          <w:rStyle w:val="FootnoteReference"/>
          <w:vertAlign w:val="baseline"/>
        </w:rPr>
        <w:t>Euroopa Parlamendi ja nõukogu 13. juuni 2012. aasta direktiiv 2012/17/E</w:t>
      </w:r>
      <w:r>
        <w:rPr>
          <w:rStyle w:val="FootnoteReference"/>
          <w:vertAlign w:val="baseline"/>
        </w:rPr>
        <w:t>L, millega muudetakse nõukogu direktiivi 89/666/EMÜ ning Euroopa Parlamendi ja nõukogu direktiive 2005/56/EÜ ja 2009/101/EÜ keskregistrite, äriregistrite ja äriühingute registrite sidestamise osas (ELT L 156, 16.6.2012, lk 1–9).</w:t>
      </w:r>
      <w:r>
        <w:rPr>
          <w:rStyle w:val="FootnoteReference"/>
          <w:vertAlign w:val="baseline"/>
        </w:rPr>
        <w:br/>
        <w:t>COM(2015) 192 final, http:/</w:t>
      </w:r>
      <w:r>
        <w:rPr>
          <w:rStyle w:val="FootnoteReference"/>
          <w:vertAlign w:val="baseline"/>
        </w:rPr>
        <w:t>/eur-lex.europa.eu/legal-content/ET/TXT/?uri=CELEX:52015DC0192</w:t>
      </w:r>
    </w:p>
  </w:footnote>
  <w:footnote w:id="26">
    <w:p w:rsidR="00683852" w:rsidRDefault="00394F90">
      <w:pPr>
        <w:pStyle w:val="FootnoteText"/>
        <w:rPr>
          <w:rStyle w:val="FootnoteReference"/>
          <w:vertAlign w:val="baseline"/>
        </w:rPr>
      </w:pPr>
      <w:r>
        <w:rPr>
          <w:rStyle w:val="FootnoteReference"/>
        </w:rPr>
        <w:footnoteRef/>
      </w:r>
      <w:r>
        <w:rPr>
          <w:rStyle w:val="FootnoteReference"/>
        </w:rPr>
        <w:t xml:space="preserve"> </w:t>
      </w:r>
      <w:r>
        <w:tab/>
      </w:r>
      <w:r>
        <w:rPr>
          <w:rStyle w:val="FootnoteReference"/>
          <w:vertAlign w:val="baseline"/>
        </w:rPr>
        <w:t>Vastavalt määrusele (EL) 2015/848 maksejõuetusmenetluste kohta (uuesti sõnastatud).</w:t>
      </w:r>
    </w:p>
  </w:footnote>
  <w:footnote w:id="27">
    <w:p w:rsidR="00683852" w:rsidRDefault="00394F90">
      <w:pPr>
        <w:pStyle w:val="FootnoteText"/>
        <w:rPr>
          <w:rStyle w:val="FootnoteReference"/>
          <w:vertAlign w:val="baseline"/>
        </w:rPr>
      </w:pPr>
      <w:r>
        <w:rPr>
          <w:rStyle w:val="FootnoteReference"/>
        </w:rPr>
        <w:footnoteRef/>
      </w:r>
      <w:r>
        <w:rPr>
          <w:rStyle w:val="FootnoteReference"/>
        </w:rPr>
        <w:t xml:space="preserve"> </w:t>
      </w:r>
      <w:r>
        <w:tab/>
      </w:r>
      <w:r>
        <w:rPr>
          <w:rStyle w:val="FootnoteReference"/>
          <w:vertAlign w:val="baseline"/>
        </w:rPr>
        <w:t>Vastavalt komisjoni teatisele „Ühtse turu täiustamine: rohkem võimalusi inimestele ja ettevõtetele”, CO</w:t>
      </w:r>
      <w:r>
        <w:rPr>
          <w:rStyle w:val="FootnoteReference"/>
          <w:vertAlign w:val="baseline"/>
        </w:rPr>
        <w:t>M(2015) 550, lk 5.</w:t>
      </w:r>
    </w:p>
  </w:footnote>
  <w:footnote w:id="28">
    <w:p w:rsidR="00683852" w:rsidRDefault="00394F90">
      <w:pPr>
        <w:pStyle w:val="FootnoteText"/>
        <w:rPr>
          <w:rStyle w:val="FootnoteReference"/>
          <w:vertAlign w:val="baseline"/>
          <w:lang w:val="pt-PT"/>
        </w:rPr>
      </w:pPr>
      <w:r>
        <w:rPr>
          <w:rStyle w:val="FootnoteReference"/>
        </w:rPr>
        <w:footnoteRef/>
      </w:r>
      <w:r>
        <w:rPr>
          <w:rStyle w:val="FootnoteReference"/>
        </w:rPr>
        <w:t xml:space="preserve"> </w:t>
      </w:r>
      <w:r>
        <w:tab/>
        <w:t>Vt ka COM(2015) 550, lk 5.</w:t>
      </w:r>
    </w:p>
  </w:footnote>
  <w:footnote w:id="29">
    <w:p w:rsidR="00683852" w:rsidRDefault="00394F90">
      <w:pPr>
        <w:pStyle w:val="FootnoteText"/>
        <w:rPr>
          <w:rStyle w:val="FootnoteReference"/>
          <w:vertAlign w:val="baseline"/>
        </w:rPr>
      </w:pPr>
      <w:r>
        <w:rPr>
          <w:rStyle w:val="FootnoteReference"/>
        </w:rPr>
        <w:footnoteRef/>
      </w:r>
      <w:r>
        <w:rPr>
          <w:rStyle w:val="FootnoteReference"/>
          <w:vertAlign w:val="baseline"/>
        </w:rPr>
        <w:t xml:space="preserve"> </w:t>
      </w:r>
      <w:r>
        <w:tab/>
      </w:r>
      <w:r>
        <w:rPr>
          <w:rStyle w:val="FootnoteReference"/>
          <w:vertAlign w:val="baseline"/>
        </w:rPr>
        <w:t>28 Euroopa Liidu liikmesriiki, Šveits ja 3 Euroopa Majanduspiirkonna riiki: Norra, Island, Liechtenstein.</w:t>
      </w:r>
    </w:p>
  </w:footnote>
  <w:footnote w:id="30">
    <w:p w:rsidR="00683852" w:rsidRDefault="00394F90">
      <w:pPr>
        <w:pStyle w:val="FootnoteText"/>
        <w:rPr>
          <w:rStyle w:val="FootnoteReference"/>
          <w:vertAlign w:val="baseline"/>
        </w:rPr>
      </w:pPr>
      <w:r>
        <w:rPr>
          <w:rStyle w:val="FootnoteReference"/>
        </w:rPr>
        <w:footnoteRef/>
      </w:r>
      <w:r>
        <w:rPr>
          <w:rStyle w:val="FootnoteReference"/>
        </w:rPr>
        <w:t xml:space="preserve"> </w:t>
      </w:r>
      <w:r>
        <w:tab/>
      </w:r>
      <w:r>
        <w:rPr>
          <w:rStyle w:val="FootnoteReference"/>
          <w:vertAlign w:val="baseline"/>
        </w:rPr>
        <w:t>EURESe eesmärk on pakkuda teavet, nõuandeid ja töölevõtmis-/tööhõiveteenuseid (töövahendusteenu</w:t>
      </w:r>
      <w:r>
        <w:rPr>
          <w:rStyle w:val="FootnoteReference"/>
          <w:vertAlign w:val="baseline"/>
        </w:rPr>
        <w:t>seid) töötajatele ja tööandjatele, aga ka kõikidele kodanikele, kes soovivad kasutada isikute vaba liikumise põhimõtet.</w:t>
      </w:r>
    </w:p>
  </w:footnote>
  <w:footnote w:id="31">
    <w:p w:rsidR="00683852" w:rsidRDefault="00394F90">
      <w:pPr>
        <w:pStyle w:val="FootnoteText"/>
        <w:rPr>
          <w:rStyle w:val="FootnoteReference"/>
          <w:vertAlign w:val="baseline"/>
        </w:rPr>
      </w:pPr>
      <w:r>
        <w:rPr>
          <w:rStyle w:val="FootnoteReference"/>
        </w:rPr>
        <w:footnoteRef/>
      </w:r>
      <w:r>
        <w:rPr>
          <w:rStyle w:val="FootnoteReference"/>
        </w:rPr>
        <w:t xml:space="preserve"> </w:t>
      </w:r>
      <w:r>
        <w:tab/>
      </w:r>
      <w:r>
        <w:rPr>
          <w:rStyle w:val="FootnoteReference"/>
          <w:vertAlign w:val="baseline"/>
        </w:rPr>
        <w:t>Suunised e-retseptide andmekogumite kohta seoses elektroonilise andmevahetusega vastavalt piiriülest tervishoidu käsitlevale direktii</w:t>
      </w:r>
      <w:r>
        <w:rPr>
          <w:rStyle w:val="FootnoteReference"/>
          <w:vertAlign w:val="baseline"/>
        </w:rPr>
        <w:t>vile 2011/24/EL.</w:t>
      </w:r>
    </w:p>
  </w:footnote>
  <w:footnote w:id="32">
    <w:p w:rsidR="00683852" w:rsidRDefault="00394F90">
      <w:pPr>
        <w:pStyle w:val="FootnoteText"/>
      </w:pPr>
      <w:r>
        <w:rPr>
          <w:rStyle w:val="FootnoteReference"/>
        </w:rPr>
        <w:footnoteRef/>
      </w:r>
      <w:r>
        <w:t xml:space="preserve"> </w:t>
      </w:r>
      <w:r>
        <w:tab/>
        <w:t>Vastavalt direktiivi 2011/24/EL (patsiendiõiguste kohaldamise kohta piiriüleses tervishoius) artiklile 12.</w:t>
      </w:r>
    </w:p>
  </w:footnote>
  <w:footnote w:id="33">
    <w:p w:rsidR="00683852" w:rsidRDefault="00394F90">
      <w:pPr>
        <w:pStyle w:val="FootnoteText"/>
      </w:pPr>
      <w:r>
        <w:rPr>
          <w:rStyle w:val="FootnoteReference"/>
        </w:rPr>
        <w:footnoteRef/>
      </w:r>
      <w:r>
        <w:t xml:space="preserve"> </w:t>
      </w:r>
      <w:r>
        <w:tab/>
        <w:t>Euroopa pilvandmetöötluse algatus. Konkurentsivõimelise andme- ja teadmuspõhise majanduse ülesehitamine Euroopas.</w:t>
      </w:r>
    </w:p>
  </w:footnote>
  <w:footnote w:id="34">
    <w:p w:rsidR="00683852" w:rsidRDefault="00394F90">
      <w:pPr>
        <w:pStyle w:val="FootnoteText"/>
        <w:rPr>
          <w:rStyle w:val="FootnoteReference"/>
          <w:vertAlign w:val="baseline"/>
        </w:rPr>
      </w:pPr>
      <w:r>
        <w:rPr>
          <w:rStyle w:val="FootnoteReference"/>
        </w:rPr>
        <w:footnoteRef/>
      </w:r>
      <w:r>
        <w:rPr>
          <w:rStyle w:val="FootnoteReference"/>
        </w:rPr>
        <w:t xml:space="preserve"> </w:t>
      </w:r>
      <w:r>
        <w:tab/>
      </w:r>
      <w:hyperlink r:id="rId6">
        <w:r>
          <w:rPr>
            <w:rStyle w:val="FootnoteReference"/>
            <w:vertAlign w:val="baseline"/>
          </w:rPr>
          <w:t>Euroopa Parlamendi ja nõukogu 14. märtsi 2007. aasta direktiiv 2007/2/EÜ, millega rajatakse Euroopa Ühenduse ruumiandmete infrastruktuur (INSPIRE),</w:t>
        </w:r>
      </w:hyperlink>
      <w:r>
        <w:rPr>
          <w:rStyle w:val="FootnoteReference"/>
          <w:vertAlign w:val="baseline"/>
        </w:rPr>
        <w:t xml:space="preserve"> (ELT L 108, 25.4.2007, lk 1). (Aruanne avaldatakse peatselt järgmisel veebilehel: http://inspire.ec.europa.eu/)</w:t>
      </w:r>
    </w:p>
  </w:footnote>
  <w:footnote w:id="35">
    <w:p w:rsidR="00683852" w:rsidRPr="00394F90" w:rsidRDefault="00394F90">
      <w:pPr>
        <w:pStyle w:val="FootnoteText"/>
      </w:pPr>
      <w:r>
        <w:rPr>
          <w:rStyle w:val="FootnoteReference"/>
        </w:rPr>
        <w:footnoteRef/>
      </w:r>
      <w:r>
        <w:t xml:space="preserve"> </w:t>
      </w:r>
      <w:r>
        <w:tab/>
      </w:r>
      <w:r w:rsidRPr="00394F90">
        <w:t>Kooskõlas komisjoni parema õigusloome suunistega (SWD(2015) 111).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852" w:rsidRDefault="006838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852" w:rsidRDefault="00683852">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852" w:rsidRDefault="00683852">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852" w:rsidRDefault="0068385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852" w:rsidRDefault="0068385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852" w:rsidRDefault="006838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2475249"/>
    <w:lvl w:ilvl="0" w:tplc="8FCAA1BE">
      <w:start w:val="1"/>
      <w:numFmt w:val="decimal"/>
      <w:lvlText w:val="%1."/>
      <w:lvlJc w:val="left"/>
      <w:pPr>
        <w:ind w:left="720" w:hanging="360"/>
      </w:pPr>
      <w:rPr>
        <w:rFonts w:ascii="Times New Roman" w:eastAsia="Times New Roman" w:hAnsi="Times New Roman" w:hint="default"/>
        <w:b w:val="0"/>
        <w:i/>
        <w:color w:val="000000"/>
        <w:sz w:val="24"/>
        <w:szCs w:val="24"/>
      </w:rPr>
    </w:lvl>
    <w:lvl w:ilvl="1" w:tplc="A63CC3EA">
      <w:start w:val="1"/>
      <w:numFmt w:val="lowerLetter"/>
      <w:lvlText w:val="%2."/>
      <w:lvlJc w:val="left"/>
      <w:pPr>
        <w:ind w:left="1440" w:hanging="360"/>
      </w:pPr>
      <w:rPr>
        <w:rFonts w:ascii="Times New Roman" w:eastAsia="Times New Roman" w:hAnsi="Times New Roman" w:hint="default"/>
        <w:b w:val="0"/>
        <w:color w:val="000000"/>
        <w:sz w:val="24"/>
        <w:szCs w:val="24"/>
      </w:rPr>
    </w:lvl>
    <w:lvl w:ilvl="2" w:tplc="A036BC66">
      <w:start w:val="1"/>
      <w:numFmt w:val="lowerRoman"/>
      <w:lvlText w:val="%3."/>
      <w:lvlJc w:val="left"/>
      <w:pPr>
        <w:ind w:left="2160" w:hanging="180"/>
      </w:pPr>
      <w:rPr>
        <w:rFonts w:ascii="Times New Roman" w:eastAsia="Times New Roman" w:hAnsi="Times New Roman" w:hint="default"/>
        <w:b w:val="0"/>
        <w:color w:val="000000"/>
        <w:sz w:val="24"/>
        <w:szCs w:val="24"/>
      </w:rPr>
    </w:lvl>
    <w:lvl w:ilvl="3" w:tplc="3BC41DAE">
      <w:start w:val="1"/>
      <w:numFmt w:val="decimal"/>
      <w:lvlText w:val="%4."/>
      <w:lvlJc w:val="left"/>
      <w:pPr>
        <w:ind w:left="2880" w:hanging="360"/>
      </w:pPr>
      <w:rPr>
        <w:rFonts w:ascii="Times New Roman" w:eastAsia="Times New Roman" w:hAnsi="Times New Roman" w:hint="default"/>
        <w:b w:val="0"/>
        <w:color w:val="000000"/>
        <w:sz w:val="24"/>
        <w:szCs w:val="24"/>
      </w:rPr>
    </w:lvl>
    <w:lvl w:ilvl="4" w:tplc="18EEBE42">
      <w:start w:val="1"/>
      <w:numFmt w:val="lowerLetter"/>
      <w:lvlText w:val="%5."/>
      <w:lvlJc w:val="left"/>
      <w:pPr>
        <w:ind w:left="3600" w:hanging="360"/>
      </w:pPr>
      <w:rPr>
        <w:rFonts w:ascii="Times New Roman" w:eastAsia="Times New Roman" w:hAnsi="Times New Roman" w:hint="default"/>
        <w:b w:val="0"/>
        <w:color w:val="000000"/>
        <w:sz w:val="24"/>
        <w:szCs w:val="24"/>
      </w:rPr>
    </w:lvl>
    <w:lvl w:ilvl="5" w:tplc="9C365166">
      <w:start w:val="1"/>
      <w:numFmt w:val="lowerRoman"/>
      <w:lvlText w:val="%6."/>
      <w:lvlJc w:val="left"/>
      <w:pPr>
        <w:ind w:left="4320" w:hanging="180"/>
      </w:pPr>
      <w:rPr>
        <w:rFonts w:ascii="Times New Roman" w:eastAsia="Times New Roman" w:hAnsi="Times New Roman" w:hint="default"/>
        <w:b w:val="0"/>
        <w:color w:val="000000"/>
        <w:sz w:val="24"/>
        <w:szCs w:val="24"/>
      </w:rPr>
    </w:lvl>
    <w:lvl w:ilvl="6" w:tplc="465CA626">
      <w:start w:val="1"/>
      <w:numFmt w:val="decimal"/>
      <w:lvlText w:val="%7."/>
      <w:lvlJc w:val="left"/>
      <w:pPr>
        <w:ind w:left="5040" w:hanging="360"/>
      </w:pPr>
      <w:rPr>
        <w:rFonts w:ascii="Times New Roman" w:eastAsia="Times New Roman" w:hAnsi="Times New Roman" w:hint="default"/>
        <w:b w:val="0"/>
        <w:color w:val="000000"/>
        <w:sz w:val="24"/>
        <w:szCs w:val="24"/>
      </w:rPr>
    </w:lvl>
    <w:lvl w:ilvl="7" w:tplc="B2563A3A">
      <w:start w:val="1"/>
      <w:numFmt w:val="lowerLetter"/>
      <w:lvlText w:val="%8."/>
      <w:lvlJc w:val="left"/>
      <w:pPr>
        <w:ind w:left="5760" w:hanging="360"/>
      </w:pPr>
      <w:rPr>
        <w:rFonts w:ascii="Times New Roman" w:eastAsia="Times New Roman" w:hAnsi="Times New Roman" w:hint="default"/>
        <w:b w:val="0"/>
        <w:color w:val="000000"/>
        <w:sz w:val="24"/>
        <w:szCs w:val="24"/>
      </w:rPr>
    </w:lvl>
    <w:lvl w:ilvl="8" w:tplc="16CAC458">
      <w:start w:val="1"/>
      <w:numFmt w:val="lowerRoman"/>
      <w:lvlText w:val="%9."/>
      <w:lvlJc w:val="left"/>
      <w:pPr>
        <w:ind w:left="6480" w:hanging="180"/>
      </w:pPr>
      <w:rPr>
        <w:rFonts w:ascii="Times New Roman" w:eastAsia="Times New Roman" w:hAnsi="Times New Roman" w:hint="default"/>
        <w:b w:val="0"/>
        <w:color w:val="000000"/>
        <w:sz w:val="24"/>
        <w:szCs w:val="24"/>
      </w:rPr>
    </w:lvl>
  </w:abstractNum>
  <w:abstractNum w:abstractNumId="1">
    <w:nsid w:val="00DE7D37"/>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0229B0"/>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292A1B"/>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7A34F7"/>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D5F1C6A"/>
    <w:multiLevelType w:val="hybridMultilevel"/>
    <w:tmpl w:val="11EE41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nsid w:val="0EB02C54"/>
    <w:multiLevelType w:val="hybridMultilevel"/>
    <w:tmpl w:val="9378C70C"/>
    <w:lvl w:ilvl="0" w:tplc="94E47F1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5D21A2"/>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0914C7"/>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A5E4FD3"/>
    <w:multiLevelType w:val="hybridMultilevel"/>
    <w:tmpl w:val="426481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B4C64D1"/>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F44362F"/>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16B35D9"/>
    <w:multiLevelType w:val="hybridMultilevel"/>
    <w:tmpl w:val="062E6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17C4853"/>
    <w:multiLevelType w:val="hybridMultilevel"/>
    <w:tmpl w:val="D158A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44777B6"/>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48E1B23"/>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94D36E0"/>
    <w:multiLevelType w:val="hybridMultilevel"/>
    <w:tmpl w:val="C29ED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9EF7B75"/>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DE73CD4"/>
    <w:multiLevelType w:val="hybridMultilevel"/>
    <w:tmpl w:val="A5482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DB75868"/>
    <w:multiLevelType w:val="hybridMultilevel"/>
    <w:tmpl w:val="36A49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DCA31BA"/>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E0D3DD7"/>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0B65225"/>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45006E5"/>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4BA49EA"/>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A9458A0"/>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DA21031"/>
    <w:multiLevelType w:val="hybridMultilevel"/>
    <w:tmpl w:val="CC7EA65A"/>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7">
    <w:nsid w:val="519053A7"/>
    <w:multiLevelType w:val="hybridMultilevel"/>
    <w:tmpl w:val="FED85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CB74B4"/>
    <w:multiLevelType w:val="multilevel"/>
    <w:tmpl w:val="EA264F84"/>
    <w:lvl w:ilvl="0">
      <w:start w:val="1"/>
      <w:numFmt w:val="decimal"/>
      <w:lvlRestart w:val="0"/>
      <w:pStyle w:val="Heading1"/>
      <w:lvlText w:val="%1."/>
      <w:lvlJc w:val="left"/>
      <w:pPr>
        <w:tabs>
          <w:tab w:val="num" w:pos="850"/>
        </w:tabs>
        <w:ind w:left="850" w:hanging="850"/>
      </w:pPr>
      <w:rPr>
        <w:rFonts w:cs="Times New Roman"/>
      </w:rPr>
    </w:lvl>
    <w:lvl w:ilvl="1">
      <w:start w:val="1"/>
      <w:numFmt w:val="decimal"/>
      <w:pStyle w:val="Heading2"/>
      <w:lvlText w:val="%1.%2."/>
      <w:lvlJc w:val="left"/>
      <w:pPr>
        <w:tabs>
          <w:tab w:val="num" w:pos="7655"/>
        </w:tabs>
        <w:ind w:left="7655" w:hanging="850"/>
      </w:pPr>
      <w:rPr>
        <w:rFonts w:cs="Times New Roman"/>
      </w:rPr>
    </w:lvl>
    <w:lvl w:ilvl="2">
      <w:start w:val="1"/>
      <w:numFmt w:val="decimal"/>
      <w:pStyle w:val="Heading3"/>
      <w:lvlText w:val="%1.%2.%3."/>
      <w:lvlJc w:val="left"/>
      <w:pPr>
        <w:tabs>
          <w:tab w:val="num" w:pos="850"/>
        </w:tabs>
        <w:ind w:left="850" w:hanging="850"/>
      </w:pPr>
      <w:rPr>
        <w:rFonts w:cs="Times New Roman"/>
      </w:rPr>
    </w:lvl>
    <w:lvl w:ilvl="3">
      <w:start w:val="1"/>
      <w:numFmt w:val="decimal"/>
      <w:pStyle w:val="Heading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nsid w:val="59097226"/>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D8C7B27"/>
    <w:multiLevelType w:val="hybridMultilevel"/>
    <w:tmpl w:val="9DBE1A8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5D926CB2"/>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58E4D2F"/>
    <w:multiLevelType w:val="hybridMultilevel"/>
    <w:tmpl w:val="BD0C10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67A2AF1"/>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C77700E"/>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F7C3223"/>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29C1051"/>
    <w:multiLevelType w:val="hybridMultilevel"/>
    <w:tmpl w:val="D91C8BFE"/>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47E4722"/>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9C427B0"/>
    <w:multiLevelType w:val="hybridMultilevel"/>
    <w:tmpl w:val="9D5445DA"/>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DE6356D"/>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EC34C81"/>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29"/>
  </w:num>
  <w:num w:numId="3">
    <w:abstractNumId w:val="25"/>
  </w:num>
  <w:num w:numId="4">
    <w:abstractNumId w:val="8"/>
  </w:num>
  <w:num w:numId="5">
    <w:abstractNumId w:val="35"/>
  </w:num>
  <w:num w:numId="6">
    <w:abstractNumId w:val="23"/>
  </w:num>
  <w:num w:numId="7">
    <w:abstractNumId w:val="9"/>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7"/>
  </w:num>
  <w:num w:numId="11">
    <w:abstractNumId w:val="18"/>
  </w:num>
  <w:num w:numId="12">
    <w:abstractNumId w:val="12"/>
  </w:num>
  <w:num w:numId="13">
    <w:abstractNumId w:val="5"/>
  </w:num>
  <w:num w:numId="14">
    <w:abstractNumId w:val="37"/>
  </w:num>
  <w:num w:numId="15">
    <w:abstractNumId w:val="20"/>
  </w:num>
  <w:num w:numId="16">
    <w:abstractNumId w:val="40"/>
  </w:num>
  <w:num w:numId="17">
    <w:abstractNumId w:val="22"/>
  </w:num>
  <w:num w:numId="18">
    <w:abstractNumId w:val="24"/>
  </w:num>
  <w:num w:numId="19">
    <w:abstractNumId w:val="3"/>
  </w:num>
  <w:num w:numId="20">
    <w:abstractNumId w:val="10"/>
  </w:num>
  <w:num w:numId="21">
    <w:abstractNumId w:val="33"/>
  </w:num>
  <w:num w:numId="22">
    <w:abstractNumId w:val="0"/>
  </w:num>
  <w:num w:numId="23">
    <w:abstractNumId w:val="30"/>
  </w:num>
  <w:num w:numId="24">
    <w:abstractNumId w:val="32"/>
  </w:num>
  <w:num w:numId="25">
    <w:abstractNumId w:val="36"/>
  </w:num>
  <w:num w:numId="26">
    <w:abstractNumId w:val="34"/>
  </w:num>
  <w:num w:numId="27">
    <w:abstractNumId w:val="4"/>
  </w:num>
  <w:num w:numId="28">
    <w:abstractNumId w:val="2"/>
  </w:num>
  <w:num w:numId="29">
    <w:abstractNumId w:val="21"/>
  </w:num>
  <w:num w:numId="30">
    <w:abstractNumId w:val="39"/>
  </w:num>
  <w:num w:numId="31">
    <w:abstractNumId w:val="17"/>
  </w:num>
  <w:num w:numId="32">
    <w:abstractNumId w:val="14"/>
  </w:num>
  <w:num w:numId="33">
    <w:abstractNumId w:val="6"/>
  </w:num>
  <w:num w:numId="34">
    <w:abstractNumId w:val="19"/>
  </w:num>
  <w:num w:numId="35">
    <w:abstractNumId w:val="16"/>
  </w:num>
  <w:num w:numId="36">
    <w:abstractNumId w:val="38"/>
  </w:num>
  <w:num w:numId="37">
    <w:abstractNumId w:val="11"/>
  </w:num>
  <w:num w:numId="38">
    <w:abstractNumId w:val="7"/>
  </w:num>
  <w:num w:numId="39">
    <w:abstractNumId w:val="1"/>
  </w:num>
  <w:num w:numId="40">
    <w:abstractNumId w:val="15"/>
  </w:num>
  <w:num w:numId="41">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lt;UNUSED&gt;"/>
    <w:docVar w:name="LW_CONFIDENCE" w:val=" "/>
    <w:docVar w:name="LW_CONST_RESTREINT_UE" w:val="RESTREINT UE"/>
    <w:docVar w:name="LW_CORRIGENDUM" w:val="&lt;UNUSED&gt;"/>
    <w:docVar w:name="LW_COVERPAGE_GUID" w:val="B51AD69BF29A4C7999CFC63D6245A976"/>
    <w:docVar w:name="LW_CROSSREFERENCE" w:val="{SWD(2016) 108 final}_x000b_{SWD(2016) 109 final}"/>
    <w:docVar w:name="LW_DATE.ADOPT.CP_ISODATE" w:val="&lt;EMPTY&gt;"/>
    <w:docVar w:name="LW_DocType" w:val="NORMAL"/>
    <w:docVar w:name="LW_EMISSION" w:val="19.4.2016"/>
    <w:docVar w:name="LW_EMISSION_ISODATE" w:val="2016-04-19"/>
    <w:docVar w:name="LW_EMISSION_LOCATION" w:val="BRX"/>
    <w:docVar w:name="LW_EMISSION_PREFIX" w:val="Brüssel,"/>
    <w:docVar w:name="LW_EMISSION_SUFFIX" w:val=" "/>
    <w:docVar w:name="LW_ID_DOCTYPE_NONLW" w:val="CP-014"/>
    <w:docVar w:name="LW_INTERETEEE.CP" w:val="&lt;UNUSED&gt;"/>
    <w:docVar w:name="LW_LANGUE" w:val="ET"/>
    <w:docVar w:name="LW_LANGUESFAISANTFOI.CP" w:val="&lt;UNUSED&gt;"/>
    <w:docVar w:name="LW_MARKING" w:val="&lt;UNUSED&gt;"/>
    <w:docVar w:name="LW_NOM.INST" w:val="EUROOPA KOMISJON"/>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16"/>
    <w:docVar w:name="LW_REF.INST.NEW" w:val="COM"/>
    <w:docVar w:name="LW_REF.INST.NEW_ADOPTED" w:val="final"/>
    <w:docVar w:name="LW_REF.INST.NEW_TEXT" w:val="(2016) 179"/>
    <w:docVar w:name="LW_REF.INTERNE" w:val="&lt;UNUSED&gt;"/>
    <w:docVar w:name="LW_SOUS.TITRE.OBJ" w:val="Valitsussektori digitaalse arengu kiirendamine_x000b__x000b__x000b__x000b_"/>
    <w:docVar w:name="LW_SOUS.TITRE.OBJ.CP" w:val="Valitsussektori digitaalse arengu kiirendamine_x000b__x000b__x000b__x000b_"/>
    <w:docVar w:name="LW_SUPERTITRE" w:val="&lt;UNUSED&gt;"/>
    <w:docVar w:name="LW_TITRE.OBJ.CP" w:val="ELi e-valitsuse tegevuskava 2016-2020"/>
    <w:docVar w:name="LW_TYPE.DOC.CP" w:val="KOMISJONI TEATIS EUROOPA PARLAMENDILE, NÕUKOGULE, EUROOPA MAJANDUS- JA SOTSIAALKOMITEELE NING REGIOONIDE KOMITEELE"/>
    <w:docVar w:name="LW_TYPE.DOC.CP.USERTEXT" w:val="&lt;EMPTY&gt;"/>
    <w:docVar w:name="LW_TYPEACTEPRINCIPAL.CP" w:val="&lt;UNUSED&gt;"/>
  </w:docVars>
  <w:rsids>
    <w:rsidRoot w:val="00683852"/>
    <w:rsid w:val="00394F90"/>
    <w:rsid w:val="00683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style>
  <w:style w:type="paragraph" w:styleId="Heading1">
    <w:name w:val="heading 1"/>
    <w:basedOn w:val="Normal"/>
    <w:next w:val="Normal"/>
    <w:link w:val="Heading1Char"/>
    <w:uiPriority w:val="9"/>
    <w:qFormat/>
    <w:pPr>
      <w:keepNext/>
      <w:numPr>
        <w:numId w:val="1"/>
      </w:numPr>
      <w:spacing w:before="360" w:after="120" w:line="240" w:lineRule="auto"/>
      <w:outlineLvl w:val="0"/>
    </w:pPr>
    <w:rPr>
      <w:rFonts w:ascii="Times New Roman" w:eastAsia="Times New Roman" w:hAnsi="Times New Roman" w:cs="Times New Roman"/>
      <w:b/>
      <w:bCs/>
      <w:smallCaps/>
      <w:sz w:val="24"/>
      <w:szCs w:val="32"/>
    </w:rPr>
  </w:style>
  <w:style w:type="paragraph" w:styleId="Heading2">
    <w:name w:val="heading 2"/>
    <w:basedOn w:val="Normal"/>
    <w:next w:val="Normal"/>
    <w:link w:val="Heading2Char"/>
    <w:uiPriority w:val="9"/>
    <w:qFormat/>
    <w:pPr>
      <w:keepNext/>
      <w:numPr>
        <w:ilvl w:val="1"/>
        <w:numId w:val="1"/>
      </w:numPr>
      <w:tabs>
        <w:tab w:val="clear" w:pos="7655"/>
        <w:tab w:val="num" w:pos="850"/>
      </w:tabs>
      <w:spacing w:before="120" w:after="120" w:line="240" w:lineRule="auto"/>
      <w:ind w:left="850"/>
      <w:outlineLvl w:val="1"/>
    </w:pPr>
    <w:rPr>
      <w:rFonts w:ascii="Times New Roman" w:eastAsia="Times New Roman" w:hAnsi="Times New Roman" w:cs="Times New Roman"/>
      <w:bCs/>
      <w:i/>
      <w:iCs/>
      <w:sz w:val="24"/>
      <w:szCs w:val="28"/>
    </w:rPr>
  </w:style>
  <w:style w:type="paragraph" w:styleId="Heading3">
    <w:name w:val="heading 3"/>
    <w:basedOn w:val="Normal"/>
    <w:next w:val="Normal"/>
    <w:link w:val="Heading3Char"/>
    <w:uiPriority w:val="9"/>
    <w:qFormat/>
    <w:pPr>
      <w:keepNext/>
      <w:numPr>
        <w:ilvl w:val="2"/>
        <w:numId w:val="1"/>
      </w:numPr>
      <w:spacing w:before="120" w:after="120" w:line="240" w:lineRule="auto"/>
      <w:outlineLvl w:val="2"/>
    </w:pPr>
    <w:rPr>
      <w:rFonts w:ascii="Times New Roman" w:eastAsia="Times New Roman" w:hAnsi="Times New Roman" w:cs="Times New Roman"/>
      <w:bCs/>
      <w:i/>
      <w:sz w:val="24"/>
      <w:szCs w:val="26"/>
    </w:rPr>
  </w:style>
  <w:style w:type="paragraph" w:styleId="Heading4">
    <w:name w:val="heading 4"/>
    <w:basedOn w:val="Normal"/>
    <w:next w:val="Normal"/>
    <w:link w:val="Heading4Char"/>
    <w:uiPriority w:val="9"/>
    <w:qFormat/>
    <w:pPr>
      <w:keepNext/>
      <w:numPr>
        <w:ilvl w:val="3"/>
        <w:numId w:val="1"/>
      </w:numPr>
      <w:spacing w:before="120" w:after="120" w:line="240" w:lineRule="auto"/>
      <w:outlineLvl w:val="3"/>
    </w:pPr>
    <w:rPr>
      <w:rFonts w:ascii="Times New Roman" w:eastAsia="Times New Roman" w:hAnsi="Times New Roman" w:cs="Times New Roman"/>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ootnote Text Char Char Cha,Plonk"/>
    <w:basedOn w:val="Normal"/>
    <w:link w:val="FootnoteTextChar"/>
    <w:uiPriority w:val="99"/>
    <w:qFormat/>
    <w:pPr>
      <w:spacing w:after="0" w:line="240" w:lineRule="auto"/>
      <w:ind w:left="357" w:hanging="357"/>
    </w:pPr>
    <w:rPr>
      <w:sz w:val="16"/>
      <w:szCs w:val="16"/>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Plonk Char"/>
    <w:basedOn w:val="DefaultParagraphFont"/>
    <w:link w:val="FootnoteText"/>
    <w:uiPriority w:val="99"/>
    <w:rPr>
      <w:sz w:val="16"/>
      <w:szCs w:val="16"/>
      <w:lang w:val="et-EE"/>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Footnote Reference_LVL61"/>
    <w:link w:val="FootnotesymbolCarZchn"/>
    <w:uiPriority w:val="99"/>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pPr>
    <w:rPr>
      <w:vertAlign w:val="superscript"/>
    </w:rPr>
  </w:style>
  <w:style w:type="paragraph" w:styleId="ListParagraph">
    <w:name w:val="List Paragraph"/>
    <w:aliases w:val="Fiche List Paragraph"/>
    <w:basedOn w:val="Normal"/>
    <w:link w:val="ListParagraphChar"/>
    <w:uiPriority w:val="34"/>
    <w:qFormat/>
    <w:pPr>
      <w:ind w:left="720"/>
      <w:contextualSpacing/>
    </w:pPr>
    <w:rPr>
      <w:rFonts w:ascii="Calibri" w:eastAsia="Calibri" w:hAnsi="Calibri" w:cs="Times New Roman"/>
    </w:rPr>
  </w:style>
  <w:style w:type="character" w:customStyle="1" w:styleId="ListParagraphChar">
    <w:name w:val="List Paragraph Char"/>
    <w:aliases w:val="Fiche List Paragraph Char"/>
    <w:basedOn w:val="DefaultParagraphFont"/>
    <w:link w:val="ListParagraph"/>
    <w:uiPriority w:val="34"/>
    <w:locked/>
    <w:rPr>
      <w:rFonts w:ascii="Calibri" w:eastAsia="Calibri" w:hAnsi="Calibri" w:cs="Times New Roman"/>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32"/>
      <w:lang w:eastAsia="et-EE"/>
    </w:rPr>
  </w:style>
  <w:style w:type="character" w:customStyle="1" w:styleId="Heading2Char">
    <w:name w:val="Heading 2 Char"/>
    <w:basedOn w:val="DefaultParagraphFont"/>
    <w:link w:val="Heading2"/>
    <w:uiPriority w:val="9"/>
    <w:rPr>
      <w:rFonts w:ascii="Times New Roman" w:eastAsia="Times New Roman" w:hAnsi="Times New Roman" w:cs="Times New Roman"/>
      <w:bCs/>
      <w:i/>
      <w:iCs/>
      <w:sz w:val="24"/>
      <w:szCs w:val="28"/>
      <w:lang w:eastAsia="et-EE"/>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6"/>
      <w:lang w:eastAsia="et-EE"/>
    </w:rPr>
  </w:style>
  <w:style w:type="character" w:customStyle="1" w:styleId="Heading4Char">
    <w:name w:val="Heading 4 Char"/>
    <w:basedOn w:val="DefaultParagraphFont"/>
    <w:link w:val="Heading4"/>
    <w:uiPriority w:val="9"/>
    <w:rPr>
      <w:rFonts w:ascii="Times New Roman" w:eastAsia="Times New Roman" w:hAnsi="Times New Roman" w:cs="Times New Roman"/>
      <w:bCs/>
      <w:sz w:val="24"/>
      <w:szCs w:val="28"/>
      <w:lang w:eastAsia="et-E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Sous-titreobjet">
    <w:name w:val="Sous-titre objet"/>
    <w:basedOn w:val="Normal"/>
    <w:pPr>
      <w:spacing w:after="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ListNumber">
    <w:name w:val="List Number"/>
    <w:basedOn w:val="Normal"/>
    <w:pPr>
      <w:spacing w:after="120" w:line="240" w:lineRule="auto"/>
    </w:pPr>
    <w:rPr>
      <w:rFonts w:ascii="Times New Roman" w:eastAsia="Times New Roman" w:hAnsi="Times New Roman" w:cs="Times New Roman"/>
      <w:szCs w:val="20"/>
    </w:rPr>
  </w:style>
  <w:style w:type="character" w:customStyle="1" w:styleId="CharAttribute3">
    <w:name w:val="CharAttribute3"/>
    <w:rPr>
      <w:rFonts w:ascii="Times New Roman" w:eastAsia="Times New Roman"/>
      <w:sz w:val="24"/>
    </w:rPr>
  </w:style>
  <w:style w:type="character" w:customStyle="1" w:styleId="CharAttribute58">
    <w:name w:val="CharAttribute58"/>
    <w:rPr>
      <w:rFonts w:ascii="Times New Roman" w:eastAsia="Times New Roman"/>
      <w:sz w:val="24"/>
    </w:rPr>
  </w:style>
  <w:style w:type="table" w:customStyle="1" w:styleId="DefaultTable">
    <w:name w:val="Default Table"/>
    <w:pPr>
      <w:spacing w:after="0" w:line="240" w:lineRule="auto"/>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pPr>
      <w:wordWrap w:val="0"/>
      <w:spacing w:after="0" w:line="240" w:lineRule="auto"/>
      <w:jc w:val="both"/>
    </w:pPr>
    <w:rPr>
      <w:rFonts w:ascii="Times New Roman" w:eastAsia="Batang" w:hAnsi="Times New Roman" w:cs="Times New Roman"/>
      <w:sz w:val="20"/>
      <w:szCs w:val="20"/>
    </w:rPr>
  </w:style>
  <w:style w:type="paragraph" w:customStyle="1" w:styleId="ParaAttribute20">
    <w:name w:val="ParaAttribute20"/>
    <w:pPr>
      <w:wordWrap w:val="0"/>
      <w:spacing w:after="0" w:line="240" w:lineRule="auto"/>
      <w:ind w:left="720"/>
      <w:jc w:val="both"/>
    </w:pPr>
    <w:rPr>
      <w:rFonts w:ascii="Times New Roman" w:eastAsia="Batang" w:hAnsi="Times New Roman" w:cs="Times New Roman"/>
      <w:sz w:val="20"/>
      <w:szCs w:val="20"/>
    </w:rPr>
  </w:style>
  <w:style w:type="paragraph" w:customStyle="1" w:styleId="ParaAttribute22">
    <w:name w:val="ParaAttribute22"/>
    <w:pPr>
      <w:wordWrap w:val="0"/>
      <w:spacing w:after="0" w:line="240" w:lineRule="auto"/>
      <w:ind w:left="360"/>
      <w:jc w:val="both"/>
    </w:pPr>
    <w:rPr>
      <w:rFonts w:ascii="Times New Roman" w:eastAsia="Batang" w:hAnsi="Times New Roman" w:cs="Times New Roman"/>
      <w:sz w:val="20"/>
      <w:szCs w:val="20"/>
    </w:rPr>
  </w:style>
  <w:style w:type="character" w:customStyle="1" w:styleId="CharAttribute36">
    <w:name w:val="CharAttribute36"/>
    <w:rPr>
      <w:rFonts w:ascii="Times New Roman" w:eastAsia="Times New Roman"/>
      <w:b/>
      <w:i/>
      <w:sz w:val="24"/>
    </w:rPr>
  </w:style>
  <w:style w:type="character" w:customStyle="1" w:styleId="CharAttribute37">
    <w:name w:val="CharAttribute37"/>
    <w:rPr>
      <w:rFonts w:ascii="Calibri" w:eastAsia="Calibri"/>
      <w:sz w:val="24"/>
    </w:rPr>
  </w:style>
  <w:style w:type="paragraph" w:customStyle="1" w:styleId="ParaAttribute6">
    <w:name w:val="ParaAttribute6"/>
    <w:pPr>
      <w:tabs>
        <w:tab w:val="center" w:pos="4513"/>
        <w:tab w:val="right" w:pos="9026"/>
      </w:tabs>
      <w:wordWrap w:val="0"/>
      <w:spacing w:after="0" w:line="240" w:lineRule="auto"/>
      <w:jc w:val="both"/>
    </w:pPr>
    <w:rPr>
      <w:rFonts w:ascii="Times New Roman" w:eastAsia="Batang" w:hAnsi="Times New Roman" w:cs="Times New Roman"/>
      <w:sz w:val="20"/>
      <w:szCs w:val="20"/>
    </w:rPr>
  </w:style>
  <w:style w:type="character" w:customStyle="1" w:styleId="CharAttribute34">
    <w:name w:val="CharAttribute34"/>
    <w:rPr>
      <w:rFonts w:ascii="Times New Roman" w:eastAsia="Times New Roman"/>
      <w:sz w:val="24"/>
      <w:shd w:val="clear" w:color="auto" w:fill="FFFF00"/>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style>
  <w:style w:type="paragraph" w:styleId="Heading1">
    <w:name w:val="heading 1"/>
    <w:basedOn w:val="Normal"/>
    <w:next w:val="Normal"/>
    <w:link w:val="Heading1Char"/>
    <w:uiPriority w:val="9"/>
    <w:qFormat/>
    <w:pPr>
      <w:keepNext/>
      <w:numPr>
        <w:numId w:val="1"/>
      </w:numPr>
      <w:spacing w:before="360" w:after="120" w:line="240" w:lineRule="auto"/>
      <w:outlineLvl w:val="0"/>
    </w:pPr>
    <w:rPr>
      <w:rFonts w:ascii="Times New Roman" w:eastAsia="Times New Roman" w:hAnsi="Times New Roman" w:cs="Times New Roman"/>
      <w:b/>
      <w:bCs/>
      <w:smallCaps/>
      <w:sz w:val="24"/>
      <w:szCs w:val="32"/>
    </w:rPr>
  </w:style>
  <w:style w:type="paragraph" w:styleId="Heading2">
    <w:name w:val="heading 2"/>
    <w:basedOn w:val="Normal"/>
    <w:next w:val="Normal"/>
    <w:link w:val="Heading2Char"/>
    <w:uiPriority w:val="9"/>
    <w:qFormat/>
    <w:pPr>
      <w:keepNext/>
      <w:numPr>
        <w:ilvl w:val="1"/>
        <w:numId w:val="1"/>
      </w:numPr>
      <w:tabs>
        <w:tab w:val="clear" w:pos="7655"/>
        <w:tab w:val="num" w:pos="850"/>
      </w:tabs>
      <w:spacing w:before="120" w:after="120" w:line="240" w:lineRule="auto"/>
      <w:ind w:left="850"/>
      <w:outlineLvl w:val="1"/>
    </w:pPr>
    <w:rPr>
      <w:rFonts w:ascii="Times New Roman" w:eastAsia="Times New Roman" w:hAnsi="Times New Roman" w:cs="Times New Roman"/>
      <w:bCs/>
      <w:i/>
      <w:iCs/>
      <w:sz w:val="24"/>
      <w:szCs w:val="28"/>
    </w:rPr>
  </w:style>
  <w:style w:type="paragraph" w:styleId="Heading3">
    <w:name w:val="heading 3"/>
    <w:basedOn w:val="Normal"/>
    <w:next w:val="Normal"/>
    <w:link w:val="Heading3Char"/>
    <w:uiPriority w:val="9"/>
    <w:qFormat/>
    <w:pPr>
      <w:keepNext/>
      <w:numPr>
        <w:ilvl w:val="2"/>
        <w:numId w:val="1"/>
      </w:numPr>
      <w:spacing w:before="120" w:after="120" w:line="240" w:lineRule="auto"/>
      <w:outlineLvl w:val="2"/>
    </w:pPr>
    <w:rPr>
      <w:rFonts w:ascii="Times New Roman" w:eastAsia="Times New Roman" w:hAnsi="Times New Roman" w:cs="Times New Roman"/>
      <w:bCs/>
      <w:i/>
      <w:sz w:val="24"/>
      <w:szCs w:val="26"/>
    </w:rPr>
  </w:style>
  <w:style w:type="paragraph" w:styleId="Heading4">
    <w:name w:val="heading 4"/>
    <w:basedOn w:val="Normal"/>
    <w:next w:val="Normal"/>
    <w:link w:val="Heading4Char"/>
    <w:uiPriority w:val="9"/>
    <w:qFormat/>
    <w:pPr>
      <w:keepNext/>
      <w:numPr>
        <w:ilvl w:val="3"/>
        <w:numId w:val="1"/>
      </w:numPr>
      <w:spacing w:before="120" w:after="120" w:line="240" w:lineRule="auto"/>
      <w:outlineLvl w:val="3"/>
    </w:pPr>
    <w:rPr>
      <w:rFonts w:ascii="Times New Roman" w:eastAsia="Times New Roman" w:hAnsi="Times New Roman" w:cs="Times New Roman"/>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ootnote Text Char Char Cha,Plonk"/>
    <w:basedOn w:val="Normal"/>
    <w:link w:val="FootnoteTextChar"/>
    <w:uiPriority w:val="99"/>
    <w:qFormat/>
    <w:pPr>
      <w:spacing w:after="0" w:line="240" w:lineRule="auto"/>
      <w:ind w:left="357" w:hanging="357"/>
    </w:pPr>
    <w:rPr>
      <w:sz w:val="16"/>
      <w:szCs w:val="16"/>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Plonk Char"/>
    <w:basedOn w:val="DefaultParagraphFont"/>
    <w:link w:val="FootnoteText"/>
    <w:uiPriority w:val="99"/>
    <w:rPr>
      <w:sz w:val="16"/>
      <w:szCs w:val="16"/>
      <w:lang w:val="et-EE"/>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Footnote Reference_LVL61"/>
    <w:link w:val="FootnotesymbolCarZchn"/>
    <w:uiPriority w:val="99"/>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pPr>
    <w:rPr>
      <w:vertAlign w:val="superscript"/>
    </w:rPr>
  </w:style>
  <w:style w:type="paragraph" w:styleId="ListParagraph">
    <w:name w:val="List Paragraph"/>
    <w:aliases w:val="Fiche List Paragraph"/>
    <w:basedOn w:val="Normal"/>
    <w:link w:val="ListParagraphChar"/>
    <w:uiPriority w:val="34"/>
    <w:qFormat/>
    <w:pPr>
      <w:ind w:left="720"/>
      <w:contextualSpacing/>
    </w:pPr>
    <w:rPr>
      <w:rFonts w:ascii="Calibri" w:eastAsia="Calibri" w:hAnsi="Calibri" w:cs="Times New Roman"/>
    </w:rPr>
  </w:style>
  <w:style w:type="character" w:customStyle="1" w:styleId="ListParagraphChar">
    <w:name w:val="List Paragraph Char"/>
    <w:aliases w:val="Fiche List Paragraph Char"/>
    <w:basedOn w:val="DefaultParagraphFont"/>
    <w:link w:val="ListParagraph"/>
    <w:uiPriority w:val="34"/>
    <w:locked/>
    <w:rPr>
      <w:rFonts w:ascii="Calibri" w:eastAsia="Calibri" w:hAnsi="Calibri" w:cs="Times New Roman"/>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32"/>
      <w:lang w:eastAsia="et-EE"/>
    </w:rPr>
  </w:style>
  <w:style w:type="character" w:customStyle="1" w:styleId="Heading2Char">
    <w:name w:val="Heading 2 Char"/>
    <w:basedOn w:val="DefaultParagraphFont"/>
    <w:link w:val="Heading2"/>
    <w:uiPriority w:val="9"/>
    <w:rPr>
      <w:rFonts w:ascii="Times New Roman" w:eastAsia="Times New Roman" w:hAnsi="Times New Roman" w:cs="Times New Roman"/>
      <w:bCs/>
      <w:i/>
      <w:iCs/>
      <w:sz w:val="24"/>
      <w:szCs w:val="28"/>
      <w:lang w:eastAsia="et-EE"/>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6"/>
      <w:lang w:eastAsia="et-EE"/>
    </w:rPr>
  </w:style>
  <w:style w:type="character" w:customStyle="1" w:styleId="Heading4Char">
    <w:name w:val="Heading 4 Char"/>
    <w:basedOn w:val="DefaultParagraphFont"/>
    <w:link w:val="Heading4"/>
    <w:uiPriority w:val="9"/>
    <w:rPr>
      <w:rFonts w:ascii="Times New Roman" w:eastAsia="Times New Roman" w:hAnsi="Times New Roman" w:cs="Times New Roman"/>
      <w:bCs/>
      <w:sz w:val="24"/>
      <w:szCs w:val="28"/>
      <w:lang w:eastAsia="et-E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Sous-titreobjet">
    <w:name w:val="Sous-titre objet"/>
    <w:basedOn w:val="Normal"/>
    <w:pPr>
      <w:spacing w:after="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ListNumber">
    <w:name w:val="List Number"/>
    <w:basedOn w:val="Normal"/>
    <w:pPr>
      <w:spacing w:after="120" w:line="240" w:lineRule="auto"/>
    </w:pPr>
    <w:rPr>
      <w:rFonts w:ascii="Times New Roman" w:eastAsia="Times New Roman" w:hAnsi="Times New Roman" w:cs="Times New Roman"/>
      <w:szCs w:val="20"/>
    </w:rPr>
  </w:style>
  <w:style w:type="character" w:customStyle="1" w:styleId="CharAttribute3">
    <w:name w:val="CharAttribute3"/>
    <w:rPr>
      <w:rFonts w:ascii="Times New Roman" w:eastAsia="Times New Roman"/>
      <w:sz w:val="24"/>
    </w:rPr>
  </w:style>
  <w:style w:type="character" w:customStyle="1" w:styleId="CharAttribute58">
    <w:name w:val="CharAttribute58"/>
    <w:rPr>
      <w:rFonts w:ascii="Times New Roman" w:eastAsia="Times New Roman"/>
      <w:sz w:val="24"/>
    </w:rPr>
  </w:style>
  <w:style w:type="table" w:customStyle="1" w:styleId="DefaultTable">
    <w:name w:val="Default Table"/>
    <w:pPr>
      <w:spacing w:after="0" w:line="240" w:lineRule="auto"/>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pPr>
      <w:wordWrap w:val="0"/>
      <w:spacing w:after="0" w:line="240" w:lineRule="auto"/>
      <w:jc w:val="both"/>
    </w:pPr>
    <w:rPr>
      <w:rFonts w:ascii="Times New Roman" w:eastAsia="Batang" w:hAnsi="Times New Roman" w:cs="Times New Roman"/>
      <w:sz w:val="20"/>
      <w:szCs w:val="20"/>
    </w:rPr>
  </w:style>
  <w:style w:type="paragraph" w:customStyle="1" w:styleId="ParaAttribute20">
    <w:name w:val="ParaAttribute20"/>
    <w:pPr>
      <w:wordWrap w:val="0"/>
      <w:spacing w:after="0" w:line="240" w:lineRule="auto"/>
      <w:ind w:left="720"/>
      <w:jc w:val="both"/>
    </w:pPr>
    <w:rPr>
      <w:rFonts w:ascii="Times New Roman" w:eastAsia="Batang" w:hAnsi="Times New Roman" w:cs="Times New Roman"/>
      <w:sz w:val="20"/>
      <w:szCs w:val="20"/>
    </w:rPr>
  </w:style>
  <w:style w:type="paragraph" w:customStyle="1" w:styleId="ParaAttribute22">
    <w:name w:val="ParaAttribute22"/>
    <w:pPr>
      <w:wordWrap w:val="0"/>
      <w:spacing w:after="0" w:line="240" w:lineRule="auto"/>
      <w:ind w:left="360"/>
      <w:jc w:val="both"/>
    </w:pPr>
    <w:rPr>
      <w:rFonts w:ascii="Times New Roman" w:eastAsia="Batang" w:hAnsi="Times New Roman" w:cs="Times New Roman"/>
      <w:sz w:val="20"/>
      <w:szCs w:val="20"/>
    </w:rPr>
  </w:style>
  <w:style w:type="character" w:customStyle="1" w:styleId="CharAttribute36">
    <w:name w:val="CharAttribute36"/>
    <w:rPr>
      <w:rFonts w:ascii="Times New Roman" w:eastAsia="Times New Roman"/>
      <w:b/>
      <w:i/>
      <w:sz w:val="24"/>
    </w:rPr>
  </w:style>
  <w:style w:type="character" w:customStyle="1" w:styleId="CharAttribute37">
    <w:name w:val="CharAttribute37"/>
    <w:rPr>
      <w:rFonts w:ascii="Calibri" w:eastAsia="Calibri"/>
      <w:sz w:val="24"/>
    </w:rPr>
  </w:style>
  <w:style w:type="paragraph" w:customStyle="1" w:styleId="ParaAttribute6">
    <w:name w:val="ParaAttribute6"/>
    <w:pPr>
      <w:tabs>
        <w:tab w:val="center" w:pos="4513"/>
        <w:tab w:val="right" w:pos="9026"/>
      </w:tabs>
      <w:wordWrap w:val="0"/>
      <w:spacing w:after="0" w:line="240" w:lineRule="auto"/>
      <w:jc w:val="both"/>
    </w:pPr>
    <w:rPr>
      <w:rFonts w:ascii="Times New Roman" w:eastAsia="Batang" w:hAnsi="Times New Roman" w:cs="Times New Roman"/>
      <w:sz w:val="20"/>
      <w:szCs w:val="20"/>
    </w:rPr>
  </w:style>
  <w:style w:type="character" w:customStyle="1" w:styleId="CharAttribute34">
    <w:name w:val="CharAttribute34"/>
    <w:rPr>
      <w:rFonts w:ascii="Times New Roman" w:eastAsia="Times New Roman"/>
      <w:sz w:val="24"/>
      <w:shd w:val="clear" w:color="auto" w:fill="FFFF00"/>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3569">
      <w:bodyDiv w:val="1"/>
      <w:marLeft w:val="0"/>
      <w:marRight w:val="0"/>
      <w:marTop w:val="0"/>
      <w:marBottom w:val="0"/>
      <w:divBdr>
        <w:top w:val="none" w:sz="0" w:space="0" w:color="auto"/>
        <w:left w:val="none" w:sz="0" w:space="0" w:color="auto"/>
        <w:bottom w:val="none" w:sz="0" w:space="0" w:color="auto"/>
        <w:right w:val="none" w:sz="0" w:space="0" w:color="auto"/>
      </w:divBdr>
    </w:div>
    <w:div w:id="110325114">
      <w:bodyDiv w:val="1"/>
      <w:marLeft w:val="0"/>
      <w:marRight w:val="0"/>
      <w:marTop w:val="0"/>
      <w:marBottom w:val="0"/>
      <w:divBdr>
        <w:top w:val="none" w:sz="0" w:space="0" w:color="auto"/>
        <w:left w:val="none" w:sz="0" w:space="0" w:color="auto"/>
        <w:bottom w:val="none" w:sz="0" w:space="0" w:color="auto"/>
        <w:right w:val="none" w:sz="0" w:space="0" w:color="auto"/>
      </w:divBdr>
    </w:div>
    <w:div w:id="390230370">
      <w:bodyDiv w:val="1"/>
      <w:marLeft w:val="0"/>
      <w:marRight w:val="0"/>
      <w:marTop w:val="0"/>
      <w:marBottom w:val="0"/>
      <w:divBdr>
        <w:top w:val="none" w:sz="0" w:space="0" w:color="auto"/>
        <w:left w:val="none" w:sz="0" w:space="0" w:color="auto"/>
        <w:bottom w:val="none" w:sz="0" w:space="0" w:color="auto"/>
        <w:right w:val="none" w:sz="0" w:space="0" w:color="auto"/>
      </w:divBdr>
    </w:div>
    <w:div w:id="407656186">
      <w:bodyDiv w:val="1"/>
      <w:marLeft w:val="0"/>
      <w:marRight w:val="0"/>
      <w:marTop w:val="0"/>
      <w:marBottom w:val="0"/>
      <w:divBdr>
        <w:top w:val="none" w:sz="0" w:space="0" w:color="auto"/>
        <w:left w:val="none" w:sz="0" w:space="0" w:color="auto"/>
        <w:bottom w:val="none" w:sz="0" w:space="0" w:color="auto"/>
        <w:right w:val="none" w:sz="0" w:space="0" w:color="auto"/>
      </w:divBdr>
    </w:div>
    <w:div w:id="491261271">
      <w:bodyDiv w:val="1"/>
      <w:marLeft w:val="0"/>
      <w:marRight w:val="0"/>
      <w:marTop w:val="0"/>
      <w:marBottom w:val="0"/>
      <w:divBdr>
        <w:top w:val="none" w:sz="0" w:space="0" w:color="auto"/>
        <w:left w:val="none" w:sz="0" w:space="0" w:color="auto"/>
        <w:bottom w:val="none" w:sz="0" w:space="0" w:color="auto"/>
        <w:right w:val="none" w:sz="0" w:space="0" w:color="auto"/>
      </w:divBdr>
    </w:div>
    <w:div w:id="494999252">
      <w:bodyDiv w:val="1"/>
      <w:marLeft w:val="0"/>
      <w:marRight w:val="0"/>
      <w:marTop w:val="0"/>
      <w:marBottom w:val="0"/>
      <w:divBdr>
        <w:top w:val="none" w:sz="0" w:space="0" w:color="auto"/>
        <w:left w:val="none" w:sz="0" w:space="0" w:color="auto"/>
        <w:bottom w:val="none" w:sz="0" w:space="0" w:color="auto"/>
        <w:right w:val="none" w:sz="0" w:space="0" w:color="auto"/>
      </w:divBdr>
    </w:div>
    <w:div w:id="668219950">
      <w:bodyDiv w:val="1"/>
      <w:marLeft w:val="0"/>
      <w:marRight w:val="0"/>
      <w:marTop w:val="0"/>
      <w:marBottom w:val="0"/>
      <w:divBdr>
        <w:top w:val="none" w:sz="0" w:space="0" w:color="auto"/>
        <w:left w:val="none" w:sz="0" w:space="0" w:color="auto"/>
        <w:bottom w:val="none" w:sz="0" w:space="0" w:color="auto"/>
        <w:right w:val="none" w:sz="0" w:space="0" w:color="auto"/>
      </w:divBdr>
    </w:div>
    <w:div w:id="790365795">
      <w:bodyDiv w:val="1"/>
      <w:marLeft w:val="0"/>
      <w:marRight w:val="0"/>
      <w:marTop w:val="0"/>
      <w:marBottom w:val="0"/>
      <w:divBdr>
        <w:top w:val="none" w:sz="0" w:space="0" w:color="auto"/>
        <w:left w:val="none" w:sz="0" w:space="0" w:color="auto"/>
        <w:bottom w:val="none" w:sz="0" w:space="0" w:color="auto"/>
        <w:right w:val="none" w:sz="0" w:space="0" w:color="auto"/>
      </w:divBdr>
    </w:div>
    <w:div w:id="849609354">
      <w:bodyDiv w:val="1"/>
      <w:marLeft w:val="0"/>
      <w:marRight w:val="0"/>
      <w:marTop w:val="0"/>
      <w:marBottom w:val="0"/>
      <w:divBdr>
        <w:top w:val="none" w:sz="0" w:space="0" w:color="auto"/>
        <w:left w:val="none" w:sz="0" w:space="0" w:color="auto"/>
        <w:bottom w:val="none" w:sz="0" w:space="0" w:color="auto"/>
        <w:right w:val="none" w:sz="0" w:space="0" w:color="auto"/>
      </w:divBdr>
    </w:div>
    <w:div w:id="1001547736">
      <w:bodyDiv w:val="1"/>
      <w:marLeft w:val="0"/>
      <w:marRight w:val="0"/>
      <w:marTop w:val="0"/>
      <w:marBottom w:val="0"/>
      <w:divBdr>
        <w:top w:val="none" w:sz="0" w:space="0" w:color="auto"/>
        <w:left w:val="none" w:sz="0" w:space="0" w:color="auto"/>
        <w:bottom w:val="none" w:sz="0" w:space="0" w:color="auto"/>
        <w:right w:val="none" w:sz="0" w:space="0" w:color="auto"/>
      </w:divBdr>
      <w:divsChild>
        <w:div w:id="168755885">
          <w:marLeft w:val="0"/>
          <w:marRight w:val="0"/>
          <w:marTop w:val="0"/>
          <w:marBottom w:val="0"/>
          <w:divBdr>
            <w:top w:val="none" w:sz="0" w:space="0" w:color="auto"/>
            <w:left w:val="none" w:sz="0" w:space="0" w:color="auto"/>
            <w:bottom w:val="none" w:sz="0" w:space="0" w:color="auto"/>
            <w:right w:val="none" w:sz="0" w:space="0" w:color="auto"/>
          </w:divBdr>
          <w:divsChild>
            <w:div w:id="5059450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67414687">
      <w:bodyDiv w:val="1"/>
      <w:marLeft w:val="0"/>
      <w:marRight w:val="0"/>
      <w:marTop w:val="0"/>
      <w:marBottom w:val="0"/>
      <w:divBdr>
        <w:top w:val="none" w:sz="0" w:space="0" w:color="auto"/>
        <w:left w:val="none" w:sz="0" w:space="0" w:color="auto"/>
        <w:bottom w:val="none" w:sz="0" w:space="0" w:color="auto"/>
        <w:right w:val="none" w:sz="0" w:space="0" w:color="auto"/>
      </w:divBdr>
    </w:div>
    <w:div w:id="1096443755">
      <w:bodyDiv w:val="1"/>
      <w:marLeft w:val="0"/>
      <w:marRight w:val="0"/>
      <w:marTop w:val="0"/>
      <w:marBottom w:val="0"/>
      <w:divBdr>
        <w:top w:val="none" w:sz="0" w:space="0" w:color="auto"/>
        <w:left w:val="none" w:sz="0" w:space="0" w:color="auto"/>
        <w:bottom w:val="none" w:sz="0" w:space="0" w:color="auto"/>
        <w:right w:val="none" w:sz="0" w:space="0" w:color="auto"/>
      </w:divBdr>
    </w:div>
    <w:div w:id="1107385033">
      <w:bodyDiv w:val="1"/>
      <w:marLeft w:val="0"/>
      <w:marRight w:val="0"/>
      <w:marTop w:val="0"/>
      <w:marBottom w:val="0"/>
      <w:divBdr>
        <w:top w:val="none" w:sz="0" w:space="0" w:color="auto"/>
        <w:left w:val="none" w:sz="0" w:space="0" w:color="auto"/>
        <w:bottom w:val="none" w:sz="0" w:space="0" w:color="auto"/>
        <w:right w:val="none" w:sz="0" w:space="0" w:color="auto"/>
      </w:divBdr>
    </w:div>
    <w:div w:id="1136292091">
      <w:bodyDiv w:val="1"/>
      <w:marLeft w:val="0"/>
      <w:marRight w:val="0"/>
      <w:marTop w:val="0"/>
      <w:marBottom w:val="0"/>
      <w:divBdr>
        <w:top w:val="none" w:sz="0" w:space="0" w:color="auto"/>
        <w:left w:val="none" w:sz="0" w:space="0" w:color="auto"/>
        <w:bottom w:val="none" w:sz="0" w:space="0" w:color="auto"/>
        <w:right w:val="none" w:sz="0" w:space="0" w:color="auto"/>
      </w:divBdr>
    </w:div>
    <w:div w:id="1259212823">
      <w:bodyDiv w:val="1"/>
      <w:marLeft w:val="0"/>
      <w:marRight w:val="0"/>
      <w:marTop w:val="0"/>
      <w:marBottom w:val="0"/>
      <w:divBdr>
        <w:top w:val="none" w:sz="0" w:space="0" w:color="auto"/>
        <w:left w:val="none" w:sz="0" w:space="0" w:color="auto"/>
        <w:bottom w:val="none" w:sz="0" w:space="0" w:color="auto"/>
        <w:right w:val="none" w:sz="0" w:space="0" w:color="auto"/>
      </w:divBdr>
    </w:div>
    <w:div w:id="1519274079">
      <w:bodyDiv w:val="1"/>
      <w:marLeft w:val="0"/>
      <w:marRight w:val="0"/>
      <w:marTop w:val="0"/>
      <w:marBottom w:val="0"/>
      <w:divBdr>
        <w:top w:val="none" w:sz="0" w:space="0" w:color="auto"/>
        <w:left w:val="none" w:sz="0" w:space="0" w:color="auto"/>
        <w:bottom w:val="none" w:sz="0" w:space="0" w:color="auto"/>
        <w:right w:val="none" w:sz="0" w:space="0" w:color="auto"/>
      </w:divBdr>
    </w:div>
    <w:div w:id="1651514739">
      <w:bodyDiv w:val="1"/>
      <w:marLeft w:val="0"/>
      <w:marRight w:val="0"/>
      <w:marTop w:val="0"/>
      <w:marBottom w:val="0"/>
      <w:divBdr>
        <w:top w:val="none" w:sz="0" w:space="0" w:color="auto"/>
        <w:left w:val="none" w:sz="0" w:space="0" w:color="auto"/>
        <w:bottom w:val="none" w:sz="0" w:space="0" w:color="auto"/>
        <w:right w:val="none" w:sz="0" w:space="0" w:color="auto"/>
      </w:divBdr>
    </w:div>
    <w:div w:id="1706296435">
      <w:bodyDiv w:val="1"/>
      <w:marLeft w:val="0"/>
      <w:marRight w:val="0"/>
      <w:marTop w:val="0"/>
      <w:marBottom w:val="0"/>
      <w:divBdr>
        <w:top w:val="none" w:sz="0" w:space="0" w:color="auto"/>
        <w:left w:val="none" w:sz="0" w:space="0" w:color="auto"/>
        <w:bottom w:val="none" w:sz="0" w:space="0" w:color="auto"/>
        <w:right w:val="none" w:sz="0" w:space="0" w:color="auto"/>
      </w:divBdr>
    </w:div>
    <w:div w:id="1725325090">
      <w:bodyDiv w:val="1"/>
      <w:marLeft w:val="0"/>
      <w:marRight w:val="0"/>
      <w:marTop w:val="0"/>
      <w:marBottom w:val="0"/>
      <w:divBdr>
        <w:top w:val="none" w:sz="0" w:space="0" w:color="auto"/>
        <w:left w:val="none" w:sz="0" w:space="0" w:color="auto"/>
        <w:bottom w:val="none" w:sz="0" w:space="0" w:color="auto"/>
        <w:right w:val="none" w:sz="0" w:space="0" w:color="auto"/>
      </w:divBdr>
    </w:div>
    <w:div w:id="1822387644">
      <w:bodyDiv w:val="1"/>
      <w:marLeft w:val="0"/>
      <w:marRight w:val="0"/>
      <w:marTop w:val="0"/>
      <w:marBottom w:val="0"/>
      <w:divBdr>
        <w:top w:val="none" w:sz="0" w:space="0" w:color="auto"/>
        <w:left w:val="none" w:sz="0" w:space="0" w:color="auto"/>
        <w:bottom w:val="none" w:sz="0" w:space="0" w:color="auto"/>
        <w:right w:val="none" w:sz="0" w:space="0" w:color="auto"/>
      </w:divBdr>
    </w:div>
    <w:div w:id="1905066684">
      <w:bodyDiv w:val="1"/>
      <w:marLeft w:val="0"/>
      <w:marRight w:val="0"/>
      <w:marTop w:val="0"/>
      <w:marBottom w:val="0"/>
      <w:divBdr>
        <w:top w:val="none" w:sz="0" w:space="0" w:color="auto"/>
        <w:left w:val="none" w:sz="0" w:space="0" w:color="auto"/>
        <w:bottom w:val="none" w:sz="0" w:space="0" w:color="auto"/>
        <w:right w:val="none" w:sz="0" w:space="0" w:color="auto"/>
      </w:divBdr>
    </w:div>
    <w:div w:id="2055346031">
      <w:bodyDiv w:val="1"/>
      <w:marLeft w:val="0"/>
      <w:marRight w:val="0"/>
      <w:marTop w:val="0"/>
      <w:marBottom w:val="0"/>
      <w:divBdr>
        <w:top w:val="none" w:sz="0" w:space="0" w:color="auto"/>
        <w:left w:val="none" w:sz="0" w:space="0" w:color="auto"/>
        <w:bottom w:val="none" w:sz="0" w:space="0" w:color="auto"/>
        <w:right w:val="none" w:sz="0" w:space="0" w:color="auto"/>
      </w:divBdr>
    </w:div>
    <w:div w:id="208910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digital-agenda/en/news/contributions-and-preliminary-trends-public-consultation-egovernment-action-plan-2016-2020" TargetMode="External"/><Relationship Id="rId2" Type="http://schemas.openxmlformats.org/officeDocument/2006/relationships/hyperlink" Target="https://ec.europa.eu/digital-agenda/en/news/mid-term-evaluation-e-government-action-plan-2011-2015-implementation-smart-2012-006020" TargetMode="External"/><Relationship Id="rId1" Type="http://schemas.openxmlformats.org/officeDocument/2006/relationships/hyperlink" Target="https://ec.europa.eu/digital-agenda/en/news/mid-term-evaluation-e-government-action-plan-2011-2015-implementation-smart-2012-006020" TargetMode="External"/><Relationship Id="rId6" Type="http://schemas.openxmlformats.org/officeDocument/2006/relationships/hyperlink" Target="http://eur-lex.europa.eu/LexUriServ/LexUriServ.do?uri=OJ:L:2007:108:0001:0014:et:PDF" TargetMode="External"/><Relationship Id="rId5" Type="http://schemas.openxmlformats.org/officeDocument/2006/relationships/hyperlink" Target="http://data.europa.e/europeandataportal" TargetMode="External"/><Relationship Id="rId4" Type="http://schemas.openxmlformats.org/officeDocument/2006/relationships/hyperlink" Target="http://open-dat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213AE-53CE-441E-A9D1-7C2C39A0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3150</Words>
  <Characters>24961</Characters>
  <Application>Microsoft Office Word</Application>
  <DocSecurity>0</DocSecurity>
  <Lines>208</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21</cp:revision>
  <cp:lastPrinted>2016-04-01T13:54:00Z</cp:lastPrinted>
  <dcterms:created xsi:type="dcterms:W3CDTF">2016-04-06T13:08:00Z</dcterms:created>
  <dcterms:modified xsi:type="dcterms:W3CDTF">2016-04-15T09:37:00Z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Offisync_ServerID">
    <vt:lpwstr>0d3b22a6-6203-4efc-8e8e-b5279256493b</vt:lpwstr>
  </property>
  <property fmtid="{D5CDD505-2E9C-101B-9397-08002B2CF9AE}" pid="6" name="Offisync_ProviderInitializationData">
    <vt:lpwstr>https://connected.cnect.cec.eu.int/</vt:lpwstr>
  </property>
  <property fmtid="{D5CDD505-2E9C-101B-9397-08002B2CF9AE}" pid="7" name="Offisync_UpdateToken">
    <vt:lpwstr>1</vt:lpwstr>
  </property>
  <property fmtid="{D5CDD505-2E9C-101B-9397-08002B2CF9AE}" pid="8" name="Jive_PrevVersionNumber">
    <vt:lpwstr>-1</vt:lpwstr>
  </property>
  <property fmtid="{D5CDD505-2E9C-101B-9397-08002B2CF9AE}" pid="9" name="Jive_LatestUserAccountName">
    <vt:lpwstr>jungeje</vt:lpwstr>
  </property>
  <property fmtid="{D5CDD505-2E9C-101B-9397-08002B2CF9AE}" pid="10" name="Jive_LatestFileFullName">
    <vt:lpwstr>716c2c9198d57e7c467570f733f51549</vt:lpwstr>
  </property>
  <property fmtid="{D5CDD505-2E9C-101B-9397-08002B2CF9AE}" pid="11" name="Jive_ModifiedButNotPublished">
    <vt:lpwstr>True</vt:lpwstr>
  </property>
  <property fmtid="{D5CDD505-2E9C-101B-9397-08002B2CF9AE}" pid="12" name="Offisync_UniqueId">
    <vt:lpwstr>78991</vt:lpwstr>
  </property>
  <property fmtid="{D5CDD505-2E9C-101B-9397-08002B2CF9AE}" pid="13" name="DocStatus">
    <vt:lpwstr>Green</vt:lpwstr>
  </property>
  <property name="OP_sanitized" fmtid="{D5CDD505-2E9C-101B-9397-08002B2CF9AE}" pid="14">
    <vt:lpwstr>True</vt:lpwstr>
  </property>
</Properties>
</file>