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18072B" w14:paraId="1304FD4B" w14:textId="77777777">
        <w:trPr>
          <w:jc w:val="center"/>
        </w:trPr>
        <w:tc>
          <w:tcPr>
            <w:tcW w:w="5000" w:type="pct"/>
            <w:vAlign w:val="center"/>
          </w:tcPr>
          <w:p w:rsidRPr="00331C3E" w:rsidR="00574C9B" w:rsidP="006125A1" w:rsidRDefault="00574C9B" w14:paraId="24CE2242" w14:textId="77777777">
            <w:pPr>
              <w:jc w:val="center"/>
              <w:rPr>
                <w:b/>
                <w:sz w:val="72"/>
                <w:szCs w:val="72"/>
              </w:rPr>
            </w:pPr>
            <w:r>
              <w:rPr>
                <w:b/>
                <w:sz w:val="72"/>
              </w:rPr>
              <w:t>DICTAMEN</w:t>
            </w:r>
          </w:p>
        </w:tc>
      </w:tr>
      <w:tr w:rsidR="0018072B" w14:paraId="63FA1FAD" w14:textId="77777777">
        <w:trPr>
          <w:trHeight w:val="567"/>
          <w:jc w:val="center"/>
        </w:trPr>
        <w:tc>
          <w:tcPr>
            <w:tcW w:w="5000" w:type="pct"/>
            <w:vAlign w:val="center"/>
          </w:tcPr>
          <w:p w:rsidRPr="00331C3E" w:rsidR="00574C9B" w:rsidP="006125A1" w:rsidRDefault="00574C9B" w14:paraId="4175EC61" w14:textId="77777777">
            <w:pPr>
              <w:jc w:val="center"/>
              <w:rPr>
                <w:sz w:val="24"/>
                <w:szCs w:val="24"/>
              </w:rPr>
            </w:pPr>
            <w:r>
              <w:rPr>
                <w:sz w:val="24"/>
              </w:rPr>
              <w:t>Comité Económico y Social Europeo</w:t>
            </w:r>
          </w:p>
        </w:tc>
      </w:tr>
      <w:tr w:rsidR="0018072B" w14:paraId="044806B5" w14:textId="77777777">
        <w:trPr>
          <w:jc w:val="center"/>
        </w:trPr>
        <w:tc>
          <w:tcPr>
            <w:tcW w:w="5000" w:type="pct"/>
            <w:vAlign w:val="center"/>
          </w:tcPr>
          <w:p w:rsidRPr="00331C3E" w:rsidR="00574C9B" w:rsidP="006125A1" w:rsidRDefault="008B3360" w14:paraId="0D9E12E8" w14:textId="1F8FF75E">
            <w:pPr>
              <w:jc w:val="center"/>
              <w:rPr>
                <w:b/>
                <w:sz w:val="44"/>
                <w:szCs w:val="44"/>
              </w:rPr>
            </w:pPr>
            <w:bookmarkStart w:name="_GoBack" w:id="0"/>
            <w:r>
              <w:rPr>
                <w:b/>
                <w:sz w:val="44"/>
              </w:rPr>
              <w:t xml:space="preserve">La transición energética y digital </w:t>
            </w:r>
            <w:r w:rsidR="00247E2E">
              <w:rPr>
                <w:b/>
                <w:sz w:val="44"/>
              </w:rPr>
              <w:br/>
            </w:r>
            <w:r>
              <w:rPr>
                <w:b/>
                <w:sz w:val="44"/>
              </w:rPr>
              <w:t>en las zonas rurales</w:t>
            </w:r>
            <w:bookmarkEnd w:id="0"/>
          </w:p>
        </w:tc>
      </w:tr>
      <w:tr w:rsidR="0018072B" w14:paraId="638F74FA" w14:textId="77777777">
        <w:trPr>
          <w:jc w:val="center"/>
        </w:trPr>
        <w:tc>
          <w:tcPr>
            <w:tcW w:w="5000" w:type="pct"/>
            <w:vAlign w:val="center"/>
          </w:tcPr>
          <w:p w:rsidRPr="00331C3E" w:rsidR="00574C9B" w:rsidP="006125A1" w:rsidRDefault="00574C9B" w14:paraId="5A35F89D" w14:textId="77777777">
            <w:pPr>
              <w:overflowPunct w:val="0"/>
              <w:autoSpaceDE w:val="0"/>
              <w:autoSpaceDN w:val="0"/>
              <w:adjustRightInd w:val="0"/>
              <w:jc w:val="center"/>
              <w:textAlignment w:val="baseline"/>
              <w:rPr>
                <w:b/>
                <w:position w:val="24"/>
                <w:sz w:val="24"/>
                <w:szCs w:val="24"/>
              </w:rPr>
            </w:pPr>
            <w:r>
              <w:rPr>
                <w:sz w:val="24"/>
              </w:rPr>
              <w:t>_____________</w:t>
            </w:r>
          </w:p>
        </w:tc>
      </w:tr>
      <w:tr w:rsidR="0018072B" w14:paraId="168A5270" w14:textId="77777777">
        <w:trPr>
          <w:jc w:val="center"/>
        </w:trPr>
        <w:tc>
          <w:tcPr>
            <w:tcW w:w="5000" w:type="pct"/>
            <w:vAlign w:val="center"/>
          </w:tcPr>
          <w:p w:rsidRPr="00331C3E" w:rsidR="00574C9B" w:rsidP="006125A1" w:rsidRDefault="008B3360" w14:paraId="118781C6" w14:textId="77777777">
            <w:pPr>
              <w:jc w:val="center"/>
              <w:rPr>
                <w:sz w:val="24"/>
                <w:szCs w:val="24"/>
              </w:rPr>
            </w:pPr>
            <w:r>
              <w:rPr>
                <w:sz w:val="24"/>
              </w:rPr>
              <w:t>La transición energética y digital en las zonas rurales</w:t>
            </w:r>
            <w:r>
              <w:rPr>
                <w:sz w:val="24"/>
              </w:rPr>
              <w:br/>
              <w:t>(Dictamen de iniciativa)</w:t>
            </w:r>
          </w:p>
        </w:tc>
      </w:tr>
      <w:tr w:rsidR="0018072B" w14:paraId="556C5E62" w14:textId="77777777">
        <w:trPr>
          <w:jc w:val="center"/>
        </w:trPr>
        <w:tc>
          <w:tcPr>
            <w:tcW w:w="5000" w:type="pct"/>
            <w:vAlign w:val="center"/>
          </w:tcPr>
          <w:p w:rsidRPr="00331C3E" w:rsidR="00574C9B" w:rsidP="006125A1" w:rsidRDefault="00574C9B" w14:paraId="53894D6E" w14:textId="77777777">
            <w:pPr>
              <w:jc w:val="center"/>
              <w:rPr>
                <w:sz w:val="24"/>
                <w:szCs w:val="24"/>
                <w:lang w:val="en-GB"/>
              </w:rPr>
            </w:pPr>
          </w:p>
        </w:tc>
      </w:tr>
      <w:tr w:rsidR="0018072B" w14:paraId="4334CE17" w14:textId="77777777">
        <w:trPr>
          <w:jc w:val="center"/>
        </w:trPr>
        <w:tc>
          <w:tcPr>
            <w:tcW w:w="5000" w:type="pct"/>
            <w:vAlign w:val="center"/>
          </w:tcPr>
          <w:p w:rsidRPr="00331C3E" w:rsidR="00574C9B" w:rsidP="006125A1" w:rsidRDefault="008B3360" w14:paraId="396DC53F" w14:textId="77777777">
            <w:pPr>
              <w:jc w:val="center"/>
              <w:rPr>
                <w:b/>
                <w:sz w:val="24"/>
                <w:szCs w:val="24"/>
              </w:rPr>
            </w:pPr>
            <w:r>
              <w:rPr>
                <w:b/>
                <w:sz w:val="24"/>
              </w:rPr>
              <w:t>NAT/859</w:t>
            </w:r>
          </w:p>
        </w:tc>
      </w:tr>
      <w:tr w:rsidR="0018072B" w14:paraId="4C441BD0" w14:textId="77777777">
        <w:trPr>
          <w:jc w:val="center"/>
        </w:trPr>
        <w:tc>
          <w:tcPr>
            <w:tcW w:w="5000" w:type="pct"/>
            <w:vAlign w:val="center"/>
          </w:tcPr>
          <w:p w:rsidRPr="00331C3E" w:rsidR="00574C9B" w:rsidP="006125A1" w:rsidRDefault="00574C9B" w14:paraId="5BD317C7" w14:textId="77777777">
            <w:pPr>
              <w:jc w:val="center"/>
              <w:rPr>
                <w:sz w:val="24"/>
                <w:szCs w:val="24"/>
                <w:lang w:val="en-GB"/>
              </w:rPr>
            </w:pPr>
          </w:p>
        </w:tc>
      </w:tr>
      <w:tr w:rsidR="0018072B" w14:paraId="50CA6A64" w14:textId="77777777">
        <w:trPr>
          <w:jc w:val="center"/>
        </w:trPr>
        <w:tc>
          <w:tcPr>
            <w:tcW w:w="5000" w:type="pct"/>
            <w:vAlign w:val="center"/>
          </w:tcPr>
          <w:p w:rsidRPr="00331C3E" w:rsidR="00574C9B" w:rsidP="006125A1" w:rsidRDefault="00574C9B" w14:paraId="6BEBD154" w14:textId="77777777">
            <w:pPr>
              <w:jc w:val="center"/>
              <w:rPr>
                <w:sz w:val="24"/>
                <w:szCs w:val="24"/>
              </w:rPr>
            </w:pPr>
            <w:r>
              <w:rPr>
                <w:sz w:val="24"/>
              </w:rPr>
              <w:t>Ponente: John COMER</w:t>
            </w:r>
          </w:p>
        </w:tc>
      </w:tr>
      <w:tr w:rsidR="0018072B" w14:paraId="0D67E12C" w14:textId="77777777">
        <w:trPr>
          <w:jc w:val="center"/>
        </w:trPr>
        <w:tc>
          <w:tcPr>
            <w:tcW w:w="5000" w:type="pct"/>
            <w:vAlign w:val="center"/>
          </w:tcPr>
          <w:p w:rsidRPr="00331C3E" w:rsidR="00CB7CD0" w:rsidP="006125A1" w:rsidRDefault="00CB7CD0" w14:paraId="0060674F" w14:textId="77777777">
            <w:pPr>
              <w:jc w:val="center"/>
              <w:rPr>
                <w:sz w:val="24"/>
                <w:szCs w:val="24"/>
              </w:rPr>
            </w:pPr>
            <w:r>
              <w:rPr>
                <w:sz w:val="24"/>
              </w:rPr>
              <w:t>Coponente: Luís MIRA</w:t>
            </w:r>
          </w:p>
        </w:tc>
      </w:tr>
    </w:tbl>
    <w:p w:rsidRPr="00331C3E" w:rsidR="00574C9B" w:rsidP="00574C9B" w:rsidRDefault="00574C9B" w14:paraId="6536138D" w14:textId="77777777">
      <w:r>
        <w:rPr>
          <w:noProof/>
          <w:sz w:val="20"/>
          <w:lang w:val="en-US"/>
        </w:rPr>
        <mc:AlternateContent>
          <mc:Choice Requires="wps">
            <w:drawing>
              <wp:anchor distT="0" distB="0" distL="114300" distR="114300" simplePos="0" relativeHeight="251659264" behindDoc="1" locked="0" layoutInCell="0" allowOverlap="1" wp14:editId="400A3657" wp14:anchorId="0C01E711">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20FE14A6" w14:textId="77777777">
                            <w:pPr>
                              <w:jc w:val="cente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01E711">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20FE14A6" w14:textId="77777777">
                      <w:pPr>
                        <w:jc w:val="center"/>
                      </w:pPr>
                      <w:r>
                        <w:rPr>
                          <w:rFonts w:ascii="Arial" w:hAnsi="Arial"/>
                          <w:b/>
                          <w:sz w:val="48"/>
                        </w:rPr>
                        <w:t>ES</w:t>
                      </w:r>
                    </w:p>
                  </w:txbxContent>
                </v:textbox>
                <w10:wrap anchorx="margin" anchory="page"/>
              </v:shape>
            </w:pict>
          </mc:Fallback>
        </mc:AlternateContent>
      </w:r>
    </w:p>
    <w:p w:rsidRPr="00331C3E" w:rsidR="00574C9B" w:rsidP="00574C9B" w:rsidRDefault="00574C9B" w14:paraId="6698E3C4" w14:textId="77777777">
      <w:pPr>
        <w:rPr>
          <w:lang w:val="en-GB"/>
        </w:rPr>
      </w:pPr>
    </w:p>
    <w:p w:rsidRPr="00331C3E" w:rsidR="00574C9B" w:rsidP="00574C9B" w:rsidRDefault="00574C9B" w14:paraId="1266B690" w14:textId="77777777">
      <w:pPr>
        <w:rPr>
          <w:lang w:val="en-GB"/>
        </w:rPr>
        <w:sectPr w:rsidRPr="00331C3E" w:rsidR="00574C9B" w:rsidSect="00D9641A">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8072B" w14:paraId="27B78575" w14:textId="77777777">
        <w:tc>
          <w:tcPr>
            <w:tcW w:w="3085" w:type="dxa"/>
          </w:tcPr>
          <w:p w:rsidRPr="00331C3E" w:rsidR="00AC5114" w:rsidP="0058411F" w:rsidRDefault="00AC5114" w14:paraId="09767C6C" w14:textId="77777777">
            <w:pPr>
              <w:autoSpaceDE w:val="0"/>
              <w:autoSpaceDN w:val="0"/>
              <w:jc w:val="left"/>
              <w:rPr>
                <w:szCs w:val="20"/>
              </w:rPr>
            </w:pPr>
            <w:r>
              <w:lastRenderedPageBreak/>
              <w:t>Decisión del Pleno</w:t>
            </w:r>
          </w:p>
        </w:tc>
        <w:tc>
          <w:tcPr>
            <w:tcW w:w="6204" w:type="dxa"/>
            <w:vAlign w:val="bottom"/>
          </w:tcPr>
          <w:p w:rsidRPr="00331C3E" w:rsidR="00AC5114" w:rsidP="0058411F" w:rsidRDefault="008B3360" w14:paraId="218FE100" w14:textId="77777777">
            <w:pPr>
              <w:autoSpaceDE w:val="0"/>
              <w:autoSpaceDN w:val="0"/>
              <w:jc w:val="left"/>
              <w:rPr>
                <w:szCs w:val="20"/>
              </w:rPr>
            </w:pPr>
            <w:r>
              <w:t>20/01/2022</w:t>
            </w:r>
          </w:p>
        </w:tc>
      </w:tr>
      <w:tr w:rsidR="0018072B" w14:paraId="74A776C1" w14:textId="77777777">
        <w:tc>
          <w:tcPr>
            <w:tcW w:w="3085" w:type="dxa"/>
          </w:tcPr>
          <w:p w:rsidRPr="00331C3E" w:rsidR="00AC5114" w:rsidP="0058411F" w:rsidRDefault="00AC5114" w14:paraId="4687A5C8" w14:textId="77777777">
            <w:pPr>
              <w:autoSpaceDE w:val="0"/>
              <w:autoSpaceDN w:val="0"/>
              <w:jc w:val="left"/>
              <w:rPr>
                <w:szCs w:val="20"/>
              </w:rPr>
            </w:pPr>
            <w:r>
              <w:t>Base jurídica</w:t>
            </w:r>
          </w:p>
        </w:tc>
        <w:tc>
          <w:tcPr>
            <w:tcW w:w="6204" w:type="dxa"/>
            <w:vAlign w:val="bottom"/>
          </w:tcPr>
          <w:p w:rsidRPr="00331C3E" w:rsidR="00AC5114" w:rsidP="0058411F" w:rsidRDefault="00AC5114" w14:paraId="5CEFC00C" w14:textId="77777777">
            <w:pPr>
              <w:autoSpaceDE w:val="0"/>
              <w:autoSpaceDN w:val="0"/>
              <w:jc w:val="left"/>
              <w:rPr>
                <w:szCs w:val="20"/>
              </w:rPr>
            </w:pPr>
            <w:r>
              <w:t>Artículo 52, apartado 2, del Reglamento interno</w:t>
            </w:r>
          </w:p>
        </w:tc>
      </w:tr>
      <w:tr w:rsidR="0018072B" w14:paraId="5E372F47" w14:textId="77777777">
        <w:tc>
          <w:tcPr>
            <w:tcW w:w="3085" w:type="dxa"/>
          </w:tcPr>
          <w:p w:rsidRPr="00331C3E" w:rsidR="00AC5114" w:rsidP="0058411F" w:rsidRDefault="00AC5114" w14:paraId="5783C79E" w14:textId="77777777">
            <w:pPr>
              <w:autoSpaceDE w:val="0"/>
              <w:autoSpaceDN w:val="0"/>
              <w:jc w:val="left"/>
              <w:rPr>
                <w:szCs w:val="20"/>
                <w:lang w:val="en-GB"/>
              </w:rPr>
            </w:pPr>
          </w:p>
        </w:tc>
        <w:tc>
          <w:tcPr>
            <w:tcW w:w="6204" w:type="dxa"/>
            <w:vAlign w:val="bottom"/>
          </w:tcPr>
          <w:p w:rsidRPr="00331C3E" w:rsidR="00AC5114" w:rsidP="0058411F" w:rsidRDefault="00AC5114" w14:paraId="758DDBD3" w14:textId="77777777">
            <w:pPr>
              <w:autoSpaceDE w:val="0"/>
              <w:autoSpaceDN w:val="0"/>
              <w:jc w:val="left"/>
              <w:rPr>
                <w:szCs w:val="20"/>
              </w:rPr>
            </w:pPr>
            <w:r>
              <w:t>Dictamen de iniciativa</w:t>
            </w:r>
          </w:p>
        </w:tc>
      </w:tr>
      <w:tr w:rsidR="0018072B" w14:paraId="73CC0082" w14:textId="77777777">
        <w:tc>
          <w:tcPr>
            <w:tcW w:w="3085" w:type="dxa"/>
          </w:tcPr>
          <w:p w:rsidRPr="00331C3E" w:rsidR="00AC5114" w:rsidP="0058411F" w:rsidRDefault="00AC5114" w14:paraId="061D99ED" w14:textId="77777777">
            <w:pPr>
              <w:autoSpaceDE w:val="0"/>
              <w:autoSpaceDN w:val="0"/>
              <w:jc w:val="left"/>
            </w:pPr>
            <w:r>
              <w:t>Sección competente</w:t>
            </w:r>
          </w:p>
        </w:tc>
        <w:tc>
          <w:tcPr>
            <w:tcW w:w="6204" w:type="dxa"/>
            <w:vAlign w:val="bottom"/>
          </w:tcPr>
          <w:p w:rsidRPr="00331C3E" w:rsidR="00AC5114" w:rsidP="0058411F" w:rsidRDefault="008B3360" w14:paraId="38A6D87D" w14:textId="77777777">
            <w:pPr>
              <w:autoSpaceDE w:val="0"/>
              <w:autoSpaceDN w:val="0"/>
              <w:jc w:val="left"/>
            </w:pPr>
            <w:r>
              <w:t>Sección de Agricultura, Desarrollo Rural y Medio Ambiente</w:t>
            </w:r>
          </w:p>
        </w:tc>
      </w:tr>
      <w:tr w:rsidR="0018072B" w14:paraId="3E963B75" w14:textId="77777777">
        <w:tc>
          <w:tcPr>
            <w:tcW w:w="3085" w:type="dxa"/>
          </w:tcPr>
          <w:p w:rsidRPr="00331C3E" w:rsidR="00AC5114" w:rsidP="0058411F" w:rsidRDefault="00AC5114" w14:paraId="743C77E8" w14:textId="77777777">
            <w:pPr>
              <w:autoSpaceDE w:val="0"/>
              <w:autoSpaceDN w:val="0"/>
              <w:jc w:val="left"/>
            </w:pPr>
            <w:r>
              <w:t>Aprobado en sección</w:t>
            </w:r>
          </w:p>
        </w:tc>
        <w:tc>
          <w:tcPr>
            <w:tcW w:w="6204" w:type="dxa"/>
            <w:vAlign w:val="bottom"/>
          </w:tcPr>
          <w:p w:rsidRPr="00331C3E" w:rsidR="00AC5114" w:rsidP="0058411F" w:rsidRDefault="008B3360" w14:paraId="4ED0E2B6" w14:textId="77777777">
            <w:pPr>
              <w:autoSpaceDE w:val="0"/>
              <w:autoSpaceDN w:val="0"/>
              <w:jc w:val="left"/>
            </w:pPr>
            <w:r>
              <w:t>30/06/2022</w:t>
            </w:r>
          </w:p>
        </w:tc>
      </w:tr>
      <w:tr w:rsidR="0018072B" w14:paraId="6F490970" w14:textId="77777777">
        <w:tc>
          <w:tcPr>
            <w:tcW w:w="3085" w:type="dxa"/>
          </w:tcPr>
          <w:p w:rsidRPr="00331C3E" w:rsidR="0058411F" w:rsidP="0058411F" w:rsidRDefault="0058411F" w14:paraId="2473BB17" w14:textId="77777777">
            <w:pPr>
              <w:autoSpaceDE w:val="0"/>
              <w:autoSpaceDN w:val="0"/>
              <w:jc w:val="left"/>
            </w:pPr>
            <w:r>
              <w:t>Aprobado en el pleno</w:t>
            </w:r>
          </w:p>
        </w:tc>
        <w:tc>
          <w:tcPr>
            <w:tcW w:w="6204" w:type="dxa"/>
            <w:vAlign w:val="bottom"/>
          </w:tcPr>
          <w:p w:rsidRPr="00331C3E" w:rsidR="0058411F" w:rsidP="0058411F" w:rsidRDefault="00555DDE" w14:paraId="06DD350E" w14:textId="77777777">
            <w:pPr>
              <w:autoSpaceDE w:val="0"/>
              <w:autoSpaceDN w:val="0"/>
              <w:jc w:val="left"/>
            </w:pPr>
            <w:r>
              <w:t>21/09/2022</w:t>
            </w:r>
          </w:p>
        </w:tc>
      </w:tr>
      <w:tr w:rsidR="0018072B" w14:paraId="4D80A421" w14:textId="77777777">
        <w:tc>
          <w:tcPr>
            <w:tcW w:w="3085" w:type="dxa"/>
          </w:tcPr>
          <w:p w:rsidRPr="00331C3E" w:rsidR="0058411F" w:rsidP="0058411F" w:rsidRDefault="0058411F" w14:paraId="5FFC0618" w14:textId="77777777">
            <w:pPr>
              <w:autoSpaceDE w:val="0"/>
              <w:autoSpaceDN w:val="0"/>
              <w:jc w:val="left"/>
            </w:pPr>
            <w:r>
              <w:t>Pleno n.º</w:t>
            </w:r>
          </w:p>
        </w:tc>
        <w:tc>
          <w:tcPr>
            <w:tcW w:w="6204" w:type="dxa"/>
            <w:vAlign w:val="bottom"/>
          </w:tcPr>
          <w:p w:rsidRPr="00331C3E" w:rsidR="0058411F" w:rsidP="0058411F" w:rsidRDefault="009B7FBE" w14:paraId="6282C306" w14:textId="77777777">
            <w:pPr>
              <w:autoSpaceDE w:val="0"/>
              <w:autoSpaceDN w:val="0"/>
              <w:jc w:val="left"/>
            </w:pPr>
            <w:r>
              <w:t>572</w:t>
            </w:r>
          </w:p>
        </w:tc>
      </w:tr>
      <w:tr w:rsidR="0018072B" w14:paraId="45F5EA2F" w14:textId="77777777">
        <w:tc>
          <w:tcPr>
            <w:tcW w:w="3085" w:type="dxa"/>
          </w:tcPr>
          <w:p w:rsidRPr="00331C3E" w:rsidR="0058411F" w:rsidP="0058411F" w:rsidRDefault="0058411F" w14:paraId="5B2575DB" w14:textId="77777777">
            <w:pPr>
              <w:autoSpaceDE w:val="0"/>
              <w:autoSpaceDN w:val="0"/>
              <w:jc w:val="left"/>
            </w:pPr>
            <w:r>
              <w:t>Resultado de la votación</w:t>
            </w:r>
            <w:r>
              <w:br/>
              <w:t>(a favor/en contra/abstenciones)</w:t>
            </w:r>
          </w:p>
        </w:tc>
        <w:tc>
          <w:tcPr>
            <w:tcW w:w="6204" w:type="dxa"/>
            <w:vAlign w:val="bottom"/>
          </w:tcPr>
          <w:p w:rsidRPr="00331C3E" w:rsidR="0058411F" w:rsidP="0058411F" w:rsidRDefault="00C36F7B" w14:paraId="472733AA" w14:textId="77777777">
            <w:pPr>
              <w:autoSpaceDE w:val="0"/>
              <w:autoSpaceDN w:val="0"/>
              <w:jc w:val="left"/>
            </w:pPr>
            <w:r>
              <w:t>173/1/2</w:t>
            </w:r>
          </w:p>
        </w:tc>
      </w:tr>
    </w:tbl>
    <w:p w:rsidRPr="00331C3E" w:rsidR="00AC5114" w:rsidP="00574C9B" w:rsidRDefault="00AC5114" w14:paraId="0625D65C" w14:textId="77777777">
      <w:pPr>
        <w:rPr>
          <w:lang w:val="en-GB"/>
        </w:rPr>
      </w:pPr>
    </w:p>
    <w:p w:rsidRPr="00331C3E" w:rsidR="00AC5114" w:rsidP="00574C9B" w:rsidRDefault="00AC5114" w14:paraId="749D2D42" w14:textId="77777777">
      <w:pPr>
        <w:rPr>
          <w:lang w:val="en-GB"/>
        </w:rPr>
        <w:sectPr w:rsidRPr="00331C3E" w:rsidR="00AC5114" w:rsidSect="00D9641A">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8802A8" w:rsidR="00E2376B" w:rsidP="00DB7F50" w:rsidRDefault="00E2376B" w14:paraId="4CDE32C3" w14:textId="77777777">
      <w:pPr>
        <w:pStyle w:val="Heading1"/>
        <w:overflowPunct w:val="0"/>
        <w:autoSpaceDE w:val="0"/>
        <w:autoSpaceDN w:val="0"/>
        <w:adjustRightInd w:val="0"/>
        <w:textAlignment w:val="baseline"/>
        <w:rPr>
          <w:b/>
        </w:rPr>
      </w:pPr>
      <w:r>
        <w:rPr>
          <w:b/>
        </w:rPr>
        <w:t>Conclusiones y recomendaciones</w:t>
      </w:r>
    </w:p>
    <w:p w:rsidRPr="008802A8" w:rsidR="00E2376B" w:rsidP="00DB7F50" w:rsidRDefault="00E2376B" w14:paraId="034E515D" w14:textId="77777777">
      <w:pPr>
        <w:ind w:left="142" w:hanging="142"/>
        <w:jc w:val="left"/>
        <w:rPr>
          <w:lang w:val="en-GB"/>
        </w:rPr>
      </w:pPr>
    </w:p>
    <w:p w:rsidRPr="008802A8" w:rsidR="001632D0" w:rsidP="001632D0" w:rsidRDefault="001632D0" w14:paraId="6E940D30" w14:textId="77777777">
      <w:pPr>
        <w:pStyle w:val="Heading2"/>
      </w:pPr>
      <w:r>
        <w:t>El CESE considera que no se ha prestado el nivel de atención y apoyo que cabría esperar a una estrategia combinada de transición energética y digital en las zonas rurales. El CESE pide que se ponga rápidamente en práctica la visión a largo plazo de la Comisión para las zonas rurales de la UE y se movilice a las partes interesadas a través del Pacto Rural de la UE. Las zonas rurales más vulnerables necesitan una atención especial para que nadie se quede atrás. Es fundamental centrarse en la pobreza energética y en las zonas de pobreza rural.</w:t>
      </w:r>
    </w:p>
    <w:p w:rsidRPr="008802A8" w:rsidR="001632D0" w:rsidP="001632D0" w:rsidRDefault="001632D0" w14:paraId="40CAD151" w14:textId="77777777">
      <w:pPr>
        <w:rPr>
          <w:lang w:val="en-GB"/>
        </w:rPr>
      </w:pPr>
    </w:p>
    <w:p w:rsidRPr="008802A8" w:rsidR="001632D0" w:rsidP="001632D0" w:rsidRDefault="001632D0" w14:paraId="3FCCE9F7" w14:textId="77777777">
      <w:pPr>
        <w:pStyle w:val="Heading2"/>
      </w:pPr>
      <w:r>
        <w:t>El CESE está convencido de que el éxito futuro de Europa dependerá en gran medida de cómo tratemos las zonas rurales de una manera equilibrada con las zonas urbanas. Las comunidades rurales no deben verse desfavorecidas en lo que se refiere a la digitalización y las opciones de uso de la energía (por ejemplo, la necesidad de utilizar automóviles privados debido a la falta de transporte público).</w:t>
      </w:r>
    </w:p>
    <w:p w:rsidRPr="008802A8" w:rsidR="001632D0" w:rsidP="001632D0" w:rsidRDefault="001632D0" w14:paraId="333884E5" w14:textId="77777777">
      <w:pPr>
        <w:rPr>
          <w:lang w:val="en-GB"/>
        </w:rPr>
      </w:pPr>
    </w:p>
    <w:p w:rsidRPr="008802A8" w:rsidR="001632D0" w:rsidP="001632D0" w:rsidRDefault="001632D0" w14:paraId="1A4F08B4" w14:textId="77777777">
      <w:pPr>
        <w:pStyle w:val="Heading2"/>
      </w:pPr>
      <w:r>
        <w:t>El papel de las comunidades locales debe aprovecharse para lograr una transición energética justa y promover al mismo tiempo el desarrollo comunitario mediante la creación y expansión de comunidades de energías renovables y comunidades ciudadanas de energía, que suponen una asociación voluntaria de ciudadanos, autoridades locales y pymes para lograr beneficios sociales y económicos.</w:t>
      </w:r>
    </w:p>
    <w:p w:rsidRPr="008802A8" w:rsidR="001632D0" w:rsidP="001632D0" w:rsidRDefault="001632D0" w14:paraId="650DAE1E" w14:textId="77777777">
      <w:pPr>
        <w:rPr>
          <w:lang w:val="en-GB"/>
        </w:rPr>
      </w:pPr>
    </w:p>
    <w:p w:rsidRPr="008802A8" w:rsidR="001632D0" w:rsidP="001632D0" w:rsidRDefault="001632D0" w14:paraId="58DD8EBC" w14:textId="77777777">
      <w:pPr>
        <w:pStyle w:val="Heading2"/>
      </w:pPr>
      <w:r>
        <w:t>El CESE pide que se refuercen las siguientes políticas e instrumentos:</w:t>
      </w:r>
    </w:p>
    <w:p w:rsidRPr="008802A8" w:rsidR="001632D0" w:rsidP="001632D0" w:rsidRDefault="001632D0" w14:paraId="46B9BA55" w14:textId="77777777">
      <w:pPr>
        <w:rPr>
          <w:lang w:val="en-GB"/>
        </w:rPr>
      </w:pPr>
    </w:p>
    <w:p w:rsidRPr="008802A8" w:rsidR="001632D0" w:rsidP="001632D0" w:rsidRDefault="001632D0" w14:paraId="5E2E2844" w14:textId="77777777">
      <w:pPr>
        <w:pStyle w:val="Heading3"/>
        <w:numPr>
          <w:ilvl w:val="0"/>
          <w:numId w:val="3"/>
        </w:numPr>
        <w:tabs>
          <w:tab w:val="num" w:pos="360"/>
        </w:tabs>
        <w:ind w:left="993" w:hanging="426"/>
      </w:pPr>
      <w:r>
        <w:t>Política de energías renovables: la actual política de energías renovables está impulsada principalmente por la necesidad de aumentar la capacidad, y no por un incremento de las sinergias con el bienestar de las comunidades rurales. La necesidad de maximizar la capacidad de energías renovables es esencial, lo mismo que la necesidad de cuantificar y responder a todas las cuestiones de desarrollo rural.</w:t>
      </w:r>
    </w:p>
    <w:p w:rsidRPr="008802A8" w:rsidR="001632D0" w:rsidP="001632D0" w:rsidRDefault="001632D0" w14:paraId="2BCBAD4B" w14:textId="77777777">
      <w:pPr>
        <w:ind w:left="993" w:hanging="426"/>
        <w:rPr>
          <w:lang w:val="en-GB"/>
        </w:rPr>
      </w:pPr>
    </w:p>
    <w:p w:rsidRPr="008802A8" w:rsidR="001632D0" w:rsidP="001632D0" w:rsidRDefault="001632D0" w14:paraId="3FC3E200" w14:textId="77777777">
      <w:pPr>
        <w:pStyle w:val="Heading3"/>
        <w:numPr>
          <w:ilvl w:val="0"/>
          <w:numId w:val="3"/>
        </w:numPr>
        <w:tabs>
          <w:tab w:val="num" w:pos="360"/>
        </w:tabs>
        <w:ind w:left="993" w:hanging="426"/>
      </w:pPr>
      <w:r>
        <w:t>Política de licitación: la actual política de licitación de instalaciones de energía renovable es poco útil para las comunidades rurales, debido a que se centra principalmente en la reducción de costes y no en las necesidades socioeconómicas de la ciudadanía rural. Se debe aspirar a que todas las instalaciones de energías renovables se creen de la manera más rentable posible y contribuyan de manera significativa a las necesidades socioeconómicas de las comunidades rurales y de los ciudadanos de las zonas rurales.</w:t>
      </w:r>
    </w:p>
    <w:p w:rsidRPr="008802A8" w:rsidR="001632D0" w:rsidP="001632D0" w:rsidRDefault="001632D0" w14:paraId="58C1E5FA" w14:textId="77777777">
      <w:pPr>
        <w:ind w:left="993" w:hanging="426"/>
        <w:rPr>
          <w:lang w:val="en-GB"/>
        </w:rPr>
      </w:pPr>
    </w:p>
    <w:p w:rsidRPr="008802A8" w:rsidR="001632D0" w:rsidP="001632D0" w:rsidRDefault="001632D0" w14:paraId="21A088B4" w14:textId="77777777">
      <w:pPr>
        <w:pStyle w:val="Heading3"/>
        <w:numPr>
          <w:ilvl w:val="0"/>
          <w:numId w:val="3"/>
        </w:numPr>
        <w:tabs>
          <w:tab w:val="num" w:pos="360"/>
        </w:tabs>
        <w:ind w:left="993" w:hanging="426"/>
      </w:pPr>
      <w:r>
        <w:t>Almacenamiento de electricidad: el sector del almacenamiento de electricidad necesita crecer. Uno de los principales retos será la seguridad estacional del suministro eléctrico. El almacenamiento en baterías y la electrificación inteligente, junto con medidas de gestión de la demanda, ayudarán en este sentido. El almacenamiento de hidrógeno verde será necesario como reserva.</w:t>
      </w:r>
    </w:p>
    <w:p w:rsidRPr="008802A8" w:rsidR="001632D0" w:rsidP="001632D0" w:rsidRDefault="001632D0" w14:paraId="26A935E9" w14:textId="77777777">
      <w:pPr>
        <w:ind w:left="993" w:hanging="426"/>
        <w:rPr>
          <w:lang w:val="en-GB"/>
        </w:rPr>
      </w:pPr>
    </w:p>
    <w:p w:rsidRPr="008802A8" w:rsidR="001632D0" w:rsidP="001632D0" w:rsidRDefault="001632D0" w14:paraId="4486014A" w14:textId="77777777">
      <w:pPr>
        <w:pStyle w:val="Heading3"/>
        <w:numPr>
          <w:ilvl w:val="0"/>
          <w:numId w:val="3"/>
        </w:numPr>
        <w:tabs>
          <w:tab w:val="num" w:pos="360"/>
        </w:tabs>
        <w:ind w:left="993" w:hanging="426"/>
      </w:pPr>
      <w:r>
        <w:t>Financiación específica mediante la correspondiente asignación de fondos en los planes nacionales de recuperación y resiliencia, para garantizar que el dinero se gaste realmente en las zonas rurales.</w:t>
      </w:r>
    </w:p>
    <w:p w:rsidRPr="008802A8" w:rsidR="001632D0" w:rsidP="001632D0" w:rsidRDefault="001632D0" w14:paraId="63EC3EF6" w14:textId="77777777">
      <w:pPr>
        <w:rPr>
          <w:lang w:val="en-GB"/>
        </w:rPr>
      </w:pPr>
    </w:p>
    <w:p w:rsidRPr="008802A8" w:rsidR="001632D0" w:rsidP="001632D0" w:rsidRDefault="001632D0" w14:paraId="79383D5A" w14:textId="77777777">
      <w:pPr>
        <w:pStyle w:val="Heading2"/>
      </w:pPr>
      <w:r>
        <w:t>El CESE pide a la Comisión que proponga una Ley Rural Digital (</w:t>
      </w:r>
      <w:r>
        <w:rPr>
          <w:i/>
        </w:rPr>
        <w:t>Digital Rural Act</w:t>
      </w:r>
      <w:r>
        <w:t>) como tercer elemento de la estrategia digital de la UE, junto con la Ley de Mercados Digitales y la Ley de Servicios Digitales. La digitalización abrirá nuevas oportunidades (especialmente para la juventud), lo cual podría cambiar las tendencias demográficas al permitir a las personas trabajar desde casa y desde núcleos de trabajo rurales.</w:t>
      </w:r>
    </w:p>
    <w:p w:rsidRPr="008802A8" w:rsidR="001632D0" w:rsidP="001632D0" w:rsidRDefault="001632D0" w14:paraId="7D96ABAA" w14:textId="77777777">
      <w:pPr>
        <w:rPr>
          <w:lang w:val="en-GB"/>
        </w:rPr>
      </w:pPr>
    </w:p>
    <w:p w:rsidRPr="008802A8" w:rsidR="001632D0" w:rsidP="001632D0" w:rsidRDefault="001632D0" w14:paraId="18449045" w14:textId="77777777">
      <w:pPr>
        <w:pStyle w:val="Heading2"/>
      </w:pPr>
      <w:r>
        <w:t>El CESE hace hincapié en que para que los planes de recuperación y resiliencia de la UE o nacionales se beneficien plenamente de la contribución de las zonas rurales es imprescindible que la conectividad a internet de alta velocidad esté garantizada en todo el territorio, incluidas las zonas poco pobladas. El CESE insta a los gobiernos a que, o bien creen las condiciones económicas para que los operadores privados presten este servicio, o bien recurran a una empresa pública para prestarlo.</w:t>
      </w:r>
    </w:p>
    <w:p w:rsidRPr="008802A8" w:rsidR="001632D0" w:rsidP="001632D0" w:rsidRDefault="001632D0" w14:paraId="195F761E" w14:textId="77777777">
      <w:pPr>
        <w:rPr>
          <w:lang w:val="en-GB"/>
        </w:rPr>
      </w:pPr>
    </w:p>
    <w:p w:rsidRPr="008802A8" w:rsidR="001632D0" w:rsidP="001632D0" w:rsidRDefault="001632D0" w14:paraId="7E432893" w14:textId="77777777">
      <w:pPr>
        <w:pStyle w:val="Heading2"/>
      </w:pPr>
      <w:r>
        <w:t>El CESE considera que las autoridades públicas y los proveedores de servicios deben desarrollar aplicaciones fáciles de utilizar adaptadas específicamente a la realidad de los hábitos y actividades rurales. Por ejemplo, la aplicación de estas tecnologías reducirá la huella de carbono de la agricultura (agricultura de precisión) y contribuirá a mejorar la accesibilidad de las zonas remotas (drones). El sector público debe intervenir si el sector privado no proporciona estas soluciones.</w:t>
      </w:r>
    </w:p>
    <w:p w:rsidRPr="008802A8" w:rsidR="001632D0" w:rsidP="001632D0" w:rsidRDefault="001632D0" w14:paraId="71787AC6" w14:textId="77777777">
      <w:pPr>
        <w:rPr>
          <w:lang w:val="en-GB"/>
        </w:rPr>
      </w:pPr>
    </w:p>
    <w:p w:rsidRPr="008802A8" w:rsidR="001632D0" w:rsidP="001632D0" w:rsidRDefault="001632D0" w14:paraId="360AE302" w14:textId="77777777">
      <w:pPr>
        <w:pStyle w:val="Heading2"/>
      </w:pPr>
      <w:r>
        <w:t>El CESE subraya que hay que ofrecer a los usuarios rurales de distintas edades las posibilidades de formación y perfeccionamiento profesional adecuadas para utilizar estas nuevas tecnologías digitales. La inclusión en las zonas desfavorecidas también debe permitir el acceso a los dispositivos necesarios, ya sea mediante el uso compartido o mediante una subvención pública para su compra.</w:t>
      </w:r>
    </w:p>
    <w:p w:rsidRPr="008802A8" w:rsidR="001632D0" w:rsidP="001632D0" w:rsidRDefault="001632D0" w14:paraId="5AB39EEA" w14:textId="77777777">
      <w:pPr>
        <w:rPr>
          <w:lang w:val="en-GB"/>
        </w:rPr>
      </w:pPr>
    </w:p>
    <w:p w:rsidRPr="008802A8" w:rsidR="001632D0" w:rsidP="001632D0" w:rsidRDefault="001632D0" w14:paraId="37E45305" w14:textId="77777777">
      <w:pPr>
        <w:pStyle w:val="Heading2"/>
      </w:pPr>
      <w:r>
        <w:t>El CESE concluye que el despliegue de tecnologías digitales en las zonas rurales resulta necesario para apoyar la transición energética. El sistema energético rural debe descentralizarse: ello implica una gran necesidad de aumentar y mejorar la interconexión, lo que a su vez requiere el despliegue de tecnologías digitales para adaptar la oferta a la demanda y garantizar unos flujos energéticos eficientes. Las aplicaciones digitales en el ámbito rural deben ser muy eficientes desde el punto de vista energético debido a la menor tasa de utilización y la menor densidad de población. La conectividad informática de bajo consumo energético resulta imprescindible para las zonas rurales.</w:t>
      </w:r>
    </w:p>
    <w:p w:rsidRPr="008802A8" w:rsidR="001632D0" w:rsidP="001632D0" w:rsidRDefault="001632D0" w14:paraId="4D51C2C1" w14:textId="77777777">
      <w:pPr>
        <w:rPr>
          <w:lang w:val="en-GB"/>
        </w:rPr>
      </w:pPr>
    </w:p>
    <w:p w:rsidRPr="008802A8" w:rsidR="001632D0" w:rsidP="001632D0" w:rsidRDefault="001632D0" w14:paraId="54A93B15" w14:textId="77777777">
      <w:pPr>
        <w:pStyle w:val="Heading2"/>
      </w:pPr>
      <w:r>
        <w:t>El CESE hace hincapié en que, dado que el 30 % de la población de la UE vive en zonas rurales, una transición energética rural justa constituye un elemento clave de la transición justa hacia una Unión Europea climáticamente neutra, sostenible y próspera, en consonancia con la Agenda Territorial 2030.</w:t>
      </w:r>
    </w:p>
    <w:p w:rsidRPr="008802A8" w:rsidR="001632D0" w:rsidP="001632D0" w:rsidRDefault="001632D0" w14:paraId="7B4C6DB7" w14:textId="77777777">
      <w:pPr>
        <w:rPr>
          <w:lang w:val="en-GB"/>
        </w:rPr>
      </w:pPr>
    </w:p>
    <w:p w:rsidRPr="008802A8" w:rsidR="001632D0" w:rsidP="001632D0" w:rsidRDefault="001632D0" w14:paraId="3E1A048F" w14:textId="77777777">
      <w:pPr>
        <w:pStyle w:val="Heading2"/>
      </w:pPr>
      <w:r>
        <w:t>La Comisión ha propuesto que el 20 % de las inversiones de NextGenerationEU se destinen al sector digital. El CESE recomienda que todos los Estados miembros dediquen al menos el 10 % de estos fondos al sector digital rural, sin imponer una burocracia excesiva.</w:t>
      </w:r>
    </w:p>
    <w:p w:rsidRPr="008802A8" w:rsidR="001632D0" w:rsidP="001632D0" w:rsidRDefault="001632D0" w14:paraId="072DBE31" w14:textId="77777777">
      <w:pPr>
        <w:rPr>
          <w:lang w:val="en-GB"/>
        </w:rPr>
      </w:pPr>
    </w:p>
    <w:p w:rsidRPr="008802A8" w:rsidR="001632D0" w:rsidP="001632D0" w:rsidRDefault="001632D0" w14:paraId="00E601EC" w14:textId="77777777">
      <w:pPr>
        <w:pStyle w:val="Heading1"/>
        <w:keepNext/>
      </w:pPr>
      <w:r>
        <w:rPr>
          <w:b/>
        </w:rPr>
        <w:t>La transición energética en las zonas rurales</w:t>
      </w:r>
    </w:p>
    <w:p w:rsidRPr="008802A8" w:rsidR="001632D0" w:rsidP="001632D0" w:rsidRDefault="001632D0" w14:paraId="12E45CFB" w14:textId="77777777">
      <w:pPr>
        <w:keepNext/>
        <w:rPr>
          <w:lang w:val="en-GB"/>
        </w:rPr>
      </w:pPr>
    </w:p>
    <w:p w:rsidRPr="008802A8" w:rsidR="001632D0" w:rsidP="001632D0" w:rsidRDefault="001632D0" w14:paraId="5DCFBD09" w14:textId="77777777">
      <w:pPr>
        <w:keepNext/>
        <w:rPr>
          <w:b/>
        </w:rPr>
      </w:pPr>
      <w:r>
        <w:rPr>
          <w:b/>
        </w:rPr>
        <w:t>Introducción</w:t>
      </w:r>
    </w:p>
    <w:p w:rsidRPr="008802A8" w:rsidR="001632D0" w:rsidP="001632D0" w:rsidRDefault="001632D0" w14:paraId="0593DBED" w14:textId="77777777">
      <w:pPr>
        <w:keepNext/>
        <w:tabs>
          <w:tab w:val="left" w:pos="5875"/>
        </w:tabs>
        <w:rPr>
          <w:lang w:val="en-GB"/>
        </w:rPr>
      </w:pPr>
    </w:p>
    <w:p w:rsidRPr="008802A8" w:rsidR="001632D0" w:rsidP="001632D0" w:rsidRDefault="001632D0" w14:paraId="1468C035" w14:textId="77777777">
      <w:pPr>
        <w:pStyle w:val="Heading2"/>
      </w:pPr>
      <w:r>
        <w:t>Existe un consenso científico generalizado en que la influencia más probable de la humanidad en el cambio climático mundial reside en la liberación de dióxido de carbono procedente de la quema de combustibles fósiles.</w:t>
      </w:r>
    </w:p>
    <w:p w:rsidRPr="008802A8" w:rsidR="001632D0" w:rsidP="001632D0" w:rsidRDefault="001632D0" w14:paraId="11A27212" w14:textId="77777777">
      <w:pPr>
        <w:rPr>
          <w:lang w:val="en-GB"/>
        </w:rPr>
      </w:pPr>
    </w:p>
    <w:p w:rsidRPr="008802A8" w:rsidR="001632D0" w:rsidP="001632D0" w:rsidRDefault="001632D0" w14:paraId="1FFED496" w14:textId="77777777">
      <w:pPr>
        <w:pStyle w:val="Heading2"/>
      </w:pPr>
      <w:r>
        <w:t xml:space="preserve">El científico del clima Michael Mann afirma en su libro </w:t>
      </w:r>
      <w:r>
        <w:rPr>
          <w:i/>
        </w:rPr>
        <w:t>The New Climate War</w:t>
      </w:r>
      <w:r>
        <w:t xml:space="preserve"> que nuestro planeta se ha calentado hasta llegar a la zona de peligro y que aún no estamos tomando las medidas necesarias para evitar la mayor crisis mundial a la que nos hemos enfrentado nunca.</w:t>
      </w:r>
    </w:p>
    <w:p w:rsidRPr="008802A8" w:rsidR="001632D0" w:rsidP="001632D0" w:rsidRDefault="001632D0" w14:paraId="0E2E533D" w14:textId="77777777">
      <w:pPr>
        <w:tabs>
          <w:tab w:val="left" w:pos="5071"/>
        </w:tabs>
        <w:rPr>
          <w:lang w:val="en-GB"/>
        </w:rPr>
      </w:pPr>
    </w:p>
    <w:p w:rsidRPr="008802A8" w:rsidR="001632D0" w:rsidP="001632D0" w:rsidRDefault="001632D0" w14:paraId="223C0F59" w14:textId="77777777">
      <w:pPr>
        <w:pStyle w:val="Heading2"/>
      </w:pPr>
      <w:r>
        <w:t>El cambio climático ya resulta peligroso en algunos lugares debido a la subida del nivel del mar. Venecia y Miami se enfrentan a importantes retos en este sentido. La región del Amazonas ha sufrido talas masivas y una sequía inducida por el cambio climático. El derretimiento del casquete polar ártico, más rápido de lo previsto, es motivo de gran preocupación.</w:t>
      </w:r>
    </w:p>
    <w:p w:rsidRPr="008802A8" w:rsidR="001632D0" w:rsidP="001632D0" w:rsidRDefault="001632D0" w14:paraId="7525880B" w14:textId="77777777">
      <w:pPr>
        <w:rPr>
          <w:lang w:val="en-GB"/>
        </w:rPr>
      </w:pPr>
    </w:p>
    <w:p w:rsidRPr="008802A8" w:rsidR="001632D0" w:rsidP="001632D0" w:rsidRDefault="001632D0" w14:paraId="3BE10F79" w14:textId="77777777">
      <w:pPr>
        <w:pStyle w:val="Heading2"/>
      </w:pPr>
      <w:r>
        <w:t>Es necesario que todas las partes interesadas actúen a escala mundial y emprendan acciones inmediatas ante el cambio climático con medidas de mitigación y adaptación para reducir las emisiones de gases de efecto invernadero (GEI). La rápida reducción del uso de combustibles fósiles debe ser una prioridad inmediata.</w:t>
      </w:r>
    </w:p>
    <w:p w:rsidRPr="008802A8" w:rsidR="001632D0" w:rsidP="001632D0" w:rsidRDefault="001632D0" w14:paraId="441B6A00" w14:textId="77777777">
      <w:pPr>
        <w:rPr>
          <w:lang w:val="en-GB"/>
        </w:rPr>
      </w:pPr>
    </w:p>
    <w:p w:rsidRPr="008802A8" w:rsidR="001632D0" w:rsidP="001632D0" w:rsidRDefault="001632D0" w14:paraId="6ABE620E" w14:textId="77777777">
      <w:pPr>
        <w:keepNext/>
        <w:rPr>
          <w:b/>
        </w:rPr>
      </w:pPr>
      <w:r>
        <w:rPr>
          <w:b/>
        </w:rPr>
        <w:t>Zonas rurales</w:t>
      </w:r>
    </w:p>
    <w:p w:rsidRPr="008802A8" w:rsidR="001632D0" w:rsidP="001632D0" w:rsidRDefault="001632D0" w14:paraId="24C4AE0C" w14:textId="77777777">
      <w:pPr>
        <w:keepNext/>
        <w:rPr>
          <w:lang w:val="en-GB"/>
        </w:rPr>
      </w:pPr>
    </w:p>
    <w:p w:rsidRPr="008802A8" w:rsidR="001632D0" w:rsidP="001632D0" w:rsidRDefault="001632D0" w14:paraId="2855B89C" w14:textId="77777777">
      <w:pPr>
        <w:pStyle w:val="Heading2"/>
      </w:pPr>
      <w:r>
        <w:t>En las zonas rurales de la UE viven 130 millones de personas, lo que supone el 30 % de la población. Las zonas rurales son diversas y están muy influidas por su ubicación. En muchas zonas, especialmente en el sur de Europa, el cambio climático incrementará progresivamente la escasez de agua, agravará las inundaciones y aumentará la intensidad y frecuencia de los incendios forestales. En el norte de Europa, el aumento de las precipitaciones y las tormentas puede causar —y lo hará— daños importantes y costosos en las infraestructuras. El aumento de las temperaturas intensificará el ciclo del agua y hará que las tormentas fuertes sean más frecuentes. Esto demuestra la necesidad de llevar a cabo una transición energética y digital lo más rápida posible en las zonas rurales.</w:t>
      </w:r>
    </w:p>
    <w:p w:rsidRPr="008802A8" w:rsidR="001632D0" w:rsidP="001632D0" w:rsidRDefault="001632D0" w14:paraId="7B97FFA0" w14:textId="77777777">
      <w:pPr>
        <w:rPr>
          <w:lang w:val="en-GB"/>
        </w:rPr>
      </w:pPr>
    </w:p>
    <w:p w:rsidRPr="008802A8" w:rsidR="001632D0" w:rsidP="001632D0" w:rsidRDefault="001632D0" w14:paraId="11369DDB" w14:textId="77777777">
      <w:pPr>
        <w:pStyle w:val="Heading2"/>
      </w:pPr>
      <w:r>
        <w:t>La idea de la transición energética rural no ha recibido el nivel de atención que cabría esperar. Esto es sorprendente, porque los recursos necesarios para producir energía renovable están muy ligados a las zonas rurales. La mayor parte de las infraestructuras de energías renovables, como los aerogeneradores y las plantas solares y de biogás, se encuentran en zonas rurales. Las redes de transporte de electricidad también son características del paisaje rural. Muchos habitantes de las zonas rurales consideran que estas estructuras se les imponen y que benefician más a las zonas urbanas.</w:t>
      </w:r>
    </w:p>
    <w:p w:rsidRPr="008802A8" w:rsidR="001632D0" w:rsidP="001632D0" w:rsidRDefault="001632D0" w14:paraId="7752906E" w14:textId="77777777">
      <w:pPr>
        <w:rPr>
          <w:lang w:val="en-GB"/>
        </w:rPr>
      </w:pPr>
    </w:p>
    <w:p w:rsidRPr="008802A8" w:rsidR="001632D0" w:rsidP="00826C8E" w:rsidRDefault="001632D0" w14:paraId="357BBCCE" w14:textId="77777777">
      <w:pPr>
        <w:pStyle w:val="Heading2"/>
        <w:keepNext/>
        <w:keepLines/>
      </w:pPr>
      <w:r>
        <w:t>Las zonas rurales tienen necesidades diversas y específicas según su ubicación. Las zonas rurales se pueden clasificar de la siguiente manera:</w:t>
      </w:r>
    </w:p>
    <w:p w:rsidRPr="008802A8" w:rsidR="001632D0" w:rsidP="001632D0" w:rsidRDefault="001632D0" w14:paraId="6706F397" w14:textId="77777777">
      <w:pPr>
        <w:rPr>
          <w:lang w:val="en-GB"/>
        </w:rPr>
      </w:pPr>
    </w:p>
    <w:p w:rsidRPr="008802A8" w:rsidR="001632D0" w:rsidP="001632D0" w:rsidRDefault="001632D0" w14:paraId="10BBD002" w14:textId="77777777">
      <w:pPr>
        <w:pStyle w:val="Heading3"/>
        <w:numPr>
          <w:ilvl w:val="0"/>
          <w:numId w:val="3"/>
        </w:numPr>
        <w:tabs>
          <w:tab w:val="num" w:pos="360"/>
        </w:tabs>
        <w:ind w:left="993" w:hanging="426"/>
      </w:pPr>
      <w:r>
        <w:t>Zonas rurales situadas dentro de las áreas de desplazamiento de una ciudad (60 km de radio) y cuyo desarrollo está integrado en dicha ciudad.</w:t>
      </w:r>
    </w:p>
    <w:p w:rsidRPr="008802A8" w:rsidR="001632D0" w:rsidP="001632D0" w:rsidRDefault="001632D0" w14:paraId="1027A2A3" w14:textId="77777777">
      <w:pPr>
        <w:ind w:left="993" w:hanging="426"/>
        <w:rPr>
          <w:lang w:val="en-GB"/>
        </w:rPr>
      </w:pPr>
    </w:p>
    <w:p w:rsidRPr="008802A8" w:rsidR="001632D0" w:rsidP="001632D0" w:rsidRDefault="001632D0" w14:paraId="5B970CBF" w14:textId="77777777">
      <w:pPr>
        <w:pStyle w:val="Heading3"/>
        <w:numPr>
          <w:ilvl w:val="0"/>
          <w:numId w:val="3"/>
        </w:numPr>
        <w:tabs>
          <w:tab w:val="num" w:pos="360"/>
        </w:tabs>
        <w:ind w:left="993" w:hanging="426"/>
      </w:pPr>
      <w:r>
        <w:t>Regiones rurales que no forman parte del mercado laboral urbano, pero mantienen un flujo de entrada y salida de bienes y servicios medioambientales y otras actividades económicas.</w:t>
      </w:r>
    </w:p>
    <w:p w:rsidRPr="008802A8" w:rsidR="001632D0" w:rsidP="001632D0" w:rsidRDefault="001632D0" w14:paraId="4CD0EACE" w14:textId="77777777">
      <w:pPr>
        <w:ind w:left="993" w:hanging="426"/>
        <w:rPr>
          <w:lang w:val="en-GB"/>
        </w:rPr>
      </w:pPr>
    </w:p>
    <w:p w:rsidRPr="008802A8" w:rsidR="001632D0" w:rsidP="001632D0" w:rsidRDefault="001632D0" w14:paraId="05CCBE80" w14:textId="77777777">
      <w:pPr>
        <w:pStyle w:val="Heading3"/>
        <w:numPr>
          <w:ilvl w:val="0"/>
          <w:numId w:val="3"/>
        </w:numPr>
        <w:tabs>
          <w:tab w:val="num" w:pos="360"/>
        </w:tabs>
        <w:ind w:left="993" w:hanging="426"/>
      </w:pPr>
      <w:r>
        <w:t>Regiones rurales remotas donde la economía local depende en gran medida de la exportación al exterior de la región de productos ligados a actividades primarias, como los productos agrícolas. En particular, estas zonas suelen tener poblaciones dispersas y presentar servicios públicos deficientes.</w:t>
      </w:r>
    </w:p>
    <w:p w:rsidRPr="008802A8" w:rsidR="001632D0" w:rsidP="001632D0" w:rsidRDefault="001632D0" w14:paraId="1AB4E9ED" w14:textId="77777777">
      <w:pPr>
        <w:rPr>
          <w:lang w:val="en-GB"/>
        </w:rPr>
      </w:pPr>
    </w:p>
    <w:p w:rsidRPr="008802A8" w:rsidR="001632D0" w:rsidP="001632D0" w:rsidRDefault="001632D0" w14:paraId="297EF022" w14:textId="77777777">
      <w:pPr>
        <w:pStyle w:val="Heading2"/>
      </w:pPr>
      <w:r>
        <w:t>Estas diferentes zonas rurales se enfrentan a muchos y variados retos a la hora de llevar a cabo una transición energética, lo que indica la importancia de una transición justa para lograr el objetivo deseado.</w:t>
      </w:r>
    </w:p>
    <w:p w:rsidRPr="008802A8" w:rsidR="001632D0" w:rsidP="001632D0" w:rsidRDefault="001632D0" w14:paraId="05CF0353" w14:textId="77777777">
      <w:pPr>
        <w:rPr>
          <w:lang w:val="en-GB"/>
        </w:rPr>
      </w:pPr>
    </w:p>
    <w:p w:rsidRPr="008802A8" w:rsidR="001632D0" w:rsidP="001632D0" w:rsidRDefault="001632D0" w14:paraId="71BF38C1" w14:textId="77777777">
      <w:pPr>
        <w:pStyle w:val="Heading2"/>
      </w:pPr>
      <w:r>
        <w:t>Muchas zonas rurales están físicamente aisladas, con poca diversidad económica y una baja densidad de población. En muchos casos, los bajos ingresos y el envejecimiento de la población aumentan la vulnerabilidad de las comunidades rurales. Las personas que viven solas en zonas rurales aisladas y con poca interacción social plantean enormes problemas a la hora de llevar a cabo una transición energética. La pobreza energética es un problema importante en esas zonas.</w:t>
      </w:r>
    </w:p>
    <w:p w:rsidRPr="008802A8" w:rsidR="001632D0" w:rsidP="001632D0" w:rsidRDefault="001632D0" w14:paraId="4FF12765" w14:textId="77777777">
      <w:pPr>
        <w:rPr>
          <w:lang w:val="en-GB"/>
        </w:rPr>
      </w:pPr>
    </w:p>
    <w:p w:rsidRPr="008802A8" w:rsidR="001632D0" w:rsidP="001632D0" w:rsidRDefault="001632D0" w14:paraId="71811B17" w14:textId="77777777">
      <w:pPr>
        <w:pStyle w:val="Heading2"/>
      </w:pPr>
      <w:r>
        <w:t>El despliegue de contadores inteligentes es una parte esencial de la transición energética rural. Hasta la fecha parece que el despliegue de los contadores inteligentes ha sido bastante lento en las zonas rurales. También debemos garantizar que los hogares con bajos ingresos y las personas con escasas destrezas informáticas puedan hacer el mejor uso posible de los contadores inteligentes como parte de una transición energética justa en la que nadie se quede atrás. El Mecanismo de Recuperación y Resiliencia ha asignado 25 000 millones EUR para apoyar las capacidades digitales y la educación digital. Los Estados miembros deben reservar una parte adecuada de esos fondos a la formación en competencias digitales y la alfabetización digital para la población rural. El hecho de que algunas partes de Europa no dispongan de internet es una situación intolerable y debe remediarse lo antes posible.</w:t>
      </w:r>
    </w:p>
    <w:p w:rsidRPr="008802A8" w:rsidR="001632D0" w:rsidP="001632D0" w:rsidRDefault="001632D0" w14:paraId="00F9338D" w14:textId="77777777">
      <w:pPr>
        <w:rPr>
          <w:lang w:val="en-GB"/>
        </w:rPr>
      </w:pPr>
    </w:p>
    <w:p w:rsidRPr="008802A8" w:rsidR="001632D0" w:rsidP="001632D0" w:rsidRDefault="001632D0" w14:paraId="733B54CD" w14:textId="77777777">
      <w:pPr>
        <w:numPr>
          <w:ilvl w:val="1"/>
          <w:numId w:val="1"/>
        </w:numPr>
        <w:ind w:left="567" w:hanging="567"/>
        <w:outlineLvl w:val="1"/>
      </w:pPr>
      <w:r>
        <w:t xml:space="preserve">El CESE ha destacado en su Dictamen </w:t>
      </w:r>
      <w:r>
        <w:rPr>
          <w:i/>
        </w:rPr>
        <w:t>Hacia una estrategia integral para un desarrollo urbano y rural sostenible</w:t>
      </w:r>
      <w:r w:rsidRPr="008802A8">
        <w:rPr>
          <w:sz w:val="24"/>
          <w:vertAlign w:val="superscript"/>
          <w:lang w:val="en-GB"/>
        </w:rPr>
        <w:footnoteReference w:id="1"/>
      </w:r>
      <w:r>
        <w:t xml:space="preserve"> que las políticas agrícolas, alimentarias y rurales deben vincularse a las políticas relativas al cambio climático y a la biodiversidad. El aspecto multifuncional de la agricultura es tan importante como el fomento de las actividades no agrícolas, por ejemplo la creación de empresas en el sector de los servicios de energía limpia para generar oportunidades de empleo. Es necesario explorar el potencial del comercio electrónico.</w:t>
      </w:r>
    </w:p>
    <w:p w:rsidRPr="008802A8" w:rsidR="001632D0" w:rsidP="001632D0" w:rsidRDefault="001632D0" w14:paraId="46313F99" w14:textId="77777777">
      <w:pPr>
        <w:rPr>
          <w:lang w:val="en-GB"/>
        </w:rPr>
      </w:pPr>
    </w:p>
    <w:p w:rsidRPr="008802A8" w:rsidR="001632D0" w:rsidP="001632D0" w:rsidRDefault="001632D0" w14:paraId="6A61B103" w14:textId="77777777">
      <w:pPr>
        <w:pStyle w:val="Heading2"/>
      </w:pPr>
      <w:r>
        <w:t xml:space="preserve">La Comunicación </w:t>
      </w:r>
      <w:r>
        <w:rPr>
          <w:i/>
        </w:rPr>
        <w:t>Una Visión a largo plazo para las zonas rurales de la UE</w:t>
      </w:r>
      <w:r w:rsidRPr="008802A8">
        <w:rPr>
          <w:sz w:val="24"/>
          <w:vertAlign w:val="superscript"/>
          <w:lang w:val="en-GB"/>
        </w:rPr>
        <w:footnoteReference w:id="2"/>
      </w:r>
      <w:r>
        <w:t xml:space="preserve"> incluye un Pacto Rural dirigido, entre otras cosas, a fomentar la cohesión territorial y crear nuevas oportunidades para atraer a empresas innovadoras. La puesta en práctica de esta visión facilitaría enormemente una transición energética justa en las zonas rurales. El CESE acogió favorablemente este enfoque en su Dictamen </w:t>
      </w:r>
      <w:r>
        <w:rPr>
          <w:i/>
        </w:rPr>
        <w:t>Una visión a largo plazo para las zonas rurales de la UE</w:t>
      </w:r>
      <w:r w:rsidRPr="008802A8">
        <w:rPr>
          <w:sz w:val="24"/>
          <w:vertAlign w:val="superscript"/>
          <w:lang w:val="en-GB"/>
        </w:rPr>
        <w:footnoteReference w:id="3"/>
      </w:r>
      <w:r>
        <w:t>.</w:t>
      </w:r>
    </w:p>
    <w:p w:rsidRPr="008802A8" w:rsidR="001632D0" w:rsidP="001632D0" w:rsidRDefault="001632D0" w14:paraId="40D0B787" w14:textId="77777777">
      <w:pPr>
        <w:rPr>
          <w:lang w:val="en-GB"/>
        </w:rPr>
      </w:pPr>
    </w:p>
    <w:p w:rsidRPr="008802A8" w:rsidR="001632D0" w:rsidP="001632D0" w:rsidRDefault="001632D0" w14:paraId="221D7E0D" w14:textId="77777777">
      <w:pPr>
        <w:keepNext/>
        <w:rPr>
          <w:b/>
        </w:rPr>
      </w:pPr>
      <w:r>
        <w:rPr>
          <w:b/>
        </w:rPr>
        <w:t>Transportes</w:t>
      </w:r>
    </w:p>
    <w:p w:rsidRPr="008802A8" w:rsidR="001632D0" w:rsidP="001632D0" w:rsidRDefault="001632D0" w14:paraId="6079818D" w14:textId="77777777">
      <w:pPr>
        <w:keepNext/>
        <w:rPr>
          <w:lang w:val="en-GB"/>
        </w:rPr>
      </w:pPr>
    </w:p>
    <w:p w:rsidRPr="008802A8" w:rsidR="001632D0" w:rsidP="001632D0" w:rsidRDefault="001632D0" w14:paraId="306BED58" w14:textId="77777777">
      <w:pPr>
        <w:pStyle w:val="Heading2"/>
      </w:pPr>
      <w:r>
        <w:t>La provisión de transporte rural es un tema clave debido al transporte público deficiente, la escasa población y la lejanía de los comercios y servicios. Además, los habitantes de las zonas rurales que trabajan en los centros urbanos suelen recorrer largas distancias para llegar a sus lugares de trabajo.</w:t>
      </w:r>
    </w:p>
    <w:p w:rsidRPr="008802A8" w:rsidR="001632D0" w:rsidP="001632D0" w:rsidRDefault="001632D0" w14:paraId="377D0AC2" w14:textId="77777777">
      <w:pPr>
        <w:rPr>
          <w:lang w:val="en-GB"/>
        </w:rPr>
      </w:pPr>
    </w:p>
    <w:p w:rsidRPr="008802A8" w:rsidR="001632D0" w:rsidP="001632D0" w:rsidRDefault="001632D0" w14:paraId="53127A62" w14:textId="77777777">
      <w:pPr>
        <w:pStyle w:val="Heading2"/>
      </w:pPr>
      <w:r>
        <w:t>Es necesario que la planificación local y nacional prevea un sistema de transporte multimodal para la transición a las energías renovables. Este sistema debe ofrecer opciones y alternativas para el transporte de personas y mercancías.</w:t>
      </w:r>
    </w:p>
    <w:p w:rsidRPr="008802A8" w:rsidR="001632D0" w:rsidP="001632D0" w:rsidRDefault="001632D0" w14:paraId="06EDED81" w14:textId="77777777">
      <w:pPr>
        <w:rPr>
          <w:lang w:val="en-GB"/>
        </w:rPr>
      </w:pPr>
    </w:p>
    <w:p w:rsidRPr="008802A8" w:rsidR="001632D0" w:rsidP="001632D0" w:rsidRDefault="001632D0" w14:paraId="70BD108D" w14:textId="77777777">
      <w:pPr>
        <w:pStyle w:val="Heading2"/>
      </w:pPr>
      <w:r>
        <w:t>El transporte de mercancías en las zonas rurales requiere una atención específica en lo que respecta a la transición energética. Por ejemplo, las entregas de suministros agrícolas y la recogida de productos agrícolas deben ser una parte importante de la planificación de la transición energética. El objetivo que debe perseguirse son vehículos pesados de mercancías con propulsión eléctrica y de hidrógeno. A corto plazo, los biocombustibles sostenibles y los vehículos híbridos podrían contribuir a reducir las emisiones de GEI.</w:t>
      </w:r>
    </w:p>
    <w:p w:rsidRPr="008802A8" w:rsidR="001632D0" w:rsidP="001632D0" w:rsidRDefault="001632D0" w14:paraId="2030F540" w14:textId="77777777">
      <w:pPr>
        <w:rPr>
          <w:lang w:val="en-GB"/>
        </w:rPr>
      </w:pPr>
    </w:p>
    <w:p w:rsidRPr="008802A8" w:rsidR="001632D0" w:rsidP="001632D0" w:rsidRDefault="001632D0" w14:paraId="113D4DD4" w14:textId="77777777">
      <w:pPr>
        <w:pStyle w:val="Heading2"/>
      </w:pPr>
      <w:r>
        <w:t>La gran expansión de las compras en línea, especialmente en las zonas rurales, indica la importancia de reducir las emisiones de GEI de las furgonetas de reparto. El uso de furgonetas con propulsión eléctrica sería adecuado para este fin en cuanto se disponga de una infraestructura de recarga adecuada. Además, las empresas de reparto necesitan financiar la compra de furgonetas eléctricas. La prioridad inmediata es empezar a reducir las emisiones de todas las maneras posibles.</w:t>
      </w:r>
    </w:p>
    <w:p w:rsidRPr="008802A8" w:rsidR="001632D0" w:rsidP="001632D0" w:rsidRDefault="001632D0" w14:paraId="77DF6C9E" w14:textId="77777777">
      <w:pPr>
        <w:rPr>
          <w:lang w:val="en-GB"/>
        </w:rPr>
      </w:pPr>
    </w:p>
    <w:p w:rsidRPr="008802A8" w:rsidR="001632D0" w:rsidP="001632D0" w:rsidRDefault="001632D0" w14:paraId="5156E8DA" w14:textId="77777777">
      <w:pPr>
        <w:pStyle w:val="Heading2"/>
      </w:pPr>
      <w:r>
        <w:t>Es necesario dar prioridad a la mejora de la oferta de transporte público en las zonas rurales, lo que implica una reducción de las emisiones de GEI, una mayor inclusión social y la facilitación de las oportunidades de desarrollo rural. El transporte público rural debe considerarse un bien público en el contexto de la transición energética, por lo que se requiere financiación pública para promover y facilitar el transporte público sostenible.</w:t>
      </w:r>
    </w:p>
    <w:p w:rsidRPr="008802A8" w:rsidR="001632D0" w:rsidP="001632D0" w:rsidRDefault="001632D0" w14:paraId="0E2FCBFD" w14:textId="77777777">
      <w:pPr>
        <w:tabs>
          <w:tab w:val="left" w:pos="7871"/>
        </w:tabs>
        <w:rPr>
          <w:lang w:val="en-GB"/>
        </w:rPr>
      </w:pPr>
    </w:p>
    <w:p w:rsidRPr="008802A8" w:rsidR="001632D0" w:rsidP="001632D0" w:rsidRDefault="001632D0" w14:paraId="5AB165C0" w14:textId="77777777">
      <w:pPr>
        <w:pStyle w:val="Heading2"/>
      </w:pPr>
      <w:r>
        <w:t>Los vehículos particulares se consideran un medio indispensable del transporte rural, ya que la vida rural sería impracticable en su ausencia. La prioridad debe ser ayudar y animar a los residentes rurales a reducir el uso de los coches particulares cuando sea posible y a cambiar a vehículos de bajas emisiones lo antes posible. Las ayudas financieras para promover la compra de vehículos eléctricos deben ser un objetivo clave para la transición energética en las zonas rurales.</w:t>
      </w:r>
    </w:p>
    <w:p w:rsidRPr="008802A8" w:rsidR="001632D0" w:rsidP="00826C8E" w:rsidRDefault="001632D0" w14:paraId="62996378" w14:textId="77777777">
      <w:pPr>
        <w:keepNext/>
        <w:keepLines/>
        <w:rPr>
          <w:lang w:val="en-GB"/>
        </w:rPr>
      </w:pPr>
    </w:p>
    <w:p w:rsidRPr="008802A8" w:rsidR="001632D0" w:rsidP="00826C8E" w:rsidRDefault="001632D0" w14:paraId="3189E1F0" w14:textId="77777777">
      <w:pPr>
        <w:pStyle w:val="Heading2"/>
        <w:keepNext/>
        <w:keepLines/>
      </w:pPr>
      <w:r>
        <w:t>El almacenamiento en baterías es un medio eficaz para aplanar la curva de demanda neta de electricidad renovable. El uso generalizado de vehículos eléctricos podría ayudar en este sentido. Cuando los vehículos eléctricos están habilitados para enviar electricidad a la red, la flota eléctrica puede actuar como un activo de almacenamiento en baterías complementario a otras formas de almacenamiento en baterías. Debe ser económicamente atractivo para los consumidores devolver la electricidad a la red a partir de los vehículos eléctricos, tal como se señala en el Dictamen del CESE sobre el Reglamento relativo a la implantación de una infraestructura para los combustibles alternativos</w:t>
      </w:r>
      <w:r w:rsidRPr="008802A8">
        <w:rPr>
          <w:sz w:val="24"/>
          <w:vertAlign w:val="superscript"/>
          <w:lang w:val="en-GB"/>
        </w:rPr>
        <w:footnoteReference w:id="4"/>
      </w:r>
      <w:r>
        <w:t>.</w:t>
      </w:r>
    </w:p>
    <w:p w:rsidRPr="008802A8" w:rsidR="001632D0" w:rsidP="001632D0" w:rsidRDefault="001632D0" w14:paraId="11AD8AE2" w14:textId="77777777">
      <w:pPr>
        <w:rPr>
          <w:lang w:val="en-GB"/>
        </w:rPr>
      </w:pPr>
    </w:p>
    <w:p w:rsidRPr="008802A8" w:rsidR="001632D0" w:rsidP="001632D0" w:rsidRDefault="001632D0" w14:paraId="49B5B9A5" w14:textId="77777777">
      <w:pPr>
        <w:keepNext/>
        <w:rPr>
          <w:b/>
        </w:rPr>
      </w:pPr>
      <w:r>
        <w:rPr>
          <w:b/>
        </w:rPr>
        <w:t>Turismo</w:t>
      </w:r>
    </w:p>
    <w:p w:rsidRPr="008802A8" w:rsidR="001632D0" w:rsidP="001632D0" w:rsidRDefault="001632D0" w14:paraId="5B9FDBF6" w14:textId="77777777">
      <w:pPr>
        <w:keepNext/>
        <w:rPr>
          <w:lang w:val="en-GB"/>
        </w:rPr>
      </w:pPr>
    </w:p>
    <w:p w:rsidRPr="008802A8" w:rsidR="001632D0" w:rsidP="001632D0" w:rsidRDefault="001632D0" w14:paraId="1EC65139" w14:textId="77777777">
      <w:pPr>
        <w:pStyle w:val="Heading2"/>
      </w:pPr>
      <w:r>
        <w:t>Las zonas rurales suelen depender del turismo como importante fuente de ingresos. Por lo tanto, las zonas rurales deben contar con una infraestructura adecuada de combustibles alternativos para fomentar el sector turístico y reducir al mismo tiempo las emisiones de GEI. Hay que animar a las empresas de alquiler de coches a que pasen a utilizar vehículos de bajas emisiones y, preferiblemente, vehículos eléctricos. La transición energética en las zonas rurales requiere una actuación que facilite mayores ingresos procedentes del turismo.</w:t>
      </w:r>
    </w:p>
    <w:p w:rsidRPr="008802A8" w:rsidR="001632D0" w:rsidP="001632D0" w:rsidRDefault="001632D0" w14:paraId="3926BDEA" w14:textId="77777777">
      <w:pPr>
        <w:rPr>
          <w:lang w:val="en-GB"/>
        </w:rPr>
      </w:pPr>
    </w:p>
    <w:p w:rsidRPr="008802A8" w:rsidR="001632D0" w:rsidP="001632D0" w:rsidRDefault="001632D0" w14:paraId="1E509B6B" w14:textId="77777777">
      <w:pPr>
        <w:keepNext/>
        <w:rPr>
          <w:b/>
        </w:rPr>
      </w:pPr>
      <w:r>
        <w:rPr>
          <w:b/>
        </w:rPr>
        <w:t>Electricidad renovable</w:t>
      </w:r>
    </w:p>
    <w:p w:rsidRPr="008802A8" w:rsidR="001632D0" w:rsidP="001632D0" w:rsidRDefault="001632D0" w14:paraId="15671072" w14:textId="77777777">
      <w:pPr>
        <w:keepNext/>
        <w:rPr>
          <w:lang w:val="en-GB"/>
        </w:rPr>
      </w:pPr>
    </w:p>
    <w:p w:rsidRPr="008802A8" w:rsidR="001632D0" w:rsidP="001632D0" w:rsidRDefault="001632D0" w14:paraId="2DEE9E36" w14:textId="77777777">
      <w:pPr>
        <w:pStyle w:val="Heading2"/>
      </w:pPr>
      <w:r>
        <w:t>La electricidad renovable —como la de origen eólico o solar y la generada mediante biogás— es un componente importante del paisaje rural. La armonización de la legislación entre los Estados miembros debe promover y proteger los intereses de los prosumidores e incentivar las inversiones en infraestructuras de energías renovables. La venta de la energía producida a la red nacional debe hacerse posible en todos los Estados miembros. Deben existir sistemas de compensación adecuados entre la energía renovable generada por los prosumidores y la energía consumida a fin de garantizar la independencia energética de las zonas rurales.</w:t>
      </w:r>
    </w:p>
    <w:p w:rsidRPr="008802A8" w:rsidR="001632D0" w:rsidP="001632D0" w:rsidRDefault="001632D0" w14:paraId="36384B52" w14:textId="77777777">
      <w:pPr>
        <w:rPr>
          <w:lang w:val="en-GB"/>
        </w:rPr>
      </w:pPr>
    </w:p>
    <w:p w:rsidRPr="008802A8" w:rsidR="001632D0" w:rsidP="001632D0" w:rsidRDefault="001632D0" w14:paraId="28AE4A21" w14:textId="77777777">
      <w:pPr>
        <w:pStyle w:val="Heading2"/>
      </w:pPr>
      <w:r>
        <w:t>Las recientes subastas para la adquisición centralizada de electricidad renovable se han extendido cada vez más y han conseguido reducir en muchos casos los costes de construcción de las instalaciones eólicas y solares. En general, el desarrollo de la electricidad rural está vinculado principalmente a la descarbonización del sector energético y no existen sinergias con los objetivos de desarrollo rural. Los habitantes de las zonas rurales suelen oponerse a estos desarrollos, ya que prevén pocos beneficios para la comunidad local.</w:t>
      </w:r>
    </w:p>
    <w:p w:rsidRPr="008802A8" w:rsidR="001632D0" w:rsidP="001632D0" w:rsidRDefault="001632D0" w14:paraId="415E9673" w14:textId="77777777">
      <w:pPr>
        <w:rPr>
          <w:lang w:val="en-GB"/>
        </w:rPr>
      </w:pPr>
    </w:p>
    <w:p w:rsidRPr="008802A8" w:rsidR="001632D0" w:rsidP="001632D0" w:rsidRDefault="001632D0" w14:paraId="64BE9809" w14:textId="77777777">
      <w:pPr>
        <w:pStyle w:val="Heading2"/>
      </w:pPr>
      <w:r>
        <w:t>Las cooperativas y otras organizaciones locales deben participar en la definición de las ubicaciones de las instalaciones de electricidad renovable, tanto tierra adentro como en las regiones costeras. Las comunidades locales deben tener una participación y obtener un beneficio local de dichas instalaciones.</w:t>
      </w:r>
    </w:p>
    <w:p w:rsidRPr="008802A8" w:rsidR="001632D0" w:rsidP="001632D0" w:rsidRDefault="001632D0" w14:paraId="7EDB7E70" w14:textId="77777777">
      <w:pPr>
        <w:rPr>
          <w:lang w:val="en-GB"/>
        </w:rPr>
      </w:pPr>
    </w:p>
    <w:p w:rsidRPr="008802A8" w:rsidR="001632D0" w:rsidP="00826C8E" w:rsidRDefault="001632D0" w14:paraId="458E817A" w14:textId="77777777">
      <w:pPr>
        <w:pStyle w:val="Heading2"/>
        <w:keepNext/>
        <w:keepLines/>
      </w:pPr>
      <w:r>
        <w:t>En estos grandes proyectos, el desarrollo de las energías renovables está vinculado principalmente a la descarbonización del sector energético, con escasa preocupación por el desarrollo rural. En cambio, los parques eólicos de tamaño reducido, la energía solar a pequeña escala y los digestores anaeróbicos operados por cooperativas y población local pueden estar más orientados al desarrollo rural, así como a la inclusión social y económica de las comunidades rurales. Es necesario lograr un equilibrio en relación con estos dos sistemas. Las comunidades de energías renovables y las comunidades ciudadanas de energía ofrecen una manera de lograr una transición energética justa combinada con un desarrollo comunitario.</w:t>
      </w:r>
    </w:p>
    <w:p w:rsidRPr="008802A8" w:rsidR="001632D0" w:rsidP="001632D0" w:rsidRDefault="001632D0" w14:paraId="070A09A7" w14:textId="77777777">
      <w:pPr>
        <w:rPr>
          <w:lang w:val="en-GB"/>
        </w:rPr>
      </w:pPr>
    </w:p>
    <w:p w:rsidRPr="008802A8" w:rsidR="001632D0" w:rsidP="001632D0" w:rsidRDefault="001632D0" w14:paraId="27210776" w14:textId="77777777">
      <w:pPr>
        <w:pStyle w:val="Heading2"/>
      </w:pPr>
      <w:r>
        <w:t>Un estudio de caso en la Suecia rural (Ejdemo y Söderholm, 2015) halló que, en ausencia de programas en beneficio de las comunidades, las oportunidades de empleo eran muy modestas en el contexto del desarrollo rural.</w:t>
      </w:r>
    </w:p>
    <w:p w:rsidRPr="008802A8" w:rsidR="001632D0" w:rsidP="001632D0" w:rsidRDefault="001632D0" w14:paraId="392811C2" w14:textId="77777777">
      <w:pPr>
        <w:rPr>
          <w:lang w:val="en-GB"/>
        </w:rPr>
      </w:pPr>
    </w:p>
    <w:p w:rsidRPr="008802A8" w:rsidR="001632D0" w:rsidP="001632D0" w:rsidRDefault="001632D0" w14:paraId="513E1BCA" w14:textId="77777777">
      <w:pPr>
        <w:numPr>
          <w:ilvl w:val="1"/>
          <w:numId w:val="1"/>
        </w:numPr>
        <w:ind w:left="567" w:hanging="567"/>
        <w:outlineLvl w:val="1"/>
      </w:pPr>
      <w:r>
        <w:t>Una comunidad energética ciudadana es una entidad jurídica en la que ciudadanos, pymes y entes locales se reúnen como usuarios finales para cooperar en la generación de energía renovable. Un ejemplo de ello es el municipio de Feldheim (un pequeño pueblo al suroeste de Berlín), que ha pasado a ser autosuficiente en materia de energía. Ha instalado aerogeneradores en su territorio y creado una red eléctrica independiente. Los residentes pagan precios mínimos por la electricidad. La creación de una planta de biogás ha permitido al pueblo establecer una red de calefacción urbana. Se trata de un excelente ejemplo de una comunidad de energía renovable en funcionamiento. También demuestra que un enfoque ascendente es vital para el futuro de las zonas rurales</w:t>
      </w:r>
      <w:r w:rsidRPr="008802A8">
        <w:rPr>
          <w:sz w:val="24"/>
          <w:vertAlign w:val="superscript"/>
          <w:lang w:val="en-GB"/>
        </w:rPr>
        <w:footnoteReference w:id="5"/>
      </w:r>
      <w:r>
        <w:t>.</w:t>
      </w:r>
    </w:p>
    <w:p w:rsidRPr="008802A8" w:rsidR="001632D0" w:rsidP="001632D0" w:rsidRDefault="001632D0" w14:paraId="56BCE5D4" w14:textId="77777777">
      <w:pPr>
        <w:rPr>
          <w:lang w:val="en-GB"/>
        </w:rPr>
      </w:pPr>
    </w:p>
    <w:p w:rsidRPr="008802A8" w:rsidR="001632D0" w:rsidP="001632D0" w:rsidRDefault="001632D0" w14:paraId="27C9E0DD" w14:textId="77777777">
      <w:pPr>
        <w:pStyle w:val="Heading2"/>
      </w:pPr>
      <w:r>
        <w:t>La gestión de la demanda desplaza el consumo eléctrico a períodos de tiempo en los que el sistema pueda hacer frente a la demanda. Tenemos que aplanar la curva de demanda neta de electricidad durante los períodos de máxima demanda para evitar los cortes de suministro a medida que se produce más electricidad verde. El uso del almacenamiento en baterías, el almacenamiento hidráulico y la electrificación inteligente proporcionarán flexibilidad para aplanar la curva de demanda neta.</w:t>
      </w:r>
    </w:p>
    <w:p w:rsidRPr="008802A8" w:rsidR="001632D0" w:rsidP="001632D0" w:rsidRDefault="001632D0" w14:paraId="06C458E1" w14:textId="77777777">
      <w:pPr>
        <w:rPr>
          <w:lang w:val="en-GB"/>
        </w:rPr>
      </w:pPr>
    </w:p>
    <w:p w:rsidRPr="008802A8" w:rsidR="001632D0" w:rsidP="001632D0" w:rsidRDefault="001632D0" w14:paraId="35925401" w14:textId="77777777">
      <w:pPr>
        <w:pStyle w:val="Heading2"/>
      </w:pPr>
      <w:r>
        <w:t>En su intervención en Dublín ante parlamentarios irlandeses, Kadri Simson, comisaria de Energía, afirmó que la guerra en Ucrania ha obligado a Bruselas a actuar con más intensidad y rapidez para poner fin a las importaciones de combustible ruso. Aseguró que, según las propuestas que aún deben acordarse, la UE aspirará a cubrir el 45 % de su consumo de energía con fuentes renovables de aquí a 2030. Esto supondría un aumento con respecto al actual objetivo del 32 % y duplicaría con creces el 22 % que existía en 2020. El CESE respalda este nuevo objetivo, pero advierte de que solo podrá alcanzarse avanzando rápidamente con nuevas y mayores inversiones en la transición energética rural.</w:t>
      </w:r>
    </w:p>
    <w:p w:rsidRPr="008802A8" w:rsidR="001632D0" w:rsidP="001632D0" w:rsidRDefault="001632D0" w14:paraId="49AD80E8" w14:textId="77777777">
      <w:pPr>
        <w:rPr>
          <w:lang w:val="en-GB"/>
        </w:rPr>
      </w:pPr>
    </w:p>
    <w:p w:rsidRPr="008802A8" w:rsidR="001632D0" w:rsidP="001632D0" w:rsidRDefault="001632D0" w14:paraId="20371641" w14:textId="77777777">
      <w:pPr>
        <w:pStyle w:val="Heading2"/>
      </w:pPr>
      <w:r>
        <w:t>El viento no siempre sopla, por lo que será necesario un sistema de reserva. El hidrógeno verde puede servir de reserva para responder a las variaciones en la demanda de electricidad y puede almacenarse hasta que sea necesario.</w:t>
      </w:r>
    </w:p>
    <w:p w:rsidRPr="008802A8" w:rsidR="001632D0" w:rsidP="00826C8E" w:rsidRDefault="001632D0" w14:paraId="7C5D8A82" w14:textId="77777777">
      <w:pPr>
        <w:keepNext/>
        <w:keepLines/>
        <w:rPr>
          <w:lang w:val="en-GB"/>
        </w:rPr>
      </w:pPr>
    </w:p>
    <w:p w:rsidRPr="008802A8" w:rsidR="001632D0" w:rsidP="00826C8E" w:rsidRDefault="001632D0" w14:paraId="2B97A7B2" w14:textId="77777777">
      <w:pPr>
        <w:keepNext/>
        <w:keepLines/>
        <w:rPr>
          <w:b/>
        </w:rPr>
      </w:pPr>
      <w:r>
        <w:rPr>
          <w:b/>
        </w:rPr>
        <w:t>Agricultura</w:t>
      </w:r>
    </w:p>
    <w:p w:rsidRPr="008802A8" w:rsidR="001632D0" w:rsidP="00826C8E" w:rsidRDefault="001632D0" w14:paraId="740924EA" w14:textId="77777777">
      <w:pPr>
        <w:keepNext/>
        <w:keepLines/>
        <w:rPr>
          <w:lang w:val="en-GB"/>
        </w:rPr>
      </w:pPr>
    </w:p>
    <w:p w:rsidRPr="008802A8" w:rsidR="001632D0" w:rsidP="001632D0" w:rsidRDefault="001632D0" w14:paraId="1DDA0944" w14:textId="77777777">
      <w:pPr>
        <w:pStyle w:val="Heading2"/>
      </w:pPr>
      <w:r>
        <w:t>La actividad agrícola es fundamental para el desarrollo y la prosperidad de la mayoría de las zonas rurales. Este sector de la economía rural se enfrenta a enormes retos para lograr la transición energética.</w:t>
      </w:r>
    </w:p>
    <w:p w:rsidRPr="008802A8" w:rsidR="001632D0" w:rsidP="001632D0" w:rsidRDefault="001632D0" w14:paraId="50A22AAD" w14:textId="77777777">
      <w:pPr>
        <w:rPr>
          <w:lang w:val="en-GB"/>
        </w:rPr>
      </w:pPr>
    </w:p>
    <w:p w:rsidRPr="008802A8" w:rsidR="001632D0" w:rsidP="001632D0" w:rsidRDefault="001632D0" w14:paraId="784C18CB" w14:textId="77777777">
      <w:pPr>
        <w:pStyle w:val="Heading2"/>
      </w:pPr>
      <w:r>
        <w:t>No se ha hecho un trabajo importante para reducir la huella de carbono de la maquinaria agrícola.</w:t>
      </w:r>
    </w:p>
    <w:p w:rsidRPr="008802A8" w:rsidR="001632D0" w:rsidP="001632D0" w:rsidRDefault="001632D0" w14:paraId="1A601DCF" w14:textId="77777777">
      <w:pPr>
        <w:rPr>
          <w:lang w:val="en-GB"/>
        </w:rPr>
      </w:pPr>
    </w:p>
    <w:p w:rsidRPr="008802A8" w:rsidR="001632D0" w:rsidP="001632D0" w:rsidRDefault="001632D0" w14:paraId="74643DA0" w14:textId="77777777">
      <w:pPr>
        <w:pStyle w:val="Heading2"/>
      </w:pPr>
      <w:r>
        <w:t>En un futuro inmediato, parece que el uso de biocombustibles sostenibles ofrece la mejor posibilidad de reducir las emisiones, ya que se podría utilizar la maquinaria existente una vez modificada oportunamente.</w:t>
      </w:r>
    </w:p>
    <w:p w:rsidRPr="008802A8" w:rsidR="001632D0" w:rsidP="001632D0" w:rsidRDefault="001632D0" w14:paraId="449D2281" w14:textId="77777777">
      <w:pPr>
        <w:rPr>
          <w:lang w:val="en-GB"/>
        </w:rPr>
      </w:pPr>
    </w:p>
    <w:p w:rsidRPr="008802A8" w:rsidR="001632D0" w:rsidP="001632D0" w:rsidRDefault="001632D0" w14:paraId="5B41809C" w14:textId="77777777">
      <w:pPr>
        <w:pStyle w:val="Heading2"/>
      </w:pPr>
      <w:r>
        <w:t>Los biocombustibles sostenibles no son baratos de fabricar y pueden costar más del doble que el gasóleo, aunque los precios podrían reducirse ligeramente en el futuro.</w:t>
      </w:r>
    </w:p>
    <w:p w:rsidRPr="008802A8" w:rsidR="001632D0" w:rsidP="001632D0" w:rsidRDefault="001632D0" w14:paraId="7AEFC107" w14:textId="77777777">
      <w:pPr>
        <w:rPr>
          <w:lang w:val="en-GB"/>
        </w:rPr>
      </w:pPr>
    </w:p>
    <w:p w:rsidRPr="008802A8" w:rsidR="001632D0" w:rsidP="001632D0" w:rsidRDefault="001632D0" w14:paraId="5ACD1A02" w14:textId="77777777">
      <w:pPr>
        <w:pStyle w:val="Heading2"/>
      </w:pPr>
      <w:r>
        <w:t>Más adelante, cuando se generalice el uso de maquinaria agrícola eléctrica, será posible reducir considerablemente las emisiones.</w:t>
      </w:r>
    </w:p>
    <w:p w:rsidRPr="008802A8" w:rsidR="001632D0" w:rsidP="001632D0" w:rsidRDefault="001632D0" w14:paraId="096BB14C" w14:textId="77777777">
      <w:pPr>
        <w:rPr>
          <w:lang w:val="en-GB"/>
        </w:rPr>
      </w:pPr>
    </w:p>
    <w:p w:rsidRPr="008802A8" w:rsidR="001632D0" w:rsidP="001632D0" w:rsidRDefault="001632D0" w14:paraId="037D59AD" w14:textId="77777777">
      <w:pPr>
        <w:pStyle w:val="Heading2"/>
      </w:pPr>
      <w:r>
        <w:t>La agricultura es, en su mayoría, una actividad poco rentable, por lo que los costes de capital para pasar a utilizar maquinaria eléctrica serían muy difíciles de financiar. Superar el problema de la financiación del cambio a la maquinaria eléctrica o de hidrógeno será una cuestión importante en la transición energética de las zonas rurales.</w:t>
      </w:r>
    </w:p>
    <w:p w:rsidRPr="008802A8" w:rsidR="001632D0" w:rsidP="001632D0" w:rsidRDefault="001632D0" w14:paraId="7AE5E3A3" w14:textId="77777777">
      <w:pPr>
        <w:rPr>
          <w:lang w:val="en-GB"/>
        </w:rPr>
      </w:pPr>
    </w:p>
    <w:p w:rsidRPr="008802A8" w:rsidR="001632D0" w:rsidP="001632D0" w:rsidRDefault="001632D0" w14:paraId="605AE158" w14:textId="77777777">
      <w:pPr>
        <w:pStyle w:val="Heading2"/>
      </w:pPr>
      <w:r>
        <w:t>El uso de paneles solares en los edificios de las explotaciones agrícolas permitiría a los agricultores utilizar electricidad verde y, dado que la agricultura es un gran consumidor de electricidad, esto supondría una importante ganancia en la transición energética. Los posibles excedentes podrían venderse a la red.</w:t>
      </w:r>
    </w:p>
    <w:p w:rsidRPr="008802A8" w:rsidR="001632D0" w:rsidP="001632D0" w:rsidRDefault="001632D0" w14:paraId="1983D3FF" w14:textId="77777777">
      <w:pPr>
        <w:rPr>
          <w:lang w:val="en-GB"/>
        </w:rPr>
      </w:pPr>
    </w:p>
    <w:p w:rsidRPr="008802A8" w:rsidR="001632D0" w:rsidP="001632D0" w:rsidRDefault="001632D0" w14:paraId="7168AE1B" w14:textId="77777777">
      <w:pPr>
        <w:numPr>
          <w:ilvl w:val="1"/>
          <w:numId w:val="1"/>
        </w:numPr>
        <w:ind w:left="567" w:hanging="567"/>
        <w:outlineLvl w:val="1"/>
      </w:pPr>
      <w:r>
        <w:t>La agricultura de precisión es un enfoque de la gestión agrícola basado en datos que puede mejorar la producción y el rendimiento y reducir la huella de carbono de la agricultura. Esto resulta posible gracias a los avances de la tecnología digital con la teledetección, el GPS y los sistemas de dirección por satélite para los tractores. Todo esto será importante en la transición energética de la agricultura, junto con la necesidad de inversión, formación y perfeccionamiento profesional.</w:t>
      </w:r>
    </w:p>
    <w:p w:rsidRPr="008802A8" w:rsidR="001632D0" w:rsidP="001632D0" w:rsidRDefault="001632D0" w14:paraId="57EC4528" w14:textId="77777777">
      <w:pPr>
        <w:rPr>
          <w:lang w:val="en-GB"/>
        </w:rPr>
      </w:pPr>
    </w:p>
    <w:p w:rsidRPr="008802A8" w:rsidR="001632D0" w:rsidP="001632D0" w:rsidRDefault="001632D0" w14:paraId="1E25F968" w14:textId="77777777">
      <w:pPr>
        <w:numPr>
          <w:ilvl w:val="1"/>
          <w:numId w:val="1"/>
        </w:numPr>
        <w:ind w:left="567" w:hanging="567"/>
        <w:outlineLvl w:val="1"/>
      </w:pPr>
      <w:r>
        <w:t>Los agricultores podrán tener la oportunidad de vender el excedente de electricidad a la red, ya que los productores de leche y de carne de vacuno disponen de tejados extensos en sus explotaciones. Algunos agricultores podrán asociarse para establecer plantas de biomasa y vender gas a la red de gas. El uso de residuos forestales en las plantas de biomasa es importante para facilitar la gestión forestal en aquellas zonas en las que se dispone de estos materiales.</w:t>
      </w:r>
    </w:p>
    <w:p w:rsidRPr="008802A8" w:rsidR="001632D0" w:rsidP="001632D0" w:rsidRDefault="001632D0" w14:paraId="31DDD782" w14:textId="77777777">
      <w:pPr>
        <w:rPr>
          <w:lang w:val="en-GB"/>
        </w:rPr>
      </w:pPr>
    </w:p>
    <w:p w:rsidRPr="008802A8" w:rsidR="001632D0" w:rsidP="00826C8E" w:rsidRDefault="001632D0" w14:paraId="26A17011" w14:textId="77777777">
      <w:pPr>
        <w:pStyle w:val="Heading2"/>
        <w:keepNext/>
        <w:keepLines/>
      </w:pPr>
      <w:r>
        <w:t>Las consecuencias de la guerra de Ucrania obligan a replantearse la seguridad alimentaria en la UE. La tierra debe destinarse prioritariamente a la producción de alimentos. Esto no debe competir con la instalación de paneles solares de escala industrial ni con la producción de biomasa para la obtención de energías renovables, usos que deben tener un carácter complementario.</w:t>
      </w:r>
    </w:p>
    <w:p w:rsidRPr="008802A8" w:rsidR="001632D0" w:rsidP="001632D0" w:rsidRDefault="001632D0" w14:paraId="1A550DDA" w14:textId="77777777">
      <w:pPr>
        <w:rPr>
          <w:lang w:val="en-GB"/>
        </w:rPr>
      </w:pPr>
    </w:p>
    <w:p w:rsidRPr="008802A8" w:rsidR="001632D0" w:rsidP="001632D0" w:rsidRDefault="001632D0" w14:paraId="4C011739" w14:textId="77777777">
      <w:pPr>
        <w:keepNext/>
        <w:rPr>
          <w:b/>
        </w:rPr>
      </w:pPr>
      <w:r>
        <w:rPr>
          <w:b/>
        </w:rPr>
        <w:t>Biometano</w:t>
      </w:r>
    </w:p>
    <w:p w:rsidRPr="008802A8" w:rsidR="001632D0" w:rsidP="001632D0" w:rsidRDefault="001632D0" w14:paraId="60E4B3EE" w14:textId="77777777">
      <w:pPr>
        <w:keepNext/>
        <w:rPr>
          <w:lang w:val="en-GB"/>
        </w:rPr>
      </w:pPr>
    </w:p>
    <w:p w:rsidRPr="008802A8" w:rsidR="001632D0" w:rsidP="001632D0" w:rsidRDefault="001632D0" w14:paraId="40D7A394" w14:textId="77777777">
      <w:pPr>
        <w:pStyle w:val="Heading2"/>
      </w:pPr>
      <w:r>
        <w:t>El biometano es un biogás al que se le ha eliminado el dióxido de carbono, el sulfuro de hidrógeno y el agua, tras lo cual puede inyectarse directamente en la red de gas o utilizarse en un vehículo con propulsión de gas.</w:t>
      </w:r>
    </w:p>
    <w:p w:rsidRPr="008802A8" w:rsidR="001632D0" w:rsidP="001632D0" w:rsidRDefault="001632D0" w14:paraId="2BAB30BF" w14:textId="77777777">
      <w:pPr>
        <w:rPr>
          <w:lang w:val="en-GB"/>
        </w:rPr>
      </w:pPr>
    </w:p>
    <w:p w:rsidRPr="008802A8" w:rsidR="001632D0" w:rsidP="001632D0" w:rsidRDefault="001632D0" w14:paraId="6179C9E7" w14:textId="77777777">
      <w:pPr>
        <w:pStyle w:val="Heading2"/>
      </w:pPr>
      <w:r>
        <w:t>Los digestores anaeróbicos deben establecerse en las proximidades de un suministro adecuado de purines. También pueden utilizarse los excedentes de hierba y maíz ensilados, siempre que ello no entre en conflicto con la producción de alimentos y forraje.</w:t>
      </w:r>
    </w:p>
    <w:p w:rsidRPr="008802A8" w:rsidR="001632D0" w:rsidP="001632D0" w:rsidRDefault="001632D0" w14:paraId="18439DCE" w14:textId="77777777">
      <w:pPr>
        <w:rPr>
          <w:lang w:val="en-GB"/>
        </w:rPr>
      </w:pPr>
    </w:p>
    <w:p w:rsidRPr="008802A8" w:rsidR="001632D0" w:rsidP="001632D0" w:rsidRDefault="001632D0" w14:paraId="7509971D" w14:textId="77777777">
      <w:pPr>
        <w:pStyle w:val="Heading2"/>
      </w:pPr>
      <w:r>
        <w:t>Es necesario seguir investigando para mejorar la eficiencia de los digestores anaeróbicos y reducir el coste asociado al proceso.</w:t>
      </w:r>
    </w:p>
    <w:p w:rsidRPr="008802A8" w:rsidR="001632D0" w:rsidP="001632D0" w:rsidRDefault="001632D0" w14:paraId="0BF724FB" w14:textId="77777777">
      <w:pPr>
        <w:rPr>
          <w:lang w:val="en-GB"/>
        </w:rPr>
      </w:pPr>
    </w:p>
    <w:p w:rsidRPr="008802A8" w:rsidR="001632D0" w:rsidP="001632D0" w:rsidRDefault="001632D0" w14:paraId="235264F6" w14:textId="77777777">
      <w:pPr>
        <w:pStyle w:val="Heading2"/>
      </w:pPr>
      <w:r>
        <w:t>Hay que promover y financiar el uso de digestores anaeróbicos como parte de la transición energética en las zonas rurales.</w:t>
      </w:r>
    </w:p>
    <w:p w:rsidRPr="008802A8" w:rsidR="001632D0" w:rsidP="001632D0" w:rsidRDefault="001632D0" w14:paraId="2AF7F88D" w14:textId="77777777">
      <w:pPr>
        <w:rPr>
          <w:lang w:val="en-GB"/>
        </w:rPr>
      </w:pPr>
    </w:p>
    <w:p w:rsidRPr="008802A8" w:rsidR="001632D0" w:rsidP="001632D0" w:rsidRDefault="001632D0" w14:paraId="06070222" w14:textId="77777777">
      <w:pPr>
        <w:pStyle w:val="Heading2"/>
      </w:pPr>
      <w:r>
        <w:t>La energía procedente de la biomasa puede utilizarse para producir calor o generar electricidad. La biomasa desempeñará un papel fundamental en la generación de electricidad renovable.</w:t>
      </w:r>
    </w:p>
    <w:p w:rsidRPr="008802A8" w:rsidR="001632D0" w:rsidP="001632D0" w:rsidRDefault="001632D0" w14:paraId="55E97BB6" w14:textId="77777777">
      <w:pPr>
        <w:rPr>
          <w:lang w:val="en-GB"/>
        </w:rPr>
      </w:pPr>
    </w:p>
    <w:p w:rsidRPr="008802A8" w:rsidR="001632D0" w:rsidP="001632D0" w:rsidRDefault="001632D0" w14:paraId="793BD925" w14:textId="77777777">
      <w:pPr>
        <w:keepNext/>
        <w:rPr>
          <w:b/>
        </w:rPr>
      </w:pPr>
      <w:r>
        <w:rPr>
          <w:b/>
        </w:rPr>
        <w:t>Viviendas rurales</w:t>
      </w:r>
    </w:p>
    <w:p w:rsidRPr="008802A8" w:rsidR="001632D0" w:rsidP="001632D0" w:rsidRDefault="001632D0" w14:paraId="08064D17" w14:textId="77777777">
      <w:pPr>
        <w:keepNext/>
        <w:rPr>
          <w:lang w:val="en-GB"/>
        </w:rPr>
      </w:pPr>
    </w:p>
    <w:p w:rsidRPr="008802A8" w:rsidR="001632D0" w:rsidP="001632D0" w:rsidRDefault="001632D0" w14:paraId="74C82D84" w14:textId="77777777">
      <w:pPr>
        <w:pStyle w:val="Heading2"/>
      </w:pPr>
      <w:r>
        <w:t>Muchos hogares rurales pueden instalar tecnologías de microgeneración, como paneles solares y pequeños aerogeneradores, con la posibilidad de vender a la red el exceso de producción.</w:t>
      </w:r>
    </w:p>
    <w:p w:rsidRPr="008802A8" w:rsidR="001632D0" w:rsidP="001632D0" w:rsidRDefault="001632D0" w14:paraId="3E8709B4" w14:textId="77777777">
      <w:pPr>
        <w:rPr>
          <w:lang w:val="en-GB"/>
        </w:rPr>
      </w:pPr>
    </w:p>
    <w:p w:rsidRPr="008802A8" w:rsidR="001632D0" w:rsidP="001632D0" w:rsidRDefault="001632D0" w14:paraId="5D8C15D5" w14:textId="77777777">
      <w:pPr>
        <w:pStyle w:val="Heading2"/>
      </w:pPr>
      <w:r>
        <w:t>Los hogares con bajos ingresos necesitan ayuda financiera para instalar equipos de microgeneración, lo que supondría una importante transición energética en los hogares rurales.</w:t>
      </w:r>
    </w:p>
    <w:p w:rsidRPr="008802A8" w:rsidR="001632D0" w:rsidP="001632D0" w:rsidRDefault="001632D0" w14:paraId="622E653E" w14:textId="77777777">
      <w:pPr>
        <w:rPr>
          <w:lang w:val="en-GB"/>
        </w:rPr>
      </w:pPr>
    </w:p>
    <w:p w:rsidRPr="008802A8" w:rsidR="001632D0" w:rsidP="001632D0" w:rsidRDefault="001632D0" w14:paraId="28EEE5B3" w14:textId="77777777">
      <w:pPr>
        <w:numPr>
          <w:ilvl w:val="1"/>
          <w:numId w:val="1"/>
        </w:numPr>
        <w:ind w:left="567" w:hanging="567"/>
        <w:outlineLvl w:val="1"/>
      </w:pPr>
      <w:r>
        <w:t>En general, las viviendas rurales están peor aisladas y son menos eficientes energéticamente que las urbanas. Muchas viviendas rurales son casas independientes ubicadas en lugares expuestos a la intemperie.</w:t>
      </w:r>
    </w:p>
    <w:p w:rsidRPr="008802A8" w:rsidR="001632D0" w:rsidP="001632D0" w:rsidRDefault="001632D0" w14:paraId="6FEEC643" w14:textId="77777777">
      <w:pPr>
        <w:rPr>
          <w:lang w:val="en-GB"/>
        </w:rPr>
      </w:pPr>
    </w:p>
    <w:p w:rsidRPr="008802A8" w:rsidR="001632D0" w:rsidP="001632D0" w:rsidRDefault="001632D0" w14:paraId="3638E80F" w14:textId="77777777">
      <w:pPr>
        <w:pStyle w:val="Heading2"/>
      </w:pPr>
      <w:r>
        <w:t>En el marco de la transición energética, es necesario un importante programa de inversión para acondicionar las viviendas rurales con el fin de mejorar su aislamiento y eficiencia energética. Esta inversión supondrá un gran avance en la reducción del consumo energético y la descarbonización de la calefacción de los hogares rurales. Será necesario un régimen de ayudas, ya que los costes de capital de un plan de reacondicionamiento importante son muy elevados. Los hogares con bajos ingresos y los que sufren pobreza energética necesitarán una ayuda especial para lograr esa transición.</w:t>
      </w:r>
    </w:p>
    <w:p w:rsidRPr="008802A8" w:rsidR="001632D0" w:rsidP="001632D0" w:rsidRDefault="001632D0" w14:paraId="402B5AB2" w14:textId="77777777">
      <w:pPr>
        <w:rPr>
          <w:lang w:val="en-GB"/>
        </w:rPr>
      </w:pPr>
    </w:p>
    <w:p w:rsidRPr="008802A8" w:rsidR="001632D0" w:rsidP="001632D0" w:rsidRDefault="001632D0" w14:paraId="5A4330EF" w14:textId="77777777">
      <w:pPr>
        <w:pStyle w:val="Heading1"/>
        <w:keepNext/>
      </w:pPr>
      <w:r>
        <w:rPr>
          <w:b/>
        </w:rPr>
        <w:t>La transición digital en las zonas rurales</w:t>
      </w:r>
    </w:p>
    <w:p w:rsidRPr="008802A8" w:rsidR="001632D0" w:rsidP="001632D0" w:rsidRDefault="001632D0" w14:paraId="5EB92B98" w14:textId="77777777">
      <w:pPr>
        <w:keepNext/>
        <w:rPr>
          <w:lang w:val="en-GB"/>
        </w:rPr>
      </w:pPr>
    </w:p>
    <w:p w:rsidRPr="008802A8" w:rsidR="001632D0" w:rsidP="001632D0" w:rsidRDefault="001632D0" w14:paraId="00CA6035" w14:textId="77777777">
      <w:pPr>
        <w:pStyle w:val="Heading2"/>
      </w:pPr>
      <w:r>
        <w:t>En 2021, la Comisión Europea presentó su visión de la transformación digital de Europa de aquí a 2030. En primer lugar, destacó la necesidad de que las propuestas legislativas de la Ley de Mercados Digitales y la Ley de Servicios Digitales garanticen un espacio digital más seguro, en el que se protejan los derechos fundamentales de los usuarios, y aseguren la igualdad de condiciones para las empresas europeas en el mundo digital.</w:t>
      </w:r>
    </w:p>
    <w:p w:rsidRPr="008802A8" w:rsidR="001632D0" w:rsidP="001632D0" w:rsidRDefault="001632D0" w14:paraId="6ED979A3" w14:textId="77777777">
      <w:pPr>
        <w:rPr>
          <w:lang w:val="en-GB"/>
        </w:rPr>
      </w:pPr>
    </w:p>
    <w:p w:rsidRPr="008802A8" w:rsidR="001632D0" w:rsidP="001632D0" w:rsidRDefault="001632D0" w14:paraId="281C5EC0" w14:textId="77777777">
      <w:pPr>
        <w:pStyle w:val="Heading2"/>
      </w:pPr>
      <w:r>
        <w:t>Para alimentar a una población mundial creciente, con un impacto medioambiental mínimo y de forma que se promueva la neutralidad del carbono, se necesitan infraestructuras digitales y tecnológicas en las zonas rurales que faciliten el uso eficiente y preciso de los recursos en la agricultura. Sin embargo, a pesar de que el 30 % de la población europea vive en zonas rurales y de que estas representan el 80 % del territorio de los veintisiete Estados miembros, la digitalización se enfrenta a mayores dificultades en las zonas rurales que, si no se abordan, socavarán las ambiciones digitales de Europa. El marco legislativo europeo para la Ley Rural Digital está concebido para resolver estas dificultades impulsando los siguientes aspectos:</w:t>
      </w:r>
    </w:p>
    <w:p w:rsidRPr="008802A8" w:rsidR="001632D0" w:rsidP="001632D0" w:rsidRDefault="001632D0" w14:paraId="636BA66B" w14:textId="77777777">
      <w:pPr>
        <w:rPr>
          <w:lang w:val="en-GB"/>
        </w:rPr>
      </w:pPr>
    </w:p>
    <w:p w:rsidRPr="008802A8" w:rsidR="001632D0" w:rsidP="001632D0" w:rsidRDefault="001632D0" w14:paraId="33DC3954" w14:textId="77777777">
      <w:pPr>
        <w:pStyle w:val="Heading3"/>
        <w:numPr>
          <w:ilvl w:val="0"/>
          <w:numId w:val="3"/>
        </w:numPr>
        <w:tabs>
          <w:tab w:val="num" w:pos="360"/>
        </w:tabs>
        <w:ind w:left="993" w:hanging="426"/>
      </w:pPr>
      <w:r>
        <w:t>cobertura igualitaria de la red de banda ancha garantizada para todas las regiones de Europa: actualmente la cobertura es buena en los grandes centros urbanos y mala en las zonas rurales; para cumplir los objetivos de digitalización hay que abordar este problema con urgencia a fin de no abrir una brecha aún mayor entre regiones;</w:t>
      </w:r>
    </w:p>
    <w:p w:rsidRPr="008802A8" w:rsidR="001632D0" w:rsidP="001632D0" w:rsidRDefault="001632D0" w14:paraId="229018EB" w14:textId="77777777">
      <w:pPr>
        <w:ind w:left="993" w:hanging="426"/>
        <w:rPr>
          <w:lang w:val="en-GB"/>
        </w:rPr>
      </w:pPr>
    </w:p>
    <w:p w:rsidRPr="008802A8" w:rsidR="001632D0" w:rsidP="001632D0" w:rsidRDefault="001632D0" w14:paraId="0D18BB34" w14:textId="77777777">
      <w:pPr>
        <w:pStyle w:val="Heading3"/>
        <w:numPr>
          <w:ilvl w:val="0"/>
          <w:numId w:val="3"/>
        </w:numPr>
        <w:tabs>
          <w:tab w:val="num" w:pos="360"/>
        </w:tabs>
        <w:ind w:left="993" w:hanging="426"/>
      </w:pPr>
      <w:r>
        <w:t>infraestructuras: garantizar la inversión privada en el desarrollo de las infraestructuras del último tramo, teniendo en cuenta los beneficios no financieros, como las externalidades socioeconómicas;</w:t>
      </w:r>
    </w:p>
    <w:p w:rsidRPr="008802A8" w:rsidR="001632D0" w:rsidP="001632D0" w:rsidRDefault="001632D0" w14:paraId="08D2667A" w14:textId="77777777">
      <w:pPr>
        <w:ind w:left="993" w:hanging="426"/>
        <w:rPr>
          <w:lang w:val="en-GB"/>
        </w:rPr>
      </w:pPr>
    </w:p>
    <w:p w:rsidRPr="008802A8" w:rsidR="001632D0" w:rsidP="001632D0" w:rsidRDefault="001632D0" w14:paraId="0AB20CB9" w14:textId="77777777">
      <w:pPr>
        <w:pStyle w:val="Heading3"/>
        <w:numPr>
          <w:ilvl w:val="0"/>
          <w:numId w:val="3"/>
        </w:numPr>
        <w:tabs>
          <w:tab w:val="num" w:pos="360"/>
        </w:tabs>
        <w:ind w:left="993" w:hanging="426"/>
      </w:pPr>
      <w:r>
        <w:t>desarrollo de capacidades: mejora de la alfabetización digital de los habitantes de las zonas rurales;</w:t>
      </w:r>
    </w:p>
    <w:p w:rsidRPr="008802A8" w:rsidR="001632D0" w:rsidP="001632D0" w:rsidRDefault="001632D0" w14:paraId="6B9EC3BC" w14:textId="77777777">
      <w:pPr>
        <w:ind w:left="993" w:hanging="426"/>
        <w:rPr>
          <w:lang w:val="en-GB"/>
        </w:rPr>
      </w:pPr>
    </w:p>
    <w:p w:rsidRPr="008802A8" w:rsidR="001632D0" w:rsidP="001632D0" w:rsidRDefault="001632D0" w14:paraId="44C7FBC8" w14:textId="77777777">
      <w:pPr>
        <w:pStyle w:val="Heading3"/>
        <w:numPr>
          <w:ilvl w:val="0"/>
          <w:numId w:val="3"/>
        </w:numPr>
        <w:tabs>
          <w:tab w:val="num" w:pos="360"/>
        </w:tabs>
        <w:ind w:left="993" w:hanging="426"/>
      </w:pPr>
      <w:r>
        <w:t>idoneidad: promover el desarrollo de aplicaciones que respondan a las necesidades de la comunidad agrícola y rural, que utilizan poco los servicios digitales diseñados para el entorno urbano.</w:t>
      </w:r>
    </w:p>
    <w:p w:rsidRPr="008802A8" w:rsidR="001632D0" w:rsidP="001632D0" w:rsidRDefault="001632D0" w14:paraId="4713047E" w14:textId="77777777">
      <w:pPr>
        <w:ind w:left="993" w:hanging="426"/>
        <w:rPr>
          <w:lang w:val="en-GB"/>
        </w:rPr>
      </w:pPr>
    </w:p>
    <w:p w:rsidRPr="008802A8" w:rsidR="001632D0" w:rsidP="001632D0" w:rsidRDefault="001632D0" w14:paraId="3FA031A3" w14:textId="77777777">
      <w:pPr>
        <w:pStyle w:val="Heading2"/>
      </w:pPr>
      <w:r>
        <w:t>La Ley Rural Digital, como mecanismo legislativo de la Comisión Europea, al igual que la Ley de Mercados Digitales y la Ley de Servicios Digitales, será un conjunto de normas, obligaciones y responsabilidades destinadas a garantizar que las zonas rurales europeas tengan acceso a un conjunto de iniciativas, herramientas y formas de acceso que, debido a la baja densidad de población, resultan económicamente desfavorables para la inversión privada. De este modo, la Ley Rural Digital garantizará que la digitalización se lleve a cabo en las zonas rurales, donde la necesidad de la misma es inversamente proporcional a los rendimientos financieros obtenidos.</w:t>
      </w:r>
    </w:p>
    <w:p w:rsidRPr="008802A8" w:rsidR="001632D0" w:rsidP="001632D0" w:rsidRDefault="001632D0" w14:paraId="7F9D0836" w14:textId="77777777">
      <w:pPr>
        <w:rPr>
          <w:lang w:val="en-GB"/>
        </w:rPr>
      </w:pPr>
    </w:p>
    <w:p w:rsidRPr="008802A8" w:rsidR="001632D0" w:rsidP="001632D0" w:rsidRDefault="001632D0" w14:paraId="46510331" w14:textId="77777777">
      <w:pPr>
        <w:pStyle w:val="Heading2"/>
      </w:pPr>
      <w:r>
        <w:t>Por último, la Ley Rural Digital será la mayor impulsora del Pacto Verde Europeo, de la Estrategia «De la Granja a la Mesa» y de la neutralidad del carbono en Europa de aquí a 2050, ya que la transición hacia un sistema alimentario justo, sano y respetuoso con el medio ambiente solo será posible si la tecnología y la digitalización están disponibles y son accesibles para el mundo agrícola y rural.</w:t>
      </w:r>
    </w:p>
    <w:p w:rsidRPr="008802A8" w:rsidR="001632D0" w:rsidP="001632D0" w:rsidRDefault="001632D0" w14:paraId="325A0FD6" w14:textId="77777777">
      <w:pPr>
        <w:rPr>
          <w:lang w:val="en-GB"/>
        </w:rPr>
      </w:pPr>
    </w:p>
    <w:p w:rsidRPr="008802A8" w:rsidR="00E2376B" w:rsidP="001632D0" w:rsidRDefault="001632D0" w14:paraId="441E63D4" w14:textId="77777777">
      <w:pPr>
        <w:pStyle w:val="Heading2"/>
        <w:overflowPunct w:val="0"/>
        <w:autoSpaceDE w:val="0"/>
        <w:autoSpaceDN w:val="0"/>
        <w:adjustRightInd w:val="0"/>
        <w:textAlignment w:val="baseline"/>
      </w:pPr>
      <w:r>
        <w:t xml:space="preserve">Como se subraya en el Dictamen del CESE </w:t>
      </w:r>
      <w:r>
        <w:rPr>
          <w:i/>
        </w:rPr>
        <w:t>Mejorar el nivel de inclusividad, seguridad y fiabilidad de la digitalización para todos</w:t>
      </w:r>
      <w:r w:rsidRPr="008802A8">
        <w:rPr>
          <w:rStyle w:val="FootnoteReference"/>
          <w:bCs/>
          <w:lang w:val="en-GB"/>
        </w:rPr>
        <w:footnoteReference w:id="6"/>
      </w:r>
      <w:r>
        <w:t>, no puede subestimarse la importancia de la digitalización, ya que puede «propiciar una mayor movilidad en el mercado laboral, mejorar la productividad y la flexibilidad en el lugar de trabajo y permitir la conciliación de la vida privada y la vida laboral cuando los trabajadores teletrabajan desde casa». Para que esto ocurra, es necesario un conjunto completo de capacidades digitales, independientemente de si los trabajadores viven en zonas urbanas o rurales. Sin embargo, existen barreras múltiples adicionales en lugares remotos. Por lo tanto, el CESE pide que la agenda específica de capacidades digitales apoye a los ciudadanos europeos que viven en zonas rurales. Este enfoque, que debe estar presente en el núcleo de la Ley Rural Digital, debe contribuir simultáneamente a reducir la brecha digital y a aprovechar los beneficios de la transformación digital de la sociedad.</w:t>
      </w:r>
    </w:p>
    <w:p w:rsidRPr="008802A8" w:rsidR="005E2018" w:rsidP="00E2376B" w:rsidRDefault="005E2018" w14:paraId="5CE882BF" w14:textId="77777777">
      <w:pPr>
        <w:rPr>
          <w:lang w:val="en-GB"/>
        </w:rPr>
      </w:pPr>
    </w:p>
    <w:p w:rsidRPr="008802A8" w:rsidR="005E2018" w:rsidP="005E2018" w:rsidRDefault="005E2018" w14:paraId="5EECC535" w14:textId="77777777">
      <w:r>
        <w:t>Bruselas, 21 de septiembre de 2022</w:t>
      </w:r>
    </w:p>
    <w:p w:rsidRPr="008802A8" w:rsidR="005E2018" w:rsidP="005E2018" w:rsidRDefault="005E2018" w14:paraId="3C566AB4" w14:textId="77777777">
      <w:pPr>
        <w:rPr>
          <w:lang w:val="en-GB"/>
        </w:rPr>
      </w:pPr>
    </w:p>
    <w:p w:rsidRPr="008802A8" w:rsidR="005E2018" w:rsidP="005E2018" w:rsidRDefault="005E2018" w14:paraId="5A485D2C" w14:textId="77777777">
      <w:pPr>
        <w:rPr>
          <w:lang w:val="en-GB"/>
        </w:rPr>
      </w:pPr>
    </w:p>
    <w:p w:rsidRPr="008802A8" w:rsidR="00E2376B" w:rsidP="005E2018" w:rsidRDefault="00E2376B" w14:paraId="252B3C66" w14:textId="77777777">
      <w:pPr>
        <w:rPr>
          <w:lang w:val="en-GB"/>
        </w:rPr>
      </w:pPr>
    </w:p>
    <w:p w:rsidRPr="008802A8" w:rsidR="00E2376B" w:rsidP="00E2376B" w:rsidRDefault="00E2376B" w14:paraId="7D67333E" w14:textId="212A920C">
      <w:pPr>
        <w:rPr>
          <w:lang w:val="en-GB"/>
        </w:rPr>
      </w:pPr>
    </w:p>
    <w:p w:rsidR="00F01B50" w:rsidP="00E2376B" w:rsidRDefault="005E2018" w14:paraId="7B25CDFA" w14:textId="77777777">
      <w:pPr>
        <w:jc w:val="left"/>
      </w:pPr>
      <w:r>
        <w:t>Christa SCHWENG</w:t>
      </w:r>
    </w:p>
    <w:p w:rsidRPr="008802A8" w:rsidR="00E2376B" w:rsidP="00E2376B" w:rsidRDefault="00E2376B" w14:paraId="745BE4C8" w14:textId="77777777">
      <w:pPr>
        <w:jc w:val="left"/>
      </w:pPr>
      <w:r>
        <w:t>Presidenta del Comité Económico y Social Europeo</w:t>
      </w:r>
    </w:p>
    <w:p w:rsidRPr="008802A8" w:rsidR="00E2376B" w:rsidP="00E2376B" w:rsidRDefault="00E2376B" w14:paraId="0464BB54" w14:textId="77777777">
      <w:pPr>
        <w:rPr>
          <w:lang w:val="en-GB"/>
        </w:rPr>
      </w:pPr>
    </w:p>
    <w:p w:rsidRPr="00331C3E" w:rsidR="00F53370" w:rsidP="00DB7F50" w:rsidRDefault="00E2376B" w14:paraId="277343EF" w14:textId="77777777">
      <w:pPr>
        <w:jc w:val="center"/>
      </w:pPr>
      <w:r>
        <w:t>_____________</w:t>
      </w:r>
    </w:p>
    <w:sectPr w:rsidRPr="00331C3E"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ADB04" w14:textId="77777777" w:rsidR="0049164C" w:rsidRDefault="0049164C" w:rsidP="00F53370">
      <w:pPr>
        <w:spacing w:line="240" w:lineRule="auto"/>
      </w:pPr>
      <w:r>
        <w:separator/>
      </w:r>
    </w:p>
  </w:endnote>
  <w:endnote w:type="continuationSeparator" w:id="0">
    <w:p w14:paraId="0DFC961D" w14:textId="77777777" w:rsidR="0049164C" w:rsidRDefault="0049164C"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83D82" w14:textId="77777777" w:rsidR="00D9641A" w:rsidRDefault="00D96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F943" w14:textId="77777777" w:rsidR="00D9641A" w:rsidRDefault="00D96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9630" w14:textId="77777777" w:rsidR="00D9641A" w:rsidRDefault="00D96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8CCB"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EB0D" w14:textId="6B08697C" w:rsidR="0084105C" w:rsidRPr="003065C9" w:rsidRDefault="00D9641A" w:rsidP="00D9641A">
    <w:pPr>
      <w:pStyle w:val="Footer"/>
      <w:jc w:val="left"/>
    </w:pPr>
    <w:r>
      <w:t xml:space="preserve">NAT/859 – EESC-2022-00484-00-01-AC-TRA (EN) </w:t>
    </w:r>
    <w:r>
      <w:fldChar w:fldCharType="begin"/>
    </w:r>
    <w:r>
      <w:instrText xml:space="preserve"> PAGE  \* Arabic  \* MERGEFORMAT </w:instrText>
    </w:r>
    <w:r>
      <w:fldChar w:fldCharType="separate"/>
    </w:r>
    <w:r w:rsidR="00BB0D83">
      <w:rPr>
        <w:noProof/>
      </w:rPr>
      <w:t>11</w:t>
    </w:r>
    <w:r>
      <w:fldChar w:fldCharType="end"/>
    </w:r>
    <w:r>
      <w:t>/</w:t>
    </w:r>
    <w:r>
      <w:fldChar w:fldCharType="begin"/>
    </w:r>
    <w:r>
      <w:instrText xml:space="preserve"> = </w:instrText>
    </w:r>
    <w:fldSimple w:instr=" NUMPAGES ">
      <w:r w:rsidR="00BB0D83">
        <w:rPr>
          <w:noProof/>
        </w:rPr>
        <w:instrText>13</w:instrText>
      </w:r>
    </w:fldSimple>
    <w:r>
      <w:instrText xml:space="preserve"> - 2 </w:instrText>
    </w:r>
    <w:r>
      <w:fldChar w:fldCharType="separate"/>
    </w:r>
    <w:r w:rsidR="00BB0D83">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3862A" w14:textId="77777777" w:rsidR="0049164C" w:rsidRDefault="0049164C" w:rsidP="00F53370">
      <w:pPr>
        <w:spacing w:line="240" w:lineRule="auto"/>
      </w:pPr>
      <w:r>
        <w:separator/>
      </w:r>
    </w:p>
  </w:footnote>
  <w:footnote w:type="continuationSeparator" w:id="0">
    <w:p w14:paraId="05D8687F" w14:textId="77777777" w:rsidR="0049164C" w:rsidRDefault="0049164C" w:rsidP="00F53370">
      <w:pPr>
        <w:spacing w:line="240" w:lineRule="auto"/>
      </w:pPr>
      <w:r>
        <w:continuationSeparator/>
      </w:r>
    </w:p>
  </w:footnote>
  <w:footnote w:id="1">
    <w:p w14:paraId="31A97636" w14:textId="77777777" w:rsidR="001632D0" w:rsidRPr="008802A8" w:rsidRDefault="001632D0" w:rsidP="001632D0">
      <w:pPr>
        <w:pStyle w:val="FootnoteText"/>
      </w:pPr>
      <w:r>
        <w:rPr>
          <w:rStyle w:val="FootnoteReference"/>
          <w:lang w:val="en-GB"/>
        </w:rPr>
        <w:footnoteRef/>
      </w:r>
      <w:r>
        <w:tab/>
        <w:t xml:space="preserve">Dictamen del CESE </w:t>
      </w:r>
      <w:hyperlink r:id="rId1" w:history="1">
        <w:r>
          <w:rPr>
            <w:rStyle w:val="Hyperlink"/>
          </w:rPr>
          <w:t>Hacia una estrategia integral para un desarrollo urbano y rural sostenible, DO C 105 de 4.3.2022, p. 49</w:t>
        </w:r>
      </w:hyperlink>
      <w:r>
        <w:t>.</w:t>
      </w:r>
    </w:p>
  </w:footnote>
  <w:footnote w:id="2">
    <w:p w14:paraId="4D28CC89" w14:textId="77777777" w:rsidR="001632D0" w:rsidRPr="008802A8" w:rsidRDefault="001632D0" w:rsidP="001632D0">
      <w:pPr>
        <w:pStyle w:val="FootnoteText"/>
      </w:pPr>
      <w:r>
        <w:rPr>
          <w:rStyle w:val="FootnoteReference"/>
          <w:lang w:val="en-GB"/>
        </w:rPr>
        <w:footnoteRef/>
      </w:r>
      <w:r>
        <w:tab/>
      </w:r>
      <w:hyperlink r:id="rId2" w:history="1">
        <w:r>
          <w:rPr>
            <w:rStyle w:val="Hyperlink"/>
          </w:rPr>
          <w:t>COM(2021) 345</w:t>
        </w:r>
      </w:hyperlink>
      <w:r>
        <w:t>.</w:t>
      </w:r>
    </w:p>
  </w:footnote>
  <w:footnote w:id="3">
    <w:p w14:paraId="313B7238" w14:textId="2991D1A6" w:rsidR="001632D0" w:rsidRPr="008802A8" w:rsidRDefault="001632D0" w:rsidP="001632D0">
      <w:pPr>
        <w:pStyle w:val="FootnoteText"/>
      </w:pPr>
      <w:r>
        <w:rPr>
          <w:rStyle w:val="FootnoteReference"/>
          <w:lang w:val="en-GB"/>
        </w:rPr>
        <w:footnoteRef/>
      </w:r>
      <w:r>
        <w:tab/>
        <w:t xml:space="preserve">Dictamen del CESE </w:t>
      </w:r>
      <w:hyperlink r:id="rId3" w:history="1">
        <w:r w:rsidRPr="00826C8E">
          <w:rPr>
            <w:rStyle w:val="Hyperlink"/>
            <w:iCs/>
          </w:rPr>
          <w:t>Una visión a largo plazo para las zonas rurales de la UE</w:t>
        </w:r>
        <w:r w:rsidR="00826C8E">
          <w:rPr>
            <w:rStyle w:val="Hyperlink"/>
            <w:iCs/>
          </w:rPr>
          <w:t>,</w:t>
        </w:r>
        <w:r w:rsidR="00826C8E" w:rsidRPr="00826C8E">
          <w:rPr>
            <w:rStyle w:val="Hyperlink"/>
            <w:iCs/>
          </w:rPr>
          <w:t xml:space="preserve"> </w:t>
        </w:r>
        <w:r w:rsidRPr="00826C8E">
          <w:rPr>
            <w:rStyle w:val="Hyperlink"/>
          </w:rPr>
          <w:t>DO C 290 de 29.7.2022, p. 137</w:t>
        </w:r>
      </w:hyperlink>
      <w:r>
        <w:t>.</w:t>
      </w:r>
    </w:p>
  </w:footnote>
  <w:footnote w:id="4">
    <w:p w14:paraId="5099AF00" w14:textId="2C87C103" w:rsidR="001632D0" w:rsidRPr="008802A8" w:rsidRDefault="001632D0" w:rsidP="001632D0">
      <w:pPr>
        <w:pStyle w:val="FootnoteText"/>
      </w:pPr>
      <w:r>
        <w:rPr>
          <w:rStyle w:val="FootnoteReference"/>
          <w:lang w:val="en-GB"/>
        </w:rPr>
        <w:footnoteRef/>
      </w:r>
      <w:r>
        <w:tab/>
        <w:t xml:space="preserve">Dictamen del CESE sobre el Reglamento relativo a la implantación de una infraestructura para los combustibles alternativos, </w:t>
      </w:r>
      <w:hyperlink r:id="rId4" w:history="1">
        <w:r w:rsidR="00826C8E">
          <w:rPr>
            <w:rStyle w:val="Hyperlink"/>
          </w:rPr>
          <w:t>DO </w:t>
        </w:r>
        <w:r>
          <w:rPr>
            <w:rStyle w:val="Hyperlink"/>
          </w:rPr>
          <w:t>C 152 de 6.4.2022, p. 138</w:t>
        </w:r>
      </w:hyperlink>
      <w:r>
        <w:t>.</w:t>
      </w:r>
    </w:p>
  </w:footnote>
  <w:footnote w:id="5">
    <w:p w14:paraId="32DB78FB" w14:textId="77777777" w:rsidR="001632D0" w:rsidRPr="008802A8" w:rsidRDefault="001632D0" w:rsidP="001632D0">
      <w:pPr>
        <w:pStyle w:val="FootnoteText"/>
      </w:pPr>
      <w:r>
        <w:rPr>
          <w:rStyle w:val="FootnoteReference"/>
          <w:lang w:val="en-GB"/>
        </w:rPr>
        <w:footnoteRef/>
      </w:r>
      <w:r>
        <w:tab/>
      </w:r>
      <w:hyperlink r:id="rId5" w:tgtFrame="_blank" w:history="1">
        <w:r>
          <w:rPr>
            <w:rStyle w:val="Hyperlink"/>
          </w:rPr>
          <w:t>Informe de taller del Parlamento Rural Europeo - Taller 21</w:t>
        </w:r>
      </w:hyperlink>
      <w:r>
        <w:t>.</w:t>
      </w:r>
    </w:p>
  </w:footnote>
  <w:footnote w:id="6">
    <w:p w14:paraId="28BCF0D4" w14:textId="231E061F" w:rsidR="001632D0" w:rsidRPr="008802A8" w:rsidRDefault="001632D0" w:rsidP="001632D0">
      <w:pPr>
        <w:pStyle w:val="FootnoteText"/>
      </w:pPr>
      <w:r>
        <w:rPr>
          <w:rStyle w:val="FootnoteReference"/>
          <w:lang w:val="en-GB"/>
        </w:rPr>
        <w:footnoteRef/>
      </w:r>
      <w:r>
        <w:tab/>
        <w:t xml:space="preserve">Dictamen del CESE </w:t>
      </w:r>
      <w:r>
        <w:rPr>
          <w:i/>
        </w:rPr>
        <w:t>Mejorar el nivel de inclusividad, seguridad y fiabilidad de la digitalización para todos</w:t>
      </w:r>
      <w:r>
        <w:t xml:space="preserve">, </w:t>
      </w:r>
      <w:r w:rsidR="002D62A5">
        <w:br/>
      </w:r>
      <w:hyperlink r:id="rId6" w:history="1">
        <w:r>
          <w:rPr>
            <w:rStyle w:val="Hyperlink"/>
          </w:rPr>
          <w:t>DO C 374 de 16.9.2021, p. 11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EA62" w14:textId="77777777" w:rsidR="00574C9B" w:rsidRDefault="00B2446E">
    <w:pPr>
      <w:pStyle w:val="Header"/>
    </w:pPr>
    <w:r>
      <w:pict w14:anchorId="4A22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7FFC" w14:textId="1213E5B3" w:rsidR="00574C9B" w:rsidRDefault="00BA77FB">
    <w:pPr>
      <w:pStyle w:val="Header"/>
    </w:pPr>
    <w:r>
      <w:rPr>
        <w:noProof/>
        <w:lang w:val="en-US"/>
      </w:rPr>
      <w:drawing>
        <wp:anchor distT="0" distB="0" distL="114300" distR="114300" simplePos="0" relativeHeight="251666432" behindDoc="0" locked="0" layoutInCell="1" allowOverlap="1" wp14:anchorId="6324F000" wp14:editId="68795738">
          <wp:simplePos x="0" y="0"/>
          <wp:positionH relativeFrom="page">
            <wp:align>center</wp:align>
          </wp:positionH>
          <wp:positionV relativeFrom="page">
            <wp:posOffset>288290</wp:posOffset>
          </wp:positionV>
          <wp:extent cx="6944360" cy="3343275"/>
          <wp:effectExtent l="0" t="0" r="8890" b="9525"/>
          <wp:wrapNone/>
          <wp:docPr id="1" name="Picture 1" title="EESCLogo2021_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B2446E">
      <w:pict w14:anchorId="6BC30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6C97" w14:textId="77777777" w:rsidR="00574C9B" w:rsidRDefault="00B2446E">
    <w:pPr>
      <w:pStyle w:val="Header"/>
    </w:pPr>
    <w:r>
      <w:pict w14:anchorId="34257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2E2E" w14:textId="77777777" w:rsidR="00574C9B" w:rsidRDefault="00B2446E">
    <w:pPr>
      <w:pStyle w:val="Header"/>
    </w:pPr>
    <w:r>
      <w:pict w14:anchorId="1D9FF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2DD4" w14:textId="77777777" w:rsidR="00574C9B" w:rsidRDefault="00574C9B">
    <w:pPr>
      <w:pStyle w:val="Header"/>
    </w:pPr>
    <w:r>
      <w:rPr>
        <w:noProof/>
        <w:lang w:val="en-US"/>
      </w:rPr>
      <w:drawing>
        <wp:anchor distT="0" distB="0" distL="114300" distR="114300" simplePos="0" relativeHeight="251665408" behindDoc="1" locked="0" layoutInCell="1" allowOverlap="1" wp14:anchorId="1C8F82B2" wp14:editId="4895AB3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61E2" w14:textId="77777777" w:rsidR="00574C9B" w:rsidRDefault="00B2446E">
    <w:pPr>
      <w:pStyle w:val="Header"/>
    </w:pPr>
    <w:r>
      <w:pict w14:anchorId="30D68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286F" w14:textId="77777777" w:rsidR="00FA08F8" w:rsidRDefault="00B24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2B210BE"/>
    <w:multiLevelType w:val="hybridMultilevel"/>
    <w:tmpl w:val="74DEF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2CF6"/>
    <w:rsid w:val="00053D00"/>
    <w:rsid w:val="000A0F3B"/>
    <w:rsid w:val="000E6F7F"/>
    <w:rsid w:val="001632D0"/>
    <w:rsid w:val="00174B3D"/>
    <w:rsid w:val="0018072B"/>
    <w:rsid w:val="0019231D"/>
    <w:rsid w:val="001D61AC"/>
    <w:rsid w:val="001E15AA"/>
    <w:rsid w:val="001E3FA1"/>
    <w:rsid w:val="00200E87"/>
    <w:rsid w:val="00214BDC"/>
    <w:rsid w:val="00215E81"/>
    <w:rsid w:val="0024727F"/>
    <w:rsid w:val="00247E2E"/>
    <w:rsid w:val="00282E3C"/>
    <w:rsid w:val="002B588C"/>
    <w:rsid w:val="002B6A7B"/>
    <w:rsid w:val="002D62A5"/>
    <w:rsid w:val="00301692"/>
    <w:rsid w:val="00331C3E"/>
    <w:rsid w:val="003353D7"/>
    <w:rsid w:val="00343744"/>
    <w:rsid w:val="003659F9"/>
    <w:rsid w:val="003F0C20"/>
    <w:rsid w:val="0042601B"/>
    <w:rsid w:val="0049164C"/>
    <w:rsid w:val="00495216"/>
    <w:rsid w:val="00555DDE"/>
    <w:rsid w:val="00574C9B"/>
    <w:rsid w:val="0058411F"/>
    <w:rsid w:val="005E2018"/>
    <w:rsid w:val="006125A1"/>
    <w:rsid w:val="00653E7D"/>
    <w:rsid w:val="00662207"/>
    <w:rsid w:val="00667F09"/>
    <w:rsid w:val="006B57A6"/>
    <w:rsid w:val="006D53A6"/>
    <w:rsid w:val="0072294B"/>
    <w:rsid w:val="00787837"/>
    <w:rsid w:val="00787ABB"/>
    <w:rsid w:val="007B6C64"/>
    <w:rsid w:val="007C0091"/>
    <w:rsid w:val="007D6FE8"/>
    <w:rsid w:val="00822952"/>
    <w:rsid w:val="00826C8E"/>
    <w:rsid w:val="00836505"/>
    <w:rsid w:val="00844B87"/>
    <w:rsid w:val="008667E0"/>
    <w:rsid w:val="008802A8"/>
    <w:rsid w:val="0089251B"/>
    <w:rsid w:val="008A6DD4"/>
    <w:rsid w:val="008B3360"/>
    <w:rsid w:val="008F74D7"/>
    <w:rsid w:val="00904C42"/>
    <w:rsid w:val="00924C05"/>
    <w:rsid w:val="00930325"/>
    <w:rsid w:val="00937CF2"/>
    <w:rsid w:val="00976645"/>
    <w:rsid w:val="00976F77"/>
    <w:rsid w:val="0098228C"/>
    <w:rsid w:val="009B7FBE"/>
    <w:rsid w:val="009E2100"/>
    <w:rsid w:val="00A36AB0"/>
    <w:rsid w:val="00A41548"/>
    <w:rsid w:val="00AB37A3"/>
    <w:rsid w:val="00AC5114"/>
    <w:rsid w:val="00AE09EB"/>
    <w:rsid w:val="00B2446E"/>
    <w:rsid w:val="00B25683"/>
    <w:rsid w:val="00B51901"/>
    <w:rsid w:val="00BA77FB"/>
    <w:rsid w:val="00BB0D83"/>
    <w:rsid w:val="00BB5EAD"/>
    <w:rsid w:val="00BD50F6"/>
    <w:rsid w:val="00C073E1"/>
    <w:rsid w:val="00C217D4"/>
    <w:rsid w:val="00C25647"/>
    <w:rsid w:val="00C36F7B"/>
    <w:rsid w:val="00C66AEA"/>
    <w:rsid w:val="00C751B7"/>
    <w:rsid w:val="00C9040A"/>
    <w:rsid w:val="00C91E4D"/>
    <w:rsid w:val="00CB110A"/>
    <w:rsid w:val="00CB7CD0"/>
    <w:rsid w:val="00CE1A69"/>
    <w:rsid w:val="00D039AF"/>
    <w:rsid w:val="00D66B28"/>
    <w:rsid w:val="00D949D4"/>
    <w:rsid w:val="00D95232"/>
    <w:rsid w:val="00D95F50"/>
    <w:rsid w:val="00D9641A"/>
    <w:rsid w:val="00DB7F50"/>
    <w:rsid w:val="00DE30C7"/>
    <w:rsid w:val="00DF400F"/>
    <w:rsid w:val="00E15BF4"/>
    <w:rsid w:val="00E2376B"/>
    <w:rsid w:val="00E26935"/>
    <w:rsid w:val="00E27707"/>
    <w:rsid w:val="00E35F5D"/>
    <w:rsid w:val="00E52B04"/>
    <w:rsid w:val="00E57AC5"/>
    <w:rsid w:val="00E661B7"/>
    <w:rsid w:val="00F01B50"/>
    <w:rsid w:val="00F2069F"/>
    <w:rsid w:val="00F53370"/>
    <w:rsid w:val="00F54565"/>
    <w:rsid w:val="00F90BE2"/>
    <w:rsid w:val="00FC0CEA"/>
    <w:rsid w:val="00FF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D8A821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F01B50"/>
    <w:rPr>
      <w:color w:val="954F72" w:themeColor="followedHyperlink"/>
      <w:u w:val="single"/>
    </w:rPr>
  </w:style>
  <w:style w:type="character" w:customStyle="1" w:styleId="UnresolvedMention">
    <w:name w:val="Unresolved Mention"/>
    <w:basedOn w:val="DefaultParagraphFont"/>
    <w:uiPriority w:val="99"/>
    <w:semiHidden/>
    <w:unhideWhenUsed/>
    <w:rsid w:val="00AE0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2.290.01.0137.01.SPA&amp;toc=OJ%3AC%3A2022%3A290%3ATOC" TargetMode="External"/><Relationship Id="rId2" Type="http://schemas.openxmlformats.org/officeDocument/2006/relationships/hyperlink" Target="https://eur-lex.europa.eu/legal-content/ES/TXT/?uri=CELEX:52021DC0345" TargetMode="External"/><Relationship Id="rId1" Type="http://schemas.openxmlformats.org/officeDocument/2006/relationships/hyperlink" Target="https://eur-lex.europa.eu/legal-content/ES/TXT/?uri=CELEX:52021IE2473" TargetMode="External"/><Relationship Id="rId6" Type="http://schemas.openxmlformats.org/officeDocument/2006/relationships/hyperlink" Target="https://eur-lex.europa.eu/legal-content/ES/ALL/?uri=CELEX:52021AE2647" TargetMode="External"/><Relationship Id="rId5" Type="http://schemas.openxmlformats.org/officeDocument/2006/relationships/hyperlink" Target="https://europeanruralparliament.com/index.php/eryp-declaration/category/78-communities-and-volunteering?download=353:communities-and-volunteering" TargetMode="External"/><Relationship Id="rId4" Type="http://schemas.openxmlformats.org/officeDocument/2006/relationships/hyperlink" Target="http://eur-lex.europa.eu/legal-content/ES/TXT/PDF/?uri=OJ:C:2022:152:FULL&amp;fr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P6FJPSUHKDC2-615694043-10800</_dlc_DocId>
    <_dlc_DocIdUrl xmlns="1299d781-265f-4ceb-999e-e1eca3df2c90">
      <Url>http://dm/eesc/2022/_layouts/15/DocIdRedir.aspx?ID=P6FJPSUHKDC2-615694043-10800</Url>
      <Description>P6FJPSUHKDC2-615694043-10800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2022-10-13T12:00:00+00:00</ProductionDate>
    <DocumentNumber xmlns="c4e897d8-46e1-4b1e-9089-1eeb3fbf7b3c">484</DocumentNumber>
    <FicheYear xmlns="1299d781-265f-4ceb-999e-e1eca3df2c90" xsi:nil="true"/>
    <DocumentVersion xmlns="1299d781-265f-4ceb-999e-e1eca3df2c90">1</DocumentVersion>
    <DossierNumber xmlns="1299d781-265f-4ceb-999e-e1eca3df2c90">859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47</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1299d781-265f-4ceb-999e-e1eca3df2c90">COMER &amp; MIRA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11931</FicheNumber>
    <OriginalSender xmlns="1299d781-265f-4ceb-999e-e1eca3df2c90">
      <UserInfo>
        <DisplayName>Fernandez Riego Maria Gabriela</DisplayName>
        <AccountId>1746</AccountId>
        <AccountType/>
      </UserInfo>
    </OriginalSender>
    <DocumentPart xmlns="1299d781-265f-4ceb-999e-e1eca3df2c90">0</DocumentPart>
    <AdoptionDate xmlns="1299d781-265f-4ceb-999e-e1eca3df2c90">2022-09-21T12:00:00+00:00</AdoptionDate>
    <RequestingService xmlns="1299d781-265f-4ceb-999e-e1eca3df2c90">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BDE6C-FF33-4E00-AC1B-346EAA9FC93E}"/>
</file>

<file path=customXml/itemProps2.xml><?xml version="1.0" encoding="utf-8"?>
<ds:datastoreItem xmlns:ds="http://schemas.openxmlformats.org/officeDocument/2006/customXml" ds:itemID="{AE569FF8-AE65-42FC-9EFA-636B0B7D361E}"/>
</file>

<file path=customXml/itemProps3.xml><?xml version="1.0" encoding="utf-8"?>
<ds:datastoreItem xmlns:ds="http://schemas.openxmlformats.org/officeDocument/2006/customXml" ds:itemID="{C00278F1-4117-44D2-AF06-4EC2F6C3D7E8}"/>
</file>

<file path=customXml/itemProps4.xml><?xml version="1.0" encoding="utf-8"?>
<ds:datastoreItem xmlns:ds="http://schemas.openxmlformats.org/officeDocument/2006/customXml" ds:itemID="{25946672-EDE2-4647-8004-55DCCE76A574}"/>
</file>

<file path=docProps/app.xml><?xml version="1.0" encoding="utf-8"?>
<Properties xmlns="http://schemas.openxmlformats.org/officeDocument/2006/extended-properties" xmlns:vt="http://schemas.openxmlformats.org/officeDocument/2006/docPropsVTypes">
  <Template>Normal.dotm</Template>
  <TotalTime>11</TotalTime>
  <Pages>13</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transición energética y digital en las zonas rurales</dc:title>
  <dc:subject>AC</dc:subject>
  <dc:creator/>
  <cp:keywords>EESC-2022-00484-00-01-AC-TRA-EN</cp:keywords>
  <dc:description>Rapporteur: COMER &amp; MIRA - Original language: EN - Date of document: 13/10/2022 - Date of meeting:  - External documents:  - Administrator: M. INIGUEZ YUSTE Arturo José</dc:description>
  <cp:lastModifiedBy/>
  <cp:revision>15</cp:revision>
  <dcterms:created xsi:type="dcterms:W3CDTF">2022-10-13T05:47:00Z</dcterms:created>
  <dcterms:modified xsi:type="dcterms:W3CDTF">2022-10-13T07:39:00Z</dcterms:modified>
  <cp:category>NAT/859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13/10/2022, 23/09/2022, 17/05/2022</vt:lpwstr>
  </property>
  <property fmtid="{D5CDD505-2E9C-101B-9397-08002B2CF9AE}" pid="4" name="Pref_Time">
    <vt:lpwstr>07:46:10, 13:47:50, 14:58:36</vt:lpwstr>
  </property>
  <property fmtid="{D5CDD505-2E9C-101B-9397-08002B2CF9AE}" pid="5" name="Pref_User">
    <vt:lpwstr>pacup, pacup, enied</vt:lpwstr>
  </property>
  <property fmtid="{D5CDD505-2E9C-101B-9397-08002B2CF9AE}" pid="6" name="Pref_FileName">
    <vt:lpwstr>EESC-2022-00484-00-01-AC-TRA.docx, EESC-2022-00484-00-00-AC-TRA-EN-CRR.docx, COR-EESC-2022-02592-00-00-ADMIN-ORI.docx</vt:lpwstr>
  </property>
  <property fmtid="{D5CDD505-2E9C-101B-9397-08002B2CF9AE}" pid="7" name="ContentTypeId">
    <vt:lpwstr>0x010100EA97B91038054C99906057A708A1480A005DCE0934FDE49F4A8834FE1079EABB52</vt:lpwstr>
  </property>
  <property fmtid="{D5CDD505-2E9C-101B-9397-08002B2CF9AE}" pid="8" name="_dlc_DocIdItemGuid">
    <vt:lpwstr>06324ef9-e2fe-48a2-b3ec-2876bc8c1f87</vt:lpwstr>
  </property>
  <property fmtid="{D5CDD505-2E9C-101B-9397-08002B2CF9AE}" pid="9" name="AvailableTranslations">
    <vt:lpwstr>37;#PT|50ccc04a-eadd-42ae-a0cb-acaf45f812ba;#29;#SV|c2ed69e7-a339-43d7-8f22-d93680a92aa0;#33;#IT|0774613c-01ed-4e5d-a25d-11d2388de825;#55;#HR|2f555653-ed1a-4fe6-8362-9082d95989e5;#31;#ES|e7a6b05b-ae16-40c8-add9-68b64b03aeba;#46;#EL|6d4f4d51-af9b-4650-94b4-4276bee85c91;#26;#LV|46f7e311-5d9f-4663-b433-18aeccb7ace7;#11;#FR|d2afafd3-4c81-4f60-8f52-ee33f2f54ff3;#63;#GA|762d2456-c427-4ecb-b312-af3dad8e258c;#54;#ET|ff6c3f4c-b02c-4c3c-ab07-2c37995a7a0a;#34;#SK|46d9fce0-ef79-4f71-b89b-cd6aa82426b8;#32;#DA|5d49c027-8956-412b-aa16-e85a0f96ad0e;#40;#BG|1a1b3951-7821-4e6a-85f5-5673fc08bd2c;#35;#MT|7df99101-6854-4a26-b53a-b88c0da02c26;#42;#SL|98a412ae-eb01-49e9-ae3d-585a81724cfc;#22;#DE|f6b31e5a-26fa-4935-b661-318e46daf27e;#43;#NL|55c6556c-b4f4-441d-9acf-c498d4f838bd;#44;#LT|a7ff5ce7-6123-4f68-865a-a57c31810414;#30;#PL|1e03da61-4678-4e07-b136-b5024ca9197b;#38;#FI|87606a43-d45f-42d6-b8c9-e1a3457db5b7;#4;#EN|f2175f21-25d7-44a3-96da-d6a61b075e1b;#45;#RO|feb747a2-64cd-4299-af12-4833ddc30497;#41;#CS|72f9705b-0217-4fd3-bea2-cbc7ed80e26e;#36;#HU|6b229040-c589-4408-b4c1-4285663d20a8</vt:lpwstr>
  </property>
  <property fmtid="{D5CDD505-2E9C-101B-9397-08002B2CF9AE}" pid="10" name="DocumentType_0">
    <vt:lpwstr>AC|a4cc1d15-fb08-4679-ad46-e4e0cba5fe92</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484</vt:i4>
  </property>
  <property fmtid="{D5CDD505-2E9C-101B-9397-08002B2CF9AE}" pid="14" name="DocumentVersion">
    <vt:i4>1</vt:i4>
  </property>
  <property fmtid="{D5CDD505-2E9C-101B-9397-08002B2CF9AE}" pid="15" name="DossierNumber">
    <vt:i4>859</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47;#NAT|b263ab5d-0564-42a8-87bf-1cc57d938922</vt:lpwstr>
  </property>
  <property fmtid="{D5CDD505-2E9C-101B-9397-08002B2CF9AE}" pid="19" name="DocumentSource">
    <vt:lpwstr>1;#EESC|422833ec-8d7e-4e65-8e4e-8bed07ffb729</vt:lpwstr>
  </property>
  <property fmtid="{D5CDD505-2E9C-101B-9397-08002B2CF9AE}" pid="20" name="AdoptionDate">
    <vt:filetime>2022-09-21T12:00:00Z</vt:filetime>
  </property>
  <property fmtid="{D5CDD505-2E9C-101B-9397-08002B2CF9AE}" pid="21" name="DocumentType">
    <vt:lpwstr>90;#AC|a4cc1d15-fb08-4679-ad46-e4e0cba5fe92</vt:lpwstr>
  </property>
  <property fmtid="{D5CDD505-2E9C-101B-9397-08002B2CF9AE}" pid="22" name="RequestingService">
    <vt:lpwstr>Systèmes alimentaires durables, environnement, dév. rural</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DA|5d49c027-8956-412b-aa16-e85a0f96ad0e;EN|f2175f21-25d7-44a3-96da-d6a61b075e1b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32;#DA|5d49c027-8956-412b-aa16-e85a0f96ad0e;#47;#NAT|b263ab5d-0564-42a8-87bf-1cc57d938922;#9;#Unrestricted|826e22d7-d029-4ec0-a450-0c28ff673572;#7;#TRA|150d2a88-1431-44e6-a8ca-0bb753ab8672;#6;#Final|ea5e6674-7b27-4bac-b091-73adbb394efe;#90;#AC|a4cc1d15-fb08-4679-ad46-e4e0cba5fe92;#4;#EN|f2175f21-25d7-44a3-96da-d6a61b075e1b;#1;#EESC|422833ec-8d7e-4e65-8e4e-8bed07ffb729</vt:lpwstr>
  </property>
  <property fmtid="{D5CDD505-2E9C-101B-9397-08002B2CF9AE}" pid="33" name="Rapporteur">
    <vt:lpwstr>COMER &amp; MIRA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11931</vt:i4>
  </property>
  <property fmtid="{D5CDD505-2E9C-101B-9397-08002B2CF9AE}" pid="38" name="DocumentLanguage">
    <vt:lpwstr>31;#ES|e7a6b05b-ae16-40c8-add9-68b64b03aeba</vt:lpwstr>
  </property>
  <property fmtid="{D5CDD505-2E9C-101B-9397-08002B2CF9AE}" pid="39" name="_docset_NoMedatataSyncRequired">
    <vt:lpwstr>False</vt:lpwstr>
  </property>
  <property name="OP_sanitized" fmtid="{D5CDD505-2E9C-101B-9397-08002B2CF9AE}" pid="39">
    <vt:lpwstr>True</vt:lpwstr>
  </property>
</Properties>
</file>