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A560D" w:rsidR="00646AC2" w:rsidP="00AB2604" w:rsidRDefault="00621065" w14:paraId="531B947C" w14:textId="167653AA">
      <w:pPr>
        <w:jc w:val="center"/>
      </w:pPr>
      <w:r>
        <w:rPr>
          <w:noProof/>
          <w:lang w:val="en-US"/>
        </w:rPr>
        <w:drawing>
          <wp:inline distT="0" distB="0" distL="0" distR="0" wp14:anchorId="11B32C79" wp14:editId="262C25B6">
            <wp:extent cx="1792605" cy="1239520"/>
            <wp:effectExtent l="0" t="0" r="0" b="0"/>
            <wp:docPr id="1" name="Picture 1" title="EESCLogo_ES"/>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FC6717">
        <w:rPr>
          <w:noProof/>
          <w:sz w:val="20"/>
          <w:lang w:val="en-US"/>
        </w:rPr>
        <mc:AlternateContent>
          <mc:Choice Requires="wps">
            <w:drawing>
              <wp:anchor distT="0" distB="0" distL="114300" distR="114300" simplePos="0" relativeHeight="251660288" behindDoc="1" locked="0" layoutInCell="0" allowOverlap="1" wp14:editId="5474689D" wp14:anchorId="1C22B73D">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398A" w:rsidRDefault="004D398A" w14:paraId="2CFAD2F1" w14:textId="77777777">
                            <w:pPr>
                              <w:jc w:val="center"/>
                              <w:rPr>
                                <w:rFonts w:ascii="Arial" w:hAnsi="Arial" w:cs="Arial"/>
                                <w:b/>
                                <w:bCs/>
                                <w:sz w:val="48"/>
                              </w:rPr>
                            </w:pPr>
                            <w:r>
                              <w:rPr>
                                <w:rFonts w:ascii="Arial" w:hAnsi="Arial"/>
                                <w:b/>
                                <w:sz w:val="48"/>
                              </w:rPr>
                              <w: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C22B73D">
                <v:stroke joinstyle="miter"/>
                <v:path gradientshapeok="t" o:connecttype="rect"/>
              </v:shapetype>
              <v:shape id="Text Box 17" style="position:absolute;left:0;text-align:left;margin-left:533pt;margin-top:793.8pt;width:51pt;height:31.2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">
                <v:textbox>
                  <w:txbxContent>
                    <w:p w:rsidRPr="00260E65" w:rsidR="004D398A" w:rsidRDefault="004D398A" w14:paraId="2CFAD2F1" w14:textId="77777777">
                      <w:pPr>
                        <w:jc w:val="center"/>
                        <w:rPr>
                          <w:rFonts w:ascii="Arial" w:hAnsi="Arial" w:cs="Arial"/>
                          <w:b/>
                          <w:bCs/>
                          <w:sz w:val="48"/>
                        </w:rPr>
                      </w:pPr>
                      <w:r>
                        <w:rPr>
                          <w:rFonts w:ascii="Arial" w:hAnsi="Arial"/>
                          <w:b/>
                          <w:sz w:val="48"/>
                        </w:rPr>
                        <w:t>ES</w:t>
                      </w:r>
                    </w:p>
                  </w:txbxContent>
                </v:textbox>
                <w10:wrap anchorx="page" anchory="page"/>
              </v:shape>
            </w:pict>
          </mc:Fallback>
        </mc:AlternateContent>
      </w:r>
    </w:p>
    <w:p w:rsidRPr="00EA560D" w:rsidR="008C74D9" w:rsidP="00AB2604" w:rsidRDefault="008C74D9" w14:paraId="641C2D6A" w14:textId="77777777">
      <w:pPr>
        <w:rPr>
          <w:lang w:val="en-GB"/>
        </w:rPr>
      </w:pPr>
    </w:p>
    <w:p w:rsidRPr="00EA560D" w:rsidR="00646AC2" w:rsidP="00AB2604" w:rsidRDefault="0045210A" w14:paraId="28072994" w14:textId="77777777">
      <w:pPr>
        <w:jc w:val="right"/>
      </w:pPr>
      <w:r>
        <w:rPr>
          <w:b/>
        </w:rPr>
        <w:t>CCMI/184</w:t>
      </w:r>
    </w:p>
    <w:p w:rsidR="00B101E4" w:rsidP="00AB2604" w:rsidRDefault="0045210A" w14:paraId="6061E97A" w14:textId="77777777">
      <w:pPr>
        <w:jc w:val="right"/>
        <w:rPr>
          <w:b/>
        </w:rPr>
      </w:pPr>
      <w:r>
        <w:rPr>
          <w:b/>
        </w:rPr>
        <w:t xml:space="preserve">Anticipación de las transformaciones estructurales y </w:t>
      </w:r>
    </w:p>
    <w:p w:rsidRPr="00EA560D" w:rsidR="00563C84" w:rsidP="00AB2604" w:rsidRDefault="0045210A" w14:paraId="35D2E616" w14:textId="5FE49CD8">
      <w:pPr>
        <w:jc w:val="right"/>
        <w:rPr>
          <w:b/>
        </w:rPr>
      </w:pPr>
      <w:r>
        <w:rPr>
          <w:b/>
        </w:rPr>
        <w:t>sectoriales y remodelación de las culturas industriales</w:t>
      </w:r>
    </w:p>
    <w:p w:rsidRPr="00EA560D" w:rsidR="009B30AA" w:rsidP="00AB2604" w:rsidRDefault="009B30AA" w14:paraId="76D1B33B" w14:textId="77777777">
      <w:pPr>
        <w:rPr>
          <w:lang w:val="en-GB"/>
        </w:rPr>
      </w:pPr>
    </w:p>
    <w:p w:rsidRPr="00EA560D" w:rsidR="009B30AA" w:rsidP="00AB2604" w:rsidRDefault="009B30AA" w14:paraId="65D5C515" w14:textId="77777777">
      <w:pPr>
        <w:rPr>
          <w:lang w:val="en-GB"/>
        </w:rPr>
      </w:pPr>
    </w:p>
    <w:p w:rsidRPr="00EA560D" w:rsidR="00646AC2" w:rsidP="00AB2604" w:rsidRDefault="00CC6FB0" w14:paraId="54F6B123" w14:textId="41C2E344">
      <w:pPr>
        <w:jc w:val="center"/>
      </w:pPr>
      <w:r>
        <w:rPr>
          <w:b/>
          <w:bCs/>
          <w:sz w:val="28"/>
        </w:rPr>
        <w:t>DICTAMEN</w:t>
      </w:r>
      <w:bookmarkStart w:name="_GoBack" w:id="0"/>
      <w:bookmarkEnd w:id="0"/>
      <w:r>
        <w:cr/>
      </w:r>
      <w:r>
        <w:br/>
        <w:t xml:space="preserve">Comisión Consultiva de las Transformaciones </w:t>
      </w:r>
      <w:r w:rsidR="00B101E4">
        <w:t>Industriales (CCMI)</w:t>
      </w:r>
      <w:r>
        <w:cr/>
      </w:r>
      <w:r>
        <w:br/>
      </w:r>
      <w:r>
        <w:rPr>
          <w:b/>
          <w:bCs/>
        </w:rPr>
        <w:t>Anticipación de las transformaciones estructurales y sectoriales y remodelación de las culturas industriales: hacia nuevas fronteras de recuperación y resiliencia en diferentes partes de Europa</w:t>
      </w:r>
      <w:r>
        <w:br/>
        <w:t>(Dictamen de iniciativa)</w:t>
      </w:r>
    </w:p>
    <w:p w:rsidRPr="00EA560D" w:rsidR="009B30AA" w:rsidP="00AB2604" w:rsidRDefault="009B30AA" w14:paraId="16F664E2" w14:textId="77777777">
      <w:pPr>
        <w:jc w:val="center"/>
        <w:rPr>
          <w:lang w:val="en-GB"/>
        </w:rPr>
      </w:pPr>
    </w:p>
    <w:tbl>
      <w:tblPr>
        <w:tblpPr w:leftFromText="181" w:rightFromText="181" w:tblpYSpec="bottom"/>
        <w:tblOverlap w:val="never"/>
        <w:tblW w:w="9289" w:type="dxa"/>
        <w:tblLayout w:type="fixed"/>
        <w:tblLook w:val="04A0" w:firstRow="1" w:lastRow="0" w:firstColumn="1" w:lastColumn="0" w:noHBand="0" w:noVBand="1"/>
      </w:tblPr>
      <w:tblGrid>
        <w:gridCol w:w="3085"/>
        <w:gridCol w:w="6204"/>
      </w:tblGrid>
      <w:tr w:rsidR="000954C8" w:rsidTr="000954C8" w14:paraId="7F9B3A52" w14:textId="77777777">
        <w:tc>
          <w:tcPr>
            <w:tcW w:w="3085" w:type="dxa"/>
          </w:tcPr>
          <w:p w:rsidRPr="00EA560D" w:rsidR="000954C8" w:rsidP="000954C8" w:rsidRDefault="000954C8" w14:paraId="706B35EA" w14:textId="77777777">
            <w:r>
              <w:t>Contacto</w:t>
            </w:r>
          </w:p>
        </w:tc>
        <w:tc>
          <w:tcPr>
            <w:tcW w:w="6204" w:type="dxa"/>
          </w:tcPr>
          <w:p w:rsidRPr="00EA560D" w:rsidR="000954C8" w:rsidP="000954C8" w:rsidRDefault="000268E6" w14:paraId="5C004DA3" w14:textId="77777777">
            <w:hyperlink w:history="1" r:id="rId13">
              <w:r w:rsidR="000212B1">
                <w:rPr>
                  <w:rStyle w:val="Hyperlink"/>
                </w:rPr>
                <w:t>emanuele.guicciardi@eesc.europa.eu</w:t>
              </w:r>
            </w:hyperlink>
          </w:p>
        </w:tc>
      </w:tr>
      <w:tr w:rsidR="000954C8" w:rsidTr="000954C8" w14:paraId="01195900" w14:textId="77777777">
        <w:tc>
          <w:tcPr>
            <w:tcW w:w="3085" w:type="dxa"/>
          </w:tcPr>
          <w:p w:rsidRPr="00EA560D" w:rsidR="000954C8" w:rsidP="000954C8" w:rsidRDefault="000954C8" w14:paraId="6C4F7BAE" w14:textId="77777777">
            <w:r>
              <w:t>Administrador</w:t>
            </w:r>
          </w:p>
        </w:tc>
        <w:tc>
          <w:tcPr>
            <w:tcW w:w="6204" w:type="dxa"/>
          </w:tcPr>
          <w:p w:rsidRPr="00EA560D" w:rsidR="000954C8" w:rsidP="000954C8" w:rsidRDefault="000954C8" w14:paraId="4048BE11" w14:textId="77777777">
            <w:proofErr w:type="spellStart"/>
            <w:r>
              <w:t>Emanuele</w:t>
            </w:r>
            <w:proofErr w:type="spellEnd"/>
            <w:r>
              <w:t xml:space="preserve"> GUICCIARDI</w:t>
            </w:r>
          </w:p>
        </w:tc>
      </w:tr>
      <w:tr w:rsidR="000954C8" w:rsidTr="000954C8" w14:paraId="4477F631" w14:textId="77777777">
        <w:tc>
          <w:tcPr>
            <w:tcW w:w="3085" w:type="dxa"/>
          </w:tcPr>
          <w:p w:rsidRPr="00EA560D" w:rsidR="000954C8" w:rsidP="000954C8" w:rsidRDefault="000954C8" w14:paraId="29A25650" w14:textId="77777777">
            <w:r>
              <w:t>Fecha del documento</w:t>
            </w:r>
          </w:p>
        </w:tc>
        <w:tc>
          <w:tcPr>
            <w:tcW w:w="6204" w:type="dxa"/>
          </w:tcPr>
          <w:p w:rsidRPr="00EA560D" w:rsidR="000954C8" w:rsidP="000954C8" w:rsidRDefault="00FC6717" w14:paraId="53D615CD" w14:textId="5E5A629C">
            <w:r>
              <w:t>16/11/2021</w:t>
            </w:r>
          </w:p>
        </w:tc>
      </w:tr>
    </w:tbl>
    <w:p w:rsidRPr="00EA560D" w:rsidR="00704FBB" w:rsidP="00AB2604" w:rsidRDefault="007F5E0D" w14:paraId="7CFF77EE" w14:textId="77C79955">
      <w:pPr>
        <w:jc w:val="center"/>
      </w:pPr>
      <w:r>
        <w:t xml:space="preserve">Ponente: </w:t>
      </w:r>
      <w:r>
        <w:rPr>
          <w:b/>
        </w:rPr>
        <w:t>Norbert KLUGE</w:t>
      </w:r>
    </w:p>
    <w:p w:rsidRPr="00EA560D" w:rsidR="00FA1E9B" w:rsidP="00AB2604" w:rsidRDefault="00FA1E9B" w14:paraId="6FA8DE8B" w14:textId="54F877CE">
      <w:pPr>
        <w:jc w:val="center"/>
        <w:rPr>
          <w:b/>
        </w:rPr>
      </w:pPr>
      <w:r>
        <w:t xml:space="preserve">Coponente: </w:t>
      </w:r>
      <w:proofErr w:type="spellStart"/>
      <w:r>
        <w:rPr>
          <w:b/>
        </w:rPr>
        <w:t>Dirk</w:t>
      </w:r>
      <w:proofErr w:type="spellEnd"/>
      <w:r>
        <w:rPr>
          <w:b/>
        </w:rPr>
        <w:t xml:space="preserve"> JARRÉ</w:t>
      </w:r>
    </w:p>
    <w:p w:rsidRPr="00EA560D" w:rsidR="00B72517" w:rsidP="00AB2604" w:rsidRDefault="00B72517" w14:paraId="3C6E68B7" w14:textId="77777777">
      <w:pPr>
        <w:jc w:val="center"/>
        <w:rPr>
          <w:b/>
          <w:lang w:val="en-GB"/>
        </w:rPr>
      </w:pPr>
    </w:p>
    <w:p w:rsidRPr="00EA560D" w:rsidR="00E32DC6" w:rsidP="00AB2604" w:rsidRDefault="00E32DC6" w14:paraId="72B415CF" w14:textId="77777777">
      <w:pPr>
        <w:jc w:val="center"/>
        <w:rPr>
          <w:b/>
          <w:lang w:val="en-GB"/>
        </w:rPr>
      </w:pPr>
    </w:p>
    <w:p w:rsidRPr="00EA560D" w:rsidR="00E32DC6" w:rsidP="00AB2604" w:rsidRDefault="00E32DC6" w14:paraId="01B5A488" w14:textId="77777777">
      <w:pPr>
        <w:rPr>
          <w:lang w:val="en-GB"/>
        </w:rPr>
      </w:pPr>
    </w:p>
    <w:p w:rsidRPr="00EA560D" w:rsidR="00E32DC6" w:rsidP="00AB2604" w:rsidRDefault="00E32DC6" w14:paraId="3075B279" w14:textId="77777777">
      <w:pPr>
        <w:rPr>
          <w:lang w:val="en-GB"/>
        </w:rPr>
        <w:sectPr w:rsidRPr="00EA560D" w:rsidR="00E32DC6" w:rsidSect="00FC6717">
          <w:footerReference w:type="default" r:id="rId14"/>
          <w:pgSz w:w="11907" w:h="16839" w:code="9"/>
          <w:pgMar w:top="1417" w:right="1417" w:bottom="1417" w:left="1417" w:header="709" w:footer="709" w:gutter="0"/>
          <w:pgNumType w:start="1"/>
          <w:cols w:space="720"/>
          <w:docGrid w:linePitch="299"/>
        </w:sectPr>
      </w:pPr>
    </w:p>
    <w:p w:rsidRPr="00EA560D" w:rsidR="0012220C" w:rsidP="00AB2604" w:rsidRDefault="0012220C" w14:paraId="1A6D32DD" w14:textId="77777777">
      <w:pPr>
        <w:rPr>
          <w:lang w:val="en-GB"/>
        </w:rPr>
      </w:pPr>
    </w:p>
    <w:tbl>
      <w:tblPr>
        <w:tblW w:w="0" w:type="auto"/>
        <w:tblLook w:val="04A0" w:firstRow="1" w:lastRow="0" w:firstColumn="1" w:lastColumn="0" w:noHBand="0" w:noVBand="1"/>
      </w:tblPr>
      <w:tblGrid>
        <w:gridCol w:w="3055"/>
        <w:gridCol w:w="6018"/>
      </w:tblGrid>
      <w:tr w:rsidR="00F61849" w14:paraId="2542D410" w14:textId="77777777">
        <w:tc>
          <w:tcPr>
            <w:tcW w:w="3055" w:type="dxa"/>
          </w:tcPr>
          <w:p w:rsidRPr="00EA560D" w:rsidR="007E50BF" w:rsidP="00AB2604" w:rsidRDefault="007E50BF" w14:paraId="6A44F564" w14:textId="77777777">
            <w:r>
              <w:t>Decisión del Pleno</w:t>
            </w:r>
          </w:p>
        </w:tc>
        <w:tc>
          <w:tcPr>
            <w:tcW w:w="6018" w:type="dxa"/>
          </w:tcPr>
          <w:p w:rsidRPr="00EA560D" w:rsidR="007E50BF" w:rsidP="00AB2604" w:rsidRDefault="00FA1E9B" w14:paraId="7286E480" w14:textId="77777777">
            <w:r>
              <w:t>25/03/2021</w:t>
            </w:r>
          </w:p>
        </w:tc>
      </w:tr>
      <w:tr w:rsidR="00F61849" w14:paraId="0FCE1FEA" w14:textId="77777777">
        <w:tc>
          <w:tcPr>
            <w:tcW w:w="3055" w:type="dxa"/>
          </w:tcPr>
          <w:p w:rsidRPr="00EA560D" w:rsidR="00243E36" w:rsidP="00AB2604" w:rsidRDefault="00243E36" w14:paraId="5B98DD2C" w14:textId="77777777">
            <w:r>
              <w:t>Fundamento jurídico</w:t>
            </w:r>
          </w:p>
        </w:tc>
        <w:tc>
          <w:tcPr>
            <w:tcW w:w="6018" w:type="dxa"/>
          </w:tcPr>
          <w:p w:rsidRPr="00EA560D" w:rsidR="00243E36" w:rsidP="00AB2604" w:rsidRDefault="00243E36" w14:paraId="1269CB89" w14:textId="77777777">
            <w:r>
              <w:t>Artículo 32, apartado 2, del Reglamento interno</w:t>
            </w:r>
          </w:p>
        </w:tc>
      </w:tr>
      <w:tr w:rsidR="00F61849" w14:paraId="71AB0D07" w14:textId="77777777">
        <w:tc>
          <w:tcPr>
            <w:tcW w:w="3055" w:type="dxa"/>
          </w:tcPr>
          <w:p w:rsidRPr="00EA560D" w:rsidR="00243E36" w:rsidP="00AB2604" w:rsidRDefault="00243E36" w14:paraId="6B894128" w14:textId="77777777">
            <w:pPr>
              <w:rPr>
                <w:lang w:val="en-GB"/>
              </w:rPr>
            </w:pPr>
          </w:p>
        </w:tc>
        <w:tc>
          <w:tcPr>
            <w:tcW w:w="6018" w:type="dxa"/>
          </w:tcPr>
          <w:p w:rsidRPr="00EA560D" w:rsidR="00243E36" w:rsidP="00AB2604" w:rsidRDefault="00243E36" w14:paraId="0B9596F1" w14:textId="77777777">
            <w:r>
              <w:t>Dictamen de iniciativa</w:t>
            </w:r>
          </w:p>
        </w:tc>
      </w:tr>
      <w:tr w:rsidR="00F61849" w14:paraId="4A1FA826" w14:textId="77777777">
        <w:tc>
          <w:tcPr>
            <w:tcW w:w="3055" w:type="dxa"/>
          </w:tcPr>
          <w:p w:rsidRPr="00EA560D" w:rsidR="00BA1290" w:rsidP="00AB2604" w:rsidRDefault="00BA1290" w14:paraId="2DF2065A" w14:textId="77777777">
            <w:pPr>
              <w:rPr>
                <w:lang w:val="en-GB"/>
              </w:rPr>
            </w:pPr>
          </w:p>
        </w:tc>
        <w:tc>
          <w:tcPr>
            <w:tcW w:w="6018" w:type="dxa"/>
          </w:tcPr>
          <w:p w:rsidRPr="00EA560D" w:rsidR="00BA1290" w:rsidP="00AB2604" w:rsidRDefault="00BA1290" w14:paraId="38EA8330" w14:textId="77777777">
            <w:pPr>
              <w:rPr>
                <w:lang w:val="en-GB"/>
              </w:rPr>
            </w:pPr>
          </w:p>
        </w:tc>
      </w:tr>
      <w:tr w:rsidR="00F61849" w14:paraId="3B829525" w14:textId="77777777">
        <w:tc>
          <w:tcPr>
            <w:tcW w:w="3055" w:type="dxa"/>
          </w:tcPr>
          <w:p w:rsidRPr="00EA560D" w:rsidR="00DF5B64" w:rsidP="00AB2604" w:rsidRDefault="00AD4B4F" w14:paraId="78134F68" w14:textId="77777777">
            <w:r>
              <w:t>Sección competente</w:t>
            </w:r>
          </w:p>
        </w:tc>
        <w:tc>
          <w:tcPr>
            <w:tcW w:w="6018" w:type="dxa"/>
          </w:tcPr>
          <w:p w:rsidR="00B101E4" w:rsidP="00AB2604" w:rsidRDefault="004C7810" w14:paraId="270C48FA" w14:textId="77777777">
            <w:r>
              <w:t xml:space="preserve">Comisión Consultiva de las Transformaciones </w:t>
            </w:r>
          </w:p>
          <w:p w:rsidRPr="00EA560D" w:rsidR="00DF5B64" w:rsidP="00AB2604" w:rsidRDefault="004C7810" w14:paraId="17DA36A1" w14:textId="554083C7">
            <w:r>
              <w:t>Industriales (CCMI)</w:t>
            </w:r>
          </w:p>
        </w:tc>
      </w:tr>
      <w:tr w:rsidR="00F61849" w14:paraId="1BA07007" w14:textId="77777777">
        <w:tc>
          <w:tcPr>
            <w:tcW w:w="3055" w:type="dxa"/>
          </w:tcPr>
          <w:p w:rsidRPr="00EA560D" w:rsidR="00A156E6" w:rsidP="00AB2604" w:rsidRDefault="00A156E6" w14:paraId="0EC04F44" w14:textId="77777777">
            <w:r>
              <w:t>Aprobado en la CCMI</w:t>
            </w:r>
          </w:p>
        </w:tc>
        <w:tc>
          <w:tcPr>
            <w:tcW w:w="6018" w:type="dxa"/>
          </w:tcPr>
          <w:p w:rsidRPr="00EA560D" w:rsidR="00A156E6" w:rsidP="004971D7" w:rsidRDefault="004971D7" w14:paraId="02AD9AA1" w14:textId="24B990E4">
            <w:r>
              <w:t>10/11/2021</w:t>
            </w:r>
          </w:p>
        </w:tc>
      </w:tr>
      <w:tr w:rsidR="00F61849" w14:paraId="74F6903C" w14:textId="77777777">
        <w:tc>
          <w:tcPr>
            <w:tcW w:w="3055" w:type="dxa"/>
          </w:tcPr>
          <w:p w:rsidRPr="00EA560D" w:rsidR="00A156E6" w:rsidP="00AB2604" w:rsidRDefault="00A156E6" w14:paraId="1AB63CF7" w14:textId="77777777">
            <w:r>
              <w:t>Aprobado en el pleno</w:t>
            </w:r>
          </w:p>
        </w:tc>
        <w:tc>
          <w:tcPr>
            <w:tcW w:w="6018" w:type="dxa"/>
          </w:tcPr>
          <w:p w:rsidRPr="00EA560D" w:rsidR="00A156E6" w:rsidP="00AB2604" w:rsidRDefault="003439AB" w14:paraId="5C4D9FD4" w14:textId="77777777">
            <w:r>
              <w:t>DD/MM/YYYY</w:t>
            </w:r>
          </w:p>
        </w:tc>
      </w:tr>
      <w:tr w:rsidR="00F61849" w14:paraId="320849E1" w14:textId="77777777">
        <w:tc>
          <w:tcPr>
            <w:tcW w:w="3055" w:type="dxa"/>
          </w:tcPr>
          <w:p w:rsidRPr="00EA560D" w:rsidR="00BA1290" w:rsidP="00AB2604" w:rsidRDefault="00BA1290" w14:paraId="032BB4B9" w14:textId="77777777">
            <w:r>
              <w:t>Pleno n.º</w:t>
            </w:r>
          </w:p>
        </w:tc>
        <w:tc>
          <w:tcPr>
            <w:tcW w:w="6018" w:type="dxa"/>
          </w:tcPr>
          <w:p w:rsidRPr="00EA560D" w:rsidR="00BA1290" w:rsidP="00AB2604" w:rsidRDefault="00BA1290" w14:paraId="3EC0E118" w14:textId="77777777">
            <w:r>
              <w:t>…</w:t>
            </w:r>
          </w:p>
        </w:tc>
      </w:tr>
      <w:tr w:rsidR="00F61849" w14:paraId="03070ECA" w14:textId="77777777">
        <w:tc>
          <w:tcPr>
            <w:tcW w:w="3055" w:type="dxa"/>
          </w:tcPr>
          <w:p w:rsidRPr="00EA560D" w:rsidR="00D423D4" w:rsidP="00EA560D" w:rsidRDefault="0043024C" w14:paraId="69174655" w14:textId="77777777">
            <w:pPr>
              <w:jc w:val="left"/>
            </w:pPr>
            <w:r>
              <w:t>Resultado de la votación</w:t>
            </w:r>
            <w:r>
              <w:br/>
              <w:t>(a favor/en contra/abstenciones)</w:t>
            </w:r>
          </w:p>
        </w:tc>
        <w:tc>
          <w:tcPr>
            <w:tcW w:w="6018" w:type="dxa"/>
            <w:vAlign w:val="bottom"/>
          </w:tcPr>
          <w:p w:rsidRPr="00EA560D" w:rsidR="00A156E6" w:rsidP="00AB2604" w:rsidRDefault="00A156E6" w14:paraId="3CF21BB9" w14:textId="77777777">
            <w:r>
              <w:t>…/…/…</w:t>
            </w:r>
          </w:p>
        </w:tc>
      </w:tr>
    </w:tbl>
    <w:p w:rsidRPr="00EA560D" w:rsidR="0090053A" w:rsidP="00AB2604" w:rsidRDefault="0090053A" w14:paraId="390F15C7" w14:textId="77777777">
      <w:pPr>
        <w:rPr>
          <w:lang w:val="en-GB"/>
        </w:rPr>
      </w:pPr>
    </w:p>
    <w:p w:rsidRPr="00EA560D" w:rsidR="00646AC2" w:rsidP="00AB2604" w:rsidRDefault="00646AC2" w14:paraId="12C34172" w14:textId="77777777">
      <w:r>
        <w:br w:type="page"/>
      </w:r>
    </w:p>
    <w:p w:rsidRPr="00EA560D" w:rsidR="00011D33" w:rsidP="00EA560D" w:rsidRDefault="00011D33" w14:paraId="4493AFA0" w14:textId="688DD6E7">
      <w:pPr>
        <w:pStyle w:val="Heading1"/>
        <w:keepNext/>
        <w:numPr>
          <w:ilvl w:val="0"/>
          <w:numId w:val="2"/>
        </w:numPr>
        <w:ind w:left="567" w:hanging="567"/>
      </w:pPr>
      <w:r>
        <w:rPr>
          <w:b/>
        </w:rPr>
        <w:lastRenderedPageBreak/>
        <w:t>Conclusiones y recomendaciones</w:t>
      </w:r>
    </w:p>
    <w:p w:rsidRPr="00EA560D" w:rsidR="00AB2604" w:rsidP="00EA560D" w:rsidRDefault="00AB2604" w14:paraId="610BB7E4" w14:textId="77777777">
      <w:pPr>
        <w:pStyle w:val="Heading1"/>
        <w:keepNext/>
        <w:numPr>
          <w:ilvl w:val="0"/>
          <w:numId w:val="0"/>
        </w:numPr>
        <w:rPr>
          <w:lang w:val="en-GB"/>
        </w:rPr>
      </w:pPr>
    </w:p>
    <w:p w:rsidR="00A30100" w:rsidP="00AB2604" w:rsidRDefault="00A273F6" w14:paraId="239797DD" w14:textId="7DF8321F">
      <w:pPr>
        <w:pStyle w:val="ListParagraph"/>
        <w:numPr>
          <w:ilvl w:val="1"/>
          <w:numId w:val="2"/>
        </w:numPr>
        <w:ind w:left="567" w:hanging="567"/>
        <w:contextualSpacing w:val="0"/>
      </w:pPr>
      <w:r>
        <w:t>Reducir las emisiones de CO</w:t>
      </w:r>
      <w:r>
        <w:rPr>
          <w:vertAlign w:val="subscript"/>
        </w:rPr>
        <w:t>2</w:t>
      </w:r>
      <w:r>
        <w:t xml:space="preserve"> en al menos un 55 % de aquí a 2030: este es el objetivo, vinculante y exigente, de la «transición justa» que deben acometer las políticas de la UE y los gobiernos de los Estados miembros, así como las empresas de las regiones en las que viven y trabajan los ciudadanos y ciudadanas europeos. Este objetivo requiere ahora un esfuerzo común para anticipar el impacto en la vida económica y social, y cartografiar las estrategias y medidas correspondientes. </w:t>
      </w:r>
    </w:p>
    <w:p w:rsidRPr="00816A88" w:rsidR="00816A88" w:rsidP="00816A88" w:rsidRDefault="00816A88" w14:paraId="036A0C85" w14:textId="77777777">
      <w:pPr>
        <w:rPr>
          <w:lang w:val="en-GB"/>
        </w:rPr>
      </w:pPr>
    </w:p>
    <w:p w:rsidR="00A30100" w:rsidP="009B42BD" w:rsidRDefault="00A30100" w14:paraId="35B4AA46" w14:textId="0E2CDB96">
      <w:pPr>
        <w:pStyle w:val="ListParagraph"/>
        <w:numPr>
          <w:ilvl w:val="1"/>
          <w:numId w:val="2"/>
        </w:numPr>
        <w:ind w:left="567" w:hanging="567"/>
        <w:contextualSpacing w:val="0"/>
      </w:pPr>
      <w:r>
        <w:t>El CESE expresa su convencimiento de que la nueva Estrategia Industrial para Europa y el paquete de medidas «Objetivo 55», presentados por la Comisión Europea, servirán de apoyo a la «transición justa». A este respecto, el CESE acoge favorablemente el nuevo Fondo Social para el Clima, destinado a compensar las desventajas sociales en el marco de dicho paquete de medidas. La pandemia de COVID-19 también ha puesto de manifiesto la necesidad de acelerar el ritmo de la transición hacia un modelo social, económico e industrial más sostenible, más digital y más robusto. En particular, el CESE observa que las disparidades regionales y las desigualdades sociales desempeñan un papel importante en este contexto.</w:t>
      </w:r>
    </w:p>
    <w:p w:rsidRPr="00816A88" w:rsidR="00816A88" w:rsidP="00816A88" w:rsidRDefault="00816A88" w14:paraId="3ABA531B" w14:textId="77777777">
      <w:pPr>
        <w:rPr>
          <w:lang w:val="en-GB"/>
        </w:rPr>
      </w:pPr>
    </w:p>
    <w:p w:rsidR="00A62E21" w:rsidP="00D33E60" w:rsidRDefault="00A62E21" w14:paraId="6D4D762B" w14:textId="78A3A055">
      <w:pPr>
        <w:pStyle w:val="ListParagraph"/>
        <w:numPr>
          <w:ilvl w:val="1"/>
          <w:numId w:val="2"/>
        </w:numPr>
        <w:ind w:left="567" w:hanging="567"/>
        <w:contextualSpacing w:val="0"/>
      </w:pPr>
      <w:r>
        <w:t>Todas estas cuestiones ya forman parte de la agenda política (por ejemplo, el Pacto Verde, la economía circular, la transición justa, los programas estructurales, etc.), pero no se abordan de manera integrada. El CESE recomienda, por lo tanto, que se tenga en cuenta la experiencia adquirida en diferentes ámbitos políticos, países y regiones, considerando sus diferencias y particularidades.</w:t>
      </w:r>
    </w:p>
    <w:p w:rsidRPr="00816A88" w:rsidR="00816A88" w:rsidP="00816A88" w:rsidRDefault="00816A88" w14:paraId="3F5025A4" w14:textId="77777777">
      <w:pPr>
        <w:rPr>
          <w:lang w:val="en-GB"/>
        </w:rPr>
      </w:pPr>
    </w:p>
    <w:p w:rsidR="0079280B" w:rsidP="00AB2604" w:rsidRDefault="00A62E21" w14:paraId="06DCB805" w14:textId="2C7AA479">
      <w:pPr>
        <w:pStyle w:val="ListParagraph"/>
        <w:numPr>
          <w:ilvl w:val="1"/>
          <w:numId w:val="2"/>
        </w:numPr>
        <w:ind w:left="567" w:hanging="567"/>
        <w:contextualSpacing w:val="0"/>
      </w:pPr>
      <w:r>
        <w:t>El desarrollo de unas condiciones de competencia equitativas en el plano económico es un requisito imprescindible. Para ello, es necesario tener en cuenta el diálogo social entre los interlocutores sociales y el diálogo civil para la cocreación. Esto debería favorecer la creación de un conjunto de defensores de la UE que, a su vez, puedan reforzar la soberanía económica de la UE.</w:t>
      </w:r>
    </w:p>
    <w:p w:rsidRPr="00816A88" w:rsidR="00816A88" w:rsidP="00816A88" w:rsidRDefault="00816A88" w14:paraId="07870B09" w14:textId="77777777">
      <w:pPr>
        <w:rPr>
          <w:lang w:val="en-GB"/>
        </w:rPr>
      </w:pPr>
    </w:p>
    <w:p w:rsidR="00653120" w:rsidP="00135CF3" w:rsidRDefault="00675E20" w14:paraId="41FDE564" w14:textId="767BF980">
      <w:pPr>
        <w:pStyle w:val="ListParagraph"/>
        <w:numPr>
          <w:ilvl w:val="1"/>
          <w:numId w:val="2"/>
        </w:numPr>
        <w:ind w:left="567" w:hanging="567"/>
        <w:contextualSpacing w:val="0"/>
      </w:pPr>
      <w:r>
        <w:t>No habrá Pacto Verde sin un «pacto social» integrado</w:t>
      </w:r>
      <w:r w:rsidR="00A62E21">
        <w:rPr>
          <w:rStyle w:val="FootnoteReference"/>
          <w:lang w:val="en-GB"/>
        </w:rPr>
        <w:footnoteReference w:id="1"/>
      </w:r>
      <w:r>
        <w:t>. Así pues, el CESE aboga por reforzar la aplicación del pilar europeo de derechos sociales</w:t>
      </w:r>
      <w:r w:rsidR="00653120">
        <w:rPr>
          <w:rStyle w:val="FootnoteReference"/>
          <w:lang w:val="en-GB"/>
        </w:rPr>
        <w:footnoteReference w:id="2"/>
      </w:r>
      <w:r>
        <w:t xml:space="preserve">, considerado por la UE y sus Estados miembros como un instrumento para orientar las acciones destinadas a atenuar el impacto social de las transformaciones industriales. El pilar europeo se fundamenta esencialmente en el diálogo social y los convenios colectivos, que sientan las bases de las decisiones de las empresas en las que se informa de manera adecuada a los trabajadores y se tienen en cuenta sus intereses a través de la consulta y, en su caso, la participación en la supervisión y gestión de la empresa.  </w:t>
      </w:r>
    </w:p>
    <w:p w:rsidRPr="00816A88" w:rsidR="00816A88" w:rsidP="00816A88" w:rsidRDefault="00816A88" w14:paraId="7D46D96F" w14:textId="77777777">
      <w:pPr>
        <w:rPr>
          <w:lang w:val="en-GB"/>
        </w:rPr>
      </w:pPr>
    </w:p>
    <w:p w:rsidR="003A2FE4" w:rsidP="00B101E4" w:rsidRDefault="009B42BD" w14:paraId="102860C9" w14:textId="4182CC91">
      <w:pPr>
        <w:pStyle w:val="ListParagraph"/>
        <w:numPr>
          <w:ilvl w:val="1"/>
          <w:numId w:val="2"/>
        </w:numPr>
        <w:ind w:left="567" w:hanging="567"/>
        <w:contextualSpacing w:val="0"/>
      </w:pPr>
      <w:r>
        <w:t xml:space="preserve">El CESE señala que los éxitos económicos y medioambientales se logran y se hacen realidad sobre todo allí donde viven las personas. Es ahí donde se anticipan y se determinan </w:t>
      </w:r>
      <w:r>
        <w:lastRenderedPageBreak/>
        <w:t xml:space="preserve">conjuntamente los retos que plantea la protección del clima, y donde surgen nuevas ideas que la industria transforma en productos y servicios competitivos a escala mundial. </w:t>
      </w:r>
    </w:p>
    <w:p w:rsidR="00F919D7" w:rsidP="00F919D7" w:rsidRDefault="00F919D7" w14:paraId="6904C013" w14:textId="77777777">
      <w:pPr>
        <w:pStyle w:val="ListParagraph"/>
        <w:ind w:left="420"/>
        <w:contextualSpacing w:val="0"/>
        <w:rPr>
          <w:lang w:val="en-GB"/>
        </w:rPr>
      </w:pPr>
    </w:p>
    <w:p w:rsidR="007F0A83" w:rsidP="009B42BD" w:rsidRDefault="009A3E51" w14:paraId="09F85E95" w14:textId="152ABE0F">
      <w:pPr>
        <w:pStyle w:val="ListParagraph"/>
        <w:numPr>
          <w:ilvl w:val="1"/>
          <w:numId w:val="2"/>
        </w:numPr>
        <w:ind w:left="567" w:hanging="567"/>
        <w:contextualSpacing w:val="0"/>
      </w:pPr>
      <w:r>
        <w:t xml:space="preserve">Las «vías de transición», conceptualizadas en la nueva Estrategia Industrial para Europa y debatidas por el Foro Industrial de la UE, ofrecen apoyo y orientación a la ciudadanía de la Unión. No obstante, los puntos de partida específicos a escala regional varían enormemente y se necesitan distintas estrategias para alcanzar el objetivo general. El CESE pide, por lo tanto, a la Comisión Europea que preste especial atención a estos diferentes requisitos a la hora de establecer el marco y evaluar la Estrategia Industrial para Europa, para poder responder de manera flexible a las necesidades regionales y sectoriales. </w:t>
      </w:r>
    </w:p>
    <w:p w:rsidRPr="00F919D7" w:rsidR="00F919D7" w:rsidP="00F919D7" w:rsidRDefault="00F919D7" w14:paraId="094C745E" w14:textId="77777777">
      <w:pPr>
        <w:rPr>
          <w:lang w:val="en-GB"/>
        </w:rPr>
      </w:pPr>
    </w:p>
    <w:p w:rsidRPr="008B4BF6" w:rsidR="006F0362" w:rsidP="00F5069B" w:rsidRDefault="007F0A83" w14:paraId="04C94AD2" w14:textId="51D4800A">
      <w:pPr>
        <w:pStyle w:val="ListParagraph"/>
        <w:numPr>
          <w:ilvl w:val="1"/>
          <w:numId w:val="2"/>
        </w:numPr>
        <w:ind w:left="567" w:hanging="567"/>
        <w:contextualSpacing w:val="0"/>
      </w:pPr>
      <w:r>
        <w:t xml:space="preserve">La subsidiariedad debe considerarse desde el punto de vista de su capacidad de crear un recurso sólido para la «transición justa». Las regiones y las áreas metropolitanas son las que mejor conocen sus propios problemas y oportunidades. Por este motivo, el CESE reconoce que deben definirse claramente los objetivos y principios vinculantes de la política industrial europea acordados conjuntamente a escala de la UE. Es importante tener presente que las medidas de aplicación en las regiones y las áreas metropolitanas deben basarse en el principio de subsidiariedad. </w:t>
      </w:r>
    </w:p>
    <w:p w:rsidRPr="00DA10F3" w:rsidR="002D2C8D" w:rsidP="00C56BAA" w:rsidRDefault="002D2C8D" w14:paraId="68483747" w14:textId="77777777">
      <w:pPr>
        <w:pStyle w:val="ListParagraph"/>
        <w:ind w:left="567"/>
        <w:contextualSpacing w:val="0"/>
        <w:rPr>
          <w:rFonts w:eastAsia="MS Mincho"/>
          <w:lang w:val="en-GB"/>
        </w:rPr>
      </w:pPr>
    </w:p>
    <w:p w:rsidRPr="00816A88" w:rsidR="002D2C8D" w:rsidP="009B42BD" w:rsidRDefault="005F7748" w14:paraId="357D800D" w14:textId="240A983E">
      <w:pPr>
        <w:pStyle w:val="ListParagraph"/>
        <w:numPr>
          <w:ilvl w:val="1"/>
          <w:numId w:val="2"/>
        </w:numPr>
        <w:ind w:left="567" w:hanging="567"/>
        <w:contextualSpacing w:val="0"/>
        <w:rPr>
          <w:rFonts w:eastAsia="MS Mincho"/>
        </w:rPr>
      </w:pPr>
      <w:r>
        <w:t xml:space="preserve">Las situaciones y las capacidades para abordar los objetivos climáticos, sociales y medioambientales son muy diversas. Mientras que algunas industrias y empresas pueden lograr dicho objetivo con más facilidad, es posible que otras tropiecen con mayores dificultades para avanzar. Por tanto, las regiones más débiles y algunas industrias necesitan una atención especial y un apoyo específico. Dado que el objetivo general se aplica a toda la cadena de valor, es importante concentrarse antes que nada en los efectos más rápidos y en las transformaciones de mayor alcance. </w:t>
      </w:r>
    </w:p>
    <w:p w:rsidRPr="00816A88" w:rsidR="00816A88" w:rsidP="00816A88" w:rsidRDefault="00816A88" w14:paraId="093BBE17" w14:textId="77777777">
      <w:pPr>
        <w:rPr>
          <w:rFonts w:eastAsia="MS Mincho"/>
          <w:lang w:val="en-GB"/>
        </w:rPr>
      </w:pPr>
    </w:p>
    <w:p w:rsidRPr="00EA560D" w:rsidR="00816A88" w:rsidP="00D33E60" w:rsidRDefault="00816A88" w14:paraId="20673628" w14:textId="0D4ACD93">
      <w:pPr>
        <w:pStyle w:val="ListParagraph"/>
        <w:numPr>
          <w:ilvl w:val="1"/>
          <w:numId w:val="2"/>
        </w:numPr>
        <w:ind w:left="567" w:hanging="567"/>
        <w:contextualSpacing w:val="0"/>
        <w:rPr>
          <w:rFonts w:eastAsia="MS Mincho"/>
        </w:rPr>
      </w:pPr>
      <w:r>
        <w:t>El CESE señala que este es el principio gracias al cual las empresas pueden recuperar su competitividad económica y sostenible, con la ayuda de empresarios y directivos comprometidos y de trabajadores suficientemente formados y cualificados. Las pymes desempeñan un papel importante a este respecto. La adopción de una agenda de capital humano es un requisito previo para que la transición de las empresas llegue a buen puerto.</w:t>
      </w:r>
    </w:p>
    <w:p w:rsidRPr="00EA560D" w:rsidR="002D2C8D" w:rsidP="00EA560D" w:rsidRDefault="002D2C8D" w14:paraId="2AA643B9" w14:textId="77777777">
      <w:pPr>
        <w:pStyle w:val="ListParagraph"/>
        <w:ind w:left="567"/>
        <w:contextualSpacing w:val="0"/>
        <w:rPr>
          <w:rFonts w:eastAsia="MS Mincho"/>
          <w:lang w:val="en-GB"/>
        </w:rPr>
      </w:pPr>
    </w:p>
    <w:p w:rsidRPr="00EA560D" w:rsidR="002D2C8D" w:rsidP="00D33E60" w:rsidRDefault="00816A88" w14:paraId="4780D13F" w14:textId="5A2B283E">
      <w:pPr>
        <w:pStyle w:val="ListParagraph"/>
        <w:numPr>
          <w:ilvl w:val="1"/>
          <w:numId w:val="2"/>
        </w:numPr>
        <w:ind w:left="567" w:hanging="567"/>
        <w:contextualSpacing w:val="0"/>
        <w:rPr>
          <w:rFonts w:eastAsia="MS Mincho"/>
        </w:rPr>
      </w:pPr>
      <w:r>
        <w:t>Los Estados miembros deben reforzar, con el apoyo logístico y financiero de la Unión Europea, las inversiones públicas estructurales y orientadas a los procesos, prestando servicios de interés general orientados a mejorar constantemente las condiciones favorables para el desarrollo industrial y social, que permitan reforzar las capacidades de los entes regionales y locales para hacer frente eficazmente a los retos medioambientales, tecnológicos, económicos y sociales.</w:t>
      </w:r>
    </w:p>
    <w:p w:rsidRPr="00EA560D" w:rsidR="002D2C8D" w:rsidP="00EA560D" w:rsidRDefault="002D2C8D" w14:paraId="33E82AD7" w14:textId="77777777">
      <w:pPr>
        <w:pStyle w:val="ListParagraph"/>
        <w:ind w:left="567"/>
        <w:contextualSpacing w:val="0"/>
        <w:rPr>
          <w:rFonts w:eastAsia="MS Mincho"/>
          <w:lang w:val="en-GB"/>
        </w:rPr>
      </w:pPr>
    </w:p>
    <w:p w:rsidRPr="00A62E21" w:rsidR="00BE02B9" w:rsidP="00AC427B" w:rsidRDefault="00F87536" w14:paraId="3DFFC395" w14:textId="4CD21A43">
      <w:pPr>
        <w:pStyle w:val="ListParagraph"/>
        <w:numPr>
          <w:ilvl w:val="1"/>
          <w:numId w:val="2"/>
        </w:numPr>
        <w:ind w:left="567" w:hanging="567"/>
        <w:contextualSpacing w:val="0"/>
      </w:pPr>
      <w:r>
        <w:t>El CESE aboga por que la Estrategia Industrial para Europa anticipe y contrarreste el aumento de la pobreza y la desigualdad, ya que el Pacto Verde debe ir acompañado de un «pacto social» integrado. Así pues, es preciso concentrar los recursos donde más se necesitan. Una política global de la UE en materia de sostenibilidad debe fomentar en mayor medida la justicia y la participación en la economía, lo que redundará en beneficio de las personas y las regiones</w:t>
      </w:r>
      <w:r w:rsidRPr="00EA560D" w:rsidR="000D6553">
        <w:rPr>
          <w:sz w:val="24"/>
          <w:szCs w:val="24"/>
          <w:vertAlign w:val="superscript"/>
          <w:lang w:val="en-GB"/>
        </w:rPr>
        <w:footnoteReference w:id="3"/>
      </w:r>
      <w:r>
        <w:t xml:space="preserve">. La </w:t>
      </w:r>
      <w:r>
        <w:lastRenderedPageBreak/>
        <w:t>vida civil y laboral en Europa debe responder al requisito de crear sostenibilidad sobre la base de un crecimiento integrador y sostenible, el trabajo digno y la justicia social</w:t>
      </w:r>
      <w:r w:rsidR="00AC427B">
        <w:rPr>
          <w:rStyle w:val="FootnoteReference"/>
          <w:rFonts w:eastAsia="MS Mincho"/>
          <w:lang w:val="en-GB"/>
        </w:rPr>
        <w:footnoteReference w:id="4"/>
      </w:r>
      <w:r>
        <w:t xml:space="preserve">. </w:t>
      </w:r>
    </w:p>
    <w:p w:rsidRPr="00BE02B9" w:rsidR="00BE02B9" w:rsidP="00A62E21" w:rsidRDefault="00BE02B9" w14:paraId="17FF0C63" w14:textId="77777777">
      <w:pPr>
        <w:pStyle w:val="ListParagraph"/>
        <w:rPr>
          <w:lang w:val="en-GB"/>
        </w:rPr>
      </w:pPr>
    </w:p>
    <w:p w:rsidRPr="007447F3" w:rsidR="006F0362" w:rsidP="009B42BD" w:rsidRDefault="00C76D53" w14:paraId="6CC0427C" w14:textId="1EDCA589">
      <w:pPr>
        <w:pStyle w:val="ListParagraph"/>
        <w:numPr>
          <w:ilvl w:val="1"/>
          <w:numId w:val="2"/>
        </w:numPr>
        <w:ind w:left="567" w:hanging="567"/>
        <w:contextualSpacing w:val="0"/>
        <w:rPr>
          <w:rFonts w:eastAsia="MS Mincho"/>
        </w:rPr>
      </w:pPr>
      <w:r>
        <w:t>El CESE apoya la transición hacia una economía circular que ponga fin al despilfarro de recursos no renovables y reduzca la dependencia internacional. Esto también debería ser una parte importante de la Estrategia Industrial para Europa. Por consiguiente, deben modificarse las condiciones marco para crear ventajas competitivas para las empresas que se adhieran a los principios de una economía circular.</w:t>
      </w:r>
    </w:p>
    <w:p w:rsidRPr="00EA560D" w:rsidR="00EB6389" w:rsidP="00EA560D" w:rsidRDefault="00EB6389" w14:paraId="51F06806" w14:textId="77777777">
      <w:pPr>
        <w:pStyle w:val="ListParagraph"/>
        <w:ind w:left="567"/>
        <w:contextualSpacing w:val="0"/>
        <w:rPr>
          <w:lang w:val="en-GB"/>
        </w:rPr>
      </w:pPr>
    </w:p>
    <w:p w:rsidRPr="00EA560D" w:rsidR="00730952" w:rsidP="00AB2604" w:rsidRDefault="006E108C" w14:paraId="0ED38866" w14:textId="0FDFD98E">
      <w:pPr>
        <w:pStyle w:val="Heading1"/>
        <w:keepNext/>
        <w:keepLines/>
        <w:numPr>
          <w:ilvl w:val="0"/>
          <w:numId w:val="2"/>
        </w:numPr>
        <w:ind w:left="567" w:hanging="567"/>
        <w:rPr>
          <w:b/>
        </w:rPr>
      </w:pPr>
      <w:r>
        <w:rPr>
          <w:b/>
        </w:rPr>
        <w:t>Una transición justa como oportunidad para la recuperación industrial y el crecimiento</w:t>
      </w:r>
    </w:p>
    <w:p w:rsidRPr="00EA560D" w:rsidR="006F0362" w:rsidP="00AB2604" w:rsidRDefault="006F0362" w14:paraId="642458D7" w14:textId="77777777">
      <w:pPr>
        <w:keepNext/>
        <w:keepLines/>
        <w:rPr>
          <w:lang w:val="en-GB"/>
        </w:rPr>
      </w:pPr>
    </w:p>
    <w:p w:rsidRPr="00EA560D" w:rsidR="00C110CF" w:rsidP="00AB2604" w:rsidRDefault="00C110CF" w14:paraId="61711B40" w14:textId="5824DAFC">
      <w:pPr>
        <w:pStyle w:val="ListParagraph"/>
        <w:numPr>
          <w:ilvl w:val="1"/>
          <w:numId w:val="2"/>
        </w:numPr>
        <w:ind w:left="567" w:hanging="567"/>
        <w:contextualSpacing w:val="0"/>
      </w:pPr>
      <w:r>
        <w:t>El Pacto Verde establece un objetivo claro y políticamente vinculante: debe lograrse en Europa una reducción global de las emisiones de gases de efecto invernadero del 55 % de aquí a 2030. Este objetivo se concretó en el paquete de medidas «Objetivo 55», que la Comisión Europea presentó en julio de 2021. Ya no queda margen de interpretación. Un sistema de comercio internacional justo ha de garantizar que las empresas puedan seguir siendo competitivas a nivel mundial, al tiempo que cumplen los objetivos del Pacto Verde, y para ello se necesita, entre otras cosas, un sistema de ajuste de carbono transfronterizo y transcontinental. De esta manera se crean incentivos para que los socios comerciales ingresen en el club de las naciones que respetan los límites del planeta.</w:t>
      </w:r>
    </w:p>
    <w:p w:rsidRPr="00EA560D" w:rsidR="006F0362" w:rsidP="00AB2604" w:rsidRDefault="006F0362" w14:paraId="4B2F5CB6" w14:textId="77777777">
      <w:pPr>
        <w:rPr>
          <w:lang w:val="en-GB"/>
        </w:rPr>
      </w:pPr>
    </w:p>
    <w:p w:rsidRPr="00EA560D" w:rsidR="00AE739D" w:rsidP="00AB2604" w:rsidRDefault="00D716A6" w14:paraId="7304929F" w14:textId="0719E955">
      <w:pPr>
        <w:pStyle w:val="ListParagraph"/>
        <w:numPr>
          <w:ilvl w:val="1"/>
          <w:numId w:val="2"/>
        </w:numPr>
        <w:ind w:left="567" w:hanging="567"/>
        <w:contextualSpacing w:val="0"/>
      </w:pPr>
      <w:r>
        <w:t xml:space="preserve">Los países no pertenecientes a la UE que cuentan con una normativa medioambiental deficiente aumentan la presión sobre la UE, que dispone de una reglamentación medioambiental más severa. Estas interacciones mundiales no deben generar </w:t>
      </w:r>
      <w:r>
        <w:rPr>
          <w:i/>
          <w:iCs/>
        </w:rPr>
        <w:t>dumping</w:t>
      </w:r>
      <w:r>
        <w:t xml:space="preserve"> medioambiental.</w:t>
      </w:r>
    </w:p>
    <w:p w:rsidRPr="00EA560D" w:rsidR="006F0362" w:rsidP="00AB2604" w:rsidRDefault="006F0362" w14:paraId="1179DC2B" w14:textId="77777777">
      <w:pPr>
        <w:rPr>
          <w:lang w:val="en-GB"/>
        </w:rPr>
      </w:pPr>
    </w:p>
    <w:p w:rsidRPr="00EA560D" w:rsidR="00C110CF" w:rsidP="00AB2604" w:rsidRDefault="00C81E20" w14:paraId="0B002196" w14:textId="09DF91DA">
      <w:pPr>
        <w:pStyle w:val="ListParagraph"/>
        <w:numPr>
          <w:ilvl w:val="1"/>
          <w:numId w:val="2"/>
        </w:numPr>
        <w:ind w:left="567" w:hanging="567"/>
        <w:contextualSpacing w:val="0"/>
      </w:pPr>
      <w:r>
        <w:t xml:space="preserve">La situación mundial puede propiciar el desarrollo de nuevas tecnologías sostenibles que aprovechen las bazas de Europa como, por ejemplo, su capacidad para incorporar una innovación progresiva y radical que permita abastecer a los mercados mundiales de productos que pongan en valor las competencias tradicionales con vistas a afrontar los nuevos retos. Esto requiere una anticipación cuidadosa y visionaria del carácter y el alcance de las transformaciones, así como un incremento sustancial de los servicios públicos y sociales para hacer frente a problemas sociales como el posible aumento de la pobreza, del sinhogarismo y de la exclusión de las personas con discapacidad y de las minorías, unas menores oportunidades para las mujeres y una menor disponibilidad de formación que facilite la reincorporación al mercado laboral.  </w:t>
      </w:r>
    </w:p>
    <w:p w:rsidRPr="00EA560D" w:rsidR="006F0362" w:rsidP="00AB2604" w:rsidRDefault="006F0362" w14:paraId="1F15214E" w14:textId="77777777">
      <w:pPr>
        <w:rPr>
          <w:lang w:val="en-GB"/>
        </w:rPr>
      </w:pPr>
    </w:p>
    <w:p w:rsidRPr="00EA560D" w:rsidR="00C110CF" w:rsidP="00AB2604" w:rsidRDefault="00C81E20" w14:paraId="08AB6E74" w14:textId="3FA7B9C5">
      <w:pPr>
        <w:pStyle w:val="ListParagraph"/>
        <w:numPr>
          <w:ilvl w:val="1"/>
          <w:numId w:val="2"/>
        </w:numPr>
        <w:ind w:left="567" w:hanging="567"/>
        <w:contextualSpacing w:val="0"/>
      </w:pPr>
      <w:r>
        <w:t xml:space="preserve">Un análisis estático podría llegar a la conclusión de que actuar de conformidad con el Pacto Verde Europeo daría —a corto </w:t>
      </w:r>
      <w:proofErr w:type="spellStart"/>
      <w:r>
        <w:t>plazo—</w:t>
      </w:r>
      <w:proofErr w:type="spellEnd"/>
      <w:r>
        <w:t xml:space="preserve"> a los competidores de países con objetivos climáticos menos ambiciosos una ventaja de costes frente a las empresas europeas que ya están llevando a cabo la transición. Una perspectiva dinámica insistiría en que se incentive a las empresas para que innoven de forma progresiva haciendo que sus sistemas de producción tengan más bajo consumo energético, cambien a fuentes de energía renovables y adopten las innovaciones adecuadas. Si bien la UE desempeña claramente un papel de liderazgo en la persecución del objetivo de combatir eficazmente la crisis climática, la rápida utilización de los materiales </w:t>
      </w:r>
      <w:r>
        <w:lastRenderedPageBreak/>
        <w:t>renovables requiere más ambición a la hora de implantar la economía circular y de fomentar la resiliencia de las materias primas. La transición resultante solo funcionará si se presta suficiente atención a la dimensión social de este proceso. Los principios de transición justa contemplados en el Acuerdo de París sobre el Cambio Climático y las Directrices de la Organización Internacional del Trabajo para una transición justa</w:t>
      </w:r>
      <w:r w:rsidRPr="00CC296E">
        <w:rPr>
          <w:vertAlign w:val="superscript"/>
          <w:lang w:val="en-GB"/>
        </w:rPr>
        <w:footnoteReference w:id="5"/>
      </w:r>
      <w:r>
        <w:t xml:space="preserve"> ofrecen orientación a este respecto. Así pues, los principios de transición justa actúan como una brújula para las medidas de recuperación, al establecer responsabilidades claras para que todas las partes interesadas respeten los derechos humanos y sociales, los valores democráticos y el Estado de Derecho con la intención de no dejar a nadie atrás.</w:t>
      </w:r>
    </w:p>
    <w:p w:rsidRPr="00EA560D" w:rsidR="006F0362" w:rsidP="00AB2604" w:rsidRDefault="006F0362" w14:paraId="33B905B3" w14:textId="77777777">
      <w:pPr>
        <w:rPr>
          <w:lang w:val="en-GB"/>
        </w:rPr>
      </w:pPr>
    </w:p>
    <w:p w:rsidRPr="00EA560D" w:rsidR="00C110CF" w:rsidP="00AB2604" w:rsidRDefault="00C81E20" w14:paraId="5C1C6849" w14:textId="60EB13FD">
      <w:pPr>
        <w:pStyle w:val="ListParagraph"/>
        <w:numPr>
          <w:ilvl w:val="1"/>
          <w:numId w:val="2"/>
        </w:numPr>
        <w:ind w:left="567" w:hanging="567"/>
        <w:contextualSpacing w:val="0"/>
        <w:rPr>
          <w:color w:val="000000" w:themeColor="text1"/>
        </w:rPr>
      </w:pPr>
      <w:r>
        <w:t xml:space="preserve">Por último, pero no menos importante, las transformaciones de esta magnitud y las lecciones aprendidas de transformaciones anteriores llevan a pensar que se necesita un proceso de cocreación en el que participen los políticos, las administraciones, los interlocutores sociales, las organizaciones de la sociedad civil, las empresas y la opinión pública en todos los niveles de gobernanza en la UE y en las empresas. Si se aprovechan la creatividad y el potencial innovador aún no explotados de los habitantes de Europa, se crearán las soluciones necesarias para hacer frente a los retos del futuro. La diversidad de ideas es una fuente inestimable de innovación en todos los sectores de la economía que impulsará de forma considerable el progreso tecnológico y científico. </w:t>
      </w:r>
    </w:p>
    <w:p w:rsidRPr="00EA560D" w:rsidR="006F0362" w:rsidP="00AB2604" w:rsidRDefault="006F0362" w14:paraId="48D9A491" w14:textId="77777777">
      <w:pPr>
        <w:rPr>
          <w:lang w:val="en-GB"/>
        </w:rPr>
      </w:pPr>
    </w:p>
    <w:p w:rsidR="0053222D" w:rsidP="00AB2604" w:rsidRDefault="00C81E20" w14:paraId="2737045B" w14:textId="57DA9CC8">
      <w:pPr>
        <w:pStyle w:val="ListParagraph"/>
        <w:numPr>
          <w:ilvl w:val="1"/>
          <w:numId w:val="2"/>
        </w:numPr>
        <w:ind w:left="567" w:hanging="567"/>
        <w:contextualSpacing w:val="0"/>
      </w:pPr>
      <w:r>
        <w:t xml:space="preserve">Las experiencias anteriores han demostrado que las transformaciones económicas y sociales exitosas y duraderas son las que tienen más posibilidades de llevarse a cabo si los objetivos se exponen con claridad, las responsabilidades de los distintos agentes que participan en el proceso de transformación se determinan en una estrategia precisa y las principales fuerzas de la sociedad acuerdan, respaldan y apoyan la totalidad del proyecto. Por consiguiente, las fuerzas políticas, los agentes económicos y la sociedad civil tienen que actuar de forma conjunta en un sistema de diálogo social eficaz, convenios colectivos, intercambio mutuo de información, consultas y una genuina participación en los procesos decisorios y de cocreación. </w:t>
      </w:r>
    </w:p>
    <w:p w:rsidR="0053222D" w:rsidP="0053222D" w:rsidRDefault="0053222D" w14:paraId="00F5CCBA" w14:textId="77777777">
      <w:pPr>
        <w:pStyle w:val="ListParagraph"/>
        <w:ind w:left="567"/>
        <w:contextualSpacing w:val="0"/>
        <w:rPr>
          <w:lang w:val="en-GB"/>
        </w:rPr>
      </w:pPr>
    </w:p>
    <w:p w:rsidRPr="00EA560D" w:rsidR="00044A01" w:rsidP="00AB2604" w:rsidRDefault="0053222D" w14:paraId="608B25AA" w14:textId="32C71601">
      <w:pPr>
        <w:pStyle w:val="ListParagraph"/>
        <w:numPr>
          <w:ilvl w:val="1"/>
          <w:numId w:val="2"/>
        </w:numPr>
        <w:ind w:left="567" w:hanging="567"/>
        <w:contextualSpacing w:val="0"/>
      </w:pPr>
      <w:r>
        <w:t>El diálogo social entre los interlocutores sociales y el diálogo civil con la participación de las partes interesadas de la sociedad pueden desempeñar un papel especialmente relevante en los proyectos destinados a establecer un equilibrio entre los intereses sociales, ecológicos y económicos. Así pues, se considera indispensable la aplicación concreta del pilar europeo de derechos sociales.</w:t>
      </w:r>
    </w:p>
    <w:p w:rsidRPr="00EA560D" w:rsidR="00D569D2" w:rsidP="00EE3513" w:rsidRDefault="00D569D2" w14:paraId="08043E7A" w14:textId="3970F8FE">
      <w:pPr>
        <w:pStyle w:val="ListParagraph"/>
        <w:ind w:left="567"/>
        <w:contextualSpacing w:val="0"/>
        <w:rPr>
          <w:lang w:val="en-GB"/>
        </w:rPr>
      </w:pPr>
    </w:p>
    <w:p w:rsidRPr="00EA560D" w:rsidR="006668BE" w:rsidP="00AB2604" w:rsidRDefault="007E63AF" w14:paraId="25DD8672" w14:textId="202B04C3">
      <w:pPr>
        <w:pStyle w:val="Heading1"/>
        <w:keepNext/>
        <w:keepLines/>
        <w:numPr>
          <w:ilvl w:val="0"/>
          <w:numId w:val="2"/>
        </w:numPr>
        <w:ind w:left="567" w:hanging="567"/>
        <w:rPr>
          <w:b/>
        </w:rPr>
      </w:pPr>
      <w:r>
        <w:rPr>
          <w:b/>
        </w:rPr>
        <w:t>Las regiones no solo son ecosistemas, sino lugares fundamentales de trabajo, de vida y de anticipación del cambio socioeconómico</w:t>
      </w:r>
    </w:p>
    <w:p w:rsidRPr="00EA560D" w:rsidR="006F0362" w:rsidP="00AB2604" w:rsidRDefault="006F0362" w14:paraId="3E7B78C3" w14:textId="77777777">
      <w:pPr>
        <w:keepNext/>
        <w:keepLines/>
        <w:rPr>
          <w:lang w:val="en-GB"/>
        </w:rPr>
      </w:pPr>
    </w:p>
    <w:p w:rsidRPr="00EA560D" w:rsidR="00B83A66" w:rsidP="00AB2604" w:rsidRDefault="0097589C" w14:paraId="21D4B745" w14:textId="309082FD">
      <w:pPr>
        <w:pStyle w:val="ListParagraph"/>
        <w:numPr>
          <w:ilvl w:val="1"/>
          <w:numId w:val="2"/>
        </w:numPr>
        <w:ind w:left="567" w:hanging="567"/>
        <w:contextualSpacing w:val="0"/>
      </w:pPr>
      <w:r>
        <w:t xml:space="preserve">La pandemia de COVID-19 ha tenido diferentes repercusiones en los distintos ecosistemas, como reconoce la Comisión Europea en su Comunicación sobre una nueva estrategia industrial para Europa. También ha acelerado aún más las actuales tendencias hacia la digitalización y la descarbonización, aumentando el riesgo de agravar la fragmentación entre las regiones debido a los diferentes niveles de riqueza y recursos económicos con los que invertir en la transformación </w:t>
      </w:r>
      <w:r>
        <w:lastRenderedPageBreak/>
        <w:t>de las industrias. Por lo tanto, resulta esencial que el Foro Industrial, y las vías de transición previstas, tengan en cuenta estos diferentes efectos.</w:t>
      </w:r>
    </w:p>
    <w:p w:rsidRPr="00EA560D" w:rsidR="006F0362" w:rsidP="00AB2604" w:rsidRDefault="006F0362" w14:paraId="78879127" w14:textId="77777777">
      <w:pPr>
        <w:pStyle w:val="ListParagraph"/>
        <w:ind w:left="0"/>
        <w:contextualSpacing w:val="0"/>
        <w:rPr>
          <w:lang w:val="en-GB"/>
        </w:rPr>
      </w:pPr>
    </w:p>
    <w:p w:rsidRPr="00EA560D" w:rsidR="00842D3F" w:rsidP="00AB2604" w:rsidRDefault="00D716A6" w14:paraId="03D88320" w14:textId="01CCE289">
      <w:pPr>
        <w:pStyle w:val="ListParagraph"/>
        <w:numPr>
          <w:ilvl w:val="1"/>
          <w:numId w:val="2"/>
        </w:numPr>
        <w:ind w:left="567" w:hanging="567"/>
        <w:contextualSpacing w:val="0"/>
      </w:pPr>
      <w:r>
        <w:t xml:space="preserve">A la sociedad civil europea le interesa desarrollar buenas perspectivas de empleo e ingresos para los habitantes de las regiones afectadas por la transformación industrial. Para ello, debemos comprender los diferentes puntos de partida de las distintas regiones y el modo en que se pueden generar interacciones positivas a partir de las competencias industriales existentes. La integración en cadenas de valor de importancia mundial y, en particular, los diversos aspectos que contribuyen a dichas cadenas de valor cumplen una importante función a este respecto. El enfoque ecosistémico de la Comisión Europea se basa en un planteamiento </w:t>
      </w:r>
      <w:proofErr w:type="spellStart"/>
      <w:r>
        <w:t>macropolítico</w:t>
      </w:r>
      <w:proofErr w:type="spellEnd"/>
      <w:r>
        <w:t xml:space="preserve"> que clasifica todas las industrias a nivel mundial. Este planteamiento no tiene en cuenta las situaciones divergentes ni las interdependencias que existen en los distintos ecosistemas. Es difícil que pueda responder con justicia a la diversidad de necesidades de las distintas regiones, y debe complementarse con una perspectiva política regional.</w:t>
      </w:r>
    </w:p>
    <w:p w:rsidRPr="00EA560D" w:rsidR="006F0362" w:rsidP="00AB2604" w:rsidRDefault="006F0362" w14:paraId="242B2324" w14:textId="77777777">
      <w:pPr>
        <w:pStyle w:val="ListParagraph"/>
        <w:ind w:left="0"/>
        <w:contextualSpacing w:val="0"/>
        <w:rPr>
          <w:lang w:val="en-GB"/>
        </w:rPr>
      </w:pPr>
    </w:p>
    <w:p w:rsidRPr="00EA560D" w:rsidR="00174815" w:rsidP="00AB2604" w:rsidRDefault="00F1506F" w14:paraId="25EFDE9E" w14:textId="08191F2D">
      <w:pPr>
        <w:pStyle w:val="ListParagraph"/>
        <w:numPr>
          <w:ilvl w:val="1"/>
          <w:numId w:val="2"/>
        </w:numPr>
        <w:ind w:left="567" w:hanging="567"/>
        <w:contextualSpacing w:val="0"/>
      </w:pPr>
      <w:r>
        <w:t>La Comisión Europea está elaborando actualmente indicadores clave de rendimiento que tienen por objeto mostrar el éxito de la Estrategia Industrial para Europa</w:t>
      </w:r>
      <w:r w:rsidR="00EF5DFD">
        <w:rPr>
          <w:rStyle w:val="FootnoteReference"/>
          <w:lang w:val="en-GB"/>
        </w:rPr>
        <w:footnoteReference w:id="6"/>
      </w:r>
      <w:r>
        <w:t>. Por el momento, la Comisión se centra principalmente en el crecimiento económico y deja de lado los objetivos establecidos en el Pacto Verde Europeo, las transformaciones que exige la transición a una economía circular y la dimensión social del proceso de transformación. Es de vital importancia que Estrategia Industrial para Europa reconozca y valore de manera inequívoca las capacidades, el potencial y las competencias industriales disponibles a escala regional. Esto debe tenerse debidamente en cuenta. De lo contrario, un enfoque excesivamente centrado en el crecimiento económico y los instrumentos y medidas a él asociados podría no solo hacer que se incumplan los objetivos climáticos y se desaprovechen las oportunidades asociadas a la transformación industrial, sino también socavar la economía circular.</w:t>
      </w:r>
    </w:p>
    <w:p w:rsidRPr="00EA560D" w:rsidR="00174815" w:rsidP="00EA560D" w:rsidRDefault="00174815" w14:paraId="7E3C1243" w14:textId="77777777">
      <w:pPr>
        <w:pStyle w:val="ListParagraph"/>
        <w:ind w:left="567"/>
        <w:contextualSpacing w:val="0"/>
        <w:rPr>
          <w:lang w:val="en-GB"/>
        </w:rPr>
      </w:pPr>
    </w:p>
    <w:p w:rsidRPr="00EA560D" w:rsidR="00174815" w:rsidP="00AB2604" w:rsidRDefault="00914A31" w14:paraId="61957D63" w14:textId="1D91C380">
      <w:pPr>
        <w:pStyle w:val="ListParagraph"/>
        <w:numPr>
          <w:ilvl w:val="1"/>
          <w:numId w:val="2"/>
        </w:numPr>
        <w:ind w:left="567" w:hanging="567"/>
        <w:contextualSpacing w:val="0"/>
      </w:pPr>
      <w:r>
        <w:t>Para formular la estrategia y la política industriales según estas premisas, deben tenerse en cuenta factores como la incertidumbre y la imprevisibilidad. Las políticas y las vías divergentes adaptadas a las distintas situaciones deben ser flexibles y basarse en todas las competencias existentes en una región o para una región a través de intercambios con otras regiones y países. La apertura, en tanto que recurso estratégico importante, es necesaria para determinar lo que falta y lo que se necesita de forma inmediata.</w:t>
      </w:r>
    </w:p>
    <w:p w:rsidRPr="00EA560D" w:rsidR="00174815" w:rsidP="00EA560D" w:rsidRDefault="00174815" w14:paraId="3EF83248" w14:textId="77777777">
      <w:pPr>
        <w:pStyle w:val="ListParagraph"/>
        <w:ind w:left="567"/>
        <w:contextualSpacing w:val="0"/>
        <w:rPr>
          <w:lang w:val="en-GB"/>
        </w:rPr>
      </w:pPr>
    </w:p>
    <w:p w:rsidRPr="00EA560D" w:rsidR="00174815" w:rsidP="00AB2604" w:rsidRDefault="00174815" w14:paraId="52ADBC89" w14:textId="6B43EC65">
      <w:pPr>
        <w:pStyle w:val="ListParagraph"/>
        <w:numPr>
          <w:ilvl w:val="1"/>
          <w:numId w:val="2"/>
        </w:numPr>
        <w:ind w:left="567" w:hanging="567"/>
        <w:contextualSpacing w:val="0"/>
      </w:pPr>
      <w:r>
        <w:t>Las transformaciones industriales que tengan por objeto la protección del clima causarán graves problemas sociales si se quiere alcanzar los objetivos del Pacto Verde en el escaso tiempo que queda. El consumo de recursos perjudiciales para el medio ambiente es un problema que debe abordarse e investigarse para encontrar una solución justa desde el punto de vista social y societal.</w:t>
      </w:r>
    </w:p>
    <w:p w:rsidRPr="00EA560D" w:rsidR="00174815" w:rsidP="00EA560D" w:rsidRDefault="00174815" w14:paraId="6E26BF70" w14:textId="77777777">
      <w:pPr>
        <w:pStyle w:val="ListParagraph"/>
        <w:ind w:left="567"/>
        <w:contextualSpacing w:val="0"/>
        <w:rPr>
          <w:lang w:val="en-GB"/>
        </w:rPr>
      </w:pPr>
    </w:p>
    <w:p w:rsidRPr="00EA560D" w:rsidR="00174815" w:rsidP="00A154F7" w:rsidRDefault="00174815" w14:paraId="5F8B2C90" w14:textId="0F971076">
      <w:pPr>
        <w:pStyle w:val="ListParagraph"/>
        <w:numPr>
          <w:ilvl w:val="1"/>
          <w:numId w:val="2"/>
        </w:numPr>
        <w:ind w:left="567" w:hanging="567"/>
        <w:contextualSpacing w:val="0"/>
      </w:pPr>
      <w:r>
        <w:t xml:space="preserve">La economía circular contribuye positivamente a la transformación industrial, en las regiones y a lo largo de las cadenas de suministro y de valor. Aunque el mayor valor añadido se encuentra en las regiones donde se ubican las industrias más avanzadas, en los lugares con una economía menos basada en el conocimiento y de mayor consumo de energía se produce y se procesa </w:t>
      </w:r>
      <w:r>
        <w:lastRenderedPageBreak/>
        <w:t>material que se incorpora a la economía circular. Es evidente que las regiones más débiles pueden salir más beneficiadas con la economía circular y pueden convertirse en agentes fundamentales en este ámbito.</w:t>
      </w:r>
    </w:p>
    <w:p w:rsidRPr="00EA560D" w:rsidR="00174815" w:rsidP="00EA560D" w:rsidRDefault="00174815" w14:paraId="79397A55" w14:textId="77777777">
      <w:pPr>
        <w:pStyle w:val="ListParagraph"/>
        <w:ind w:left="567"/>
        <w:contextualSpacing w:val="0"/>
        <w:rPr>
          <w:lang w:val="en-GB"/>
        </w:rPr>
      </w:pPr>
    </w:p>
    <w:p w:rsidRPr="00EA560D" w:rsidR="00174815" w:rsidP="00AB2604" w:rsidRDefault="00174815" w14:paraId="2D170FE8" w14:textId="05F14785">
      <w:pPr>
        <w:pStyle w:val="ListParagraph"/>
        <w:numPr>
          <w:ilvl w:val="1"/>
          <w:numId w:val="2"/>
        </w:numPr>
        <w:ind w:left="567" w:hanging="567"/>
        <w:contextualSpacing w:val="0"/>
      </w:pPr>
      <w:r>
        <w:t>El hecho de centrarse en lograr con éxito las transformaciones industriales a nivel regional indica de forma inequívoca que es necesario establecer interconexiones sólidas, colaborar estrechamente y compartir competencias con otras regiones, también más allá de las fronteras nacionales de los Estados miembros de la UE. Existe un amplio sistema de interacciones, que abarca claramente a las pymes locales que interactúan con las empresas transfronterizas.</w:t>
      </w:r>
    </w:p>
    <w:p w:rsidRPr="00EA560D" w:rsidR="00174815" w:rsidP="00EA560D" w:rsidRDefault="00174815" w14:paraId="68CA0907" w14:textId="77777777">
      <w:pPr>
        <w:pStyle w:val="ListParagraph"/>
        <w:ind w:left="567"/>
        <w:contextualSpacing w:val="0"/>
        <w:rPr>
          <w:lang w:val="en-GB"/>
        </w:rPr>
      </w:pPr>
    </w:p>
    <w:p w:rsidRPr="00EA560D" w:rsidR="00174815" w:rsidP="00A13218" w:rsidRDefault="00A13218" w14:paraId="29C931E7" w14:textId="0D7C7349">
      <w:pPr>
        <w:pStyle w:val="ListParagraph"/>
        <w:numPr>
          <w:ilvl w:val="1"/>
          <w:numId w:val="2"/>
        </w:numPr>
        <w:ind w:left="567" w:hanging="567"/>
        <w:contextualSpacing w:val="0"/>
      </w:pPr>
      <w:r>
        <w:t>Las competencias industriales regionales existentes, por sí solas, no son plenamente eficaces en el contexto de las transformaciones socioecológicas. Sin embargo, deben y pueden desarrollarse más mediante la inversión en conocimientos, equipos y personal, y deben y pueden llegar a ser productivas en las condiciones resultantes de la transformación. Esta labor servirá para crear nuevos productos, servicios, tecnologías y oportunidades. Esto, a su vez, dará lugar a empresas económicamente estables y empleos atractivos en las regiones. Se trata precisamente del objetivo que debe perseguir la Estrategia Industrial para Europa.</w:t>
      </w:r>
    </w:p>
    <w:p w:rsidRPr="00EA560D" w:rsidR="00174815" w:rsidP="00EA560D" w:rsidRDefault="00174815" w14:paraId="268C3506" w14:textId="77777777">
      <w:pPr>
        <w:pStyle w:val="ListParagraph"/>
        <w:ind w:left="567"/>
        <w:contextualSpacing w:val="0"/>
        <w:rPr>
          <w:lang w:val="en-GB"/>
        </w:rPr>
      </w:pPr>
    </w:p>
    <w:p w:rsidRPr="00EA560D" w:rsidR="006F0362" w:rsidP="00AB2604" w:rsidRDefault="00B543E4" w14:paraId="6BDAF34E" w14:textId="08CA12CF">
      <w:pPr>
        <w:pStyle w:val="ListParagraph"/>
        <w:numPr>
          <w:ilvl w:val="1"/>
          <w:numId w:val="2"/>
        </w:numPr>
        <w:ind w:left="567" w:hanging="567"/>
        <w:contextualSpacing w:val="0"/>
      </w:pPr>
      <w:r>
        <w:t>Una región se define, en sentido amplio, por sus estructuras industriales, sus empresas, su mano de obra, las capacidades de sus habitantes, las capacidades de I+D y los productos específicos que sus empresas fabrican o transforman. En las competencias industriales se ve reflejada una amplia gama de particularidades históricas.</w:t>
      </w:r>
    </w:p>
    <w:p w:rsidRPr="00EA560D" w:rsidR="00183228" w:rsidP="00EA560D" w:rsidRDefault="00BB0FC0" w14:paraId="44740EF5" w14:textId="7CE2F1A7">
      <w:pPr>
        <w:pStyle w:val="ListParagraph"/>
        <w:ind w:left="567"/>
        <w:contextualSpacing w:val="0"/>
      </w:pPr>
      <w:r>
        <w:t>Las cadenas de suministro y de valor tienen efectos regionales muy dispares en toda Europa. El contexto mundial es tan importante como la organización dentro de Europa, pero tiene efectos diferentes. La industria 4.0 y la digitalización, así como las tecnologías de la información y de las comunicaciones, tendrán repercusiones considerables y muy divergentes en las industrias y economías europeas en general. A este respecto, los fondos de innovación y desarrollo desempeñarán un papel aún más fundamental para mitigar las disparidades regionales.</w:t>
      </w:r>
    </w:p>
    <w:p w:rsidRPr="00EA560D" w:rsidR="006F0362" w:rsidP="00EA560D" w:rsidRDefault="006F0362" w14:paraId="3C0EBA90" w14:textId="77777777">
      <w:pPr>
        <w:pStyle w:val="ListParagraph"/>
        <w:ind w:left="567"/>
        <w:contextualSpacing w:val="0"/>
        <w:rPr>
          <w:lang w:val="en-GB"/>
        </w:rPr>
      </w:pPr>
    </w:p>
    <w:p w:rsidRPr="00EA560D" w:rsidR="00B543E4" w:rsidP="00AB2604" w:rsidRDefault="00E442A1" w14:paraId="1C17F391" w14:textId="06A83C35">
      <w:pPr>
        <w:pStyle w:val="ListParagraph"/>
        <w:numPr>
          <w:ilvl w:val="1"/>
          <w:numId w:val="2"/>
        </w:numPr>
        <w:ind w:left="567" w:hanging="567"/>
        <w:contextualSpacing w:val="0"/>
      </w:pPr>
      <w:r>
        <w:t>Los operadores que promueven las transformaciones industriales, en particular las empresas emergentes y las pymes, pueden relacionarse con sus clientes aun desde las regiones menos centrales, y es posible crear puestos de trabajo atractivos incluso en estos lugares. En particular, las empresas basadas en el conocimiento pueden realizar sus contribuciones a las cadenas de valor sin apenas necesidad de mantenerse próximas a sus clientes. Además, la maquinaria de las fábricas de mayor envergadura puede gestionarse, a menudo, a distancia.</w:t>
      </w:r>
    </w:p>
    <w:p w:rsidRPr="00EA560D" w:rsidR="006F0362" w:rsidP="00AB2604" w:rsidRDefault="006F0362" w14:paraId="5DE7BF91" w14:textId="77777777">
      <w:pPr>
        <w:pStyle w:val="ListParagraph"/>
        <w:ind w:left="0"/>
        <w:contextualSpacing w:val="0"/>
        <w:rPr>
          <w:lang w:val="en-GB"/>
        </w:rPr>
      </w:pPr>
    </w:p>
    <w:p w:rsidRPr="00EA560D" w:rsidR="00B543E4" w:rsidP="00AB2604" w:rsidRDefault="00B543E4" w14:paraId="1EACF8DE" w14:textId="2237E585">
      <w:pPr>
        <w:pStyle w:val="ListParagraph"/>
        <w:numPr>
          <w:ilvl w:val="1"/>
          <w:numId w:val="2"/>
        </w:numPr>
        <w:ind w:left="567" w:hanging="567"/>
        <w:contextualSpacing w:val="0"/>
      </w:pPr>
      <w:r>
        <w:t xml:space="preserve">El enfoque ecosistémico de la Comisión Europea no abarca todos los niveles ni todos los aspectos pertinentes. Este enfoque destaca la importancia de considerar la evolución de la transición también desde una perspectiva regional y de garantizar que las empresas —incluidas las de la economía </w:t>
      </w:r>
      <w:proofErr w:type="spellStart"/>
      <w:r>
        <w:t>social—</w:t>
      </w:r>
      <w:proofErr w:type="spellEnd"/>
      <w:r>
        <w:t xml:space="preserve"> sirvan de base para el conjunto de la operación política. Es importante mostrar la relación que este hecho guarda con las cadenas de valor y el modo en que los diversos componentes de los distintos ecosistemas se corresponden con los de ecosistemas diferentes. </w:t>
      </w:r>
    </w:p>
    <w:p w:rsidRPr="00EA560D" w:rsidR="00875A18" w:rsidP="00AB2604" w:rsidRDefault="00875A18" w14:paraId="6CD4124B" w14:textId="77777777">
      <w:pPr>
        <w:rPr>
          <w:lang w:val="en-GB"/>
        </w:rPr>
      </w:pPr>
    </w:p>
    <w:p w:rsidRPr="00EA560D" w:rsidR="00875A18" w:rsidP="00AB2604" w:rsidRDefault="0012276B" w14:paraId="1ECEC98C" w14:textId="7F1A7140">
      <w:pPr>
        <w:pStyle w:val="ListParagraph"/>
        <w:keepNext/>
        <w:keepLines/>
        <w:numPr>
          <w:ilvl w:val="0"/>
          <w:numId w:val="2"/>
        </w:numPr>
        <w:ind w:left="567" w:hanging="567"/>
        <w:rPr>
          <w:b/>
          <w:kern w:val="28"/>
        </w:rPr>
      </w:pPr>
      <w:r>
        <w:rPr>
          <w:b/>
        </w:rPr>
        <w:lastRenderedPageBreak/>
        <w:t>Opciones para las vías de transición según un enfoque holístico del desarrollo socioeconómico industrial</w:t>
      </w:r>
    </w:p>
    <w:p w:rsidRPr="00EA560D" w:rsidR="00A61633" w:rsidP="00EA560D" w:rsidRDefault="00A61633" w14:paraId="4CF281FA" w14:textId="3A72A190">
      <w:pPr>
        <w:pStyle w:val="ListParagraph"/>
        <w:ind w:left="0"/>
        <w:contextualSpacing w:val="0"/>
        <w:rPr>
          <w:lang w:val="en-GB"/>
        </w:rPr>
      </w:pPr>
    </w:p>
    <w:p w:rsidRPr="00EA560D" w:rsidR="00A61633" w:rsidP="00AB2604" w:rsidRDefault="00A61633" w14:paraId="262E06DD" w14:textId="65677F4B">
      <w:pPr>
        <w:pStyle w:val="ListParagraph"/>
        <w:numPr>
          <w:ilvl w:val="1"/>
          <w:numId w:val="2"/>
        </w:numPr>
        <w:ind w:left="567" w:hanging="567"/>
        <w:contextualSpacing w:val="0"/>
      </w:pPr>
      <w:r>
        <w:t>Si bien la innovación suele relacionarse con nuevas tecnologías o avances en la investigación científica, también existen oportunidades para utilizar las competencias existentes como base para productos y servicios mejores o novedosos. Las nuevas tecnologías se interrelacionan con las tecnologías tradicionales existentes. Hay otros ejemplos claros de esta interrelación entre formas tradicionales de fabricación bien establecidas y la innovación y modernización progresiva de las industrias: el uso de materiales nuevos y más ligeros procedentes de la industria aeronáutica en automóviles, el uso de materiales de automoción más ligeros y la aplicación de la biotecnología al diseño de nuevos instrumentos o servicios médicos.</w:t>
      </w:r>
    </w:p>
    <w:p w:rsidRPr="00EA560D" w:rsidR="006F0362" w:rsidP="00AB2604" w:rsidRDefault="006F0362" w14:paraId="4ECA0B00" w14:textId="77777777">
      <w:pPr>
        <w:pStyle w:val="ListParagraph"/>
        <w:ind w:left="0"/>
        <w:contextualSpacing w:val="0"/>
        <w:rPr>
          <w:lang w:val="en-GB"/>
        </w:rPr>
      </w:pPr>
    </w:p>
    <w:p w:rsidRPr="00EA560D" w:rsidR="007A1F67" w:rsidP="00AB2604" w:rsidRDefault="007A1F67" w14:paraId="3814DA1D" w14:textId="004BE031">
      <w:pPr>
        <w:pStyle w:val="ListParagraph"/>
        <w:numPr>
          <w:ilvl w:val="1"/>
          <w:numId w:val="2"/>
        </w:numPr>
        <w:ind w:left="567" w:hanging="567"/>
        <w:contextualSpacing w:val="0"/>
      </w:pPr>
      <w:r>
        <w:t xml:space="preserve">Las infraestructuras avanzadas de las tecnologías de la información y de las comunicaciones impulsan la generación de nuevas oportunidades y ayudan a crear soluciones innovadoras y sostenibles que se ajusten a las especificidades de la región. Por ejemplo, el uso de impresoras 3D ofrece la oportunidad de desarrollar y diseñar un producto en un lugar y suministrarlo físicamente allí donde se necesite, en varios lugares diferentes. De esta manera se contribuye a reducir el impacto ambiental relacionado con el transporte. </w:t>
      </w:r>
    </w:p>
    <w:p w:rsidRPr="00EA560D" w:rsidR="007A1F67" w:rsidP="00EA560D" w:rsidRDefault="007A1F67" w14:paraId="13005F95" w14:textId="77777777">
      <w:pPr>
        <w:pStyle w:val="ListParagraph"/>
        <w:ind w:left="567"/>
        <w:contextualSpacing w:val="0"/>
        <w:rPr>
          <w:lang w:val="en-GB"/>
        </w:rPr>
      </w:pPr>
    </w:p>
    <w:p w:rsidRPr="00EA560D" w:rsidR="000B61EC" w:rsidP="00AB2604" w:rsidRDefault="007A1F67" w14:paraId="105F90D4" w14:textId="530DC5DC">
      <w:pPr>
        <w:pStyle w:val="ListParagraph"/>
        <w:numPr>
          <w:ilvl w:val="1"/>
          <w:numId w:val="2"/>
        </w:numPr>
        <w:ind w:left="567" w:hanging="567"/>
        <w:contextualSpacing w:val="0"/>
      </w:pPr>
      <w:r>
        <w:t>Los conceptos de la economía social pueden contribuir en gran medida a las transformaciones socioeconómicas, ya que crean nuevas oportunidades de aprendizaje, de vida y de empleo, así como infraestructuras alternativas de servicios y de apoyo en las comunidades locales, en especial para los grupos desfavorecidos y las personas en situación de riesgo. Junto con los servicios de interés público general, estos conceptos ofrecen enormes posibilidades en lo que se refiere a preparar de manera competente y eficaz a los agentes sociales y económicos para las exigencias y las consecuencias de la innovación y las transformaciones, sobre todo a nivel regional.</w:t>
      </w:r>
    </w:p>
    <w:p w:rsidRPr="00EA560D" w:rsidR="00006880" w:rsidP="00EA560D" w:rsidRDefault="00006880" w14:paraId="3D43C33F" w14:textId="526C74AB">
      <w:pPr>
        <w:pStyle w:val="ListParagraph"/>
        <w:ind w:left="567"/>
        <w:contextualSpacing w:val="0"/>
        <w:rPr>
          <w:lang w:val="en-GB"/>
        </w:rPr>
      </w:pPr>
    </w:p>
    <w:p w:rsidR="0012276B" w:rsidP="00AB2604" w:rsidRDefault="0012276B" w14:paraId="0BC97FA2" w14:textId="21D1E1D7">
      <w:pPr>
        <w:pStyle w:val="ListParagraph"/>
        <w:numPr>
          <w:ilvl w:val="1"/>
          <w:numId w:val="2"/>
        </w:numPr>
        <w:ind w:left="567" w:hanging="567"/>
        <w:contextualSpacing w:val="0"/>
      </w:pPr>
      <w:r>
        <w:t>Las estructuras públicas tienen una gran responsabilidad a la hora de crear condiciones favorables para el cambio y el desarrollo, prestando servicios de interés general accesibles a todos los agentes económicos.</w:t>
      </w:r>
    </w:p>
    <w:p w:rsidR="0012276B" w:rsidP="0012276B" w:rsidRDefault="0012276B" w14:paraId="19AEA16D" w14:textId="77777777">
      <w:pPr>
        <w:pStyle w:val="ListParagraph"/>
        <w:ind w:left="567"/>
        <w:contextualSpacing w:val="0"/>
        <w:rPr>
          <w:lang w:val="en-GB"/>
        </w:rPr>
      </w:pPr>
    </w:p>
    <w:p w:rsidRPr="00EA560D" w:rsidR="00A61633" w:rsidP="00AB2604" w:rsidRDefault="00006880" w14:paraId="6BA6247F" w14:textId="0BD1CAAD">
      <w:pPr>
        <w:pStyle w:val="ListParagraph"/>
        <w:numPr>
          <w:ilvl w:val="1"/>
          <w:numId w:val="2"/>
        </w:numPr>
        <w:ind w:left="567" w:hanging="567"/>
        <w:contextualSpacing w:val="0"/>
      </w:pPr>
      <w:r>
        <w:t>Esta responsabilidad también forma parte de los avances que deben realizarse en relación con los servicios de interés público, por ejemplo, crear agencias de formación continua para la necesaria mejora de las capacidades de la mano de obra, perseguir el objetivo de mejorar las competencias de los trabajadores y ayudar a las empresas a afrontar la innovación y los cambios. Por consiguiente, los trabajadores cualificados también estarán más arraigados en la región y contribuirán a configurar las transformaciones estructurales (y ecológicas) en curso.</w:t>
      </w:r>
    </w:p>
    <w:p w:rsidRPr="00EA560D" w:rsidR="006F0362" w:rsidP="00AB2604" w:rsidRDefault="006F0362" w14:paraId="5FD30975" w14:textId="77777777">
      <w:pPr>
        <w:pStyle w:val="ListParagraph"/>
        <w:ind w:left="0"/>
        <w:rPr>
          <w:lang w:val="en-GB"/>
        </w:rPr>
      </w:pPr>
    </w:p>
    <w:p w:rsidRPr="00EA560D" w:rsidR="008F1ADF" w:rsidP="00AB2604" w:rsidRDefault="008F1ADF" w14:paraId="3E1EA7F1" w14:textId="7679508E">
      <w:pPr>
        <w:pStyle w:val="ListParagraph"/>
        <w:numPr>
          <w:ilvl w:val="1"/>
          <w:numId w:val="2"/>
        </w:numPr>
        <w:ind w:left="567" w:hanging="567"/>
        <w:contextualSpacing w:val="0"/>
      </w:pPr>
      <w:r>
        <w:t>En el caso de las industrias de gran consumo de energía, existen numerosas soluciones compartidas de descarbonización y, por tanto, la posibilidad de realizar inversiones conjuntas (por ejemplo, hidrógeno limpio, reutilización de la captura y el almacenamiento de carbono). Una mayor circularidad y la simbiosis industrial también son aspectos importantes para descarbonizar la industria y prepararse para un futuro con empresas eficientes que presenten una elevada productividad.</w:t>
      </w:r>
    </w:p>
    <w:p w:rsidRPr="00EA560D" w:rsidR="00A45A6F" w:rsidP="00AB2604" w:rsidRDefault="00A45A6F" w14:paraId="391DAB9B" w14:textId="77777777">
      <w:pPr>
        <w:rPr>
          <w:lang w:val="en-GB"/>
        </w:rPr>
      </w:pPr>
    </w:p>
    <w:p w:rsidRPr="00EA560D" w:rsidR="0037761D" w:rsidP="00AB2604" w:rsidRDefault="000D1B82" w14:paraId="424D3818" w14:textId="174A558C">
      <w:pPr>
        <w:pStyle w:val="ListParagraph"/>
        <w:keepNext/>
        <w:keepLines/>
        <w:numPr>
          <w:ilvl w:val="0"/>
          <w:numId w:val="2"/>
        </w:numPr>
        <w:ind w:left="567" w:hanging="567"/>
        <w:rPr>
          <w:b/>
          <w:kern w:val="28"/>
        </w:rPr>
      </w:pPr>
      <w:r>
        <w:rPr>
          <w:b/>
        </w:rPr>
        <w:lastRenderedPageBreak/>
        <w:t>La importancia de los mercados laborales regionales para garantizar un trabajo digno en las empresas de fabricación y de servicios sostenibles</w:t>
      </w:r>
    </w:p>
    <w:p w:rsidRPr="00EA560D" w:rsidR="00F2082A" w:rsidP="00AB2604" w:rsidRDefault="00F2082A" w14:paraId="276DC1F1" w14:textId="77777777">
      <w:pPr>
        <w:pStyle w:val="ListParagraph"/>
        <w:keepNext/>
        <w:keepLines/>
        <w:ind w:left="0"/>
        <w:rPr>
          <w:kern w:val="28"/>
          <w:lang w:val="en-GB"/>
        </w:rPr>
      </w:pPr>
    </w:p>
    <w:p w:rsidRPr="00EA560D" w:rsidR="00934333" w:rsidP="00AB2604" w:rsidRDefault="00934333" w14:paraId="75037126" w14:textId="5FF49F04">
      <w:pPr>
        <w:pStyle w:val="ListParagraph"/>
        <w:numPr>
          <w:ilvl w:val="1"/>
          <w:numId w:val="2"/>
        </w:numPr>
        <w:ind w:left="567" w:hanging="567"/>
        <w:contextualSpacing w:val="0"/>
      </w:pPr>
      <w:r>
        <w:t xml:space="preserve">Es necesario comprender y analizar de manera exhaustiva las realidades de las regiones y las empresas, así como sus resultados económicos, en lo que atañe a sus competencias fundamentales en las diferentes industrias y en términos de mano de obra. Esta exigencia abarca también la infraestructura, la ubicación, la dotación de recursos, el espíritu emprendedor y el entramado institucional, y es importante para poder disponer de una mano de obra altamente cualificada y prever las futuras necesidades en términos de capacidades a fin de evitar posibles carencias (por ejemplo, de ingenieros). </w:t>
      </w:r>
    </w:p>
    <w:p w:rsidRPr="00EA560D" w:rsidR="00934333" w:rsidP="00EA560D" w:rsidRDefault="00934333" w14:paraId="2018AE73" w14:textId="77777777">
      <w:pPr>
        <w:pStyle w:val="ListParagraph"/>
        <w:ind w:left="567"/>
        <w:contextualSpacing w:val="0"/>
        <w:rPr>
          <w:lang w:val="en-GB"/>
        </w:rPr>
      </w:pPr>
    </w:p>
    <w:p w:rsidRPr="00EA560D" w:rsidR="00934333" w:rsidP="00AB2604" w:rsidRDefault="00934333" w14:paraId="6DE93E20" w14:textId="0A5912F6">
      <w:pPr>
        <w:pStyle w:val="ListParagraph"/>
        <w:numPr>
          <w:ilvl w:val="1"/>
          <w:numId w:val="2"/>
        </w:numPr>
        <w:ind w:left="567" w:hanging="567"/>
        <w:contextualSpacing w:val="0"/>
      </w:pPr>
      <w:r>
        <w:t xml:space="preserve">Las colaboraciones con las universidades, incluidas las especializadas en ciencias aplicadas, y los centros de investigación pueden ser decisivas para generar nuevas oportunidades industriales que puedan traducirse en nuevos puestos de trabajo en empresas ya consolidadas, sociedades multinacionales, pymes y empresas emergentes. </w:t>
      </w:r>
    </w:p>
    <w:p w:rsidRPr="00EA560D" w:rsidR="00934333" w:rsidP="00EA560D" w:rsidRDefault="00934333" w14:paraId="2801555A" w14:textId="77777777">
      <w:pPr>
        <w:pStyle w:val="ListParagraph"/>
        <w:ind w:left="567"/>
        <w:contextualSpacing w:val="0"/>
        <w:rPr>
          <w:lang w:val="en-GB"/>
        </w:rPr>
      </w:pPr>
    </w:p>
    <w:p w:rsidRPr="00EA560D" w:rsidR="00934333" w:rsidP="00AB2604" w:rsidRDefault="00934333" w14:paraId="56341DC2" w14:textId="66BF8F6F">
      <w:pPr>
        <w:pStyle w:val="ListParagraph"/>
        <w:numPr>
          <w:ilvl w:val="1"/>
          <w:numId w:val="2"/>
        </w:numPr>
        <w:ind w:left="567" w:hanging="567"/>
        <w:contextualSpacing w:val="0"/>
      </w:pPr>
      <w:r>
        <w:t xml:space="preserve">A nivel humano, las regiones que dan cabida e integran con facilidad a los recién llegados en estructuras socioeconómicas que funcionan adecuadamente se encuentran en una posición ventajosa. </w:t>
      </w:r>
    </w:p>
    <w:p w:rsidRPr="00EA560D" w:rsidR="00A76579" w:rsidP="00EA560D" w:rsidRDefault="00A76579" w14:paraId="286680EE" w14:textId="77777777">
      <w:pPr>
        <w:pStyle w:val="ListParagraph"/>
        <w:ind w:left="567"/>
        <w:contextualSpacing w:val="0"/>
        <w:rPr>
          <w:lang w:val="en-GB"/>
        </w:rPr>
      </w:pPr>
    </w:p>
    <w:p w:rsidRPr="00EA560D" w:rsidR="007356FE" w:rsidP="00AB2604" w:rsidRDefault="00934333" w14:paraId="7F6D020C" w14:textId="57E105C1">
      <w:pPr>
        <w:pStyle w:val="ListParagraph"/>
        <w:numPr>
          <w:ilvl w:val="1"/>
          <w:numId w:val="2"/>
        </w:numPr>
        <w:ind w:left="567" w:hanging="567"/>
        <w:contextualSpacing w:val="0"/>
      </w:pPr>
      <w:r>
        <w:t>Las regiones cuya mano de obra está cualificada y profundamente arraigada en las estructuras socioeconómicas y se siente como en casa también pueden acoger industrias y empresas dinámicas y de alto valor añadido basadas en redes de competencias formales e informales eficaces. Por consiguiente, la mano de obra es un elemento decisivo para determinar las competencias industriales innovadoras de una región y contribuye de manera fundamental a apoyar los procesos de modernización y transformación.</w:t>
      </w:r>
    </w:p>
    <w:p w:rsidRPr="00EA560D" w:rsidR="006F0362" w:rsidP="00AB2604" w:rsidRDefault="006F0362" w14:paraId="13F49387" w14:textId="77777777">
      <w:pPr>
        <w:pStyle w:val="ListParagraph"/>
        <w:ind w:left="0"/>
        <w:contextualSpacing w:val="0"/>
        <w:rPr>
          <w:lang w:val="en-GB"/>
        </w:rPr>
      </w:pPr>
    </w:p>
    <w:p w:rsidRPr="00EA560D" w:rsidR="00BF00C2" w:rsidP="00AB2604" w:rsidRDefault="00CE3D34" w14:paraId="28CC5D9D" w14:textId="286B7AC5">
      <w:pPr>
        <w:pStyle w:val="ListParagraph"/>
        <w:numPr>
          <w:ilvl w:val="1"/>
          <w:numId w:val="2"/>
        </w:numPr>
        <w:ind w:left="567" w:hanging="567"/>
        <w:contextualSpacing w:val="0"/>
      </w:pPr>
      <w:r>
        <w:t>Las capacidades y competencias específicas de los trabajadores y su mejora continua pueden servir de base para reestructurar y transformar los modelos de negocio, incluidos el crecimiento futuro y los nuevos mercados. El hecho de no reconocer ni beneficiarse de las oportunidades de desarrollo regional puede dar lugar a una constante emigración de trabajadores, lo que siempre debilita las capacidades y competencias que necesitan las regiones para desarrollar y aprovechar las oportunidades creadas por el Pacto Verde Europeo.</w:t>
      </w:r>
    </w:p>
    <w:p w:rsidR="007356FE" w:rsidP="00EA560D" w:rsidRDefault="007356FE" w14:paraId="5C897F21" w14:textId="17686170">
      <w:pPr>
        <w:rPr>
          <w:lang w:val="en-GB"/>
        </w:rPr>
      </w:pPr>
    </w:p>
    <w:p w:rsidR="00960D11" w:rsidP="00EA560D" w:rsidRDefault="00960D11" w14:paraId="1A6EB3D9" w14:textId="51B3375D">
      <w:r>
        <w:t>Bruselas, 10 de noviembre de 2021</w:t>
      </w:r>
    </w:p>
    <w:p w:rsidR="00960D11" w:rsidP="00EA560D" w:rsidRDefault="00960D11" w14:paraId="40D35E99" w14:textId="47972234">
      <w:pPr>
        <w:rPr>
          <w:lang w:val="en-GB"/>
        </w:rPr>
      </w:pPr>
    </w:p>
    <w:p w:rsidR="00960D11" w:rsidP="00EA560D" w:rsidRDefault="00960D11" w14:paraId="0C07F691" w14:textId="6C93C2CD">
      <w:pPr>
        <w:rPr>
          <w:lang w:val="en-GB"/>
        </w:rPr>
      </w:pPr>
    </w:p>
    <w:p w:rsidR="00960D11" w:rsidP="00EA560D" w:rsidRDefault="00960D11" w14:paraId="7D11FA3F" w14:textId="5BBE9EE5">
      <w:pPr>
        <w:rPr>
          <w:lang w:val="en-GB"/>
        </w:rPr>
      </w:pPr>
    </w:p>
    <w:p w:rsidR="00960D11" w:rsidP="00FC6717" w:rsidRDefault="000C1791" w14:paraId="4A39B950" w14:textId="6737CAA2">
      <w:pPr>
        <w:jc w:val="left"/>
      </w:pPr>
      <w:r>
        <w:t xml:space="preserve">Pietro Francesco De </w:t>
      </w:r>
      <w:proofErr w:type="spellStart"/>
      <w:r>
        <w:t>Lotto</w:t>
      </w:r>
      <w:proofErr w:type="spellEnd"/>
      <w:r>
        <w:br/>
        <w:t>Presidente de la Comisión Consultiva de las Transformaciones Industriales (CCMI)</w:t>
      </w:r>
    </w:p>
    <w:p w:rsidRPr="00EA560D" w:rsidR="00960D11" w:rsidP="00EA560D" w:rsidRDefault="00960D11" w14:paraId="48D05F6B" w14:textId="77777777">
      <w:pPr>
        <w:rPr>
          <w:lang w:val="en-GB"/>
        </w:rPr>
      </w:pPr>
    </w:p>
    <w:p w:rsidR="00646AC2" w:rsidP="00AB2604" w:rsidRDefault="00646AC2" w14:paraId="21DF0708" w14:textId="6E43B82E">
      <w:pPr>
        <w:jc w:val="center"/>
      </w:pPr>
      <w:r>
        <w:t>_____________</w:t>
      </w:r>
    </w:p>
    <w:p w:rsidRPr="00CA5F2D" w:rsidR="00960D11" w:rsidP="00AB2604" w:rsidRDefault="00960D11" w14:paraId="36FDBD24" w14:textId="77777777">
      <w:pPr>
        <w:jc w:val="center"/>
        <w:rPr>
          <w:lang w:val="en-GB"/>
        </w:rPr>
      </w:pPr>
    </w:p>
    <w:sectPr w:rsidRPr="00CA5F2D" w:rsidR="00960D11" w:rsidSect="00FC6717">
      <w:headerReference w:type="even" r:id="rId15"/>
      <w:headerReference w:type="default" r:id="rId16"/>
      <w:footerReference w:type="even" r:id="rId17"/>
      <w:footerReference w:type="default" r:id="rId18"/>
      <w:headerReference w:type="first" r:id="rId19"/>
      <w:footerReference w:type="first" r:id="rId20"/>
      <w:pgSz w:w="11907" w:h="16839" w:code="9"/>
      <w:pgMar w:top="1417" w:right="1417" w:bottom="1417" w:left="1417" w:header="709" w:footer="709" w:gutter="0"/>
      <w:cols w:space="720"/>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EDEAA3" w16cex:dateUtc="2021-09-16T14:09:00Z"/>
  <w16cex:commentExtensible w16cex:durableId="24EDF78F" w16cex:dateUtc="2021-09-16T15:04:00Z"/>
  <w16cex:commentExtensible w16cex:durableId="24EDE9DE" w16cex:dateUtc="2021-09-16T14:05:00Z"/>
  <w16cex:commentExtensible w16cex:durableId="24EDEB2D" w16cex:dateUtc="2021-09-16T14:11:00Z"/>
  <w16cex:commentExtensible w16cex:durableId="24EDF3D4" w16cex:dateUtc="2021-09-16T14:48:00Z"/>
  <w16cex:commentExtensible w16cex:durableId="24EDECF2" w16cex:dateUtc="2021-09-16T14:18:00Z"/>
  <w16cex:commentExtensible w16cex:durableId="24EDEC72" w16cex:dateUtc="2021-09-16T14:16:00Z"/>
  <w16cex:commentExtensible w16cex:durableId="24EDF30A" w16cex:dateUtc="2021-09-16T14:44:00Z"/>
  <w16cex:commentExtensible w16cex:durableId="24EDF356" w16cex:dateUtc="2021-09-16T14:46:00Z"/>
  <w16cex:commentExtensible w16cex:durableId="24EDED8C" w16cex:dateUtc="2021-09-16T14: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905D77" w16cid:durableId="24EDEAA3"/>
  <w16cid:commentId w16cid:paraId="5E71C9A1" w16cid:durableId="24EDF78F"/>
  <w16cid:commentId w16cid:paraId="30C8AC0A" w16cid:durableId="24EDE9DE"/>
  <w16cid:commentId w16cid:paraId="7A80FB06" w16cid:durableId="24EDEB2D"/>
  <w16cid:commentId w16cid:paraId="5D1C2D67" w16cid:durableId="24EDF3D4"/>
  <w16cid:commentId w16cid:paraId="36575298" w16cid:durableId="24EDECF2"/>
  <w16cid:commentId w16cid:paraId="100DC02A" w16cid:durableId="24EDEC72"/>
  <w16cid:commentId w16cid:paraId="0F13B50D" w16cid:durableId="24EDF30A"/>
  <w16cid:commentId w16cid:paraId="046983EA" w16cid:durableId="24EDF356"/>
  <w16cid:commentId w16cid:paraId="1660C6A3" w16cid:durableId="24EDED8C"/>
  <w16cid:commentId w16cid:paraId="76D74671" w16cid:durableId="24EDA34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2C202C" w14:textId="77777777" w:rsidR="006962B0" w:rsidRDefault="006962B0">
      <w:r>
        <w:separator/>
      </w:r>
    </w:p>
  </w:endnote>
  <w:endnote w:type="continuationSeparator" w:id="0">
    <w:p w14:paraId="5048A262" w14:textId="77777777" w:rsidR="006962B0" w:rsidRDefault="00696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62E13D" w14:textId="02084932" w:rsidR="00FC6717" w:rsidRPr="00FC6717" w:rsidRDefault="00FC6717" w:rsidP="00FC6717">
    <w:pPr>
      <w:pStyle w:val="Footer"/>
    </w:pPr>
    <w:r>
      <w:t xml:space="preserve">CCMI/184 – EESC-2021-02613-00-00-AS-TRA (EN) </w:t>
    </w:r>
    <w:r>
      <w:fldChar w:fldCharType="begin"/>
    </w:r>
    <w:r>
      <w:instrText xml:space="preserve"> PAGE  \* Arabic  \* MERGEFORMAT </w:instrText>
    </w:r>
    <w:r>
      <w:fldChar w:fldCharType="separate"/>
    </w:r>
    <w:r w:rsidR="00896093">
      <w:rPr>
        <w:noProof/>
      </w:rPr>
      <w:t>1</w:t>
    </w:r>
    <w:r>
      <w:fldChar w:fldCharType="end"/>
    </w:r>
    <w:r>
      <w:t>/</w:t>
    </w:r>
    <w:r w:rsidR="000268E6">
      <w:fldChar w:fldCharType="begin"/>
    </w:r>
    <w:r w:rsidR="000268E6">
      <w:instrText xml:space="preserve"> NUMPAGES </w:instrText>
    </w:r>
    <w:r w:rsidR="000268E6">
      <w:fldChar w:fldCharType="separate"/>
    </w:r>
    <w:r w:rsidR="00896093">
      <w:rPr>
        <w:noProof/>
      </w:rPr>
      <w:t>10</w:t>
    </w:r>
    <w:r w:rsidR="000268E6">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A3B8B" w14:textId="77777777" w:rsidR="00734238" w:rsidRPr="00FC6717" w:rsidRDefault="00734238" w:rsidP="00FC67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EBDAE2" w14:textId="2D5EFF04" w:rsidR="00734238" w:rsidRPr="00FC6717" w:rsidRDefault="00FC6717" w:rsidP="00FC6717">
    <w:pPr>
      <w:pStyle w:val="Footer"/>
    </w:pPr>
    <w:r>
      <w:t xml:space="preserve">CCMI/184 – EESC-2021-02613-00-00-AS-TRA (EN) </w:t>
    </w:r>
    <w:r>
      <w:fldChar w:fldCharType="begin"/>
    </w:r>
    <w:r>
      <w:instrText xml:space="preserve"> PAGE  \* Arabic  \* MERGEFORMAT </w:instrText>
    </w:r>
    <w:r>
      <w:fldChar w:fldCharType="separate"/>
    </w:r>
    <w:r w:rsidR="004926AB">
      <w:rPr>
        <w:noProof/>
      </w:rPr>
      <w:t>10</w:t>
    </w:r>
    <w:r>
      <w:fldChar w:fldCharType="end"/>
    </w:r>
    <w:r>
      <w:t>/</w:t>
    </w:r>
    <w:r w:rsidR="000268E6">
      <w:fldChar w:fldCharType="begin"/>
    </w:r>
    <w:r w:rsidR="000268E6">
      <w:instrText xml:space="preserve"> NUMPAGES </w:instrText>
    </w:r>
    <w:r w:rsidR="000268E6">
      <w:fldChar w:fldCharType="separate"/>
    </w:r>
    <w:r w:rsidR="004926AB">
      <w:rPr>
        <w:noProof/>
      </w:rPr>
      <w:t>10</w:t>
    </w:r>
    <w:r w:rsidR="000268E6">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D9F670" w14:textId="77777777" w:rsidR="00734238" w:rsidRPr="00FC6717" w:rsidRDefault="00734238" w:rsidP="00FC67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98365" w14:textId="77777777" w:rsidR="006962B0" w:rsidRDefault="006962B0">
      <w:r>
        <w:separator/>
      </w:r>
    </w:p>
  </w:footnote>
  <w:footnote w:type="continuationSeparator" w:id="0">
    <w:p w14:paraId="598440E0" w14:textId="77777777" w:rsidR="006962B0" w:rsidRDefault="006962B0">
      <w:r>
        <w:continuationSeparator/>
      </w:r>
    </w:p>
  </w:footnote>
  <w:footnote w:id="1">
    <w:p w14:paraId="11B0FD0C" w14:textId="5E495D60" w:rsidR="00A62E21" w:rsidRPr="00816A88" w:rsidRDefault="00A62E21">
      <w:pPr>
        <w:pStyle w:val="FootnoteText"/>
      </w:pPr>
      <w:r>
        <w:rPr>
          <w:rStyle w:val="FootnoteReference"/>
          <w:sz w:val="24"/>
          <w:szCs w:val="24"/>
        </w:rPr>
        <w:footnoteRef/>
      </w:r>
      <w:r>
        <w:tab/>
        <w:t>Dictamen del CESE sobre el tema «No habrá Pacto Verde sin un pacto social», aprobado los días 9 y 10 de junio de 2021.</w:t>
      </w:r>
    </w:p>
  </w:footnote>
  <w:footnote w:id="2">
    <w:p w14:paraId="1D7CC9C9" w14:textId="77777777" w:rsidR="00653120" w:rsidRPr="00C86021" w:rsidRDefault="00653120" w:rsidP="00653120">
      <w:pPr>
        <w:pStyle w:val="FootnoteText"/>
      </w:pPr>
      <w:r>
        <w:rPr>
          <w:rStyle w:val="FootnoteReference"/>
          <w:sz w:val="24"/>
          <w:szCs w:val="24"/>
        </w:rPr>
        <w:footnoteRef/>
      </w:r>
      <w:r>
        <w:tab/>
        <w:t>Se hace referencia, en particular, a los tres objetivos principales: al menos el 78 % de la población de entre 20 y 64 años debería estar empleada; al menos el 60 % de todos los adultos debería participar en actividades de formación cada año; el número de personas en riesgo de pobreza o exclusión social debería reducirse en al menos 15 millones.</w:t>
      </w:r>
    </w:p>
  </w:footnote>
  <w:footnote w:id="3">
    <w:p w14:paraId="7D57E81E" w14:textId="77777777" w:rsidR="000D6553" w:rsidRPr="00902E69" w:rsidRDefault="000D6553" w:rsidP="000D6553">
      <w:pPr>
        <w:pStyle w:val="FootnoteText"/>
      </w:pPr>
      <w:r>
        <w:rPr>
          <w:sz w:val="24"/>
          <w:szCs w:val="24"/>
          <w:vertAlign w:val="superscript"/>
        </w:rPr>
        <w:footnoteRef/>
      </w:r>
      <w:r>
        <w:tab/>
      </w:r>
      <w:r>
        <w:rPr>
          <w:color w:val="1F497D"/>
        </w:rPr>
        <w:t>Propuestas del CESE para la reconstrucción y la recuperación tras la crisis de la COVID-19, 11.6.2020</w:t>
      </w:r>
      <w:r>
        <w:t>.</w:t>
      </w:r>
    </w:p>
  </w:footnote>
  <w:footnote w:id="4">
    <w:p w14:paraId="58B6B1CB" w14:textId="35AA773B" w:rsidR="00AC427B" w:rsidRPr="00D33E60" w:rsidRDefault="00AC427B">
      <w:pPr>
        <w:pStyle w:val="FootnoteText"/>
      </w:pPr>
      <w:r>
        <w:rPr>
          <w:rStyle w:val="FootnoteReference"/>
          <w:sz w:val="24"/>
          <w:szCs w:val="24"/>
        </w:rPr>
        <w:footnoteRef/>
      </w:r>
      <w:r>
        <w:tab/>
        <w:t>Resolución del CESE sobre el programa de trabajo de la Comisión Europea para 2022 (9.6.2021).</w:t>
      </w:r>
    </w:p>
  </w:footnote>
  <w:footnote w:id="5">
    <w:p w14:paraId="5C34B92D" w14:textId="777871F7" w:rsidR="004D398A" w:rsidRPr="003833AF" w:rsidRDefault="004D398A" w:rsidP="00553F30">
      <w:pPr>
        <w:pStyle w:val="FootnoteText"/>
      </w:pPr>
      <w:r>
        <w:rPr>
          <w:sz w:val="24"/>
          <w:szCs w:val="24"/>
          <w:vertAlign w:val="superscript"/>
        </w:rPr>
        <w:footnoteRef/>
      </w:r>
      <w:r>
        <w:tab/>
      </w:r>
      <w:hyperlink r:id="rId1" w:history="1">
        <w:r>
          <w:rPr>
            <w:rStyle w:val="Hyperlink"/>
          </w:rPr>
          <w:t>https://www.ilo.org/global/topics/green-jobs/publications/WCMS_432865/lang--es/index.htm</w:t>
        </w:r>
      </w:hyperlink>
    </w:p>
  </w:footnote>
  <w:footnote w:id="6">
    <w:p w14:paraId="1EABC6AE" w14:textId="02A81DF3" w:rsidR="00EF5DFD" w:rsidRPr="003E488D" w:rsidRDefault="00EF5DFD">
      <w:pPr>
        <w:pStyle w:val="FootnoteText"/>
      </w:pPr>
      <w:r>
        <w:rPr>
          <w:rStyle w:val="FootnoteReference"/>
          <w:sz w:val="24"/>
          <w:szCs w:val="24"/>
        </w:rPr>
        <w:footnoteRef/>
      </w:r>
      <w:r>
        <w:t xml:space="preserve"> </w:t>
      </w:r>
      <w:r>
        <w:tab/>
        <w:t>Véase el Dictamen INT/935 (2021) del CESE sobre la nueva Estrategia Industrial para Europa.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A0053C" w14:textId="77777777" w:rsidR="00734238" w:rsidRPr="00FC6717" w:rsidRDefault="00734238" w:rsidP="00FC67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75FF8A" w14:textId="0B1BC645" w:rsidR="00734238" w:rsidRPr="00FC6717" w:rsidRDefault="00734238" w:rsidP="00FC67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DE208D" w14:textId="77777777" w:rsidR="00734238" w:rsidRPr="00FC6717" w:rsidRDefault="00734238" w:rsidP="00FC67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0E3A0247"/>
    <w:multiLevelType w:val="hybridMultilevel"/>
    <w:tmpl w:val="8C1A39C4"/>
    <w:lvl w:ilvl="0" w:tplc="95CEAA7A">
      <w:numFmt w:val="bullet"/>
      <w:lvlText w:val=""/>
      <w:lvlJc w:val="left"/>
      <w:pPr>
        <w:ind w:left="1440" w:hanging="660"/>
      </w:pPr>
      <w:rPr>
        <w:rFonts w:ascii="Symbol" w:eastAsia="Times New Roman" w:hAnsi="Symbol" w:cs="Times New Roman" w:hint="default"/>
      </w:rPr>
    </w:lvl>
    <w:lvl w:ilvl="1" w:tplc="04070003" w:tentative="1">
      <w:start w:val="1"/>
      <w:numFmt w:val="bullet"/>
      <w:lvlText w:val="o"/>
      <w:lvlJc w:val="left"/>
      <w:pPr>
        <w:ind w:left="1860" w:hanging="360"/>
      </w:pPr>
      <w:rPr>
        <w:rFonts w:ascii="Courier New" w:hAnsi="Courier New" w:cs="Courier New" w:hint="default"/>
      </w:rPr>
    </w:lvl>
    <w:lvl w:ilvl="2" w:tplc="04070005" w:tentative="1">
      <w:start w:val="1"/>
      <w:numFmt w:val="bullet"/>
      <w:lvlText w:val=""/>
      <w:lvlJc w:val="left"/>
      <w:pPr>
        <w:ind w:left="2580" w:hanging="360"/>
      </w:pPr>
      <w:rPr>
        <w:rFonts w:ascii="Wingdings" w:hAnsi="Wingdings" w:hint="default"/>
      </w:rPr>
    </w:lvl>
    <w:lvl w:ilvl="3" w:tplc="04070001" w:tentative="1">
      <w:start w:val="1"/>
      <w:numFmt w:val="bullet"/>
      <w:lvlText w:val=""/>
      <w:lvlJc w:val="left"/>
      <w:pPr>
        <w:ind w:left="3300" w:hanging="360"/>
      </w:pPr>
      <w:rPr>
        <w:rFonts w:ascii="Symbol" w:hAnsi="Symbol" w:hint="default"/>
      </w:rPr>
    </w:lvl>
    <w:lvl w:ilvl="4" w:tplc="04070003" w:tentative="1">
      <w:start w:val="1"/>
      <w:numFmt w:val="bullet"/>
      <w:lvlText w:val="o"/>
      <w:lvlJc w:val="left"/>
      <w:pPr>
        <w:ind w:left="4020" w:hanging="360"/>
      </w:pPr>
      <w:rPr>
        <w:rFonts w:ascii="Courier New" w:hAnsi="Courier New" w:cs="Courier New" w:hint="default"/>
      </w:rPr>
    </w:lvl>
    <w:lvl w:ilvl="5" w:tplc="04070005" w:tentative="1">
      <w:start w:val="1"/>
      <w:numFmt w:val="bullet"/>
      <w:lvlText w:val=""/>
      <w:lvlJc w:val="left"/>
      <w:pPr>
        <w:ind w:left="4740" w:hanging="360"/>
      </w:pPr>
      <w:rPr>
        <w:rFonts w:ascii="Wingdings" w:hAnsi="Wingdings" w:hint="default"/>
      </w:rPr>
    </w:lvl>
    <w:lvl w:ilvl="6" w:tplc="04070001" w:tentative="1">
      <w:start w:val="1"/>
      <w:numFmt w:val="bullet"/>
      <w:lvlText w:val=""/>
      <w:lvlJc w:val="left"/>
      <w:pPr>
        <w:ind w:left="5460" w:hanging="360"/>
      </w:pPr>
      <w:rPr>
        <w:rFonts w:ascii="Symbol" w:hAnsi="Symbol" w:hint="default"/>
      </w:rPr>
    </w:lvl>
    <w:lvl w:ilvl="7" w:tplc="04070003" w:tentative="1">
      <w:start w:val="1"/>
      <w:numFmt w:val="bullet"/>
      <w:lvlText w:val="o"/>
      <w:lvlJc w:val="left"/>
      <w:pPr>
        <w:ind w:left="6180" w:hanging="360"/>
      </w:pPr>
      <w:rPr>
        <w:rFonts w:ascii="Courier New" w:hAnsi="Courier New" w:cs="Courier New" w:hint="default"/>
      </w:rPr>
    </w:lvl>
    <w:lvl w:ilvl="8" w:tplc="04070005" w:tentative="1">
      <w:start w:val="1"/>
      <w:numFmt w:val="bullet"/>
      <w:lvlText w:val=""/>
      <w:lvlJc w:val="left"/>
      <w:pPr>
        <w:ind w:left="6900" w:hanging="360"/>
      </w:pPr>
      <w:rPr>
        <w:rFonts w:ascii="Wingdings" w:hAnsi="Wingdings" w:hint="default"/>
      </w:rPr>
    </w:lvl>
  </w:abstractNum>
  <w:abstractNum w:abstractNumId="2" w15:restartNumberingAfterBreak="0">
    <w:nsid w:val="4A3053D2"/>
    <w:multiLevelType w:val="multilevel"/>
    <w:tmpl w:val="283C07FA"/>
    <w:lvl w:ilvl="0">
      <w:start w:val="1"/>
      <w:numFmt w:val="decimal"/>
      <w:lvlText w:val="%1."/>
      <w:lvlJc w:val="left"/>
      <w:pPr>
        <w:ind w:left="720" w:hanging="360"/>
      </w:pPr>
      <w:rPr>
        <w:rFonts w:hint="default"/>
        <w:b w:val="0"/>
      </w:rPr>
    </w:lvl>
    <w:lvl w:ilvl="1">
      <w:start w:val="1"/>
      <w:numFmt w:val="decimal"/>
      <w:isLgl/>
      <w:lvlText w:val="%1.%2"/>
      <w:lvlJc w:val="left"/>
      <w:pPr>
        <w:ind w:left="42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F117BEF"/>
    <w:multiLevelType w:val="hybridMultilevel"/>
    <w:tmpl w:val="5B261E24"/>
    <w:lvl w:ilvl="0" w:tplc="A6AED086">
      <w:numFmt w:val="bullet"/>
      <w:lvlText w:val=""/>
      <w:lvlJc w:val="left"/>
      <w:pPr>
        <w:ind w:left="780" w:hanging="360"/>
      </w:pPr>
      <w:rPr>
        <w:rFonts w:ascii="Wingdings" w:eastAsia="Times New Roman" w:hAnsi="Wingdings" w:cs="Times New Roman"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3"/>
  </w:num>
  <w:num w:numId="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oNotHyphenateCaps/>
  <w:drawingGridHorizontalSpacing w:val="110"/>
  <w:drawingGridVerticalSpacing w:val="299"/>
  <w:displayHorizontalDrawingGridEvery w:val="2"/>
  <w:displayVerticalDrawingGridEvery w:val="0"/>
  <w:noPunctuationKerning/>
  <w:characterSpacingControl w:val="doNotCompress"/>
  <w:doNotValidateAgainstSchema/>
  <w:doNotDemarcateInvalidXml/>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F8F"/>
    <w:rsid w:val="0000233B"/>
    <w:rsid w:val="00003B28"/>
    <w:rsid w:val="00003D60"/>
    <w:rsid w:val="00005AB9"/>
    <w:rsid w:val="00005EB9"/>
    <w:rsid w:val="00006880"/>
    <w:rsid w:val="00006E24"/>
    <w:rsid w:val="00007A40"/>
    <w:rsid w:val="00011D33"/>
    <w:rsid w:val="00013687"/>
    <w:rsid w:val="0001383E"/>
    <w:rsid w:val="00015E42"/>
    <w:rsid w:val="00020E6E"/>
    <w:rsid w:val="000212B1"/>
    <w:rsid w:val="00021FD6"/>
    <w:rsid w:val="000235C1"/>
    <w:rsid w:val="00025FEE"/>
    <w:rsid w:val="000260D6"/>
    <w:rsid w:val="00026A9E"/>
    <w:rsid w:val="00026D64"/>
    <w:rsid w:val="00031A4B"/>
    <w:rsid w:val="000322F2"/>
    <w:rsid w:val="00033913"/>
    <w:rsid w:val="00033E5B"/>
    <w:rsid w:val="000357A8"/>
    <w:rsid w:val="000430A6"/>
    <w:rsid w:val="00044923"/>
    <w:rsid w:val="00044A01"/>
    <w:rsid w:val="00051E53"/>
    <w:rsid w:val="0005249C"/>
    <w:rsid w:val="000528CD"/>
    <w:rsid w:val="000534A5"/>
    <w:rsid w:val="00055F26"/>
    <w:rsid w:val="0005630A"/>
    <w:rsid w:val="0005680D"/>
    <w:rsid w:val="00060666"/>
    <w:rsid w:val="00063FB4"/>
    <w:rsid w:val="000654E9"/>
    <w:rsid w:val="0006793E"/>
    <w:rsid w:val="00067DB5"/>
    <w:rsid w:val="000713ED"/>
    <w:rsid w:val="00072E0F"/>
    <w:rsid w:val="000735E5"/>
    <w:rsid w:val="0007392F"/>
    <w:rsid w:val="00073BEF"/>
    <w:rsid w:val="00080705"/>
    <w:rsid w:val="00080878"/>
    <w:rsid w:val="0008394A"/>
    <w:rsid w:val="00087B39"/>
    <w:rsid w:val="00093454"/>
    <w:rsid w:val="000946E1"/>
    <w:rsid w:val="000954C8"/>
    <w:rsid w:val="0009570D"/>
    <w:rsid w:val="00096502"/>
    <w:rsid w:val="000972E5"/>
    <w:rsid w:val="000A1288"/>
    <w:rsid w:val="000A463A"/>
    <w:rsid w:val="000A49BB"/>
    <w:rsid w:val="000A5C05"/>
    <w:rsid w:val="000B1561"/>
    <w:rsid w:val="000B4461"/>
    <w:rsid w:val="000B61EC"/>
    <w:rsid w:val="000C1791"/>
    <w:rsid w:val="000C3441"/>
    <w:rsid w:val="000C629C"/>
    <w:rsid w:val="000C647B"/>
    <w:rsid w:val="000C73C2"/>
    <w:rsid w:val="000C77AB"/>
    <w:rsid w:val="000C7F53"/>
    <w:rsid w:val="000D0691"/>
    <w:rsid w:val="000D0834"/>
    <w:rsid w:val="000D1B82"/>
    <w:rsid w:val="000D1E81"/>
    <w:rsid w:val="000D2F8E"/>
    <w:rsid w:val="000D4767"/>
    <w:rsid w:val="000D6553"/>
    <w:rsid w:val="000E19F9"/>
    <w:rsid w:val="000F196B"/>
    <w:rsid w:val="00102C57"/>
    <w:rsid w:val="00103293"/>
    <w:rsid w:val="00105361"/>
    <w:rsid w:val="00105AA0"/>
    <w:rsid w:val="001071DD"/>
    <w:rsid w:val="001101F8"/>
    <w:rsid w:val="0011206F"/>
    <w:rsid w:val="0011656A"/>
    <w:rsid w:val="001177A1"/>
    <w:rsid w:val="0012148E"/>
    <w:rsid w:val="00122163"/>
    <w:rsid w:val="0012220C"/>
    <w:rsid w:val="0012276B"/>
    <w:rsid w:val="0013353B"/>
    <w:rsid w:val="00135CF3"/>
    <w:rsid w:val="00136009"/>
    <w:rsid w:val="00136AA4"/>
    <w:rsid w:val="00136EA3"/>
    <w:rsid w:val="00137575"/>
    <w:rsid w:val="001378B6"/>
    <w:rsid w:val="00143A7A"/>
    <w:rsid w:val="00144231"/>
    <w:rsid w:val="00147291"/>
    <w:rsid w:val="0014761D"/>
    <w:rsid w:val="00150434"/>
    <w:rsid w:val="00151AD3"/>
    <w:rsid w:val="00155721"/>
    <w:rsid w:val="0015678B"/>
    <w:rsid w:val="0016503F"/>
    <w:rsid w:val="0016674F"/>
    <w:rsid w:val="00167CA0"/>
    <w:rsid w:val="0017120D"/>
    <w:rsid w:val="001714F6"/>
    <w:rsid w:val="00174815"/>
    <w:rsid w:val="00176168"/>
    <w:rsid w:val="00177158"/>
    <w:rsid w:val="001808A5"/>
    <w:rsid w:val="00181931"/>
    <w:rsid w:val="00183228"/>
    <w:rsid w:val="00184984"/>
    <w:rsid w:val="00184FD4"/>
    <w:rsid w:val="00186697"/>
    <w:rsid w:val="00186B04"/>
    <w:rsid w:val="00186F1E"/>
    <w:rsid w:val="00190836"/>
    <w:rsid w:val="00191701"/>
    <w:rsid w:val="00193930"/>
    <w:rsid w:val="001945CF"/>
    <w:rsid w:val="001963A5"/>
    <w:rsid w:val="00196A98"/>
    <w:rsid w:val="00196F1E"/>
    <w:rsid w:val="00197FCA"/>
    <w:rsid w:val="001A27DB"/>
    <w:rsid w:val="001A3060"/>
    <w:rsid w:val="001A64A0"/>
    <w:rsid w:val="001A6852"/>
    <w:rsid w:val="001B03DF"/>
    <w:rsid w:val="001B286A"/>
    <w:rsid w:val="001B2D02"/>
    <w:rsid w:val="001B31FF"/>
    <w:rsid w:val="001B3647"/>
    <w:rsid w:val="001B77FA"/>
    <w:rsid w:val="001C0ABE"/>
    <w:rsid w:val="001C24FC"/>
    <w:rsid w:val="001C3BF6"/>
    <w:rsid w:val="001C41A4"/>
    <w:rsid w:val="001C515D"/>
    <w:rsid w:val="001C5852"/>
    <w:rsid w:val="001C66F2"/>
    <w:rsid w:val="001C7160"/>
    <w:rsid w:val="001D45F0"/>
    <w:rsid w:val="001D7595"/>
    <w:rsid w:val="001E0E65"/>
    <w:rsid w:val="001E1F53"/>
    <w:rsid w:val="001E4A33"/>
    <w:rsid w:val="001E5C27"/>
    <w:rsid w:val="001E67C1"/>
    <w:rsid w:val="001E6EFB"/>
    <w:rsid w:val="001F0030"/>
    <w:rsid w:val="001F602B"/>
    <w:rsid w:val="001F6AC8"/>
    <w:rsid w:val="002007F4"/>
    <w:rsid w:val="0020133B"/>
    <w:rsid w:val="0020200F"/>
    <w:rsid w:val="002037D5"/>
    <w:rsid w:val="00204539"/>
    <w:rsid w:val="00205EEA"/>
    <w:rsid w:val="00206F90"/>
    <w:rsid w:val="00212B03"/>
    <w:rsid w:val="002131AE"/>
    <w:rsid w:val="00215C10"/>
    <w:rsid w:val="00215C2D"/>
    <w:rsid w:val="002252C4"/>
    <w:rsid w:val="00225DD0"/>
    <w:rsid w:val="00227439"/>
    <w:rsid w:val="00230911"/>
    <w:rsid w:val="002317C6"/>
    <w:rsid w:val="0023183E"/>
    <w:rsid w:val="00233828"/>
    <w:rsid w:val="00235138"/>
    <w:rsid w:val="002431AB"/>
    <w:rsid w:val="00243E36"/>
    <w:rsid w:val="0024540B"/>
    <w:rsid w:val="00245EF4"/>
    <w:rsid w:val="00250E11"/>
    <w:rsid w:val="00251383"/>
    <w:rsid w:val="002522C9"/>
    <w:rsid w:val="00252A21"/>
    <w:rsid w:val="00253E4F"/>
    <w:rsid w:val="002542E4"/>
    <w:rsid w:val="0025601C"/>
    <w:rsid w:val="00256399"/>
    <w:rsid w:val="002567DC"/>
    <w:rsid w:val="00261053"/>
    <w:rsid w:val="00262FDE"/>
    <w:rsid w:val="00263629"/>
    <w:rsid w:val="00264C0C"/>
    <w:rsid w:val="002740FB"/>
    <w:rsid w:val="002749A8"/>
    <w:rsid w:val="002769BD"/>
    <w:rsid w:val="00276A75"/>
    <w:rsid w:val="00277BF0"/>
    <w:rsid w:val="002809EA"/>
    <w:rsid w:val="00283290"/>
    <w:rsid w:val="00284962"/>
    <w:rsid w:val="00287B0E"/>
    <w:rsid w:val="00292E77"/>
    <w:rsid w:val="00297727"/>
    <w:rsid w:val="002A01BF"/>
    <w:rsid w:val="002A0B53"/>
    <w:rsid w:val="002A0EEF"/>
    <w:rsid w:val="002A0FF9"/>
    <w:rsid w:val="002A1429"/>
    <w:rsid w:val="002A3FE9"/>
    <w:rsid w:val="002A76F9"/>
    <w:rsid w:val="002B2DF7"/>
    <w:rsid w:val="002B7027"/>
    <w:rsid w:val="002B74B9"/>
    <w:rsid w:val="002C1DB1"/>
    <w:rsid w:val="002C3BF4"/>
    <w:rsid w:val="002C749F"/>
    <w:rsid w:val="002D170C"/>
    <w:rsid w:val="002D2C8D"/>
    <w:rsid w:val="002D41C0"/>
    <w:rsid w:val="002D4F0A"/>
    <w:rsid w:val="002E0773"/>
    <w:rsid w:val="002E27DD"/>
    <w:rsid w:val="002E5278"/>
    <w:rsid w:val="002E7B33"/>
    <w:rsid w:val="002F059B"/>
    <w:rsid w:val="002F1004"/>
    <w:rsid w:val="002F13D2"/>
    <w:rsid w:val="002F33C0"/>
    <w:rsid w:val="002F4D63"/>
    <w:rsid w:val="002F5B0B"/>
    <w:rsid w:val="002F6711"/>
    <w:rsid w:val="002F7507"/>
    <w:rsid w:val="00300924"/>
    <w:rsid w:val="0030596E"/>
    <w:rsid w:val="003073C3"/>
    <w:rsid w:val="0032015D"/>
    <w:rsid w:val="003207D6"/>
    <w:rsid w:val="00322742"/>
    <w:rsid w:val="00323637"/>
    <w:rsid w:val="00324E8A"/>
    <w:rsid w:val="00331D87"/>
    <w:rsid w:val="00332850"/>
    <w:rsid w:val="00334478"/>
    <w:rsid w:val="003346B4"/>
    <w:rsid w:val="00334AE6"/>
    <w:rsid w:val="003365D0"/>
    <w:rsid w:val="00340406"/>
    <w:rsid w:val="00340646"/>
    <w:rsid w:val="003439AB"/>
    <w:rsid w:val="00344CD8"/>
    <w:rsid w:val="00346531"/>
    <w:rsid w:val="0035034C"/>
    <w:rsid w:val="0035083B"/>
    <w:rsid w:val="00354695"/>
    <w:rsid w:val="003551BB"/>
    <w:rsid w:val="0035549B"/>
    <w:rsid w:val="00356096"/>
    <w:rsid w:val="00362B96"/>
    <w:rsid w:val="003755C8"/>
    <w:rsid w:val="00375687"/>
    <w:rsid w:val="00376C91"/>
    <w:rsid w:val="0037761D"/>
    <w:rsid w:val="00380AE0"/>
    <w:rsid w:val="00383324"/>
    <w:rsid w:val="003833AF"/>
    <w:rsid w:val="003843C8"/>
    <w:rsid w:val="003856B8"/>
    <w:rsid w:val="00387A75"/>
    <w:rsid w:val="003904FD"/>
    <w:rsid w:val="00392734"/>
    <w:rsid w:val="00394254"/>
    <w:rsid w:val="00396882"/>
    <w:rsid w:val="003A244D"/>
    <w:rsid w:val="003A2FE4"/>
    <w:rsid w:val="003A3F39"/>
    <w:rsid w:val="003B0A89"/>
    <w:rsid w:val="003B170F"/>
    <w:rsid w:val="003B3A49"/>
    <w:rsid w:val="003B4789"/>
    <w:rsid w:val="003B5F96"/>
    <w:rsid w:val="003C0C36"/>
    <w:rsid w:val="003C146D"/>
    <w:rsid w:val="003C2BFB"/>
    <w:rsid w:val="003C436B"/>
    <w:rsid w:val="003C4864"/>
    <w:rsid w:val="003C5337"/>
    <w:rsid w:val="003C5F92"/>
    <w:rsid w:val="003D288E"/>
    <w:rsid w:val="003D376D"/>
    <w:rsid w:val="003D4FFA"/>
    <w:rsid w:val="003D6BBA"/>
    <w:rsid w:val="003D76E2"/>
    <w:rsid w:val="003D7A8C"/>
    <w:rsid w:val="003D7C00"/>
    <w:rsid w:val="003E0D98"/>
    <w:rsid w:val="003E488D"/>
    <w:rsid w:val="003E56E5"/>
    <w:rsid w:val="003E6D94"/>
    <w:rsid w:val="003E7E60"/>
    <w:rsid w:val="003F00D4"/>
    <w:rsid w:val="003F2209"/>
    <w:rsid w:val="003F2C04"/>
    <w:rsid w:val="003F3976"/>
    <w:rsid w:val="003F3D39"/>
    <w:rsid w:val="003F646A"/>
    <w:rsid w:val="003F6761"/>
    <w:rsid w:val="003F6A0A"/>
    <w:rsid w:val="003F704D"/>
    <w:rsid w:val="004019BC"/>
    <w:rsid w:val="004024F5"/>
    <w:rsid w:val="00402DE1"/>
    <w:rsid w:val="00403D8B"/>
    <w:rsid w:val="004058F1"/>
    <w:rsid w:val="00407E7D"/>
    <w:rsid w:val="0041283D"/>
    <w:rsid w:val="00413AB4"/>
    <w:rsid w:val="00421373"/>
    <w:rsid w:val="00421FB7"/>
    <w:rsid w:val="00422B9A"/>
    <w:rsid w:val="0042361C"/>
    <w:rsid w:val="00425D1F"/>
    <w:rsid w:val="00426D3A"/>
    <w:rsid w:val="0042763B"/>
    <w:rsid w:val="0043024C"/>
    <w:rsid w:val="00430885"/>
    <w:rsid w:val="00436350"/>
    <w:rsid w:val="00436706"/>
    <w:rsid w:val="00440FA2"/>
    <w:rsid w:val="00443D38"/>
    <w:rsid w:val="00447614"/>
    <w:rsid w:val="00447D4E"/>
    <w:rsid w:val="00450E7A"/>
    <w:rsid w:val="0045173A"/>
    <w:rsid w:val="00451844"/>
    <w:rsid w:val="00451B13"/>
    <w:rsid w:val="0045210A"/>
    <w:rsid w:val="00456AF8"/>
    <w:rsid w:val="0046177F"/>
    <w:rsid w:val="00470B15"/>
    <w:rsid w:val="00475869"/>
    <w:rsid w:val="00475A77"/>
    <w:rsid w:val="00477C8E"/>
    <w:rsid w:val="0048095D"/>
    <w:rsid w:val="00484D56"/>
    <w:rsid w:val="004866A9"/>
    <w:rsid w:val="00487CD8"/>
    <w:rsid w:val="004922F9"/>
    <w:rsid w:val="004926AB"/>
    <w:rsid w:val="00492774"/>
    <w:rsid w:val="00495D8C"/>
    <w:rsid w:val="00496D7A"/>
    <w:rsid w:val="004971D7"/>
    <w:rsid w:val="004A15E7"/>
    <w:rsid w:val="004A2C74"/>
    <w:rsid w:val="004A31BC"/>
    <w:rsid w:val="004A3F1A"/>
    <w:rsid w:val="004A3F45"/>
    <w:rsid w:val="004A5738"/>
    <w:rsid w:val="004B0AC8"/>
    <w:rsid w:val="004B1AFA"/>
    <w:rsid w:val="004B4E17"/>
    <w:rsid w:val="004B7088"/>
    <w:rsid w:val="004C3C04"/>
    <w:rsid w:val="004C4D12"/>
    <w:rsid w:val="004C5B76"/>
    <w:rsid w:val="004C65A3"/>
    <w:rsid w:val="004C7810"/>
    <w:rsid w:val="004D02CD"/>
    <w:rsid w:val="004D0B24"/>
    <w:rsid w:val="004D3202"/>
    <w:rsid w:val="004D398A"/>
    <w:rsid w:val="004D4591"/>
    <w:rsid w:val="004D4B90"/>
    <w:rsid w:val="004D6B95"/>
    <w:rsid w:val="004D7F41"/>
    <w:rsid w:val="004E017B"/>
    <w:rsid w:val="004E03A2"/>
    <w:rsid w:val="004E317E"/>
    <w:rsid w:val="004E3954"/>
    <w:rsid w:val="004E5856"/>
    <w:rsid w:val="004F1BC2"/>
    <w:rsid w:val="004F2330"/>
    <w:rsid w:val="004F241E"/>
    <w:rsid w:val="004F53C6"/>
    <w:rsid w:val="004F55C6"/>
    <w:rsid w:val="004F69DB"/>
    <w:rsid w:val="004F6B87"/>
    <w:rsid w:val="00500E99"/>
    <w:rsid w:val="00501C2D"/>
    <w:rsid w:val="00502637"/>
    <w:rsid w:val="00506C98"/>
    <w:rsid w:val="00511140"/>
    <w:rsid w:val="00513CFE"/>
    <w:rsid w:val="005163F1"/>
    <w:rsid w:val="00516A66"/>
    <w:rsid w:val="00520E09"/>
    <w:rsid w:val="00522212"/>
    <w:rsid w:val="00523B6A"/>
    <w:rsid w:val="00524366"/>
    <w:rsid w:val="00525F6C"/>
    <w:rsid w:val="00527245"/>
    <w:rsid w:val="0053222D"/>
    <w:rsid w:val="00532564"/>
    <w:rsid w:val="00537310"/>
    <w:rsid w:val="0053760E"/>
    <w:rsid w:val="0054281E"/>
    <w:rsid w:val="0054304A"/>
    <w:rsid w:val="00543E32"/>
    <w:rsid w:val="00544883"/>
    <w:rsid w:val="00546AB4"/>
    <w:rsid w:val="00546E0B"/>
    <w:rsid w:val="005477DF"/>
    <w:rsid w:val="00550CAF"/>
    <w:rsid w:val="005514E5"/>
    <w:rsid w:val="00553F30"/>
    <w:rsid w:val="0055669A"/>
    <w:rsid w:val="005606D2"/>
    <w:rsid w:val="00562FFC"/>
    <w:rsid w:val="00563C84"/>
    <w:rsid w:val="0056600B"/>
    <w:rsid w:val="00570F80"/>
    <w:rsid w:val="005710B4"/>
    <w:rsid w:val="00575705"/>
    <w:rsid w:val="005762F6"/>
    <w:rsid w:val="00583655"/>
    <w:rsid w:val="00584247"/>
    <w:rsid w:val="00584FBE"/>
    <w:rsid w:val="00585483"/>
    <w:rsid w:val="00587378"/>
    <w:rsid w:val="00587C05"/>
    <w:rsid w:val="00590AAB"/>
    <w:rsid w:val="00591F1B"/>
    <w:rsid w:val="005938A4"/>
    <w:rsid w:val="005938C3"/>
    <w:rsid w:val="0059468C"/>
    <w:rsid w:val="00595125"/>
    <w:rsid w:val="00596CC1"/>
    <w:rsid w:val="00596F21"/>
    <w:rsid w:val="00596F38"/>
    <w:rsid w:val="005A6509"/>
    <w:rsid w:val="005B1CDD"/>
    <w:rsid w:val="005B1E19"/>
    <w:rsid w:val="005B4B1D"/>
    <w:rsid w:val="005B55FC"/>
    <w:rsid w:val="005C2D5E"/>
    <w:rsid w:val="005C3736"/>
    <w:rsid w:val="005C3B81"/>
    <w:rsid w:val="005C650C"/>
    <w:rsid w:val="005C6555"/>
    <w:rsid w:val="005C7D28"/>
    <w:rsid w:val="005C7D75"/>
    <w:rsid w:val="005D086C"/>
    <w:rsid w:val="005D1115"/>
    <w:rsid w:val="005D11D1"/>
    <w:rsid w:val="005D11D3"/>
    <w:rsid w:val="005D2ECC"/>
    <w:rsid w:val="005D4E1F"/>
    <w:rsid w:val="005D4FB3"/>
    <w:rsid w:val="005D64D0"/>
    <w:rsid w:val="005E2F07"/>
    <w:rsid w:val="005E2FEA"/>
    <w:rsid w:val="005E3D28"/>
    <w:rsid w:val="005F314B"/>
    <w:rsid w:val="005F37E8"/>
    <w:rsid w:val="005F7748"/>
    <w:rsid w:val="0060300F"/>
    <w:rsid w:val="00603AD9"/>
    <w:rsid w:val="00611AF2"/>
    <w:rsid w:val="0061212B"/>
    <w:rsid w:val="006127AF"/>
    <w:rsid w:val="006138B5"/>
    <w:rsid w:val="00613A98"/>
    <w:rsid w:val="006141CF"/>
    <w:rsid w:val="00615FB2"/>
    <w:rsid w:val="0061656C"/>
    <w:rsid w:val="00617BD1"/>
    <w:rsid w:val="00617CE8"/>
    <w:rsid w:val="00621065"/>
    <w:rsid w:val="00623779"/>
    <w:rsid w:val="006239D9"/>
    <w:rsid w:val="0062440F"/>
    <w:rsid w:val="0062766B"/>
    <w:rsid w:val="006278A0"/>
    <w:rsid w:val="0063095F"/>
    <w:rsid w:val="00630B1E"/>
    <w:rsid w:val="00631CBD"/>
    <w:rsid w:val="00632B72"/>
    <w:rsid w:val="00635E25"/>
    <w:rsid w:val="0063704F"/>
    <w:rsid w:val="00640200"/>
    <w:rsid w:val="00640EBD"/>
    <w:rsid w:val="00645096"/>
    <w:rsid w:val="00645723"/>
    <w:rsid w:val="00645941"/>
    <w:rsid w:val="00646AC2"/>
    <w:rsid w:val="00646BFF"/>
    <w:rsid w:val="00650390"/>
    <w:rsid w:val="00650DB8"/>
    <w:rsid w:val="006523F5"/>
    <w:rsid w:val="00652F77"/>
    <w:rsid w:val="00653120"/>
    <w:rsid w:val="00654DAB"/>
    <w:rsid w:val="006572D5"/>
    <w:rsid w:val="006579DF"/>
    <w:rsid w:val="00660025"/>
    <w:rsid w:val="0066204A"/>
    <w:rsid w:val="00663C30"/>
    <w:rsid w:val="006668BE"/>
    <w:rsid w:val="00670E3C"/>
    <w:rsid w:val="00672D77"/>
    <w:rsid w:val="00675E20"/>
    <w:rsid w:val="0067685B"/>
    <w:rsid w:val="00677F57"/>
    <w:rsid w:val="00681088"/>
    <w:rsid w:val="00682BDE"/>
    <w:rsid w:val="00693369"/>
    <w:rsid w:val="0069577E"/>
    <w:rsid w:val="006958BB"/>
    <w:rsid w:val="00695D54"/>
    <w:rsid w:val="006962B0"/>
    <w:rsid w:val="0069634B"/>
    <w:rsid w:val="00696623"/>
    <w:rsid w:val="006A04E9"/>
    <w:rsid w:val="006A4A03"/>
    <w:rsid w:val="006A5E76"/>
    <w:rsid w:val="006A7543"/>
    <w:rsid w:val="006B3016"/>
    <w:rsid w:val="006B725C"/>
    <w:rsid w:val="006C273D"/>
    <w:rsid w:val="006C2ABD"/>
    <w:rsid w:val="006C5C4F"/>
    <w:rsid w:val="006C6282"/>
    <w:rsid w:val="006C6D74"/>
    <w:rsid w:val="006C762A"/>
    <w:rsid w:val="006D007E"/>
    <w:rsid w:val="006D4444"/>
    <w:rsid w:val="006D5FF9"/>
    <w:rsid w:val="006E0772"/>
    <w:rsid w:val="006E0F86"/>
    <w:rsid w:val="006E108C"/>
    <w:rsid w:val="006E4F08"/>
    <w:rsid w:val="006F0362"/>
    <w:rsid w:val="006F0B15"/>
    <w:rsid w:val="006F0DCC"/>
    <w:rsid w:val="006F73FD"/>
    <w:rsid w:val="00701C96"/>
    <w:rsid w:val="00702AC1"/>
    <w:rsid w:val="0070377D"/>
    <w:rsid w:val="00703DF9"/>
    <w:rsid w:val="0070417E"/>
    <w:rsid w:val="007048EB"/>
    <w:rsid w:val="00704FBB"/>
    <w:rsid w:val="007067C0"/>
    <w:rsid w:val="0070726A"/>
    <w:rsid w:val="0071226B"/>
    <w:rsid w:val="00716FE4"/>
    <w:rsid w:val="00717040"/>
    <w:rsid w:val="00721FB3"/>
    <w:rsid w:val="007273E8"/>
    <w:rsid w:val="0073074B"/>
    <w:rsid w:val="00730952"/>
    <w:rsid w:val="00734238"/>
    <w:rsid w:val="0073524C"/>
    <w:rsid w:val="007356FE"/>
    <w:rsid w:val="00741A15"/>
    <w:rsid w:val="007447F3"/>
    <w:rsid w:val="0074500D"/>
    <w:rsid w:val="0074651B"/>
    <w:rsid w:val="00746C66"/>
    <w:rsid w:val="0074762B"/>
    <w:rsid w:val="00750F9A"/>
    <w:rsid w:val="007513FF"/>
    <w:rsid w:val="00756BCA"/>
    <w:rsid w:val="00760265"/>
    <w:rsid w:val="0076177E"/>
    <w:rsid w:val="00761C17"/>
    <w:rsid w:val="007622A7"/>
    <w:rsid w:val="00762732"/>
    <w:rsid w:val="007672E1"/>
    <w:rsid w:val="007676A2"/>
    <w:rsid w:val="00770D23"/>
    <w:rsid w:val="00772FF3"/>
    <w:rsid w:val="007750A2"/>
    <w:rsid w:val="007808D5"/>
    <w:rsid w:val="007817D6"/>
    <w:rsid w:val="00781E1C"/>
    <w:rsid w:val="00781F9C"/>
    <w:rsid w:val="007824C2"/>
    <w:rsid w:val="0078334A"/>
    <w:rsid w:val="007851C3"/>
    <w:rsid w:val="00787912"/>
    <w:rsid w:val="0079177A"/>
    <w:rsid w:val="0079280B"/>
    <w:rsid w:val="00794836"/>
    <w:rsid w:val="007948D5"/>
    <w:rsid w:val="00795791"/>
    <w:rsid w:val="00795A74"/>
    <w:rsid w:val="00796C64"/>
    <w:rsid w:val="007A0FB7"/>
    <w:rsid w:val="007A15C9"/>
    <w:rsid w:val="007A1CF8"/>
    <w:rsid w:val="007A1F67"/>
    <w:rsid w:val="007A6676"/>
    <w:rsid w:val="007B72DF"/>
    <w:rsid w:val="007B7FF5"/>
    <w:rsid w:val="007C03F2"/>
    <w:rsid w:val="007C25AC"/>
    <w:rsid w:val="007C3FC6"/>
    <w:rsid w:val="007D2117"/>
    <w:rsid w:val="007D2CE9"/>
    <w:rsid w:val="007D4FED"/>
    <w:rsid w:val="007D69DA"/>
    <w:rsid w:val="007D70B1"/>
    <w:rsid w:val="007D7140"/>
    <w:rsid w:val="007E0F23"/>
    <w:rsid w:val="007E1CDB"/>
    <w:rsid w:val="007E408C"/>
    <w:rsid w:val="007E50BF"/>
    <w:rsid w:val="007E63AF"/>
    <w:rsid w:val="007E703F"/>
    <w:rsid w:val="007E74C6"/>
    <w:rsid w:val="007E7E21"/>
    <w:rsid w:val="007F0460"/>
    <w:rsid w:val="007F0A83"/>
    <w:rsid w:val="007F0DA2"/>
    <w:rsid w:val="007F2EC7"/>
    <w:rsid w:val="007F39CE"/>
    <w:rsid w:val="007F5E0D"/>
    <w:rsid w:val="00801085"/>
    <w:rsid w:val="00801A89"/>
    <w:rsid w:val="00803391"/>
    <w:rsid w:val="00804457"/>
    <w:rsid w:val="00812138"/>
    <w:rsid w:val="008151F2"/>
    <w:rsid w:val="00816A88"/>
    <w:rsid w:val="0081777A"/>
    <w:rsid w:val="008210E0"/>
    <w:rsid w:val="00824079"/>
    <w:rsid w:val="008250F0"/>
    <w:rsid w:val="008256AE"/>
    <w:rsid w:val="00827622"/>
    <w:rsid w:val="00831F0A"/>
    <w:rsid w:val="00833A78"/>
    <w:rsid w:val="0083779C"/>
    <w:rsid w:val="00841C8F"/>
    <w:rsid w:val="00842D3F"/>
    <w:rsid w:val="00843F66"/>
    <w:rsid w:val="00844E82"/>
    <w:rsid w:val="00844F87"/>
    <w:rsid w:val="0084585F"/>
    <w:rsid w:val="00845AB7"/>
    <w:rsid w:val="00850432"/>
    <w:rsid w:val="008507EE"/>
    <w:rsid w:val="00852623"/>
    <w:rsid w:val="00853E53"/>
    <w:rsid w:val="0085535C"/>
    <w:rsid w:val="00855EA5"/>
    <w:rsid w:val="008569BE"/>
    <w:rsid w:val="008641C7"/>
    <w:rsid w:val="00864D76"/>
    <w:rsid w:val="008650DA"/>
    <w:rsid w:val="008656C9"/>
    <w:rsid w:val="0086630D"/>
    <w:rsid w:val="0086711C"/>
    <w:rsid w:val="00867535"/>
    <w:rsid w:val="00870AE0"/>
    <w:rsid w:val="00873405"/>
    <w:rsid w:val="00875A18"/>
    <w:rsid w:val="00875C5B"/>
    <w:rsid w:val="00883C5F"/>
    <w:rsid w:val="00885F28"/>
    <w:rsid w:val="00890476"/>
    <w:rsid w:val="00891C70"/>
    <w:rsid w:val="00891C7D"/>
    <w:rsid w:val="008922F8"/>
    <w:rsid w:val="00892FA7"/>
    <w:rsid w:val="00893464"/>
    <w:rsid w:val="00896093"/>
    <w:rsid w:val="00896385"/>
    <w:rsid w:val="00897EB3"/>
    <w:rsid w:val="008A3301"/>
    <w:rsid w:val="008A4DF1"/>
    <w:rsid w:val="008A5636"/>
    <w:rsid w:val="008A5B5B"/>
    <w:rsid w:val="008A600A"/>
    <w:rsid w:val="008A6930"/>
    <w:rsid w:val="008B125E"/>
    <w:rsid w:val="008B2179"/>
    <w:rsid w:val="008B241C"/>
    <w:rsid w:val="008B3D2A"/>
    <w:rsid w:val="008B408B"/>
    <w:rsid w:val="008B4410"/>
    <w:rsid w:val="008B4BF6"/>
    <w:rsid w:val="008B4F11"/>
    <w:rsid w:val="008C2362"/>
    <w:rsid w:val="008C3049"/>
    <w:rsid w:val="008C4A76"/>
    <w:rsid w:val="008C74D9"/>
    <w:rsid w:val="008D4AE9"/>
    <w:rsid w:val="008D56E5"/>
    <w:rsid w:val="008D5CF3"/>
    <w:rsid w:val="008D7D39"/>
    <w:rsid w:val="008E4574"/>
    <w:rsid w:val="008F1ADF"/>
    <w:rsid w:val="008F4016"/>
    <w:rsid w:val="008F42FE"/>
    <w:rsid w:val="008F4A00"/>
    <w:rsid w:val="008F5402"/>
    <w:rsid w:val="008F73A9"/>
    <w:rsid w:val="0090053A"/>
    <w:rsid w:val="009009D8"/>
    <w:rsid w:val="00901C2A"/>
    <w:rsid w:val="00902E69"/>
    <w:rsid w:val="009108A5"/>
    <w:rsid w:val="00911455"/>
    <w:rsid w:val="009118C7"/>
    <w:rsid w:val="009124E7"/>
    <w:rsid w:val="00914A31"/>
    <w:rsid w:val="00920878"/>
    <w:rsid w:val="009209B2"/>
    <w:rsid w:val="009225B6"/>
    <w:rsid w:val="00925397"/>
    <w:rsid w:val="009257F1"/>
    <w:rsid w:val="00933A21"/>
    <w:rsid w:val="00934333"/>
    <w:rsid w:val="00934C10"/>
    <w:rsid w:val="00935840"/>
    <w:rsid w:val="0093662A"/>
    <w:rsid w:val="0094060C"/>
    <w:rsid w:val="00942C4B"/>
    <w:rsid w:val="00944196"/>
    <w:rsid w:val="0094465E"/>
    <w:rsid w:val="009505BC"/>
    <w:rsid w:val="009514A9"/>
    <w:rsid w:val="0095365C"/>
    <w:rsid w:val="009604EB"/>
    <w:rsid w:val="009606A5"/>
    <w:rsid w:val="00960D11"/>
    <w:rsid w:val="00962F1F"/>
    <w:rsid w:val="00963F4D"/>
    <w:rsid w:val="00965194"/>
    <w:rsid w:val="00965304"/>
    <w:rsid w:val="00971293"/>
    <w:rsid w:val="00972711"/>
    <w:rsid w:val="0097277E"/>
    <w:rsid w:val="00973316"/>
    <w:rsid w:val="00973A3B"/>
    <w:rsid w:val="0097589C"/>
    <w:rsid w:val="00977194"/>
    <w:rsid w:val="00983EAE"/>
    <w:rsid w:val="0098633B"/>
    <w:rsid w:val="0098760B"/>
    <w:rsid w:val="00987668"/>
    <w:rsid w:val="00990644"/>
    <w:rsid w:val="00993245"/>
    <w:rsid w:val="009A11DD"/>
    <w:rsid w:val="009A1EDD"/>
    <w:rsid w:val="009A3E51"/>
    <w:rsid w:val="009A48D0"/>
    <w:rsid w:val="009A5226"/>
    <w:rsid w:val="009A55E5"/>
    <w:rsid w:val="009A68D3"/>
    <w:rsid w:val="009B30AA"/>
    <w:rsid w:val="009B42BD"/>
    <w:rsid w:val="009B5217"/>
    <w:rsid w:val="009B6E42"/>
    <w:rsid w:val="009B7EE0"/>
    <w:rsid w:val="009C0C16"/>
    <w:rsid w:val="009C1D0C"/>
    <w:rsid w:val="009C40BA"/>
    <w:rsid w:val="009C48DE"/>
    <w:rsid w:val="009D4366"/>
    <w:rsid w:val="009D4516"/>
    <w:rsid w:val="009D50E7"/>
    <w:rsid w:val="009D60D9"/>
    <w:rsid w:val="009E1E1E"/>
    <w:rsid w:val="009E33E3"/>
    <w:rsid w:val="009E7B12"/>
    <w:rsid w:val="009E7F16"/>
    <w:rsid w:val="009F022C"/>
    <w:rsid w:val="009F1E65"/>
    <w:rsid w:val="009F31FD"/>
    <w:rsid w:val="009F5052"/>
    <w:rsid w:val="00A00C5B"/>
    <w:rsid w:val="00A01F30"/>
    <w:rsid w:val="00A03083"/>
    <w:rsid w:val="00A04C85"/>
    <w:rsid w:val="00A100F0"/>
    <w:rsid w:val="00A10308"/>
    <w:rsid w:val="00A12773"/>
    <w:rsid w:val="00A13218"/>
    <w:rsid w:val="00A14038"/>
    <w:rsid w:val="00A154F7"/>
    <w:rsid w:val="00A156E6"/>
    <w:rsid w:val="00A15915"/>
    <w:rsid w:val="00A177C5"/>
    <w:rsid w:val="00A24FB4"/>
    <w:rsid w:val="00A273F6"/>
    <w:rsid w:val="00A27D86"/>
    <w:rsid w:val="00A30100"/>
    <w:rsid w:val="00A30A3D"/>
    <w:rsid w:val="00A30B41"/>
    <w:rsid w:val="00A31C4B"/>
    <w:rsid w:val="00A33151"/>
    <w:rsid w:val="00A3548C"/>
    <w:rsid w:val="00A360FB"/>
    <w:rsid w:val="00A36970"/>
    <w:rsid w:val="00A41EB4"/>
    <w:rsid w:val="00A44BFF"/>
    <w:rsid w:val="00A4532F"/>
    <w:rsid w:val="00A45A6F"/>
    <w:rsid w:val="00A501E3"/>
    <w:rsid w:val="00A50F0C"/>
    <w:rsid w:val="00A5206E"/>
    <w:rsid w:val="00A52903"/>
    <w:rsid w:val="00A56441"/>
    <w:rsid w:val="00A61633"/>
    <w:rsid w:val="00A62E21"/>
    <w:rsid w:val="00A64B1A"/>
    <w:rsid w:val="00A64D63"/>
    <w:rsid w:val="00A65507"/>
    <w:rsid w:val="00A67734"/>
    <w:rsid w:val="00A71EBE"/>
    <w:rsid w:val="00A736DD"/>
    <w:rsid w:val="00A76579"/>
    <w:rsid w:val="00A80C0B"/>
    <w:rsid w:val="00A826F6"/>
    <w:rsid w:val="00A82869"/>
    <w:rsid w:val="00A83B4C"/>
    <w:rsid w:val="00A8758C"/>
    <w:rsid w:val="00A87B9C"/>
    <w:rsid w:val="00A92962"/>
    <w:rsid w:val="00A93333"/>
    <w:rsid w:val="00A94CD3"/>
    <w:rsid w:val="00A97410"/>
    <w:rsid w:val="00AA127E"/>
    <w:rsid w:val="00AA19AE"/>
    <w:rsid w:val="00AA423D"/>
    <w:rsid w:val="00AA518B"/>
    <w:rsid w:val="00AA6A95"/>
    <w:rsid w:val="00AA6FF1"/>
    <w:rsid w:val="00AB10DE"/>
    <w:rsid w:val="00AB1841"/>
    <w:rsid w:val="00AB2604"/>
    <w:rsid w:val="00AB3668"/>
    <w:rsid w:val="00AB542D"/>
    <w:rsid w:val="00AB5ED7"/>
    <w:rsid w:val="00AB655F"/>
    <w:rsid w:val="00AC0B4C"/>
    <w:rsid w:val="00AC130D"/>
    <w:rsid w:val="00AC427B"/>
    <w:rsid w:val="00AC5565"/>
    <w:rsid w:val="00AC5ADE"/>
    <w:rsid w:val="00AD0AEE"/>
    <w:rsid w:val="00AD17CC"/>
    <w:rsid w:val="00AD25D6"/>
    <w:rsid w:val="00AD2EF7"/>
    <w:rsid w:val="00AD30C5"/>
    <w:rsid w:val="00AD49E3"/>
    <w:rsid w:val="00AD4B4F"/>
    <w:rsid w:val="00AE739D"/>
    <w:rsid w:val="00AF0616"/>
    <w:rsid w:val="00AF0E28"/>
    <w:rsid w:val="00AF6F9B"/>
    <w:rsid w:val="00B01409"/>
    <w:rsid w:val="00B01B2D"/>
    <w:rsid w:val="00B06C3E"/>
    <w:rsid w:val="00B101E4"/>
    <w:rsid w:val="00B10DBD"/>
    <w:rsid w:val="00B120C5"/>
    <w:rsid w:val="00B14210"/>
    <w:rsid w:val="00B15629"/>
    <w:rsid w:val="00B2372C"/>
    <w:rsid w:val="00B243F1"/>
    <w:rsid w:val="00B32F70"/>
    <w:rsid w:val="00B3708F"/>
    <w:rsid w:val="00B37363"/>
    <w:rsid w:val="00B373D0"/>
    <w:rsid w:val="00B43AAA"/>
    <w:rsid w:val="00B46CFA"/>
    <w:rsid w:val="00B511C1"/>
    <w:rsid w:val="00B53139"/>
    <w:rsid w:val="00B53505"/>
    <w:rsid w:val="00B543E4"/>
    <w:rsid w:val="00B55A96"/>
    <w:rsid w:val="00B562CE"/>
    <w:rsid w:val="00B626BF"/>
    <w:rsid w:val="00B62DE2"/>
    <w:rsid w:val="00B64063"/>
    <w:rsid w:val="00B715D1"/>
    <w:rsid w:val="00B71E24"/>
    <w:rsid w:val="00B7202B"/>
    <w:rsid w:val="00B72517"/>
    <w:rsid w:val="00B73030"/>
    <w:rsid w:val="00B74417"/>
    <w:rsid w:val="00B77246"/>
    <w:rsid w:val="00B81B38"/>
    <w:rsid w:val="00B824D2"/>
    <w:rsid w:val="00B83A43"/>
    <w:rsid w:val="00B83A66"/>
    <w:rsid w:val="00B85154"/>
    <w:rsid w:val="00B866CD"/>
    <w:rsid w:val="00B86EB5"/>
    <w:rsid w:val="00B87240"/>
    <w:rsid w:val="00B92958"/>
    <w:rsid w:val="00B93034"/>
    <w:rsid w:val="00B93A81"/>
    <w:rsid w:val="00B97C5D"/>
    <w:rsid w:val="00BA1290"/>
    <w:rsid w:val="00BA1D71"/>
    <w:rsid w:val="00BA1FC2"/>
    <w:rsid w:val="00BB0FC0"/>
    <w:rsid w:val="00BB2792"/>
    <w:rsid w:val="00BB42FE"/>
    <w:rsid w:val="00BB4505"/>
    <w:rsid w:val="00BB7498"/>
    <w:rsid w:val="00BB76BF"/>
    <w:rsid w:val="00BC0DD8"/>
    <w:rsid w:val="00BC1AD1"/>
    <w:rsid w:val="00BC1D82"/>
    <w:rsid w:val="00BC4A58"/>
    <w:rsid w:val="00BC613B"/>
    <w:rsid w:val="00BC76C6"/>
    <w:rsid w:val="00BD51D9"/>
    <w:rsid w:val="00BD5919"/>
    <w:rsid w:val="00BD64E2"/>
    <w:rsid w:val="00BE02B9"/>
    <w:rsid w:val="00BE25F3"/>
    <w:rsid w:val="00BE2B2B"/>
    <w:rsid w:val="00BE4995"/>
    <w:rsid w:val="00BF00C2"/>
    <w:rsid w:val="00BF1960"/>
    <w:rsid w:val="00BF3842"/>
    <w:rsid w:val="00BF429A"/>
    <w:rsid w:val="00BF62BE"/>
    <w:rsid w:val="00BF7562"/>
    <w:rsid w:val="00C03CF4"/>
    <w:rsid w:val="00C07126"/>
    <w:rsid w:val="00C110CF"/>
    <w:rsid w:val="00C15904"/>
    <w:rsid w:val="00C16853"/>
    <w:rsid w:val="00C263F0"/>
    <w:rsid w:val="00C26DE9"/>
    <w:rsid w:val="00C3195F"/>
    <w:rsid w:val="00C33D41"/>
    <w:rsid w:val="00C35639"/>
    <w:rsid w:val="00C40AFD"/>
    <w:rsid w:val="00C41ABC"/>
    <w:rsid w:val="00C41E20"/>
    <w:rsid w:val="00C42E3E"/>
    <w:rsid w:val="00C46F5A"/>
    <w:rsid w:val="00C47E01"/>
    <w:rsid w:val="00C51C13"/>
    <w:rsid w:val="00C525A5"/>
    <w:rsid w:val="00C5300F"/>
    <w:rsid w:val="00C54594"/>
    <w:rsid w:val="00C552E4"/>
    <w:rsid w:val="00C560ED"/>
    <w:rsid w:val="00C56BAA"/>
    <w:rsid w:val="00C66CE0"/>
    <w:rsid w:val="00C71BED"/>
    <w:rsid w:val="00C737B2"/>
    <w:rsid w:val="00C76D4B"/>
    <w:rsid w:val="00C76D53"/>
    <w:rsid w:val="00C77765"/>
    <w:rsid w:val="00C77E26"/>
    <w:rsid w:val="00C81335"/>
    <w:rsid w:val="00C81B53"/>
    <w:rsid w:val="00C81E20"/>
    <w:rsid w:val="00C82AD2"/>
    <w:rsid w:val="00C86021"/>
    <w:rsid w:val="00C86B74"/>
    <w:rsid w:val="00C878FD"/>
    <w:rsid w:val="00C90121"/>
    <w:rsid w:val="00C90FB6"/>
    <w:rsid w:val="00C9220E"/>
    <w:rsid w:val="00C932BD"/>
    <w:rsid w:val="00C93429"/>
    <w:rsid w:val="00CA064C"/>
    <w:rsid w:val="00CA16C5"/>
    <w:rsid w:val="00CA415A"/>
    <w:rsid w:val="00CA5F2D"/>
    <w:rsid w:val="00CA6389"/>
    <w:rsid w:val="00CA7A35"/>
    <w:rsid w:val="00CB1536"/>
    <w:rsid w:val="00CB494D"/>
    <w:rsid w:val="00CB7FB8"/>
    <w:rsid w:val="00CC11B6"/>
    <w:rsid w:val="00CC1F71"/>
    <w:rsid w:val="00CC296E"/>
    <w:rsid w:val="00CC4BE2"/>
    <w:rsid w:val="00CC5588"/>
    <w:rsid w:val="00CC5EB3"/>
    <w:rsid w:val="00CC6FB0"/>
    <w:rsid w:val="00CD0097"/>
    <w:rsid w:val="00CD0E7B"/>
    <w:rsid w:val="00CD2ABD"/>
    <w:rsid w:val="00CD4024"/>
    <w:rsid w:val="00CD4345"/>
    <w:rsid w:val="00CD4617"/>
    <w:rsid w:val="00CD4855"/>
    <w:rsid w:val="00CE37CF"/>
    <w:rsid w:val="00CE3D34"/>
    <w:rsid w:val="00CE4931"/>
    <w:rsid w:val="00CE6171"/>
    <w:rsid w:val="00CE6D43"/>
    <w:rsid w:val="00CE6FC3"/>
    <w:rsid w:val="00CE7888"/>
    <w:rsid w:val="00CF04E6"/>
    <w:rsid w:val="00CF40F6"/>
    <w:rsid w:val="00CF42BB"/>
    <w:rsid w:val="00CF5101"/>
    <w:rsid w:val="00D010D1"/>
    <w:rsid w:val="00D014B5"/>
    <w:rsid w:val="00D01591"/>
    <w:rsid w:val="00D01619"/>
    <w:rsid w:val="00D035AA"/>
    <w:rsid w:val="00D039B9"/>
    <w:rsid w:val="00D06E6F"/>
    <w:rsid w:val="00D10E1C"/>
    <w:rsid w:val="00D10E1F"/>
    <w:rsid w:val="00D161A3"/>
    <w:rsid w:val="00D17B60"/>
    <w:rsid w:val="00D2100E"/>
    <w:rsid w:val="00D22E49"/>
    <w:rsid w:val="00D23716"/>
    <w:rsid w:val="00D252E9"/>
    <w:rsid w:val="00D25ED8"/>
    <w:rsid w:val="00D26BE7"/>
    <w:rsid w:val="00D27F8F"/>
    <w:rsid w:val="00D316B8"/>
    <w:rsid w:val="00D31CFC"/>
    <w:rsid w:val="00D3255D"/>
    <w:rsid w:val="00D32B99"/>
    <w:rsid w:val="00D33255"/>
    <w:rsid w:val="00D33E60"/>
    <w:rsid w:val="00D340C3"/>
    <w:rsid w:val="00D35907"/>
    <w:rsid w:val="00D409CD"/>
    <w:rsid w:val="00D423D4"/>
    <w:rsid w:val="00D42744"/>
    <w:rsid w:val="00D42CAF"/>
    <w:rsid w:val="00D44B0A"/>
    <w:rsid w:val="00D47CCB"/>
    <w:rsid w:val="00D47EB0"/>
    <w:rsid w:val="00D502CD"/>
    <w:rsid w:val="00D5280D"/>
    <w:rsid w:val="00D52C47"/>
    <w:rsid w:val="00D5310F"/>
    <w:rsid w:val="00D569D2"/>
    <w:rsid w:val="00D601EF"/>
    <w:rsid w:val="00D61051"/>
    <w:rsid w:val="00D61533"/>
    <w:rsid w:val="00D6397E"/>
    <w:rsid w:val="00D63B2F"/>
    <w:rsid w:val="00D6601C"/>
    <w:rsid w:val="00D70747"/>
    <w:rsid w:val="00D716A6"/>
    <w:rsid w:val="00D7261D"/>
    <w:rsid w:val="00D755FC"/>
    <w:rsid w:val="00D75F85"/>
    <w:rsid w:val="00D769C3"/>
    <w:rsid w:val="00D76B6D"/>
    <w:rsid w:val="00D77001"/>
    <w:rsid w:val="00D84D07"/>
    <w:rsid w:val="00D8526A"/>
    <w:rsid w:val="00D8793C"/>
    <w:rsid w:val="00D8795C"/>
    <w:rsid w:val="00D90E91"/>
    <w:rsid w:val="00DA10F3"/>
    <w:rsid w:val="00DA1B32"/>
    <w:rsid w:val="00DA1D11"/>
    <w:rsid w:val="00DA5124"/>
    <w:rsid w:val="00DB60E1"/>
    <w:rsid w:val="00DB760E"/>
    <w:rsid w:val="00DB770A"/>
    <w:rsid w:val="00DC1347"/>
    <w:rsid w:val="00DC39F1"/>
    <w:rsid w:val="00DD1243"/>
    <w:rsid w:val="00DD5368"/>
    <w:rsid w:val="00DD5B2F"/>
    <w:rsid w:val="00DD7342"/>
    <w:rsid w:val="00DE1EEB"/>
    <w:rsid w:val="00DE310A"/>
    <w:rsid w:val="00DE4120"/>
    <w:rsid w:val="00DE4B35"/>
    <w:rsid w:val="00DF19C1"/>
    <w:rsid w:val="00DF54CA"/>
    <w:rsid w:val="00DF56C9"/>
    <w:rsid w:val="00DF5B64"/>
    <w:rsid w:val="00E02794"/>
    <w:rsid w:val="00E043E3"/>
    <w:rsid w:val="00E04E65"/>
    <w:rsid w:val="00E0505B"/>
    <w:rsid w:val="00E11280"/>
    <w:rsid w:val="00E12359"/>
    <w:rsid w:val="00E152FF"/>
    <w:rsid w:val="00E23AC5"/>
    <w:rsid w:val="00E2461B"/>
    <w:rsid w:val="00E24886"/>
    <w:rsid w:val="00E267AD"/>
    <w:rsid w:val="00E276FB"/>
    <w:rsid w:val="00E32595"/>
    <w:rsid w:val="00E32DC6"/>
    <w:rsid w:val="00E33A74"/>
    <w:rsid w:val="00E349FE"/>
    <w:rsid w:val="00E37623"/>
    <w:rsid w:val="00E4030B"/>
    <w:rsid w:val="00E41D56"/>
    <w:rsid w:val="00E43861"/>
    <w:rsid w:val="00E442A1"/>
    <w:rsid w:val="00E457DF"/>
    <w:rsid w:val="00E46642"/>
    <w:rsid w:val="00E47549"/>
    <w:rsid w:val="00E5139A"/>
    <w:rsid w:val="00E5413D"/>
    <w:rsid w:val="00E56278"/>
    <w:rsid w:val="00E57977"/>
    <w:rsid w:val="00E635D7"/>
    <w:rsid w:val="00E647D2"/>
    <w:rsid w:val="00E70576"/>
    <w:rsid w:val="00E71B54"/>
    <w:rsid w:val="00E71DED"/>
    <w:rsid w:val="00E73BE4"/>
    <w:rsid w:val="00E74F67"/>
    <w:rsid w:val="00E8206C"/>
    <w:rsid w:val="00E83954"/>
    <w:rsid w:val="00E86506"/>
    <w:rsid w:val="00E90A20"/>
    <w:rsid w:val="00E91730"/>
    <w:rsid w:val="00E93258"/>
    <w:rsid w:val="00E96F04"/>
    <w:rsid w:val="00E97AEC"/>
    <w:rsid w:val="00EA20D9"/>
    <w:rsid w:val="00EA20FE"/>
    <w:rsid w:val="00EA2642"/>
    <w:rsid w:val="00EA560D"/>
    <w:rsid w:val="00EA7FF5"/>
    <w:rsid w:val="00EB1CB4"/>
    <w:rsid w:val="00EB491E"/>
    <w:rsid w:val="00EB49A4"/>
    <w:rsid w:val="00EB6389"/>
    <w:rsid w:val="00EB681B"/>
    <w:rsid w:val="00EC4FAD"/>
    <w:rsid w:val="00EC5ABF"/>
    <w:rsid w:val="00ED1D87"/>
    <w:rsid w:val="00ED3D3A"/>
    <w:rsid w:val="00ED4061"/>
    <w:rsid w:val="00EE3513"/>
    <w:rsid w:val="00EE3CFA"/>
    <w:rsid w:val="00EE4831"/>
    <w:rsid w:val="00EE6647"/>
    <w:rsid w:val="00EE69E4"/>
    <w:rsid w:val="00EF2A7F"/>
    <w:rsid w:val="00EF3F7A"/>
    <w:rsid w:val="00EF5DFD"/>
    <w:rsid w:val="00EF7E90"/>
    <w:rsid w:val="00F002B6"/>
    <w:rsid w:val="00F01F79"/>
    <w:rsid w:val="00F04721"/>
    <w:rsid w:val="00F047B7"/>
    <w:rsid w:val="00F0513A"/>
    <w:rsid w:val="00F05602"/>
    <w:rsid w:val="00F05A16"/>
    <w:rsid w:val="00F05BDD"/>
    <w:rsid w:val="00F10AFE"/>
    <w:rsid w:val="00F112DE"/>
    <w:rsid w:val="00F1506F"/>
    <w:rsid w:val="00F15C6C"/>
    <w:rsid w:val="00F16F44"/>
    <w:rsid w:val="00F17173"/>
    <w:rsid w:val="00F2082A"/>
    <w:rsid w:val="00F20987"/>
    <w:rsid w:val="00F224DC"/>
    <w:rsid w:val="00F23ADB"/>
    <w:rsid w:val="00F264DB"/>
    <w:rsid w:val="00F2687F"/>
    <w:rsid w:val="00F26A5E"/>
    <w:rsid w:val="00F2794E"/>
    <w:rsid w:val="00F27F29"/>
    <w:rsid w:val="00F27F2D"/>
    <w:rsid w:val="00F32087"/>
    <w:rsid w:val="00F32D54"/>
    <w:rsid w:val="00F36C54"/>
    <w:rsid w:val="00F37FA8"/>
    <w:rsid w:val="00F418EA"/>
    <w:rsid w:val="00F41A29"/>
    <w:rsid w:val="00F42C0C"/>
    <w:rsid w:val="00F44C1C"/>
    <w:rsid w:val="00F5069B"/>
    <w:rsid w:val="00F518DF"/>
    <w:rsid w:val="00F519A0"/>
    <w:rsid w:val="00F52F14"/>
    <w:rsid w:val="00F54017"/>
    <w:rsid w:val="00F544DB"/>
    <w:rsid w:val="00F604C2"/>
    <w:rsid w:val="00F60673"/>
    <w:rsid w:val="00F60A61"/>
    <w:rsid w:val="00F614D1"/>
    <w:rsid w:val="00F61837"/>
    <w:rsid w:val="00F61849"/>
    <w:rsid w:val="00F61E2C"/>
    <w:rsid w:val="00F6300C"/>
    <w:rsid w:val="00F648EA"/>
    <w:rsid w:val="00F64B6D"/>
    <w:rsid w:val="00F6502E"/>
    <w:rsid w:val="00F65663"/>
    <w:rsid w:val="00F71007"/>
    <w:rsid w:val="00F732D6"/>
    <w:rsid w:val="00F7365A"/>
    <w:rsid w:val="00F741D9"/>
    <w:rsid w:val="00F75147"/>
    <w:rsid w:val="00F756C0"/>
    <w:rsid w:val="00F75A40"/>
    <w:rsid w:val="00F77637"/>
    <w:rsid w:val="00F80B86"/>
    <w:rsid w:val="00F812D4"/>
    <w:rsid w:val="00F8435D"/>
    <w:rsid w:val="00F862E5"/>
    <w:rsid w:val="00F87536"/>
    <w:rsid w:val="00F87DD0"/>
    <w:rsid w:val="00F9086B"/>
    <w:rsid w:val="00F91119"/>
    <w:rsid w:val="00F919D7"/>
    <w:rsid w:val="00F93360"/>
    <w:rsid w:val="00F93FE4"/>
    <w:rsid w:val="00F97E4E"/>
    <w:rsid w:val="00FA1A40"/>
    <w:rsid w:val="00FA1E9B"/>
    <w:rsid w:val="00FA217B"/>
    <w:rsid w:val="00FA4C43"/>
    <w:rsid w:val="00FB0137"/>
    <w:rsid w:val="00FB093E"/>
    <w:rsid w:val="00FB0BC5"/>
    <w:rsid w:val="00FB0BCC"/>
    <w:rsid w:val="00FC0FE5"/>
    <w:rsid w:val="00FC63B9"/>
    <w:rsid w:val="00FC6717"/>
    <w:rsid w:val="00FD1ABC"/>
    <w:rsid w:val="00FD28CC"/>
    <w:rsid w:val="00FD4C01"/>
    <w:rsid w:val="00FD7DDF"/>
    <w:rsid w:val="00FE1D44"/>
    <w:rsid w:val="00FE4C92"/>
    <w:rsid w:val="00FE5D5F"/>
    <w:rsid w:val="00FE6ADF"/>
    <w:rsid w:val="00FF01D4"/>
    <w:rsid w:val="00FF0F56"/>
    <w:rsid w:val="00FF0FAA"/>
    <w:rsid w:val="00FF15A6"/>
    <w:rsid w:val="00FF235C"/>
    <w:rsid w:val="00FF3759"/>
    <w:rsid w:val="00FF4396"/>
    <w:rsid w:val="00FF4930"/>
    <w:rsid w:val="00FF7F5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o:shapelayout v:ext="edit">
      <o:idmap v:ext="edit" data="1"/>
    </o:shapelayout>
  </w:shapeDefaults>
  <w:decimalSymbol w:val=","/>
  <w:listSeparator w:val=";"/>
  <w14:docId w14:val="5B384755"/>
  <w15:docId w15:val="{1B5E65E6-033A-42E7-92A2-23D5B995A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s-ES" w:eastAsia="en-GB" w:bidi="en-GB"/>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iPriority="0" w:unhideWhenUsed="1" w:qFormat="1"/>
    <w:lsdException w:name="annotation text" w:semiHidden="1" w:uiPriority="0" w:unhideWhenUsed="1"/>
    <w:lsdException w:name="header" w:locked="1" w:semiHidden="1" w:uiPriority="0" w:unhideWhenUsed="1" w:qFormat="1"/>
    <w:lsdException w:name="footer" w:locked="1" w:semiHidden="1" w:uiPriority="0"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5907"/>
    <w:pPr>
      <w:spacing w:line="288" w:lineRule="auto"/>
      <w:jc w:val="both"/>
    </w:pPr>
    <w:rPr>
      <w:lang w:eastAsia="en-US" w:bidi="ar-SA"/>
    </w:rPr>
  </w:style>
  <w:style w:type="paragraph" w:styleId="Heading1">
    <w:name w:val="heading 1"/>
    <w:basedOn w:val="Normal"/>
    <w:next w:val="Normal"/>
    <w:link w:val="Heading1Char"/>
    <w:qFormat/>
    <w:rsid w:val="00D35907"/>
    <w:pPr>
      <w:numPr>
        <w:numId w:val="1"/>
      </w:numPr>
      <w:ind w:left="567" w:hanging="567"/>
      <w:outlineLvl w:val="0"/>
    </w:pPr>
    <w:rPr>
      <w:kern w:val="28"/>
    </w:rPr>
  </w:style>
  <w:style w:type="paragraph" w:styleId="Heading2">
    <w:name w:val="heading 2"/>
    <w:basedOn w:val="Normal"/>
    <w:next w:val="Normal"/>
    <w:link w:val="Heading2Char"/>
    <w:qFormat/>
    <w:rsid w:val="00D35907"/>
    <w:pPr>
      <w:numPr>
        <w:ilvl w:val="1"/>
        <w:numId w:val="1"/>
      </w:numPr>
      <w:ind w:left="567" w:hanging="567"/>
      <w:outlineLvl w:val="1"/>
    </w:pPr>
  </w:style>
  <w:style w:type="paragraph" w:styleId="Heading3">
    <w:name w:val="heading 3"/>
    <w:basedOn w:val="Normal"/>
    <w:next w:val="Normal"/>
    <w:link w:val="Heading3Char"/>
    <w:qFormat/>
    <w:rsid w:val="00D35907"/>
    <w:pPr>
      <w:numPr>
        <w:ilvl w:val="2"/>
        <w:numId w:val="1"/>
      </w:numPr>
      <w:ind w:left="567" w:hanging="567"/>
      <w:outlineLvl w:val="2"/>
    </w:pPr>
  </w:style>
  <w:style w:type="paragraph" w:styleId="Heading4">
    <w:name w:val="heading 4"/>
    <w:basedOn w:val="Normal"/>
    <w:next w:val="Normal"/>
    <w:link w:val="Heading4Char"/>
    <w:qFormat/>
    <w:rsid w:val="00D35907"/>
    <w:pPr>
      <w:numPr>
        <w:ilvl w:val="3"/>
        <w:numId w:val="1"/>
      </w:numPr>
      <w:ind w:left="567" w:hanging="567"/>
      <w:outlineLvl w:val="3"/>
    </w:pPr>
  </w:style>
  <w:style w:type="paragraph" w:styleId="Heading5">
    <w:name w:val="heading 5"/>
    <w:basedOn w:val="Normal"/>
    <w:next w:val="Normal"/>
    <w:link w:val="Heading5Char"/>
    <w:qFormat/>
    <w:rsid w:val="00D35907"/>
    <w:pPr>
      <w:numPr>
        <w:ilvl w:val="4"/>
        <w:numId w:val="1"/>
      </w:numPr>
      <w:ind w:left="567" w:hanging="567"/>
      <w:outlineLvl w:val="4"/>
    </w:pPr>
  </w:style>
  <w:style w:type="paragraph" w:styleId="Heading6">
    <w:name w:val="heading 6"/>
    <w:basedOn w:val="Normal"/>
    <w:next w:val="Normal"/>
    <w:link w:val="Heading6Char"/>
    <w:qFormat/>
    <w:rsid w:val="00D35907"/>
    <w:pPr>
      <w:numPr>
        <w:ilvl w:val="5"/>
        <w:numId w:val="1"/>
      </w:numPr>
      <w:ind w:left="567" w:hanging="567"/>
      <w:outlineLvl w:val="5"/>
    </w:pPr>
  </w:style>
  <w:style w:type="paragraph" w:styleId="Heading7">
    <w:name w:val="heading 7"/>
    <w:basedOn w:val="Normal"/>
    <w:next w:val="Normal"/>
    <w:link w:val="Heading7Char"/>
    <w:qFormat/>
    <w:rsid w:val="00D35907"/>
    <w:pPr>
      <w:numPr>
        <w:ilvl w:val="6"/>
        <w:numId w:val="1"/>
      </w:numPr>
      <w:ind w:left="567" w:hanging="567"/>
      <w:outlineLvl w:val="6"/>
    </w:pPr>
  </w:style>
  <w:style w:type="paragraph" w:styleId="Heading8">
    <w:name w:val="heading 8"/>
    <w:basedOn w:val="Normal"/>
    <w:next w:val="Normal"/>
    <w:link w:val="Heading8Char"/>
    <w:qFormat/>
    <w:rsid w:val="00D35907"/>
    <w:pPr>
      <w:numPr>
        <w:ilvl w:val="7"/>
        <w:numId w:val="1"/>
      </w:numPr>
      <w:ind w:left="567" w:hanging="567"/>
      <w:outlineLvl w:val="7"/>
    </w:pPr>
  </w:style>
  <w:style w:type="paragraph" w:styleId="Heading9">
    <w:name w:val="heading 9"/>
    <w:basedOn w:val="Normal"/>
    <w:next w:val="Normal"/>
    <w:link w:val="Heading9Char"/>
    <w:qFormat/>
    <w:rsid w:val="00D35907"/>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CB1536"/>
    <w:rPr>
      <w:kern w:val="28"/>
      <w:lang w:val="es-ES" w:eastAsia="en-US" w:bidi="ar-SA"/>
    </w:rPr>
  </w:style>
  <w:style w:type="character" w:customStyle="1" w:styleId="Heading2Char">
    <w:name w:val="Heading 2 Char"/>
    <w:basedOn w:val="DefaultParagraphFont"/>
    <w:link w:val="Heading2"/>
    <w:locked/>
    <w:rsid w:val="00CB1536"/>
    <w:rPr>
      <w:lang w:val="es-ES" w:eastAsia="en-US" w:bidi="ar-SA"/>
    </w:rPr>
  </w:style>
  <w:style w:type="character" w:customStyle="1" w:styleId="Heading3Char">
    <w:name w:val="Heading 3 Char"/>
    <w:basedOn w:val="DefaultParagraphFont"/>
    <w:link w:val="Heading3"/>
    <w:locked/>
    <w:rsid w:val="00CB1536"/>
    <w:rPr>
      <w:lang w:val="es-ES" w:eastAsia="en-US" w:bidi="ar-SA"/>
    </w:rPr>
  </w:style>
  <w:style w:type="character" w:customStyle="1" w:styleId="Heading4Char">
    <w:name w:val="Heading 4 Char"/>
    <w:basedOn w:val="DefaultParagraphFont"/>
    <w:link w:val="Heading4"/>
    <w:locked/>
    <w:rsid w:val="00CB1536"/>
    <w:rPr>
      <w:lang w:val="es-ES" w:eastAsia="en-US" w:bidi="ar-SA"/>
    </w:rPr>
  </w:style>
  <w:style w:type="character" w:customStyle="1" w:styleId="Heading5Char">
    <w:name w:val="Heading 5 Char"/>
    <w:basedOn w:val="DefaultParagraphFont"/>
    <w:link w:val="Heading5"/>
    <w:locked/>
    <w:rsid w:val="00CB1536"/>
    <w:rPr>
      <w:lang w:val="es-ES" w:eastAsia="en-US" w:bidi="ar-SA"/>
    </w:rPr>
  </w:style>
  <w:style w:type="character" w:customStyle="1" w:styleId="Heading6Char">
    <w:name w:val="Heading 6 Char"/>
    <w:basedOn w:val="DefaultParagraphFont"/>
    <w:link w:val="Heading6"/>
    <w:locked/>
    <w:rsid w:val="00CB1536"/>
    <w:rPr>
      <w:lang w:val="es-ES" w:eastAsia="en-US" w:bidi="ar-SA"/>
    </w:rPr>
  </w:style>
  <w:style w:type="character" w:customStyle="1" w:styleId="Heading7Char">
    <w:name w:val="Heading 7 Char"/>
    <w:basedOn w:val="DefaultParagraphFont"/>
    <w:link w:val="Heading7"/>
    <w:locked/>
    <w:rsid w:val="00CB1536"/>
    <w:rPr>
      <w:lang w:val="es-ES" w:eastAsia="en-US" w:bidi="ar-SA"/>
    </w:rPr>
  </w:style>
  <w:style w:type="character" w:customStyle="1" w:styleId="Heading8Char">
    <w:name w:val="Heading 8 Char"/>
    <w:basedOn w:val="DefaultParagraphFont"/>
    <w:link w:val="Heading8"/>
    <w:locked/>
    <w:rsid w:val="00CB1536"/>
    <w:rPr>
      <w:lang w:val="es-ES" w:eastAsia="en-US" w:bidi="ar-SA"/>
    </w:rPr>
  </w:style>
  <w:style w:type="character" w:customStyle="1" w:styleId="Heading9Char">
    <w:name w:val="Heading 9 Char"/>
    <w:basedOn w:val="DefaultParagraphFont"/>
    <w:link w:val="Heading9"/>
    <w:locked/>
    <w:rsid w:val="00CB1536"/>
    <w:rPr>
      <w:lang w:val="es-ES" w:eastAsia="en-US" w:bidi="ar-SA"/>
    </w:rPr>
  </w:style>
  <w:style w:type="paragraph" w:styleId="Footer">
    <w:name w:val="footer"/>
    <w:basedOn w:val="Normal"/>
    <w:link w:val="FooterChar"/>
    <w:qFormat/>
    <w:rsid w:val="00D35907"/>
  </w:style>
  <w:style w:type="character" w:customStyle="1" w:styleId="FooterChar">
    <w:name w:val="Footer Char"/>
    <w:basedOn w:val="DefaultParagraphFont"/>
    <w:link w:val="Footer"/>
    <w:locked/>
    <w:rsid w:val="00CB1536"/>
    <w:rPr>
      <w:lang w:val="es-ES" w:eastAsia="en-US" w:bidi="ar-SA"/>
    </w:rPr>
  </w:style>
  <w:style w:type="paragraph" w:styleId="FootnoteText">
    <w:name w:val="footnote text"/>
    <w:aliases w:val="Fußnotentext arial,Footnote,Fußnote,Testo nota a piè di pagina Carattere Carattere,Testo nota a piè di pagina Carattere Carattere Carattere Carattere Carattere Carattere Carattere Carattere,stile 1,Footnote1,Footnote2,Podrozdział,Plonk,fn"/>
    <w:basedOn w:val="Normal"/>
    <w:link w:val="FootnoteTextChar"/>
    <w:qFormat/>
    <w:rsid w:val="00D35907"/>
    <w:pPr>
      <w:keepLines/>
      <w:spacing w:after="60" w:line="240" w:lineRule="auto"/>
      <w:ind w:left="567" w:hanging="567"/>
    </w:pPr>
    <w:rPr>
      <w:sz w:val="16"/>
    </w:rPr>
  </w:style>
  <w:style w:type="character" w:customStyle="1" w:styleId="FootnoteTextChar">
    <w:name w:val="Footnote Text Char"/>
    <w:aliases w:val="Fußnotentext arial Char,Footnote Char,Fußnote Char,Testo nota a piè di pagina Carattere Carattere Char,Testo nota a piè di pagina Carattere Carattere Carattere Carattere Carattere Carattere Carattere Carattere Char,stile 1 Char"/>
    <w:basedOn w:val="DefaultParagraphFont"/>
    <w:link w:val="FootnoteText"/>
    <w:qFormat/>
    <w:locked/>
    <w:rsid w:val="00553F30"/>
    <w:rPr>
      <w:sz w:val="16"/>
      <w:lang w:val="es-ES" w:eastAsia="en-US" w:bidi="ar-SA"/>
    </w:rPr>
  </w:style>
  <w:style w:type="paragraph" w:styleId="Header">
    <w:name w:val="header"/>
    <w:basedOn w:val="Normal"/>
    <w:link w:val="HeaderChar"/>
    <w:qFormat/>
    <w:rsid w:val="00D35907"/>
  </w:style>
  <w:style w:type="character" w:customStyle="1" w:styleId="HeaderChar">
    <w:name w:val="Header Char"/>
    <w:basedOn w:val="DefaultParagraphFont"/>
    <w:link w:val="Header"/>
    <w:locked/>
    <w:rsid w:val="00CB1536"/>
    <w:rPr>
      <w:lang w:val="es-ES" w:eastAsia="en-US" w:bidi="ar-SA"/>
    </w:rPr>
  </w:style>
  <w:style w:type="character" w:styleId="Hyperlink">
    <w:name w:val="Hyperlink"/>
    <w:basedOn w:val="DefaultParagraphFont"/>
    <w:uiPriority w:val="99"/>
    <w:rsid w:val="00934C10"/>
    <w:rPr>
      <w:color w:val="0000FF"/>
      <w:u w:val="single"/>
    </w:rPr>
  </w:style>
  <w:style w:type="character" w:styleId="FollowedHyperlink">
    <w:name w:val="FollowedHyperlink"/>
    <w:basedOn w:val="DefaultParagraphFont"/>
    <w:uiPriority w:val="99"/>
    <w:rsid w:val="00934C10"/>
    <w:rPr>
      <w:color w:val="800080"/>
      <w:u w:val="single"/>
    </w:rPr>
  </w:style>
  <w:style w:type="paragraph" w:customStyle="1" w:styleId="LOGO">
    <w:name w:val="LOGO"/>
    <w:basedOn w:val="Normal"/>
    <w:uiPriority w:val="99"/>
    <w:rsid w:val="00934C10"/>
    <w:pPr>
      <w:jc w:val="center"/>
    </w:pPr>
    <w:rPr>
      <w:rFonts w:ascii="Arial" w:hAnsi="Arial" w:cs="Arial"/>
      <w:b/>
      <w:bCs/>
      <w:i/>
      <w:iCs/>
      <w:sz w:val="20"/>
    </w:rPr>
  </w:style>
  <w:style w:type="paragraph" w:styleId="Revision">
    <w:name w:val="Revision"/>
    <w:hidden/>
    <w:uiPriority w:val="99"/>
    <w:semiHidden/>
    <w:rsid w:val="00B2372C"/>
  </w:style>
  <w:style w:type="paragraph" w:customStyle="1" w:styleId="quotes">
    <w:name w:val="quotes"/>
    <w:basedOn w:val="Normal"/>
    <w:next w:val="Normal"/>
    <w:rsid w:val="00D35907"/>
    <w:pPr>
      <w:ind w:left="720"/>
    </w:pPr>
    <w:rPr>
      <w:i/>
    </w:rPr>
  </w:style>
  <w:style w:type="paragraph" w:styleId="ListParagraph">
    <w:name w:val="List Paragraph"/>
    <w:basedOn w:val="Normal"/>
    <w:uiPriority w:val="34"/>
    <w:qFormat/>
    <w:rsid w:val="00D8793C"/>
    <w:pPr>
      <w:ind w:left="720"/>
      <w:contextualSpacing/>
    </w:p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sz w:val="20"/>
      <w:szCs w:val="20"/>
      <w:lang w:val="es-ES" w:eastAsia="en-US" w:bidi="ar-SA"/>
    </w:rPr>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D25D6"/>
    <w:rPr>
      <w:b/>
      <w:bCs/>
    </w:rPr>
  </w:style>
  <w:style w:type="character" w:customStyle="1" w:styleId="CommentSubjectChar">
    <w:name w:val="Comment Subject Char"/>
    <w:basedOn w:val="CommentTextChar"/>
    <w:link w:val="CommentSubject"/>
    <w:uiPriority w:val="99"/>
    <w:semiHidden/>
    <w:rsid w:val="00AD25D6"/>
    <w:rPr>
      <w:b/>
      <w:bCs/>
      <w:sz w:val="20"/>
      <w:szCs w:val="20"/>
      <w:lang w:val="es-ES" w:eastAsia="en-US" w:bidi="ar-SA"/>
    </w:rPr>
  </w:style>
  <w:style w:type="paragraph" w:styleId="BalloonText">
    <w:name w:val="Balloon Text"/>
    <w:basedOn w:val="Normal"/>
    <w:link w:val="BalloonTextChar"/>
    <w:uiPriority w:val="99"/>
    <w:semiHidden/>
    <w:unhideWhenUsed/>
    <w:rsid w:val="00AD25D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25D6"/>
    <w:rPr>
      <w:rFonts w:ascii="Segoe UI" w:hAnsi="Segoe UI" w:cs="Segoe UI"/>
      <w:sz w:val="18"/>
      <w:szCs w:val="18"/>
      <w:lang w:val="es-ES" w:eastAsia="en-US" w:bidi="ar-SA"/>
    </w:rPr>
  </w:style>
  <w:style w:type="character" w:styleId="FootnoteReference">
    <w:name w:val="footnote reference"/>
    <w:basedOn w:val="DefaultParagraphFont"/>
    <w:semiHidden/>
    <w:unhideWhenUsed/>
    <w:qFormat/>
    <w:locked/>
    <w:rsid w:val="006C2AB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49853">
      <w:bodyDiv w:val="1"/>
      <w:marLeft w:val="0"/>
      <w:marRight w:val="0"/>
      <w:marTop w:val="0"/>
      <w:marBottom w:val="0"/>
      <w:divBdr>
        <w:top w:val="none" w:sz="0" w:space="0" w:color="auto"/>
        <w:left w:val="none" w:sz="0" w:space="0" w:color="auto"/>
        <w:bottom w:val="none" w:sz="0" w:space="0" w:color="auto"/>
        <w:right w:val="none" w:sz="0" w:space="0" w:color="auto"/>
      </w:divBdr>
    </w:div>
    <w:div w:id="776485932">
      <w:bodyDiv w:val="1"/>
      <w:marLeft w:val="0"/>
      <w:marRight w:val="0"/>
      <w:marTop w:val="0"/>
      <w:marBottom w:val="0"/>
      <w:divBdr>
        <w:top w:val="none" w:sz="0" w:space="0" w:color="auto"/>
        <w:left w:val="none" w:sz="0" w:space="0" w:color="auto"/>
        <w:bottom w:val="none" w:sz="0" w:space="0" w:color="auto"/>
        <w:right w:val="none" w:sz="0" w:space="0" w:color="auto"/>
      </w:divBdr>
    </w:div>
    <w:div w:id="19527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emanuele.guicciardi@eesc.europa.eu" TargetMode="External"/><Relationship Id="rId18" Type="http://schemas.openxmlformats.org/officeDocument/2006/relationships/footer" Target="footer3.xml"/><Relationship Id="rId21" Type="http://schemas.openxmlformats.org/officeDocument/2006/relationships/fontTable" Target="fontTable.xml"/><Relationship Id="rId34"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oter" Target="footer2.xml"/><Relationship Id="rId33"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4.xml"/><Relationship Id="rId6" Type="http://schemas.openxmlformats.org/officeDocument/2006/relationships/numbering" Target="numbering.xml"/><Relationship Id="rId11" Type="http://schemas.openxmlformats.org/officeDocument/2006/relationships/endnotes" Target="endnotes.xml"/><Relationship Id="rId32" Type="http://schemas.microsoft.com/office/2016/09/relationships/commentsIds" Target="commentsIds.xml"/><Relationship Id="rId15" Type="http://schemas.openxmlformats.org/officeDocument/2006/relationships/header" Target="header1.xml"/><Relationship Id="rId36"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header" Target="header3.xml"/><Relationship Id="rId31" Type="http://schemas.microsoft.com/office/2018/08/relationships/commentsExtensible" Target="commentsExtensible.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theme" Target="theme/theme1.xml"/><Relationship Id="rId35"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1" Type="http://schemas.openxmlformats.org/officeDocument/2006/relationships/hyperlink" Target="https://www.ilo.org/global/topics/green-jobs/publications/WCMS_432865/lang--e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1cfe264-354f-4f3f-acd0-cf26eb309336">V63NAVDT5PV3-197900780-12148</_dlc_DocId>
    <_dlc_DocIdUrl xmlns="01cfe264-354f-4f3f-acd0-cf26eb309336">
      <Url>http://dm/eesc/2021/_layouts/15/DocIdRedir.aspx?ID=V63NAVDT5PV3-197900780-12148</Url>
      <Description>V63NAVDT5PV3-197900780-12148</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AS</TermName>
          <TermId xmlns="http://schemas.microsoft.com/office/infopath/2007/PartnerControls">c7a748eb-f6f2-4d9d-8b5a-af0cafebc224</TermId>
        </TermInfo>
      </Terms>
    </DocumentType_0>
    <Procedure xmlns="01cfe264-354f-4f3f-acd0-cf26eb309336"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01cfe264-354f-4f3f-acd0-cf26eb309336">2021-11-15T12:00:00+00:00</ProductionDate>
    <DocumentNumber xmlns="1bc4b14f-a4b5-43b1-8863-417d54b6b72f">2613</DocumentNumber>
    <FicheYear xmlns="01cfe264-354f-4f3f-acd0-cf26eb309336" xsi:nil="true"/>
    <DocumentVersion xmlns="01cfe264-354f-4f3f-acd0-cf26eb309336">0</DocumentVersion>
    <DossierNumber xmlns="01cfe264-354f-4f3f-acd0-cf26eb309336">184</DossierNumber>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01cfe264-354f-4f3f-acd0-cf26eb309336">2021-12-08T12:00:00+00:00</MeetingDate>
    <TaxCatchAll xmlns="01cfe264-354f-4f3f-acd0-cf26eb309336">
      <Value>66</Value>
      <Value>58</Value>
      <Value>53</Value>
      <Value>50</Value>
      <Value>136</Value>
      <Value>45</Value>
      <Value>42</Value>
      <Value>41</Value>
      <Value>40</Value>
      <Value>39</Value>
      <Value>38</Value>
      <Value>37</Value>
      <Value>35</Value>
      <Value>28</Value>
      <Value>25</Value>
      <Value>21</Value>
      <Value>19</Value>
      <Value>18</Value>
      <Value>17</Value>
      <Value>16</Value>
      <Value>15</Value>
      <Value>14</Value>
      <Value>13</Value>
      <Value>12</Value>
      <Value>11</Value>
      <Value>9</Value>
      <Value>7</Value>
      <Value>6</Value>
      <Value>5</Value>
      <Value>4</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ES</TermName>
          <TermId xmlns="http://schemas.microsoft.com/office/infopath/2007/PartnerControls">e7a6b05b-ae16-40c8-add9-68b64b03aeba</TermId>
        </TermInfo>
      </Terms>
    </DocumentLanguage_0>
    <Rapporteur xmlns="01cfe264-354f-4f3f-acd0-cf26eb309336">KLUGE &amp; JARRÉ</Rapporteur>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DocumentYear xmlns="01cfe264-354f-4f3f-acd0-cf26eb309336">2021</DocumentYear>
    <FicheNumber xmlns="01cfe264-354f-4f3f-acd0-cf26eb309336">6574</FicheNumber>
    <OriginalSender xmlns="01cfe264-354f-4f3f-acd0-cf26eb309336">
      <UserInfo>
        <DisplayName>Garcia Rodriguez Beatriz</DisplayName>
        <AccountId>1985</AccountId>
        <AccountType/>
      </UserInfo>
    </OriginalSender>
    <DocumentPart xmlns="01cfe264-354f-4f3f-acd0-cf26eb309336">0</DocumentPart>
    <AdoptionDate xmlns="01cfe264-354f-4f3f-acd0-cf26eb309336" xsi:nil="true"/>
    <RequestingService xmlns="01cfe264-354f-4f3f-acd0-cf26eb309336">Commission consultative des mutations industrielles</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bc4b14f-a4b5-43b1-8863-417d54b6b72f"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CCMI</TermName>
          <TermId xmlns="http://schemas.microsoft.com/office/infopath/2007/PartnerControls">3451ec22-e6ff-42b3-8610-379fec773b3a</TermId>
        </TermInfo>
      </Terms>
    </DossierName_0>
  </documentManagement>
</p:properties>
</file>

<file path=customXml/item2.xml><?xml version="1.0" encoding="utf-8"?>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M Document" ma:contentTypeID="0x010100EA97B91038054C99906057A708A1480A009690440AC106F944B6F22BE813F1E9BC" ma:contentTypeVersion="6" ma:contentTypeDescription="Defines the documents for Document Manager V2" ma:contentTypeScope="" ma:versionID="d519d576acc3faf30814d5b68e6ef22c">
  <xsd:schema xmlns:xsd="http://www.w3.org/2001/XMLSchema" xmlns:xs="http://www.w3.org/2001/XMLSchema" xmlns:p="http://schemas.microsoft.com/office/2006/metadata/properties" xmlns:ns2="01cfe264-354f-4f3f-acd0-cf26eb309336" xmlns:ns3="http://schemas.microsoft.com/sharepoint/v3/fields" xmlns:ns4="1bc4b14f-a4b5-43b1-8863-417d54b6b72f" targetNamespace="http://schemas.microsoft.com/office/2006/metadata/properties" ma:root="true" ma:fieldsID="52b7c5fda01af84229fc452a92b24884" ns2:_="" ns3:_="" ns4:_="">
    <xsd:import namespace="01cfe264-354f-4f3f-acd0-cf26eb309336"/>
    <xsd:import namespace="http://schemas.microsoft.com/sharepoint/v3/fields"/>
    <xsd:import namespace="1bc4b14f-a4b5-43b1-8863-417d54b6b72f"/>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element ref="ns2:OriginalSen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cfe264-354f-4f3f-acd0-cf26eb30933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DossierNumber" ma:index="14" nillable="true" ma:displayName="Dossier Number" ma:decimals="0" ma:internalName="DossierNumber">
      <xsd:simpleType>
        <xsd:restriction base="dms:Unknown"/>
      </xsd:simpleType>
    </xsd:element>
    <xsd:element name="Rapporteur" ma:index="16" nillable="true" ma:displayName="Rapporteur" ma:internalName="Rapporteur">
      <xsd:simpleType>
        <xsd:restriction base="dms:Text"/>
      </xsd:simpleType>
    </xsd:element>
    <xsd:element name="AdoptionDate" ma:index="17" nillable="true" ma:displayName="Adoption Date" ma:format="DateOnly" ma:internalName="AdoptionDate">
      <xsd:simpleType>
        <xsd:restriction base="dms:DateTime"/>
      </xsd:simpleType>
    </xsd:element>
    <xsd:element name="TaxCatchAll" ma:index="19" nillable="true" ma:displayName="Taxonomy Catch All Column" ma:hidden="true" ma:list="{665b0d5d-45cf-4270-be2c-76ae3bd91060}" ma:internalName="TaxCatchAll" ma:showField="CatchAllData"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665b0d5d-45cf-4270-be2c-76ae3bd91060}" ma:internalName="TaxCatchAllLabel" ma:readOnly="true" ma:showField="CatchAllDataLabel" ma:web="01cfe264-354f-4f3f-acd0-cf26eb309336">
      <xsd:complexType>
        <xsd:complexContent>
          <xsd:extension base="dms:MultiChoiceLookup">
            <xsd:sequence>
              <xsd:element name="Value" type="dms:Lookup" maxOccurs="unbounded" minOccurs="0" nillable="true"/>
            </xsd:sequence>
          </xsd:extension>
        </xsd:complexContent>
      </xsd:complexType>
    </xsd:element>
    <xsd:element name="MeetingDate" ma:index="25" nillable="true" ma:displayName="Meeting Date" ma:format="DateOnly" ma:internalName="MeetingDate">
      <xsd:simpleType>
        <xsd:restriction base="dms:DateTime"/>
      </xsd:simpleType>
    </xsd:element>
    <xsd:element name="Procedure" ma:index="28" nillable="true" ma:displayName="Procedure" ma:internalName="Procedure">
      <xsd:simpleType>
        <xsd:restriction base="dms:Text"/>
      </xsd:simpleType>
    </xsd:element>
    <xsd:element name="DocumentYear" ma:index="33" ma:displayName="Document Year" ma:decimals="0" ma:internalName="DocumentYear">
      <xsd:simpleType>
        <xsd:restriction base="dms:Unknown"/>
      </xsd:simpleType>
    </xsd:element>
    <xsd:element name="DocumentPart" ma:index="36" nillable="true" ma:displayName="Document Part" ma:decimals="0" ma:internalName="DocumentPart">
      <xsd:simpleType>
        <xsd:restriction base="dms:Unknown"/>
      </xsd:simpleType>
    </xsd:element>
    <xsd:element name="FicheYear" ma:index="41" nillable="true" ma:displayName="Fiche Year" ma:decimals="0" ma:internalName="FicheYear">
      <xsd:simpleType>
        <xsd:restriction base="dms:Unknown"/>
      </xsd:simpleType>
    </xsd:element>
    <xsd:element name="RequestingService" ma:index="42" nillable="true" ma:displayName="Requesting Service" ma:internalName="RequestingService">
      <xsd:simpleType>
        <xsd:restriction base="dms:Text"/>
      </xsd:simpleType>
    </xsd:element>
    <xsd:element name="FicheNumber" ma:index="43" nillable="true" ma:displayName="Fiche Number" ma:decimals="0" ma:internalName="FicheNumber">
      <xsd:simpleType>
        <xsd:restriction base="dms:Unknown"/>
      </xsd:simpleType>
    </xsd:element>
    <xsd:element name="DocumentVersion" ma:index="46" nillable="true" ma:displayName="Document Version" ma:decimals="0" ma:internalName="DocumentVersion">
      <xsd:simpleType>
        <xsd:restriction base="dms:Unknown"/>
      </xsd:simpleType>
    </xsd:element>
    <xsd:element name="OriginalSender" ma:index="47"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3"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8"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2"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6"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29"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1"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4"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7"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39"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4"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bc4b14f-a4b5-43b1-8863-417d54b6b72f" elementFormDefault="qualified">
    <xsd:import namespace="http://schemas.microsoft.com/office/2006/documentManagement/types"/>
    <xsd:import namespace="http://schemas.microsoft.com/office/infopath/2007/PartnerControls"/>
    <xsd:element name="MeetingNumber" ma:index="15" nillable="true" ma:displayName="Meeting Number" ma:decimals="0" ma:indexed="true" ma:internalName="MeetingNumber">
      <xsd:simpleType>
        <xsd:restriction base="dms:Unknown"/>
      </xsd:simpleType>
    </xsd:element>
    <xsd:element name="DocumentNumber" ma:index="24"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0FC4F8-8064-4BE4-A940-E13F5272617E}"/>
</file>

<file path=customXml/itemProps2.xml><?xml version="1.0" encoding="utf-8"?>
<ds:datastoreItem xmlns:ds="http://schemas.openxmlformats.org/officeDocument/2006/customXml" ds:itemID="{EFCE6727-CB47-4811-BD63-977D44D10AC3}"/>
</file>

<file path=customXml/itemProps3.xml><?xml version="1.0" encoding="utf-8"?>
<ds:datastoreItem xmlns:ds="http://schemas.openxmlformats.org/officeDocument/2006/customXml" ds:itemID="{54D05502-883D-459C-AFC5-4CCC3C91639E}"/>
</file>

<file path=customXml/itemProps4.xml><?xml version="1.0" encoding="utf-8"?>
<ds:datastoreItem xmlns:ds="http://schemas.openxmlformats.org/officeDocument/2006/customXml" ds:itemID="{2E2E3FA3-C4D1-4807-9F25-B8AB96C64E88}"/>
</file>

<file path=docProps/app.xml><?xml version="1.0" encoding="utf-8"?>
<Properties xmlns="http://schemas.openxmlformats.org/officeDocument/2006/extended-properties" xmlns:vt="http://schemas.openxmlformats.org/officeDocument/2006/docPropsVTypes">
  <Template>Normal</Template>
  <TotalTime>3</TotalTime>
  <Pages>10</Pages>
  <Words>3904</Words>
  <Characters>22257</Characters>
  <Application>Microsoft Office Word</Application>
  <DocSecurity>0</DocSecurity>
  <Lines>185</Lines>
  <Paragraphs>52</Paragraphs>
  <ScaleCrop>false</ScaleCrop>
  <HeadingPairs>
    <vt:vector size="6" baseType="variant">
      <vt:variant>
        <vt:lpstr>Title</vt:lpstr>
      </vt:variant>
      <vt:variant>
        <vt:i4>1</vt:i4>
      </vt:variant>
      <vt:variant>
        <vt:lpstr>Titel</vt:lpstr>
      </vt:variant>
      <vt:variant>
        <vt:i4>1</vt:i4>
      </vt:variant>
      <vt:variant>
        <vt:lpstr>Titlu</vt:lpstr>
      </vt:variant>
      <vt:variant>
        <vt:i4>1</vt:i4>
      </vt:variant>
    </vt:vector>
  </HeadingPairs>
  <TitlesOfParts>
    <vt:vector size="3" baseType="lpstr">
      <vt:lpstr>Anticipation of structural and sectoral change and reshaping industrial cultures</vt:lpstr>
      <vt:lpstr>NEW EESC MODEL  - DT</vt:lpstr>
      <vt:lpstr>European Agenda on Migration: Second implementation package - A permanent crisis relocation mechanism under the Dublin system</vt:lpstr>
    </vt:vector>
  </TitlesOfParts>
  <Company>CESE-CdR</Company>
  <LinksUpToDate>false</LinksUpToDate>
  <CharactersWithSpaces>26109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Anticipación de las transformaciones estructurales y sectoriales y remodelación de las culturas industriales</dc:title>
  <dc:subject>AS</dc:subject>
  <dc:creator/>
  <cp:keywords>EESC-2021-02613-00-00-AS-TRA-EN</cp:keywords>
  <dc:description>Rapporteur: KLUGE &amp; JARRÉ - Original language: EN - Date of document: 15/11/2021 - Date of meeting: 30/08/2021 14:30 - External documents:  - Administrator:  GUICCIARDI EMANUELE</dc:description>
  <cp:lastModifiedBy/>
  <cp:revision>13</cp:revision>
  <cp:lastPrinted>2021-06-23T11:57:00Z</cp:lastPrinted>
  <dcterms:created xsi:type="dcterms:W3CDTF">2021-11-11T14:56:00Z</dcterms:created>
  <dcterms:modified xsi:type="dcterms:W3CDTF">2021-11-15T08:45:00Z</dcterms:modified>
  <cp:category>CCMI/184</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11/11/2021, 15/10/2021, 25/08/2021, 29/06/2021, 04/11/2015, 27/10/2015, 19/10/2015, 09/10/2015, 05/10/2015, 05/10/2015, 26/08/2015, 26/08/2015, 25/08/2015</vt:lpwstr>
  </property>
  <property fmtid="{D5CDD505-2E9C-101B-9397-08002B2CF9AE}" pid="4" name="Pref_Time">
    <vt:lpwstr>15:29:54, 17:23:11, 10:47:19, 10:55:55, 12/10/07, 14:44:02, 16/04/16, 14:09:30, 16:24:55, 16:04:02, 08:56:14, 07:27:56, 17:31:53</vt:lpwstr>
  </property>
  <property fmtid="{D5CDD505-2E9C-101B-9397-08002B2CF9AE}" pid="5" name="Pref_User">
    <vt:lpwstr>jhvi, enied, hnic, amett, ssex, enied, amett, tvoc, mreg, mreg, amett, enied, ssex</vt:lpwstr>
  </property>
  <property fmtid="{D5CDD505-2E9C-101B-9397-08002B2CF9AE}" pid="6" name="Pref_FileName">
    <vt:lpwstr>EESC-2021-02613-00-00-AS-ORI.docx, EESC-2021-02613-00-00-PA-ORI.docx, EESC-2021-02613-00-00-APA-ORI.docx, EESC-2021-02613-00-00-DT-ORI.docx, EESC-2015-05408-00-00-PA-CRR-EN.docx, EESC-2015-05408-00-01-APA-ORI.docx, EESC-2015-04319-00-00-TCD-ORI.docx, EESC</vt:lpwstr>
  </property>
  <property fmtid="{D5CDD505-2E9C-101B-9397-08002B2CF9AE}" pid="7" name="ContentTypeId">
    <vt:lpwstr>0x010100EA97B91038054C99906057A708A1480A009690440AC106F944B6F22BE813F1E9BC</vt:lpwstr>
  </property>
  <property fmtid="{D5CDD505-2E9C-101B-9397-08002B2CF9AE}" pid="8" name="_dlc_DocIdItemGuid">
    <vt:lpwstr>3e21ed8c-1b88-473b-b268-cba4ed248fbe</vt:lpwstr>
  </property>
  <property fmtid="{D5CDD505-2E9C-101B-9397-08002B2CF9AE}" pid="9" name="AvailableTranslations">
    <vt:lpwstr>39;#SL|98a412ae-eb01-49e9-ae3d-585a81724cfc;#12;#DA|5d49c027-8956-412b-aa16-e85a0f96ad0e;#14;#ET|ff6c3f4c-b02c-4c3c-ab07-2c37995a7a0a;#37;#EL|6d4f4d51-af9b-4650-94b4-4276bee85c91;#58;#MT|7df99101-6854-4a26-b53a-b88c0da02c26;#35;#PL|1e03da61-4678-4e07-b136-b5024ca9197b;#41;#BG|1a1b3951-7821-4e6a-85f5-5673fc08bd2c;#18;#LV|46f7e311-5d9f-4663-b433-18aeccb7ace7;#21;#HU|6b229040-c589-4408-b4c1-4285663d20a8;#9;#EN|f2175f21-25d7-44a3-96da-d6a61b075e1b;#11;#DE|f6b31e5a-26fa-4935-b661-318e46daf27e;#15;#LT|a7ff5ce7-6123-4f68-865a-a57c31810414;#40;#SV|c2ed69e7-a339-43d7-8f22-d93680a92aa0;#4;#FR|d2afafd3-4c81-4f60-8f52-ee33f2f54ff3;#42;#FI|87606a43-d45f-42d6-b8c9-e1a3457db5b7;#16;#IT|0774613c-01ed-4e5d-a25d-11d2388de825;#38;#HR|2f555653-ed1a-4fe6-8362-9082d95989e5;#28;#ES|e7a6b05b-ae16-40c8-add9-68b64b03aeba;#45;#RO|feb747a2-64cd-4299-af12-4833ddc30497;#19;#SK|46d9fce0-ef79-4f71-b89b-cd6aa82426b8;#25;#CS|72f9705b-0217-4fd3-bea2-cbc7ed80e26e;#13;#PT|50ccc04a-eadd-42ae-a0cb-acaf45f812ba;#17;#NL|55c6556c-b4f4-441d-9acf-c498d4f838bd;#66;#GA|762d2456-c427-4ecb-b312-af3dad8e258c</vt:lpwstr>
  </property>
  <property fmtid="{D5CDD505-2E9C-101B-9397-08002B2CF9AE}" pid="10" name="DocumentType_0">
    <vt:lpwstr>AS|c7a748eb-f6f2-4d9d-8b5a-af0cafebc224</vt:lpwstr>
  </property>
  <property fmtid="{D5CDD505-2E9C-101B-9397-08002B2CF9AE}" pid="11" name="DossierName_0">
    <vt:lpwstr>CCMI|3451ec22-e6ff-42b3-8610-379fec773b3a</vt:lpwstr>
  </property>
  <property fmtid="{D5CDD505-2E9C-101B-9397-08002B2CF9AE}" pid="12" name="DocumentSource_0">
    <vt:lpwstr>EESC|422833ec-8d7e-4e65-8e4e-8bed07ffb729</vt:lpwstr>
  </property>
  <property fmtid="{D5CDD505-2E9C-101B-9397-08002B2CF9AE}" pid="13" name="DocumentNumber">
    <vt:i4>2613</vt:i4>
  </property>
  <property fmtid="{D5CDD505-2E9C-101B-9397-08002B2CF9AE}" pid="14" name="DocumentVersion">
    <vt:i4>0</vt:i4>
  </property>
  <property fmtid="{D5CDD505-2E9C-101B-9397-08002B2CF9AE}" pid="15" name="DossierNumber">
    <vt:i4>184</vt:i4>
  </property>
  <property fmtid="{D5CDD505-2E9C-101B-9397-08002B2CF9AE}" pid="16" name="DocumentStatus">
    <vt:lpwstr>7;#TRA|150d2a88-1431-44e6-a8ca-0bb753ab8672</vt:lpwstr>
  </property>
  <property fmtid="{D5CDD505-2E9C-101B-9397-08002B2CF9AE}" pid="17" name="DocumentPart">
    <vt:i4>0</vt:i4>
  </property>
  <property fmtid="{D5CDD505-2E9C-101B-9397-08002B2CF9AE}" pid="18" name="DossierName">
    <vt:lpwstr>53;#CCMI|3451ec22-e6ff-42b3-8610-379fec773b3a</vt:lpwstr>
  </property>
  <property fmtid="{D5CDD505-2E9C-101B-9397-08002B2CF9AE}" pid="19" name="DocumentSource">
    <vt:lpwstr>1;#EESC|422833ec-8d7e-4e65-8e4e-8bed07ffb729</vt:lpwstr>
  </property>
  <property fmtid="{D5CDD505-2E9C-101B-9397-08002B2CF9AE}" pid="21" name="DocumentType">
    <vt:lpwstr>136;#AS|c7a748eb-f6f2-4d9d-8b5a-af0cafebc224</vt:lpwstr>
  </property>
  <property fmtid="{D5CDD505-2E9C-101B-9397-08002B2CF9AE}" pid="22" name="RequestingService">
    <vt:lpwstr>Commission consultative des mutations industrielles</vt:lpwstr>
  </property>
  <property fmtid="{D5CDD505-2E9C-101B-9397-08002B2CF9AE}" pid="23" name="Confidentiality">
    <vt:lpwstr>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9;#EN|f2175f21-25d7-44a3-96da-d6a61b075e1b</vt:lpwstr>
  </property>
  <property fmtid="{D5CDD505-2E9C-101B-9397-08002B2CF9AE}" pid="27" name="MeetingName">
    <vt:lpwstr>50;#SPL-CES|32d8cb1f-c9ec-4365-95c7-8385a18618ac</vt:lpwstr>
  </property>
  <property fmtid="{D5CDD505-2E9C-101B-9397-08002B2CF9AE}" pid="28" name="MeetingDate">
    <vt:filetime>2021-12-08T12:00:00Z</vt:filetime>
  </property>
  <property fmtid="{D5CDD505-2E9C-101B-9397-08002B2CF9AE}" pid="29" name="AvailableTranslations_0">
    <vt:lpwstr>DA|5d49c027-8956-412b-aa16-e85a0f96ad0e;EL|6d4f4d51-af9b-4650-94b4-4276bee85c91;PL|1e03da61-4678-4e07-b136-b5024ca9197b;HU|6b229040-c589-4408-b4c1-4285663d20a8;EN|f2175f21-25d7-44a3-96da-d6a61b075e1b;DE|f6b31e5a-26fa-4935-b661-318e46daf27e;LT|a7ff5ce7-6123-4f68-865a-a57c31810414;SV|c2ed69e7-a339-43d7-8f22-d93680a92aa0;CS|72f9705b-0217-4fd3-bea2-cbc7ed80e26e</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35;#PL|1e03da61-4678-4e07-b136-b5024ca9197b;#25;#CS|72f9705b-0217-4fd3-bea2-cbc7ed80e26e;#136;#AS|c7a748eb-f6f2-4d9d-8b5a-af0cafebc224;#21;#HU|6b229040-c589-4408-b4c1-4285663d20a8;#53;#CCMI|3451ec22-e6ff-42b3-8610-379fec773b3a;#15;#LT|a7ff5ce7-6123-4f68-865a-a57c31810414;#50;#SPL-CES|32d8cb1f-c9ec-4365-95c7-8385a18618ac;#12;#DA|5d49c027-8956-412b-aa16-e85a0f96ad0e;#11;#DE|f6b31e5a-26fa-4935-b661-318e46daf27e;#9;#EN|f2175f21-25d7-44a3-96da-d6a61b075e1b;#7;#TRA|150d2a88-1431-44e6-a8ca-0bb753ab8672;#6;#Final|ea5e6674-7b27-4bac-b091-73adbb394efe;#5;#Unrestricted|826e22d7-d029-4ec0-a450-0c28ff673572;#40;#SV|c2ed69e7-a339-43d7-8f22-d93680a92aa0;#1;#EESC|422833ec-8d7e-4e65-8e4e-8bed07ffb729;#37;#EL|6d4f4d51-af9b-4650-94b4-4276bee85c91</vt:lpwstr>
  </property>
  <property fmtid="{D5CDD505-2E9C-101B-9397-08002B2CF9AE}" pid="33" name="Rapporteur">
    <vt:lpwstr>KLUGE &amp; JARRÉ</vt:lpwstr>
  </property>
  <property fmtid="{D5CDD505-2E9C-101B-9397-08002B2CF9AE}" pid="34" name="VersionStatus_0">
    <vt:lpwstr>Final|ea5e6674-7b27-4bac-b091-73adbb394efe</vt:lpwstr>
  </property>
  <property fmtid="{D5CDD505-2E9C-101B-9397-08002B2CF9AE}" pid="35" name="VersionStatus">
    <vt:lpwstr>6;#Final|ea5e6674-7b27-4bac-b091-73adbb394efe</vt:lpwstr>
  </property>
  <property fmtid="{D5CDD505-2E9C-101B-9397-08002B2CF9AE}" pid="36" name="DocumentYear">
    <vt:i4>2021</vt:i4>
  </property>
  <property fmtid="{D5CDD505-2E9C-101B-9397-08002B2CF9AE}" pid="37" name="FicheNumber">
    <vt:i4>6574</vt:i4>
  </property>
  <property fmtid="{D5CDD505-2E9C-101B-9397-08002B2CF9AE}" pid="38" name="DocumentLanguage">
    <vt:lpwstr>28;#ES|e7a6b05b-ae16-40c8-add9-68b64b03aeba</vt:lpwstr>
  </property>
  <property name="OP_sanitized" fmtid="{D5CDD505-2E9C-101B-9397-08002B2CF9AE}" pid="38">
    <vt:lpwstr>True</vt:lpwstr>
  </property>
</Properties>
</file>