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0D2" w:rsidRPr="00CE79EB" w:rsidRDefault="00BB2F70" w:rsidP="00BB2F70">
      <w:pPr>
        <w:pStyle w:val="Pagedecouverture"/>
        <w:rPr>
          <w:noProof/>
        </w:rPr>
      </w:pPr>
      <w:bookmarkStart w:id="0" w:name="_Hlk158287035"/>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1B3FB6E-418D-4224-BDDA-1E154E26C5A8" style="width:455.25pt;height:399pt">
            <v:imagedata r:id="rId11" o:title=""/>
          </v:shape>
        </w:pict>
      </w:r>
    </w:p>
    <w:p w:rsidR="001810D2" w:rsidRPr="00CE79EB" w:rsidRDefault="001810D2" w:rsidP="001810D2">
      <w:pPr>
        <w:rPr>
          <w:noProof/>
        </w:rPr>
        <w:sectPr w:rsidR="001810D2" w:rsidRPr="00CE79EB" w:rsidSect="00BB2F70">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1810D2" w:rsidRPr="00CE79EB" w:rsidRDefault="001810D2" w:rsidP="00A135E3">
      <w:pPr>
        <w:pStyle w:val="Exposdesmotifstitre"/>
        <w:rPr>
          <w:noProof/>
        </w:rPr>
      </w:pPr>
      <w:bookmarkStart w:id="1" w:name="_Hlk158287387"/>
      <w:bookmarkStart w:id="2" w:name="_GoBack"/>
      <w:bookmarkEnd w:id="2"/>
      <w:r w:rsidRPr="00CE79EB">
        <w:rPr>
          <w:noProof/>
        </w:rPr>
        <w:lastRenderedPageBreak/>
        <w:t>EXPOSICIÓN DE MOTIVOS</w:t>
      </w:r>
    </w:p>
    <w:p w:rsidR="001810D2" w:rsidRPr="00CE79EB" w:rsidRDefault="001810D2" w:rsidP="00A135E3">
      <w:pPr>
        <w:pStyle w:val="ManualHeading1"/>
        <w:rPr>
          <w:noProof/>
        </w:rPr>
      </w:pPr>
      <w:r w:rsidRPr="00CE79EB">
        <w:rPr>
          <w:noProof/>
        </w:rPr>
        <w:t>1.</w:t>
      </w:r>
      <w:r w:rsidRPr="00CE79EB">
        <w:rPr>
          <w:noProof/>
        </w:rPr>
        <w:tab/>
        <w:t>CONTEXTO DEL ACTO DELEGADO</w:t>
      </w:r>
    </w:p>
    <w:p w:rsidR="001F5FF6" w:rsidRPr="00CE79EB" w:rsidRDefault="00794EEA" w:rsidP="00571BD8">
      <w:pPr>
        <w:rPr>
          <w:noProof/>
          <w:bdr w:val="none" w:sz="0" w:space="0" w:color="auto" w:frame="1"/>
        </w:rPr>
      </w:pPr>
      <w:r w:rsidRPr="00CE79EB">
        <w:rPr>
          <w:noProof/>
        </w:rPr>
        <w:t>La Autoridad Europea de Valores y Mercados</w:t>
      </w:r>
      <w:r w:rsidRPr="00CE79EB">
        <w:rPr>
          <w:noProof/>
          <w:bdr w:val="none" w:sz="0" w:space="0" w:color="auto" w:frame="1"/>
        </w:rPr>
        <w:t xml:space="preserve"> (en lo sucesivo, «AEVM»)</w:t>
      </w:r>
      <w:r w:rsidRPr="00CE79EB">
        <w:rPr>
          <w:noProof/>
        </w:rPr>
        <w:t xml:space="preserve"> se financia mediante un complejo sistema de tasas con fundamentos jurídicos diversos de la legislación sectorial.</w:t>
      </w:r>
      <w:r w:rsidRPr="00CE79EB">
        <w:rPr>
          <w:noProof/>
          <w:bdr w:val="none" w:sz="0" w:space="0" w:color="auto" w:frame="1"/>
        </w:rPr>
        <w:t xml:space="preserve"> Actualmente existen siete actos delegados mediante los que se establecen las modalidades de cálculo y pago de las tasas que deben pagar los distintos tipos de entidades sujetas a la supervisión directa de la AEVM</w:t>
      </w:r>
      <w:r w:rsidRPr="00CE79EB">
        <w:rPr>
          <w:rStyle w:val="FootnoteReference"/>
          <w:noProof/>
          <w:bdr w:val="none" w:sz="0" w:space="0" w:color="auto" w:frame="1"/>
        </w:rPr>
        <w:footnoteReference w:id="2"/>
      </w:r>
      <w:r w:rsidRPr="00CE79EB">
        <w:rPr>
          <w:noProof/>
          <w:bdr w:val="none" w:sz="0" w:space="0" w:color="auto" w:frame="1"/>
        </w:rPr>
        <w:t>.</w:t>
      </w:r>
    </w:p>
    <w:p w:rsidR="001F675B" w:rsidRPr="00CE79EB" w:rsidRDefault="001F675B" w:rsidP="00571BD8">
      <w:pPr>
        <w:rPr>
          <w:noProof/>
          <w:bdr w:val="none" w:sz="0" w:space="0" w:color="auto" w:frame="1"/>
        </w:rPr>
      </w:pPr>
      <w:r w:rsidRPr="00CE79EB">
        <w:rPr>
          <w:noProof/>
          <w:bdr w:val="none" w:sz="0" w:space="0" w:color="auto" w:frame="1"/>
        </w:rPr>
        <w:t>Desde el 1 de enero de 2022, la AEVM es responsable de la supervisión de determinados administradores de índices de referencia cruciales y de índices de referencia de terceros países reconocidos, en virtud del Reglamento (UE) 2016/1011 (Reglamento sobre los índices utilizados como referencia). En la actualidad, la AEVM supervisa a un administrador de un índice de referencia crucial, el Instituto Europeo de Mercados de Capitales como administrador del EURIBOR, y a diez administradores de índices de referencia de terceros países reconocidos. El artículo 48 </w:t>
      </w:r>
      <w:r w:rsidRPr="00CE79EB">
        <w:rPr>
          <w:i/>
          <w:noProof/>
          <w:bdr w:val="none" w:sz="0" w:space="0" w:color="auto" w:frame="1"/>
        </w:rPr>
        <w:t>terdecies</w:t>
      </w:r>
      <w:r w:rsidRPr="00CE79EB">
        <w:rPr>
          <w:noProof/>
          <w:bdr w:val="none" w:sz="0" w:space="0" w:color="auto" w:frame="1"/>
        </w:rPr>
        <w:t>, apartado 3, del citado Reglamento sobre los índices utilizados como referencia encomienda a la Comisión la adopción de acto delegado para determinar las tasas relacionadas con la supervisión directa de estos administradores de índices de referencia por la AEVM. La Comisión ejerció esta facultad mediante la adopción del Reglamento Delegado (UE) 2022/805.</w:t>
      </w:r>
    </w:p>
    <w:p w:rsidR="009B7839" w:rsidRPr="00CE79EB" w:rsidRDefault="009B7839" w:rsidP="00571BD8">
      <w:pPr>
        <w:rPr>
          <w:noProof/>
          <w:bdr w:val="none" w:sz="0" w:space="0" w:color="auto" w:frame="1"/>
        </w:rPr>
      </w:pPr>
      <w:r w:rsidRPr="00CE79EB">
        <w:rPr>
          <w:noProof/>
        </w:rPr>
        <w:t xml:space="preserve">En su informe de 2018, el Servicio de Auditoría Interna de la Comisión Europea concluyó que la falta de armonización entre los reglamentos delegados sectoriales ha generado una complejidad innecesaria y ha supuesto que los recursos de la AEVM no se hayan estado utilizando de la manera más eficiente o eficaz posible. </w:t>
      </w:r>
      <w:r w:rsidRPr="00CE79EB">
        <w:rPr>
          <w:noProof/>
          <w:bdr w:val="none" w:sz="0" w:space="0" w:color="auto" w:frame="1"/>
        </w:rPr>
        <w:t xml:space="preserve">Ese mismo año, el Tribunal de Cuentas </w:t>
      </w:r>
      <w:r w:rsidRPr="00CE79EB">
        <w:rPr>
          <w:noProof/>
          <w:bdr w:val="none" w:sz="0" w:space="0" w:color="auto" w:frame="1"/>
        </w:rPr>
        <w:lastRenderedPageBreak/>
        <w:t>Europeo observó que la complejidad del sistema de financiación mediante tasas de la AEVM supone un riesgo para el cálculo correcto de las tasas.</w:t>
      </w:r>
      <w:r w:rsidRPr="00CE79EB">
        <w:rPr>
          <w:rStyle w:val="FootnoteReference"/>
          <w:noProof/>
          <w:bdr w:val="none" w:sz="0" w:space="0" w:color="auto" w:frame="1"/>
        </w:rPr>
        <w:footnoteReference w:id="3"/>
      </w:r>
    </w:p>
    <w:p w:rsidR="009B7839" w:rsidRPr="00CE79EB" w:rsidRDefault="009B7839" w:rsidP="00571BD8">
      <w:pPr>
        <w:rPr>
          <w:noProof/>
        </w:rPr>
      </w:pPr>
      <w:r w:rsidRPr="00CE79EB">
        <w:rPr>
          <w:noProof/>
          <w:bdr w:val="none" w:sz="0" w:space="0" w:color="auto" w:frame="1"/>
        </w:rPr>
        <w:t>A raíz de estas observaciones, la Comisión solicitó a la AEVM asesoramiento técnico</w:t>
      </w:r>
      <w:r w:rsidRPr="00CE79EB">
        <w:rPr>
          <w:noProof/>
        </w:rPr>
        <w:t xml:space="preserve"> sobre la armonización y simplificación de los actos delegados relativos a las tasas cobradas por la AEVM. La AEVM emitió dos documentos de asesoramiento técnico: el 21 de junio de 2021, sobre las tasas cobradas a las agencias de calificación crediticia</w:t>
      </w:r>
      <w:r w:rsidR="00794EEA" w:rsidRPr="00CE79EB">
        <w:rPr>
          <w:rStyle w:val="FootnoteReference"/>
          <w:noProof/>
        </w:rPr>
        <w:footnoteReference w:id="4"/>
      </w:r>
      <w:r w:rsidRPr="00CE79EB">
        <w:rPr>
          <w:noProof/>
        </w:rPr>
        <w:t xml:space="preserve">, y, el 8 de julio de 2021, sobre las tasas cobradas a los registros de operaciones en virtud del </w:t>
      </w:r>
      <w:bookmarkStart w:id="3" w:name="_Hlk154139126"/>
      <w:r w:rsidRPr="00CE79EB">
        <w:rPr>
          <w:noProof/>
        </w:rPr>
        <w:t>Reglamento relativo a los derivados extrabursátiles, las entidades de contrapartida central y los registros de operaciones</w:t>
      </w:r>
      <w:bookmarkEnd w:id="3"/>
      <w:r w:rsidRPr="00CE79EB">
        <w:rPr>
          <w:noProof/>
        </w:rPr>
        <w:t xml:space="preserve"> y del Reglamento sobre las operaciones de financiación de valores</w:t>
      </w:r>
      <w:r w:rsidR="005E2DF8" w:rsidRPr="00CE79EB">
        <w:rPr>
          <w:rStyle w:val="FootnoteReference"/>
          <w:noProof/>
        </w:rPr>
        <w:footnoteReference w:id="5"/>
      </w:r>
      <w:r w:rsidRPr="00CE79EB">
        <w:rPr>
          <w:noProof/>
        </w:rPr>
        <w:t>, con el fin de facilitar la coherencia y la armonización de todos los reglamentos delegados sobre las tasas cobradas por la AEVM. Por lo tanto, este asesoramiento técnico también es pertinente a los efectos del Reglamento Delegado (UE) 2022/805 en lo que respecta a las tasas que deben abonar determinados administradores de índices de referencia.</w:t>
      </w:r>
    </w:p>
    <w:p w:rsidR="009B7839" w:rsidRPr="00CE79EB" w:rsidRDefault="009B7839" w:rsidP="00571BD8">
      <w:pPr>
        <w:rPr>
          <w:noProof/>
        </w:rPr>
      </w:pPr>
      <w:r w:rsidRPr="00CE79EB">
        <w:rPr>
          <w:noProof/>
        </w:rPr>
        <w:t xml:space="preserve">Tomando como base las recomendaciones del Servicio de Auditoría Interna y del Tribunal de Cuentas Europeo, y el asesoramiento técnico proporcionado por la AEVM, la Comisión aspira a armonizar los aspectos técnicos del proceso de cobro de las tasas correspondientes a todos los mandatos de supervisión de la AEVM. Esto requiere modificar cinco de los siete reglamentos delegados. </w:t>
      </w:r>
      <w:bookmarkStart w:id="4" w:name="_Hlk154139719"/>
      <w:r w:rsidRPr="00CE79EB">
        <w:rPr>
          <w:noProof/>
        </w:rPr>
        <w:t>Los Reglamentos Delegados relativos a las entidades de contrapartida central</w:t>
      </w:r>
      <w:r w:rsidR="00C278D6" w:rsidRPr="00CE79EB">
        <w:rPr>
          <w:rStyle w:val="FootnoteReference"/>
          <w:noProof/>
        </w:rPr>
        <w:footnoteReference w:id="6"/>
      </w:r>
      <w:r w:rsidRPr="00CE79EB">
        <w:rPr>
          <w:noProof/>
        </w:rPr>
        <w:t xml:space="preserve"> y a los proveedores de servicios de suministro de datos</w:t>
      </w:r>
      <w:r w:rsidR="00C278D6" w:rsidRPr="00CE79EB">
        <w:rPr>
          <w:rStyle w:val="FootnoteReference"/>
          <w:noProof/>
        </w:rPr>
        <w:footnoteReference w:id="7"/>
      </w:r>
      <w:r w:rsidRPr="00CE79EB">
        <w:rPr>
          <w:noProof/>
        </w:rPr>
        <w:t xml:space="preserve"> no se incluirán en este ejercicio, puesto que ya convergen en los principales aspectos pertinentes. </w:t>
      </w:r>
      <w:bookmarkEnd w:id="4"/>
      <w:r w:rsidRPr="00CE79EB">
        <w:rPr>
          <w:noProof/>
        </w:rPr>
        <w:t>Las modificaciones del Reglamento Delegado (UE) 2022/805</w:t>
      </w:r>
      <w:r w:rsidRPr="00CE79EB">
        <w:rPr>
          <w:noProof/>
          <w:bdr w:val="none" w:sz="0" w:space="0" w:color="auto" w:frame="1"/>
        </w:rPr>
        <w:t>,</w:t>
      </w:r>
      <w:r w:rsidRPr="00CE79EB">
        <w:rPr>
          <w:noProof/>
        </w:rPr>
        <w:t xml:space="preserve"> junto con las de otros cuatro actos delegados sobre tasas cobradas por la AEVM, garantizarán la coherencia respecto del concepto de volumen de negocios aplicable, las modalidades de pago y el enfoque presupuestario general, reduciendo así la complejidad de la gestión de las tasas de la AEVM. </w:t>
      </w:r>
    </w:p>
    <w:p w:rsidR="001810D2" w:rsidRPr="00CE79EB" w:rsidRDefault="001810D2" w:rsidP="00A135E3">
      <w:pPr>
        <w:pStyle w:val="ManualHeading1"/>
        <w:rPr>
          <w:noProof/>
        </w:rPr>
      </w:pPr>
      <w:r w:rsidRPr="00CE79EB">
        <w:rPr>
          <w:noProof/>
        </w:rPr>
        <w:t>2.</w:t>
      </w:r>
      <w:r w:rsidRPr="00CE79EB">
        <w:rPr>
          <w:noProof/>
        </w:rPr>
        <w:tab/>
        <w:t>CONSULTAS PREVIAS A LA ADOPCIÓN DEL ACTO</w:t>
      </w:r>
    </w:p>
    <w:p w:rsidR="0011163A" w:rsidRPr="00CE79EB" w:rsidRDefault="0011163A" w:rsidP="0011163A">
      <w:pPr>
        <w:rPr>
          <w:noProof/>
        </w:rPr>
      </w:pPr>
      <w:r w:rsidRPr="00CE79EB">
        <w:rPr>
          <w:noProof/>
        </w:rPr>
        <w:t xml:space="preserve">El 21 de septiembre de 2023, la Comisión consultó al grupo de expertos del Comité Europeo de Valores sobre el contenido del presente acto delegado. Dicho grupo de expertos apoyó el enfoque de la Comisión. </w:t>
      </w:r>
    </w:p>
    <w:p w:rsidR="009920C5" w:rsidRPr="00CE79EB" w:rsidRDefault="009920C5" w:rsidP="0011163A">
      <w:pPr>
        <w:rPr>
          <w:noProof/>
        </w:rPr>
      </w:pPr>
      <w:r w:rsidRPr="00CE79EB">
        <w:rPr>
          <w:noProof/>
        </w:rPr>
        <w:t>El proyecto de Reglamento Delegado se publicó en el portal «Legislar mejor» con el fin de recabar observaciones durante un período de cuatro semanas, del</w:t>
      </w:r>
      <w:bookmarkStart w:id="5" w:name="_Hlk155886804"/>
      <w:r w:rsidRPr="00CE79EB">
        <w:rPr>
          <w:noProof/>
        </w:rPr>
        <w:t xml:space="preserve"> 3 al 31 de enero de 2024</w:t>
      </w:r>
      <w:bookmarkEnd w:id="5"/>
      <w:r w:rsidRPr="00CE79EB">
        <w:rPr>
          <w:noProof/>
        </w:rPr>
        <w:t xml:space="preserve">, de conformidad con los principios establecidos en el Acuerdo Interinstitucional sobre la Mejora de la Legislación. </w:t>
      </w:r>
      <w:r w:rsidRPr="00CE79EB">
        <w:rPr>
          <w:noProof/>
          <w:bdr w:val="none" w:sz="0" w:space="0" w:color="auto" w:frame="1"/>
        </w:rPr>
        <w:t>No se recibieron observaciones sobre el proyecto de Reglamento Delegado.</w:t>
      </w:r>
    </w:p>
    <w:p w:rsidR="001810D2" w:rsidRPr="00CE79EB" w:rsidRDefault="001810D2" w:rsidP="00A135E3">
      <w:pPr>
        <w:pStyle w:val="ManualHeading1"/>
        <w:rPr>
          <w:noProof/>
        </w:rPr>
      </w:pPr>
      <w:r w:rsidRPr="00CE79EB">
        <w:rPr>
          <w:noProof/>
        </w:rPr>
        <w:t>3.</w:t>
      </w:r>
      <w:r w:rsidRPr="00CE79EB">
        <w:rPr>
          <w:noProof/>
        </w:rPr>
        <w:tab/>
        <w:t>ASPECTOS JURÍDICOS DEL ACTO DELEGADO</w:t>
      </w:r>
    </w:p>
    <w:p w:rsidR="001810D2" w:rsidRPr="00CE79EB" w:rsidRDefault="00CF08BA" w:rsidP="00A135E3">
      <w:pPr>
        <w:rPr>
          <w:noProof/>
        </w:rPr>
      </w:pPr>
      <w:r w:rsidRPr="00CE79EB">
        <w:rPr>
          <w:noProof/>
        </w:rPr>
        <w:t>En el presente acto delegado, las modalidades de cálculo y cobro de tasas para los administradores de índices de referencia bajo la supervisión de la AEVM se ajustan a las aplicables en otros ámbitos en los que la AEVM cobra tasas. Esto exige cambios en tres ámbitos del Reglamento modificado:</w:t>
      </w:r>
    </w:p>
    <w:p w:rsidR="00CE2D4F" w:rsidRPr="00CE79EB" w:rsidRDefault="00CE2D4F" w:rsidP="00E36D33">
      <w:pPr>
        <w:pStyle w:val="Tiret0"/>
        <w:numPr>
          <w:ilvl w:val="0"/>
          <w:numId w:val="6"/>
        </w:numPr>
        <w:rPr>
          <w:noProof/>
        </w:rPr>
      </w:pPr>
      <w:r w:rsidRPr="00CE79EB">
        <w:rPr>
          <w:noProof/>
        </w:rPr>
        <w:t>Se añade un artículo 2 </w:t>
      </w:r>
      <w:r w:rsidRPr="00CE79EB">
        <w:rPr>
          <w:i/>
          <w:noProof/>
        </w:rPr>
        <w:t>bis</w:t>
      </w:r>
      <w:r w:rsidRPr="00CE79EB">
        <w:rPr>
          <w:noProof/>
        </w:rPr>
        <w:t xml:space="preserve"> </w:t>
      </w:r>
      <w:bookmarkStart w:id="6" w:name="_Hlk154140101"/>
      <w:r w:rsidRPr="00CE79EB">
        <w:rPr>
          <w:noProof/>
        </w:rPr>
        <w:t xml:space="preserve">con el fin de especificar el principio de recuperación total de los costes y el alcance de los mismos </w:t>
      </w:r>
      <w:bookmarkStart w:id="7" w:name="_Hlk154140214"/>
      <w:r w:rsidRPr="00CE79EB">
        <w:rPr>
          <w:noProof/>
        </w:rPr>
        <w:t>(costes directos e indirectos)</w:t>
      </w:r>
      <w:bookmarkEnd w:id="7"/>
      <w:r w:rsidRPr="00CE79EB">
        <w:rPr>
          <w:noProof/>
        </w:rPr>
        <w:t xml:space="preserve"> que deben quedar íntegramente cubiertos con las tasas</w:t>
      </w:r>
      <w:bookmarkEnd w:id="6"/>
      <w:r w:rsidRPr="00CE79EB">
        <w:rPr>
          <w:noProof/>
        </w:rPr>
        <w:t>.</w:t>
      </w:r>
    </w:p>
    <w:p w:rsidR="00CF08BA" w:rsidRPr="00CE79EB" w:rsidRDefault="00CF08BA" w:rsidP="00E36D33">
      <w:pPr>
        <w:pStyle w:val="Tiret0"/>
        <w:numPr>
          <w:ilvl w:val="0"/>
          <w:numId w:val="6"/>
        </w:numPr>
        <w:rPr>
          <w:noProof/>
        </w:rPr>
      </w:pPr>
      <w:r w:rsidRPr="00CE79EB">
        <w:rPr>
          <w:noProof/>
        </w:rPr>
        <w:t>En el artículo 6 se especifica que la tasa del año (n) por la supervisión de un administrador de índices de referencia de un tercer país reconocido debe calcularse con arreglo a las cuentas auditadas del año (n – 2). Anteriormente, las cuentas utilizadas como referencia eran las correspondientes al ejercicio más reciente.</w:t>
      </w:r>
    </w:p>
    <w:p w:rsidR="001810D2" w:rsidRPr="00CE79EB" w:rsidRDefault="00CF08BA" w:rsidP="00787D22">
      <w:pPr>
        <w:pStyle w:val="Tiret0"/>
        <w:rPr>
          <w:noProof/>
        </w:rPr>
      </w:pPr>
      <w:r w:rsidRPr="00CE79EB">
        <w:rPr>
          <w:noProof/>
        </w:rPr>
        <w:t>En el artículo 7 se especifica que todo retraso en el pago conllevará los intereses de demora establecidos en el artículo 99 del Reglamento (UE, Euratom) 2018/1046, en lugar de la sanción pecuniaria diaria fijada en el 0,1 % del importe adeudado.</w:t>
      </w:r>
    </w:p>
    <w:p w:rsidR="0011163A" w:rsidRPr="00CE79EB" w:rsidRDefault="0011163A" w:rsidP="0011163A">
      <w:pPr>
        <w:rPr>
          <w:noProof/>
        </w:rPr>
      </w:pPr>
      <w:r w:rsidRPr="00CE79EB">
        <w:rPr>
          <w:noProof/>
        </w:rPr>
        <w:t>Por último, el presente Reglamento Delegado corrige un error en el artículo 5, en el que se establece el método de cálculo de la tasa de supervisión del primer año tanto para los administradores de índices de referencia cruciales como para los administradores de índices de referencia de terceros países reconocidos.</w:t>
      </w:r>
    </w:p>
    <w:p w:rsidR="0011163A" w:rsidRPr="00CE79EB" w:rsidRDefault="0011163A" w:rsidP="0011163A">
      <w:pPr>
        <w:rPr>
          <w:noProof/>
        </w:rPr>
        <w:sectPr w:rsidR="0011163A" w:rsidRPr="00CE79EB" w:rsidSect="00BB2F70">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rsidR="001810D2" w:rsidRPr="00CE79EB" w:rsidRDefault="00890F17" w:rsidP="00890F17">
      <w:pPr>
        <w:pStyle w:val="Typedudocument"/>
        <w:rPr>
          <w:noProof/>
        </w:rPr>
      </w:pPr>
      <w:r w:rsidRPr="00890F17">
        <w:rPr>
          <w:noProof/>
        </w:rPr>
        <w:t>REGLAMENTO DELEGADO (UE) …/... DE LA COMISIÓN</w:t>
      </w:r>
    </w:p>
    <w:p w:rsidR="001810D2" w:rsidRPr="00CE79EB" w:rsidRDefault="009F7D6A" w:rsidP="00890F17">
      <w:pPr>
        <w:pStyle w:val="Datedadoption"/>
        <w:rPr>
          <w:noProof/>
        </w:rPr>
      </w:pPr>
      <w:r>
        <w:rPr>
          <w:noProof/>
        </w:rPr>
        <w:t>de 11.3.2024</w:t>
      </w:r>
    </w:p>
    <w:p w:rsidR="001810D2" w:rsidRPr="00CE79EB" w:rsidRDefault="00890F17" w:rsidP="00890F17">
      <w:pPr>
        <w:pStyle w:val="Titreobjet"/>
        <w:rPr>
          <w:noProof/>
        </w:rPr>
      </w:pPr>
      <w:r w:rsidRPr="00890F17">
        <w:rPr>
          <w:noProof/>
        </w:rPr>
        <w:t>por el que se modifica el Reglamento Delegado (UE) 2022/805 en lo que respecta a la armonización de determinados aspectos de las tasas que deben pagar determinados administradores de índices de referencia a la Autoridad Europea de Valores y Mercados</w:t>
      </w:r>
    </w:p>
    <w:p w:rsidR="001810D2" w:rsidRPr="00CE79EB" w:rsidRDefault="00890F17" w:rsidP="00890F17">
      <w:pPr>
        <w:pStyle w:val="IntrtEEE"/>
        <w:rPr>
          <w:noProof/>
        </w:rPr>
      </w:pPr>
      <w:r w:rsidRPr="00890F17">
        <w:rPr>
          <w:noProof/>
        </w:rPr>
        <w:t>(Texto pertinente a efectos del EEE)</w:t>
      </w:r>
    </w:p>
    <w:p w:rsidR="001810D2" w:rsidRPr="00CE79EB" w:rsidRDefault="001810D2" w:rsidP="00A135E3">
      <w:pPr>
        <w:pStyle w:val="Institutionquiagit"/>
        <w:rPr>
          <w:noProof/>
        </w:rPr>
      </w:pPr>
      <w:r w:rsidRPr="00CE79EB">
        <w:rPr>
          <w:noProof/>
        </w:rPr>
        <w:t>LA COMISIÓN EUROPEA,</w:t>
      </w:r>
    </w:p>
    <w:p w:rsidR="001810D2" w:rsidRPr="00CE79EB" w:rsidRDefault="001810D2" w:rsidP="00A135E3">
      <w:pPr>
        <w:rPr>
          <w:noProof/>
        </w:rPr>
      </w:pPr>
      <w:r w:rsidRPr="00CE79EB">
        <w:rPr>
          <w:noProof/>
        </w:rPr>
        <w:t>Visto el Tratado de Funcionamiento de la Unión Europea,</w:t>
      </w:r>
    </w:p>
    <w:p w:rsidR="001810D2" w:rsidRPr="00CE79EB" w:rsidRDefault="001810D2" w:rsidP="00A135E3">
      <w:pPr>
        <w:rPr>
          <w:noProof/>
        </w:rPr>
      </w:pPr>
      <w:r w:rsidRPr="00CE79EB">
        <w:rPr>
          <w:noProof/>
        </w:rPr>
        <w:t>Visto el Reglamento (UE) 2016/1011 del Parlamento Europeo y del Consejo, de 8 de junio de 2016, sobre los índices utilizados como referencia en los instrumentos financieros y en los contratos financieros o para medir la rentabilidad de los fondos de inversión, y por el que se modifican las Directivas 2008/48/CE y 2014/17/UE y el Reglamento (UE) n.º 596/2014</w:t>
      </w:r>
      <w:r w:rsidRPr="00CE79EB">
        <w:rPr>
          <w:rStyle w:val="FootnoteReference"/>
          <w:noProof/>
        </w:rPr>
        <w:footnoteReference w:id="8"/>
      </w:r>
      <w:r w:rsidRPr="00CE79EB">
        <w:rPr>
          <w:noProof/>
        </w:rPr>
        <w:t xml:space="preserve">, y en particular su artículo 48 </w:t>
      </w:r>
      <w:r w:rsidRPr="00CE79EB">
        <w:rPr>
          <w:i/>
          <w:noProof/>
        </w:rPr>
        <w:t>terdecies</w:t>
      </w:r>
      <w:r w:rsidRPr="00CE79EB">
        <w:rPr>
          <w:noProof/>
        </w:rPr>
        <w:t>, apartado 3,</w:t>
      </w:r>
    </w:p>
    <w:p w:rsidR="001810D2" w:rsidRPr="00CE79EB" w:rsidRDefault="001810D2" w:rsidP="00A135E3">
      <w:pPr>
        <w:rPr>
          <w:noProof/>
        </w:rPr>
      </w:pPr>
      <w:r w:rsidRPr="00CE79EB">
        <w:rPr>
          <w:noProof/>
        </w:rPr>
        <w:t>Considerando lo siguiente:</w:t>
      </w:r>
    </w:p>
    <w:p w:rsidR="00382297" w:rsidRPr="00CE79EB" w:rsidRDefault="007E6923" w:rsidP="00FD3C81">
      <w:pPr>
        <w:pStyle w:val="ManualConsidrant"/>
        <w:rPr>
          <w:noProof/>
        </w:rPr>
      </w:pPr>
      <w:r>
        <w:rPr>
          <w:noProof/>
        </w:rPr>
        <w:t>(1)</w:t>
      </w:r>
      <w:r>
        <w:rPr>
          <w:noProof/>
        </w:rPr>
        <w:tab/>
      </w:r>
      <w:r w:rsidRPr="00CE79EB">
        <w:rPr>
          <w:noProof/>
          <w:bdr w:val="none" w:sz="0" w:space="0" w:color="auto" w:frame="1"/>
        </w:rPr>
        <w:t>El Reglamento Delegado (UE) 2022/805 de la Comisión</w:t>
      </w:r>
      <w:r w:rsidRPr="00CE79EB">
        <w:rPr>
          <w:rStyle w:val="FootnoteReference"/>
          <w:noProof/>
          <w:bdr w:val="none" w:sz="0" w:space="0" w:color="auto" w:frame="1"/>
        </w:rPr>
        <w:footnoteReference w:id="9"/>
      </w:r>
      <w:r w:rsidRPr="00CE79EB">
        <w:rPr>
          <w:noProof/>
          <w:bdr w:val="none" w:sz="0" w:space="0" w:color="auto" w:frame="1"/>
        </w:rPr>
        <w:t xml:space="preserve"> especifica el tipo de tasas, el cálculo y las modalidades de pago en relación con las tasas que deben pagar determinados administradores de índices de referencia a la Autoridad Europea de Valores y Mercados (en lo sucesivo, «AEVM»). </w:t>
      </w:r>
    </w:p>
    <w:p w:rsidR="009D0DE1" w:rsidRPr="00CE79EB" w:rsidRDefault="000246AB" w:rsidP="001810D2">
      <w:pPr>
        <w:pStyle w:val="ManualConsidrant"/>
        <w:rPr>
          <w:noProof/>
        </w:rPr>
      </w:pPr>
      <w:r>
        <w:rPr>
          <w:noProof/>
        </w:rPr>
        <w:t>(2)</w:t>
      </w:r>
      <w:r>
        <w:rPr>
          <w:noProof/>
        </w:rPr>
        <w:tab/>
      </w:r>
      <w:r w:rsidRPr="00CE79EB">
        <w:rPr>
          <w:noProof/>
        </w:rPr>
        <w:t>En 2018, tanto la revisión del Servicio de Auditoría Interna de la Comisión como la auditoría del Tribunal de Cuentas Europeo</w:t>
      </w:r>
      <w:r w:rsidR="007E6923" w:rsidRPr="00CE79EB">
        <w:rPr>
          <w:rStyle w:val="FootnoteReference"/>
          <w:noProof/>
        </w:rPr>
        <w:footnoteReference w:id="10"/>
      </w:r>
      <w:r w:rsidRPr="00CE79EB">
        <w:rPr>
          <w:noProof/>
        </w:rPr>
        <w:t xml:space="preserve"> concluyeron que el sistema de financiación mediante tasas de la AEVM es innecesariamente complejo. </w:t>
      </w:r>
      <w:r w:rsidRPr="00CE79EB">
        <w:rPr>
          <w:noProof/>
          <w:shd w:val="clear" w:color="auto" w:fill="FFFFFF"/>
        </w:rPr>
        <w:t>Con el fin de simplificar el cobro de las tasas y de reducir los riesgos relacionados con el cálculo incorrecto o la asignación ineficiente de las mismas,</w:t>
      </w:r>
      <w:r w:rsidRPr="00CE79EB">
        <w:rPr>
          <w:noProof/>
        </w:rPr>
        <w:t xml:space="preserve"> resulta necesario </w:t>
      </w:r>
      <w:r w:rsidRPr="00CE79EB">
        <w:rPr>
          <w:noProof/>
          <w:shd w:val="clear" w:color="auto" w:fill="FFFFFF"/>
        </w:rPr>
        <w:t>garantizar la coherencia de los aspectos técnicos entre los distintos actos delegados sobre las tasas que deben abonar las entidades directamente supervisadas a la AEVM</w:t>
      </w:r>
      <w:r w:rsidRPr="00CE79EB">
        <w:rPr>
          <w:noProof/>
        </w:rPr>
        <w:t>.</w:t>
      </w:r>
    </w:p>
    <w:p w:rsidR="009833A1" w:rsidRPr="00CE79EB" w:rsidRDefault="009833A1" w:rsidP="005D1C8C">
      <w:pPr>
        <w:pStyle w:val="ManualConsidrant"/>
        <w:rPr>
          <w:noProof/>
        </w:rPr>
      </w:pPr>
      <w:r>
        <w:rPr>
          <w:noProof/>
        </w:rPr>
        <w:t>(3)</w:t>
      </w:r>
      <w:r>
        <w:rPr>
          <w:noProof/>
        </w:rPr>
        <w:tab/>
      </w:r>
      <w:r w:rsidRPr="00CE79EB">
        <w:rPr>
          <w:noProof/>
        </w:rPr>
        <w:t xml:space="preserve">Con el fin de que las tasas anuales de supervisión cubran íntegramente los gastos de la AEVM relacionados con la supervisión de determinados administradores de índices de referencia, dichas tasas deben determinarse sobre la base de </w:t>
      </w:r>
      <w:bookmarkStart w:id="8" w:name="_Hlk152938241"/>
      <w:r w:rsidRPr="00CE79EB">
        <w:rPr>
          <w:noProof/>
        </w:rPr>
        <w:t>la estimación anual de todos los costes directos necesarios para la realización de las tareas de supervisión desempeñadas por la AEVM y de un reparto razonable de los gastos generales fijos y variables de la AEVM</w:t>
      </w:r>
      <w:bookmarkEnd w:id="8"/>
      <w:r w:rsidRPr="00CE79EB">
        <w:rPr>
          <w:noProof/>
        </w:rPr>
        <w:t xml:space="preserve">. </w:t>
      </w:r>
    </w:p>
    <w:p w:rsidR="006624D3" w:rsidRPr="00CE79EB" w:rsidRDefault="006624D3" w:rsidP="0024681B">
      <w:pPr>
        <w:pStyle w:val="ManualConsidrant"/>
        <w:rPr>
          <w:noProof/>
        </w:rPr>
      </w:pPr>
      <w:r>
        <w:rPr>
          <w:noProof/>
        </w:rPr>
        <w:t>(4)</w:t>
      </w:r>
      <w:r>
        <w:rPr>
          <w:noProof/>
        </w:rPr>
        <w:tab/>
      </w:r>
      <w:r w:rsidRPr="00CE79EB">
        <w:rPr>
          <w:noProof/>
        </w:rPr>
        <w:t>De conformidad con el Reglamento Delegado (UE) 2019/715 de la Comisión</w:t>
      </w:r>
      <w:r w:rsidRPr="00CE79EB">
        <w:rPr>
          <w:rStyle w:val="FootnoteReference"/>
          <w:noProof/>
        </w:rPr>
        <w:footnoteReference w:id="11"/>
      </w:r>
      <w:r w:rsidRPr="00CE79EB">
        <w:rPr>
          <w:noProof/>
        </w:rPr>
        <w:t xml:space="preserve">, las tasas cobradas a los administradores de índices de referencia deben fijarse en un nivel que garantice que se cubra el coste total de los servicios prestados por la AEVM y se evite un déficit, pero, al mismo tiempo, se evite la acumulación de un superávit significativo. </w:t>
      </w:r>
      <w:bookmarkStart w:id="9" w:name="_Hlk151979305"/>
      <w:r w:rsidRPr="00CE79EB">
        <w:rPr>
          <w:noProof/>
        </w:rPr>
        <w:t xml:space="preserve">Cuando un resultado presupuestario positivo o negativo significativo sea recurrente, deberá revisarse el nivel de las tasas. </w:t>
      </w:r>
      <w:bookmarkEnd w:id="9"/>
    </w:p>
    <w:p w:rsidR="005D1C8C" w:rsidRPr="00CE79EB" w:rsidRDefault="005D1C8C" w:rsidP="005D1C8C">
      <w:pPr>
        <w:pStyle w:val="ManualConsidrant"/>
        <w:rPr>
          <w:noProof/>
        </w:rPr>
      </w:pPr>
      <w:r>
        <w:rPr>
          <w:noProof/>
        </w:rPr>
        <w:t>(5)</w:t>
      </w:r>
      <w:r>
        <w:rPr>
          <w:noProof/>
        </w:rPr>
        <w:tab/>
      </w:r>
      <w:r w:rsidRPr="00CE79EB">
        <w:rPr>
          <w:noProof/>
        </w:rPr>
        <w:t>La tasa de supervisión inicial adeudada por un administrador de índices de referencia en el año de reconocimiento o de autorización, según proceda, debe ser proporcional al período de tiempo de ese primer año durante el cual el administrador del índice de referencia haya estado reconocido o autorizado.</w:t>
      </w:r>
    </w:p>
    <w:p w:rsidR="00E928DB" w:rsidRPr="00CE79EB" w:rsidRDefault="00E928DB" w:rsidP="00E928DB">
      <w:pPr>
        <w:pStyle w:val="ManualConsidrant"/>
        <w:rPr>
          <w:noProof/>
        </w:rPr>
      </w:pPr>
      <w:r>
        <w:rPr>
          <w:noProof/>
        </w:rPr>
        <w:t>(6)</w:t>
      </w:r>
      <w:r>
        <w:rPr>
          <w:noProof/>
        </w:rPr>
        <w:tab/>
      </w:r>
      <w:r w:rsidRPr="00CE79EB">
        <w:rPr>
          <w:noProof/>
        </w:rPr>
        <w:t xml:space="preserve">Para garantizar la coherencia entre los actos delegados relativos al pago de tasas a la AEVM, y permitir a esta recibir a su debido tiempo los datos sobre el volumen de negocios auditados, a fin de calcular las tasas que deben abonarle los administradores de índices de referencia, el año de referencia de las cuentas auditadas para la determinación del volumen de negocios aplicable debe el segundo año anterior a aquel respecto del que el administrador de índices de referencia abona las tasas a la AEVM. </w:t>
      </w:r>
    </w:p>
    <w:p w:rsidR="00E928DB" w:rsidRPr="00CE79EB" w:rsidRDefault="00E928DB" w:rsidP="001810D2">
      <w:pPr>
        <w:pStyle w:val="ManualConsidrant"/>
        <w:rPr>
          <w:noProof/>
        </w:rPr>
      </w:pPr>
      <w:r>
        <w:rPr>
          <w:noProof/>
        </w:rPr>
        <w:t>(7)</w:t>
      </w:r>
      <w:r>
        <w:rPr>
          <w:noProof/>
        </w:rPr>
        <w:tab/>
      </w:r>
      <w:r w:rsidRPr="00CE79EB">
        <w:rPr>
          <w:noProof/>
        </w:rPr>
        <w:t>El volumen de negocios aplicable de los administradores de índices de referencia se calcula en euros. Por lo tanto, es necesario especificar un mecanismo para la conversión en euros de los ingresos generados en otras monedas.</w:t>
      </w:r>
    </w:p>
    <w:p w:rsidR="00E928DB" w:rsidRPr="00CE79EB" w:rsidRDefault="005D1C8C" w:rsidP="008659EC">
      <w:pPr>
        <w:pStyle w:val="ManualConsidrant"/>
        <w:rPr>
          <w:noProof/>
        </w:rPr>
      </w:pPr>
      <w:r>
        <w:rPr>
          <w:noProof/>
        </w:rPr>
        <w:t>(8)</w:t>
      </w:r>
      <w:r>
        <w:rPr>
          <w:noProof/>
        </w:rPr>
        <w:tab/>
      </w:r>
      <w:r w:rsidRPr="00CE79EB">
        <w:rPr>
          <w:noProof/>
        </w:rPr>
        <w:t>A fin de garantizar la coherencia entre los actos delegados relativos al pago de tasas a la AEVM, esta debe calcular la sanción que corresponda en caso de retraso en el pago en consonancia con las disposiciones sobre intereses de demora establecidas en el artículo 99 del Reglamento (UE, Euratom) 2018/1046 del Parlamento Europeo y del Consejo</w:t>
      </w:r>
      <w:r w:rsidR="007E6923" w:rsidRPr="00CE79EB">
        <w:rPr>
          <w:rStyle w:val="FootnoteReference"/>
          <w:noProof/>
          <w:lang w:eastAsia="en-IE"/>
        </w:rPr>
        <w:footnoteReference w:id="12"/>
      </w:r>
      <w:r w:rsidRPr="00CE79EB">
        <w:rPr>
          <w:noProof/>
        </w:rPr>
        <w:t>.</w:t>
      </w:r>
    </w:p>
    <w:p w:rsidR="006624D3" w:rsidRPr="00CE79EB" w:rsidRDefault="002A319A" w:rsidP="0024681B">
      <w:pPr>
        <w:pStyle w:val="ManualConsidrant"/>
        <w:rPr>
          <w:noProof/>
        </w:rPr>
      </w:pPr>
      <w:r>
        <w:rPr>
          <w:noProof/>
        </w:rPr>
        <w:t>(9)</w:t>
      </w:r>
      <w:r>
        <w:rPr>
          <w:noProof/>
        </w:rPr>
        <w:tab/>
      </w:r>
      <w:r w:rsidRPr="00CE79EB">
        <w:rPr>
          <w:noProof/>
        </w:rPr>
        <w:t>A fin de evitar la inseguridad jurídica en el proceso de cobro de tasas actualmente en curso, el presente Reglamento debe aplicarse a partir del 1 de enero de 2025.</w:t>
      </w:r>
    </w:p>
    <w:p w:rsidR="001810D2" w:rsidRPr="00CE79EB" w:rsidRDefault="009D0DE1" w:rsidP="001810D2">
      <w:pPr>
        <w:pStyle w:val="ManualConsidrant"/>
        <w:rPr>
          <w:noProof/>
        </w:rPr>
      </w:pPr>
      <w:r>
        <w:rPr>
          <w:noProof/>
        </w:rPr>
        <w:t>(10)</w:t>
      </w:r>
      <w:r>
        <w:rPr>
          <w:noProof/>
        </w:rPr>
        <w:tab/>
      </w:r>
      <w:r w:rsidRPr="00CE79EB">
        <w:rPr>
          <w:noProof/>
          <w:shd w:val="clear" w:color="auto" w:fill="FFFFFF"/>
        </w:rPr>
        <w:t>Procede, por tanto, modificar el Reglamento Delegado (UE) 2022/805 en consecuencia.</w:t>
      </w:r>
    </w:p>
    <w:p w:rsidR="001810D2" w:rsidRPr="00CE79EB" w:rsidRDefault="001810D2" w:rsidP="00A135E3">
      <w:pPr>
        <w:pStyle w:val="Formuledadoption"/>
        <w:rPr>
          <w:noProof/>
        </w:rPr>
      </w:pPr>
      <w:r w:rsidRPr="00CE79EB">
        <w:rPr>
          <w:noProof/>
        </w:rPr>
        <w:t>HA ADOPTADO EL PRESENTE REGLAMENTO:</w:t>
      </w:r>
    </w:p>
    <w:p w:rsidR="001810D2" w:rsidRPr="00CE79EB" w:rsidRDefault="001810D2" w:rsidP="00A135E3">
      <w:pPr>
        <w:pStyle w:val="Titrearticle"/>
        <w:rPr>
          <w:noProof/>
        </w:rPr>
      </w:pPr>
      <w:r w:rsidRPr="00CE79EB">
        <w:rPr>
          <w:noProof/>
        </w:rPr>
        <w:t>Artículo 1</w:t>
      </w:r>
    </w:p>
    <w:p w:rsidR="001810D2" w:rsidRPr="00CE79EB" w:rsidRDefault="001810D2" w:rsidP="007634DD">
      <w:pPr>
        <w:jc w:val="center"/>
        <w:rPr>
          <w:b/>
          <w:bCs/>
          <w:noProof/>
        </w:rPr>
      </w:pPr>
      <w:r w:rsidRPr="00CE79EB">
        <w:rPr>
          <w:b/>
          <w:noProof/>
        </w:rPr>
        <w:t>Modificaciones del Reglamento Delegado (UE) 2022/805</w:t>
      </w:r>
    </w:p>
    <w:p w:rsidR="00C402E9" w:rsidRPr="00CE79EB" w:rsidRDefault="00C402E9" w:rsidP="00C402E9">
      <w:pPr>
        <w:jc w:val="left"/>
        <w:rPr>
          <w:noProof/>
        </w:rPr>
      </w:pPr>
      <w:r w:rsidRPr="00CE79EB">
        <w:rPr>
          <w:noProof/>
        </w:rPr>
        <w:t>El Reglamento Delegado (UE) 2022/805 se modifica como sigue:</w:t>
      </w:r>
    </w:p>
    <w:p w:rsidR="009833A1" w:rsidRPr="00CE79EB" w:rsidRDefault="00A82EAC" w:rsidP="00A82EAC">
      <w:pPr>
        <w:pStyle w:val="Point0"/>
        <w:rPr>
          <w:noProof/>
        </w:rPr>
      </w:pPr>
      <w:r>
        <w:rPr>
          <w:noProof/>
        </w:rPr>
        <w:t>1)</w:t>
      </w:r>
      <w:r>
        <w:rPr>
          <w:noProof/>
        </w:rPr>
        <w:tab/>
      </w:r>
      <w:r w:rsidR="007E6923" w:rsidRPr="00CE79EB">
        <w:rPr>
          <w:noProof/>
        </w:rPr>
        <w:t>Se inserta el artículo 2 </w:t>
      </w:r>
      <w:r w:rsidR="007E6923" w:rsidRPr="00CE79EB">
        <w:rPr>
          <w:i/>
          <w:noProof/>
        </w:rPr>
        <w:t>bis</w:t>
      </w:r>
      <w:r w:rsidR="007E6923" w:rsidRPr="00CE79EB">
        <w:rPr>
          <w:noProof/>
        </w:rPr>
        <w:t xml:space="preserve"> siguiente:</w:t>
      </w:r>
    </w:p>
    <w:p w:rsidR="009833A1" w:rsidRPr="00CE79EB" w:rsidRDefault="007E6923" w:rsidP="009833A1">
      <w:pPr>
        <w:pStyle w:val="NormalCentered"/>
        <w:rPr>
          <w:i/>
          <w:iCs/>
          <w:noProof/>
        </w:rPr>
      </w:pPr>
      <w:r w:rsidRPr="00CE79EB">
        <w:rPr>
          <w:i/>
          <w:noProof/>
        </w:rPr>
        <w:t xml:space="preserve">«Artículo 2 </w:t>
      </w:r>
      <w:r w:rsidRPr="00CE79EB">
        <w:rPr>
          <w:noProof/>
        </w:rPr>
        <w:t>bis</w:t>
      </w:r>
    </w:p>
    <w:p w:rsidR="009833A1" w:rsidRPr="00CE79EB" w:rsidRDefault="009833A1" w:rsidP="009833A1">
      <w:pPr>
        <w:pStyle w:val="NormalCentered"/>
        <w:rPr>
          <w:b/>
          <w:bCs/>
          <w:noProof/>
        </w:rPr>
      </w:pPr>
      <w:r w:rsidRPr="00CE79EB">
        <w:rPr>
          <w:b/>
          <w:noProof/>
        </w:rPr>
        <w:t>Recuperación de la totalidad de los costes de supervisión</w:t>
      </w:r>
    </w:p>
    <w:p w:rsidR="009833A1" w:rsidRPr="00CE79EB" w:rsidRDefault="009833A1" w:rsidP="009833A1">
      <w:pPr>
        <w:pStyle w:val="Text1"/>
        <w:rPr>
          <w:noProof/>
        </w:rPr>
      </w:pPr>
      <w:r w:rsidRPr="00CE79EB">
        <w:rPr>
          <w:noProof/>
        </w:rPr>
        <w:t>Las tasas cobradas a los administradores de índices de referencia deberán cubrir:</w:t>
      </w:r>
    </w:p>
    <w:p w:rsidR="009833A1" w:rsidRPr="00CE79EB" w:rsidRDefault="00A82EAC" w:rsidP="00A82EAC">
      <w:pPr>
        <w:pStyle w:val="Point1"/>
        <w:rPr>
          <w:noProof/>
        </w:rPr>
      </w:pPr>
      <w:r>
        <w:rPr>
          <w:noProof/>
        </w:rPr>
        <w:t>a)</w:t>
      </w:r>
      <w:r>
        <w:rPr>
          <w:noProof/>
        </w:rPr>
        <w:tab/>
      </w:r>
      <w:r w:rsidR="009833A1" w:rsidRPr="00CE79EB">
        <w:rPr>
          <w:noProof/>
        </w:rPr>
        <w:t>todos los costes directos e indirectos relativos a la supervisión, por parte de la AEVM, de los administradores de índices de referencia, de conformidad con el Reglamento (UE) n.º 2016/1011, incluidos los costes derivados del reconocimiento, la autorización o la ampliación de la autorización;</w:t>
      </w:r>
    </w:p>
    <w:p w:rsidR="009833A1" w:rsidRPr="00CE79EB" w:rsidRDefault="00A82EAC" w:rsidP="00A82EAC">
      <w:pPr>
        <w:pStyle w:val="Point1"/>
        <w:rPr>
          <w:noProof/>
        </w:rPr>
      </w:pPr>
      <w:r>
        <w:rPr>
          <w:noProof/>
        </w:rPr>
        <w:t>b)</w:t>
      </w:r>
      <w:r>
        <w:rPr>
          <w:noProof/>
        </w:rPr>
        <w:tab/>
      </w:r>
      <w:r w:rsidR="009833A1" w:rsidRPr="00CE79EB">
        <w:rPr>
          <w:noProof/>
        </w:rPr>
        <w:t>todos los costes directos e indirectos que deban reembolsarse a las autoridades competentes en las que la AEVM haya delegado tareas, de conformidad con el Reglamento (UE) 2016/1011.».</w:t>
      </w:r>
    </w:p>
    <w:p w:rsidR="00DA7721" w:rsidRPr="00CE79EB" w:rsidRDefault="00A82EAC" w:rsidP="00A82EAC">
      <w:pPr>
        <w:pStyle w:val="Point0"/>
        <w:rPr>
          <w:noProof/>
        </w:rPr>
      </w:pPr>
      <w:r>
        <w:rPr>
          <w:noProof/>
        </w:rPr>
        <w:t>2)</w:t>
      </w:r>
      <w:r>
        <w:rPr>
          <w:noProof/>
        </w:rPr>
        <w:tab/>
      </w:r>
      <w:r w:rsidR="009D0DE1" w:rsidRPr="00CE79EB">
        <w:rPr>
          <w:noProof/>
        </w:rPr>
        <w:t>En el artículo 5, el párrafo primero se sustituye por el texto siguiente:</w:t>
      </w:r>
    </w:p>
    <w:p w:rsidR="00DA7721" w:rsidRPr="00CE79EB" w:rsidRDefault="00DA7721" w:rsidP="002E36F1">
      <w:pPr>
        <w:ind w:left="567"/>
        <w:rPr>
          <w:noProof/>
        </w:rPr>
      </w:pPr>
      <w:r w:rsidRPr="00CE79EB">
        <w:rPr>
          <w:noProof/>
        </w:rPr>
        <w:t>«No obstante lo dispuesto en el artículo 4, la tasa de supervisión anual del primer año para los administradores de terceros países reconocidos y para los administradores de índices de referencia cruciales autorizados, con referencia al año en que hayan sido reconocidos o autorizados, se calculará aplicando a la tasa de reconocimiento o de autorización, según proceda, el siguiente coeficiente:</w:t>
      </w:r>
    </w:p>
    <w:p w:rsidR="00DA7721" w:rsidRPr="00CE79EB" w:rsidRDefault="00CE79EB" w:rsidP="002E36F1">
      <w:pPr>
        <w:ind w:left="567"/>
        <w:rPr>
          <w:noProof/>
          <w:sz w:val="22"/>
        </w:rPr>
      </w:pPr>
      <m:oMath>
        <m:r>
          <w:rPr>
            <w:rFonts w:ascii="Cambria Math" w:hAnsi="Cambria Math"/>
            <w:noProof/>
            <w:sz w:val="22"/>
          </w:rPr>
          <m:t>Coeficiente=</m:t>
        </m:r>
        <m:f>
          <m:fPr>
            <m:ctrlPr>
              <w:rPr>
                <w:rFonts w:ascii="Cambria Math" w:hAnsi="Cambria Math"/>
                <w:i/>
                <w:noProof/>
                <w:sz w:val="22"/>
              </w:rPr>
            </m:ctrlPr>
          </m:fPr>
          <m:num>
            <m:r>
              <w:rPr>
                <w:rFonts w:ascii="Cambria Math" w:hAnsi="Cambria Math"/>
                <w:noProof/>
                <w:sz w:val="22"/>
              </w:rPr>
              <m:t>Número de días naturales desde la fecha de registro hasta el 31 de diciembre</m:t>
            </m:r>
          </m:num>
          <m:den>
            <m:r>
              <w:rPr>
                <w:rFonts w:ascii="Cambria Math" w:hAnsi="Cambria Math"/>
                <w:noProof/>
                <w:sz w:val="22"/>
              </w:rPr>
              <m:t>Número de días naturales del año n</m:t>
            </m:r>
          </m:den>
        </m:f>
      </m:oMath>
      <w:r w:rsidR="002466E3" w:rsidRPr="00CE79EB">
        <w:rPr>
          <w:noProof/>
        </w:rPr>
        <w:t>».</w:t>
      </w:r>
    </w:p>
    <w:p w:rsidR="001810D2" w:rsidRPr="00CE79EB" w:rsidRDefault="00A82EAC" w:rsidP="00A82EAC">
      <w:pPr>
        <w:pStyle w:val="Point0"/>
        <w:rPr>
          <w:noProof/>
        </w:rPr>
      </w:pPr>
      <w:r>
        <w:rPr>
          <w:noProof/>
        </w:rPr>
        <w:t>3)</w:t>
      </w:r>
      <w:r>
        <w:rPr>
          <w:noProof/>
        </w:rPr>
        <w:tab/>
      </w:r>
      <w:r w:rsidR="000D4BD6" w:rsidRPr="00CE79EB">
        <w:rPr>
          <w:noProof/>
        </w:rPr>
        <w:t>El artículo 6 se sustituye por el texto siguiente:</w:t>
      </w:r>
    </w:p>
    <w:p w:rsidR="000D4BD6" w:rsidRPr="00CE79EB" w:rsidRDefault="000D4BD6" w:rsidP="002E36F1">
      <w:pPr>
        <w:tabs>
          <w:tab w:val="left" w:pos="1134"/>
        </w:tabs>
        <w:ind w:left="567"/>
        <w:jc w:val="center"/>
        <w:rPr>
          <w:noProof/>
        </w:rPr>
      </w:pPr>
      <w:r w:rsidRPr="00CE79EB">
        <w:rPr>
          <w:noProof/>
        </w:rPr>
        <w:t>«</w:t>
      </w:r>
      <w:r w:rsidRPr="00CE79EB">
        <w:rPr>
          <w:i/>
          <w:noProof/>
        </w:rPr>
        <w:t>Artículo 6</w:t>
      </w:r>
    </w:p>
    <w:p w:rsidR="000D4BD6" w:rsidRPr="00CE79EB" w:rsidRDefault="000D4BD6" w:rsidP="002E36F1">
      <w:pPr>
        <w:tabs>
          <w:tab w:val="left" w:pos="1134"/>
        </w:tabs>
        <w:ind w:left="567"/>
        <w:jc w:val="center"/>
        <w:rPr>
          <w:b/>
          <w:bCs/>
          <w:noProof/>
        </w:rPr>
      </w:pPr>
      <w:r w:rsidRPr="00CE79EB">
        <w:rPr>
          <w:b/>
          <w:noProof/>
        </w:rPr>
        <w:t>Volumen de negocios aplicable</w:t>
      </w:r>
    </w:p>
    <w:p w:rsidR="000D4BD6" w:rsidRPr="00CE79EB" w:rsidRDefault="000D4BD6" w:rsidP="002E36F1">
      <w:pPr>
        <w:tabs>
          <w:tab w:val="left" w:pos="1134"/>
        </w:tabs>
        <w:ind w:left="567"/>
        <w:rPr>
          <w:noProof/>
        </w:rPr>
      </w:pPr>
      <w:r w:rsidRPr="00CE79EB">
        <w:rPr>
          <w:noProof/>
        </w:rPr>
        <w:t>1.</w:t>
      </w:r>
      <w:r w:rsidRPr="00CE79EB">
        <w:rPr>
          <w:noProof/>
        </w:rPr>
        <w:tab/>
        <w:t>El volumen de negocios aplicable de un administrador de índices de referencia de un tercer país reconocido en un año determinado (n) será el resultado de los ingresos que haya obtenido en relación con la utilización de sus índices de referencia por entidades supervisadas en la Unión, según conste en las cuentas auditadas del ejercicio (n – 2).</w:t>
      </w:r>
    </w:p>
    <w:p w:rsidR="002466E3" w:rsidRPr="00CE79EB" w:rsidRDefault="000D4BD6" w:rsidP="002E36F1">
      <w:pPr>
        <w:tabs>
          <w:tab w:val="left" w:pos="1134"/>
        </w:tabs>
        <w:ind w:left="567"/>
        <w:rPr>
          <w:noProof/>
        </w:rPr>
      </w:pPr>
      <w:r w:rsidRPr="00CE79EB">
        <w:rPr>
          <w:noProof/>
        </w:rPr>
        <w:t>2.</w:t>
      </w:r>
      <w:r w:rsidRPr="00CE79EB">
        <w:rPr>
          <w:noProof/>
        </w:rPr>
        <w:tab/>
        <w:t>Los administradores de índices de referencia de terceros países reconocidos proporcionarán anualmente a la AEVM cifras auditadas que confirmen los ingresos que hayan obtenido en relación con la utilización de sus índices de referencia en la Unión. Las cifras se certificarán mediante una auditoría externa y se presentarán a la AEVM, por medios electrónicos, a más tardar el 30 de septiembre de cada año (n – 1). Los administradores de terceros países reconocidos después del 30 de septiembre facilitarán las cifras inmediatamente después del reconocimiento y antes de que finalice el año civil de reconocimiento. Los administradores de índices de referencia de terceros países reconocidos facilitarán los documentos que contengan las cifras auditadas en una lengua habitual en el sector de los servicios financieros.</w:t>
      </w:r>
    </w:p>
    <w:p w:rsidR="00FA614B" w:rsidRPr="00CE79EB" w:rsidRDefault="002466E3" w:rsidP="002E36F1">
      <w:pPr>
        <w:tabs>
          <w:tab w:val="left" w:pos="1134"/>
        </w:tabs>
        <w:ind w:left="567"/>
        <w:rPr>
          <w:noProof/>
        </w:rPr>
      </w:pPr>
      <w:r w:rsidRPr="00CE79EB">
        <w:rPr>
          <w:noProof/>
        </w:rPr>
        <w:t>3.</w:t>
      </w:r>
      <w:r w:rsidRPr="00CE79EB">
        <w:rPr>
          <w:noProof/>
        </w:rPr>
        <w:tab/>
        <w:t>Cuando el administrador de índices de referencia de un tercer país reconocido no haya ejercido su actividad durante todo el año (n – 2), la AEVM estimará el volumen de negocios aplicable extrapolando, para ese administrador, el valor calculado para el número de meses durante los cuales el administrador de índices de referencia de un tercer país reconocido ejerció su actividad en el año (n– 2) a todo el año (n – 2).</w:t>
      </w:r>
    </w:p>
    <w:p w:rsidR="000D4BD6" w:rsidRPr="00CE79EB" w:rsidRDefault="00F61695" w:rsidP="002E36F1">
      <w:pPr>
        <w:tabs>
          <w:tab w:val="left" w:pos="1134"/>
        </w:tabs>
        <w:ind w:left="567"/>
        <w:rPr>
          <w:noProof/>
        </w:rPr>
      </w:pPr>
      <w:r w:rsidRPr="00CE79EB">
        <w:rPr>
          <w:noProof/>
        </w:rPr>
        <w:t>4.</w:t>
      </w:r>
      <w:r w:rsidRPr="00CE79EB">
        <w:rPr>
          <w:noProof/>
        </w:rPr>
        <w:tab/>
        <w:t>Cuando no se disponga de cuentas auditadas del ejercicio (n – 2), la AEVM utilizará las cuentas auditadas del ejercicio (n – 1).</w:t>
      </w:r>
    </w:p>
    <w:p w:rsidR="000D4BD6" w:rsidRPr="00CE79EB" w:rsidRDefault="00F61695" w:rsidP="002E36F1">
      <w:pPr>
        <w:tabs>
          <w:tab w:val="left" w:pos="1134"/>
        </w:tabs>
        <w:ind w:left="567"/>
        <w:rPr>
          <w:noProof/>
        </w:rPr>
      </w:pPr>
      <w:r w:rsidRPr="00CE79EB">
        <w:rPr>
          <w:noProof/>
        </w:rPr>
        <w:t>5.</w:t>
      </w:r>
      <w:r w:rsidRPr="00CE79EB">
        <w:rPr>
          <w:noProof/>
        </w:rPr>
        <w:tab/>
        <w:t>Cuando los ingresos se comuniquen en una moneda distinta del euro, la AEVM los convertirá a euros utilizando el tipo de cambio medio del euro aplicable al período durante el cual se hayan registrado los ingresos. A tal fin, la AEVM utilizará el tipo de cambio de referencia del euro publicado por el Banco Central Europeo.».</w:t>
      </w:r>
    </w:p>
    <w:p w:rsidR="000D4BD6" w:rsidRPr="00CE79EB" w:rsidRDefault="00A82EAC" w:rsidP="00A82EAC">
      <w:pPr>
        <w:pStyle w:val="Point0"/>
        <w:rPr>
          <w:noProof/>
        </w:rPr>
      </w:pPr>
      <w:r>
        <w:rPr>
          <w:noProof/>
        </w:rPr>
        <w:t>4)</w:t>
      </w:r>
      <w:r>
        <w:rPr>
          <w:noProof/>
        </w:rPr>
        <w:tab/>
      </w:r>
      <w:r w:rsidR="009D0DE1" w:rsidRPr="00CE79EB">
        <w:rPr>
          <w:noProof/>
        </w:rPr>
        <w:t>En el artículo 7, el apartado 2 se sustituye por el texto siguiente:</w:t>
      </w:r>
    </w:p>
    <w:p w:rsidR="00416F53" w:rsidRPr="00CE79EB" w:rsidRDefault="0033663F" w:rsidP="002E36F1">
      <w:pPr>
        <w:pStyle w:val="QuotedNumPar"/>
        <w:tabs>
          <w:tab w:val="left" w:pos="1134"/>
        </w:tabs>
        <w:ind w:left="567" w:firstLine="0"/>
        <w:rPr>
          <w:noProof/>
        </w:rPr>
      </w:pPr>
      <w:r w:rsidRPr="00CE79EB">
        <w:rPr>
          <w:noProof/>
        </w:rPr>
        <w:t>«2.</w:t>
      </w:r>
      <w:r w:rsidRPr="00CE79EB">
        <w:rPr>
          <w:noProof/>
        </w:rPr>
        <w:tab/>
        <w:t>Todo retraso en un pago dará lugar a los intereses de demora establecidos en el artículo 99 del Reglamento (UE, Euratom) 2018/1046 del Parlamento Europeo y del Consejo</w:t>
      </w:r>
      <w:r w:rsidRPr="00CE79EB">
        <w:rPr>
          <w:noProof/>
          <w:vertAlign w:val="superscript"/>
        </w:rPr>
        <w:t>*</w:t>
      </w:r>
      <w:r w:rsidRPr="00CE79EB">
        <w:rPr>
          <w:noProof/>
        </w:rPr>
        <w:t>.</w:t>
      </w:r>
    </w:p>
    <w:p w:rsidR="00416F53" w:rsidRPr="00CE79EB" w:rsidRDefault="00416F53" w:rsidP="002E36F1">
      <w:pPr>
        <w:pStyle w:val="QuotedNumPar"/>
        <w:ind w:left="567" w:firstLine="0"/>
        <w:rPr>
          <w:noProof/>
        </w:rPr>
      </w:pPr>
      <w:r w:rsidRPr="00CE79EB">
        <w:rPr>
          <w:noProof/>
        </w:rPr>
        <w:t>________________</w:t>
      </w:r>
    </w:p>
    <w:p w:rsidR="0033663F" w:rsidRPr="00CE79EB" w:rsidRDefault="00416F53" w:rsidP="002E36F1">
      <w:pPr>
        <w:pStyle w:val="QuotedNumPar"/>
        <w:ind w:left="1276" w:hanging="709"/>
        <w:rPr>
          <w:noProof/>
          <w:sz w:val="20"/>
          <w:szCs w:val="20"/>
        </w:rPr>
      </w:pPr>
      <w:r w:rsidRPr="00CE79EB">
        <w:rPr>
          <w:noProof/>
          <w:sz w:val="20"/>
          <w:vertAlign w:val="superscript"/>
        </w:rPr>
        <w:t>*</w:t>
      </w:r>
      <w:r w:rsidRPr="00CE79EB">
        <w:rPr>
          <w:noProof/>
          <w:sz w:val="20"/>
          <w:vertAlign w:val="superscript"/>
        </w:rPr>
        <w:tab/>
      </w:r>
      <w:r w:rsidRPr="00CE79EB">
        <w:rPr>
          <w:noProof/>
          <w:sz w:val="20"/>
        </w:rPr>
        <w:t>Reglamento (UE, Euratom) 2018/1046 del Parlamento Europeo y del Consejo, de 18 de julio de 2018, sobre las normas financieras aplicables al presupuesto general de la Unión, por el que se modifican los Reglamentos (UE) n.º 1296/2013, (UE) n.º 1301/2013, (UE) n.º 1303/2013, (UE) n.º 1304/2013, (UE) n.º 1309/2013, (UE) n.º 1316/2013, (UE) n.º 223/2014 y (UE) n.º 283/2014 y la Decisión n.º 541/2014/UE y por el que se deroga el Reglamento (UE, Euratom) n.º 966/2012 (DO L 193 de 30.7.2018, p. 1, ELI: http://data.europa.eu/eli/reg/2018/1046/oj</w:t>
      </w:r>
      <w:r w:rsidRPr="00CE79EB">
        <w:rPr>
          <w:noProof/>
        </w:rPr>
        <w:t>.».</w:t>
      </w:r>
    </w:p>
    <w:p w:rsidR="001810D2" w:rsidRPr="00CE79EB" w:rsidRDefault="001810D2" w:rsidP="00A135E3">
      <w:pPr>
        <w:pStyle w:val="Titrearticle"/>
        <w:rPr>
          <w:noProof/>
        </w:rPr>
      </w:pPr>
      <w:r w:rsidRPr="00CE79EB">
        <w:rPr>
          <w:noProof/>
        </w:rPr>
        <w:t>Artículo 2</w:t>
      </w:r>
    </w:p>
    <w:p w:rsidR="008659EC" w:rsidRPr="00CE79EB" w:rsidRDefault="00841D13" w:rsidP="008659EC">
      <w:pPr>
        <w:pStyle w:val="NormalCentered"/>
        <w:rPr>
          <w:b/>
          <w:bCs/>
          <w:noProof/>
        </w:rPr>
      </w:pPr>
      <w:r w:rsidRPr="00CE79EB">
        <w:rPr>
          <w:b/>
          <w:noProof/>
        </w:rPr>
        <w:t>Entrada en vigor</w:t>
      </w:r>
    </w:p>
    <w:p w:rsidR="0079544E" w:rsidRPr="00CE79EB" w:rsidRDefault="001810D2" w:rsidP="0079544E">
      <w:pPr>
        <w:pStyle w:val="Applicationdirecte"/>
        <w:spacing w:before="120"/>
        <w:rPr>
          <w:noProof/>
        </w:rPr>
      </w:pPr>
      <w:r w:rsidRPr="00CE79EB">
        <w:rPr>
          <w:noProof/>
        </w:rPr>
        <w:t xml:space="preserve">El presente Reglamento entrará en vigor a los veinte días de su publicación en el </w:t>
      </w:r>
      <w:r w:rsidRPr="00CE79EB">
        <w:rPr>
          <w:i/>
          <w:noProof/>
        </w:rPr>
        <w:t>Diario Oficial de la Unión Europea</w:t>
      </w:r>
      <w:r w:rsidRPr="00CE79EB">
        <w:rPr>
          <w:noProof/>
        </w:rPr>
        <w:t>. Será aplicable a partir del 1 de enero de 2025.</w:t>
      </w:r>
    </w:p>
    <w:p w:rsidR="001810D2" w:rsidRPr="00CE79EB" w:rsidRDefault="001810D2" w:rsidP="0079544E">
      <w:pPr>
        <w:pStyle w:val="Applicationdirecte"/>
        <w:spacing w:before="120"/>
        <w:rPr>
          <w:noProof/>
        </w:rPr>
      </w:pPr>
      <w:r w:rsidRPr="00CE79EB">
        <w:rPr>
          <w:noProof/>
        </w:rPr>
        <w:t>El presente Reglamento será obligatorio en todos sus elementos y directamente aplicable en cada Estado miembro.</w:t>
      </w:r>
    </w:p>
    <w:p w:rsidR="001810D2" w:rsidRPr="00CE79EB" w:rsidRDefault="009F7D6A" w:rsidP="00E71699">
      <w:pPr>
        <w:pStyle w:val="Fait"/>
        <w:rPr>
          <w:noProof/>
        </w:rPr>
      </w:pPr>
      <w:r>
        <w:rPr>
          <w:noProof/>
        </w:rPr>
        <w:t>Hecho en Bruselas, el 11.3.2024</w:t>
      </w:r>
    </w:p>
    <w:p w:rsidR="001810D2" w:rsidRPr="00CE79EB" w:rsidRDefault="001810D2" w:rsidP="00E71699">
      <w:pPr>
        <w:pStyle w:val="Institutionquisigne"/>
        <w:rPr>
          <w:noProof/>
        </w:rPr>
      </w:pPr>
      <w:r w:rsidRPr="00CE79EB">
        <w:rPr>
          <w:noProof/>
        </w:rPr>
        <w:tab/>
        <w:t>Por la Comisión</w:t>
      </w:r>
    </w:p>
    <w:bookmarkEnd w:id="0"/>
    <w:bookmarkEnd w:id="1"/>
    <w:p w:rsidR="001810D2" w:rsidRPr="00CE79EB" w:rsidRDefault="00181CB1" w:rsidP="001810D2">
      <w:pPr>
        <w:pStyle w:val="Personnequisigne"/>
        <w:rPr>
          <w:noProof/>
        </w:rPr>
      </w:pPr>
      <w:r>
        <w:rPr>
          <w:noProof/>
        </w:rPr>
        <w:tab/>
        <w:t>La Presidenta</w:t>
      </w:r>
      <w:r>
        <w:rPr>
          <w:noProof/>
        </w:rPr>
        <w:br/>
      </w:r>
      <w:r>
        <w:rPr>
          <w:noProof/>
        </w:rPr>
        <w:tab/>
        <w:t>Ursula VON DER LEYEN</w:t>
      </w:r>
    </w:p>
    <w:sectPr w:rsidR="001810D2" w:rsidRPr="00CE79EB" w:rsidSect="00BB2F70">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C21" w:rsidRDefault="00215C21" w:rsidP="001810D2">
      <w:pPr>
        <w:spacing w:before="0" w:after="0"/>
      </w:pPr>
      <w:r>
        <w:separator/>
      </w:r>
    </w:p>
  </w:endnote>
  <w:endnote w:type="continuationSeparator" w:id="0">
    <w:p w:rsidR="00215C21" w:rsidRDefault="00215C21" w:rsidP="001810D2">
      <w:pPr>
        <w:spacing w:before="0" w:after="0"/>
      </w:pPr>
      <w:r>
        <w:continuationSeparator/>
      </w:r>
    </w:p>
  </w:endnote>
  <w:endnote w:type="continuationNotice" w:id="1">
    <w:p w:rsidR="00215C21" w:rsidRDefault="00215C2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70" w:rsidRPr="00BB2F70" w:rsidRDefault="00BB2F70" w:rsidP="00BB2F70">
    <w:pPr>
      <w:pStyle w:val="Footer"/>
      <w:rPr>
        <w:rFonts w:ascii="Arial" w:hAnsi="Arial" w:cs="Arial"/>
        <w:b/>
        <w:sz w:val="48"/>
      </w:rPr>
    </w:pPr>
    <w:r w:rsidRPr="00BB2F70">
      <w:rPr>
        <w:rFonts w:ascii="Arial" w:hAnsi="Arial" w:cs="Arial"/>
        <w:b/>
        <w:sz w:val="48"/>
      </w:rPr>
      <w:t>ES</w:t>
    </w:r>
    <w:r w:rsidRPr="00BB2F70">
      <w:rPr>
        <w:rFonts w:ascii="Arial" w:hAnsi="Arial" w:cs="Arial"/>
        <w:b/>
        <w:sz w:val="48"/>
      </w:rPr>
      <w:tab/>
    </w:r>
    <w:r w:rsidRPr="00BB2F70">
      <w:rPr>
        <w:rFonts w:ascii="Arial" w:hAnsi="Arial" w:cs="Arial"/>
        <w:b/>
        <w:sz w:val="48"/>
      </w:rPr>
      <w:tab/>
    </w:r>
    <w:r w:rsidRPr="00BB2F70">
      <w:tab/>
    </w:r>
    <w:r w:rsidRPr="00BB2F70">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70" w:rsidRPr="00BB2F70" w:rsidRDefault="00BB2F70" w:rsidP="00BB2F70">
    <w:pPr>
      <w:pStyle w:val="Footer"/>
      <w:rPr>
        <w:rFonts w:ascii="Arial" w:hAnsi="Arial" w:cs="Arial"/>
        <w:b/>
        <w:sz w:val="48"/>
      </w:rPr>
    </w:pPr>
    <w:r w:rsidRPr="00BB2F70">
      <w:rPr>
        <w:rFonts w:ascii="Arial" w:hAnsi="Arial" w:cs="Arial"/>
        <w:b/>
        <w:sz w:val="48"/>
      </w:rPr>
      <w:t>ES</w:t>
    </w:r>
    <w:r w:rsidRPr="00BB2F70">
      <w:rPr>
        <w:rFonts w:ascii="Arial" w:hAnsi="Arial" w:cs="Arial"/>
        <w:b/>
        <w:sz w:val="48"/>
      </w:rPr>
      <w:tab/>
    </w:r>
    <w:r w:rsidRPr="00BB2F70">
      <w:rPr>
        <w:rFonts w:ascii="Arial" w:hAnsi="Arial" w:cs="Arial"/>
        <w:b/>
        <w:sz w:val="48"/>
      </w:rPr>
      <w:tab/>
    </w:r>
    <w:r w:rsidRPr="00BB2F70">
      <w:tab/>
    </w:r>
    <w:r w:rsidRPr="00BB2F70">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70" w:rsidRDefault="00BB2F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70" w:rsidRPr="00BB2F70" w:rsidRDefault="00BB2F70" w:rsidP="00BB2F70">
    <w:pPr>
      <w:pStyle w:val="Footer"/>
      <w:rPr>
        <w:rFonts w:ascii="Arial" w:hAnsi="Arial" w:cs="Arial"/>
        <w:b/>
        <w:sz w:val="48"/>
      </w:rPr>
    </w:pPr>
    <w:r w:rsidRPr="00BB2F70">
      <w:rPr>
        <w:rFonts w:ascii="Arial" w:hAnsi="Arial" w:cs="Arial"/>
        <w:b/>
        <w:sz w:val="48"/>
      </w:rPr>
      <w:t>ES</w:t>
    </w:r>
    <w:r w:rsidRPr="00BB2F70">
      <w:rPr>
        <w:rFonts w:ascii="Arial" w:hAnsi="Arial" w:cs="Arial"/>
        <w:b/>
        <w:sz w:val="48"/>
      </w:rPr>
      <w:tab/>
    </w:r>
    <w:r>
      <w:fldChar w:fldCharType="begin"/>
    </w:r>
    <w:r>
      <w:instrText xml:space="preserve"> PAGE  \* MERGEFORMAT </w:instrText>
    </w:r>
    <w:r>
      <w:fldChar w:fldCharType="separate"/>
    </w:r>
    <w:r w:rsidR="00E71699">
      <w:rPr>
        <w:noProof/>
      </w:rPr>
      <w:t>7</w:t>
    </w:r>
    <w:r>
      <w:fldChar w:fldCharType="end"/>
    </w:r>
    <w:r>
      <w:tab/>
    </w:r>
    <w:r w:rsidRPr="00BB2F70">
      <w:tab/>
    </w:r>
    <w:r w:rsidRPr="00BB2F70">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70" w:rsidRDefault="00BB2F70" w:rsidP="00BB2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C21" w:rsidRDefault="00215C21" w:rsidP="001810D2">
      <w:pPr>
        <w:spacing w:before="0" w:after="0"/>
      </w:pPr>
      <w:r>
        <w:separator/>
      </w:r>
    </w:p>
  </w:footnote>
  <w:footnote w:type="continuationSeparator" w:id="0">
    <w:p w:rsidR="00215C21" w:rsidRDefault="00215C21" w:rsidP="001810D2">
      <w:pPr>
        <w:spacing w:before="0" w:after="0"/>
      </w:pPr>
      <w:r>
        <w:continuationSeparator/>
      </w:r>
    </w:p>
  </w:footnote>
  <w:footnote w:type="continuationNotice" w:id="1">
    <w:p w:rsidR="00215C21" w:rsidRDefault="00215C21">
      <w:pPr>
        <w:spacing w:before="0" w:after="0"/>
      </w:pPr>
    </w:p>
  </w:footnote>
  <w:footnote w:id="2">
    <w:p w:rsidR="00794EEA" w:rsidRPr="00CE79EB" w:rsidRDefault="00794EEA" w:rsidP="00794EEA">
      <w:pPr>
        <w:pStyle w:val="FootnoteText"/>
        <w:rPr>
          <w:lang w:val="es-ES"/>
        </w:rPr>
      </w:pPr>
      <w:r>
        <w:rPr>
          <w:rStyle w:val="FootnoteReference"/>
        </w:rPr>
        <w:footnoteRef/>
      </w:r>
      <w:r w:rsidRPr="00CE79EB">
        <w:rPr>
          <w:lang w:val="es-ES"/>
        </w:rPr>
        <w:tab/>
        <w:t>Reglamento Delegado (UE) n.º 272/2012 de la Comisión, de 7 de febrero de 2012, por el que se completa el Reglamento (CE) n.º 1060/2009 del Parlamento Europeo y del Consejo en relación con las tasas que deben pagar las agencias de calificación crediticia a la Autoridad Europea de Valores y Mercados (DO L 90 de 28.3.2012, p. 6);</w:t>
      </w:r>
    </w:p>
    <w:p w:rsidR="00794EEA" w:rsidRPr="00CE79EB" w:rsidRDefault="00794EEA" w:rsidP="00794EEA">
      <w:pPr>
        <w:pStyle w:val="FootnoteText"/>
        <w:ind w:firstLine="0"/>
        <w:rPr>
          <w:lang w:val="es-ES"/>
        </w:rPr>
      </w:pPr>
      <w:r w:rsidRPr="00CE79EB">
        <w:rPr>
          <w:lang w:val="es-ES"/>
        </w:rPr>
        <w:t>Reglamento Delegado (UE) n.º 1003/2013 de la Comisión, de 12 de julio de 2013, por el que se completa el Reglamento (UE) n.º 648/2012 del Parlamento Europeo y del Consejo en relación con las tasas que deben pagar los registros de operaciones a la Autoridad Europea de Valores y Mercados (DO L 279 de 19.10.2013, p. 4);</w:t>
      </w:r>
    </w:p>
    <w:p w:rsidR="00794EEA" w:rsidRPr="00CE79EB" w:rsidRDefault="00794EEA" w:rsidP="00794EEA">
      <w:pPr>
        <w:pStyle w:val="FootnoteText"/>
        <w:ind w:firstLine="0"/>
        <w:rPr>
          <w:lang w:val="es-ES"/>
        </w:rPr>
      </w:pPr>
      <w:r w:rsidRPr="00CE79EB">
        <w:rPr>
          <w:lang w:val="es-ES"/>
        </w:rPr>
        <w:t>Reglamento Delegado (UE) 2019/360 de la Comisión, de 13 de diciembre de 2018, por el que se completa el Reglamento (UE) 2015/2365 del Parlamento Europeo y del Consejo en relación con las tasas que deben pagar los registros de operaciones a la Autoridad Europea de Valores y Mercados (DO L 81 de 22.3.2019, p. 58);</w:t>
      </w:r>
    </w:p>
    <w:p w:rsidR="00794EEA" w:rsidRPr="00CE79EB" w:rsidRDefault="00794EEA" w:rsidP="00794EEA">
      <w:pPr>
        <w:pStyle w:val="FootnoteText"/>
        <w:ind w:firstLine="0"/>
        <w:rPr>
          <w:lang w:val="es-ES"/>
        </w:rPr>
      </w:pPr>
      <w:r w:rsidRPr="00CE79EB">
        <w:rPr>
          <w:lang w:val="es-ES"/>
        </w:rPr>
        <w:t>Reglamento Delegado (UE) 2020/1732 de la Comisión, de 18 de septiembre de 2020, por el que se completa el Reglamento (UE) 2017/2402 del Parlamento Europeo y del Consejo en relación con las tasas que deben abonar los registros de titulizaciones a la Autoridad Europea de Valores y Mercados (DO L 390 de 20.11.2020, p. 1);</w:t>
      </w:r>
    </w:p>
    <w:p w:rsidR="00794EEA" w:rsidRPr="00CE79EB" w:rsidRDefault="00794EEA" w:rsidP="00794EEA">
      <w:pPr>
        <w:pStyle w:val="FootnoteText"/>
        <w:ind w:firstLine="0"/>
        <w:rPr>
          <w:lang w:val="es-ES"/>
        </w:rPr>
      </w:pPr>
      <w:r w:rsidRPr="00CE79EB">
        <w:rPr>
          <w:lang w:val="es-ES"/>
        </w:rPr>
        <w:t>Reglamento Delegado (UE) 2022/805 de la Comisión, de 16 de febrero de 2022, por el que se completa el Reglamento (UE) 2016/1011 del Parlamento Europeo y del Consejo mediante la especificación de las tasas aplicables a la supervisión por parte de la Autoridad Europea de Valores y Mercados de determinados administradores de índices de referencia (DO L 145 de 24.5.2022, p. 14);</w:t>
      </w:r>
    </w:p>
    <w:p w:rsidR="00794EEA" w:rsidRPr="00CE79EB" w:rsidRDefault="00794EEA" w:rsidP="00794EEA">
      <w:pPr>
        <w:pStyle w:val="FootnoteText"/>
        <w:ind w:firstLine="0"/>
        <w:rPr>
          <w:lang w:val="es-ES"/>
        </w:rPr>
      </w:pPr>
      <w:r w:rsidRPr="00CE79EB">
        <w:rPr>
          <w:lang w:val="es-ES"/>
        </w:rPr>
        <w:t>Reglamento Delegado (UE) 2020/1302 de la Comisión, de 14 de julio de 2020, por el que se completa el Reglamento (UE) n.º 648/2012 del Parlamento Europeo y del Consejo en relación con las tasas que deben pagar las entidades de contrapartida central establecidas en terceros países a la Autoridad Europea de Valores y Mercados (DO L 305 de 21.9.2020, p. 1);</w:t>
      </w:r>
    </w:p>
    <w:p w:rsidR="00794EEA" w:rsidRPr="00CE79EB" w:rsidRDefault="00794EEA" w:rsidP="00794EEA">
      <w:pPr>
        <w:pStyle w:val="FootnoteText"/>
        <w:ind w:firstLine="0"/>
        <w:rPr>
          <w:lang w:val="es-ES"/>
        </w:rPr>
      </w:pPr>
      <w:r w:rsidRPr="00CE79EB">
        <w:rPr>
          <w:lang w:val="es-ES"/>
        </w:rPr>
        <w:t>Reglamento Delegado (UE) 2022/930 de la Comisión, de 10 de marzo de 2022, por el que se completa el Reglamento (UE) n.º 600/2014 del Parlamento Europeo y del Consejo mediante la especificación de las tasas relativas a la supervisión por parte de la Autoridad Europea de Valores y Mercados de servicios de suministro de datos (DO L 162 de 17.6.2022, p. 1);</w:t>
      </w:r>
    </w:p>
  </w:footnote>
  <w:footnote w:id="3">
    <w:p w:rsidR="009B7839" w:rsidRPr="00CE79EB" w:rsidRDefault="009B7839" w:rsidP="009B7839">
      <w:pPr>
        <w:pStyle w:val="FootnoteText"/>
        <w:rPr>
          <w:lang w:val="es-ES"/>
        </w:rPr>
      </w:pPr>
      <w:r>
        <w:rPr>
          <w:rStyle w:val="FootnoteReference"/>
        </w:rPr>
        <w:footnoteRef/>
      </w:r>
      <w:r w:rsidRPr="00CE79EB">
        <w:rPr>
          <w:lang w:val="es-ES"/>
        </w:rPr>
        <w:tab/>
        <w:t xml:space="preserve">Tribunal de Cuentas Europeo, </w:t>
      </w:r>
      <w:r w:rsidRPr="00CE79EB">
        <w:rPr>
          <w:i/>
          <w:lang w:val="es-ES"/>
        </w:rPr>
        <w:t>2018 audit of EU agencies in brief – Introducing the European Court of Auditors' 2018 annual report on EU agencies</w:t>
      </w:r>
      <w:r w:rsidRPr="00CE79EB">
        <w:rPr>
          <w:lang w:val="es-ES"/>
        </w:rPr>
        <w:t xml:space="preserve"> [Resumen de la auditoría de 2018 de las agencias de la UE: presentación del Informe Anual del Tribunal de Cuentas Europeo de 2018 sobre las agencias de la UE (documento en inglés)], Oficina de Publicaciones de la Unión Europea, 2019, https://data.europa.eu/doi/10.2865/74246.</w:t>
      </w:r>
    </w:p>
  </w:footnote>
  <w:footnote w:id="4">
    <w:p w:rsidR="00794EEA" w:rsidRPr="00CE79EB" w:rsidRDefault="00794EEA">
      <w:pPr>
        <w:pStyle w:val="FootnoteText"/>
        <w:rPr>
          <w:lang w:val="es-ES"/>
        </w:rPr>
      </w:pPr>
      <w:r>
        <w:rPr>
          <w:rStyle w:val="FootnoteReference"/>
        </w:rPr>
        <w:footnoteRef/>
      </w:r>
      <w:r w:rsidRPr="00CE79EB">
        <w:rPr>
          <w:lang w:val="es-ES"/>
        </w:rPr>
        <w:tab/>
      </w:r>
      <w:r w:rsidRPr="00CE79EB">
        <w:rPr>
          <w:i/>
          <w:lang w:val="es-ES"/>
        </w:rPr>
        <w:t>Technical Advice on Fees Charged to CRAs by ESMA</w:t>
      </w:r>
      <w:r w:rsidRPr="00CE79EB">
        <w:rPr>
          <w:lang w:val="es-ES"/>
        </w:rPr>
        <w:t xml:space="preserve"> [Asesoramiento técnico sobre las tasas que deben abonar las agencias de calificación crediticia a la AEVM (documento en inglés)], 21 de junio de 2021. ESMA80-196-5170, </w:t>
      </w:r>
      <w:hyperlink r:id="rId1" w:history="1">
        <w:r w:rsidRPr="00CE79EB">
          <w:rPr>
            <w:rStyle w:val="Hyperlink"/>
            <w:lang w:val="es-ES"/>
          </w:rPr>
          <w:t>https://www.esma.europa.eu/sites/default/files/library/esma80-196-5170_final_report_technical_advice_on_fees_charged_to_cras_by_esma_0.pdf</w:t>
        </w:r>
      </w:hyperlink>
    </w:p>
  </w:footnote>
  <w:footnote w:id="5">
    <w:p w:rsidR="005E2DF8" w:rsidRPr="00CE79EB" w:rsidRDefault="005E2DF8" w:rsidP="005E2DF8">
      <w:pPr>
        <w:pStyle w:val="FootnoteText"/>
        <w:rPr>
          <w:lang w:val="es-ES"/>
        </w:rPr>
      </w:pPr>
      <w:r>
        <w:rPr>
          <w:rStyle w:val="FootnoteReference"/>
        </w:rPr>
        <w:footnoteRef/>
      </w:r>
      <w:r w:rsidRPr="00CE79EB">
        <w:rPr>
          <w:lang w:val="es-ES"/>
        </w:rPr>
        <w:tab/>
      </w:r>
      <w:r w:rsidRPr="00CE79EB">
        <w:rPr>
          <w:i/>
          <w:lang w:val="es-ES"/>
        </w:rPr>
        <w:t>Technical advice to EC on simplification and harmonisation of fees to TRs under EMIR and SFTR</w:t>
      </w:r>
      <w:r w:rsidRPr="00CE79EB">
        <w:rPr>
          <w:lang w:val="es-ES"/>
        </w:rPr>
        <w:t xml:space="preserve"> [Asesoramiento técnico a la CE sobre la simplificación y armonización de las tasas a los registros de operaciones en virtud del Reglamento relativo a los derivados extrabursátiles, las entidades de contrapartida central y los registros de operaciones y del Reglamento sobre las operaciones de financiación de valores (documento en inglés)], 8 de julio de 2021, ESMA74-362-1978,</w:t>
      </w:r>
    </w:p>
    <w:p w:rsidR="005E2DF8" w:rsidRPr="00CE79EB" w:rsidRDefault="005E2DF8" w:rsidP="005E2DF8">
      <w:pPr>
        <w:pStyle w:val="FootnoteText"/>
        <w:rPr>
          <w:lang w:val="es-ES"/>
        </w:rPr>
      </w:pPr>
      <w:r w:rsidRPr="00CE79EB">
        <w:rPr>
          <w:lang w:val="es-ES"/>
        </w:rPr>
        <w:tab/>
        <w:t>https://www.esma.europa.eu/sites/default/files/library/esma74-362-1978_final_report_technical_advice_on_simplification_tr_fees_under_sftr_and_emir.pdf</w:t>
      </w:r>
    </w:p>
  </w:footnote>
  <w:footnote w:id="6">
    <w:p w:rsidR="00C278D6" w:rsidRPr="00CE79EB" w:rsidRDefault="00C278D6" w:rsidP="00C278D6">
      <w:pPr>
        <w:pStyle w:val="FootnoteText"/>
        <w:rPr>
          <w:lang w:val="es-ES"/>
        </w:rPr>
      </w:pPr>
      <w:r>
        <w:rPr>
          <w:rStyle w:val="FootnoteReference"/>
        </w:rPr>
        <w:footnoteRef/>
      </w:r>
      <w:r w:rsidRPr="00CE79EB">
        <w:rPr>
          <w:lang w:val="es-ES"/>
        </w:rPr>
        <w:tab/>
        <w:t>Reglamento Delegado (UE) 2020/1302 de la Comisión.</w:t>
      </w:r>
    </w:p>
  </w:footnote>
  <w:footnote w:id="7">
    <w:p w:rsidR="00C278D6" w:rsidRPr="00CE79EB" w:rsidRDefault="00C278D6" w:rsidP="00C278D6">
      <w:pPr>
        <w:pStyle w:val="FootnoteText"/>
        <w:rPr>
          <w:lang w:val="es-ES"/>
        </w:rPr>
      </w:pPr>
      <w:r>
        <w:rPr>
          <w:rStyle w:val="FootnoteReference"/>
        </w:rPr>
        <w:footnoteRef/>
      </w:r>
      <w:r w:rsidRPr="00CE79EB">
        <w:rPr>
          <w:lang w:val="es-ES"/>
        </w:rPr>
        <w:tab/>
        <w:t>Reglamento Delegado (UE) 2022/930 de la Comisión.</w:t>
      </w:r>
    </w:p>
  </w:footnote>
  <w:footnote w:id="8">
    <w:p w:rsidR="001810D2" w:rsidRPr="00CE79EB" w:rsidRDefault="001810D2" w:rsidP="007E6923">
      <w:pPr>
        <w:pStyle w:val="FootnoteText"/>
        <w:rPr>
          <w:lang w:val="es-ES"/>
        </w:rPr>
      </w:pPr>
      <w:r>
        <w:rPr>
          <w:rStyle w:val="FootnoteReference"/>
        </w:rPr>
        <w:footnoteRef/>
      </w:r>
      <w:r w:rsidRPr="00CE79EB">
        <w:rPr>
          <w:lang w:val="es-ES"/>
        </w:rPr>
        <w:tab/>
      </w:r>
      <w:r w:rsidRPr="00A82EAC">
        <w:rPr>
          <w:rStyle w:val="FootnoteTextChar"/>
          <w:lang w:val="es-ES"/>
        </w:rPr>
        <w:t>DO L 171 de 29.6.2016, p. 1, ELI: http://data.europa.eu/eli/reg/2016/1011/oj.</w:t>
      </w:r>
      <w:r w:rsidRPr="00CE79EB">
        <w:rPr>
          <w:lang w:val="es-ES"/>
        </w:rPr>
        <w:t xml:space="preserve"> </w:t>
      </w:r>
    </w:p>
  </w:footnote>
  <w:footnote w:id="9">
    <w:p w:rsidR="007E6923" w:rsidRPr="00CE79EB" w:rsidRDefault="007E6923">
      <w:pPr>
        <w:pStyle w:val="FootnoteText"/>
        <w:rPr>
          <w:lang w:val="es-ES"/>
        </w:rPr>
      </w:pPr>
      <w:r>
        <w:rPr>
          <w:rStyle w:val="FootnoteReference"/>
        </w:rPr>
        <w:footnoteRef/>
      </w:r>
      <w:r w:rsidRPr="00CE79EB">
        <w:rPr>
          <w:lang w:val="es-ES"/>
        </w:rPr>
        <w:tab/>
        <w:t>Reglamento Delegado (UE) 2022/805 de la Comisión, de 16 de febrero de 2022, por el que se completa el Reglamento (UE) 2016/1011 del Parlamento Europeo y del Consejo mediante la especificación de las tasas aplicables a la supervisión por parte de la Autoridad Europea de Valores y Mercados de determinados administradores de índices de referencia (DO L 145 de 24.5.2022, p. 14, ELI: http://data.europa.eu/eli/reg_del/2022/805/oj).</w:t>
      </w:r>
    </w:p>
  </w:footnote>
  <w:footnote w:id="10">
    <w:p w:rsidR="007E6923" w:rsidRPr="00CE79EB" w:rsidRDefault="007E6923">
      <w:pPr>
        <w:pStyle w:val="FootnoteText"/>
        <w:rPr>
          <w:lang w:val="es-ES"/>
        </w:rPr>
      </w:pPr>
      <w:r>
        <w:rPr>
          <w:rStyle w:val="FootnoteReference"/>
        </w:rPr>
        <w:footnoteRef/>
      </w:r>
      <w:r w:rsidRPr="00CE79EB">
        <w:rPr>
          <w:lang w:val="es-ES"/>
        </w:rPr>
        <w:tab/>
        <w:t>Tribunal de cuentas Europeo, Informe anual sobre las agencias de la UE correspondiente al ejercicio 2018 (DO C 417 de 11.12.2019, p.29 y p.85).</w:t>
      </w:r>
    </w:p>
  </w:footnote>
  <w:footnote w:id="11">
    <w:p w:rsidR="006624D3" w:rsidRPr="00CE79EB" w:rsidRDefault="006624D3" w:rsidP="006624D3">
      <w:pPr>
        <w:pStyle w:val="FootnoteText"/>
        <w:rPr>
          <w:lang w:val="es-ES"/>
        </w:rPr>
      </w:pPr>
      <w:r>
        <w:rPr>
          <w:rStyle w:val="FootnoteReference"/>
        </w:rPr>
        <w:footnoteRef/>
      </w:r>
      <w:r w:rsidRPr="00CE79EB">
        <w:rPr>
          <w:lang w:val="es-ES"/>
        </w:rPr>
        <w:tab/>
        <w:t>Reglamento Delegado (UE) 2019/715 de la Comisión, de 18 de diciembre de 2018, relativo al Reglamento Financiero marco de los organismos creados en virtud del TFUE y el Tratado Euratom y a los que se refiere el artículo 70 del Reglamento (UE, Euratom) 2018/1046 del Parlamento Europeo y del Consejo (DO L 122 de 10.5.2019, p. 1, ELI: http://data.europa.eu/eli/reg_del/2019/715/oj).</w:t>
      </w:r>
    </w:p>
  </w:footnote>
  <w:footnote w:id="12">
    <w:p w:rsidR="007E6923" w:rsidRPr="00CE79EB" w:rsidRDefault="007E6923" w:rsidP="007E6923">
      <w:pPr>
        <w:pStyle w:val="FootnoteText"/>
        <w:rPr>
          <w:lang w:val="es-ES"/>
        </w:rPr>
      </w:pPr>
      <w:r>
        <w:rPr>
          <w:rStyle w:val="FootnoteReference"/>
        </w:rPr>
        <w:footnoteRef/>
      </w:r>
      <w:r w:rsidRPr="00CE79EB">
        <w:rPr>
          <w:lang w:val="es-ES"/>
        </w:rPr>
        <w:tab/>
        <w:t>Reglamento (UE, Euratom) 2018/1046 del Parlamento Europeo y del Consejo, de 18 de julio de 2018, sobre las normas financieras aplicables al presupuesto general de la Unión, por el que se modifican los Reglamentos (UE) n.º 1296/2013, (UE) n.º 1301/2013, (UE) n.º 1303/2013, (UE) n.º 1304/2013, (UE) n.º 1309/2013, (UE) n.º 1316/2013, (UE) n.º 223/2014 y (UE) n.º 283/2014 y la Decisión n.º 541/2014/UE y por el que se deroga el Reglamento (UE, Euratom) n.º 966/2012 (DO L 193 de 30.7.2018, p. 1, ELI: http://data.europa.eu/eli/reg/2018/1046/oj).</w:t>
      </w:r>
    </w:p>
    <w:p w:rsidR="007E6923" w:rsidRPr="00CE79EB" w:rsidRDefault="007E6923">
      <w:pPr>
        <w:pStyle w:val="FootnoteText"/>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70" w:rsidRDefault="00BB2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2F70" w:rsidRDefault="00BB2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B0204FC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67F6AF5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3AA632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EE4679D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lvlOverride w:ilvl="0">
      <w:startOverride w:val="1"/>
    </w:lvlOverride>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2"/>
  </w:compat>
  <w:docVars>
    <w:docVar w:name="CR_RefLast" w:val="0"/>
    <w:docVar w:name="DQCDateTime" w:val="2024-03-04 09:15:1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A1B3FB6E-418D-4224-BDDA-1E154E26C5A8"/>
    <w:docVar w:name="LW_COVERPAGE_TYPE" w:val="1"/>
    <w:docVar w:name="LW_CROSSREFERENCE" w:val="&lt;UNUSED&gt;"/>
    <w:docVar w:name="LW_DATE.ADOPT.CP" w:val="de 11.3.2024"/>
    <w:docVar w:name="LW_DATE.ADOPT.CP_DATEFORMAT" w:val="de %DATE%"/>
    <w:docVar w:name="LW_DATE.ADOPT.CP_ISODATE" w:val="2024-03-11"/>
    <w:docVar w:name="LW_DocType" w:val="COM"/>
    <w:docVar w:name="LW_EMISSION" w:val="11.3.2024"/>
    <w:docVar w:name="LW_EMISSION_ISODATE" w:val="2024-03-11"/>
    <w:docVar w:name="LW_EMISSION_LOCATION" w:val="BRX"/>
    <w:docVar w:name="LW_EMISSION_PREFIX" w:val="Bruselas, "/>
    <w:docVar w:name="LW_EMISSION_SUFFIX" w:val=" "/>
    <w:docVar w:name="LW_ID_DOCMODEL" w:val="SJ-003"/>
    <w:docVar w:name="LW_ID_DOCSIGNATURE" w:val="SJ-003"/>
    <w:docVar w:name="LW_ID_DOCSTRUCTURE" w:val="COM/AA"/>
    <w:docVar w:name="LW_ID_DOCTYPE" w:val="SJ-003"/>
    <w:docVar w:name="LW_INSERT_EXP.MOTIFS.NEW" w:val="1"/>
    <w:docVar w:name="LW_INTERETEEE" w:val="(Texto pertinente a efectos del EEE)"/>
    <w:docVar w:name="LW_INTERETEEE.CP" w:val="(Texto pertinente a efectos del EEE)"/>
    <w:docVar w:name="LW_LANGUE" w:val="ES"/>
    <w:docVar w:name="LW_LANGUESFAISANTFOI.CP" w:val="&lt;UNUSED&gt;"/>
    <w:docVar w:name="LW_LEVEL_OF_SENSITIVITY" w:val="Standard treatment"/>
    <w:docVar w:name="LW_NOM.INST" w:val="COMISIÓN EUROPEA"/>
    <w:docVar w:name="LW_NOM.INST_JOINTDOC" w:val="&lt;EMPTY&gt;"/>
    <w:docVar w:name="LW_PART_NBR" w:val="1"/>
    <w:docVar w:name="LW_PART_NBR_TOTAL" w:val="1"/>
    <w:docVar w:name="LW_REF.INST.NEW" w:val="C"/>
    <w:docVar w:name="LW_REF.INST.NEW_ADOPTED" w:val="final"/>
    <w:docVar w:name="LW_REF.INST.NEW_TEXT" w:val="(2024) 1426"/>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 w:val="por el que se modifica el Reglamento Delegado (UE) 2022/805 en lo que respecta a la armonización de determinados aspectos de las tasas que deben pagar determinados administradores de índices de referencia a la Autoridad Europea de Valores y Mercados"/>
    <w:docVar w:name="LW_TITRE.OBJ.CP" w:val="por el que se modifica el Reglamento Delegado (UE) 2022/805 en lo que respecta a la armonización de determinados aspectos de las tasas que deben pagar determinados administradores de índices de referencia a la Autoridad Europea de Valores y Mercados"/>
    <w:docVar w:name="LW_TYPE.DOC" w:val="REGLAMENTO DELEGADO (UE) \u8230?/... DE LA COMISIÓN"/>
    <w:docVar w:name="LW_TYPE.DOC.CP" w:val="REGLAMENTO DELEGADO (UE) \u8230?/... DE LA COMISIÓN"/>
    <w:docVar w:name="LwApiVersions" w:val="LW4CoDe 1.24.5.0; LW 9.0, Build 20240221"/>
  </w:docVars>
  <w:rsids>
    <w:rsidRoot w:val="001810D2"/>
    <w:rsid w:val="00005819"/>
    <w:rsid w:val="00006343"/>
    <w:rsid w:val="00021BB7"/>
    <w:rsid w:val="000246AB"/>
    <w:rsid w:val="00036FFC"/>
    <w:rsid w:val="00037E3A"/>
    <w:rsid w:val="00040DD8"/>
    <w:rsid w:val="0004428F"/>
    <w:rsid w:val="00053553"/>
    <w:rsid w:val="00056D18"/>
    <w:rsid w:val="00071FE6"/>
    <w:rsid w:val="0008418D"/>
    <w:rsid w:val="00085207"/>
    <w:rsid w:val="00091F21"/>
    <w:rsid w:val="000A4FB1"/>
    <w:rsid w:val="000B2979"/>
    <w:rsid w:val="000D1C1C"/>
    <w:rsid w:val="000D4BD6"/>
    <w:rsid w:val="000E7B55"/>
    <w:rsid w:val="00103E9C"/>
    <w:rsid w:val="00104AF6"/>
    <w:rsid w:val="001065F5"/>
    <w:rsid w:val="0011163A"/>
    <w:rsid w:val="001238EF"/>
    <w:rsid w:val="001246B5"/>
    <w:rsid w:val="0013185A"/>
    <w:rsid w:val="00133C06"/>
    <w:rsid w:val="00160048"/>
    <w:rsid w:val="00176756"/>
    <w:rsid w:val="001810D2"/>
    <w:rsid w:val="00181CB1"/>
    <w:rsid w:val="00190C1A"/>
    <w:rsid w:val="00196829"/>
    <w:rsid w:val="00197613"/>
    <w:rsid w:val="001C2CA4"/>
    <w:rsid w:val="001E16E0"/>
    <w:rsid w:val="001F5FF6"/>
    <w:rsid w:val="001F675B"/>
    <w:rsid w:val="00215C21"/>
    <w:rsid w:val="00225B99"/>
    <w:rsid w:val="00231C7D"/>
    <w:rsid w:val="00233BAB"/>
    <w:rsid w:val="00233DC7"/>
    <w:rsid w:val="00240134"/>
    <w:rsid w:val="002406E8"/>
    <w:rsid w:val="00245DD5"/>
    <w:rsid w:val="002466E3"/>
    <w:rsid w:val="0024681B"/>
    <w:rsid w:val="00247779"/>
    <w:rsid w:val="0028107E"/>
    <w:rsid w:val="00281687"/>
    <w:rsid w:val="002847DE"/>
    <w:rsid w:val="002859B3"/>
    <w:rsid w:val="00285BEE"/>
    <w:rsid w:val="0029378B"/>
    <w:rsid w:val="0029533F"/>
    <w:rsid w:val="00295DC2"/>
    <w:rsid w:val="002A1CB2"/>
    <w:rsid w:val="002A319A"/>
    <w:rsid w:val="002B30AF"/>
    <w:rsid w:val="002C0E73"/>
    <w:rsid w:val="002E36F1"/>
    <w:rsid w:val="002E63F2"/>
    <w:rsid w:val="002F665D"/>
    <w:rsid w:val="00316F2E"/>
    <w:rsid w:val="0032481F"/>
    <w:rsid w:val="0033322E"/>
    <w:rsid w:val="0033344A"/>
    <w:rsid w:val="0033663F"/>
    <w:rsid w:val="00360560"/>
    <w:rsid w:val="003720FB"/>
    <w:rsid w:val="00376496"/>
    <w:rsid w:val="00376679"/>
    <w:rsid w:val="0038103E"/>
    <w:rsid w:val="00382297"/>
    <w:rsid w:val="003870F9"/>
    <w:rsid w:val="003D45DA"/>
    <w:rsid w:val="003E4959"/>
    <w:rsid w:val="003E626B"/>
    <w:rsid w:val="003F48C9"/>
    <w:rsid w:val="003F6932"/>
    <w:rsid w:val="00411DAB"/>
    <w:rsid w:val="00412142"/>
    <w:rsid w:val="00416F53"/>
    <w:rsid w:val="00422BBE"/>
    <w:rsid w:val="0042648E"/>
    <w:rsid w:val="00445B5F"/>
    <w:rsid w:val="0044632C"/>
    <w:rsid w:val="0045101C"/>
    <w:rsid w:val="00465A15"/>
    <w:rsid w:val="00466A12"/>
    <w:rsid w:val="00471112"/>
    <w:rsid w:val="0047630E"/>
    <w:rsid w:val="00486E02"/>
    <w:rsid w:val="004936D2"/>
    <w:rsid w:val="004A469C"/>
    <w:rsid w:val="004A54D1"/>
    <w:rsid w:val="004B25F2"/>
    <w:rsid w:val="004C2439"/>
    <w:rsid w:val="004C6981"/>
    <w:rsid w:val="004D02A4"/>
    <w:rsid w:val="004D18D6"/>
    <w:rsid w:val="004E338E"/>
    <w:rsid w:val="004E44FE"/>
    <w:rsid w:val="004F163D"/>
    <w:rsid w:val="00502E26"/>
    <w:rsid w:val="00504F0E"/>
    <w:rsid w:val="00510211"/>
    <w:rsid w:val="005375D6"/>
    <w:rsid w:val="00541E52"/>
    <w:rsid w:val="00551025"/>
    <w:rsid w:val="0055499B"/>
    <w:rsid w:val="005552E6"/>
    <w:rsid w:val="00560D77"/>
    <w:rsid w:val="00571BD8"/>
    <w:rsid w:val="00584E72"/>
    <w:rsid w:val="005871CD"/>
    <w:rsid w:val="00590CCD"/>
    <w:rsid w:val="0059318C"/>
    <w:rsid w:val="005B1EB6"/>
    <w:rsid w:val="005D1C8C"/>
    <w:rsid w:val="005D1CF8"/>
    <w:rsid w:val="005D7D47"/>
    <w:rsid w:val="005E16AE"/>
    <w:rsid w:val="005E2DF8"/>
    <w:rsid w:val="005E57C7"/>
    <w:rsid w:val="005F09E9"/>
    <w:rsid w:val="005F799C"/>
    <w:rsid w:val="0060276A"/>
    <w:rsid w:val="00640034"/>
    <w:rsid w:val="00643CB7"/>
    <w:rsid w:val="00651095"/>
    <w:rsid w:val="006624D3"/>
    <w:rsid w:val="006734CD"/>
    <w:rsid w:val="00674B3A"/>
    <w:rsid w:val="00677985"/>
    <w:rsid w:val="00686720"/>
    <w:rsid w:val="00687754"/>
    <w:rsid w:val="00693FD6"/>
    <w:rsid w:val="006950D8"/>
    <w:rsid w:val="006957E1"/>
    <w:rsid w:val="006A42F7"/>
    <w:rsid w:val="006B6760"/>
    <w:rsid w:val="006B78F2"/>
    <w:rsid w:val="006D5DA3"/>
    <w:rsid w:val="006F7810"/>
    <w:rsid w:val="00705694"/>
    <w:rsid w:val="00710177"/>
    <w:rsid w:val="00727D44"/>
    <w:rsid w:val="00730378"/>
    <w:rsid w:val="00732156"/>
    <w:rsid w:val="007343E9"/>
    <w:rsid w:val="00754110"/>
    <w:rsid w:val="007547AE"/>
    <w:rsid w:val="0076025D"/>
    <w:rsid w:val="00760704"/>
    <w:rsid w:val="007634DD"/>
    <w:rsid w:val="00773331"/>
    <w:rsid w:val="0077350D"/>
    <w:rsid w:val="007763EE"/>
    <w:rsid w:val="00787D22"/>
    <w:rsid w:val="00791F27"/>
    <w:rsid w:val="007932EF"/>
    <w:rsid w:val="00794EEA"/>
    <w:rsid w:val="0079544E"/>
    <w:rsid w:val="007A1802"/>
    <w:rsid w:val="007B4878"/>
    <w:rsid w:val="007E0209"/>
    <w:rsid w:val="007E04EA"/>
    <w:rsid w:val="007E05B0"/>
    <w:rsid w:val="007E6923"/>
    <w:rsid w:val="007F246A"/>
    <w:rsid w:val="007F6BDE"/>
    <w:rsid w:val="008036F7"/>
    <w:rsid w:val="008064EA"/>
    <w:rsid w:val="008067B0"/>
    <w:rsid w:val="00830E6F"/>
    <w:rsid w:val="0083367D"/>
    <w:rsid w:val="00833FB7"/>
    <w:rsid w:val="00841D13"/>
    <w:rsid w:val="00844720"/>
    <w:rsid w:val="00854A05"/>
    <w:rsid w:val="00856AB7"/>
    <w:rsid w:val="008621E2"/>
    <w:rsid w:val="008659EC"/>
    <w:rsid w:val="008671C6"/>
    <w:rsid w:val="008729CC"/>
    <w:rsid w:val="00874D22"/>
    <w:rsid w:val="00890F17"/>
    <w:rsid w:val="00892A57"/>
    <w:rsid w:val="008A2914"/>
    <w:rsid w:val="008C4D13"/>
    <w:rsid w:val="008C52AA"/>
    <w:rsid w:val="008D138B"/>
    <w:rsid w:val="008D4B57"/>
    <w:rsid w:val="008E2ABA"/>
    <w:rsid w:val="008E4D8E"/>
    <w:rsid w:val="008F6B78"/>
    <w:rsid w:val="00902C92"/>
    <w:rsid w:val="00905F26"/>
    <w:rsid w:val="00911E2E"/>
    <w:rsid w:val="009178A9"/>
    <w:rsid w:val="009232A5"/>
    <w:rsid w:val="00932273"/>
    <w:rsid w:val="009379BD"/>
    <w:rsid w:val="009455D7"/>
    <w:rsid w:val="00945FFD"/>
    <w:rsid w:val="00950250"/>
    <w:rsid w:val="00961531"/>
    <w:rsid w:val="00975B3C"/>
    <w:rsid w:val="0097623F"/>
    <w:rsid w:val="009833A1"/>
    <w:rsid w:val="009920C5"/>
    <w:rsid w:val="009A1E64"/>
    <w:rsid w:val="009A7081"/>
    <w:rsid w:val="009B02CE"/>
    <w:rsid w:val="009B5653"/>
    <w:rsid w:val="009B6032"/>
    <w:rsid w:val="009B7839"/>
    <w:rsid w:val="009D0DE1"/>
    <w:rsid w:val="009D3D95"/>
    <w:rsid w:val="009D7183"/>
    <w:rsid w:val="009D7B89"/>
    <w:rsid w:val="009E45E3"/>
    <w:rsid w:val="009F7D6A"/>
    <w:rsid w:val="00A00CF6"/>
    <w:rsid w:val="00A135E3"/>
    <w:rsid w:val="00A35161"/>
    <w:rsid w:val="00A36131"/>
    <w:rsid w:val="00A40E7D"/>
    <w:rsid w:val="00A56F73"/>
    <w:rsid w:val="00A66041"/>
    <w:rsid w:val="00A675CB"/>
    <w:rsid w:val="00A71913"/>
    <w:rsid w:val="00A73186"/>
    <w:rsid w:val="00A80CC2"/>
    <w:rsid w:val="00A82EAC"/>
    <w:rsid w:val="00A86D40"/>
    <w:rsid w:val="00AB5689"/>
    <w:rsid w:val="00AE4EF7"/>
    <w:rsid w:val="00AF0636"/>
    <w:rsid w:val="00B10DBA"/>
    <w:rsid w:val="00B36E1E"/>
    <w:rsid w:val="00B37D0C"/>
    <w:rsid w:val="00B448C5"/>
    <w:rsid w:val="00B474F0"/>
    <w:rsid w:val="00B47A3B"/>
    <w:rsid w:val="00B54D92"/>
    <w:rsid w:val="00B67A55"/>
    <w:rsid w:val="00B725DB"/>
    <w:rsid w:val="00B75458"/>
    <w:rsid w:val="00B86105"/>
    <w:rsid w:val="00B94291"/>
    <w:rsid w:val="00B958FD"/>
    <w:rsid w:val="00B97189"/>
    <w:rsid w:val="00BA19C7"/>
    <w:rsid w:val="00BB2F70"/>
    <w:rsid w:val="00BB7C03"/>
    <w:rsid w:val="00BC3F3F"/>
    <w:rsid w:val="00BC3F47"/>
    <w:rsid w:val="00BD16A3"/>
    <w:rsid w:val="00BF1B5B"/>
    <w:rsid w:val="00C12301"/>
    <w:rsid w:val="00C13096"/>
    <w:rsid w:val="00C14F3B"/>
    <w:rsid w:val="00C156DB"/>
    <w:rsid w:val="00C252AD"/>
    <w:rsid w:val="00C278D6"/>
    <w:rsid w:val="00C30089"/>
    <w:rsid w:val="00C402E9"/>
    <w:rsid w:val="00C408E4"/>
    <w:rsid w:val="00C47B7E"/>
    <w:rsid w:val="00C55F43"/>
    <w:rsid w:val="00C60D62"/>
    <w:rsid w:val="00C664B8"/>
    <w:rsid w:val="00C96069"/>
    <w:rsid w:val="00C96324"/>
    <w:rsid w:val="00C969A2"/>
    <w:rsid w:val="00CA34D8"/>
    <w:rsid w:val="00CA4A0D"/>
    <w:rsid w:val="00CB765F"/>
    <w:rsid w:val="00CD0013"/>
    <w:rsid w:val="00CD3538"/>
    <w:rsid w:val="00CD7907"/>
    <w:rsid w:val="00CE1535"/>
    <w:rsid w:val="00CE2D4F"/>
    <w:rsid w:val="00CE79EB"/>
    <w:rsid w:val="00CF08BA"/>
    <w:rsid w:val="00CF0EFE"/>
    <w:rsid w:val="00D005F3"/>
    <w:rsid w:val="00D00611"/>
    <w:rsid w:val="00D01678"/>
    <w:rsid w:val="00D15A56"/>
    <w:rsid w:val="00D20381"/>
    <w:rsid w:val="00D228D5"/>
    <w:rsid w:val="00D23E83"/>
    <w:rsid w:val="00D428C0"/>
    <w:rsid w:val="00D448D6"/>
    <w:rsid w:val="00D45F94"/>
    <w:rsid w:val="00D50B53"/>
    <w:rsid w:val="00D60210"/>
    <w:rsid w:val="00D74FD6"/>
    <w:rsid w:val="00DA249E"/>
    <w:rsid w:val="00DA7721"/>
    <w:rsid w:val="00DB4230"/>
    <w:rsid w:val="00DD6AA9"/>
    <w:rsid w:val="00DE6ACA"/>
    <w:rsid w:val="00DF002D"/>
    <w:rsid w:val="00E10867"/>
    <w:rsid w:val="00E247F7"/>
    <w:rsid w:val="00E32280"/>
    <w:rsid w:val="00E36847"/>
    <w:rsid w:val="00E36D33"/>
    <w:rsid w:val="00E40FA2"/>
    <w:rsid w:val="00E4457B"/>
    <w:rsid w:val="00E46595"/>
    <w:rsid w:val="00E47A8B"/>
    <w:rsid w:val="00E55364"/>
    <w:rsid w:val="00E56213"/>
    <w:rsid w:val="00E57171"/>
    <w:rsid w:val="00E61AFF"/>
    <w:rsid w:val="00E642CF"/>
    <w:rsid w:val="00E7035C"/>
    <w:rsid w:val="00E71699"/>
    <w:rsid w:val="00E7495F"/>
    <w:rsid w:val="00E773EA"/>
    <w:rsid w:val="00E92239"/>
    <w:rsid w:val="00E928DB"/>
    <w:rsid w:val="00EA2BE4"/>
    <w:rsid w:val="00EA6DBE"/>
    <w:rsid w:val="00EB2540"/>
    <w:rsid w:val="00EC4C58"/>
    <w:rsid w:val="00EC4D0A"/>
    <w:rsid w:val="00EC62D4"/>
    <w:rsid w:val="00ED1F63"/>
    <w:rsid w:val="00ED329E"/>
    <w:rsid w:val="00EE2C6A"/>
    <w:rsid w:val="00EF3FA8"/>
    <w:rsid w:val="00EF4E62"/>
    <w:rsid w:val="00F00166"/>
    <w:rsid w:val="00F20B45"/>
    <w:rsid w:val="00F247EA"/>
    <w:rsid w:val="00F413C3"/>
    <w:rsid w:val="00F51059"/>
    <w:rsid w:val="00F611BB"/>
    <w:rsid w:val="00F61695"/>
    <w:rsid w:val="00F6479E"/>
    <w:rsid w:val="00F726C1"/>
    <w:rsid w:val="00F83B45"/>
    <w:rsid w:val="00FA614B"/>
    <w:rsid w:val="00FA6F25"/>
    <w:rsid w:val="00FB4731"/>
    <w:rsid w:val="00FC38F8"/>
    <w:rsid w:val="00FD3C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E2B472FB-3D7A-4A3C-96E0-09E38363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D4BD6"/>
    <w:pPr>
      <w:spacing w:before="0" w:after="0"/>
      <w:jc w:val="left"/>
    </w:pPr>
    <w:rPr>
      <w:rFonts w:ascii="Calibri" w:hAnsi="Calibri" w:cs="Calibri"/>
      <w:sz w:val="20"/>
      <w:szCs w:val="20"/>
      <w:lang w:val="es-ES"/>
    </w:rPr>
  </w:style>
  <w:style w:type="character" w:customStyle="1" w:styleId="CommentTextChar">
    <w:name w:val="Comment Text Char"/>
    <w:basedOn w:val="DefaultParagraphFont"/>
    <w:link w:val="CommentText"/>
    <w:uiPriority w:val="99"/>
    <w:rsid w:val="000D4BD6"/>
    <w:rPr>
      <w:rFonts w:ascii="Calibri" w:hAnsi="Calibri" w:cs="Calibri"/>
      <w:sz w:val="20"/>
      <w:szCs w:val="20"/>
      <w:lang w:val="es-ES"/>
    </w:rPr>
  </w:style>
  <w:style w:type="character" w:styleId="CommentReference">
    <w:name w:val="annotation reference"/>
    <w:basedOn w:val="DefaultParagraphFont"/>
    <w:uiPriority w:val="99"/>
    <w:semiHidden/>
    <w:unhideWhenUsed/>
    <w:rsid w:val="000D4BD6"/>
    <w:rPr>
      <w:sz w:val="16"/>
      <w:szCs w:val="16"/>
    </w:rPr>
  </w:style>
  <w:style w:type="paragraph" w:styleId="ListBullet">
    <w:name w:val="List Bullet"/>
    <w:basedOn w:val="Normal"/>
    <w:uiPriority w:val="99"/>
    <w:semiHidden/>
    <w:unhideWhenUsed/>
    <w:rsid w:val="00C156DB"/>
    <w:pPr>
      <w:numPr>
        <w:numId w:val="1"/>
      </w:numPr>
      <w:contextualSpacing/>
    </w:pPr>
  </w:style>
  <w:style w:type="paragraph" w:styleId="ListBullet2">
    <w:name w:val="List Bullet 2"/>
    <w:basedOn w:val="Normal"/>
    <w:uiPriority w:val="99"/>
    <w:semiHidden/>
    <w:unhideWhenUsed/>
    <w:rsid w:val="00C156DB"/>
    <w:pPr>
      <w:numPr>
        <w:numId w:val="2"/>
      </w:numPr>
      <w:contextualSpacing/>
    </w:pPr>
  </w:style>
  <w:style w:type="paragraph" w:styleId="ListBullet3">
    <w:name w:val="List Bullet 3"/>
    <w:basedOn w:val="Normal"/>
    <w:uiPriority w:val="99"/>
    <w:semiHidden/>
    <w:unhideWhenUsed/>
    <w:rsid w:val="00C156DB"/>
    <w:pPr>
      <w:numPr>
        <w:numId w:val="3"/>
      </w:numPr>
      <w:contextualSpacing/>
    </w:pPr>
  </w:style>
  <w:style w:type="paragraph" w:styleId="ListBullet4">
    <w:name w:val="List Bullet 4"/>
    <w:basedOn w:val="Normal"/>
    <w:uiPriority w:val="99"/>
    <w:semiHidden/>
    <w:unhideWhenUsed/>
    <w:rsid w:val="00C156DB"/>
    <w:pPr>
      <w:numPr>
        <w:numId w:val="4"/>
      </w:numPr>
      <w:contextualSpacing/>
    </w:pPr>
  </w:style>
  <w:style w:type="paragraph" w:customStyle="1" w:styleId="oj-normal">
    <w:name w:val="oj-normal"/>
    <w:basedOn w:val="Normal"/>
    <w:rsid w:val="00DA7721"/>
    <w:pPr>
      <w:spacing w:before="100" w:beforeAutospacing="1" w:after="100" w:afterAutospacing="1"/>
      <w:jc w:val="left"/>
    </w:pPr>
    <w:rPr>
      <w:rFonts w:eastAsia="Times New Roman"/>
      <w:szCs w:val="24"/>
      <w:lang w:val="es-ES" w:eastAsia="en-IE"/>
    </w:rPr>
  </w:style>
  <w:style w:type="paragraph" w:styleId="ListParagraph">
    <w:name w:val="List Paragraph"/>
    <w:basedOn w:val="Normal"/>
    <w:uiPriority w:val="34"/>
    <w:qFormat/>
    <w:rsid w:val="00CF08BA"/>
    <w:pPr>
      <w:ind w:left="720"/>
      <w:contextualSpacing/>
    </w:pPr>
  </w:style>
  <w:style w:type="paragraph" w:styleId="Revision">
    <w:name w:val="Revision"/>
    <w:hidden/>
    <w:uiPriority w:val="99"/>
    <w:semiHidden/>
    <w:rsid w:val="009920C5"/>
    <w:pPr>
      <w:spacing w:after="0" w:line="240" w:lineRule="auto"/>
    </w:pPr>
    <w:rPr>
      <w:rFonts w:ascii="Times New Roman" w:hAnsi="Times New Roman" w:cs="Times New Roman"/>
      <w:sz w:val="24"/>
    </w:rPr>
  </w:style>
  <w:style w:type="character" w:styleId="PlaceholderText">
    <w:name w:val="Placeholder Text"/>
    <w:basedOn w:val="DefaultParagraphFont"/>
    <w:uiPriority w:val="99"/>
    <w:semiHidden/>
    <w:rsid w:val="002466E3"/>
    <w:rPr>
      <w:color w:val="808080"/>
    </w:rPr>
  </w:style>
  <w:style w:type="paragraph" w:styleId="CommentSubject">
    <w:name w:val="annotation subject"/>
    <w:basedOn w:val="CommentText"/>
    <w:next w:val="CommentText"/>
    <w:link w:val="CommentSubjectChar"/>
    <w:uiPriority w:val="99"/>
    <w:semiHidden/>
    <w:unhideWhenUsed/>
    <w:rsid w:val="00F61695"/>
    <w:pPr>
      <w:spacing w:before="120" w:after="120"/>
      <w:jc w:val="both"/>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rsid w:val="00F61695"/>
    <w:rPr>
      <w:rFonts w:ascii="Times New Roman" w:hAnsi="Times New Roman" w:cs="Times New Roman"/>
      <w:b/>
      <w:bCs/>
      <w:sz w:val="20"/>
      <w:szCs w:val="20"/>
      <w:lang w:val="es-ES"/>
    </w:rPr>
  </w:style>
  <w:style w:type="character" w:styleId="Hyperlink">
    <w:name w:val="Hyperlink"/>
    <w:basedOn w:val="DefaultParagraphFont"/>
    <w:uiPriority w:val="99"/>
    <w:unhideWhenUsed/>
    <w:rsid w:val="00FA6F25"/>
    <w:rPr>
      <w:color w:val="0000FF" w:themeColor="hyperlink"/>
      <w:u w:val="single"/>
    </w:rPr>
  </w:style>
  <w:style w:type="character" w:customStyle="1" w:styleId="UnresolvedMention">
    <w:name w:val="Unresolved Mention"/>
    <w:basedOn w:val="DefaultParagraphFont"/>
    <w:uiPriority w:val="99"/>
    <w:semiHidden/>
    <w:unhideWhenUsed/>
    <w:rsid w:val="00844720"/>
    <w:rPr>
      <w:color w:val="605E5C"/>
      <w:shd w:val="clear" w:color="auto" w:fill="E1DFDD"/>
    </w:rPr>
  </w:style>
  <w:style w:type="character" w:customStyle="1" w:styleId="num">
    <w:name w:val="num"/>
    <w:basedOn w:val="DefaultParagraphFont"/>
    <w:uiPriority w:val="1"/>
    <w:rsid w:val="00CE2D4F"/>
  </w:style>
  <w:style w:type="character" w:customStyle="1" w:styleId="HeaderChar">
    <w:name w:val="Header Char"/>
    <w:basedOn w:val="DefaultParagraphFont"/>
    <w:link w:val="Header"/>
    <w:uiPriority w:val="99"/>
    <w:rsid w:val="00BB2F70"/>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BB2F70"/>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s-ES_tradn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s-ES_tradn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s-ES_tradn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s-ES_tradn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s-ES_tradn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s-ES_tradn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s-ES_tradn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BB2F7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B2F70"/>
    <w:pPr>
      <w:spacing w:before="0"/>
      <w:jc w:val="right"/>
    </w:pPr>
    <w:rPr>
      <w:sz w:val="28"/>
    </w:rPr>
  </w:style>
  <w:style w:type="paragraph" w:customStyle="1" w:styleId="FooterSensitivity">
    <w:name w:val="Footer Sensitivity"/>
    <w:basedOn w:val="Normal"/>
    <w:rsid w:val="00BB2F7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BB2F70"/>
    <w:pPr>
      <w:tabs>
        <w:tab w:val="center" w:pos="4535"/>
        <w:tab w:val="right" w:pos="9071"/>
      </w:tabs>
      <w:spacing w:before="0"/>
    </w:pPr>
  </w:style>
  <w:style w:type="paragraph" w:customStyle="1" w:styleId="HeaderLandscape">
    <w:name w:val="HeaderLandscape"/>
    <w:basedOn w:val="Normal"/>
    <w:rsid w:val="00BB2F70"/>
    <w:pPr>
      <w:tabs>
        <w:tab w:val="center" w:pos="7285"/>
        <w:tab w:val="right" w:pos="14003"/>
      </w:tabs>
      <w:spacing w:before="0"/>
    </w:pPr>
  </w:style>
  <w:style w:type="paragraph" w:styleId="Footer">
    <w:name w:val="footer"/>
    <w:basedOn w:val="Normal"/>
    <w:link w:val="FooterChar"/>
    <w:uiPriority w:val="99"/>
    <w:unhideWhenUsed/>
    <w:rsid w:val="00BB2F70"/>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BB2F70"/>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80316">
      <w:bodyDiv w:val="1"/>
      <w:marLeft w:val="0"/>
      <w:marRight w:val="0"/>
      <w:marTop w:val="0"/>
      <w:marBottom w:val="0"/>
      <w:divBdr>
        <w:top w:val="none" w:sz="0" w:space="0" w:color="auto"/>
        <w:left w:val="none" w:sz="0" w:space="0" w:color="auto"/>
        <w:bottom w:val="none" w:sz="0" w:space="0" w:color="auto"/>
        <w:right w:val="none" w:sz="0" w:space="0" w:color="auto"/>
      </w:divBdr>
    </w:div>
    <w:div w:id="1216966565">
      <w:bodyDiv w:val="1"/>
      <w:marLeft w:val="0"/>
      <w:marRight w:val="0"/>
      <w:marTop w:val="0"/>
      <w:marBottom w:val="0"/>
      <w:divBdr>
        <w:top w:val="none" w:sz="0" w:space="0" w:color="auto"/>
        <w:left w:val="none" w:sz="0" w:space="0" w:color="auto"/>
        <w:bottom w:val="none" w:sz="0" w:space="0" w:color="auto"/>
        <w:right w:val="none" w:sz="0" w:space="0" w:color="auto"/>
      </w:divBdr>
    </w:div>
    <w:div w:id="1299722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80-196-5170_final_report_technical_advice_on_fees_charged_to_cras_by_esma_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3285A78CCB54F4DA2ECE5FA2B2AF218" ma:contentTypeVersion="2" ma:contentTypeDescription="Create a new document in this library." ma:contentTypeScope="" ma:versionID="75423994a2259ac637dc03e8133cded3">
  <xsd:schema xmlns:xsd="http://www.w3.org/2001/XMLSchema" xmlns:xs="http://www.w3.org/2001/XMLSchema" xmlns:p="http://schemas.microsoft.com/office/2006/metadata/properties" xmlns:ns2="http://schemas.microsoft.com/sharepoint/v3/fields" xmlns:ns3="39d607b5-3019-4139-86e9-2e131faaffa8" xmlns:ns4="379e0a09-5deb-44c7-a703-b352a170740d" targetNamespace="http://schemas.microsoft.com/office/2006/metadata/properties" ma:root="true" ma:fieldsID="7f417d262b26c14067de857753d6d876" ns2:_="" ns3:_="" ns4:_="">
    <xsd:import namespace="http://schemas.microsoft.com/sharepoint/v3/fields"/>
    <xsd:import namespace="39d607b5-3019-4139-86e9-2e131faaffa8"/>
    <xsd:import namespace="379e0a09-5deb-44c7-a703-b352a170740d"/>
    <xsd:element name="properties">
      <xsd:complexType>
        <xsd:sequence>
          <xsd:element name="documentManagement">
            <xsd:complexType>
              <xsd:all>
                <xsd:element ref="ns3:EC_Collab_Reference" minOccurs="0"/>
                <xsd:element ref="ns2:_Status" minOccurs="0"/>
                <xsd:element ref="ns3:EC_Collab_DocumentLanguage"/>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9d607b5-3019-4139-86e9-2e131faaffa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379e0a09-5deb-44c7-a703-b352a170740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79e0a09-5deb-44c7-a703-b352a170740d">
      <UserInfo>
        <DisplayName>Veronica Magrini</DisplayName>
        <AccountId>192</AccountId>
        <AccountType/>
      </UserInfo>
      <UserInfo>
        <DisplayName>Viktorija Guseinova</DisplayName>
        <AccountId>194</AccountId>
        <AccountType/>
      </UserInfo>
    </SharedWithUsers>
    <EC_Collab_DocumentLanguage xmlns="39d607b5-3019-4139-86e9-2e131faaffa8">EN</EC_Collab_DocumentLanguage>
    <_Status xmlns="http://schemas.microsoft.com/sharepoint/v3/fields">Not Started</_Status>
    <EC_Collab_Reference xmlns="39d607b5-3019-4139-86e9-2e131faaffa8">-</EC_Collab_Refere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4629E-CA43-4F79-9CEE-F2FE5AA33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39d607b5-3019-4139-86e9-2e131faaffa8"/>
    <ds:schemaRef ds:uri="379e0a09-5deb-44c7-a703-b352a17074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DD136-D306-4E27-8950-69533288354D}">
  <ds:schemaRefs>
    <ds:schemaRef ds:uri="http://schemas.microsoft.com/sharepoint/v3/contenttype/forms"/>
  </ds:schemaRefs>
</ds:datastoreItem>
</file>

<file path=customXml/itemProps3.xml><?xml version="1.0" encoding="utf-8"?>
<ds:datastoreItem xmlns:ds="http://schemas.openxmlformats.org/officeDocument/2006/customXml" ds:itemID="{16C3EE63-60E6-4684-AC4E-5B491E9CF6EC}">
  <ds:schemaRefs>
    <ds:schemaRef ds:uri="http://schemas.microsoft.com/office/2006/metadata/properties"/>
    <ds:schemaRef ds:uri="http://schemas.microsoft.com/office/infopath/2007/PartnerControls"/>
    <ds:schemaRef ds:uri="379e0a09-5deb-44c7-a703-b352a170740d"/>
    <ds:schemaRef ds:uri="39d607b5-3019-4139-86e9-2e131faaffa8"/>
    <ds:schemaRef ds:uri="http://schemas.microsoft.com/sharepoint/v3/fields"/>
  </ds:schemaRefs>
</ds:datastoreItem>
</file>

<file path=customXml/itemProps4.xml><?xml version="1.0" encoding="utf-8"?>
<ds:datastoreItem xmlns:ds="http://schemas.openxmlformats.org/officeDocument/2006/customXml" ds:itemID="{9564C428-3F4E-4B6C-90DA-E76EFB2E1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21</TotalTime>
  <Pages>8</Pages>
  <Words>2251</Words>
  <Characters>12832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
  <cp:revision>40</cp:revision>
  <cp:lastPrinted>2024-01-11T17:16:00Z</cp:lastPrinted>
  <dcterms:created xsi:type="dcterms:W3CDTF">2024-02-26T13:33:00Z</dcterms:created>
  <dcterms:modified xsi:type="dcterms:W3CDTF">2024-03-04T08:15:00Z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2023-09-15T14:53:01Z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320effd5-688e-486d-bce3-08e03441a6a8</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SJ-003</vt:lpwstr>
  </property>
  <property fmtid="{D5CDD505-2E9C-101B-9397-08002B2CF9AE}" pid="17" name="ContentTypeId">
    <vt:lpwstr>0x010100258AA79CEB83498886A3A086811232500033285A78CCB54F4DA2ECE5FA2B2AF218</vt:lpwstr>
  </property>
  <property fmtid="{D5CDD505-2E9C-101B-9397-08002B2CF9AE}" pid="18" name="TeamName">
    <vt:lpwstr>5;#Legal|55469a04-0b7f-4b43-884d-5076b10e8c77</vt:lpwstr>
  </property>
  <property fmtid="{D5CDD505-2E9C-101B-9397-08002B2CF9AE}" pid="19" name="_dlc_DocIdItemGuid">
    <vt:lpwstr>eae99120-42b7-4c0e-959e-f4de546ee29c</vt:lpwstr>
  </property>
  <property fmtid="{D5CDD505-2E9C-101B-9397-08002B2CF9AE}" pid="20" name="DocumentType">
    <vt:lpwstr>6;#Note|b9e1c92e-303a-4555-86f0-5c711c65937e</vt:lpwstr>
  </property>
  <property fmtid="{D5CDD505-2E9C-101B-9397-08002B2CF9AE}" pid="21" name="ConfidentialityLevel">
    <vt:lpwstr>8;#Regular|07f1e362-856b-423d-bea6-a14079762141</vt:lpwstr>
  </property>
  <property fmtid="{D5CDD505-2E9C-101B-9397-08002B2CF9AE}" pid="22" name="LegalInstrument">
    <vt:lpwstr>83;#General / transversal|1a3ce67b-68f9-4822-ae19-4d4588106fbe</vt:lpwstr>
  </property>
  <property fmtid="{D5CDD505-2E9C-101B-9397-08002B2CF9AE}" pid="23" name="MemberState">
    <vt:lpwstr/>
  </property>
  <property fmtid="{D5CDD505-2E9C-101B-9397-08002B2CF9AE}" pid="24" name="Related Legal Acts">
    <vt:lpwstr/>
  </property>
  <property fmtid="{D5CDD505-2E9C-101B-9397-08002B2CF9AE}" pid="25" name="Stakeholder">
    <vt:lpwstr/>
  </property>
  <property fmtid="{D5CDD505-2E9C-101B-9397-08002B2CF9AE}" pid="26" name="EsmaAudience">
    <vt:lpwstr/>
  </property>
  <property fmtid="{D5CDD505-2E9C-101B-9397-08002B2CF9AE}" pid="27" name="LegalAct">
    <vt:lpwstr>19;#ESMA Regulation|1f6010a2-1a2c-44cf-adf8-f8fd9b166bb1</vt:lpwstr>
  </property>
  <property fmtid="{D5CDD505-2E9C-101B-9397-08002B2CF9AE}" pid="28" name="DQCStatus">
    <vt:lpwstr>Green (DQC version 03)</vt:lpwstr>
  </property>
  <property name="OP_sanitized" fmtid="{D5CDD505-2E9C-101B-9397-08002B2CF9AE}" pid="29">
    <vt:lpwstr>True</vt:lpwstr>
  </property>
</Properties>
</file>