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6.2.0.0 -->
  <w:body>
    <w:p w:rsidR="00E72EF2" w:rsidRPr="00493394" w:rsidP="2E60CEB3">
      <w:pPr>
        <w:rPr>
          <w:rFonts w:ascii="Arial" w:hAnsi="Arial" w:cs="Arial"/>
          <w:b/>
          <w:bCs/>
          <w:sz w:val="20"/>
          <w:szCs w:val="20"/>
        </w:rPr>
      </w:pPr>
    </w:p>
    <w:p w:rsidR="2E60CEB3" w:rsidRPr="00493394" w:rsidP="2E60CEB3">
      <w:pPr>
        <w:rPr>
          <w:rFonts w:ascii="Arial" w:hAnsi="Arial" w:cs="Arial"/>
          <w:b/>
          <w:bCs/>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7"/>
        <w:gridCol w:w="7381"/>
      </w:tblGrid>
      <w:tr w:rsidTr="716D6114">
        <w:tblPrEx>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0188" w:type="dxa"/>
            <w:gridSpan w:val="2"/>
            <w:tcBorders>
              <w:bottom w:val="single" w:sz="4" w:space="0" w:color="auto"/>
            </w:tcBorders>
            <w:shd w:val="clear" w:color="auto" w:fill="0000FF"/>
          </w:tcPr>
          <w:p w:rsidR="007D6F93" w:rsidRPr="00493394" w:rsidP="00824525">
            <w:pPr>
              <w:spacing w:before="60" w:after="60"/>
              <w:jc w:val="center"/>
              <w:rPr>
                <w:rFonts w:ascii="Arial" w:hAnsi="Arial" w:cs="Arial"/>
                <w:b/>
                <w:sz w:val="28"/>
                <w:szCs w:val="28"/>
              </w:rPr>
            </w:pPr>
            <w:r>
              <w:rPr>
                <w:rFonts w:ascii="Arial" w:hAnsi="Arial"/>
                <w:b/>
                <w:sz w:val="28"/>
              </w:rPr>
              <w:t>CONVOCATORIA DE DATOS</w:t>
            </w:r>
          </w:p>
          <w:p w:rsidR="009E6661" w:rsidRPr="00493394" w:rsidP="00B312B7">
            <w:pPr>
              <w:spacing w:before="60" w:after="60"/>
              <w:jc w:val="center"/>
              <w:rPr>
                <w:rFonts w:ascii="Arial" w:hAnsi="Arial" w:cs="Arial"/>
                <w:b/>
                <w:i/>
                <w:sz w:val="20"/>
                <w:szCs w:val="20"/>
              </w:rPr>
            </w:pPr>
            <w:r>
              <w:rPr>
                <w:rFonts w:ascii="Arial" w:hAnsi="Arial"/>
                <w:b/>
                <w:sz w:val="28"/>
              </w:rPr>
              <w:t xml:space="preserve">PARA UNA INICIATIVA </w:t>
            </w:r>
            <w:r>
              <w:rPr>
                <w:rFonts w:ascii="Arial" w:hAnsi="Arial"/>
                <w:b/>
                <w:color w:val="FFFFFF" w:themeColor="background1"/>
                <w:sz w:val="28"/>
              </w:rPr>
              <w:t>(sin evaluación de impacto)</w:t>
            </w:r>
          </w:p>
        </w:tc>
      </w:tr>
      <w:tr w:rsidTr="716D6114">
        <w:tblPrEx>
          <w:tblW w:w="10188" w:type="dxa"/>
          <w:tblLayout w:type="fixed"/>
          <w:tblLook w:val="01E0"/>
        </w:tblPrEx>
        <w:tc>
          <w:tcPr>
            <w:tcW w:w="2807" w:type="dxa"/>
            <w:tcBorders>
              <w:bottom w:val="single" w:sz="4" w:space="0" w:color="auto"/>
            </w:tcBorders>
            <w:shd w:val="clear" w:color="auto" w:fill="E6E6E6"/>
          </w:tcPr>
          <w:p w:rsidR="009E6661" w:rsidRPr="00493394" w:rsidP="00824525">
            <w:pPr>
              <w:spacing w:before="60" w:after="60"/>
              <w:jc w:val="both"/>
              <w:rPr>
                <w:rFonts w:ascii="Arial" w:hAnsi="Arial" w:cs="Arial"/>
                <w:b/>
                <w:bCs/>
                <w:smallCaps/>
                <w:sz w:val="20"/>
                <w:szCs w:val="20"/>
              </w:rPr>
            </w:pPr>
            <w:r>
              <w:rPr>
                <w:rFonts w:ascii="Arial" w:hAnsi="Arial"/>
                <w:b/>
                <w:smallCaps/>
                <w:sz w:val="20"/>
              </w:rPr>
              <w:t>Título de la iniciativa</w:t>
            </w:r>
          </w:p>
        </w:tc>
        <w:tc>
          <w:tcPr>
            <w:tcW w:w="7381" w:type="dxa"/>
          </w:tcPr>
          <w:p w:rsidR="0075560F" w:rsidRPr="00493394" w:rsidP="00347966">
            <w:pPr>
              <w:spacing w:before="60" w:after="120"/>
              <w:jc w:val="both"/>
              <w:rPr>
                <w:rFonts w:ascii="Arial" w:hAnsi="Arial" w:cs="Arial"/>
                <w:color w:val="000080"/>
                <w:sz w:val="20"/>
                <w:szCs w:val="20"/>
              </w:rPr>
            </w:pPr>
            <w:r>
              <w:rPr>
                <w:rFonts w:ascii="Arial" w:hAnsi="Arial"/>
                <w:color w:val="000080"/>
                <w:sz w:val="20"/>
              </w:rPr>
              <w:t>Visión 2040 para la pesca y la acuicultura</w:t>
            </w:r>
          </w:p>
        </w:tc>
      </w:tr>
      <w:tr w:rsidTr="716D6114">
        <w:tblPrEx>
          <w:tblW w:w="10188" w:type="dxa"/>
          <w:tblLayout w:type="fixed"/>
          <w:tblLook w:val="01E0"/>
        </w:tblPrEx>
        <w:tc>
          <w:tcPr>
            <w:tcW w:w="2807" w:type="dxa"/>
            <w:tcBorders>
              <w:bottom w:val="single" w:sz="4" w:space="0" w:color="auto"/>
              <w:right w:val="single" w:sz="4" w:space="0" w:color="auto"/>
            </w:tcBorders>
            <w:shd w:val="clear" w:color="auto" w:fill="E6E6E6"/>
          </w:tcPr>
          <w:p w:rsidR="00F07210" w:rsidRPr="00493394" w:rsidP="008B4A52">
            <w:pPr>
              <w:spacing w:before="60" w:after="60"/>
              <w:jc w:val="both"/>
              <w:rPr>
                <w:rFonts w:ascii="Arial" w:hAnsi="Arial" w:cs="Arial"/>
                <w:b/>
                <w:bCs/>
                <w:smallCaps/>
                <w:sz w:val="20"/>
                <w:szCs w:val="20"/>
              </w:rPr>
            </w:pPr>
            <w:r>
              <w:rPr>
                <w:rFonts w:ascii="Arial" w:hAnsi="Arial"/>
                <w:b/>
                <w:smallCaps/>
                <w:sz w:val="20"/>
              </w:rPr>
              <w:t xml:space="preserve">DG principal. Unidad responsable </w:t>
            </w:r>
          </w:p>
        </w:tc>
        <w:tc>
          <w:tcPr>
            <w:tcW w:w="7381" w:type="dxa"/>
            <w:tcBorders>
              <w:top w:val="single" w:sz="4" w:space="0" w:color="auto"/>
              <w:left w:val="single" w:sz="4" w:space="0" w:color="auto"/>
              <w:bottom w:val="single" w:sz="4" w:space="0" w:color="auto"/>
              <w:right w:val="single" w:sz="4" w:space="0" w:color="auto"/>
            </w:tcBorders>
          </w:tcPr>
          <w:p w:rsidR="00F07210" w:rsidRPr="00493394" w:rsidP="00106A9A">
            <w:pPr>
              <w:spacing w:before="60" w:after="60"/>
              <w:jc w:val="both"/>
              <w:rPr>
                <w:rFonts w:ascii="Arial" w:hAnsi="Arial" w:cs="Arial"/>
                <w:color w:val="000080"/>
                <w:sz w:val="20"/>
                <w:szCs w:val="20"/>
              </w:rPr>
            </w:pPr>
            <w:r>
              <w:rPr>
                <w:rFonts w:ascii="Arial" w:hAnsi="Arial"/>
                <w:color w:val="000080"/>
                <w:sz w:val="20"/>
              </w:rPr>
              <w:t>DG MARE. Unidad D3 (Política Pesquera Común y Apoyo Estructural. Elaboración y Coordinación de Políticas)</w:t>
            </w:r>
          </w:p>
        </w:tc>
      </w:tr>
      <w:tr w:rsidTr="716D6114">
        <w:tblPrEx>
          <w:tblW w:w="10188" w:type="dxa"/>
          <w:tblLayout w:type="fixed"/>
          <w:tblLook w:val="01E0"/>
        </w:tblPrEx>
        <w:tc>
          <w:tcPr>
            <w:tcW w:w="2807" w:type="dxa"/>
            <w:tcBorders>
              <w:bottom w:val="single" w:sz="4" w:space="0" w:color="auto"/>
              <w:right w:val="single" w:sz="4" w:space="0" w:color="auto"/>
            </w:tcBorders>
            <w:shd w:val="clear" w:color="auto" w:fill="E6E6E6"/>
          </w:tcPr>
          <w:p w:rsidR="00423AEF" w:rsidRPr="00493394" w:rsidP="00824525">
            <w:pPr>
              <w:spacing w:before="60" w:after="60"/>
              <w:jc w:val="both"/>
              <w:rPr>
                <w:rFonts w:ascii="Arial" w:hAnsi="Arial" w:cs="Arial"/>
                <w:b/>
                <w:bCs/>
                <w:smallCaps/>
                <w:sz w:val="20"/>
                <w:szCs w:val="20"/>
              </w:rPr>
            </w:pPr>
            <w:r>
              <w:rPr>
                <w:rFonts w:ascii="Arial" w:hAnsi="Arial"/>
                <w:b/>
                <w:smallCaps/>
                <w:sz w:val="20"/>
              </w:rPr>
              <w:t>Tipo probable de iniciativa</w:t>
            </w:r>
          </w:p>
        </w:tc>
        <w:tc>
          <w:tcPr>
            <w:tcW w:w="7381" w:type="dxa"/>
            <w:tcBorders>
              <w:top w:val="single" w:sz="4" w:space="0" w:color="auto"/>
              <w:left w:val="single" w:sz="4" w:space="0" w:color="auto"/>
              <w:bottom w:val="single" w:sz="4" w:space="0" w:color="auto"/>
              <w:right w:val="single" w:sz="4" w:space="0" w:color="auto"/>
            </w:tcBorders>
          </w:tcPr>
          <w:p w:rsidR="00423AEF" w:rsidRPr="00493394" w:rsidP="00810C61">
            <w:pPr>
              <w:spacing w:before="60" w:after="60"/>
              <w:jc w:val="both"/>
              <w:rPr>
                <w:rFonts w:ascii="Arial" w:hAnsi="Arial" w:cs="Arial"/>
                <w:color w:val="000080"/>
                <w:sz w:val="20"/>
                <w:szCs w:val="20"/>
              </w:rPr>
            </w:pPr>
            <w:r>
              <w:rPr>
                <w:rFonts w:ascii="Arial" w:hAnsi="Arial"/>
                <w:color w:val="000080"/>
                <w:sz w:val="20"/>
              </w:rPr>
              <w:t xml:space="preserve">Comunicación </w:t>
            </w:r>
          </w:p>
        </w:tc>
      </w:tr>
      <w:tr w:rsidTr="716D6114">
        <w:tblPrEx>
          <w:tblW w:w="10188" w:type="dxa"/>
          <w:tblLayout w:type="fixed"/>
          <w:tblLook w:val="01E0"/>
        </w:tblPrEx>
        <w:tc>
          <w:tcPr>
            <w:tcW w:w="2807" w:type="dxa"/>
            <w:tcBorders>
              <w:bottom w:val="single" w:sz="4" w:space="0" w:color="auto"/>
              <w:right w:val="single" w:sz="4" w:space="0" w:color="auto"/>
            </w:tcBorders>
            <w:shd w:val="clear" w:color="auto" w:fill="E6E6E6"/>
          </w:tcPr>
          <w:p w:rsidR="00002DFF" w:rsidRPr="00493394" w:rsidP="0066565B">
            <w:pPr>
              <w:spacing w:before="60" w:after="60"/>
              <w:jc w:val="both"/>
              <w:rPr>
                <w:rFonts w:ascii="Arial" w:hAnsi="Arial" w:cs="Arial"/>
                <w:b/>
                <w:bCs/>
                <w:smallCaps/>
                <w:sz w:val="20"/>
                <w:szCs w:val="20"/>
              </w:rPr>
            </w:pPr>
            <w:r>
              <w:rPr>
                <w:rFonts w:ascii="Arial" w:hAnsi="Arial"/>
                <w:b/>
                <w:smallCaps/>
                <w:sz w:val="20"/>
              </w:rPr>
              <w:t>Calendario orientativo</w:t>
            </w:r>
          </w:p>
        </w:tc>
        <w:tc>
          <w:tcPr>
            <w:tcW w:w="7381" w:type="dxa"/>
            <w:tcBorders>
              <w:top w:val="single" w:sz="4" w:space="0" w:color="auto"/>
              <w:left w:val="single" w:sz="4" w:space="0" w:color="auto"/>
              <w:bottom w:val="single" w:sz="4" w:space="0" w:color="auto"/>
              <w:right w:val="single" w:sz="4" w:space="0" w:color="auto"/>
            </w:tcBorders>
          </w:tcPr>
          <w:p w:rsidR="00002DFF" w:rsidRPr="00493394" w:rsidP="00B312B7">
            <w:pPr>
              <w:spacing w:before="120" w:after="120"/>
              <w:jc w:val="both"/>
              <w:rPr>
                <w:rFonts w:ascii="Arial" w:hAnsi="Arial" w:cs="Arial"/>
                <w:color w:val="000080"/>
                <w:sz w:val="20"/>
                <w:szCs w:val="20"/>
                <w:highlight w:val="green"/>
              </w:rPr>
            </w:pPr>
            <w:r>
              <w:rPr>
                <w:rFonts w:ascii="Arial" w:hAnsi="Arial"/>
                <w:color w:val="000080"/>
                <w:sz w:val="20"/>
              </w:rPr>
              <w:t>Tercer/cuarto trimestre de 2026 (fecha de adopción prevista)</w:t>
            </w:r>
          </w:p>
        </w:tc>
      </w:tr>
      <w:tr w:rsidTr="716D6114">
        <w:tblPrEx>
          <w:tblW w:w="10188" w:type="dxa"/>
          <w:tblLayout w:type="fixed"/>
          <w:tblLook w:val="01E0"/>
        </w:tblPrEx>
        <w:tc>
          <w:tcPr>
            <w:tcW w:w="2807" w:type="dxa"/>
            <w:tcBorders>
              <w:bottom w:val="single" w:sz="4" w:space="0" w:color="auto"/>
              <w:right w:val="single" w:sz="4" w:space="0" w:color="auto"/>
            </w:tcBorders>
            <w:shd w:val="clear" w:color="auto" w:fill="E6E6E6"/>
          </w:tcPr>
          <w:p w:rsidR="008D5042" w:rsidRPr="00493394" w:rsidP="00224B13">
            <w:pPr>
              <w:spacing w:before="60" w:after="60"/>
              <w:jc w:val="both"/>
              <w:rPr>
                <w:rFonts w:ascii="Arial" w:hAnsi="Arial" w:cs="Arial"/>
                <w:b/>
                <w:bCs/>
                <w:smallCaps/>
                <w:sz w:val="20"/>
                <w:szCs w:val="20"/>
              </w:rPr>
            </w:pPr>
            <w:r>
              <w:rPr>
                <w:rFonts w:ascii="Arial" w:hAnsi="Arial"/>
                <w:b/>
                <w:smallCaps/>
                <w:sz w:val="20"/>
              </w:rPr>
              <w:t>Información complementaria</w:t>
            </w:r>
          </w:p>
        </w:tc>
        <w:tc>
          <w:tcPr>
            <w:tcW w:w="7381" w:type="dxa"/>
            <w:tcBorders>
              <w:top w:val="single" w:sz="4" w:space="0" w:color="auto"/>
              <w:left w:val="single" w:sz="4" w:space="0" w:color="auto"/>
              <w:bottom w:val="single" w:sz="4" w:space="0" w:color="auto"/>
              <w:right w:val="single" w:sz="4" w:space="0" w:color="auto"/>
            </w:tcBorders>
          </w:tcPr>
          <w:p w:rsidR="008D5042" w:rsidRPr="00493394" w:rsidP="00347966">
            <w:pPr>
              <w:spacing w:before="120" w:after="120"/>
              <w:jc w:val="both"/>
              <w:rPr>
                <w:rFonts w:ascii="Arial" w:hAnsi="Arial" w:cs="Arial"/>
                <w:color w:val="000080"/>
                <w:sz w:val="20"/>
                <w:szCs w:val="20"/>
              </w:rPr>
            </w:pPr>
            <w:r>
              <w:fldChar w:fldCharType="begin"/>
            </w:r>
            <w:r>
              <w:instrText xml:space="preserve"> HYPERLINK "https://commission.europa.eu/document/download/028ce7d5-e328-4416-8f0d-35c8884acaa8_en?filename=Mission%20letter%20-%20KADIS.pdf" </w:instrText>
            </w:r>
            <w:r>
              <w:fldChar w:fldCharType="separate"/>
            </w:r>
            <w:r>
              <w:rPr>
                <w:rStyle w:val="Hyperlink"/>
                <w:rFonts w:ascii="Arial" w:hAnsi="Arial"/>
                <w:i/>
                <w:iCs/>
                <w:sz w:val="20"/>
              </w:rPr>
              <w:t>Mission letter to Commissioner Kadis</w:t>
            </w:r>
            <w:r>
              <w:rPr>
                <w:rStyle w:val="Hyperlink"/>
                <w:rFonts w:ascii="Arial" w:hAnsi="Arial"/>
                <w:sz w:val="20"/>
              </w:rPr>
              <w:t xml:space="preserve"> [«Carta de mandato al comisario Kadis»]</w:t>
            </w:r>
            <w:r>
              <w:fldChar w:fldCharType="end"/>
            </w:r>
          </w:p>
          <w:p w:rsidR="00C617A4" w:rsidRPr="00493394" w:rsidP="00347966">
            <w:pPr>
              <w:spacing w:before="120" w:after="120"/>
              <w:jc w:val="both"/>
              <w:rPr>
                <w:rFonts w:ascii="Arial" w:hAnsi="Arial" w:cs="Arial"/>
                <w:color w:val="000080"/>
                <w:sz w:val="20"/>
                <w:szCs w:val="20"/>
              </w:rPr>
            </w:pPr>
            <w:r>
              <w:fldChar w:fldCharType="begin"/>
            </w:r>
            <w:r>
              <w:instrText xml:space="preserve"> HYPERLINK "https://oceans-and-fisheries.ec.europa.eu/european-ocean-pact_es" </w:instrText>
            </w:r>
            <w:r>
              <w:fldChar w:fldCharType="separate"/>
            </w:r>
            <w:r>
              <w:rPr>
                <w:rStyle w:val="Hyperlink"/>
                <w:rFonts w:ascii="Arial" w:hAnsi="Arial"/>
                <w:sz w:val="20"/>
              </w:rPr>
              <w:t>Pacto Europeo por el Océano</w:t>
            </w:r>
            <w:r>
              <w:fldChar w:fldCharType="end"/>
            </w:r>
          </w:p>
        </w:tc>
      </w:tr>
      <w:tr w:rsidTr="716D6114">
        <w:tblPrEx>
          <w:tblW w:w="10188" w:type="dxa"/>
          <w:tblLayout w:type="fixed"/>
          <w:tblLook w:val="01E0"/>
        </w:tblPrEx>
        <w:tc>
          <w:tcPr>
            <w:tcW w:w="10188" w:type="dxa"/>
            <w:gridSpan w:val="2"/>
            <w:tcBorders>
              <w:bottom w:val="single" w:sz="4" w:space="0" w:color="auto"/>
              <w:right w:val="single" w:sz="4" w:space="0" w:color="auto"/>
            </w:tcBorders>
            <w:shd w:val="clear" w:color="auto" w:fill="E6E6E6"/>
          </w:tcPr>
          <w:p w:rsidR="00CF6C0F" w:rsidRPr="00493394" w:rsidP="00DD6E0D">
            <w:pPr>
              <w:spacing w:before="60" w:after="60"/>
              <w:rPr>
                <w:rFonts w:ascii="Arial" w:hAnsi="Arial" w:cs="Arial"/>
                <w:i/>
                <w:color w:val="FF0000"/>
                <w:sz w:val="18"/>
                <w:szCs w:val="18"/>
              </w:rPr>
            </w:pPr>
            <w:r>
              <w:rPr>
                <w:rFonts w:ascii="Arial" w:hAnsi="Arial"/>
                <w:i/>
                <w:color w:val="FF0000"/>
                <w:sz w:val="18"/>
              </w:rPr>
              <w:t>El presente documento tiene una finalidad meramente informativa. No predetermina la decisión final de la Comisión acerca de si se emprenderá esta iniciativa o acerca de su contenido definitivo. Todos los elementos de la iniciativa descritos en el presente documento, incluido el calendario, están sujetos a modificaciones.</w:t>
            </w:r>
          </w:p>
        </w:tc>
      </w:tr>
    </w:tbl>
    <w:p w:rsidR="00BA33B7" w:rsidRPr="00493394">
      <w:pPr>
        <w:rPr>
          <w:sz w:val="20"/>
          <w:szCs w:val="20"/>
        </w:rPr>
        <w:sectPr w:rsidSect="00E72EF2">
          <w:headerReference w:type="even" r:id="rId6"/>
          <w:headerReference w:type="default" r:id="rId7"/>
          <w:footerReference w:type="even" r:id="rId8"/>
          <w:footerReference w:type="default" r:id="rId9"/>
          <w:headerReference w:type="first" r:id="rId10"/>
          <w:footerReference w:type="first" r:id="rId11"/>
          <w:pgSz w:w="11906" w:h="16838" w:code="9"/>
          <w:pgMar w:top="851" w:right="567" w:bottom="851" w:left="1134" w:header="709" w:footer="709" w:gutter="0"/>
          <w:cols w:space="708"/>
          <w:titlePg/>
          <w:docGrid w:linePitch="360"/>
        </w:sectPr>
      </w:pPr>
    </w:p>
    <w:p w:rsidR="00BA33B7" w:rsidRPr="00493394">
      <w:pPr>
        <w:rPr>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88"/>
      </w:tblGrid>
      <w:tr w:rsidTr="1271F96D">
        <w:tblPrEx>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0188" w:type="dxa"/>
            <w:tcBorders>
              <w:bottom w:val="single" w:sz="4" w:space="0" w:color="auto"/>
            </w:tcBorders>
            <w:shd w:val="clear" w:color="auto" w:fill="0000FF"/>
          </w:tcPr>
          <w:p w:rsidR="009E6661" w:rsidRPr="00493394" w:rsidP="00AB4B4B">
            <w:pPr>
              <w:spacing w:before="60" w:after="60"/>
              <w:jc w:val="center"/>
              <w:rPr>
                <w:rFonts w:ascii="Arial" w:hAnsi="Arial" w:cs="Arial"/>
                <w:b/>
              </w:rPr>
            </w:pPr>
            <w:r>
              <w:rPr>
                <w:rFonts w:ascii="Arial" w:hAnsi="Arial"/>
                <w:b/>
              </w:rPr>
              <w:t>Contexto político, definición del problema y control de subsidiariedad</w:t>
            </w:r>
          </w:p>
        </w:tc>
      </w:tr>
      <w:tr w:rsidTr="1271F96D">
        <w:tblPrEx>
          <w:tblW w:w="10188" w:type="dxa"/>
          <w:tblLook w:val="01E0"/>
        </w:tblPrEx>
        <w:tc>
          <w:tcPr>
            <w:tcW w:w="10188" w:type="dxa"/>
            <w:tcBorders>
              <w:bottom w:val="single" w:sz="4" w:space="0" w:color="auto"/>
            </w:tcBorders>
            <w:shd w:val="clear" w:color="auto" w:fill="E6E6E6"/>
          </w:tcPr>
          <w:p w:rsidR="009E6661" w:rsidRPr="00493394" w:rsidP="1271F96D">
            <w:pPr>
              <w:spacing w:before="120" w:after="120"/>
              <w:jc w:val="both"/>
              <w:rPr>
                <w:rFonts w:ascii="Arial" w:hAnsi="Arial" w:cs="Arial"/>
                <w:b/>
                <w:bCs/>
                <w:color w:val="FF0000"/>
              </w:rPr>
            </w:pPr>
            <w:r>
              <w:rPr>
                <w:rFonts w:ascii="Arial" w:hAnsi="Arial"/>
                <w:b/>
              </w:rPr>
              <w:t xml:space="preserve">Contexto político </w:t>
            </w:r>
          </w:p>
        </w:tc>
      </w:tr>
      <w:tr w:rsidTr="1271F96D">
        <w:tblPrEx>
          <w:tblW w:w="10188" w:type="dxa"/>
          <w:tblLook w:val="01E0"/>
        </w:tblPrEx>
        <w:tc>
          <w:tcPr>
            <w:tcW w:w="10188" w:type="dxa"/>
            <w:tcBorders>
              <w:bottom w:val="single" w:sz="4" w:space="0" w:color="auto"/>
            </w:tcBorders>
          </w:tcPr>
          <w:p w:rsidR="00356E9F" w:rsidRPr="00493394" w:rsidP="00CC5A92">
            <w:pPr>
              <w:spacing w:before="60" w:after="120"/>
              <w:jc w:val="both"/>
              <w:rPr>
                <w:rFonts w:ascii="Arial" w:hAnsi="Arial" w:cs="Arial"/>
                <w:color w:val="000000" w:themeColor="text1"/>
                <w:sz w:val="20"/>
                <w:szCs w:val="20"/>
              </w:rPr>
            </w:pPr>
            <w:r>
              <w:rPr>
                <w:rFonts w:ascii="Arial" w:hAnsi="Arial"/>
                <w:color w:val="000000" w:themeColor="text1"/>
                <w:sz w:val="20"/>
              </w:rPr>
              <w:t>En la carta de mandato de la presidenta Von der Leyen, se encargó al comisario Kadis que desarrollara una «visión para el sector de la pesca y la acuicultura orientada hacia 2040». El objetivo de esta visión 2040 para la pesca y la acuicultura («la Visión 2040») es establecer un marco estratégico de quince años para orientar la evolución de las políticas a lo largo de la cadena de valor en los sectores de la pesca, la acuicultura y la transformación. La Visión 2040 también tiene por objeto abordar los retos sistémicos que afectan al sector de la pesca y la acuicultura, garantizando al mismo tiempo su sostenibilidad y competitividad a largo plazo.</w:t>
            </w:r>
          </w:p>
          <w:p w:rsidR="1414F83C" w:rsidRPr="00493394" w:rsidP="3C6E4B65">
            <w:pPr>
              <w:spacing w:before="60" w:after="120"/>
              <w:jc w:val="both"/>
              <w:rPr>
                <w:rFonts w:ascii="Arial" w:hAnsi="Arial" w:cs="Arial"/>
                <w:sz w:val="20"/>
                <w:szCs w:val="20"/>
              </w:rPr>
            </w:pPr>
            <w:r>
              <w:rPr>
                <w:rFonts w:ascii="Arial" w:hAnsi="Arial"/>
                <w:color w:val="000000" w:themeColor="text1"/>
                <w:sz w:val="20"/>
              </w:rPr>
              <w:t xml:space="preserve">El principio subyacente de la Visión 2040 será conectar los puntos entre las diferentes iniciativas de la Comisión, sobre la base del </w:t>
            </w:r>
            <w:r>
              <w:fldChar w:fldCharType="begin"/>
            </w:r>
            <w:r>
              <w:instrText xml:space="preserve"> HYPERLINK "https://oceans-and-fisheries.ec.europa.eu/fishers-future_es" </w:instrText>
            </w:r>
            <w:r>
              <w:fldChar w:fldCharType="separate"/>
            </w:r>
            <w:r>
              <w:rPr>
                <w:rStyle w:val="Hyperlink"/>
                <w:rFonts w:ascii="Arial" w:hAnsi="Arial"/>
                <w:sz w:val="20"/>
              </w:rPr>
              <w:t>estudio prospectivo «Pescadores del futuro»</w:t>
            </w:r>
            <w:r>
              <w:fldChar w:fldCharType="end"/>
            </w:r>
            <w:r>
              <w:rPr>
                <w:rFonts w:ascii="Arial" w:hAnsi="Arial"/>
                <w:color w:val="000000" w:themeColor="text1"/>
                <w:sz w:val="20"/>
              </w:rPr>
              <w:t xml:space="preserve">, el </w:t>
            </w:r>
            <w:r>
              <w:fldChar w:fldCharType="begin"/>
            </w:r>
            <w:r>
              <w:instrText xml:space="preserve"> HYPERLINK "https://oceans-and-fisheries.ec.europa.eu/european-ocean-pact_es" </w:instrText>
            </w:r>
            <w:r>
              <w:fldChar w:fldCharType="separate"/>
            </w:r>
            <w:r>
              <w:rPr>
                <w:rStyle w:val="Hyperlink"/>
                <w:rFonts w:ascii="Arial" w:hAnsi="Arial"/>
                <w:sz w:val="20"/>
              </w:rPr>
              <w:t>Pacto Europeo por el Océano</w:t>
            </w:r>
            <w:r>
              <w:fldChar w:fldCharType="end"/>
            </w:r>
            <w:r>
              <w:rPr>
                <w:rFonts w:ascii="Arial" w:hAnsi="Arial"/>
                <w:sz w:val="20"/>
              </w:rPr>
              <w:t xml:space="preserve"> y la</w:t>
            </w:r>
            <w:r>
              <w:rPr>
                <w:rFonts w:ascii="Arial" w:hAnsi="Arial"/>
                <w:color w:val="000000" w:themeColor="text1"/>
                <w:sz w:val="20"/>
              </w:rPr>
              <w:t xml:space="preserve"> evaluación en curso del </w:t>
            </w:r>
            <w:r>
              <w:fldChar w:fldCharType="begin"/>
            </w:r>
            <w:r>
              <w:instrText xml:space="preserve"> HYPERLINK "https://eur-lex.europa.eu/eli/reg/2013/1380/oj/spa" </w:instrText>
            </w:r>
            <w:r>
              <w:fldChar w:fldCharType="separate"/>
            </w:r>
            <w:r>
              <w:rPr>
                <w:rStyle w:val="Hyperlink"/>
                <w:rFonts w:ascii="Arial" w:hAnsi="Arial"/>
                <w:sz w:val="20"/>
              </w:rPr>
              <w:t>Reglamento sobre la política pesquera común</w:t>
            </w:r>
            <w:r>
              <w:fldChar w:fldCharType="end"/>
            </w:r>
            <w:r>
              <w:rPr>
                <w:rFonts w:ascii="Arial" w:hAnsi="Arial"/>
                <w:color w:val="000000" w:themeColor="text1"/>
                <w:sz w:val="20"/>
              </w:rPr>
              <w:t xml:space="preserve">, con el fin de ajustarse a las prioridades de la UE y aprovechar las lecciones aprendidas. La iniciativa incorporará la </w:t>
            </w:r>
            <w:r>
              <w:fldChar w:fldCharType="begin"/>
            </w:r>
            <w:r>
              <w:instrText xml:space="preserve"> HYPERLINK "https://maritime-forum.ec.europa.eu/theme/blue-economy-and-fisheries/blue-energy/energy-transition-partnership_es" \l ":~:text=The%20Energy%20Transition%20Partnership%20%28ETP%29%20is%20a%20collaborative,transition%20in%20the%20EU%20fisheries%20and%20aquaculture%20sector." </w:instrText>
            </w:r>
            <w:r>
              <w:fldChar w:fldCharType="separate"/>
            </w:r>
            <w:r>
              <w:rPr>
                <w:rStyle w:val="Hyperlink"/>
                <w:rFonts w:ascii="Arial" w:hAnsi="Arial"/>
                <w:sz w:val="20"/>
              </w:rPr>
              <w:t>hoja de ruta para la transición energética de la pesca y la acuicultura de la UE</w:t>
            </w:r>
            <w:r>
              <w:fldChar w:fldCharType="end"/>
            </w:r>
            <w:r>
              <w:rPr>
                <w:rFonts w:ascii="Arial" w:hAnsi="Arial"/>
                <w:sz w:val="20"/>
              </w:rPr>
              <w:t>, que</w:t>
            </w:r>
            <w:r>
              <w:rPr>
                <w:rFonts w:ascii="Arial" w:hAnsi="Arial"/>
                <w:color w:val="000000" w:themeColor="text1"/>
                <w:sz w:val="20"/>
              </w:rPr>
              <w:t xml:space="preserve"> se elaborará en paralelo, </w:t>
            </w:r>
            <w:r>
              <w:rPr>
                <w:rFonts w:ascii="Arial" w:hAnsi="Arial"/>
                <w:sz w:val="20"/>
              </w:rPr>
              <w:t xml:space="preserve">y </w:t>
            </w:r>
            <w:r>
              <w:rPr>
                <w:rFonts w:ascii="Arial" w:hAnsi="Arial"/>
                <w:color w:val="000000" w:themeColor="text1"/>
                <w:sz w:val="20"/>
              </w:rPr>
              <w:t xml:space="preserve">proporcionará el marco general para </w:t>
            </w:r>
            <w:r>
              <w:rPr>
                <w:rFonts w:ascii="Arial" w:hAnsi="Arial"/>
                <w:sz w:val="20"/>
              </w:rPr>
              <w:t xml:space="preserve">la </w:t>
            </w:r>
            <w:r>
              <w:fldChar w:fldCharType="begin"/>
            </w:r>
            <w:r>
              <w:instrText xml:space="preserve"> HYPERLINK "https://oceans-and-fisheries.ec.europa.eu/news/commission-launches-call-evidence-shape-eu-strategy-fisheries-external-action-2025-07-09_es" \l ":~:text=As%20announced%20in%20the%20European%20Ocean%20Pact%2C%20the,reinforce%20the%20EU%E2%80%99s%20commitment%20to%20sustainable%20ocean%20stewardship." </w:instrText>
            </w:r>
            <w:r>
              <w:fldChar w:fldCharType="separate"/>
            </w:r>
            <w:r>
              <w:rPr>
                <w:rStyle w:val="Hyperlink"/>
                <w:rFonts w:ascii="Arial" w:hAnsi="Arial"/>
                <w:sz w:val="20"/>
              </w:rPr>
              <w:t>estrategia de acción exterior de la UE en el sector pesquero</w:t>
            </w:r>
            <w:r>
              <w:fldChar w:fldCharType="end"/>
            </w:r>
            <w:r>
              <w:rPr>
                <w:rFonts w:ascii="Arial" w:hAnsi="Arial"/>
                <w:sz w:val="20"/>
              </w:rPr>
              <w:t>, que se adoptará al mismo tiempo que la Visión 2040. Asimismo, se ajustará a la estrategia para unas comunidades costeras e islas resilientes.</w:t>
            </w:r>
          </w:p>
          <w:p w:rsidR="006139D1" w:rsidRPr="00493394" w:rsidP="3C6E4B65">
            <w:pPr>
              <w:spacing w:before="60" w:after="120"/>
              <w:jc w:val="both"/>
              <w:rPr>
                <w:rFonts w:ascii="Arial" w:hAnsi="Arial" w:cs="Arial"/>
                <w:color w:val="000000" w:themeColor="text1"/>
                <w:sz w:val="20"/>
                <w:szCs w:val="20"/>
              </w:rPr>
            </w:pPr>
            <w:r>
              <w:rPr>
                <w:rFonts w:ascii="Arial" w:hAnsi="Arial"/>
                <w:color w:val="000000" w:themeColor="text1"/>
                <w:sz w:val="20"/>
              </w:rPr>
              <w:t xml:space="preserve">De este modo, la Visión 2040 entrará en el ámbito del actual </w:t>
            </w:r>
            <w:r>
              <w:rPr>
                <w:rFonts w:ascii="Arial" w:hAnsi="Arial"/>
                <w:sz w:val="20"/>
              </w:rPr>
              <w:t xml:space="preserve">programa de </w:t>
            </w:r>
            <w:r>
              <w:fldChar w:fldCharType="begin"/>
            </w:r>
            <w:r>
              <w:instrText xml:space="preserve"> HYPERLINK "https://commission.europa.eu/law/law-making-process/better-regulation/simplification-and-implementation/simplification_es" </w:instrText>
            </w:r>
            <w:r>
              <w:fldChar w:fldCharType="separate"/>
            </w:r>
            <w:r>
              <w:rPr>
                <w:rStyle w:val="Hyperlink"/>
                <w:rFonts w:ascii="Arial" w:hAnsi="Arial"/>
                <w:sz w:val="20"/>
              </w:rPr>
              <w:t>simplificación</w:t>
            </w:r>
            <w:r>
              <w:fldChar w:fldCharType="end"/>
            </w:r>
            <w:r>
              <w:rPr>
                <w:rFonts w:ascii="Arial" w:hAnsi="Arial"/>
                <w:color w:val="000000" w:themeColor="text1"/>
                <w:sz w:val="20"/>
              </w:rPr>
              <w:t xml:space="preserve"> de la Comisión, la propuesta de </w:t>
            </w:r>
            <w:r>
              <w:fldChar w:fldCharType="begin"/>
            </w:r>
            <w:r>
              <w:instrText xml:space="preserve"> HYPERLINK "https://commission.europa.eu/strategy-and-policy/eu-budget/long-term-eu-budget/eu-budget-2028-2034_es" </w:instrText>
            </w:r>
            <w:r>
              <w:fldChar w:fldCharType="separate"/>
            </w:r>
            <w:r>
              <w:rPr>
                <w:rStyle w:val="Hyperlink"/>
                <w:rFonts w:ascii="Arial" w:hAnsi="Arial"/>
                <w:sz w:val="20"/>
              </w:rPr>
              <w:t>presupuesto de la UE para 2028-2034</w:t>
            </w:r>
            <w:r>
              <w:fldChar w:fldCharType="end"/>
            </w:r>
            <w:r>
              <w:rPr>
                <w:rFonts w:ascii="Arial" w:hAnsi="Arial"/>
                <w:color w:val="000000" w:themeColor="text1"/>
                <w:sz w:val="20"/>
              </w:rPr>
              <w:t xml:space="preserve">, la </w:t>
            </w:r>
            <w:r>
              <w:fldChar w:fldCharType="begin"/>
            </w:r>
            <w:r>
              <w:instrText xml:space="preserve"> HYPERLINK "https://commission.europa.eu/topics/eu-competitiveness/competitiveness-compass_es" </w:instrText>
            </w:r>
            <w:r>
              <w:fldChar w:fldCharType="separate"/>
            </w:r>
            <w:r>
              <w:rPr>
                <w:rStyle w:val="Hyperlink"/>
                <w:rFonts w:ascii="Arial" w:hAnsi="Arial"/>
                <w:sz w:val="20"/>
              </w:rPr>
              <w:t>Brújula para la Competitividad</w:t>
            </w:r>
            <w:r>
              <w:fldChar w:fldCharType="end"/>
            </w:r>
            <w:r>
              <w:rPr>
                <w:rFonts w:ascii="Arial" w:hAnsi="Arial"/>
                <w:sz w:val="20"/>
              </w:rPr>
              <w:t xml:space="preserve">, la </w:t>
            </w:r>
            <w:r>
              <w:fldChar w:fldCharType="begin"/>
            </w:r>
            <w:r>
              <w:instrText xml:space="preserve"> HYPERLINK "https://agriculture.ec.europa.eu/overview-vision-agriculture-food/vision-agriculture-and-food_es" </w:instrText>
            </w:r>
            <w:r>
              <w:fldChar w:fldCharType="separate"/>
            </w:r>
            <w:r>
              <w:rPr>
                <w:rStyle w:val="Hyperlink"/>
                <w:rFonts w:ascii="Arial" w:hAnsi="Arial"/>
                <w:sz w:val="20"/>
              </w:rPr>
              <w:t>visión para la agricultura y la alimentación</w:t>
            </w:r>
            <w:r>
              <w:fldChar w:fldCharType="end"/>
            </w:r>
            <w:r>
              <w:rPr>
                <w:rFonts w:ascii="Arial" w:hAnsi="Arial"/>
                <w:sz w:val="20"/>
              </w:rPr>
              <w:t xml:space="preserve">, la </w:t>
            </w:r>
            <w:r>
              <w:fldChar w:fldCharType="begin"/>
            </w:r>
            <w:r>
              <w:instrText xml:space="preserve"> HYPERLINK "https://commission.europa.eu/topics/competitiveness/union-skills_es" </w:instrText>
            </w:r>
            <w:r>
              <w:fldChar w:fldCharType="separate"/>
            </w:r>
            <w:r>
              <w:rPr>
                <w:rStyle w:val="Hyperlink"/>
                <w:rFonts w:ascii="Arial" w:hAnsi="Arial"/>
                <w:sz w:val="20"/>
              </w:rPr>
              <w:t>Unión de las Competencias</w:t>
            </w:r>
            <w:r>
              <w:fldChar w:fldCharType="end"/>
            </w:r>
            <w:r>
              <w:rPr>
                <w:rFonts w:ascii="Arial" w:hAnsi="Arial"/>
                <w:sz w:val="20"/>
              </w:rPr>
              <w:t xml:space="preserve">, la </w:t>
            </w:r>
            <w:r>
              <w:fldChar w:fldCharType="begin"/>
            </w:r>
            <w:r>
              <w:instrText xml:space="preserve"> HYPERLINK "https://commission.europa.eu/strategy-and-policy/policies/consumers/consumer-protection-policy/2030-consumer-agenda_es" </w:instrText>
            </w:r>
            <w:r>
              <w:fldChar w:fldCharType="separate"/>
            </w:r>
            <w:r>
              <w:rPr>
                <w:rStyle w:val="Hyperlink"/>
                <w:rFonts w:ascii="Arial" w:hAnsi="Arial"/>
                <w:sz w:val="20"/>
              </w:rPr>
              <w:t>Agenda del Consumidor 2030</w:t>
            </w:r>
            <w:r>
              <w:fldChar w:fldCharType="end"/>
            </w:r>
            <w:r>
              <w:rPr>
                <w:rFonts w:ascii="Arial" w:hAnsi="Arial"/>
                <w:sz w:val="20"/>
              </w:rPr>
              <w:t xml:space="preserve">, la </w:t>
            </w:r>
            <w:r>
              <w:fldChar w:fldCharType="begin"/>
            </w:r>
            <w:r>
              <w:instrText xml:space="preserve"> HYPERLINK "https://environment.ec.europa.eu/strategy/bioeconomy-strategy_es" </w:instrText>
            </w:r>
            <w:r>
              <w:fldChar w:fldCharType="separate"/>
            </w:r>
            <w:r>
              <w:rPr>
                <w:rStyle w:val="Hyperlink"/>
                <w:rFonts w:ascii="Arial" w:hAnsi="Arial"/>
                <w:sz w:val="20"/>
              </w:rPr>
              <w:t>Estrategia de Bioeconomía</w:t>
            </w:r>
            <w:r>
              <w:fldChar w:fldCharType="end"/>
            </w:r>
            <w:r>
              <w:rPr>
                <w:rFonts w:ascii="Arial" w:hAnsi="Arial"/>
                <w:sz w:val="20"/>
              </w:rPr>
              <w:t xml:space="preserve"> </w:t>
            </w:r>
            <w:r>
              <w:rPr>
                <w:rFonts w:ascii="Arial" w:hAnsi="Arial"/>
                <w:color w:val="000000" w:themeColor="text1"/>
                <w:sz w:val="20"/>
              </w:rPr>
              <w:t xml:space="preserve">y el </w:t>
            </w:r>
            <w:r>
              <w:fldChar w:fldCharType="begin"/>
            </w:r>
            <w:r>
              <w:instrText xml:space="preserve"> HYPERLINK "https://environment.ec.europa.eu/topics/nature-and-biodiversity/nature-restoration-regulation_es" </w:instrText>
            </w:r>
            <w:r>
              <w:fldChar w:fldCharType="separate"/>
            </w:r>
            <w:r>
              <w:rPr>
                <w:rStyle w:val="Hyperlink"/>
                <w:rFonts w:ascii="Arial" w:hAnsi="Arial"/>
                <w:sz w:val="20"/>
              </w:rPr>
              <w:t>Reglamento relativo a la restauración de la naturaleza</w:t>
            </w:r>
            <w:r>
              <w:fldChar w:fldCharType="end"/>
            </w:r>
            <w:r>
              <w:rPr>
                <w:rFonts w:ascii="Arial" w:hAnsi="Arial"/>
                <w:sz w:val="20"/>
              </w:rPr>
              <w:t>.</w:t>
            </w:r>
            <w:r>
              <w:rPr>
                <w:rFonts w:ascii="Arial" w:hAnsi="Arial"/>
                <w:color w:val="000000" w:themeColor="text1"/>
                <w:sz w:val="20"/>
              </w:rPr>
              <w:t xml:space="preserve"> </w:t>
            </w:r>
          </w:p>
        </w:tc>
      </w:tr>
      <w:tr w:rsidTr="1271F96D">
        <w:tblPrEx>
          <w:tblW w:w="10188" w:type="dxa"/>
          <w:tblLook w:val="01E0"/>
        </w:tblPrEx>
        <w:tc>
          <w:tcPr>
            <w:tcW w:w="10188" w:type="dxa"/>
            <w:tcBorders>
              <w:bottom w:val="single" w:sz="4" w:space="0" w:color="auto"/>
            </w:tcBorders>
            <w:shd w:val="clear" w:color="auto" w:fill="E6E6E6"/>
          </w:tcPr>
          <w:p w:rsidR="0071651E" w:rsidRPr="00493394" w:rsidP="1271F96D">
            <w:pPr>
              <w:spacing w:before="120" w:after="120"/>
              <w:jc w:val="both"/>
              <w:rPr>
                <w:rFonts w:ascii="Arial" w:hAnsi="Arial" w:cs="Arial"/>
                <w:b/>
                <w:bCs/>
                <w:color w:val="FF0000"/>
              </w:rPr>
            </w:pPr>
            <w:r>
              <w:rPr>
                <w:rFonts w:ascii="Arial" w:hAnsi="Arial"/>
                <w:b/>
              </w:rPr>
              <w:t xml:space="preserve">Problema que la iniciativa se propone afrontar </w:t>
            </w:r>
          </w:p>
        </w:tc>
      </w:tr>
      <w:tr w:rsidTr="1271F96D">
        <w:tblPrEx>
          <w:tblW w:w="10188" w:type="dxa"/>
          <w:tblLook w:val="01E0"/>
        </w:tblPrEx>
        <w:tc>
          <w:tcPr>
            <w:tcW w:w="10188" w:type="dxa"/>
            <w:tcBorders>
              <w:bottom w:val="single" w:sz="4" w:space="0" w:color="auto"/>
            </w:tcBorders>
          </w:tcPr>
          <w:p w:rsidR="000B406A" w:rsidRPr="00493394" w:rsidP="00F76483">
            <w:pPr>
              <w:spacing w:after="120"/>
              <w:jc w:val="both"/>
              <w:rPr>
                <w:rFonts w:ascii="Arial" w:hAnsi="Arial" w:cs="Arial"/>
                <w:color w:val="000000" w:themeColor="text1"/>
                <w:sz w:val="20"/>
                <w:szCs w:val="20"/>
              </w:rPr>
            </w:pPr>
            <w:r>
              <w:rPr>
                <w:rFonts w:ascii="Arial" w:hAnsi="Arial"/>
                <w:color w:val="000000" w:themeColor="text1"/>
                <w:sz w:val="20"/>
              </w:rPr>
              <w:t xml:space="preserve">Gracias a los esfuerzos continuados de los pescadores, los productores acuícolas, la comunidad científica y las administraciones nacionales y de la UE, el sector de la pesca y la acuicultura de la UE ha mejorado constantemente su sostenibilidad, y </w:t>
            </w:r>
            <w:r>
              <w:fldChar w:fldCharType="begin"/>
            </w:r>
            <w:r>
              <w:instrText xml:space="preserve"> HYPERLINK "https://www.consilium.europa.eu/es/topics/fisheries/" </w:instrText>
            </w:r>
            <w:r>
              <w:fldChar w:fldCharType="separate"/>
            </w:r>
            <w:r>
              <w:rPr>
                <w:rStyle w:val="Hyperlink"/>
                <w:rFonts w:ascii="Arial" w:hAnsi="Arial"/>
                <w:sz w:val="20"/>
              </w:rPr>
              <w:t>ahora se sobreexplotan muchas menos poblaciones de peces en la UE que hace veinte años</w:t>
            </w:r>
            <w:r>
              <w:fldChar w:fldCharType="end"/>
            </w:r>
            <w:r>
              <w:rPr>
                <w:rFonts w:ascii="Arial" w:hAnsi="Arial"/>
                <w:color w:val="000000" w:themeColor="text1"/>
                <w:sz w:val="20"/>
              </w:rPr>
              <w:t>. No obstante, el sector de la pesca y la acuicultura de la UE sigue enfrentándose a importantes retos, algunos antiguos y otros nuevos.</w:t>
            </w:r>
          </w:p>
          <w:p w:rsidR="00C57089" w:rsidRPr="00493394" w:rsidP="15673A25">
            <w:pPr>
              <w:spacing w:after="120" w:line="259" w:lineRule="auto"/>
              <w:jc w:val="both"/>
              <w:rPr>
                <w:rFonts w:ascii="Arial" w:hAnsi="Arial" w:cs="Arial"/>
                <w:color w:val="000000" w:themeColor="text1"/>
                <w:sz w:val="20"/>
                <w:szCs w:val="20"/>
              </w:rPr>
            </w:pPr>
            <w:r>
              <w:rPr>
                <w:rFonts w:ascii="Arial" w:hAnsi="Arial"/>
                <w:color w:val="000000" w:themeColor="text1"/>
                <w:sz w:val="20"/>
              </w:rPr>
              <w:t xml:space="preserve">Varias poblaciones de peces siguen explotándose fuera de los límites biológicos seguros debido, entre otras cosas, a la excesiva presión pesquera. Sin embargo, la eutrofización, la contaminación y el cambio climático plantean obstáculos adicionales para lograr la sostenibilidad. Otro problema es la destrucción de hábitats marinos causada, por ejemplo, por la pesca y otras actividades marítimas y, en concreto, por el uso de artes de pesca que afectan negativamente a la biodiversidad o a los ecosistemas marinos. Los factores de estrés medioambiental y el impacto cada vez mayor del cambio climático, junto con los resultados económicos variables del sector, la </w:t>
            </w:r>
            <w:r>
              <w:rPr>
                <w:rFonts w:ascii="Arial" w:hAnsi="Arial"/>
                <w:color w:val="000000" w:themeColor="text1"/>
                <w:sz w:val="20"/>
              </w:rPr>
              <w:t>disminución del empleo y el aumento de la escasez de mano de obra, amenazan la viabilidad a largo plazo del sector de la pesca y la acuicultura de la UE.</w:t>
            </w:r>
          </w:p>
          <w:p w:rsidR="00C57089" w:rsidRPr="00493394" w:rsidP="1271F96D">
            <w:pPr>
              <w:spacing w:after="120" w:line="259" w:lineRule="auto"/>
              <w:jc w:val="both"/>
              <w:rPr>
                <w:rFonts w:ascii="Arial" w:hAnsi="Arial" w:cs="Arial"/>
                <w:color w:val="000000" w:themeColor="text1"/>
                <w:sz w:val="20"/>
                <w:szCs w:val="20"/>
              </w:rPr>
            </w:pPr>
            <w:r>
              <w:rPr>
                <w:rFonts w:ascii="Arial" w:hAnsi="Arial"/>
                <w:color w:val="000000" w:themeColor="text1"/>
                <w:sz w:val="20"/>
              </w:rPr>
              <w:t>Además, las difíciles condiciones de trabajo en el sector, que los salarios no remuneran de forma proporcional, y la incertidumbre sobre la viabilidad empresarial y las inversiones futuras disuaden a los jóvenes de incorporarse al sector, lo que dificulta el relevo generacional y contribuye a una crisis existencial en muchas comunidades locales. El hecho de que el sector de la pesca siga dependiendo en gran medida de los combustibles fósiles y de que determinados tipos de acuicultura consuman mucha energía hace que el sector sea especialmente vulnerable a las fluctuaciones de los precios de la energía fósil y también socava la sostenibilidad de los productos de la pesca y la acuicultura. Otros acontecimientos más generales, como la competencia por el espacio marítimo (energías renovables marinas, cables en los fondos marinos, zonas marinas protegidas) y los cambios geopolíticos (el Brexit o la guerra de agresión de Rusia contra Ucrania), han complicado aún más las perspectivas del sector.</w:t>
            </w:r>
          </w:p>
          <w:p w:rsidR="004E3C19" w:rsidRPr="00493394" w:rsidP="46EA2CDB">
            <w:pPr>
              <w:spacing w:after="120" w:line="259" w:lineRule="auto"/>
              <w:jc w:val="both"/>
              <w:rPr>
                <w:rFonts w:ascii="Arial" w:hAnsi="Arial" w:cs="Arial"/>
                <w:color w:val="000000" w:themeColor="text1"/>
                <w:sz w:val="20"/>
                <w:szCs w:val="20"/>
              </w:rPr>
            </w:pPr>
            <w:r>
              <w:rPr>
                <w:rFonts w:ascii="Arial" w:hAnsi="Arial"/>
                <w:color w:val="000000" w:themeColor="text1"/>
                <w:sz w:val="20"/>
              </w:rPr>
              <w:t>Sin una dirección estratégica clara, será difícil encontrar soluciones políticas coherentes, lo que, a su vez, reducirá la competitividad, exacerbará los riesgos medioambientales, ralentizará la transición energética, aumentará los riesgos para la seguridad alimentaria y perpetuará la escasez de mano de obra. Por tanto, abordar estos factores es fundamental para garantizar un sector de la pesca y la acuicultura de la UE sostenible, competitivo y socialmente viable y dinámico de aquí a 2040.</w:t>
            </w:r>
          </w:p>
        </w:tc>
      </w:tr>
      <w:tr w:rsidTr="1271F96D">
        <w:tblPrEx>
          <w:tblW w:w="10188" w:type="dxa"/>
          <w:tblLook w:val="01E0"/>
        </w:tblPrEx>
        <w:tc>
          <w:tcPr>
            <w:tcW w:w="10188" w:type="dxa"/>
            <w:tcBorders>
              <w:bottom w:val="single" w:sz="4" w:space="0" w:color="auto"/>
            </w:tcBorders>
            <w:shd w:val="clear" w:color="auto" w:fill="E6E6E6"/>
          </w:tcPr>
          <w:p w:rsidR="009E6661" w:rsidRPr="00493394" w:rsidP="1271F96D">
            <w:pPr>
              <w:spacing w:before="120" w:after="120"/>
              <w:jc w:val="both"/>
              <w:rPr>
                <w:rFonts w:ascii="Arial" w:hAnsi="Arial" w:cs="Arial"/>
                <w:b/>
                <w:bCs/>
                <w:color w:val="FF0000"/>
              </w:rPr>
            </w:pPr>
            <w:r>
              <w:rPr>
                <w:rFonts w:ascii="Arial" w:hAnsi="Arial"/>
                <w:b/>
              </w:rPr>
              <w:t xml:space="preserve">Base para la actuación de la UE (base jurídica y control de subsidiariedad) </w:t>
            </w:r>
          </w:p>
        </w:tc>
      </w:tr>
      <w:tr w:rsidTr="1271F96D">
        <w:tblPrEx>
          <w:tblW w:w="10188" w:type="dxa"/>
          <w:tblLook w:val="01E0"/>
        </w:tblPrEx>
        <w:tc>
          <w:tcPr>
            <w:tcW w:w="10188" w:type="dxa"/>
          </w:tcPr>
          <w:p w:rsidR="002B1AA3" w:rsidRPr="00493394" w:rsidP="001533F9">
            <w:pPr>
              <w:spacing w:before="120" w:after="120"/>
              <w:jc w:val="both"/>
              <w:rPr>
                <w:rFonts w:ascii="Arial" w:hAnsi="Arial" w:cs="Arial"/>
                <w:color w:val="000000" w:themeColor="text1"/>
                <w:sz w:val="20"/>
                <w:szCs w:val="20"/>
              </w:rPr>
            </w:pPr>
            <w:r>
              <w:rPr>
                <w:rFonts w:ascii="Arial" w:hAnsi="Arial"/>
                <w:color w:val="000000" w:themeColor="text1"/>
                <w:sz w:val="20"/>
              </w:rPr>
              <w:t>La UE tiene competencia exclusiva en materia de conservación de los recursos biológicos marinos con arreglo a la política pesquera común. En ámbitos como la acuicultura y la política de mercado, en los que la competencia es compartida con los Estados miembros, se aplica el principio de subsidiariedad. Este principio define las circunstancias en las que la actuación debe ser emprendida por la UE, en lugar de los Estados miembros por su cuenta.</w:t>
            </w:r>
          </w:p>
          <w:p w:rsidR="00826B3C" w:rsidRPr="00493394" w:rsidP="1271F96D">
            <w:pPr>
              <w:spacing w:before="120" w:after="120"/>
              <w:jc w:val="both"/>
              <w:rPr>
                <w:rFonts w:ascii="Arial" w:hAnsi="Arial" w:cs="Arial"/>
                <w:b/>
                <w:bCs/>
                <w:i/>
                <w:iCs/>
                <w:color w:val="1036A0"/>
                <w:sz w:val="20"/>
                <w:szCs w:val="20"/>
              </w:rPr>
            </w:pPr>
            <w:r>
              <w:rPr>
                <w:rFonts w:ascii="Arial" w:hAnsi="Arial"/>
                <w:color w:val="000000" w:themeColor="text1"/>
                <w:sz w:val="20"/>
              </w:rPr>
              <w:t>La Visión 2040 proporcionará una dirección estratégica general para todas las acciones de la UE en el ámbito de la pesca y la acuicultura. Esta iniciativa esencial garantizará una actuación coherente y ofrecerá una perspectiva y orientación al futuro sector de la pesca y la acuicultura de la UE, tanto en lo que respecta a las cuestiones que son competencia exclusiva de la UE como a aquellas en las que la competencia es compartida con los Estados miembros.</w:t>
            </w:r>
          </w:p>
        </w:tc>
      </w:tr>
      <w:tr w:rsidTr="1271F96D">
        <w:tblPrEx>
          <w:tblW w:w="10188" w:type="dxa"/>
          <w:tblLook w:val="01E0"/>
        </w:tblPrEx>
        <w:tc>
          <w:tcPr>
            <w:tcW w:w="10188" w:type="dxa"/>
            <w:tcBorders>
              <w:bottom w:val="single" w:sz="4" w:space="0" w:color="auto"/>
            </w:tcBorders>
            <w:shd w:val="clear" w:color="auto" w:fill="0000FF"/>
          </w:tcPr>
          <w:p w:rsidR="00423AEF" w:rsidRPr="00493394" w:rsidP="7AE2F7BD">
            <w:pPr>
              <w:spacing w:before="60" w:after="60"/>
              <w:jc w:val="both"/>
              <w:rPr>
                <w:rFonts w:ascii="Arial" w:hAnsi="Arial" w:cs="Arial"/>
                <w:b/>
                <w:bCs/>
              </w:rPr>
            </w:pPr>
            <w:r>
              <w:rPr>
                <w:rFonts w:ascii="Arial" w:hAnsi="Arial"/>
                <w:b/>
              </w:rPr>
              <w:t xml:space="preserve">B. Qué se propone conseguir la iniciativa y de qué modo </w:t>
            </w:r>
          </w:p>
        </w:tc>
      </w:tr>
      <w:tr w:rsidTr="1271F96D">
        <w:tblPrEx>
          <w:tblW w:w="10188" w:type="dxa"/>
          <w:tblLook w:val="01E0"/>
        </w:tblPrEx>
        <w:tc>
          <w:tcPr>
            <w:tcW w:w="10188" w:type="dxa"/>
            <w:tcBorders>
              <w:bottom w:val="single" w:sz="4" w:space="0" w:color="auto"/>
            </w:tcBorders>
          </w:tcPr>
          <w:p w:rsidR="00084183" w:rsidRPr="00493394" w:rsidP="00084183">
            <w:pPr>
              <w:spacing w:after="120"/>
              <w:jc w:val="both"/>
              <w:rPr>
                <w:rFonts w:ascii="Arial" w:hAnsi="Arial" w:cs="Arial"/>
                <w:sz w:val="20"/>
                <w:szCs w:val="20"/>
              </w:rPr>
            </w:pPr>
            <w:r>
              <w:rPr>
                <w:rFonts w:ascii="Arial" w:hAnsi="Arial"/>
                <w:sz w:val="20"/>
              </w:rPr>
              <w:t>La Visión 2040 proporcionará un marco coherente para los resultados estratégicos relacionados con las necesidades del sector de la pesca y la acuicultura de la UE. Se basará en los debates en curso sobre la consecución de unas condiciones de competencia equitativas, el refuerzo de la seguridad alimentaria, la conservación de los recursos biológicos marinos y la aplicación de reformas e innovaciones. Tomando como base estos debates, el objetivo es mejorar la competitividad, el relevo generacional y las competencias, impulsar las transiciones ecológica, digital y social y desarrollar las comunidades costeras e insulares. Además, la Visión 2040 abordará el acceso a la financiación para alcanzar estos objetivos y se centrará en la simplificación para que se alcancen de manera rentable.</w:t>
            </w:r>
          </w:p>
          <w:p w:rsidR="0587273B" w:rsidRPr="00493394" w:rsidP="3C6E4B65">
            <w:pPr>
              <w:spacing w:after="120"/>
              <w:jc w:val="both"/>
              <w:rPr>
                <w:rFonts w:ascii="Arial" w:hAnsi="Arial" w:cs="Arial"/>
                <w:color w:val="000000" w:themeColor="text1"/>
                <w:sz w:val="20"/>
                <w:szCs w:val="20"/>
              </w:rPr>
            </w:pPr>
            <w:r>
              <w:rPr>
                <w:rFonts w:ascii="Arial" w:hAnsi="Arial"/>
                <w:sz w:val="20"/>
              </w:rPr>
              <w:t xml:space="preserve">La Visión 2040 </w:t>
            </w:r>
            <w:r>
              <w:rPr>
                <w:rFonts w:ascii="Arial" w:hAnsi="Arial"/>
                <w:color w:val="000000" w:themeColor="text1"/>
                <w:sz w:val="20"/>
              </w:rPr>
              <w:t>presentará un enfoque holístico que proponga una orientación futura coherente para todos los aspectos de las actividades de pesca y acuicultura, incluida la demanda de los consumidores, el suministro de alimentos acuáticos, una mano de obra adaptada y herramientas de producción optimizadas (buques, granjas, puertos, etc.). Al desarrollar la Visión 2040, la Comisión tratará de determinar los compromisos económicos, sociales y medioambientales más pertinentes y los abordará de manera coherente, proporcionando una vía para transformar el sector de aquí a 2040. Estos compromisos también deberán tener en cuenta futuras incertidumbres relacionadas, por ejemplo, con la inestabilidad geopolítica y los efectos del cambio climático.</w:t>
            </w:r>
          </w:p>
          <w:p w:rsidR="257F58B1" w:rsidRPr="00493394" w:rsidP="1271F96D">
            <w:pPr>
              <w:spacing w:after="120"/>
              <w:jc w:val="both"/>
              <w:rPr>
                <w:rFonts w:ascii="Arial" w:eastAsia="Arial" w:hAnsi="Arial" w:cs="Arial"/>
                <w:color w:val="000000" w:themeColor="text1"/>
                <w:sz w:val="20"/>
                <w:szCs w:val="20"/>
              </w:rPr>
            </w:pPr>
            <w:r>
              <w:rPr>
                <w:rFonts w:ascii="Arial" w:hAnsi="Arial"/>
                <w:color w:val="000000" w:themeColor="text1"/>
                <w:sz w:val="20"/>
              </w:rPr>
              <w:t>Más concretamente, la Visión 2040 deberá abarcar aspectos como el futuro de la política pesquera común, los resultados económicos de la flota de la UE, la garantía de unas condiciones de competencia equitativas, la evolución del sistema alimentario acuático de la UE, las oportunidades de simplificación para garantizar la correcta aplicación de los marcos legislativos, las vías de transición energética para que el sector alcance la neutralidad en carbono de aquí a 2050, la doble transición ecológica y digital del sector, el atractivo de los sectores desde el punto de vista del empleo, el relevo generacional, las cuestiones de ordenación territorial y las oportunidades para garantizar la financiación de modelos de negocio resilientes, prestando especial atención a las regiones con necesidades concretas y tomando medidas adaptadas a ellas.</w:t>
            </w:r>
          </w:p>
          <w:p w:rsidR="76232490" w:rsidRPr="00493394" w:rsidP="46EA2CDB">
            <w:pPr>
              <w:spacing w:after="120"/>
              <w:jc w:val="both"/>
              <w:rPr>
                <w:rFonts w:ascii="Arial" w:eastAsia="Arial" w:hAnsi="Arial" w:cs="Arial"/>
                <w:sz w:val="20"/>
                <w:szCs w:val="20"/>
              </w:rPr>
            </w:pPr>
            <w:r>
              <w:rPr>
                <w:rFonts w:ascii="Arial" w:hAnsi="Arial"/>
                <w:color w:val="000000" w:themeColor="text1"/>
                <w:sz w:val="20"/>
              </w:rPr>
              <w:t xml:space="preserve">Como se indica en el Pacto Europeo por el Océano, la Visión 2040 propondrá una vía para los sectores de la pesca, la acuicultura y la transformación. Además, irá acompañada de la estrategia de acción exterior de la UE en el sector pesquero, también propuesta en el Pacto Europeo por el Océano. La hoja de ruta para la transición </w:t>
            </w:r>
            <w:r>
              <w:rPr>
                <w:rFonts w:ascii="Arial" w:hAnsi="Arial"/>
                <w:color w:val="000000" w:themeColor="text1"/>
                <w:sz w:val="20"/>
              </w:rPr>
              <w:t>energética, que se incorporará a la Comunicación sobre la Visión 2040, tendrá por objeto facilitar la transición energética del sector de la pesca y la acuicultura de la UE reduciendo su dependencia de los combustibles fósiles y mejorando la eficiencia energética mediante la adopción de fuentes de energía hipocarbónicas y neutras en carbono.</w:t>
            </w:r>
          </w:p>
          <w:p w:rsidR="004D3757" w:rsidRPr="00493394" w:rsidP="006C09D0">
            <w:pPr>
              <w:spacing w:after="120"/>
              <w:jc w:val="both"/>
              <w:rPr>
                <w:rFonts w:ascii="Arial" w:hAnsi="Arial" w:cs="Arial"/>
                <w:sz w:val="20"/>
                <w:szCs w:val="20"/>
              </w:rPr>
            </w:pPr>
            <w:r>
              <w:rPr>
                <w:rFonts w:ascii="Arial" w:hAnsi="Arial"/>
                <w:sz w:val="20"/>
              </w:rPr>
              <w:t xml:space="preserve">La Visión 2040 se presentará en forma de Comunicación de la Comisión y establecerá la dirección estratégica para </w:t>
            </w:r>
            <w:r>
              <w:rPr>
                <w:rFonts w:ascii="Arial" w:hAnsi="Arial"/>
                <w:color w:val="000000" w:themeColor="text1"/>
                <w:sz w:val="20"/>
              </w:rPr>
              <w:t xml:space="preserve">el sector de la pesca y la acuicultura de la UE </w:t>
            </w:r>
            <w:r>
              <w:rPr>
                <w:rFonts w:ascii="Arial" w:hAnsi="Arial"/>
                <w:sz w:val="20"/>
              </w:rPr>
              <w:t>hasta 2040. No se trata de un plan de acción ni de una hoja de ruta, por lo que no requiere un plan de ejecución.</w:t>
            </w:r>
          </w:p>
        </w:tc>
      </w:tr>
      <w:tr w:rsidTr="1271F96D">
        <w:tblPrEx>
          <w:tblW w:w="10188" w:type="dxa"/>
          <w:tblLook w:val="01E0"/>
        </w:tblPrEx>
        <w:tc>
          <w:tcPr>
            <w:tcW w:w="10188" w:type="dxa"/>
            <w:tcBorders>
              <w:bottom w:val="single" w:sz="4" w:space="0" w:color="auto"/>
            </w:tcBorders>
            <w:shd w:val="clear" w:color="auto" w:fill="0000FF"/>
          </w:tcPr>
          <w:p w:rsidR="0009231D" w:rsidRPr="00493394" w:rsidP="00353BFB">
            <w:pPr>
              <w:spacing w:before="60" w:after="60"/>
              <w:jc w:val="both"/>
              <w:rPr>
                <w:rFonts w:ascii="Arial" w:hAnsi="Arial" w:cs="Arial"/>
                <w:b/>
              </w:rPr>
            </w:pPr>
            <w:r>
              <w:rPr>
                <w:rFonts w:ascii="Arial" w:hAnsi="Arial"/>
                <w:b/>
                <w:highlight w:val="blue"/>
              </w:rPr>
              <w:t>C. Mejora de la legislación</w:t>
            </w:r>
          </w:p>
        </w:tc>
      </w:tr>
      <w:tr w:rsidTr="1271F96D">
        <w:tblPrEx>
          <w:tblW w:w="10188" w:type="dxa"/>
          <w:tblLook w:val="01E0"/>
        </w:tblPrEx>
        <w:tc>
          <w:tcPr>
            <w:tcW w:w="10188" w:type="dxa"/>
            <w:tcBorders>
              <w:bottom w:val="single" w:sz="4" w:space="0" w:color="auto"/>
            </w:tcBorders>
            <w:shd w:val="clear" w:color="auto" w:fill="E6E6E6"/>
          </w:tcPr>
          <w:p w:rsidR="00B312B7" w:rsidRPr="00493394" w:rsidP="1271F96D">
            <w:pPr>
              <w:spacing w:before="120" w:after="120"/>
              <w:jc w:val="both"/>
              <w:rPr>
                <w:rFonts w:ascii="Arial" w:hAnsi="Arial" w:cs="Arial"/>
                <w:b/>
                <w:bCs/>
                <w:color w:val="FF0000"/>
                <w:sz w:val="28"/>
                <w:szCs w:val="28"/>
              </w:rPr>
            </w:pPr>
            <w:r>
              <w:rPr>
                <w:rFonts w:ascii="Arial" w:hAnsi="Arial"/>
                <w:b/>
              </w:rPr>
              <w:t xml:space="preserve">Evaluación de impacto </w:t>
            </w:r>
          </w:p>
        </w:tc>
      </w:tr>
      <w:tr w:rsidTr="1271F96D">
        <w:tblPrEx>
          <w:tblW w:w="10188" w:type="dxa"/>
          <w:tblLook w:val="01E0"/>
        </w:tblPrEx>
        <w:tc>
          <w:tcPr>
            <w:tcW w:w="10188" w:type="dxa"/>
            <w:tcBorders>
              <w:bottom w:val="single" w:sz="4" w:space="0" w:color="auto"/>
            </w:tcBorders>
          </w:tcPr>
          <w:p w:rsidR="00DC02C2" w:rsidRPr="00493394" w:rsidP="000846B3">
            <w:pPr>
              <w:spacing w:before="60" w:after="240"/>
              <w:jc w:val="both"/>
              <w:rPr>
                <w:rFonts w:ascii="Arial" w:hAnsi="Arial" w:cs="Arial"/>
                <w:color w:val="000000" w:themeColor="text1"/>
                <w:sz w:val="20"/>
                <w:szCs w:val="20"/>
              </w:rPr>
            </w:pPr>
            <w:r>
              <w:rPr>
                <w:rFonts w:ascii="Arial" w:hAnsi="Arial"/>
                <w:color w:val="000000" w:themeColor="text1"/>
                <w:sz w:val="20"/>
              </w:rPr>
              <w:t>La Visión 2040 se presentará en forma de Comunicación de la Comisión. Dado que establecerá un marco de acción política, en lugar de instrumentos concretos, no requerirá una evaluación de impacto.</w:t>
            </w:r>
          </w:p>
        </w:tc>
      </w:tr>
      <w:tr w:rsidTr="1271F96D">
        <w:tblPrEx>
          <w:tblW w:w="10188" w:type="dxa"/>
          <w:tblLook w:val="01E0"/>
        </w:tblPrEx>
        <w:tc>
          <w:tcPr>
            <w:tcW w:w="10188" w:type="dxa"/>
            <w:tcBorders>
              <w:bottom w:val="single" w:sz="4" w:space="0" w:color="auto"/>
            </w:tcBorders>
            <w:shd w:val="clear" w:color="auto" w:fill="E6E6E6"/>
          </w:tcPr>
          <w:p w:rsidR="00B312B7" w:rsidRPr="00493394" w:rsidP="1271F96D">
            <w:pPr>
              <w:spacing w:before="60" w:after="60"/>
              <w:jc w:val="both"/>
              <w:rPr>
                <w:rFonts w:ascii="Arial" w:hAnsi="Arial" w:cs="Arial"/>
                <w:b/>
                <w:bCs/>
                <w:color w:val="FF0000"/>
              </w:rPr>
            </w:pPr>
            <w:r>
              <w:rPr>
                <w:rFonts w:ascii="Arial" w:hAnsi="Arial"/>
                <w:b/>
              </w:rPr>
              <w:t xml:space="preserve">Estrategia de consulta </w:t>
            </w:r>
          </w:p>
        </w:tc>
      </w:tr>
      <w:tr w:rsidTr="1271F96D">
        <w:tblPrEx>
          <w:tblW w:w="10188" w:type="dxa"/>
          <w:tblLook w:val="01E0"/>
        </w:tblPrEx>
        <w:tc>
          <w:tcPr>
            <w:tcW w:w="10188" w:type="dxa"/>
            <w:tcBorders>
              <w:bottom w:val="single" w:sz="4" w:space="0" w:color="auto"/>
            </w:tcBorders>
          </w:tcPr>
          <w:p w:rsidR="00AD68AF" w:rsidRPr="00493394" w:rsidP="474F2E7D">
            <w:pPr>
              <w:spacing w:before="60" w:after="60"/>
              <w:jc w:val="both"/>
              <w:rPr>
                <w:rFonts w:ascii="Arial" w:hAnsi="Arial" w:cs="Arial"/>
                <w:sz w:val="20"/>
                <w:szCs w:val="20"/>
              </w:rPr>
            </w:pPr>
            <w:r>
              <w:rPr>
                <w:rFonts w:ascii="Arial" w:hAnsi="Arial"/>
                <w:sz w:val="20"/>
              </w:rPr>
              <w:t>La Comisión intentará recabar información de las distintas partes interesadas que participan en la cadena de valor de la pesca y la acuicultura. Además, su estrategia de consulta se orientará explícitamente hacia la creación de consenso entre los distintos grupos de interés y las autoridades públicas sobre una visión común para el futuro del sector hasta 2040.</w:t>
            </w:r>
          </w:p>
          <w:p w:rsidR="009007E3" w:rsidRPr="00493394" w:rsidP="380D0A92">
            <w:pPr>
              <w:spacing w:before="60" w:after="60" w:line="259" w:lineRule="auto"/>
              <w:jc w:val="both"/>
              <w:rPr>
                <w:rFonts w:ascii="Arial" w:hAnsi="Arial" w:cs="Arial"/>
                <w:color w:val="000000" w:themeColor="text1"/>
                <w:sz w:val="20"/>
                <w:szCs w:val="20"/>
              </w:rPr>
            </w:pPr>
            <w:r>
              <w:rPr>
                <w:rFonts w:ascii="Arial" w:hAnsi="Arial"/>
                <w:sz w:val="20"/>
              </w:rPr>
              <w:t xml:space="preserve">Por lo tanto, la estrategia de consulta combinará una convocatoria de datos con actividades de consulta específicas, pero también incorporará </w:t>
            </w:r>
            <w:r>
              <w:rPr>
                <w:rFonts w:ascii="Arial" w:hAnsi="Arial"/>
                <w:color w:val="000000" w:themeColor="text1"/>
                <w:sz w:val="20"/>
              </w:rPr>
              <w:t xml:space="preserve">las conclusiones de la </w:t>
            </w:r>
            <w:r>
              <w:fldChar w:fldCharType="begin"/>
            </w:r>
            <w:r>
              <w:instrText xml:space="preserve"> HYPERLINK "https://maritime-forum.ec.europa.eu/theme/blue-economy-and-fisheries/blue-energy/energy-transition-partnership_es" </w:instrText>
            </w:r>
            <w:r>
              <w:fldChar w:fldCharType="separate"/>
            </w:r>
            <w:r>
              <w:rPr>
                <w:rStyle w:val="Hyperlink"/>
                <w:rFonts w:ascii="Arial" w:hAnsi="Arial"/>
                <w:sz w:val="20"/>
              </w:rPr>
              <w:t>Asociación para la Transición Energética</w:t>
            </w:r>
            <w:r>
              <w:fldChar w:fldCharType="end"/>
            </w:r>
            <w:r>
              <w:rPr>
                <w:rFonts w:ascii="Arial" w:hAnsi="Arial"/>
                <w:color w:val="000000" w:themeColor="text1"/>
                <w:sz w:val="20"/>
              </w:rPr>
              <w:t>, incluidas las conclusiones de la conferencia de alto nivel celebrada en febrero de 2026.</w:t>
            </w:r>
            <w:r>
              <w:rPr>
                <w:rFonts w:ascii="Arial" w:hAnsi="Arial"/>
                <w:sz w:val="20"/>
              </w:rPr>
              <w:t xml:space="preserve"> </w:t>
            </w:r>
            <w:r>
              <w:rPr>
                <w:rFonts w:ascii="Arial" w:hAnsi="Arial"/>
                <w:color w:val="000000" w:themeColor="text1"/>
                <w:sz w:val="20"/>
              </w:rPr>
              <w:t>El proceso de consulta tiene por objeto brindar a las partes interesadas la oportunidad de diseñar la visión 2040 para la pesca y la acuicultura de manera colaborativa e integradora, escuchando las opiniones de todas ellas.</w:t>
            </w:r>
          </w:p>
          <w:p w:rsidR="009007E3" w:rsidRPr="00493394" w:rsidP="3C6E4B65">
            <w:pPr>
              <w:spacing w:after="120"/>
              <w:rPr>
                <w:rFonts w:ascii="Arial" w:hAnsi="Arial" w:cs="Arial"/>
                <w:color w:val="000000" w:themeColor="text1"/>
                <w:sz w:val="20"/>
                <w:szCs w:val="20"/>
              </w:rPr>
            </w:pPr>
            <w:r>
              <w:rPr>
                <w:rFonts w:ascii="Arial" w:hAnsi="Arial"/>
                <w:color w:val="000000" w:themeColor="text1"/>
                <w:sz w:val="20"/>
              </w:rPr>
              <w:t>El alcance de la consulta abarcará las opiniones y puntos de vista de las administraciones nacionales, las autoridades regionales y locales, los sectores de la pesca</w:t>
            </w:r>
            <w:r>
              <w:rPr>
                <w:rFonts w:ascii="Arial" w:hAnsi="Arial"/>
                <w:sz w:val="20"/>
              </w:rPr>
              <w:t xml:space="preserve">, </w:t>
            </w:r>
            <w:r>
              <w:rPr>
                <w:rFonts w:ascii="Arial" w:hAnsi="Arial"/>
                <w:color w:val="000000" w:themeColor="text1"/>
                <w:sz w:val="20"/>
              </w:rPr>
              <w:t>la acuicultura y la transformación, los trabajadores y otros agentes de la cadena de valor, las organizaciones no gubernamentales, el mundo académico, los sindicatos, las instituciones de investigación y los ciudadanos.</w:t>
            </w:r>
          </w:p>
          <w:p w:rsidR="009007E3" w:rsidRPr="00493394" w:rsidP="3C6E4B65">
            <w:pPr>
              <w:spacing w:after="120"/>
              <w:rPr>
                <w:rFonts w:ascii="Arial" w:hAnsi="Arial" w:cs="Arial"/>
                <w:color w:val="000000" w:themeColor="text1"/>
                <w:sz w:val="20"/>
                <w:szCs w:val="20"/>
              </w:rPr>
            </w:pPr>
            <w:r>
              <w:rPr>
                <w:rFonts w:ascii="Arial" w:hAnsi="Arial"/>
                <w:color w:val="000000" w:themeColor="text1"/>
                <w:sz w:val="20"/>
              </w:rPr>
              <w:t>También se animará a los grupos de partes interesadas a compartir cualquier documento que hayan elaborado en el que se exponga su visión para el sector.</w:t>
            </w:r>
          </w:p>
        </w:tc>
      </w:tr>
      <w:tr w:rsidTr="1271F96D">
        <w:tblPrEx>
          <w:tblW w:w="10188" w:type="dxa"/>
          <w:tblLook w:val="01E0"/>
        </w:tblPrEx>
        <w:tc>
          <w:tcPr>
            <w:tcW w:w="10188" w:type="dxa"/>
            <w:tcBorders>
              <w:bottom w:val="single" w:sz="4" w:space="0" w:color="auto"/>
            </w:tcBorders>
            <w:shd w:val="clear" w:color="auto" w:fill="D9D9D9" w:themeFill="background1" w:themeFillShade="D9"/>
          </w:tcPr>
          <w:p w:rsidR="00B312B7" w:rsidRPr="00493394" w:rsidP="3C6E4B65">
            <w:pPr>
              <w:spacing w:before="60" w:after="60"/>
              <w:jc w:val="both"/>
              <w:rPr>
                <w:rFonts w:ascii="Arial" w:hAnsi="Arial" w:cs="Arial"/>
                <w:b/>
                <w:bCs/>
              </w:rPr>
            </w:pPr>
            <w:r>
              <w:rPr>
                <w:rFonts w:ascii="Arial" w:hAnsi="Arial"/>
                <w:b/>
              </w:rPr>
              <w:t>¿Por qué se realiza la consulta?</w:t>
            </w:r>
          </w:p>
        </w:tc>
      </w:tr>
      <w:tr w:rsidTr="1271F96D">
        <w:tblPrEx>
          <w:tblW w:w="10188" w:type="dxa"/>
          <w:tblLook w:val="01E0"/>
        </w:tblPrEx>
        <w:tc>
          <w:tcPr>
            <w:tcW w:w="10188" w:type="dxa"/>
            <w:tcBorders>
              <w:bottom w:val="single" w:sz="4" w:space="0" w:color="auto"/>
            </w:tcBorders>
          </w:tcPr>
          <w:p w:rsidR="00B312B7" w:rsidRPr="00493394" w:rsidP="15673A25">
            <w:pPr>
              <w:spacing w:before="60" w:after="60"/>
              <w:jc w:val="both"/>
              <w:rPr>
                <w:rFonts w:ascii="Arial" w:hAnsi="Arial" w:cs="Arial"/>
                <w:sz w:val="20"/>
                <w:szCs w:val="20"/>
              </w:rPr>
            </w:pPr>
            <w:r>
              <w:rPr>
                <w:rFonts w:ascii="Arial" w:hAnsi="Arial"/>
                <w:sz w:val="20"/>
              </w:rPr>
              <w:t>El objetivo de la consulta es recabar opiniones de las partes interesadas para dar forma a la Visión 2040 y, mediante su participación, fomentar la apropiación de los resultados. El éxito de cualquier visión requerirá la aceptación de todos los interesados, es decir, de todos aquellos que tengan un interés particular en un sector de la pesca y la acuicultura viable en la UE. La Comisión por sí sola no puede alcanzar este objetivo.</w:t>
            </w:r>
          </w:p>
        </w:tc>
      </w:tr>
      <w:tr w:rsidTr="1271F96D">
        <w:tblPrEx>
          <w:tblW w:w="10188" w:type="dxa"/>
          <w:tblLook w:val="01E0"/>
        </w:tblPrEx>
        <w:tc>
          <w:tcPr>
            <w:tcW w:w="10188" w:type="dxa"/>
            <w:tcBorders>
              <w:bottom w:val="single" w:sz="4" w:space="0" w:color="auto"/>
            </w:tcBorders>
            <w:shd w:val="clear" w:color="auto" w:fill="D9D9D9" w:themeFill="background1" w:themeFillShade="D9"/>
          </w:tcPr>
          <w:p w:rsidR="00B312B7" w:rsidRPr="00493394" w:rsidP="00B312B7">
            <w:pPr>
              <w:spacing w:before="60" w:after="60"/>
              <w:jc w:val="both"/>
              <w:rPr>
                <w:rFonts w:ascii="Arial" w:hAnsi="Arial" w:cs="Arial"/>
                <w:b/>
              </w:rPr>
            </w:pPr>
            <w:r>
              <w:rPr>
                <w:rFonts w:ascii="Arial" w:hAnsi="Arial"/>
                <w:b/>
              </w:rPr>
              <w:t>Público destinatario</w:t>
            </w:r>
          </w:p>
        </w:tc>
      </w:tr>
      <w:tr w:rsidTr="1271F96D">
        <w:tblPrEx>
          <w:tblW w:w="10188" w:type="dxa"/>
          <w:tblLook w:val="01E0"/>
        </w:tblPrEx>
        <w:tc>
          <w:tcPr>
            <w:tcW w:w="10188" w:type="dxa"/>
            <w:tcBorders>
              <w:bottom w:val="single" w:sz="4" w:space="0" w:color="auto"/>
            </w:tcBorders>
          </w:tcPr>
          <w:p w:rsidR="00B312B7" w:rsidRPr="00493394" w:rsidP="7E89311C">
            <w:pPr>
              <w:spacing w:before="60" w:after="60"/>
              <w:rPr>
                <w:rFonts w:ascii="Arial" w:hAnsi="Arial" w:cs="Arial"/>
                <w:color w:val="000000" w:themeColor="text1"/>
                <w:sz w:val="20"/>
                <w:szCs w:val="20"/>
              </w:rPr>
            </w:pPr>
            <w:r>
              <w:rPr>
                <w:rFonts w:ascii="Arial" w:hAnsi="Arial"/>
                <w:color w:val="000000" w:themeColor="text1"/>
                <w:sz w:val="20"/>
              </w:rPr>
              <w:t>Administraciones nacionales, autoridades regionales y locales, agentes de la cadena de valor (pesca, acuicultura, transformadores, importadores, minoristas, puertos, infraestructuras, construcción naval, consumidores, etc.), organizaciones de la sociedad civil (empresas, ONG, sindicatos), el mundo académico e instituciones de investigación.</w:t>
            </w:r>
          </w:p>
        </w:tc>
      </w:tr>
    </w:tbl>
    <w:p w:rsidR="009E6661" w:rsidRPr="00493394" w:rsidP="004B7E6F">
      <w:pPr>
        <w:rPr>
          <w:rFonts w:ascii="Arial" w:hAnsi="Arial" w:cs="Arial"/>
          <w:sz w:val="20"/>
          <w:szCs w:val="20"/>
        </w:rPr>
      </w:pPr>
    </w:p>
    <w:sectPr w:rsidSect="00C9010B">
      <w:footerReference w:type="even" r:id="rId12"/>
      <w:footerReference w:type="default" r:id="rId13"/>
      <w:headerReference w:type="first" r:id="rId14"/>
      <w:type w:val="continuous"/>
      <w:pgSz w:w="11906" w:h="16838" w:code="9"/>
      <w:pgMar w:top="851" w:right="567" w:bottom="85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A3D" w:rsidRPr="00493394" w:rsidP="00D92C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35A3D" w:rsidRPr="004933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A3D" w:rsidRPr="00493394" w:rsidP="002B4E61">
    <w:pPr>
      <w:pStyle w:val="Footer"/>
      <w:framePr w:wrap="around" w:vAnchor="text" w:hAnchor="margin" w:xAlign="center" w:y="1"/>
      <w:rPr>
        <w:rStyle w:val="PageNumber"/>
        <w:rFonts w:ascii="Arial" w:hAnsi="Arial"/>
        <w:sz w:val="16"/>
      </w:rPr>
    </w:pPr>
    <w:r>
      <w:tab/>
    </w:r>
    <w:r>
      <w:tab/>
    </w:r>
  </w:p>
  <w:p w:rsidR="00035A3D" w:rsidRPr="00493394" w:rsidP="002B4E61">
    <w:pPr>
      <w:pStyle w:val="Footer"/>
      <w:framePr w:wrap="around" w:vAnchor="text" w:hAnchor="margin" w:xAlign="center" w:y="1"/>
      <w:rPr>
        <w:rStyle w:val="PageNumber"/>
        <w:rFonts w:ascii="Arial" w:hAnsi="Arial"/>
        <w:sz w:val="16"/>
      </w:rPr>
    </w:pPr>
    <w:r>
      <w:tab/>
    </w:r>
    <w:r>
      <w:tab/>
    </w:r>
    <w:r>
      <w:tab/>
    </w:r>
    <w:r>
      <w:rPr>
        <w:rStyle w:val="PageNumber"/>
        <w:rFonts w:ascii="Arial" w:hAnsi="Arial"/>
        <w:sz w:val="16"/>
      </w:rPr>
      <w:t xml:space="preserve"> </w:t>
    </w: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Pr>
        <w:rStyle w:val="PageNumber"/>
        <w:rFonts w:ascii="Arial" w:hAnsi="Arial"/>
        <w:sz w:val="16"/>
      </w:rPr>
      <w:t>3</w:t>
    </w:r>
    <w:r>
      <w:rPr>
        <w:rStyle w:val="PageNumber"/>
        <w:rFonts w:ascii="Arial" w:hAnsi="Arial"/>
        <w:sz w:val="16"/>
      </w:rPr>
      <w:fldChar w:fldCharType="end"/>
    </w:r>
  </w:p>
  <w:p w:rsidR="00035A3D" w:rsidRPr="00493394">
    <w:pPr>
      <w:pStyle w:val="Footer"/>
      <w:rPr>
        <w:rFonts w:ascii="Arial" w:hAnsi="Arial"/>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31" w:rsidRPr="0049339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A3D" w:rsidRPr="00493394" w:rsidP="00D92C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35A3D" w:rsidRPr="0049339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A3D" w:rsidRPr="00493394" w:rsidP="002B4E61">
    <w:pPr>
      <w:pStyle w:val="Footer"/>
      <w:framePr w:wrap="around" w:vAnchor="text" w:hAnchor="margin" w:xAlign="center" w:y="1"/>
      <w:rPr>
        <w:rStyle w:val="PageNumber"/>
        <w:rFonts w:ascii="Arial" w:hAnsi="Arial"/>
        <w:sz w:val="16"/>
      </w:rPr>
    </w:pPr>
    <w:r>
      <w:tab/>
    </w:r>
    <w:r>
      <w:tab/>
    </w:r>
  </w:p>
  <w:p w:rsidR="00035A3D" w:rsidRPr="00493394" w:rsidP="002B4E61">
    <w:pPr>
      <w:pStyle w:val="Footer"/>
      <w:framePr w:wrap="around" w:vAnchor="text" w:hAnchor="margin" w:xAlign="center" w:y="1"/>
      <w:rPr>
        <w:rStyle w:val="PageNumber"/>
        <w:rFonts w:ascii="Arial" w:hAnsi="Arial"/>
        <w:sz w:val="16"/>
      </w:rPr>
    </w:pPr>
    <w:r>
      <w:tab/>
    </w:r>
    <w:r>
      <w:tab/>
    </w:r>
    <w:r>
      <w:tab/>
    </w:r>
    <w:r>
      <w:rPr>
        <w:rStyle w:val="PageNumber"/>
        <w:rFonts w:ascii="Arial" w:hAnsi="Arial"/>
        <w:sz w:val="16"/>
      </w:rPr>
      <w:t xml:space="preserve"> </w:t>
    </w: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Pr>
        <w:rStyle w:val="PageNumber"/>
        <w:rFonts w:ascii="Arial" w:hAnsi="Arial"/>
        <w:sz w:val="16"/>
      </w:rPr>
      <w:t>2</w:t>
    </w:r>
    <w:r>
      <w:rPr>
        <w:rStyle w:val="PageNumber"/>
        <w:rFonts w:ascii="Arial" w:hAnsi="Arial"/>
        <w:sz w:val="16"/>
      </w:rPr>
      <w:fldChar w:fldCharType="end"/>
    </w:r>
  </w:p>
  <w:p w:rsidR="00035A3D" w:rsidRPr="00493394">
    <w:pPr>
      <w:pStyle w:val="Footer"/>
      <w:rPr>
        <w:rFonts w:ascii="Arial" w:hAnsi="Arial"/>
        <w:sz w:val="1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31" w:rsidRPr="004933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31" w:rsidRPr="004933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A3D" w:rsidRPr="00493394" w:rsidP="00E72EF2">
    <w:pPr>
      <w:pStyle w:val="Header"/>
      <w:jc w:val="center"/>
    </w:pPr>
    <w:r>
      <w:rPr>
        <w:noProof/>
      </w:rPr>
      <w:drawing>
        <wp:inline distT="0" distB="0" distL="0" distR="0">
          <wp:extent cx="1941195" cy="6477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xmlns:r="http://schemas.openxmlformats.org/officeDocument/2006/relationships" r:embed="rId1"/>
                  <a:srcRect l="6383" r="3621" b="17460"/>
                  <a:stretch>
                    <a:fillRect/>
                  </a:stretch>
                </pic:blipFill>
                <pic:spPr bwMode="auto">
                  <a:xfrm>
                    <a:off x="0" y="0"/>
                    <a:ext cx="2054822" cy="68561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A3D" w:rsidRPr="00493394" w:rsidP="00E72EF2">
    <w:pPr>
      <w:pStyle w:val="Header"/>
      <w:jc w:val="center"/>
    </w:pPr>
    <w:r>
      <w:rPr>
        <w:rFonts w:ascii="Arial" w:hAnsi="Arial"/>
        <w:noProof/>
      </w:rPr>
      <w:drawing>
        <wp:inline distT="0" distB="0" distL="0" distR="0">
          <wp:extent cx="1908175" cy="508635"/>
          <wp:effectExtent l="0" t="0" r="0" b="5715"/>
          <wp:docPr id="2" name="Picture 2" descr="logo-ce-horizontal-en-quadri-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e-horizontal-en-quadri-l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8175" cy="50863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B"/>
    <w:multiLevelType w:val="multilevel"/>
    <w:tmpl w:val="0000000B"/>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D0D5E5F"/>
    <w:multiLevelType w:val="hybridMultilevel"/>
    <w:tmpl w:val="594C4F24"/>
    <w:lvl w:ilvl="0">
      <w:start w:val="1"/>
      <w:numFmt w:val="bullet"/>
      <w:lvlText w:val=""/>
      <w:lvlJc w:val="left"/>
      <w:pPr>
        <w:ind w:left="1080" w:hanging="360"/>
      </w:pPr>
      <w:rPr>
        <w:rFonts w:ascii="Symbol" w:hAnsi="Symbol" w:hint="default"/>
      </w:rPr>
    </w:lvl>
    <w:lvl w:ilvl="1">
      <w:start w:val="0"/>
      <w:numFmt w:val="bullet"/>
      <w:lvlText w:val="-"/>
      <w:lvlJc w:val="left"/>
      <w:pPr>
        <w:ind w:left="1800" w:hanging="360"/>
      </w:pPr>
      <w:rPr>
        <w:rFonts w:ascii="Times New Roman" w:eastAsia="Times New Roman" w:hAnsi="Times New Roman" w:cs="Times New Roman"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21A613A4"/>
    <w:multiLevelType w:val="hybridMultilevel"/>
    <w:tmpl w:val="88BCF7CA"/>
    <w:lvl w:ilvl="0">
      <w:start w:val="1"/>
      <w:numFmt w:val="bullet"/>
      <w:lvlText w:val=""/>
      <w:lvlJc w:val="left"/>
      <w:pPr>
        <w:ind w:left="1080" w:hanging="360"/>
      </w:pPr>
      <w:rPr>
        <w:rFonts w:ascii="Symbol" w:hAnsi="Symbol" w:hint="default"/>
        <w:color w:val="00B050"/>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23651E9C"/>
    <w:multiLevelType w:val="hybridMultilevel"/>
    <w:tmpl w:val="E998FB7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
    <w:nsid w:val="354C6BCA"/>
    <w:multiLevelType w:val="hybridMultilevel"/>
    <w:tmpl w:val="FA2E57D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
    <w:nsid w:val="370E4074"/>
    <w:multiLevelType w:val="hybridMultilevel"/>
    <w:tmpl w:val="A6B0462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
    <w:nsid w:val="3A3C3D2A"/>
    <w:multiLevelType w:val="hybridMultilevel"/>
    <w:tmpl w:val="54EA010A"/>
    <w:lvl w:ilvl="0">
      <w:start w:val="1"/>
      <w:numFmt w:val="bullet"/>
      <w:lvlText w:val=""/>
      <w:lvlJc w:val="left"/>
      <w:pPr>
        <w:ind w:left="360" w:hanging="360"/>
      </w:pPr>
      <w:rPr>
        <w:rFonts w:ascii="Symbol" w:hAnsi="Symbol" w:hint="default"/>
        <w:color w:val="002060"/>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4F792AF0"/>
    <w:multiLevelType w:val="hybridMultilevel"/>
    <w:tmpl w:val="21BED8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F7553A2"/>
    <w:multiLevelType w:val="hybridMultilevel"/>
    <w:tmpl w:val="E5B6FA5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6405577B"/>
    <w:multiLevelType w:val="hybridMultilevel"/>
    <w:tmpl w:val="A992E7B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1">
    <w:nsid w:val="6A6901C1"/>
    <w:multiLevelType w:val="singleLevel"/>
    <w:tmpl w:val="208841AE"/>
    <w:lvl w:ilvl="0">
      <w:start w:val="1"/>
      <w:numFmt w:val="bullet"/>
      <w:pStyle w:val="ListBullet1"/>
      <w:lvlText w:val=""/>
      <w:lvlJc w:val="left"/>
      <w:pPr>
        <w:tabs>
          <w:tab w:val="num" w:pos="1134"/>
        </w:tabs>
        <w:ind w:left="1134" w:hanging="283"/>
      </w:pPr>
      <w:rPr>
        <w:rFonts w:ascii="Symbol" w:hAnsi="Symbol" w:hint="default"/>
      </w:rPr>
    </w:lvl>
  </w:abstractNum>
  <w:abstractNum w:abstractNumId="12">
    <w:nsid w:val="6AC5505D"/>
    <w:multiLevelType w:val="hybridMultilevel"/>
    <w:tmpl w:val="B224ACE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3">
    <w:nsid w:val="6C41534E"/>
    <w:multiLevelType w:val="hybridMultilevel"/>
    <w:tmpl w:val="F82652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D2B5511"/>
    <w:multiLevelType w:val="singleLevel"/>
    <w:tmpl w:val="74A09970"/>
    <w:name w:val="List Bullet 1"/>
    <w:lvl w:ilvl="0">
      <w:start w:val="1"/>
      <w:numFmt w:val="bullet"/>
      <w:pStyle w:val="ListBullet"/>
      <w:lvlText w:val=""/>
      <w:lvlJc w:val="left"/>
      <w:pPr>
        <w:tabs>
          <w:tab w:val="num" w:pos="283"/>
        </w:tabs>
        <w:ind w:left="283" w:hanging="283"/>
      </w:pPr>
      <w:rPr>
        <w:rFonts w:ascii="Symbol" w:hAnsi="Symbol" w:hint="default"/>
      </w:rPr>
    </w:lvl>
  </w:abstractNum>
  <w:abstractNum w:abstractNumId="15">
    <w:nsid w:val="6D7B58CE"/>
    <w:multiLevelType w:val="hybridMultilevel"/>
    <w:tmpl w:val="55143764"/>
    <w:lvl w:ilvl="0">
      <w:start w:val="1"/>
      <w:numFmt w:val="bullet"/>
      <w:pStyle w:val="ListDash4"/>
      <w:lvlText w:val="–"/>
      <w:lvlJc w:val="left"/>
      <w:pPr>
        <w:tabs>
          <w:tab w:val="num" w:pos="1287"/>
        </w:tabs>
        <w:ind w:left="1287" w:hanging="283"/>
      </w:pPr>
      <w:rPr>
        <w:rFonts w:ascii="Times New Roman" w:hAnsi="Times New Roman" w:cs="Times New Roman" w:hint="default"/>
      </w:rPr>
    </w:lvl>
    <w:lvl w:ilvl="1">
      <w:start w:val="0"/>
      <w:numFmt w:val="bullet"/>
      <w:lvlText w:val="-"/>
      <w:lvlJc w:val="left"/>
      <w:pPr>
        <w:ind w:left="1593" w:hanging="360"/>
      </w:pPr>
      <w:rPr>
        <w:rFonts w:ascii="Times" w:eastAsia="Times New Roman" w:hAnsi="Times" w:cs="Times New Roman" w:hint="default"/>
      </w:rPr>
    </w:lvl>
    <w:lvl w:ilvl="2" w:tentative="1">
      <w:start w:val="1"/>
      <w:numFmt w:val="bullet"/>
      <w:lvlText w:val=""/>
      <w:lvlJc w:val="left"/>
      <w:pPr>
        <w:tabs>
          <w:tab w:val="num" w:pos="2313"/>
        </w:tabs>
        <w:ind w:left="2313" w:hanging="360"/>
      </w:pPr>
      <w:rPr>
        <w:rFonts w:ascii="Wingdings" w:hAnsi="Wingdings" w:hint="default"/>
      </w:rPr>
    </w:lvl>
    <w:lvl w:ilvl="3" w:tentative="1">
      <w:start w:val="1"/>
      <w:numFmt w:val="bullet"/>
      <w:lvlText w:val=""/>
      <w:lvlJc w:val="left"/>
      <w:pPr>
        <w:tabs>
          <w:tab w:val="num" w:pos="3033"/>
        </w:tabs>
        <w:ind w:left="3033" w:hanging="360"/>
      </w:pPr>
      <w:rPr>
        <w:rFonts w:ascii="Symbol" w:hAnsi="Symbol" w:hint="default"/>
      </w:rPr>
    </w:lvl>
    <w:lvl w:ilvl="4" w:tentative="1">
      <w:start w:val="1"/>
      <w:numFmt w:val="bullet"/>
      <w:lvlText w:val="o"/>
      <w:lvlJc w:val="left"/>
      <w:pPr>
        <w:tabs>
          <w:tab w:val="num" w:pos="3753"/>
        </w:tabs>
        <w:ind w:left="3753" w:hanging="360"/>
      </w:pPr>
      <w:rPr>
        <w:rFonts w:ascii="Courier New" w:hAnsi="Courier New" w:cs="Wingdings" w:hint="default"/>
      </w:rPr>
    </w:lvl>
    <w:lvl w:ilvl="5" w:tentative="1">
      <w:start w:val="1"/>
      <w:numFmt w:val="bullet"/>
      <w:lvlText w:val=""/>
      <w:lvlJc w:val="left"/>
      <w:pPr>
        <w:tabs>
          <w:tab w:val="num" w:pos="4473"/>
        </w:tabs>
        <w:ind w:left="4473" w:hanging="360"/>
      </w:pPr>
      <w:rPr>
        <w:rFonts w:ascii="Wingdings" w:hAnsi="Wingdings" w:hint="default"/>
      </w:rPr>
    </w:lvl>
    <w:lvl w:ilvl="6" w:tentative="1">
      <w:start w:val="1"/>
      <w:numFmt w:val="bullet"/>
      <w:lvlText w:val=""/>
      <w:lvlJc w:val="left"/>
      <w:pPr>
        <w:tabs>
          <w:tab w:val="num" w:pos="5193"/>
        </w:tabs>
        <w:ind w:left="5193" w:hanging="360"/>
      </w:pPr>
      <w:rPr>
        <w:rFonts w:ascii="Symbol" w:hAnsi="Symbol" w:hint="default"/>
      </w:rPr>
    </w:lvl>
    <w:lvl w:ilvl="7" w:tentative="1">
      <w:start w:val="1"/>
      <w:numFmt w:val="bullet"/>
      <w:lvlText w:val="o"/>
      <w:lvlJc w:val="left"/>
      <w:pPr>
        <w:tabs>
          <w:tab w:val="num" w:pos="5913"/>
        </w:tabs>
        <w:ind w:left="5913" w:hanging="360"/>
      </w:pPr>
      <w:rPr>
        <w:rFonts w:ascii="Courier New" w:hAnsi="Courier New" w:cs="Wingdings" w:hint="default"/>
      </w:rPr>
    </w:lvl>
    <w:lvl w:ilvl="8" w:tentative="1">
      <w:start w:val="1"/>
      <w:numFmt w:val="bullet"/>
      <w:lvlText w:val=""/>
      <w:lvlJc w:val="left"/>
      <w:pPr>
        <w:tabs>
          <w:tab w:val="num" w:pos="6633"/>
        </w:tabs>
        <w:ind w:left="6633" w:hanging="360"/>
      </w:pPr>
      <w:rPr>
        <w:rFonts w:ascii="Wingdings" w:hAnsi="Wingdings" w:hint="default"/>
      </w:rPr>
    </w:lvl>
  </w:abstractNum>
  <w:num w:numId="1">
    <w:abstractNumId w:val="14"/>
  </w:num>
  <w:num w:numId="2">
    <w:abstractNumId w:val="11"/>
  </w:num>
  <w:num w:numId="3">
    <w:abstractNumId w:val="15"/>
  </w:num>
  <w:num w:numId="4">
    <w:abstractNumId w:val="7"/>
  </w:num>
  <w:num w:numId="5">
    <w:abstractNumId w:val="2"/>
  </w:num>
  <w:num w:numId="6">
    <w:abstractNumId w:val="13"/>
  </w:num>
  <w:num w:numId="7">
    <w:abstractNumId w:val="9"/>
  </w:num>
  <w:num w:numId="8">
    <w:abstractNumId w:val="8"/>
  </w:num>
  <w:num w:numId="9">
    <w:abstractNumId w:val="3"/>
  </w:num>
  <w:num w:numId="10">
    <w:abstractNumId w:val="4"/>
  </w:num>
  <w:num w:numId="11">
    <w:abstractNumId w:val="5"/>
  </w:num>
  <w:num w:numId="12">
    <w:abstractNumId w:val="12"/>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07B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E6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E6661"/>
    <w:pPr>
      <w:tabs>
        <w:tab w:val="center" w:pos="4153"/>
        <w:tab w:val="right" w:pos="8306"/>
      </w:tabs>
    </w:pPr>
  </w:style>
  <w:style w:type="paragraph" w:styleId="FootnoteText">
    <w:name w:val="footnote text"/>
    <w:basedOn w:val="Normal"/>
    <w:link w:val="FootnoteTextChar"/>
    <w:semiHidden/>
    <w:rsid w:val="009E6661"/>
    <w:pPr>
      <w:spacing w:after="240"/>
      <w:ind w:left="357" w:hanging="357"/>
      <w:jc w:val="both"/>
    </w:pPr>
    <w:rPr>
      <w:sz w:val="20"/>
      <w:szCs w:val="20"/>
    </w:rPr>
  </w:style>
  <w:style w:type="character" w:styleId="FootnoteReference">
    <w:name w:val="footnote reference"/>
    <w:aliases w:val=" BVI fnr,BVI fnr,Footnote Reference Superscript,Footnote symbol"/>
    <w:semiHidden/>
    <w:rsid w:val="009E6661"/>
    <w:rPr>
      <w:vertAlign w:val="superscript"/>
    </w:rPr>
  </w:style>
  <w:style w:type="character" w:customStyle="1" w:styleId="FootnoteTextChar">
    <w:name w:val="Footnote Text Char"/>
    <w:link w:val="FootnoteText"/>
    <w:rsid w:val="009E6661"/>
    <w:rPr>
      <w:lang w:val="es-ES" w:eastAsia="en-GB" w:bidi="ar-SA"/>
    </w:rPr>
  </w:style>
  <w:style w:type="paragraph" w:styleId="ListBullet">
    <w:name w:val="List Bullet"/>
    <w:basedOn w:val="Normal"/>
    <w:rsid w:val="009E6661"/>
    <w:pPr>
      <w:numPr>
        <w:numId w:val="1"/>
      </w:numPr>
      <w:spacing w:before="120" w:after="120"/>
      <w:jc w:val="both"/>
    </w:pPr>
    <w:rPr>
      <w:lang w:eastAsia="de-DE"/>
    </w:rPr>
  </w:style>
  <w:style w:type="paragraph" w:customStyle="1" w:styleId="Text1">
    <w:name w:val="Text 1"/>
    <w:basedOn w:val="Normal"/>
    <w:rsid w:val="009E6661"/>
    <w:pPr>
      <w:spacing w:before="120" w:after="120"/>
      <w:ind w:left="850"/>
      <w:jc w:val="both"/>
    </w:pPr>
    <w:rPr>
      <w:lang w:eastAsia="en-US"/>
    </w:rPr>
  </w:style>
  <w:style w:type="character" w:styleId="Emphasis">
    <w:name w:val="Emphasis"/>
    <w:qFormat/>
    <w:rsid w:val="009E6661"/>
    <w:rPr>
      <w:b/>
      <w:bCs/>
      <w:i w:val="0"/>
      <w:iCs w:val="0"/>
    </w:rPr>
  </w:style>
  <w:style w:type="paragraph" w:customStyle="1" w:styleId="ListBullet1">
    <w:name w:val="List Bullet 1"/>
    <w:basedOn w:val="Normal"/>
    <w:rsid w:val="009E6661"/>
    <w:pPr>
      <w:numPr>
        <w:numId w:val="2"/>
      </w:numPr>
      <w:spacing w:before="120" w:after="120"/>
      <w:jc w:val="both"/>
    </w:pPr>
    <w:rPr>
      <w:lang w:eastAsia="de-DE"/>
    </w:rPr>
  </w:style>
  <w:style w:type="character" w:customStyle="1" w:styleId="at31">
    <w:name w:val="a__t31"/>
    <w:rsid w:val="009E6661"/>
    <w:rPr>
      <w:b/>
      <w:bCs/>
    </w:rPr>
  </w:style>
  <w:style w:type="paragraph" w:styleId="NormalWeb">
    <w:name w:val="Normal (Web)"/>
    <w:basedOn w:val="Normal"/>
    <w:link w:val="NormalWebChar"/>
    <w:rsid w:val="00D03063"/>
    <w:pPr>
      <w:spacing w:before="100" w:beforeAutospacing="1" w:after="100" w:afterAutospacing="1"/>
    </w:pPr>
  </w:style>
  <w:style w:type="character" w:customStyle="1" w:styleId="NormalWebChar">
    <w:name w:val="Normal (Web) Char"/>
    <w:link w:val="NormalWeb"/>
    <w:rsid w:val="00D03063"/>
    <w:rPr>
      <w:sz w:val="24"/>
      <w:szCs w:val="24"/>
      <w:lang w:val="es-ES" w:eastAsia="en-GB" w:bidi="ar-SA"/>
    </w:rPr>
  </w:style>
  <w:style w:type="paragraph" w:customStyle="1" w:styleId="ListDash4">
    <w:name w:val="List Dash 4"/>
    <w:basedOn w:val="Normal"/>
    <w:rsid w:val="00D03063"/>
    <w:pPr>
      <w:numPr>
        <w:numId w:val="3"/>
      </w:numPr>
    </w:pPr>
  </w:style>
  <w:style w:type="paragraph" w:styleId="Footer">
    <w:name w:val="footer"/>
    <w:basedOn w:val="Normal"/>
    <w:rsid w:val="00B07956"/>
    <w:pPr>
      <w:tabs>
        <w:tab w:val="center" w:pos="4536"/>
        <w:tab w:val="right" w:pos="9072"/>
      </w:tabs>
    </w:pPr>
  </w:style>
  <w:style w:type="character" w:styleId="PageNumber">
    <w:name w:val="page number"/>
    <w:basedOn w:val="DefaultParagraphFont"/>
    <w:rsid w:val="00B07956"/>
  </w:style>
  <w:style w:type="paragraph" w:styleId="BalloonText">
    <w:name w:val="Balloon Text"/>
    <w:basedOn w:val="Normal"/>
    <w:semiHidden/>
    <w:rsid w:val="00991122"/>
    <w:rPr>
      <w:rFonts w:ascii="Tahoma" w:hAnsi="Tahoma" w:cs="Tahoma"/>
      <w:sz w:val="16"/>
      <w:szCs w:val="16"/>
    </w:rPr>
  </w:style>
  <w:style w:type="character" w:styleId="Hyperlink">
    <w:name w:val="Hyperlink"/>
    <w:uiPriority w:val="99"/>
    <w:unhideWhenUsed/>
    <w:rsid w:val="003154F3"/>
    <w:rPr>
      <w:color w:val="0000FF"/>
      <w:u w:val="single"/>
    </w:rPr>
  </w:style>
  <w:style w:type="character" w:styleId="CommentReference">
    <w:name w:val="annotation reference"/>
    <w:rsid w:val="000E132C"/>
    <w:rPr>
      <w:sz w:val="16"/>
      <w:szCs w:val="16"/>
    </w:rPr>
  </w:style>
  <w:style w:type="paragraph" w:styleId="CommentText">
    <w:name w:val="annotation text"/>
    <w:basedOn w:val="Normal"/>
    <w:link w:val="CommentTextChar"/>
    <w:rsid w:val="000E132C"/>
    <w:rPr>
      <w:sz w:val="20"/>
      <w:szCs w:val="20"/>
    </w:rPr>
  </w:style>
  <w:style w:type="character" w:customStyle="1" w:styleId="CommentTextChar">
    <w:name w:val="Comment Text Char"/>
    <w:basedOn w:val="DefaultParagraphFont"/>
    <w:link w:val="CommentText"/>
    <w:rsid w:val="000E132C"/>
  </w:style>
  <w:style w:type="paragraph" w:styleId="CommentSubject">
    <w:name w:val="annotation subject"/>
    <w:basedOn w:val="CommentText"/>
    <w:next w:val="CommentText"/>
    <w:link w:val="CommentSubjectChar"/>
    <w:rsid w:val="000E132C"/>
    <w:rPr>
      <w:b/>
      <w:bCs/>
    </w:rPr>
  </w:style>
  <w:style w:type="character" w:customStyle="1" w:styleId="CommentSubjectChar">
    <w:name w:val="Comment Subject Char"/>
    <w:link w:val="CommentSubject"/>
    <w:rsid w:val="000E132C"/>
    <w:rPr>
      <w:b/>
      <w:bCs/>
    </w:rPr>
  </w:style>
  <w:style w:type="paragraph" w:customStyle="1" w:styleId="ListDash1">
    <w:name w:val="List Dash 1"/>
    <w:basedOn w:val="Normal"/>
    <w:qFormat/>
    <w:rsid w:val="00FA069C"/>
    <w:pPr>
      <w:tabs>
        <w:tab w:val="num" w:pos="567"/>
      </w:tabs>
      <w:ind w:left="568" w:hanging="284"/>
    </w:pPr>
  </w:style>
  <w:style w:type="paragraph" w:styleId="ListParagraph">
    <w:name w:val="List Paragraph"/>
    <w:basedOn w:val="Normal"/>
    <w:uiPriority w:val="34"/>
    <w:qFormat/>
    <w:rsid w:val="001C7D0F"/>
    <w:pPr>
      <w:ind w:left="720"/>
      <w:contextualSpacing/>
    </w:pPr>
  </w:style>
  <w:style w:type="character" w:styleId="FollowedHyperlink">
    <w:name w:val="FollowedHyperlink"/>
    <w:basedOn w:val="DefaultParagraphFont"/>
    <w:rsid w:val="00454F27"/>
    <w:rPr>
      <w:color w:val="800080" w:themeColor="followedHyperlink"/>
      <w:u w:val="single"/>
    </w:rPr>
  </w:style>
  <w:style w:type="paragraph" w:styleId="Revision">
    <w:name w:val="Revision"/>
    <w:hidden/>
    <w:uiPriority w:val="99"/>
    <w:semiHidden/>
    <w:rsid w:val="00810C61"/>
    <w:rPr>
      <w:sz w:val="24"/>
      <w:szCs w:val="24"/>
    </w:rPr>
  </w:style>
  <w:style w:type="character" w:customStyle="1" w:styleId="UnresolvedMention">
    <w:name w:val="Unresolved Mention"/>
    <w:basedOn w:val="DefaultParagraphFont"/>
    <w:uiPriority w:val="99"/>
    <w:semiHidden/>
    <w:unhideWhenUsed/>
    <w:rsid w:val="00760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_rels/header4.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DF71C-59A8-4C6F-A3C1-8CF867750A43}">
  <ds:schemaRefs>
    <ds:schemaRef ds:uri="http://schemas.microsoft.com/office/2006/metadata/longProperties"/>
  </ds:schemaRefs>
</ds:datastoreItem>
</file>

<file path=customXml/itemProps2.xml><?xml version="1.0" encoding="utf-8"?>
<ds:datastoreItem xmlns:ds="http://schemas.openxmlformats.org/officeDocument/2006/customXml" ds:itemID="{C019C7C2-FFD0-42A3-8379-592EFD88BF9E}">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