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72EF2" w:rsidRPr="00347966">
      <w:pP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381"/>
      </w:tblGrid>
      <w:tr w:rsidTr="6FEFF60A">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188" w:type="dxa"/>
            <w:gridSpan w:val="2"/>
            <w:tcBorders>
              <w:bottom w:val="single" w:sz="4" w:space="0" w:color="auto"/>
            </w:tcBorders>
            <w:shd w:val="clear" w:color="auto" w:fill="0000FF"/>
          </w:tcPr>
          <w:p w:rsidR="007D6F93" w:rsidRPr="00347966" w:rsidP="6FEFF60A">
            <w:pPr>
              <w:spacing w:before="60" w:after="60"/>
              <w:jc w:val="center"/>
              <w:rPr>
                <w:rFonts w:ascii="Arial" w:hAnsi="Arial" w:cs="Arial"/>
                <w:b/>
                <w:bCs/>
                <w:sz w:val="28"/>
                <w:szCs w:val="28"/>
              </w:rPr>
            </w:pPr>
            <w:r>
              <w:rPr>
                <w:rFonts w:ascii="Arial" w:hAnsi="Arial"/>
                <w:b/>
                <w:sz w:val="28"/>
              </w:rPr>
              <w:t>CONVOCATORIA DE DATOS</w:t>
            </w:r>
          </w:p>
          <w:p w:rsidR="009E6661" w:rsidRPr="00347966" w:rsidP="00B312B7">
            <w:pPr>
              <w:spacing w:before="60" w:after="60"/>
              <w:jc w:val="center"/>
              <w:rPr>
                <w:rFonts w:ascii="Arial" w:hAnsi="Arial" w:cs="Arial"/>
                <w:b/>
                <w:i/>
                <w:sz w:val="20"/>
                <w:szCs w:val="20"/>
              </w:rPr>
            </w:pPr>
            <w:r>
              <w:rPr>
                <w:rFonts w:ascii="Arial" w:hAnsi="Arial"/>
                <w:b/>
                <w:sz w:val="28"/>
              </w:rPr>
              <w:t>PARA UN CONTROL DE ADECUACIÓN</w:t>
            </w:r>
          </w:p>
        </w:tc>
      </w:tr>
      <w:tr w:rsidTr="6FEFF60A">
        <w:tblPrEx>
          <w:tblW w:w="10188" w:type="dxa"/>
          <w:tblLayout w:type="fixed"/>
          <w:tblLook w:val="01E0"/>
        </w:tblPrEx>
        <w:tc>
          <w:tcPr>
            <w:tcW w:w="2807" w:type="dxa"/>
            <w:tcBorders>
              <w:bottom w:val="single" w:sz="4" w:space="0" w:color="auto"/>
            </w:tcBorders>
            <w:shd w:val="clear" w:color="auto" w:fill="E6E6E6"/>
          </w:tcPr>
          <w:p w:rsidR="009E6661" w:rsidRPr="00196B5E" w:rsidP="00824525">
            <w:pPr>
              <w:spacing w:before="60" w:after="60"/>
              <w:jc w:val="both"/>
              <w:rPr>
                <w:rFonts w:ascii="Arial" w:hAnsi="Arial" w:cs="Arial"/>
                <w:b/>
                <w:bCs/>
                <w:smallCaps/>
                <w:sz w:val="20"/>
                <w:szCs w:val="20"/>
              </w:rPr>
            </w:pPr>
            <w:r>
              <w:rPr>
                <w:rFonts w:ascii="Arial" w:hAnsi="Arial"/>
                <w:b/>
                <w:smallCaps/>
                <w:sz w:val="20"/>
              </w:rPr>
              <w:t>Título de la iniciativa</w:t>
            </w:r>
          </w:p>
        </w:tc>
        <w:tc>
          <w:tcPr>
            <w:tcW w:w="7381" w:type="dxa"/>
            <w:shd w:val="clear" w:color="auto" w:fill="auto"/>
          </w:tcPr>
          <w:p w:rsidR="0075560F" w:rsidRPr="00196B5E" w:rsidP="00347966">
            <w:pPr>
              <w:spacing w:before="60" w:after="120"/>
              <w:jc w:val="both"/>
              <w:rPr>
                <w:rFonts w:ascii="Arial" w:hAnsi="Arial" w:cs="Arial"/>
                <w:color w:val="000080"/>
                <w:sz w:val="20"/>
                <w:szCs w:val="20"/>
              </w:rPr>
            </w:pPr>
            <w:r>
              <w:rPr>
                <w:rFonts w:ascii="Arial" w:hAnsi="Arial"/>
                <w:color w:val="000080"/>
                <w:sz w:val="20"/>
              </w:rPr>
              <w:t>Control de adecuación para evaluar la arquitectura de seguridad energética de la UE</w:t>
            </w:r>
          </w:p>
        </w:tc>
      </w:tr>
      <w:tr w:rsidTr="6FEFF60A">
        <w:tblPrEx>
          <w:tblW w:w="10188" w:type="dxa"/>
          <w:tblLayout w:type="fixed"/>
          <w:tblLook w:val="01E0"/>
        </w:tblPrEx>
        <w:tc>
          <w:tcPr>
            <w:tcW w:w="2807" w:type="dxa"/>
            <w:tcBorders>
              <w:bottom w:val="single" w:sz="4" w:space="0" w:color="auto"/>
              <w:right w:val="single" w:sz="4" w:space="0" w:color="auto"/>
            </w:tcBorders>
            <w:shd w:val="clear" w:color="auto" w:fill="E6E6E6"/>
          </w:tcPr>
          <w:p w:rsidR="00F07210" w:rsidRPr="00196B5E" w:rsidP="008B4A52">
            <w:pPr>
              <w:spacing w:before="60" w:after="60"/>
              <w:jc w:val="both"/>
              <w:rPr>
                <w:rFonts w:ascii="Arial" w:hAnsi="Arial" w:cs="Arial"/>
                <w:b/>
                <w:bCs/>
                <w:smallCaps/>
                <w:sz w:val="20"/>
                <w:szCs w:val="20"/>
              </w:rPr>
            </w:pPr>
            <w:r>
              <w:rPr>
                <w:rFonts w:ascii="Arial" w:hAnsi="Arial"/>
                <w:b/>
                <w:smallCaps/>
                <w:sz w:val="20"/>
              </w:rPr>
              <w:t>DG principal. Unidad responsable</w:t>
            </w:r>
            <w:r>
              <w:rPr>
                <w:rFonts w:ascii="Arial" w:hAnsi="Arial"/>
                <w:b/>
                <w:smallCaps/>
                <w:sz w:val="20"/>
              </w:rPr>
              <w:t xml:space="preserve"> </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F07210" w:rsidRPr="00347966" w:rsidP="00106A9A">
            <w:pPr>
              <w:spacing w:before="60" w:after="60"/>
              <w:jc w:val="both"/>
              <w:rPr>
                <w:rFonts w:ascii="Arial" w:hAnsi="Arial" w:cs="Arial"/>
                <w:color w:val="000080"/>
                <w:sz w:val="20"/>
                <w:szCs w:val="20"/>
              </w:rPr>
            </w:pPr>
            <w:r>
              <w:rPr>
                <w:rFonts w:ascii="Arial" w:hAnsi="Arial"/>
                <w:color w:val="000080"/>
                <w:sz w:val="20"/>
              </w:rPr>
              <w:t>Dirección General de Energía, Unidad B4. Seguridad y Protección de la Energía</w:t>
            </w:r>
          </w:p>
        </w:tc>
      </w:tr>
      <w:tr w:rsidTr="6FEFF60A">
        <w:tblPrEx>
          <w:tblW w:w="10188" w:type="dxa"/>
          <w:tblLayout w:type="fixed"/>
          <w:tblLook w:val="01E0"/>
        </w:tblPrEx>
        <w:tc>
          <w:tcPr>
            <w:tcW w:w="2807" w:type="dxa"/>
            <w:tcBorders>
              <w:bottom w:val="single" w:sz="4" w:space="0" w:color="auto"/>
              <w:right w:val="single" w:sz="4" w:space="0" w:color="auto"/>
            </w:tcBorders>
            <w:shd w:val="clear" w:color="auto" w:fill="E6E6E6"/>
          </w:tcPr>
          <w:p w:rsidR="00423AEF" w:rsidRPr="00196B5E" w:rsidP="00824525">
            <w:pPr>
              <w:spacing w:before="60" w:after="60"/>
              <w:jc w:val="both"/>
              <w:rPr>
                <w:rFonts w:ascii="Arial" w:hAnsi="Arial" w:cs="Arial"/>
                <w:b/>
                <w:bCs/>
                <w:smallCaps/>
                <w:sz w:val="20"/>
                <w:szCs w:val="20"/>
              </w:rPr>
            </w:pPr>
            <w:r>
              <w:rPr>
                <w:rFonts w:ascii="Arial" w:hAnsi="Arial"/>
                <w:b/>
                <w:smallCaps/>
                <w:sz w:val="20"/>
              </w:rPr>
              <w:t>Tipo probable de iniciativa</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423AEF" w:rsidRPr="00196B5E" w:rsidP="00810C61">
            <w:pPr>
              <w:spacing w:before="60" w:after="60"/>
              <w:jc w:val="both"/>
              <w:rPr>
                <w:rFonts w:ascii="Arial" w:hAnsi="Arial" w:cs="Arial"/>
                <w:color w:val="000080"/>
                <w:sz w:val="20"/>
                <w:szCs w:val="20"/>
              </w:rPr>
            </w:pPr>
            <w:r>
              <w:rPr>
                <w:rFonts w:ascii="Arial" w:hAnsi="Arial"/>
                <w:color w:val="000080"/>
                <w:sz w:val="20"/>
              </w:rPr>
              <w:t>Control de adecuación</w:t>
            </w:r>
          </w:p>
        </w:tc>
      </w:tr>
      <w:tr w:rsidTr="6FEFF60A">
        <w:tblPrEx>
          <w:tblW w:w="10188" w:type="dxa"/>
          <w:tblLayout w:type="fixed"/>
          <w:tblLook w:val="01E0"/>
        </w:tblPrEx>
        <w:tc>
          <w:tcPr>
            <w:tcW w:w="2807" w:type="dxa"/>
            <w:tcBorders>
              <w:bottom w:val="single" w:sz="4" w:space="0" w:color="auto"/>
              <w:right w:val="single" w:sz="4" w:space="0" w:color="auto"/>
            </w:tcBorders>
            <w:shd w:val="clear" w:color="auto" w:fill="E6E6E6"/>
          </w:tcPr>
          <w:p w:rsidR="00002DFF" w:rsidRPr="00196B5E" w:rsidP="0066565B">
            <w:pPr>
              <w:spacing w:before="60" w:after="60"/>
              <w:jc w:val="both"/>
              <w:rPr>
                <w:rFonts w:ascii="Arial" w:hAnsi="Arial" w:cs="Arial"/>
                <w:b/>
                <w:bCs/>
                <w:smallCaps/>
                <w:sz w:val="20"/>
                <w:szCs w:val="20"/>
              </w:rPr>
            </w:pPr>
            <w:r>
              <w:rPr>
                <w:rFonts w:ascii="Arial" w:hAnsi="Arial"/>
                <w:b/>
                <w:smallCaps/>
                <w:sz w:val="20"/>
              </w:rPr>
              <w:t>Calendario orientativo</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002DFF" w:rsidRPr="00347966" w:rsidP="00B312B7">
            <w:pPr>
              <w:spacing w:before="120" w:after="120"/>
              <w:jc w:val="both"/>
              <w:rPr>
                <w:rFonts w:ascii="Arial" w:hAnsi="Arial" w:cs="Arial"/>
                <w:color w:val="000080"/>
                <w:sz w:val="20"/>
                <w:szCs w:val="20"/>
                <w:highlight w:val="green"/>
              </w:rPr>
            </w:pPr>
            <w:r>
              <w:rPr>
                <w:rFonts w:ascii="Arial" w:hAnsi="Arial"/>
                <w:color w:val="000080"/>
                <w:sz w:val="20"/>
              </w:rPr>
              <w:t>Primer trimestre de 2025</w:t>
            </w:r>
          </w:p>
        </w:tc>
      </w:tr>
      <w:tr w:rsidTr="6FEFF60A">
        <w:tblPrEx>
          <w:tblW w:w="10188" w:type="dxa"/>
          <w:tblLayout w:type="fixed"/>
          <w:tblLook w:val="01E0"/>
        </w:tblPrEx>
        <w:tc>
          <w:tcPr>
            <w:tcW w:w="2807" w:type="dxa"/>
            <w:tcBorders>
              <w:bottom w:val="single" w:sz="4" w:space="0" w:color="auto"/>
              <w:right w:val="single" w:sz="4" w:space="0" w:color="auto"/>
            </w:tcBorders>
            <w:shd w:val="clear" w:color="auto" w:fill="E6E6E6"/>
          </w:tcPr>
          <w:p w:rsidR="008D5042" w:rsidRPr="00196B5E" w:rsidP="00224B13">
            <w:pPr>
              <w:spacing w:before="60" w:after="60"/>
              <w:jc w:val="both"/>
              <w:rPr>
                <w:rFonts w:ascii="Arial" w:hAnsi="Arial" w:cs="Arial"/>
                <w:b/>
                <w:bCs/>
                <w:smallCaps/>
                <w:sz w:val="20"/>
                <w:szCs w:val="20"/>
              </w:rPr>
            </w:pPr>
            <w:r>
              <w:rPr>
                <w:rFonts w:ascii="Arial" w:hAnsi="Arial"/>
                <w:b/>
                <w:smallCaps/>
                <w:sz w:val="20"/>
              </w:rPr>
              <w:t>Información complementaria</w:t>
            </w:r>
          </w:p>
        </w:tc>
        <w:tc>
          <w:tcPr>
            <w:tcW w:w="7381" w:type="dxa"/>
            <w:tcBorders>
              <w:top w:val="single" w:sz="4" w:space="0" w:color="auto"/>
              <w:left w:val="single" w:sz="4" w:space="0" w:color="auto"/>
              <w:bottom w:val="single" w:sz="4" w:space="0" w:color="auto"/>
              <w:right w:val="single" w:sz="4" w:space="0" w:color="auto"/>
            </w:tcBorders>
            <w:shd w:val="clear" w:color="auto" w:fill="auto"/>
          </w:tcPr>
          <w:p w:rsidR="008D5042" w:rsidP="00347966">
            <w:pPr>
              <w:spacing w:before="120" w:after="120"/>
              <w:jc w:val="both"/>
              <w:rPr>
                <w:rFonts w:ascii="Arial" w:hAnsi="Arial" w:cs="Arial"/>
                <w:color w:val="000080"/>
                <w:sz w:val="20"/>
                <w:szCs w:val="20"/>
              </w:rPr>
            </w:pPr>
            <w:r>
              <w:fldChar w:fldCharType="begin"/>
            </w:r>
            <w:r>
              <w:instrText xml:space="preserve"> HYPERLINK "https://energy.ec.europa.eu/topics/energy-security/security-electricity-supply_en" </w:instrText>
            </w:r>
            <w:r>
              <w:fldChar w:fldCharType="separate"/>
            </w:r>
            <w:r>
              <w:rPr>
                <w:rStyle w:val="Hyperlink"/>
                <w:rFonts w:ascii="Arial" w:hAnsi="Arial"/>
                <w:sz w:val="20"/>
              </w:rPr>
              <w:t>https://energy.ec.europa.eu/topics/energy-security/security-electricity-supply_en</w:t>
            </w:r>
            <w:r>
              <w:fldChar w:fldCharType="end"/>
            </w:r>
          </w:p>
          <w:p w:rsidR="00AE1611" w:rsidRPr="00347966" w:rsidP="00347966">
            <w:pPr>
              <w:spacing w:before="120" w:after="120"/>
              <w:jc w:val="both"/>
              <w:rPr>
                <w:rFonts w:ascii="Arial" w:hAnsi="Arial" w:cs="Arial"/>
                <w:color w:val="000080"/>
                <w:sz w:val="20"/>
                <w:szCs w:val="20"/>
              </w:rPr>
            </w:pPr>
            <w:r>
              <w:fldChar w:fldCharType="begin"/>
            </w:r>
            <w:r>
              <w:instrText xml:space="preserve"> HYPERLINK "https://energy.ec.europa.eu/topics/energy-security/security-gas-supply_en" </w:instrText>
            </w:r>
            <w:r>
              <w:fldChar w:fldCharType="separate"/>
            </w:r>
            <w:r>
              <w:rPr>
                <w:rStyle w:val="Hyperlink"/>
                <w:rFonts w:ascii="Arial" w:hAnsi="Arial"/>
                <w:sz w:val="20"/>
              </w:rPr>
              <w:t>https://energy.ec.europa.eu/topics/energy-security/security-gas-supply_en</w:t>
            </w:r>
            <w:r>
              <w:fldChar w:fldCharType="end"/>
            </w:r>
          </w:p>
        </w:tc>
      </w:tr>
    </w:tbl>
    <w:p w:rsidR="00BA33B7" w:rsidRPr="00347966">
      <w:pPr>
        <w:rPr>
          <w:sz w:val="20"/>
          <w:szCs w:val="20"/>
        </w:rPr>
        <w:sectPr w:rsidSect="00E72EF2">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851" w:left="1134" w:header="709" w:footer="709" w:gutter="0"/>
          <w:cols w:space="708"/>
          <w:titlePg/>
          <w:docGrid w:linePitch="360"/>
        </w:sectPr>
      </w:pPr>
    </w:p>
    <w:p w:rsidR="00BA33B7" w:rsidRPr="00347966">
      <w:pPr>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Tr="25975732">
        <w:tblPrEx>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88" w:type="dxa"/>
            <w:tcBorders>
              <w:bottom w:val="single" w:sz="4" w:space="0" w:color="auto"/>
            </w:tcBorders>
            <w:shd w:val="clear" w:color="auto" w:fill="0000FF"/>
          </w:tcPr>
          <w:p w:rsidR="009E6661" w:rsidRPr="00347966" w:rsidP="00AB4B4B">
            <w:pPr>
              <w:spacing w:before="60" w:after="60"/>
              <w:jc w:val="center"/>
              <w:rPr>
                <w:rFonts w:ascii="Arial" w:hAnsi="Arial" w:cs="Arial"/>
                <w:b/>
              </w:rPr>
            </w:pPr>
            <w:r>
              <w:rPr>
                <w:rFonts w:ascii="Arial" w:hAnsi="Arial"/>
                <w:b/>
              </w:rPr>
              <w:t>A. Contexto político, definición del problema y control de subsidiariedad</w:t>
            </w:r>
          </w:p>
        </w:tc>
      </w:tr>
      <w:tr w:rsidTr="25975732">
        <w:tblPrEx>
          <w:tblW w:w="10188" w:type="dxa"/>
          <w:tblLook w:val="01E0"/>
        </w:tblPrEx>
        <w:tc>
          <w:tcPr>
            <w:tcW w:w="10188" w:type="dxa"/>
            <w:tcBorders>
              <w:bottom w:val="single" w:sz="4" w:space="0" w:color="auto"/>
            </w:tcBorders>
            <w:shd w:val="clear" w:color="auto" w:fill="E6E6E6"/>
          </w:tcPr>
          <w:p w:rsidR="009E6661" w:rsidRPr="00347966" w:rsidP="00347966">
            <w:pPr>
              <w:spacing w:before="120" w:after="120"/>
              <w:jc w:val="both"/>
              <w:rPr>
                <w:rFonts w:ascii="Arial" w:hAnsi="Arial" w:cs="Arial"/>
              </w:rPr>
            </w:pPr>
            <w:r>
              <w:rPr>
                <w:rFonts w:ascii="Arial" w:hAnsi="Arial"/>
                <w:b/>
                <w:sz w:val="20"/>
              </w:rPr>
              <w:t>Contexto político</w:t>
            </w:r>
            <w:r>
              <w:rPr>
                <w:rFonts w:ascii="Arial" w:hAnsi="Arial"/>
                <w:b/>
                <w:sz w:val="20"/>
              </w:rPr>
              <w:t xml:space="preserve"> </w:t>
            </w:r>
          </w:p>
        </w:tc>
      </w:tr>
      <w:tr w:rsidTr="25975732">
        <w:tblPrEx>
          <w:tblW w:w="10188" w:type="dxa"/>
          <w:tblLook w:val="01E0"/>
        </w:tblPrEx>
        <w:tc>
          <w:tcPr>
            <w:tcW w:w="10188" w:type="dxa"/>
            <w:tcBorders>
              <w:bottom w:val="single" w:sz="4" w:space="0" w:color="auto"/>
            </w:tcBorders>
            <w:shd w:val="clear" w:color="auto" w:fill="auto"/>
          </w:tcPr>
          <w:p w:rsidR="00580357" w:rsidP="660C6BA0">
            <w:pPr>
              <w:spacing w:before="120" w:after="120"/>
              <w:jc w:val="both"/>
              <w:rPr>
                <w:rFonts w:ascii="Arial" w:hAnsi="Arial" w:cs="Arial"/>
                <w:color w:val="1036A0"/>
                <w:sz w:val="20"/>
                <w:szCs w:val="20"/>
              </w:rPr>
            </w:pPr>
            <w:r>
              <w:rPr>
                <w:rFonts w:ascii="Arial" w:hAnsi="Arial"/>
                <w:color w:val="1036A0"/>
                <w:sz w:val="20"/>
              </w:rPr>
              <w:t>La política energética europea tiene por objeto proporcionar energía asequible, segura y sostenible a todos los europeos.</w:t>
            </w:r>
            <w:r>
              <w:rPr>
                <w:rFonts w:ascii="Arial" w:hAnsi="Arial"/>
                <w:color w:val="1036A0"/>
                <w:sz w:val="20"/>
              </w:rPr>
              <w:t xml:space="preserve"> </w:t>
            </w:r>
            <w:r>
              <w:rPr>
                <w:rFonts w:ascii="Arial" w:hAnsi="Arial"/>
                <w:color w:val="1036A0"/>
                <w:sz w:val="20"/>
              </w:rPr>
              <w:t xml:space="preserve">Así pues, la </w:t>
            </w:r>
            <w:r>
              <w:rPr>
                <w:rFonts w:ascii="Arial" w:hAnsi="Arial"/>
                <w:b/>
                <w:bCs/>
                <w:color w:val="1036A0"/>
                <w:sz w:val="20"/>
              </w:rPr>
              <w:t>seguridad energética</w:t>
            </w:r>
            <w:r>
              <w:rPr>
                <w:rFonts w:ascii="Arial" w:hAnsi="Arial"/>
                <w:color w:val="1036A0"/>
                <w:sz w:val="20"/>
              </w:rPr>
              <w:t xml:space="preserve"> es uno de los tres objetivos de la política energética, junto a la asequibilidad y la sostenibilidad medioambiental, y una de las cinco dimensiones de la Unión de la Energía.</w:t>
            </w:r>
            <w:r>
              <w:rPr>
                <w:rFonts w:ascii="Arial" w:hAnsi="Arial"/>
                <w:color w:val="1036A0"/>
                <w:sz w:val="20"/>
              </w:rPr>
              <w:t xml:space="preserve"> </w:t>
            </w:r>
            <w:r>
              <w:rPr>
                <w:rFonts w:ascii="Arial" w:hAnsi="Arial"/>
                <w:color w:val="1036A0"/>
                <w:sz w:val="20"/>
              </w:rPr>
              <w:t>Algunos acontecimientos importantes han vuelto a situar la seguridad energética en los primeros puestos de la agenda política.</w:t>
            </w:r>
            <w:r>
              <w:rPr>
                <w:rFonts w:ascii="Arial" w:hAnsi="Arial"/>
                <w:color w:val="1036A0"/>
                <w:sz w:val="20"/>
              </w:rPr>
              <w:t xml:space="preserve"> </w:t>
            </w:r>
            <w:r>
              <w:rPr>
                <w:rFonts w:ascii="Arial" w:hAnsi="Arial"/>
                <w:color w:val="1036A0"/>
                <w:sz w:val="20"/>
              </w:rPr>
              <w:t xml:space="preserve">En primer lugar, la crisis energética de 2022-2023 causada por </w:t>
            </w:r>
            <w:r>
              <w:rPr>
                <w:rFonts w:ascii="Arial" w:hAnsi="Arial"/>
                <w:color w:val="1036A0"/>
                <w:sz w:val="20"/>
              </w:rPr>
              <w:t>la invasión</w:t>
            </w:r>
            <w:r>
              <w:rPr>
                <w:rFonts w:ascii="Arial" w:hAnsi="Arial"/>
                <w:color w:val="1036A0"/>
                <w:sz w:val="20"/>
              </w:rPr>
              <w:t xml:space="preserve"> militar injustificada y no provocada de Ucrania por parte de Rusia;</w:t>
            </w:r>
            <w:r>
              <w:rPr>
                <w:rFonts w:ascii="Arial" w:hAnsi="Arial"/>
                <w:color w:val="1036A0"/>
                <w:sz w:val="20"/>
              </w:rPr>
              <w:t xml:space="preserve"> </w:t>
            </w:r>
            <w:r>
              <w:rPr>
                <w:rFonts w:ascii="Arial" w:hAnsi="Arial"/>
                <w:color w:val="1036A0"/>
                <w:sz w:val="20"/>
              </w:rPr>
              <w:t>en segundo lugar, el plan para eliminar gradualmente la dependencia de la UE de las importaciones de energía rusas, y en tercer lugar, la rápida evolución geopolítica (por ejemplo, conflictos y violaciones de los derechos humanos en Oriente Próximo), el clima (a saber, fenómenos meteorológicos extremos más frecuentes) y la economía (el entorno económico, concretamente, la competencia económica con otros bloques importantes) han vuelto a situar la seguridad energética en una posición prioritaria de la agenda política, lo que ha dado lugar a varios llamamientos políticos a la acción:</w:t>
            </w:r>
            <w:r>
              <w:rPr>
                <w:rFonts w:ascii="Arial" w:hAnsi="Arial"/>
                <w:color w:val="1036A0"/>
                <w:sz w:val="20"/>
              </w:rPr>
              <w:t xml:space="preserve"> </w:t>
            </w:r>
          </w:p>
          <w:p w:rsidR="00D63270" w:rsidRPr="0087775C" w:rsidP="00D63270">
            <w:pPr>
              <w:pStyle w:val="ListParagraph"/>
              <w:numPr>
                <w:ilvl w:val="0"/>
                <w:numId w:val="5"/>
              </w:numPr>
              <w:spacing w:after="160" w:line="259" w:lineRule="auto"/>
              <w:jc w:val="both"/>
              <w:rPr>
                <w:rFonts w:ascii="Arial" w:hAnsi="Arial" w:cs="Arial"/>
                <w:color w:val="1036A0"/>
                <w:sz w:val="20"/>
                <w:szCs w:val="20"/>
              </w:rPr>
            </w:pPr>
            <w:r>
              <w:rPr>
                <w:rFonts w:ascii="Arial" w:hAnsi="Arial"/>
                <w:color w:val="1036A0"/>
                <w:sz w:val="20"/>
              </w:rPr>
              <w:t xml:space="preserve">Durante las negociaciones del paquete sobre el hidrógeno y el gas descarbonizado, el Parlamento y el Consejo pidieron una </w:t>
            </w:r>
            <w:r>
              <w:rPr>
                <w:rFonts w:ascii="Arial" w:hAnsi="Arial"/>
                <w:b/>
                <w:bCs/>
                <w:color w:val="1036A0"/>
                <w:sz w:val="20"/>
              </w:rPr>
              <w:t>revisión más profunda del Reglamento sobre la seguridad del suministro de gas</w:t>
            </w:r>
            <w:r>
              <w:rPr>
                <w:rFonts w:ascii="Arial" w:hAnsi="Arial"/>
                <w:color w:val="1036A0"/>
                <w:sz w:val="20"/>
              </w:rPr>
              <w:t>.</w:t>
            </w:r>
            <w:r>
              <w:rPr>
                <w:rFonts w:ascii="Arial" w:hAnsi="Arial"/>
                <w:color w:val="1036A0"/>
                <w:sz w:val="20"/>
              </w:rPr>
              <w:t xml:space="preserve"> </w:t>
            </w:r>
          </w:p>
          <w:p w:rsidR="00D63270" w:rsidRPr="0087775C" w:rsidP="00D63270">
            <w:pPr>
              <w:pStyle w:val="ListParagraph"/>
              <w:numPr>
                <w:ilvl w:val="0"/>
                <w:numId w:val="5"/>
              </w:numPr>
              <w:spacing w:after="160" w:line="259" w:lineRule="auto"/>
              <w:jc w:val="both"/>
              <w:rPr>
                <w:rFonts w:ascii="Arial" w:hAnsi="Arial" w:cs="Arial"/>
                <w:color w:val="1036A0"/>
                <w:sz w:val="20"/>
                <w:szCs w:val="20"/>
              </w:rPr>
            </w:pPr>
            <w:r>
              <w:rPr>
                <w:rFonts w:ascii="Arial" w:hAnsi="Arial"/>
                <w:color w:val="1036A0"/>
                <w:sz w:val="20"/>
              </w:rPr>
              <w:t xml:space="preserve">El 22 de marzo de 2024, el Consejo Europeo subrayó la imperiosa necesidad de mejorar y coordinar la preparación militar y civil e invitó a la Comisión a proponer «medidas </w:t>
            </w:r>
            <w:r>
              <w:rPr>
                <w:rFonts w:ascii="Arial" w:hAnsi="Arial"/>
                <w:b/>
                <w:bCs/>
                <w:color w:val="1036A0"/>
                <w:sz w:val="20"/>
              </w:rPr>
              <w:t>para reforzar, a escala de la UE, la preparación y la respuesta ante las crisis</w:t>
            </w:r>
            <w:r>
              <w:rPr>
                <w:rFonts w:ascii="Arial" w:hAnsi="Arial"/>
                <w:color w:val="1036A0"/>
                <w:sz w:val="20"/>
              </w:rPr>
              <w:t>» (</w:t>
            </w:r>
            <w:r>
              <w:rPr>
                <w:rStyle w:val="FootnoteReference"/>
                <w:rFonts w:ascii="Arial" w:hAnsi="Arial" w:cs="Arial"/>
                <w:color w:val="1036A0"/>
                <w:sz w:val="20"/>
                <w:szCs w:val="20"/>
              </w:rPr>
              <w:footnoteReference w:id="3"/>
            </w:r>
            <w:r>
              <w:rPr>
                <w:rFonts w:ascii="Arial" w:hAnsi="Arial"/>
                <w:color w:val="1036A0"/>
                <w:sz w:val="20"/>
              </w:rPr>
              <w:t>).</w:t>
            </w:r>
            <w:r>
              <w:rPr>
                <w:rFonts w:ascii="Arial" w:hAnsi="Arial"/>
                <w:color w:val="1036A0"/>
                <w:sz w:val="20"/>
              </w:rPr>
              <w:t xml:space="preserve"> </w:t>
            </w:r>
          </w:p>
          <w:p w:rsidR="00D63270" w:rsidRPr="0087775C" w:rsidP="00D63270">
            <w:pPr>
              <w:pStyle w:val="ListParagraph"/>
              <w:numPr>
                <w:ilvl w:val="0"/>
                <w:numId w:val="5"/>
              </w:numPr>
              <w:spacing w:after="160" w:line="259" w:lineRule="auto"/>
              <w:jc w:val="both"/>
              <w:rPr>
                <w:rFonts w:ascii="Arial" w:hAnsi="Arial" w:cs="Arial"/>
                <w:color w:val="1036A0"/>
                <w:sz w:val="20"/>
                <w:szCs w:val="20"/>
              </w:rPr>
            </w:pPr>
            <w:r>
              <w:rPr>
                <w:rFonts w:ascii="Arial" w:hAnsi="Arial"/>
                <w:color w:val="1036A0"/>
                <w:sz w:val="20"/>
              </w:rPr>
              <w:t>En las conclusiones del Consejo de 30 de mayo sobre la infraestructura de la red eléctrica se pedía a la Comisión que llevara a cabo «</w:t>
            </w:r>
            <w:r>
              <w:rPr>
                <w:rFonts w:ascii="Arial" w:hAnsi="Arial"/>
                <w:b/>
                <w:bCs/>
                <w:color w:val="1036A0"/>
                <w:sz w:val="20"/>
              </w:rPr>
              <w:t>una revisión [legislativa] específica [para conseguir un mayor refuerzo] de la arquitectura de seguridad del suministro de electricidad de la UE a largo plazo</w:t>
            </w:r>
            <w:r>
              <w:rPr>
                <w:rFonts w:ascii="Arial" w:hAnsi="Arial"/>
                <w:color w:val="1036A0"/>
                <w:sz w:val="20"/>
              </w:rPr>
              <w:t>» (</w:t>
            </w:r>
            <w:r>
              <w:rPr>
                <w:rStyle w:val="FootnoteReference"/>
                <w:rFonts w:ascii="Arial" w:hAnsi="Arial" w:cs="Arial"/>
                <w:color w:val="1036A0"/>
                <w:sz w:val="20"/>
                <w:szCs w:val="20"/>
              </w:rPr>
              <w:footnoteReference w:id="4"/>
            </w:r>
            <w:r>
              <w:rPr>
                <w:rFonts w:ascii="Arial" w:hAnsi="Arial"/>
                <w:color w:val="1036A0"/>
                <w:sz w:val="20"/>
              </w:rPr>
              <w:t>).</w:t>
            </w:r>
            <w:r>
              <w:rPr>
                <w:rFonts w:ascii="Arial" w:hAnsi="Arial"/>
                <w:color w:val="1036A0"/>
                <w:sz w:val="20"/>
              </w:rPr>
              <w:t xml:space="preserve"> </w:t>
            </w:r>
          </w:p>
          <w:p w:rsidR="00D63270" w:rsidP="004955C6">
            <w:pPr>
              <w:spacing w:after="160" w:line="259" w:lineRule="auto"/>
              <w:jc w:val="both"/>
              <w:rPr>
                <w:rFonts w:ascii="Arial" w:hAnsi="Arial" w:cs="Arial"/>
                <w:color w:val="1036A0"/>
                <w:sz w:val="20"/>
                <w:szCs w:val="20"/>
              </w:rPr>
            </w:pPr>
            <w:r>
              <w:rPr>
                <w:rFonts w:ascii="Arial" w:hAnsi="Arial"/>
                <w:color w:val="1036A0"/>
                <w:sz w:val="20"/>
              </w:rPr>
              <w:t xml:space="preserve">Además, en su informe de abril de 2024, Enrico Letta también pidió </w:t>
            </w:r>
            <w:r>
              <w:rPr>
                <w:rFonts w:ascii="Arial" w:hAnsi="Arial"/>
                <w:b/>
                <w:bCs/>
                <w:color w:val="1036A0"/>
                <w:sz w:val="20"/>
              </w:rPr>
              <w:t>una</w:t>
            </w:r>
            <w:r>
              <w:rPr>
                <w:rFonts w:ascii="Arial" w:hAnsi="Arial"/>
                <w:color w:val="1036A0"/>
                <w:sz w:val="20"/>
              </w:rPr>
              <w:t xml:space="preserve"> </w:t>
            </w:r>
            <w:r>
              <w:rPr>
                <w:rFonts w:ascii="Arial" w:hAnsi="Arial"/>
                <w:b/>
                <w:bCs/>
                <w:color w:val="1036A0"/>
                <w:sz w:val="20"/>
              </w:rPr>
              <w:t>revisión sistemática del marco de seguridad del suministro de gas</w:t>
            </w:r>
            <w:r>
              <w:rPr>
                <w:rFonts w:ascii="Arial" w:hAnsi="Arial"/>
                <w:color w:val="1036A0"/>
                <w:sz w:val="20"/>
              </w:rPr>
              <w:t> (</w:t>
            </w:r>
            <w:r>
              <w:rPr>
                <w:rStyle w:val="FootnoteReference"/>
                <w:rFonts w:ascii="Arial" w:hAnsi="Arial" w:cs="Arial"/>
                <w:color w:val="1036A0"/>
                <w:sz w:val="20"/>
                <w:szCs w:val="20"/>
              </w:rPr>
              <w:footnoteReference w:id="5"/>
            </w:r>
            <w:r>
              <w:rPr>
                <w:rFonts w:ascii="Arial" w:hAnsi="Arial"/>
                <w:color w:val="1036A0"/>
                <w:sz w:val="20"/>
              </w:rPr>
              <w:t>).</w:t>
            </w:r>
          </w:p>
          <w:p w:rsidR="0070151C" w:rsidRPr="008458EE" w:rsidP="004955C6">
            <w:pPr>
              <w:spacing w:after="160" w:line="259" w:lineRule="auto"/>
              <w:jc w:val="both"/>
              <w:rPr>
                <w:rFonts w:ascii="Arial" w:hAnsi="Arial" w:cs="Arial"/>
                <w:color w:val="1036A0"/>
                <w:sz w:val="20"/>
                <w:szCs w:val="20"/>
              </w:rPr>
            </w:pPr>
            <w:r>
              <w:rPr>
                <w:rFonts w:ascii="Arial" w:hAnsi="Arial"/>
                <w:color w:val="1036A0"/>
                <w:sz w:val="20"/>
              </w:rPr>
              <w:t>La revisión del marco de seguridad energética de la UE también contribuirá a cumplir las prioridades expuestas en las orientaciones políticas para la próxima Comisión Europea 2024-2029, como la construcción de una nueva industria limpia y el desarrollo de una Estrategia de la Unión para la preparación ante las crisis.</w:t>
            </w:r>
          </w:p>
        </w:tc>
      </w:tr>
      <w:tr w:rsidTr="25975732">
        <w:tblPrEx>
          <w:tblW w:w="10188" w:type="dxa"/>
          <w:tblLook w:val="01E0"/>
        </w:tblPrEx>
        <w:tc>
          <w:tcPr>
            <w:tcW w:w="10188" w:type="dxa"/>
            <w:tcBorders>
              <w:bottom w:val="single" w:sz="4" w:space="0" w:color="auto"/>
            </w:tcBorders>
            <w:shd w:val="clear" w:color="auto" w:fill="E6E6E6"/>
          </w:tcPr>
          <w:p w:rsidR="0071651E" w:rsidRPr="00347966" w:rsidP="00347966">
            <w:pPr>
              <w:spacing w:before="120" w:after="120"/>
              <w:jc w:val="both"/>
              <w:rPr>
                <w:rFonts w:ascii="Arial" w:hAnsi="Arial" w:cs="Arial"/>
              </w:rPr>
            </w:pPr>
            <w:r>
              <w:rPr>
                <w:rFonts w:ascii="Arial" w:hAnsi="Arial"/>
                <w:b/>
                <w:sz w:val="20"/>
              </w:rPr>
              <w:t>Finalidad y ámbito de aplicación</w:t>
            </w:r>
            <w:r>
              <w:rPr>
                <w:rFonts w:ascii="Arial" w:hAnsi="Arial"/>
                <w:b/>
                <w:sz w:val="20"/>
              </w:rPr>
              <w:t xml:space="preserve"> </w:t>
            </w:r>
          </w:p>
        </w:tc>
      </w:tr>
      <w:tr w:rsidTr="25975732">
        <w:tblPrEx>
          <w:tblW w:w="10188" w:type="dxa"/>
          <w:tblLook w:val="01E0"/>
        </w:tblPrEx>
        <w:tc>
          <w:tcPr>
            <w:tcW w:w="10188" w:type="dxa"/>
            <w:tcBorders>
              <w:bottom w:val="single" w:sz="4" w:space="0" w:color="auto"/>
            </w:tcBorders>
            <w:shd w:val="clear" w:color="auto" w:fill="auto"/>
          </w:tcPr>
          <w:p w:rsidR="00773AE3" w:rsidRPr="003E0305" w:rsidP="004955C6">
            <w:pPr>
              <w:spacing w:before="120" w:after="120"/>
              <w:jc w:val="both"/>
              <w:rPr>
                <w:rFonts w:ascii="Arial" w:hAnsi="Arial" w:cs="Arial"/>
                <w:color w:val="1036A0"/>
                <w:sz w:val="20"/>
                <w:szCs w:val="20"/>
              </w:rPr>
            </w:pPr>
            <w:r>
              <w:rPr>
                <w:rFonts w:ascii="Arial" w:hAnsi="Arial"/>
                <w:color w:val="1036A0"/>
                <w:sz w:val="20"/>
              </w:rPr>
              <w:t>La UE ya cuenta con una arquitectura global, aunque dividida por sectores, en materia de seguridad energética.</w:t>
            </w:r>
            <w:r>
              <w:rPr>
                <w:rFonts w:ascii="Arial" w:hAnsi="Arial"/>
                <w:color w:val="1036A0"/>
                <w:sz w:val="20"/>
              </w:rPr>
              <w:t xml:space="preserve"> </w:t>
            </w:r>
            <w:r>
              <w:rPr>
                <w:rFonts w:ascii="Arial" w:hAnsi="Arial"/>
                <w:color w:val="1036A0"/>
                <w:sz w:val="20"/>
              </w:rPr>
              <w:t xml:space="preserve">En particular, el Reglamento (UE) 2017/1938, sobre la </w:t>
            </w:r>
            <w:r>
              <w:rPr>
                <w:rFonts w:ascii="Arial" w:hAnsi="Arial"/>
                <w:b/>
                <w:bCs/>
                <w:color w:val="1036A0"/>
                <w:sz w:val="20"/>
              </w:rPr>
              <w:t>se</w:t>
            </w:r>
            <w:r>
              <w:rPr>
                <w:rFonts w:ascii="Arial" w:hAnsi="Arial"/>
                <w:b/>
                <w:bCs/>
                <w:color w:val="1036A0"/>
                <w:sz w:val="20"/>
              </w:rPr>
              <w:t>guridad del su</w:t>
            </w:r>
            <w:r>
              <w:rPr>
                <w:rFonts w:ascii="Arial" w:hAnsi="Arial"/>
                <w:b/>
                <w:bCs/>
                <w:color w:val="1036A0"/>
                <w:sz w:val="20"/>
              </w:rPr>
              <w:t>ministro de gas,</w:t>
            </w:r>
            <w:r>
              <w:rPr>
                <w:rFonts w:ascii="Arial" w:hAnsi="Arial"/>
                <w:color w:val="1036A0"/>
                <w:sz w:val="20"/>
              </w:rPr>
              <w:t xml:space="preserve"> y el Reglamento (UE) 2019/941, </w:t>
            </w:r>
            <w:r>
              <w:rPr>
                <w:rFonts w:ascii="Arial" w:hAnsi="Arial"/>
                <w:b/>
                <w:bCs/>
                <w:color w:val="1036A0"/>
                <w:sz w:val="20"/>
              </w:rPr>
              <w:t>sobre la preparación frente a los riesgos en el sector de la electricidad,</w:t>
            </w:r>
            <w:r>
              <w:rPr>
                <w:rFonts w:ascii="Arial" w:hAnsi="Arial"/>
                <w:color w:val="1036A0"/>
                <w:sz w:val="20"/>
              </w:rPr>
              <w:t xml:space="preserve"> son pilares clave de la preparación, la seguridad del suministro y la resiliencia de la UE ante posibles crisis energéticas.</w:t>
            </w:r>
            <w:r>
              <w:rPr>
                <w:rFonts w:ascii="Arial" w:hAnsi="Arial"/>
                <w:color w:val="1036A0"/>
                <w:sz w:val="20"/>
              </w:rPr>
              <w:t xml:space="preserve"> </w:t>
            </w:r>
          </w:p>
          <w:p w:rsidR="00773AE3" w:rsidRPr="003E0305" w:rsidP="004955C6">
            <w:pPr>
              <w:spacing w:before="120" w:after="120"/>
              <w:jc w:val="both"/>
              <w:rPr>
                <w:rFonts w:ascii="Arial" w:hAnsi="Arial" w:cs="Arial"/>
                <w:color w:val="1036A0"/>
                <w:sz w:val="20"/>
                <w:szCs w:val="20"/>
              </w:rPr>
            </w:pPr>
            <w:r>
              <w:rPr>
                <w:rFonts w:ascii="Arial" w:hAnsi="Arial"/>
                <w:color w:val="1036A0"/>
                <w:sz w:val="20"/>
              </w:rPr>
              <w:t xml:space="preserve">Durante la crisis energética, el </w:t>
            </w:r>
            <w:r>
              <w:rPr>
                <w:rFonts w:ascii="Arial" w:hAnsi="Arial"/>
                <w:b/>
                <w:bCs/>
                <w:color w:val="1036A0"/>
                <w:sz w:val="20"/>
              </w:rPr>
              <w:t>Plan</w:t>
            </w:r>
            <w:r>
              <w:rPr>
                <w:rFonts w:ascii="Arial" w:hAnsi="Arial"/>
                <w:color w:val="1036A0"/>
                <w:sz w:val="20"/>
              </w:rPr>
              <w:t xml:space="preserve"> </w:t>
            </w:r>
            <w:r>
              <w:rPr>
                <w:rFonts w:ascii="Arial" w:hAnsi="Arial"/>
                <w:b/>
                <w:bCs/>
                <w:color w:val="1036A0"/>
                <w:sz w:val="20"/>
              </w:rPr>
              <w:t xml:space="preserve">REPowerEU </w:t>
            </w:r>
            <w:r>
              <w:rPr>
                <w:rFonts w:ascii="Arial" w:hAnsi="Arial"/>
                <w:color w:val="1036A0"/>
                <w:sz w:val="20"/>
              </w:rPr>
              <w:t>y los reglamentos de emergencia temporales basados en el artículo 122, apartado 1, del TFUE hicieron frente a determinadas deficiencias del marco.</w:t>
            </w:r>
            <w:r>
              <w:rPr>
                <w:rFonts w:ascii="Arial" w:hAnsi="Arial"/>
                <w:color w:val="1036A0"/>
                <w:sz w:val="20"/>
              </w:rPr>
              <w:t xml:space="preserve"> </w:t>
            </w:r>
          </w:p>
          <w:p w:rsidR="00773AE3" w:rsidRPr="003E0305" w:rsidP="004955C6">
            <w:pPr>
              <w:spacing w:before="120" w:after="120"/>
              <w:jc w:val="both"/>
              <w:rPr>
                <w:rFonts w:ascii="Arial" w:hAnsi="Arial" w:cs="Arial"/>
                <w:color w:val="1036A0"/>
                <w:sz w:val="20"/>
                <w:szCs w:val="20"/>
              </w:rPr>
            </w:pPr>
            <w:r>
              <w:rPr>
                <w:rFonts w:ascii="Arial" w:hAnsi="Arial"/>
                <w:color w:val="1036A0"/>
                <w:sz w:val="20"/>
              </w:rPr>
              <w:t>El Reglamento sobre la seguridad del suministro de gas y el Reglamento sobre la preparación frente a los riesgos en el sector de la electricidad están en vigor desde 2017 y 2019, respectivamente, lo que significa que ha pasado tiempo suficiente para llevar a cabo un control de adecuación que permita, por una parte, detectar s</w:t>
            </w:r>
            <w:r>
              <w:rPr>
                <w:rFonts w:ascii="Arial" w:hAnsi="Arial"/>
                <w:color w:val="1036A0"/>
                <w:sz w:val="20"/>
              </w:rPr>
              <w:t>inergias de</w:t>
            </w:r>
            <w:r>
              <w:rPr>
                <w:rFonts w:ascii="Arial" w:hAnsi="Arial"/>
                <w:color w:val="1036A0"/>
                <w:sz w:val="20"/>
              </w:rPr>
              <w:t>ntro del marco legislativo y, por otra, incorporar de manera estructural las lecciones aprendidas de las crisis de la COVID-19 y de la energía, así como el panorama cambiante debido a la transición energética.</w:t>
            </w:r>
          </w:p>
          <w:p w:rsidR="00773AE3" w:rsidRPr="003E0305" w:rsidP="004955C6">
            <w:pPr>
              <w:spacing w:before="120" w:after="120"/>
              <w:jc w:val="both"/>
              <w:rPr>
                <w:rFonts w:ascii="Arial" w:hAnsi="Arial" w:cs="Arial"/>
                <w:color w:val="1036A0"/>
                <w:sz w:val="20"/>
                <w:szCs w:val="20"/>
              </w:rPr>
            </w:pPr>
            <w:r>
              <w:rPr>
                <w:rFonts w:ascii="Arial" w:hAnsi="Arial"/>
                <w:color w:val="1036A0"/>
                <w:sz w:val="20"/>
              </w:rPr>
              <w:t xml:space="preserve">En particular, el </w:t>
            </w:r>
            <w:r>
              <w:rPr>
                <w:rFonts w:ascii="Arial" w:hAnsi="Arial"/>
                <w:b/>
                <w:bCs/>
                <w:color w:val="1036A0"/>
                <w:sz w:val="20"/>
              </w:rPr>
              <w:t>objetivo</w:t>
            </w:r>
            <w:r>
              <w:rPr>
                <w:rFonts w:ascii="Arial" w:hAnsi="Arial"/>
                <w:color w:val="1036A0"/>
                <w:sz w:val="20"/>
              </w:rPr>
              <w:t xml:space="preserve"> de este control de adecuación es evaluar la eficacia, la eficiencia, la coherencia, la pertinencia y el valor añadido para la UE de los citados Reglamentos.</w:t>
            </w:r>
            <w:r>
              <w:rPr>
                <w:rFonts w:ascii="Arial" w:hAnsi="Arial"/>
                <w:color w:val="1036A0"/>
                <w:sz w:val="20"/>
              </w:rPr>
              <w:t xml:space="preserve"> </w:t>
            </w:r>
            <w:r>
              <w:rPr>
                <w:rFonts w:ascii="Arial" w:hAnsi="Arial"/>
                <w:color w:val="1036A0"/>
                <w:sz w:val="20"/>
              </w:rPr>
              <w:t>Concretamente, el control de adecuación permitirá a la Comisión evaluar el rendimiento de la arquitectura de seguridad energética de la UE durante las crisis energéticas y promover la transición hacia una energía limpia, así como identificar posibles deficiencias, sinergias y mejoras de la eficiencia dentro de su marco legislativo.</w:t>
            </w:r>
            <w:r>
              <w:rPr>
                <w:rFonts w:ascii="Arial" w:hAnsi="Arial"/>
                <w:color w:val="1036A0"/>
                <w:sz w:val="20"/>
              </w:rPr>
              <w:t xml:space="preserve"> </w:t>
            </w:r>
            <w:r>
              <w:rPr>
                <w:rFonts w:ascii="Arial" w:hAnsi="Arial"/>
                <w:color w:val="1036A0"/>
                <w:sz w:val="20"/>
              </w:rPr>
              <w:t>Esto podría ser beneficioso para la integración sectorial en curso y reducir la carga administrativa.</w:t>
            </w:r>
            <w:r>
              <w:rPr>
                <w:rFonts w:ascii="Arial" w:hAnsi="Arial"/>
                <w:color w:val="1036A0"/>
                <w:sz w:val="20"/>
              </w:rPr>
              <w:t xml:space="preserve"> </w:t>
            </w:r>
            <w:r>
              <w:rPr>
                <w:rFonts w:ascii="Arial" w:hAnsi="Arial"/>
                <w:color w:val="1036A0"/>
                <w:sz w:val="20"/>
              </w:rPr>
              <w:t>La evaluación también examinará cómo ha funcionado la cooperación con los vecinos, en particular con las partes contratantes de la Comunidad de la Energía.</w:t>
            </w:r>
          </w:p>
          <w:p w:rsidR="00773AE3" w:rsidRPr="00D63270" w:rsidP="004955C6">
            <w:pPr>
              <w:spacing w:before="120" w:after="120"/>
              <w:jc w:val="both"/>
              <w:rPr>
                <w:highlight w:val="yellow"/>
              </w:rPr>
            </w:pPr>
            <w:r>
              <w:rPr>
                <w:rFonts w:ascii="Arial" w:hAnsi="Arial"/>
                <w:color w:val="1036A0"/>
                <w:sz w:val="20"/>
              </w:rPr>
              <w:t>Además de evaluar cómo ha funcionado la arquitectura de seguridad energética de la UE en el pasado, el control de adecuación también examina su pertinencia continua teniendo en cuenta los cambios dinámicos que se están produciendo en el sistema energético de la UE.</w:t>
            </w:r>
            <w:r>
              <w:rPr>
                <w:rFonts w:ascii="Arial" w:hAnsi="Arial"/>
                <w:color w:val="1036A0"/>
                <w:sz w:val="20"/>
              </w:rPr>
              <w:t xml:space="preserve"> </w:t>
            </w:r>
            <w:r>
              <w:rPr>
                <w:rFonts w:ascii="Arial" w:hAnsi="Arial"/>
                <w:color w:val="1036A0"/>
                <w:sz w:val="20"/>
              </w:rPr>
              <w:t>Por ejemplo, la descarbonización y la electrificación del sistema energético pueden aportar nuevas oportunidades, pero también nuevos retos:</w:t>
            </w:r>
            <w:r>
              <w:rPr>
                <w:rFonts w:ascii="Arial" w:hAnsi="Arial"/>
                <w:color w:val="1036A0"/>
                <w:sz w:val="20"/>
              </w:rPr>
              <w:t xml:space="preserve"> </w:t>
            </w:r>
            <w:r>
              <w:rPr>
                <w:rFonts w:ascii="Arial" w:hAnsi="Arial"/>
                <w:color w:val="1036A0"/>
                <w:sz w:val="20"/>
              </w:rPr>
              <w:t>una producción de energía más distribuida y descentralizada, una mayor concentración de la generación de energía en fuentes de energía más intermitentes y la vulnerabilidad de las infraestructuras energéticas críticas ante catástrofes naturales o provocadas por el hombre.</w:t>
            </w:r>
            <w:r>
              <w:rPr>
                <w:rFonts w:ascii="Arial" w:hAnsi="Arial"/>
                <w:color w:val="1036A0"/>
                <w:sz w:val="20"/>
              </w:rPr>
              <w:t xml:space="preserve"> </w:t>
            </w:r>
            <w:r>
              <w:rPr>
                <w:rFonts w:ascii="Arial" w:hAnsi="Arial"/>
                <w:color w:val="1036A0"/>
                <w:sz w:val="20"/>
              </w:rPr>
              <w:t>Una mayor integración intersectorial y transfronteriza también puede plantear nuevos desafíos y riesgos (mayor probabilidad de fallos en cascada), así como posibles beneficios para la seguridad energética.</w:t>
            </w:r>
          </w:p>
        </w:tc>
      </w:tr>
      <w:tr w:rsidTr="25975732">
        <w:tblPrEx>
          <w:tblW w:w="10188" w:type="dxa"/>
          <w:tblLook w:val="01E0"/>
        </w:tblPrEx>
        <w:tc>
          <w:tcPr>
            <w:tcW w:w="10188" w:type="dxa"/>
            <w:tcBorders>
              <w:bottom w:val="single" w:sz="4" w:space="0" w:color="auto"/>
            </w:tcBorders>
            <w:shd w:val="clear" w:color="auto" w:fill="0000FF"/>
          </w:tcPr>
          <w:p w:rsidR="0009231D" w:rsidRPr="00347966" w:rsidP="00353BFB">
            <w:pPr>
              <w:spacing w:before="60" w:after="60"/>
              <w:jc w:val="both"/>
              <w:rPr>
                <w:rFonts w:ascii="Arial" w:hAnsi="Arial" w:cs="Arial"/>
                <w:b/>
              </w:rPr>
            </w:pPr>
            <w:r>
              <w:rPr>
                <w:rFonts w:ascii="Arial" w:hAnsi="Arial"/>
                <w:b/>
                <w:highlight w:val="blue"/>
              </w:rPr>
              <w:t>B. Mejora de la legislación</w:t>
            </w:r>
          </w:p>
        </w:tc>
      </w:tr>
      <w:tr w:rsidTr="25975732">
        <w:tblPrEx>
          <w:tblW w:w="10188" w:type="dxa"/>
          <w:tblLook w:val="01E0"/>
        </w:tblPrEx>
        <w:tc>
          <w:tcPr>
            <w:tcW w:w="10188" w:type="dxa"/>
            <w:tcBorders>
              <w:bottom w:val="single" w:sz="4" w:space="0" w:color="auto"/>
            </w:tcBorders>
            <w:shd w:val="clear" w:color="auto" w:fill="E6E6E6"/>
          </w:tcPr>
          <w:p w:rsidR="00B312B7" w:rsidRPr="00347966" w:rsidP="00BF5565">
            <w:pPr>
              <w:spacing w:before="60" w:after="60"/>
              <w:jc w:val="both"/>
              <w:rPr>
                <w:rFonts w:ascii="Arial" w:hAnsi="Arial" w:cs="Arial"/>
              </w:rPr>
            </w:pPr>
            <w:r>
              <w:rPr>
                <w:rFonts w:ascii="Arial" w:hAnsi="Arial"/>
                <w:b/>
              </w:rPr>
              <w:t>Estrategia de consulta</w:t>
            </w:r>
            <w:r>
              <w:rPr>
                <w:rFonts w:ascii="Arial" w:hAnsi="Arial"/>
                <w:b/>
              </w:rPr>
              <w:t xml:space="preserve"> </w:t>
            </w:r>
          </w:p>
        </w:tc>
      </w:tr>
      <w:tr w:rsidTr="25975732">
        <w:tblPrEx>
          <w:tblW w:w="10188" w:type="dxa"/>
          <w:tblLook w:val="01E0"/>
        </w:tblPrEx>
        <w:tc>
          <w:tcPr>
            <w:tcW w:w="10188" w:type="dxa"/>
            <w:tcBorders>
              <w:bottom w:val="single" w:sz="4" w:space="0" w:color="auto"/>
            </w:tcBorders>
            <w:shd w:val="clear" w:color="auto" w:fill="auto"/>
          </w:tcPr>
          <w:p w:rsidR="00B312B7" w:rsidP="002B3A12">
            <w:pPr>
              <w:spacing w:before="60" w:after="240"/>
              <w:jc w:val="both"/>
              <w:rPr>
                <w:rFonts w:ascii="Arial" w:hAnsi="Arial" w:cs="Arial"/>
                <w:color w:val="1036A0"/>
                <w:sz w:val="20"/>
                <w:szCs w:val="20"/>
              </w:rPr>
            </w:pPr>
            <w:r>
              <w:rPr>
                <w:rFonts w:ascii="Arial" w:hAnsi="Arial"/>
                <w:color w:val="1036A0"/>
                <w:sz w:val="20"/>
              </w:rPr>
              <w:t xml:space="preserve">Está prevista una </w:t>
            </w:r>
            <w:r>
              <w:rPr>
                <w:rFonts w:ascii="Arial" w:hAnsi="Arial"/>
                <w:b/>
                <w:bCs/>
                <w:color w:val="1036A0"/>
                <w:sz w:val="20"/>
              </w:rPr>
              <w:t>consulta pública</w:t>
            </w:r>
            <w:r>
              <w:rPr>
                <w:rFonts w:ascii="Arial" w:hAnsi="Arial"/>
                <w:color w:val="1036A0"/>
                <w:sz w:val="20"/>
              </w:rPr>
              <w:t xml:space="preserve"> de doce semanas de duración, en todas las lenguas oficiales de la UE, durante el período comprendido entre agosto y noviembre de 2024.</w:t>
            </w:r>
            <w:r>
              <w:rPr>
                <w:rFonts w:ascii="Arial" w:hAnsi="Arial"/>
                <w:color w:val="1036A0"/>
                <w:sz w:val="20"/>
              </w:rPr>
              <w:t xml:space="preserve"> </w:t>
            </w:r>
            <w:r>
              <w:rPr>
                <w:rFonts w:ascii="Arial" w:hAnsi="Arial"/>
                <w:color w:val="1036A0"/>
                <w:sz w:val="20"/>
              </w:rPr>
              <w:t xml:space="preserve">La consulta pública se complementará con la organización de reuniones con las partes interesadas a través de foros específicos para recopilar datos de manera más específica, por ejemplo, a través de los </w:t>
            </w:r>
            <w:r>
              <w:rPr>
                <w:rFonts w:ascii="Arial" w:hAnsi="Arial"/>
                <w:b/>
                <w:bCs/>
                <w:color w:val="1036A0"/>
                <w:sz w:val="20"/>
              </w:rPr>
              <w:t>grupos de expertos de la Comisión</w:t>
            </w:r>
            <w:r>
              <w:rPr>
                <w:rFonts w:ascii="Arial" w:hAnsi="Arial"/>
                <w:color w:val="1036A0"/>
                <w:sz w:val="20"/>
              </w:rPr>
              <w:t xml:space="preserve"> (Grupo de Coordinación de la Electricidad y Grupo de Coordinación del Gas).</w:t>
            </w:r>
          </w:p>
          <w:p w:rsidR="00EE4DF4" w:rsidP="002B3A12">
            <w:pPr>
              <w:spacing w:before="60" w:after="240"/>
              <w:jc w:val="both"/>
              <w:rPr>
                <w:rFonts w:ascii="Arial" w:hAnsi="Arial" w:cs="Arial"/>
                <w:bCs/>
                <w:color w:val="1036A0"/>
                <w:sz w:val="20"/>
                <w:szCs w:val="20"/>
              </w:rPr>
            </w:pPr>
            <w:r>
              <w:rPr>
                <w:rFonts w:ascii="Arial" w:hAnsi="Arial"/>
                <w:color w:val="1036A0"/>
                <w:sz w:val="20"/>
              </w:rPr>
              <w:t>Para garantizar respuestas suficientes al cuestionario de la consulta pública, está prevista una amplia gama de actividades de divulgación (por ejemplo, acciones de divulgación para grupos de expertos, comunicado de prensa, uso de los medios sociales, etc.).</w:t>
            </w:r>
            <w:r>
              <w:rPr>
                <w:rFonts w:ascii="Arial" w:hAnsi="Arial"/>
                <w:color w:val="1036A0"/>
                <w:sz w:val="20"/>
              </w:rPr>
              <w:t xml:space="preserve"> </w:t>
            </w:r>
            <w:r>
              <w:rPr>
                <w:rFonts w:ascii="Arial" w:hAnsi="Arial"/>
                <w:color w:val="1036A0"/>
                <w:sz w:val="20"/>
              </w:rPr>
              <w:t>Si bien cabe esperar la participación de las partes interesadas que prestan más atención a la política de seguridad energética de la UE, las actividades de comu</w:t>
            </w:r>
            <w:r>
              <w:rPr>
                <w:rFonts w:ascii="Arial" w:hAnsi="Arial"/>
                <w:color w:val="1036A0"/>
                <w:sz w:val="20"/>
              </w:rPr>
              <w:t xml:space="preserve">nicación </w:t>
            </w:r>
            <w:r>
              <w:rPr>
                <w:rFonts w:ascii="Arial" w:hAnsi="Arial"/>
                <w:color w:val="1036A0"/>
                <w:sz w:val="20"/>
              </w:rPr>
              <w:t>también se centrarán en garantizar la participación de las partes interesadas infrarrepresentadas que tradicionalmente se ven afectadas de forma menos directa o a quienes tradicionalmente les preocupa menos, como los ciudadanos de la UE y las ONG.</w:t>
            </w:r>
          </w:p>
          <w:p w:rsidR="000E4FFF" w:rsidRPr="00416577" w:rsidP="002B3A12">
            <w:pPr>
              <w:spacing w:before="60" w:after="240"/>
              <w:jc w:val="both"/>
              <w:rPr>
                <w:rFonts w:ascii="Arial" w:hAnsi="Arial" w:cs="Arial"/>
                <w:bCs/>
                <w:sz w:val="20"/>
                <w:szCs w:val="20"/>
              </w:rPr>
            </w:pPr>
            <w:r>
              <w:rPr>
                <w:rFonts w:ascii="Arial" w:hAnsi="Arial"/>
                <w:color w:val="1036A0"/>
                <w:sz w:val="20"/>
              </w:rPr>
              <w:t>En consonancia con la política de mejora de la legislación de la Comisión Europea para evaluar las políticas basadas en los mejores conocimientos disponibles, también invitamos a investigadores científicos, así como a organizaciones académicas, grupos de reflexión, sociedades académicas y asociaciones científicas con experiencia en el ámbito de la seguridad energética, a que presenten estudios, análisis y datos científicos pertinentes, publicados y preimpresos.</w:t>
            </w:r>
            <w:r>
              <w:rPr>
                <w:rFonts w:ascii="Arial" w:hAnsi="Arial"/>
                <w:color w:val="1036A0"/>
                <w:sz w:val="20"/>
              </w:rPr>
              <w:t xml:space="preserve">  </w:t>
            </w:r>
            <w:r>
              <w:rPr>
                <w:rFonts w:ascii="Arial" w:hAnsi="Arial"/>
                <w:color w:val="1036A0"/>
                <w:sz w:val="20"/>
              </w:rPr>
              <w:t>Nos interesa especialmente consultar trabajos que resuman el estado actual de los conocimientos en los ámbitos pertinentes.</w:t>
            </w:r>
          </w:p>
        </w:tc>
      </w:tr>
      <w:tr w:rsidTr="25975732">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r>
              <w:rPr>
                <w:rFonts w:ascii="Arial" w:hAnsi="Arial"/>
                <w:b/>
              </w:rPr>
              <w:t>¿Por qué se realiza la consulta?</w:t>
            </w:r>
            <w:r>
              <w:rPr>
                <w:rFonts w:ascii="Arial" w:hAnsi="Arial"/>
                <w:b/>
              </w:rPr>
              <w:t xml:space="preserve"> </w:t>
            </w:r>
          </w:p>
        </w:tc>
      </w:tr>
      <w:tr w:rsidTr="25975732">
        <w:tblPrEx>
          <w:tblW w:w="10188" w:type="dxa"/>
          <w:tblLook w:val="01E0"/>
        </w:tblPrEx>
        <w:tc>
          <w:tcPr>
            <w:tcW w:w="10188" w:type="dxa"/>
            <w:tcBorders>
              <w:bottom w:val="single" w:sz="4" w:space="0" w:color="auto"/>
            </w:tcBorders>
            <w:shd w:val="clear" w:color="auto" w:fill="auto"/>
          </w:tcPr>
          <w:p w:rsidR="00B312B7" w:rsidRPr="00333FAE" w:rsidP="00333FAE">
            <w:pPr>
              <w:spacing w:before="60" w:after="240"/>
              <w:jc w:val="both"/>
              <w:rPr>
                <w:rFonts w:ascii="Arial" w:hAnsi="Arial" w:cs="Arial"/>
                <w:color w:val="1036A0"/>
                <w:sz w:val="20"/>
                <w:szCs w:val="20"/>
              </w:rPr>
            </w:pPr>
            <w:r>
              <w:rPr>
                <w:rFonts w:ascii="Arial" w:hAnsi="Arial"/>
                <w:color w:val="1036A0"/>
                <w:sz w:val="20"/>
              </w:rPr>
              <w:t>Siguiendo la política de la Comisión basada en datos contrastados, la presente convocatoria de datos tiene por objeto brindar a las partes interesadas y a los ciudadanos la oportunidad de formular observaciones sobre la arquitectura de seguridad energética actual de la UE y sobre los posibles problemas, así como sobre las mejoras o complementos que podrían introducirse en ella.</w:t>
            </w:r>
            <w:r>
              <w:rPr>
                <w:rFonts w:ascii="Arial" w:hAnsi="Arial"/>
                <w:color w:val="1036A0"/>
                <w:sz w:val="20"/>
              </w:rPr>
              <w:t xml:space="preserve"> </w:t>
            </w:r>
            <w:r>
              <w:rPr>
                <w:rFonts w:ascii="Arial" w:hAnsi="Arial"/>
                <w:color w:val="1036A0"/>
                <w:sz w:val="20"/>
              </w:rPr>
              <w:t>También incluye un cuestionario estructurado al que se invita a responder a los ciudadanos y a las partes interesadas durante un período de catorce semanas, con una serie de preguntas cerradas y varias preguntas abiertas para que las partes interesadas y los ciudadanos puedan expresar libremente sus opiniones.</w:t>
            </w:r>
          </w:p>
        </w:tc>
      </w:tr>
      <w:tr w:rsidTr="25975732">
        <w:tblPrEx>
          <w:tblW w:w="10188" w:type="dxa"/>
          <w:tblLook w:val="01E0"/>
        </w:tblPrEx>
        <w:tc>
          <w:tcPr>
            <w:tcW w:w="10188" w:type="dxa"/>
            <w:tcBorders>
              <w:bottom w:val="single" w:sz="4" w:space="0" w:color="auto"/>
            </w:tcBorders>
            <w:shd w:val="clear" w:color="auto" w:fill="D9D9D9" w:themeFill="background1" w:themeFillShade="D9"/>
          </w:tcPr>
          <w:p w:rsidR="00B312B7" w:rsidRPr="00347966" w:rsidP="00B312B7">
            <w:pPr>
              <w:spacing w:before="60" w:after="60"/>
              <w:jc w:val="both"/>
              <w:rPr>
                <w:rFonts w:ascii="Arial" w:hAnsi="Arial" w:cs="Arial"/>
                <w:b/>
              </w:rPr>
            </w:pPr>
            <w:r>
              <w:rPr>
                <w:rFonts w:ascii="Arial" w:hAnsi="Arial"/>
                <w:b/>
              </w:rPr>
              <w:t>Público destinatario</w:t>
            </w:r>
            <w:r>
              <w:rPr>
                <w:rFonts w:ascii="Arial" w:hAnsi="Arial"/>
                <w:b/>
              </w:rPr>
              <w:t xml:space="preserve"> </w:t>
            </w:r>
          </w:p>
        </w:tc>
      </w:tr>
      <w:tr w:rsidTr="25975732">
        <w:tblPrEx>
          <w:tblW w:w="10188" w:type="dxa"/>
          <w:tblLook w:val="01E0"/>
        </w:tblPrEx>
        <w:tc>
          <w:tcPr>
            <w:tcW w:w="10188" w:type="dxa"/>
            <w:tcBorders>
              <w:bottom w:val="single" w:sz="4" w:space="0" w:color="auto"/>
            </w:tcBorders>
            <w:shd w:val="clear" w:color="auto" w:fill="auto"/>
          </w:tcPr>
          <w:p w:rsidR="00B312B7" w:rsidRPr="00196B5E" w:rsidP="004955C6">
            <w:pPr>
              <w:spacing w:before="60" w:after="60"/>
              <w:jc w:val="both"/>
              <w:rPr>
                <w:rFonts w:ascii="Arial" w:hAnsi="Arial" w:cs="Arial"/>
                <w:b/>
                <w:sz w:val="20"/>
                <w:szCs w:val="20"/>
              </w:rPr>
            </w:pPr>
            <w:r>
              <w:rPr>
                <w:rFonts w:ascii="Arial" w:hAnsi="Arial"/>
                <w:color w:val="1036A0"/>
                <w:sz w:val="20"/>
              </w:rPr>
              <w:t>La convocatoria de datos busca la opinión de una amplia gama de partes interesadas, tanto de las que trabajan en los ámbitos de la energía, la seguridad energética y la defensa y seguridad, como de las que no trabajan a diario en estos temas.</w:t>
            </w:r>
          </w:p>
        </w:tc>
      </w:tr>
      <w:tr w:rsidTr="25975732">
        <w:tblPrEx>
          <w:tblW w:w="10188" w:type="dxa"/>
          <w:tblLook w:val="01E0"/>
        </w:tblPrEx>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9470B" w:rsidRPr="00B9470B" w:rsidP="00B9470B">
            <w:pPr>
              <w:spacing w:before="60" w:after="60"/>
              <w:jc w:val="both"/>
              <w:rPr>
                <w:rFonts w:ascii="Arial" w:hAnsi="Arial" w:cs="Arial"/>
                <w:b/>
              </w:rPr>
            </w:pPr>
            <w:r>
              <w:rPr>
                <w:rFonts w:ascii="Arial" w:hAnsi="Arial"/>
                <w:b/>
              </w:rPr>
              <w:t>Recogida de datos y metodología</w:t>
            </w:r>
            <w:r>
              <w:rPr>
                <w:rFonts w:ascii="Arial" w:hAnsi="Arial"/>
                <w:b/>
              </w:rPr>
              <w:t xml:space="preserve"> </w:t>
            </w:r>
          </w:p>
        </w:tc>
      </w:tr>
      <w:tr w:rsidTr="25975732">
        <w:tblPrEx>
          <w:tblW w:w="10188" w:type="dxa"/>
          <w:tblLook w:val="01E0"/>
        </w:tblPrEx>
        <w:tc>
          <w:tcPr>
            <w:tcW w:w="10188" w:type="dxa"/>
            <w:tcBorders>
              <w:top w:val="single" w:sz="4" w:space="0" w:color="auto"/>
              <w:left w:val="single" w:sz="4" w:space="0" w:color="auto"/>
              <w:bottom w:val="single" w:sz="4" w:space="0" w:color="auto"/>
              <w:right w:val="single" w:sz="4" w:space="0" w:color="auto"/>
            </w:tcBorders>
            <w:shd w:val="clear" w:color="auto" w:fill="auto"/>
          </w:tcPr>
          <w:p w:rsidR="002752A0" w:rsidP="00D65F32">
            <w:pPr>
              <w:keepNext/>
              <w:keepLines/>
              <w:widowControl w:val="0"/>
              <w:spacing w:before="60" w:after="60"/>
              <w:jc w:val="both"/>
              <w:rPr>
                <w:rFonts w:ascii="Arial" w:hAnsi="Arial" w:cs="Arial"/>
                <w:color w:val="1036A0"/>
                <w:sz w:val="20"/>
                <w:szCs w:val="20"/>
              </w:rPr>
            </w:pPr>
            <w:r>
              <w:rPr>
                <w:rFonts w:ascii="Arial" w:hAnsi="Arial"/>
                <w:color w:val="1036A0"/>
                <w:sz w:val="20"/>
              </w:rPr>
              <w:t>El control de adecuación utilizará, en particular, la información y los datos de la evaluación de impacto de 2016 que acompaña a la propuesta de Reglamento sobre la seguridad del suministro de gas [SWD(2016) 25 final], de la evaluación de impacto de 2016 que acompaña a la propuesta de Reglamento sobre la preparación frente a los riesgos [SWD(2016) 410 final], así como de los informes de la Comisión que revisan la aplicación del Reglamento sobre la seguridad del suministro de gas [COM(2023) 572 final], sobre determinados aspectos relativos al almacenamiento de gas [COM(2024) 89 final], sobre el funcionamiento de las medidas coordinadas para la reducción de la demanda de gas [COM(2024) 88 final] y sobre la revisión del Reglamento de solidaridad [COM(2023) 547 final].</w:t>
            </w:r>
            <w:r>
              <w:rPr>
                <w:rFonts w:ascii="Arial" w:hAnsi="Arial"/>
                <w:color w:val="1036A0"/>
                <w:sz w:val="20"/>
              </w:rPr>
              <w:t xml:space="preserve"> </w:t>
            </w:r>
          </w:p>
          <w:p w:rsidR="002752A0" w:rsidP="00D65F32">
            <w:pPr>
              <w:keepNext/>
              <w:keepLines/>
              <w:widowControl w:val="0"/>
              <w:spacing w:before="60" w:after="60"/>
              <w:jc w:val="both"/>
              <w:rPr>
                <w:rFonts w:ascii="Arial" w:hAnsi="Arial" w:cs="Arial"/>
                <w:color w:val="1036A0"/>
                <w:sz w:val="20"/>
                <w:szCs w:val="20"/>
              </w:rPr>
            </w:pPr>
            <w:r>
              <w:rPr>
                <w:rFonts w:ascii="Arial" w:hAnsi="Arial"/>
                <w:color w:val="1036A0"/>
                <w:sz w:val="20"/>
              </w:rPr>
              <w:t xml:space="preserve">El control de adecuación también se basará en la próxima actualización de la simulación de la seguridad del suministro de gas en toda la UE que la REGRT debe realizar antes de que termine 2024, de conformidad con el artículo 7 del Reglamento sobre la seguridad del suministro de gas (la edición anterior de la simulación puede consultarse </w:t>
            </w:r>
            <w:r>
              <w:fldChar w:fldCharType="begin"/>
            </w:r>
            <w:r>
              <w:instrText xml:space="preserve"> HYPERLINK "https://www.entsog.eu/security-of-supply-simulation" \l "union-wide-simulation-of-supply-and-infrastructure-disruption-scenarios-2021" </w:instrText>
            </w:r>
            <w:r>
              <w:fldChar w:fldCharType="separate"/>
            </w:r>
            <w:r>
              <w:rPr>
                <w:rStyle w:val="Hyperlink"/>
                <w:rFonts w:ascii="Arial" w:hAnsi="Arial"/>
                <w:sz w:val="20"/>
              </w:rPr>
              <w:t>aquí</w:t>
            </w:r>
            <w:r>
              <w:fldChar w:fldCharType="end"/>
            </w:r>
            <w:r>
              <w:rPr>
                <w:rFonts w:ascii="Arial" w:hAnsi="Arial"/>
                <w:color w:val="1036A0"/>
                <w:sz w:val="20"/>
              </w:rPr>
              <w:t>).</w:t>
            </w:r>
            <w:r>
              <w:rPr>
                <w:rFonts w:ascii="Arial" w:hAnsi="Arial"/>
                <w:color w:val="1036A0"/>
                <w:sz w:val="20"/>
              </w:rPr>
              <w:t xml:space="preserve"> </w:t>
            </w:r>
            <w:r>
              <w:rPr>
                <w:rFonts w:ascii="Arial" w:hAnsi="Arial"/>
                <w:color w:val="1036A0"/>
                <w:sz w:val="20"/>
              </w:rPr>
              <w:t>Las previsiones estacionales de REGRT de Electricidad y las previsiones del ERAA, así como los últimos modelos hipotéticos del plan decenal de desarrollo de la red, también aportar información al control de adecuación.</w:t>
            </w:r>
            <w:r>
              <w:rPr>
                <w:rFonts w:ascii="Arial" w:hAnsi="Arial"/>
                <w:color w:val="1036A0"/>
                <w:sz w:val="20"/>
              </w:rPr>
              <w:t xml:space="preserve"> </w:t>
            </w:r>
            <w:r>
              <w:rPr>
                <w:rFonts w:ascii="Arial" w:hAnsi="Arial"/>
                <w:color w:val="1036A0"/>
                <w:sz w:val="20"/>
              </w:rPr>
              <w:t>Los informes anuales de la ACER sobre la supervisión de la seguridad del suministro eléctrico de la UE, previstos en el artículo 15 del Reglamento de la ACER</w:t>
            </w:r>
            <w:r>
              <w:rPr>
                <w:rStyle w:val="FootnoteReference"/>
                <w:rFonts w:ascii="Arial" w:hAnsi="Arial" w:cs="Arial"/>
                <w:color w:val="1036A0"/>
                <w:sz w:val="20"/>
                <w:szCs w:val="20"/>
              </w:rPr>
              <w:footnoteReference w:id="6"/>
            </w:r>
            <w:r>
              <w:rPr>
                <w:rFonts w:ascii="Arial" w:hAnsi="Arial"/>
                <w:color w:val="1036A0"/>
                <w:sz w:val="20"/>
              </w:rPr>
              <w:t>, también pueden utilizarse como fuente de información cuantitativa y cualitativa.</w:t>
            </w:r>
          </w:p>
          <w:p w:rsidR="009A7E5B" w:rsidP="00D65F32">
            <w:pPr>
              <w:keepNext/>
              <w:keepLines/>
              <w:widowControl w:val="0"/>
              <w:spacing w:before="60" w:after="60"/>
              <w:jc w:val="both"/>
              <w:rPr>
                <w:rFonts w:ascii="Arial" w:hAnsi="Arial" w:cs="Arial"/>
                <w:color w:val="1036A0"/>
                <w:sz w:val="20"/>
                <w:szCs w:val="20"/>
              </w:rPr>
            </w:pPr>
            <w:r>
              <w:rPr>
                <w:rFonts w:ascii="Arial" w:hAnsi="Arial"/>
                <w:color w:val="1036A0"/>
                <w:sz w:val="20"/>
              </w:rPr>
              <w:t>Si procede, las actividades internas de modelización, en las que participan expertos del Centro Común de Investigación (JRC) de la Comisión y de otros servicios, podrían contribuir a la evaluación cuantitativa.</w:t>
            </w:r>
            <w:r>
              <w:rPr>
                <w:rFonts w:ascii="Arial" w:hAnsi="Arial"/>
                <w:color w:val="1036A0"/>
                <w:sz w:val="20"/>
              </w:rPr>
              <w:t xml:space="preserve"> </w:t>
            </w:r>
            <w:r>
              <w:rPr>
                <w:rFonts w:ascii="Arial" w:hAnsi="Arial"/>
                <w:color w:val="1036A0"/>
                <w:sz w:val="20"/>
              </w:rPr>
              <w:t>Por último, los servicios de la Comisión, en particular con el apoyo del JRC, también llevarán a cabo actividades de investigación documental para recopilar datos e información de publicaciones académicas, informes públicos de entidades reconocidas, así como de bases de datos especializadas.</w:t>
            </w:r>
          </w:p>
          <w:p w:rsidR="00B9470B" w:rsidRPr="00B9470B" w:rsidP="00D65F32">
            <w:pPr>
              <w:keepNext/>
              <w:keepLines/>
              <w:widowControl w:val="0"/>
              <w:spacing w:before="60" w:after="60"/>
              <w:jc w:val="both"/>
              <w:rPr>
                <w:rFonts w:ascii="Arial" w:hAnsi="Arial" w:cs="Arial"/>
                <w:color w:val="1036A0"/>
                <w:sz w:val="20"/>
                <w:szCs w:val="20"/>
              </w:rPr>
            </w:pPr>
            <w:r>
              <w:rPr>
                <w:rFonts w:ascii="Arial" w:hAnsi="Arial"/>
                <w:color w:val="1036A0"/>
                <w:sz w:val="20"/>
              </w:rPr>
              <w:t>Esta convocatoria de datos deber contribuir a recabar más información y conocimientos sobre la aplicación del Reglamento sobre la preparación frente a los riesgos en el sector de la electricidad, especialmente sobre su interrelación con el Reglamento sobre la seguridad del suministro de gas.</w:t>
            </w:r>
            <w:r>
              <w:rPr>
                <w:rFonts w:ascii="Arial" w:hAnsi="Arial"/>
                <w:color w:val="1036A0"/>
                <w:sz w:val="20"/>
              </w:rPr>
              <w:t xml:space="preserve"> </w:t>
            </w:r>
          </w:p>
        </w:tc>
      </w:tr>
    </w:tbl>
    <w:p w:rsidR="009E6661" w:rsidRPr="00347966" w:rsidP="004B7E6F">
      <w:pPr>
        <w:rPr>
          <w:rFonts w:ascii="Arial" w:hAnsi="Arial" w:cs="Arial"/>
          <w:sz w:val="20"/>
          <w:szCs w:val="20"/>
        </w:rPr>
      </w:pPr>
    </w:p>
    <w:sectPr w:rsidSect="00C9010B">
      <w:footerReference w:type="even" r:id="rId16"/>
      <w:footerReference w:type="default" r:id="rId17"/>
      <w:headerReference w:type="first" r:id="rId18"/>
      <w:type w:val="continuous"/>
      <w:pgSz w:w="11906" w:h="16838" w:code="9"/>
      <w:pgMar w:top="851"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p>
  <w:p w:rsidR="00035A3D" w:rsidRPr="002B4E61"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r>
      <w:rPr>
        <w:rStyle w:val="PageNumber"/>
        <w:rFonts w:ascii="Arial" w:hAnsi="Arial"/>
        <w:sz w:val="16"/>
      </w:rPr>
      <w:tab/>
    </w:r>
    <w:r>
      <w:rPr>
        <w:rStyle w:val="PageNumber"/>
        <w:rFonts w:ascii="Arial" w:hAnsi="Arial"/>
        <w:sz w:val="16"/>
      </w:rPr>
      <w:t xml:space="preserve">         </w:t>
    </w:r>
    <w:r w:rsidRPr="002B4E61">
      <w:rPr>
        <w:rStyle w:val="PageNumber"/>
        <w:rFonts w:ascii="Arial" w:hAnsi="Arial"/>
        <w:sz w:val="16"/>
      </w:rPr>
      <w:fldChar w:fldCharType="begin"/>
    </w:r>
    <w:r w:rsidRPr="002B4E61">
      <w:rPr>
        <w:rStyle w:val="PageNumber"/>
        <w:rFonts w:ascii="Arial" w:hAnsi="Arial"/>
        <w:sz w:val="16"/>
      </w:rPr>
      <w:instrText xml:space="preserve">PAGE  </w:instrText>
    </w:r>
    <w:r w:rsidRPr="002B4E61">
      <w:rPr>
        <w:rStyle w:val="PageNumber"/>
        <w:rFonts w:ascii="Arial" w:hAnsi="Arial"/>
        <w:sz w:val="16"/>
      </w:rPr>
      <w:fldChar w:fldCharType="separate"/>
    </w:r>
    <w:r>
      <w:rPr>
        <w:rStyle w:val="PageNumber"/>
        <w:rFonts w:ascii="Arial" w:hAnsi="Arial"/>
        <w:sz w:val="16"/>
      </w:rPr>
      <w:t>3</w:t>
    </w:r>
    <w:r w:rsidRPr="002B4E61">
      <w:rPr>
        <w:rStyle w:val="PageNumber"/>
        <w:rFonts w:ascii="Arial" w:hAnsi="Arial"/>
        <w:sz w:val="16"/>
      </w:rPr>
      <w:fldChar w:fldCharType="end"/>
    </w:r>
  </w:p>
  <w:p w:rsidR="00035A3D" w:rsidRPr="002B4E61">
    <w:pPr>
      <w:pStyle w:val="Foo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6930618"/>
      <w:docPartObj>
        <w:docPartGallery w:val="Page Numbers (Bottom of Page)"/>
        <w:docPartUnique/>
      </w:docPartObj>
    </w:sdtPr>
    <w:sdtEndPr>
      <w:rPr>
        <w:noProof/>
        <w:sz w:val="20"/>
        <w:szCs w:val="20"/>
      </w:rPr>
    </w:sdtEndPr>
    <w:sdtContent>
      <w:p w:rsidR="00154DAD" w:rsidRPr="00154DAD">
        <w:pPr>
          <w:pStyle w:val="Footer"/>
          <w:jc w:val="center"/>
          <w:rPr>
            <w:sz w:val="20"/>
            <w:szCs w:val="20"/>
          </w:rPr>
        </w:pPr>
        <w:r w:rsidRPr="00154DAD">
          <w:rPr>
            <w:sz w:val="20"/>
          </w:rPr>
          <w:fldChar w:fldCharType="begin"/>
        </w:r>
        <w:r w:rsidRPr="00154DAD">
          <w:rPr>
            <w:sz w:val="20"/>
          </w:rPr>
          <w:instrText xml:space="preserve"> PAGE   \* MERGEFORMAT </w:instrText>
        </w:r>
        <w:r w:rsidRPr="00154DAD">
          <w:rPr>
            <w:sz w:val="20"/>
          </w:rPr>
          <w:fldChar w:fldCharType="separate"/>
        </w:r>
        <w:r w:rsidRPr="00154DAD">
          <w:rPr>
            <w:sz w:val="20"/>
          </w:rPr>
          <w:t>2</w:t>
        </w:r>
        <w:r w:rsidRPr="00154DAD">
          <w:rPr>
            <w:sz w:val="20"/>
          </w:rPr>
          <w:fldChar w:fldCharType="end"/>
        </w:r>
      </w:p>
    </w:sdtContent>
  </w:sdt>
  <w:p w:rsidR="00635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D9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35A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p>
  <w:p w:rsidR="00035A3D" w:rsidRPr="002B4E61" w:rsidP="002B4E61">
    <w:pPr>
      <w:pStyle w:val="Footer"/>
      <w:framePr w:wrap="around" w:vAnchor="text" w:hAnchor="margin" w:xAlign="center" w:y="1"/>
      <w:rPr>
        <w:rStyle w:val="PageNumber"/>
        <w:rFonts w:ascii="Arial" w:hAnsi="Arial"/>
        <w:sz w:val="16"/>
      </w:rPr>
    </w:pPr>
    <w:r>
      <w:rPr>
        <w:rStyle w:val="PageNumber"/>
        <w:rFonts w:ascii="Arial" w:hAnsi="Arial"/>
        <w:sz w:val="16"/>
      </w:rPr>
      <w:tab/>
    </w:r>
    <w:r>
      <w:rPr>
        <w:rStyle w:val="PageNumber"/>
        <w:rFonts w:ascii="Arial" w:hAnsi="Arial"/>
        <w:sz w:val="16"/>
      </w:rPr>
      <w:tab/>
    </w:r>
    <w:r>
      <w:rPr>
        <w:rStyle w:val="PageNumber"/>
        <w:rFonts w:ascii="Arial" w:hAnsi="Arial"/>
        <w:sz w:val="16"/>
      </w:rPr>
      <w:tab/>
    </w:r>
    <w:r>
      <w:rPr>
        <w:rStyle w:val="PageNumber"/>
        <w:rFonts w:ascii="Arial" w:hAnsi="Arial"/>
        <w:sz w:val="16"/>
      </w:rPr>
      <w:t xml:space="preserve">         </w:t>
    </w:r>
    <w:r w:rsidRPr="002B4E61">
      <w:rPr>
        <w:rStyle w:val="PageNumber"/>
        <w:rFonts w:ascii="Arial" w:hAnsi="Arial"/>
        <w:sz w:val="16"/>
      </w:rPr>
      <w:fldChar w:fldCharType="begin"/>
    </w:r>
    <w:r w:rsidRPr="002B4E61">
      <w:rPr>
        <w:rStyle w:val="PageNumber"/>
        <w:rFonts w:ascii="Arial" w:hAnsi="Arial"/>
        <w:sz w:val="16"/>
      </w:rPr>
      <w:instrText xml:space="preserve">PAGE  </w:instrText>
    </w:r>
    <w:r w:rsidRPr="002B4E61">
      <w:rPr>
        <w:rStyle w:val="PageNumber"/>
        <w:rFonts w:ascii="Arial" w:hAnsi="Arial"/>
        <w:sz w:val="16"/>
      </w:rPr>
      <w:fldChar w:fldCharType="separate"/>
    </w:r>
    <w:r w:rsidR="00E66E1E">
      <w:rPr>
        <w:rStyle w:val="PageNumber"/>
        <w:rFonts w:ascii="Arial" w:hAnsi="Arial"/>
        <w:sz w:val="16"/>
      </w:rPr>
      <w:t>2</w:t>
    </w:r>
    <w:r w:rsidRPr="002B4E61">
      <w:rPr>
        <w:rStyle w:val="PageNumber"/>
        <w:rFonts w:ascii="Arial" w:hAnsi="Arial"/>
        <w:sz w:val="16"/>
      </w:rPr>
      <w:fldChar w:fldCharType="end"/>
    </w:r>
  </w:p>
  <w:p w:rsidR="00035A3D" w:rsidRPr="002B4E61">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4D2E">
      <w:r>
        <w:separator/>
      </w:r>
    </w:p>
  </w:footnote>
  <w:footnote w:type="continuationSeparator" w:id="1">
    <w:p w:rsidR="005D4D2E">
      <w:r>
        <w:continuationSeparator/>
      </w:r>
    </w:p>
  </w:footnote>
  <w:footnote w:type="continuationNotice" w:id="2">
    <w:p w:rsidR="005D4D2E"/>
  </w:footnote>
  <w:footnote w:id="3">
    <w:p w:rsidR="00D63270" w:rsidRPr="006B05B5" w:rsidP="00755ED6">
      <w:pPr>
        <w:pStyle w:val="FootnoteText"/>
        <w:spacing w:after="0"/>
        <w:rPr>
          <w:rFonts w:ascii="Arial" w:hAnsi="Arial" w:cs="Arial"/>
          <w:sz w:val="18"/>
          <w:szCs w:val="18"/>
        </w:rPr>
      </w:pPr>
      <w:r>
        <w:rPr>
          <w:rFonts w:ascii="Arial" w:hAnsi="Arial"/>
          <w:sz w:val="18"/>
        </w:rPr>
        <w:t>(</w:t>
      </w:r>
      <w:r>
        <w:rPr>
          <w:rStyle w:val="FootnoteReference"/>
          <w:rFonts w:ascii="Arial" w:hAnsi="Arial" w:cs="Arial"/>
          <w:sz w:val="18"/>
          <w:szCs w:val="18"/>
        </w:rPr>
        <w:footnoteRef/>
      </w:r>
      <w:r>
        <w:rPr>
          <w:rFonts w:ascii="Arial" w:hAnsi="Arial"/>
          <w:sz w:val="18"/>
        </w:rPr>
        <w:t>)</w:t>
      </w:r>
      <w:r>
        <w:rPr>
          <w:rFonts w:ascii="Arial" w:hAnsi="Arial"/>
          <w:sz w:val="18"/>
        </w:rPr>
        <w:t xml:space="preserve"> </w:t>
      </w:r>
      <w:r>
        <w:rPr>
          <w:rFonts w:ascii="Arial" w:hAnsi="Arial"/>
          <w:sz w:val="18"/>
        </w:rPr>
        <w:tab/>
      </w:r>
      <w:r>
        <w:fldChar w:fldCharType="begin"/>
      </w:r>
      <w:r>
        <w:instrText xml:space="preserve"> HYPERLINK "https://www.consilium.europa.eu/media/70891/euco-conclusions-2122032024-es.pdf" </w:instrText>
      </w:r>
      <w:r>
        <w:fldChar w:fldCharType="separate"/>
      </w:r>
      <w:r>
        <w:rPr>
          <w:rStyle w:val="Hyperlink"/>
          <w:rFonts w:ascii="Arial" w:hAnsi="Arial"/>
          <w:sz w:val="18"/>
        </w:rPr>
        <w:t>https://www.consilium.europa.eu/media/70891/euco-conclusions-2122032024-es.pdf</w:t>
      </w:r>
      <w:r>
        <w:fldChar w:fldCharType="end"/>
      </w:r>
      <w:r>
        <w:t>.</w:t>
      </w:r>
    </w:p>
  </w:footnote>
  <w:footnote w:id="4">
    <w:p w:rsidR="64584DE4" w:rsidRPr="006B05B5" w:rsidP="00755ED6">
      <w:pPr>
        <w:pStyle w:val="FootnoteText"/>
        <w:spacing w:after="0"/>
        <w:rPr>
          <w:rFonts w:ascii="Arial" w:hAnsi="Arial" w:cs="Arial"/>
          <w:sz w:val="18"/>
          <w:szCs w:val="18"/>
        </w:rPr>
      </w:pPr>
      <w:r>
        <w:rPr>
          <w:rFonts w:ascii="Arial" w:hAnsi="Arial"/>
          <w:sz w:val="18"/>
        </w:rPr>
        <w:t>(</w:t>
      </w:r>
      <w:r>
        <w:rPr>
          <w:rStyle w:val="FootnoteReference"/>
          <w:rFonts w:ascii="Arial" w:hAnsi="Arial" w:cs="Arial"/>
          <w:sz w:val="18"/>
          <w:szCs w:val="18"/>
        </w:rPr>
        <w:footnoteRef/>
      </w:r>
      <w:r>
        <w:rPr>
          <w:rFonts w:ascii="Arial" w:hAnsi="Arial"/>
          <w:sz w:val="18"/>
        </w:rPr>
        <w:t>)</w:t>
      </w:r>
      <w:r>
        <w:rPr>
          <w:rFonts w:ascii="Arial" w:hAnsi="Arial"/>
          <w:sz w:val="18"/>
        </w:rPr>
        <w:t xml:space="preserve"> </w:t>
      </w:r>
      <w:r>
        <w:rPr>
          <w:rFonts w:ascii="Arial" w:hAnsi="Arial"/>
          <w:sz w:val="18"/>
        </w:rPr>
        <w:tab/>
      </w:r>
      <w:r>
        <w:rPr>
          <w:rFonts w:ascii="Arial" w:hAnsi="Arial"/>
          <w:sz w:val="18"/>
        </w:rPr>
        <w:t>En concreto, pedía a la Comisión que se centrara «en la preparación frente a los riesgos, teniendo en cuenta al mismo tiempo la guerra de agresión de Rusia contra Ucrania, los riesgos climáticos, y diversos escenarios poco probables pero de gran impacto».</w:t>
      </w:r>
    </w:p>
  </w:footnote>
  <w:footnote w:id="5">
    <w:p w:rsidR="00D63270" w:rsidRPr="006B05B5" w:rsidP="00D63270">
      <w:pPr>
        <w:pStyle w:val="FootnoteText"/>
        <w:rPr>
          <w:rFonts w:ascii="Arial" w:hAnsi="Arial" w:cs="Arial"/>
          <w:color w:val="0563C1"/>
          <w:sz w:val="18"/>
          <w:szCs w:val="18"/>
          <w:u w:val="single"/>
        </w:rPr>
      </w:pPr>
      <w:r>
        <w:rPr>
          <w:rFonts w:ascii="Arial" w:hAnsi="Arial"/>
          <w:sz w:val="18"/>
        </w:rPr>
        <w:t>(</w:t>
      </w:r>
      <w:r>
        <w:rPr>
          <w:rStyle w:val="FootnoteReference"/>
          <w:rFonts w:ascii="Arial" w:hAnsi="Arial" w:cs="Arial"/>
          <w:sz w:val="18"/>
          <w:szCs w:val="18"/>
        </w:rPr>
        <w:footnoteRef/>
      </w:r>
      <w:r>
        <w:rPr>
          <w:rFonts w:ascii="Arial" w:hAnsi="Arial"/>
          <w:sz w:val="18"/>
        </w:rPr>
        <w:t>)</w:t>
      </w:r>
      <w:r>
        <w:rPr>
          <w:rFonts w:ascii="Arial" w:hAnsi="Arial"/>
          <w:sz w:val="18"/>
        </w:rPr>
        <w:tab/>
      </w:r>
      <w:r>
        <w:fldChar w:fldCharType="begin"/>
      </w:r>
      <w:r>
        <w:instrText xml:space="preserve"> HYPERLINK "https://www.consilium.europa.eu/media/ny3j24sm/much-more-than-a-market-report-by-enrico-letta.pdf" </w:instrText>
      </w:r>
      <w:r>
        <w:fldChar w:fldCharType="separate"/>
      </w:r>
      <w:r>
        <w:rPr>
          <w:rStyle w:val="Hyperlink"/>
          <w:rFonts w:ascii="Arial" w:hAnsi="Arial"/>
          <w:sz w:val="18"/>
        </w:rPr>
        <w:t>https://www.consilium.europa.eu/media/ny3j24sm/much-more-than-a-market-report-by-enrico-letta.pdf</w:t>
      </w:r>
      <w:r>
        <w:fldChar w:fldCharType="end"/>
      </w:r>
      <w:r>
        <w:rPr>
          <w:rStyle w:val="Hyperlink"/>
          <w:rFonts w:ascii="Arial" w:hAnsi="Arial"/>
          <w:sz w:val="18"/>
        </w:rPr>
        <w:t>.</w:t>
      </w:r>
      <w:r>
        <w:rPr>
          <w:rStyle w:val="Hyperlink"/>
          <w:rFonts w:ascii="Arial" w:hAnsi="Arial"/>
          <w:sz w:val="18"/>
        </w:rPr>
        <w:t xml:space="preserve"> </w:t>
      </w:r>
      <w:r>
        <w:rPr>
          <w:rFonts w:ascii="Arial" w:hAnsi="Arial"/>
          <w:sz w:val="18"/>
        </w:rPr>
        <w:t>En particular, recomendó tener en cuenta las nuevas realidades del mercado de GNL y promover una mayor solidaridad en caso de crisis.</w:t>
      </w:r>
      <w:r>
        <w:rPr>
          <w:rFonts w:ascii="Arial" w:hAnsi="Arial"/>
          <w:i/>
          <w:sz w:val="18"/>
        </w:rPr>
        <w:t xml:space="preserve"> </w:t>
      </w:r>
      <w:r>
        <w:rPr>
          <w:rFonts w:ascii="Arial" w:hAnsi="Arial"/>
          <w:sz w:val="18"/>
        </w:rPr>
        <w:t>Esta revisión también debe incluir el papel de los futuros gases limpios, como el hidrógeno.</w:t>
      </w:r>
    </w:p>
  </w:footnote>
  <w:footnote w:id="6">
    <w:p w:rsidR="00CE07B5" w:rsidRPr="006B05B5">
      <w:pPr>
        <w:pStyle w:val="FootnoteText"/>
        <w:rPr>
          <w:rFonts w:ascii="Arial" w:hAnsi="Arial" w:cs="Arial"/>
          <w:sz w:val="18"/>
          <w:szCs w:val="18"/>
        </w:rPr>
      </w:pPr>
      <w:r>
        <w:rPr>
          <w:rStyle w:val="FootnoteReference"/>
          <w:rFonts w:ascii="Arial" w:hAnsi="Arial" w:cs="Arial"/>
          <w:sz w:val="18"/>
          <w:szCs w:val="18"/>
        </w:rPr>
        <w:footnoteRef/>
      </w:r>
      <w:r>
        <w:t xml:space="preserve"> </w:t>
      </w:r>
      <w:r>
        <w:rPr>
          <w:rFonts w:ascii="Arial" w:hAnsi="Arial"/>
          <w:sz w:val="18"/>
        </w:rPr>
        <w:t>Reglamento (UE) 2019/942.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5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rPr>
      <w:drawing>
        <wp:inline distT="0" distB="0" distL="0" distR="0">
          <wp:extent cx="1908175" cy="508635"/>
          <wp:effectExtent l="0" t="0" r="0" b="5715"/>
          <wp:docPr id="6" name="Picture 6"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A3D" w:rsidP="00E72EF2">
    <w:pPr>
      <w:pStyle w:val="Header"/>
      <w:jc w:val="center"/>
    </w:pPr>
    <w:r>
      <w:rPr>
        <w:rFonts w:ascii="Arial" w:hAnsi="Arial"/>
      </w:rPr>
      <w:drawing>
        <wp:inline distT="0" distB="0" distL="0" distR="0">
          <wp:extent cx="1908175" cy="508635"/>
          <wp:effectExtent l="0" t="0" r="0" b="5715"/>
          <wp:docPr id="2"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0C6D35"/>
    <w:multiLevelType w:val="hybridMultilevel"/>
    <w:tmpl w:val="94DEB5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8332E3D"/>
    <w:multiLevelType w:val="hybridMultilevel"/>
    <w:tmpl w:val="2E2CAB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CC933A5"/>
    <w:multiLevelType w:val="hybridMultilevel"/>
    <w:tmpl w:val="192AA3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870B3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603211"/>
    <w:multiLevelType w:val="hybridMultilevel"/>
    <w:tmpl w:val="F8B499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E1F51BD"/>
    <w:multiLevelType w:val="hybridMultilevel"/>
    <w:tmpl w:val="0E7E744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54AD3E8F"/>
    <w:multiLevelType w:val="hybridMultilevel"/>
    <w:tmpl w:val="7EA4E6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55991EA5"/>
    <w:multiLevelType w:val="hybridMultilevel"/>
    <w:tmpl w:val="BA0C0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712172"/>
    <w:multiLevelType w:val="hybridMultilevel"/>
    <w:tmpl w:val="8E80719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64473BB8"/>
    <w:multiLevelType w:val="hybridMultilevel"/>
    <w:tmpl w:val="710437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69E83C34"/>
    <w:multiLevelType w:val="hybridMultilevel"/>
    <w:tmpl w:val="BCE408F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15">
    <w:nsid w:val="6D2B5511"/>
    <w:multiLevelType w:val="singleLevel"/>
    <w:tmpl w:val="74A09970"/>
    <w:name w:val="List Bullet 1"/>
    <w:lvl w:ilvl="0">
      <w:start w:val="1"/>
      <w:numFmt w:val="bullet"/>
      <w:pStyle w:val="ListBullet"/>
      <w:lvlText w:val=""/>
      <w:lvlJc w:val="left"/>
      <w:pPr>
        <w:tabs>
          <w:tab w:val="num" w:pos="283"/>
        </w:tabs>
        <w:ind w:left="283" w:hanging="283"/>
      </w:pPr>
      <w:rPr>
        <w:rFonts w:ascii="Symbol" w:hAnsi="Symbol" w:hint="default"/>
      </w:rPr>
    </w:lvl>
  </w:abstractNum>
  <w:abstractNum w:abstractNumId="16">
    <w:nsid w:val="6D7B58CE"/>
    <w:multiLevelType w:val="hybridMultilevel"/>
    <w:tmpl w:val="55143764"/>
    <w:lvl w:ilvl="0">
      <w:start w:val="1"/>
      <w:numFmt w:val="bullet"/>
      <w:pStyle w:val="ListDash4"/>
      <w:lvlText w:val="–"/>
      <w:lvlJc w:val="left"/>
      <w:pPr>
        <w:tabs>
          <w:tab w:val="num"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tentative="1">
      <w:start w:val="1"/>
      <w:numFmt w:val="bullet"/>
      <w:lvlText w:val=""/>
      <w:lvlJc w:val="left"/>
      <w:pPr>
        <w:tabs>
          <w:tab w:val="num" w:pos="2313"/>
        </w:tabs>
        <w:ind w:left="2313" w:hanging="360"/>
      </w:pPr>
      <w:rPr>
        <w:rFonts w:ascii="Wingdings" w:hAnsi="Wingdings" w:hint="default"/>
      </w:rPr>
    </w:lvl>
    <w:lvl w:ilvl="3" w:tentative="1">
      <w:start w:val="1"/>
      <w:numFmt w:val="bullet"/>
      <w:lvlText w:val=""/>
      <w:lvlJc w:val="left"/>
      <w:pPr>
        <w:tabs>
          <w:tab w:val="num" w:pos="3033"/>
        </w:tabs>
        <w:ind w:left="3033" w:hanging="360"/>
      </w:pPr>
      <w:rPr>
        <w:rFonts w:ascii="Symbol" w:hAnsi="Symbol" w:hint="default"/>
      </w:rPr>
    </w:lvl>
    <w:lvl w:ilvl="4" w:tentative="1">
      <w:start w:val="1"/>
      <w:numFmt w:val="bullet"/>
      <w:lvlText w:val="o"/>
      <w:lvlJc w:val="left"/>
      <w:pPr>
        <w:tabs>
          <w:tab w:val="num" w:pos="3753"/>
        </w:tabs>
        <w:ind w:left="3753" w:hanging="360"/>
      </w:pPr>
      <w:rPr>
        <w:rFonts w:ascii="Courier New" w:hAnsi="Courier New" w:cs="Wingdings" w:hint="default"/>
      </w:rPr>
    </w:lvl>
    <w:lvl w:ilvl="5" w:tentative="1">
      <w:start w:val="1"/>
      <w:numFmt w:val="bullet"/>
      <w:lvlText w:val=""/>
      <w:lvlJc w:val="left"/>
      <w:pPr>
        <w:tabs>
          <w:tab w:val="num" w:pos="4473"/>
        </w:tabs>
        <w:ind w:left="4473" w:hanging="360"/>
      </w:pPr>
      <w:rPr>
        <w:rFonts w:ascii="Wingdings" w:hAnsi="Wingdings" w:hint="default"/>
      </w:rPr>
    </w:lvl>
    <w:lvl w:ilvl="6" w:tentative="1">
      <w:start w:val="1"/>
      <w:numFmt w:val="bullet"/>
      <w:lvlText w:val=""/>
      <w:lvlJc w:val="left"/>
      <w:pPr>
        <w:tabs>
          <w:tab w:val="num" w:pos="5193"/>
        </w:tabs>
        <w:ind w:left="5193" w:hanging="360"/>
      </w:pPr>
      <w:rPr>
        <w:rFonts w:ascii="Symbol" w:hAnsi="Symbol" w:hint="default"/>
      </w:rPr>
    </w:lvl>
    <w:lvl w:ilvl="7" w:tentative="1">
      <w:start w:val="1"/>
      <w:numFmt w:val="bullet"/>
      <w:lvlText w:val="o"/>
      <w:lvlJc w:val="left"/>
      <w:pPr>
        <w:tabs>
          <w:tab w:val="num" w:pos="5913"/>
        </w:tabs>
        <w:ind w:left="5913" w:hanging="360"/>
      </w:pPr>
      <w:rPr>
        <w:rFonts w:ascii="Courier New" w:hAnsi="Courier New" w:cs="Wingdings" w:hint="default"/>
      </w:rPr>
    </w:lvl>
    <w:lvl w:ilvl="8" w:tentative="1">
      <w:start w:val="1"/>
      <w:numFmt w:val="bullet"/>
      <w:lvlText w:val=""/>
      <w:lvlJc w:val="left"/>
      <w:pPr>
        <w:tabs>
          <w:tab w:val="num" w:pos="6633"/>
        </w:tabs>
        <w:ind w:left="6633" w:hanging="360"/>
      </w:pPr>
      <w:rPr>
        <w:rFonts w:ascii="Wingdings" w:hAnsi="Wingdings" w:hint="default"/>
      </w:rPr>
    </w:lvl>
  </w:abstractNum>
  <w:abstractNum w:abstractNumId="17">
    <w:nsid w:val="70523A3E"/>
    <w:multiLevelType w:val="hybridMultilevel"/>
    <w:tmpl w:val="393C2F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7C5F20CD"/>
    <w:multiLevelType w:val="hybridMultilevel"/>
    <w:tmpl w:val="06D203E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abstractNumId w:val="5"/>
  </w:num>
  <w:num w:numId="2">
    <w:abstractNumId w:val="15"/>
  </w:num>
  <w:num w:numId="3">
    <w:abstractNumId w:val="14"/>
  </w:num>
  <w:num w:numId="4">
    <w:abstractNumId w:val="16"/>
  </w:num>
  <w:num w:numId="5">
    <w:abstractNumId w:val="10"/>
  </w:num>
  <w:num w:numId="6">
    <w:abstractNumId w:val="7"/>
  </w:num>
  <w:num w:numId="7">
    <w:abstractNumId w:val="12"/>
  </w:num>
  <w:num w:numId="8">
    <w:abstractNumId w:val="6"/>
  </w:num>
  <w:num w:numId="9">
    <w:abstractNumId w:val="2"/>
  </w:num>
  <w:num w:numId="10">
    <w:abstractNumId w:val="18"/>
  </w:num>
  <w:num w:numId="11">
    <w:abstractNumId w:val="11"/>
  </w:num>
  <w:num w:numId="12">
    <w:abstractNumId w:val="8"/>
  </w:num>
  <w:num w:numId="13">
    <w:abstractNumId w:val="4"/>
  </w:num>
  <w:num w:numId="14">
    <w:abstractNumId w:val="13"/>
  </w:num>
  <w:num w:numId="15">
    <w:abstractNumId w:val="9"/>
  </w:num>
  <w:num w:numId="16">
    <w:abstractNumId w:val="1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doNotShadeFormData/>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NORMAL"/>
  </w:docVar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661"/>
    <w:pPr>
      <w:tabs>
        <w:tab w:val="center" w:pos="4153"/>
        <w:tab w:val="right" w:pos="8306"/>
      </w:tabs>
    </w:pPr>
  </w:style>
  <w:style w:type="paragraph" w:styleId="FootnoteText">
    <w:name w:val="footnote text"/>
    <w:basedOn w:val="Normal"/>
    <w:link w:val="FootnoteTextChar"/>
    <w:semiHidden/>
    <w:rsid w:val="009E6661"/>
    <w:pPr>
      <w:spacing w:after="240"/>
      <w:ind w:left="357" w:hanging="357"/>
      <w:jc w:val="both"/>
    </w:pPr>
    <w:rPr>
      <w:sz w:val="20"/>
      <w:szCs w:val="20"/>
    </w:rPr>
  </w:style>
  <w:style w:type="character" w:styleId="FootnoteReference">
    <w:name w:val="footnote reference"/>
    <w:aliases w:val=" BVI fnr,BVI fnr,Footnote Reference Superscript,Footnote symbol"/>
    <w:rsid w:val="009E6661"/>
    <w:rPr>
      <w:vertAlign w:val="superscript"/>
    </w:rPr>
  </w:style>
  <w:style w:type="character" w:customStyle="1" w:styleId="FootnoteTextChar">
    <w:name w:val="Footnote Text Char"/>
    <w:link w:val="FootnoteText"/>
    <w:rsid w:val="009E6661"/>
    <w:rPr>
      <w:lang w:val="es-ES" w:eastAsia="en-GB" w:bidi="ar-SA"/>
    </w:rPr>
  </w:style>
  <w:style w:type="paragraph" w:styleId="ListBullet">
    <w:name w:val="List Bullet"/>
    <w:basedOn w:val="Normal"/>
    <w:rsid w:val="009E6661"/>
    <w:pPr>
      <w:numPr>
        <w:numId w:val="2"/>
      </w:numPr>
      <w:spacing w:before="120" w:after="120"/>
      <w:jc w:val="both"/>
    </w:pPr>
    <w:rPr>
      <w:lang w:eastAsia="de-DE"/>
    </w:rPr>
  </w:style>
  <w:style w:type="paragraph" w:customStyle="1" w:styleId="Text1">
    <w:name w:val="Text 1"/>
    <w:basedOn w:val="Normal"/>
    <w:rsid w:val="009E6661"/>
    <w:pPr>
      <w:spacing w:before="120" w:after="120"/>
      <w:ind w:left="850"/>
      <w:jc w:val="both"/>
    </w:pPr>
    <w:rPr>
      <w:lang w:eastAsia="en-US"/>
    </w:rPr>
  </w:style>
  <w:style w:type="character" w:styleId="Emphasis">
    <w:name w:val="Emphasis"/>
    <w:qFormat/>
    <w:rsid w:val="009E6661"/>
    <w:rPr>
      <w:b/>
      <w:bCs/>
      <w:i w:val="0"/>
      <w:iCs w:val="0"/>
    </w:rPr>
  </w:style>
  <w:style w:type="paragraph" w:customStyle="1" w:styleId="ListBullet1">
    <w:name w:val="List Bullet 1"/>
    <w:basedOn w:val="Normal"/>
    <w:rsid w:val="009E6661"/>
    <w:pPr>
      <w:numPr>
        <w:numId w:val="3"/>
      </w:numPr>
      <w:spacing w:before="120" w:after="120"/>
      <w:jc w:val="both"/>
    </w:pPr>
    <w:rPr>
      <w:lang w:eastAsia="de-DE"/>
    </w:rPr>
  </w:style>
  <w:style w:type="character" w:customStyle="1" w:styleId="at31">
    <w:name w:val="a__t31"/>
    <w:rsid w:val="009E6661"/>
    <w:rPr>
      <w:b/>
      <w:bCs/>
    </w:rPr>
  </w:style>
  <w:style w:type="paragraph" w:styleId="NormalWeb">
    <w:name w:val="Normal (Web)"/>
    <w:basedOn w:val="Normal"/>
    <w:link w:val="NormalWebChar"/>
    <w:rsid w:val="00D03063"/>
    <w:pPr>
      <w:spacing w:before="100" w:beforeAutospacing="1" w:after="100" w:afterAutospacing="1"/>
    </w:pPr>
  </w:style>
  <w:style w:type="character" w:customStyle="1" w:styleId="NormalWebChar">
    <w:name w:val="Normal (Web) Char"/>
    <w:link w:val="NormalWeb"/>
    <w:rsid w:val="00D03063"/>
    <w:rPr>
      <w:sz w:val="24"/>
      <w:szCs w:val="24"/>
      <w:lang w:val="es-ES" w:eastAsia="en-GB" w:bidi="ar-SA"/>
    </w:rPr>
  </w:style>
  <w:style w:type="paragraph" w:customStyle="1" w:styleId="ListDash4">
    <w:name w:val="List Dash 4"/>
    <w:basedOn w:val="Normal"/>
    <w:rsid w:val="00D03063"/>
    <w:pPr>
      <w:numPr>
        <w:numId w:val="4"/>
      </w:numPr>
    </w:pPr>
    <w:rPr>
      <w:lang w:val="es-ES"/>
    </w:rPr>
  </w:style>
  <w:style w:type="paragraph" w:styleId="Footer">
    <w:name w:val="footer"/>
    <w:basedOn w:val="Normal"/>
    <w:link w:val="FooterChar"/>
    <w:uiPriority w:val="99"/>
    <w:rsid w:val="00B07956"/>
    <w:pPr>
      <w:tabs>
        <w:tab w:val="center" w:pos="4536"/>
        <w:tab w:val="right" w:pos="9072"/>
      </w:tabs>
    </w:pPr>
  </w:style>
  <w:style w:type="character" w:styleId="PageNumber">
    <w:name w:val="page number"/>
    <w:basedOn w:val="DefaultParagraphFont"/>
    <w:rsid w:val="00B07956"/>
  </w:style>
  <w:style w:type="paragraph" w:styleId="BalloonText">
    <w:name w:val="Balloon Text"/>
    <w:basedOn w:val="Normal"/>
    <w:semiHidden/>
    <w:rsid w:val="00991122"/>
    <w:rPr>
      <w:rFonts w:ascii="Tahoma" w:hAnsi="Tahoma" w:cs="Tahoma"/>
      <w:sz w:val="16"/>
      <w:szCs w:val="16"/>
    </w:rPr>
  </w:style>
  <w:style w:type="character" w:styleId="Hyperlink">
    <w:name w:val="Hyperlink"/>
    <w:uiPriority w:val="99"/>
    <w:unhideWhenUsed/>
    <w:rsid w:val="003154F3"/>
    <w:rPr>
      <w:color w:val="0000FF"/>
      <w:u w:val="single"/>
    </w:rPr>
  </w:style>
  <w:style w:type="character" w:styleId="CommentReference">
    <w:name w:val="annotation reference"/>
    <w:rsid w:val="000E132C"/>
    <w:rPr>
      <w:sz w:val="16"/>
      <w:szCs w:val="16"/>
    </w:rPr>
  </w:style>
  <w:style w:type="paragraph" w:styleId="CommentText">
    <w:name w:val="annotation text"/>
    <w:basedOn w:val="Normal"/>
    <w:link w:val="CommentTextChar"/>
    <w:rsid w:val="000E132C"/>
    <w:rPr>
      <w:sz w:val="20"/>
      <w:szCs w:val="20"/>
    </w:rPr>
  </w:style>
  <w:style w:type="character" w:customStyle="1" w:styleId="CommentTextChar">
    <w:name w:val="Comment Text Char"/>
    <w:basedOn w:val="DefaultParagraphFont"/>
    <w:link w:val="CommentText"/>
    <w:rsid w:val="000E132C"/>
  </w:style>
  <w:style w:type="paragraph" w:styleId="CommentSubject">
    <w:name w:val="annotation subject"/>
    <w:basedOn w:val="CommentText"/>
    <w:next w:val="CommentText"/>
    <w:link w:val="CommentSubjectChar"/>
    <w:rsid w:val="000E132C"/>
    <w:rPr>
      <w:b/>
      <w:bCs/>
    </w:rPr>
  </w:style>
  <w:style w:type="character" w:customStyle="1" w:styleId="CommentSubjectChar">
    <w:name w:val="Comment Subject Char"/>
    <w:link w:val="CommentSubject"/>
    <w:rsid w:val="000E132C"/>
    <w:rPr>
      <w:b/>
      <w:bCs/>
    </w:rPr>
  </w:style>
  <w:style w:type="paragraph" w:customStyle="1" w:styleId="ListDash1">
    <w:name w:val="List Dash 1"/>
    <w:basedOn w:val="Normal"/>
    <w:qFormat/>
    <w:rsid w:val="00FA069C"/>
    <w:pPr>
      <w:tabs>
        <w:tab w:val="num" w:pos="567"/>
      </w:tabs>
      <w:ind w:left="568" w:hanging="284"/>
    </w:pPr>
    <w:rPr>
      <w:lang w:val="es-ES"/>
    </w:rPr>
  </w:style>
  <w:style w:type="paragraph" w:styleId="ListParagraph">
    <w:name w:val="List Paragraph"/>
    <w:basedOn w:val="Normal"/>
    <w:qFormat/>
    <w:rsid w:val="001C7D0F"/>
    <w:pPr>
      <w:ind w:left="720"/>
      <w:contextualSpacing/>
    </w:pPr>
  </w:style>
  <w:style w:type="character" w:styleId="FollowedHyperlink">
    <w:name w:val="FollowedHyperlink"/>
    <w:basedOn w:val="DefaultParagraphFont"/>
    <w:rsid w:val="00454F27"/>
    <w:rPr>
      <w:color w:val="800080" w:themeColor="followedHyperlink"/>
      <w:u w:val="single"/>
    </w:rPr>
  </w:style>
  <w:style w:type="paragraph" w:styleId="Revision">
    <w:name w:val="Revision"/>
    <w:hidden/>
    <w:uiPriority w:val="99"/>
    <w:semiHidden/>
    <w:rsid w:val="00810C61"/>
    <w:rPr>
      <w:sz w:val="24"/>
      <w:szCs w:val="24"/>
    </w:rPr>
  </w:style>
  <w:style w:type="character" w:customStyle="1" w:styleId="UnresolvedMention">
    <w:name w:val="Unresolved Mention"/>
    <w:basedOn w:val="DefaultParagraphFont"/>
    <w:uiPriority w:val="99"/>
    <w:semiHidden/>
    <w:unhideWhenUsed/>
    <w:rsid w:val="00105D49"/>
    <w:rPr>
      <w:color w:val="605E5C"/>
      <w:shd w:val="clear" w:color="auto" w:fill="E1DFDD"/>
    </w:rPr>
  </w:style>
  <w:style w:type="character" w:customStyle="1" w:styleId="FooterChar">
    <w:name w:val="Footer Char"/>
    <w:basedOn w:val="DefaultParagraphFont"/>
    <w:link w:val="Footer"/>
    <w:uiPriority w:val="99"/>
    <w:rsid w:val="00154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brusspa\Desktop\ROADMAP%20template%20new%2010%20January%202012.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9" ma:contentTypeDescription="Create a new document." ma:contentTypeScope="" ma:versionID="d43e0ac7d57ead86a07eb74e47cb0116">
  <xsd:schema xmlns:xsd="http://www.w3.org/2001/XMLSchema" xmlns:xs="http://www.w3.org/2001/XMLSchema" xmlns:p="http://schemas.microsoft.com/office/2006/metadata/properties" xmlns:ns1="http://schemas.microsoft.com/sharepoint/v3" xmlns:ns2="a5835c61-ca2e-49ee-8dca-a76e9f0344a3" xmlns:ns3="ba7bd860-1739-4001-af8a-147771a6eb05" targetNamespace="http://schemas.microsoft.com/office/2006/metadata/properties" ma:root="true" ma:fieldsID="9e07511d0ee4d15efe1d1bb6ef6100c1" ns1:_="" ns2:_="" ns3:_="">
    <xsd:import namespace="http://schemas.microsoft.com/sharepoint/v3"/>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46e97b-16fe-4743-85d2-7cf9a78c898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ba7bd860-1739-4001-af8a-147771a6eb05">
      <UserInfo>
        <DisplayName>YLKANEN Jyri (GROW)</DisplayName>
        <AccountId>285</AccountId>
        <AccountType/>
      </UserInfo>
      <UserInfo>
        <DisplayName>ANUSKEVICIUS Titas (GROW)</DisplayName>
        <AccountId>286</AccountId>
        <AccountType/>
      </UserInfo>
      <UserInfo>
        <DisplayName>KANNANGARA Yoram (HOME)</DisplayName>
        <AccountId>287</AccountId>
        <AccountType/>
      </UserInfo>
      <UserInfo>
        <DisplayName>EDELENYI Tamas Roland (ESTAT)</DisplayName>
        <AccountId>266</AccountId>
        <AccountType/>
      </UserInfo>
      <UserInfo>
        <DisplayName>SVEDKAUSKAITE Jolanta (ESTAT)</DisplayName>
        <AccountId>267</AccountId>
        <AccountType/>
      </UserInfo>
      <UserInfo>
        <DisplayName>JANCZAK Adam (EEAS)</DisplayName>
        <AccountId>268</AccountId>
        <AccountType/>
      </UserInfo>
      <UserInfo>
        <DisplayName>ROZMER Andras (EEAS)</DisplayName>
        <AccountId>269</AccountId>
        <AccountType/>
      </UserInfo>
      <UserInfo>
        <DisplayName>MARTIN Alexandre (SG)</DisplayName>
        <AccountId>270</AccountId>
        <AccountType/>
      </UserInfo>
      <UserInfo>
        <DisplayName>REINVALDT Clement (ENER)</DisplayName>
        <AccountId>138</AccountId>
        <AccountType/>
      </UserInfo>
      <UserInfo>
        <DisplayName>RICHTER Ariane (ENER)</DisplayName>
        <AccountId>271</AccountId>
        <AccountType/>
      </UserInfo>
      <UserInfo>
        <DisplayName>JANEVSKI Zoran (COMP)</DisplayName>
        <AccountId>272</AccountId>
        <AccountType/>
      </UserInfo>
      <UserInfo>
        <DisplayName>BERNAT Reka (COMP)</DisplayName>
        <AccountId>273</AccountId>
        <AccountType/>
      </UserInfo>
      <UserInfo>
        <DisplayName>AHLHAUS Philipp (COMP)</DisplayName>
        <AccountId>274</AccountId>
        <AccountType/>
      </UserInfo>
      <UserInfo>
        <DisplayName>KOLIN Vilem (DEFIS)</DisplayName>
        <AccountId>275</AccountId>
        <AccountType/>
      </UserInfo>
      <UserInfo>
        <DisplayName>POLITIEK Hidde (RTD)</DisplayName>
        <AccountId>257</AccountId>
        <AccountType/>
      </UserInfo>
      <UserInfo>
        <DisplayName>POTUZAK Jan (GROW)</DisplayName>
        <AccountId>256</AccountId>
        <AccountType/>
      </UserInfo>
      <UserInfo>
        <DisplayName>ILG Benjamin (FISMA)</DisplayName>
        <AccountId>258</AccountId>
        <AccountType/>
      </UserInfo>
      <UserInfo>
        <DisplayName>MOARCAS Andrei (ENV)</DisplayName>
        <AccountId>276</AccountId>
        <AccountType/>
      </UserInfo>
      <UserInfo>
        <DisplayName>ALQUEZAR SABADIE Jesus Maria (ENV)</DisplayName>
        <AccountId>277</AccountId>
        <AccountType/>
      </UserInfo>
      <UserInfo>
        <DisplayName>BENAUGES Carla (CLIMA)</DisplayName>
        <AccountId>278</AccountId>
        <AccountType/>
      </UserInfo>
      <UserInfo>
        <DisplayName>DOS REIS Piero Carlo (CLIMA)</DisplayName>
        <AccountId>279</AccountId>
        <AccountType/>
      </UserInfo>
      <UserInfo>
        <DisplayName>DARRAS Alexandre (NEAR)</DisplayName>
        <AccountId>280</AccountId>
        <AccountType/>
      </UserInfo>
      <UserInfo>
        <DisplayName>HAUK Viktor (ENER)</DisplayName>
        <AccountId>282</AccountId>
        <AccountType/>
      </UserInfo>
      <UserInfo>
        <DisplayName>STUKART Leander (ENER)</DisplayName>
        <AccountId>38</AccountId>
        <AccountType/>
      </UserInfo>
      <UserInfo>
        <DisplayName>MAYET Remi (ENER)</DisplayName>
        <AccountId>20</AccountId>
        <AccountType/>
      </UserInfo>
      <UserInfo>
        <DisplayName>PALIOTTA Lorenzo (ENER)</DisplayName>
        <AccountId>153</AccountId>
        <AccountType/>
      </UserInfo>
      <UserInfo>
        <DisplayName>ZSIGRI Monika (ENER)</DisplayName>
        <AccountId>196</AccountId>
        <AccountType/>
      </UserInfo>
      <UserInfo>
        <DisplayName>JOZSA Balazs (ENER)</DisplayName>
        <AccountId>110</AccountId>
        <AccountType/>
      </UserInfo>
      <UserInfo>
        <DisplayName>PONCELA BLANCO Marta (ENER)</DisplayName>
        <AccountId>152</AccountId>
        <AccountType/>
      </UserInfo>
      <UserInfo>
        <DisplayName>WATINE Louis (ENER)</DisplayName>
        <AccountId>97</AccountId>
        <AccountType/>
      </UserInfo>
      <UserInfo>
        <DisplayName>BOLADO LAVIN Ricardo (JRC-PETTEN)</DisplayName>
        <AccountId>222</AccountId>
        <AccountType/>
      </UserInfo>
      <UserInfo>
        <DisplayName>KOPUSTINSKAS Vytis (JRC-ISPRA)</DisplayName>
        <AccountId>119</AccountId>
        <AccountType/>
      </UserInfo>
      <UserInfo>
        <DisplayName>RODRIGUEZ GOMEZ Nuria (JRC-PETTEN)</DisplayName>
        <AccountId>96</AccountId>
        <AccountType/>
      </UserInfo>
      <UserInfo>
        <DisplayName>ASENSIO BERMEJO Isabel (JRC-ISPRA)</DisplayName>
        <AccountId>121</AccountId>
        <AccountType/>
      </UserInfo>
      <UserInfo>
        <DisplayName>FORETIC Hrvoje (JRC-PETTEN)</DisplayName>
        <AccountId>124</AccountId>
        <AccountType/>
      </UserInfo>
      <UserInfo>
        <DisplayName>COSTESCU Anca (JRC-PETTEN)</DisplayName>
        <AccountId>255</AccountId>
        <AccountType/>
      </UserInfo>
      <UserInfo>
        <DisplayName>CORNET Jacques (GROW)</DisplayName>
        <AccountId>300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F71C-59A8-4C6F-A3C1-8CF867750A43}">
  <ds:schemaRefs>
    <ds:schemaRef ds:uri="http://schemas.microsoft.com/office/2006/metadata/longProperties"/>
  </ds:schemaRefs>
</ds:datastoreItem>
</file>

<file path=customXml/itemProps2.xml><?xml version="1.0" encoding="utf-8"?>
<ds:datastoreItem xmlns:ds="http://schemas.openxmlformats.org/officeDocument/2006/customXml" ds:itemID="{7C022DFE-514E-49A7-B85E-19CFB9F4A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AD5CF-E8B4-447F-AE82-B85FCBFC32F4}">
  <ds:schemaRefs>
    <ds:schemaRef ds:uri="http://schemas.microsoft.com/office/2006/metadata/properties"/>
    <ds:schemaRef ds:uri="http://schemas.microsoft.com/office/infopath/2007/PartnerControls"/>
    <ds:schemaRef ds:uri="http://schemas.microsoft.com/sharepoint/v3"/>
    <ds:schemaRef ds:uri="ba7bd860-1739-4001-af8a-147771a6eb05"/>
    <ds:schemaRef ds:uri="a5835c61-ca2e-49ee-8dca-a76e9f0344a3"/>
  </ds:schemaRefs>
</ds:datastoreItem>
</file>

<file path=customXml/itemProps4.xml><?xml version="1.0" encoding="utf-8"?>
<ds:datastoreItem xmlns:ds="http://schemas.openxmlformats.org/officeDocument/2006/customXml" ds:itemID="{05DDC3C4-2292-4C4E-BF8F-969950C98C37}">
  <ds:schemaRefs>
    <ds:schemaRef ds:uri="http://schemas.microsoft.com/sharepoint/v3/contenttype/forms"/>
  </ds:schemaRefs>
</ds:datastoreItem>
</file>

<file path=customXml/itemProps5.xml><?xml version="1.0" encoding="utf-8"?>
<ds:datastoreItem xmlns:ds="http://schemas.openxmlformats.org/officeDocument/2006/customXml" ds:itemID="{C019C7C2-FFD0-42A3-8379-592EFD88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