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476"/>
      </w:tblGrid>
      <w:tr w:rsidTr="4DA7158C">
        <w:tblPrEx>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283" w:type="dxa"/>
            <w:gridSpan w:val="2"/>
            <w:tcBorders>
              <w:bottom w:val="single" w:sz="4" w:space="0" w:color="auto"/>
            </w:tcBorders>
            <w:shd w:val="clear" w:color="auto" w:fill="0000FF"/>
          </w:tcPr>
          <w:p w:rsidR="00315ECF" w:rsidRPr="002C6CE6" w:rsidP="00315ECF">
            <w:pPr>
              <w:spacing w:before="60" w:after="60"/>
              <w:jc w:val="center"/>
              <w:rPr>
                <w:rFonts w:ascii="Arial" w:hAnsi="Arial" w:cs="Arial"/>
                <w:b/>
                <w:sz w:val="22"/>
                <w:szCs w:val="22"/>
              </w:rPr>
            </w:pPr>
            <w:r>
              <w:rPr>
                <w:rFonts w:ascii="Arial" w:hAnsi="Arial"/>
                <w:b/>
                <w:sz w:val="22"/>
              </w:rPr>
              <w:t xml:space="preserve">CONVOCATORIA DE DATOS </w:t>
            </w:r>
          </w:p>
          <w:p w:rsidR="001E0806" w:rsidRPr="002C6CE6" w:rsidP="00315ECF">
            <w:pPr>
              <w:spacing w:before="60" w:after="60"/>
              <w:jc w:val="center"/>
              <w:rPr>
                <w:rFonts w:ascii="Arial" w:hAnsi="Arial" w:cs="Arial"/>
                <w:b/>
                <w:i/>
                <w:sz w:val="22"/>
                <w:szCs w:val="22"/>
              </w:rPr>
            </w:pPr>
            <w:r>
              <w:rPr>
                <w:rFonts w:ascii="Arial" w:hAnsi="Arial"/>
                <w:b/>
                <w:sz w:val="22"/>
              </w:rPr>
              <w:t xml:space="preserve">PARA UNA EVALUACIÓN </w:t>
            </w:r>
          </w:p>
        </w:tc>
      </w:tr>
      <w:tr w:rsidTr="4DA7158C">
        <w:tblPrEx>
          <w:tblW w:w="10283" w:type="dxa"/>
          <w:jc w:val="center"/>
          <w:tblLayout w:type="fixed"/>
          <w:tblLook w:val="01E0"/>
        </w:tblPrEx>
        <w:trPr>
          <w:jc w:val="center"/>
        </w:trPr>
        <w:tc>
          <w:tcPr>
            <w:tcW w:w="10283" w:type="dxa"/>
            <w:gridSpan w:val="2"/>
            <w:tcBorders>
              <w:bottom w:val="single" w:sz="4" w:space="0" w:color="auto"/>
            </w:tcBorders>
            <w:shd w:val="clear" w:color="auto" w:fill="D9D9D9" w:themeFill="background1" w:themeFillShade="D9"/>
          </w:tcPr>
          <w:p w:rsidR="00CD583D" w:rsidRPr="002C6CE6" w:rsidP="00A97435">
            <w:pPr>
              <w:spacing w:before="60" w:after="60"/>
              <w:rPr>
                <w:rFonts w:ascii="Arial" w:hAnsi="Arial" w:cs="Arial"/>
                <w:sz w:val="18"/>
                <w:szCs w:val="18"/>
                <w:lang w:eastAsia="en-GB"/>
              </w:rPr>
            </w:pPr>
          </w:p>
        </w:tc>
      </w:tr>
      <w:tr w:rsidTr="4DA7158C">
        <w:tblPrEx>
          <w:tblW w:w="10283" w:type="dxa"/>
          <w:jc w:val="center"/>
          <w:tblLayout w:type="fixed"/>
          <w:tblLook w:val="01E0"/>
        </w:tblPrEx>
        <w:trPr>
          <w:jc w:val="center"/>
        </w:trPr>
        <w:tc>
          <w:tcPr>
            <w:tcW w:w="2807" w:type="dxa"/>
            <w:tcBorders>
              <w:bottom w:val="single" w:sz="4" w:space="0" w:color="auto"/>
            </w:tcBorders>
            <w:shd w:val="clear" w:color="auto" w:fill="E6E6E6"/>
            <w:vAlign w:val="center"/>
          </w:tcPr>
          <w:p w:rsidR="001E0806" w:rsidRPr="002C6CE6" w:rsidP="00B7441B">
            <w:pPr>
              <w:spacing w:before="60" w:after="60"/>
              <w:jc w:val="left"/>
              <w:rPr>
                <w:rFonts w:ascii="Arial" w:hAnsi="Arial" w:cs="Arial"/>
                <w:b/>
                <w:bCs/>
                <w:smallCaps/>
                <w:sz w:val="20"/>
              </w:rPr>
            </w:pPr>
            <w:r>
              <w:rPr>
                <w:rFonts w:ascii="Arial" w:hAnsi="Arial"/>
                <w:b/>
                <w:smallCaps/>
                <w:sz w:val="20"/>
              </w:rPr>
              <w:t>Título de la evaluación</w:t>
            </w:r>
          </w:p>
        </w:tc>
        <w:tc>
          <w:tcPr>
            <w:tcW w:w="7476" w:type="dxa"/>
            <w:shd w:val="clear" w:color="auto" w:fill="auto"/>
            <w:vAlign w:val="center"/>
          </w:tcPr>
          <w:p w:rsidR="001E0806" w:rsidRPr="002C6CE6" w:rsidP="00EE614B">
            <w:pPr>
              <w:spacing w:before="60" w:after="60"/>
              <w:jc w:val="left"/>
              <w:rPr>
                <w:rFonts w:ascii="Arial" w:hAnsi="Arial" w:cs="Arial"/>
                <w:color w:val="000080"/>
                <w:sz w:val="20"/>
              </w:rPr>
            </w:pPr>
            <w:r>
              <w:rPr>
                <w:rFonts w:ascii="Arial" w:hAnsi="Arial"/>
                <w:color w:val="000080"/>
                <w:sz w:val="20"/>
              </w:rPr>
              <w:t>Reglamento sobre las amenazas transfronterizas graves para la salud: evaluación</w:t>
            </w:r>
            <w:r>
              <w:rPr>
                <w:rStyle w:val="FootnoteReference"/>
                <w:rFonts w:ascii="Arial" w:hAnsi="Arial" w:cs="Arial"/>
                <w:color w:val="000080"/>
                <w:sz w:val="20"/>
                <w:lang w:eastAsia="en-GB"/>
              </w:rPr>
              <w:footnoteReference w:id="3"/>
            </w:r>
          </w:p>
        </w:tc>
      </w:tr>
      <w:tr w:rsidTr="4DA7158C">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244EDC" w:rsidRPr="002C6CE6" w:rsidP="00B7441B">
            <w:pPr>
              <w:spacing w:before="60" w:after="60"/>
              <w:jc w:val="left"/>
              <w:rPr>
                <w:rFonts w:ascii="Arial" w:hAnsi="Arial" w:cs="Arial"/>
                <w:b/>
                <w:bCs/>
                <w:smallCaps/>
                <w:sz w:val="20"/>
              </w:rPr>
            </w:pPr>
            <w:r>
              <w:rPr>
                <w:rFonts w:ascii="Arial" w:hAnsi="Arial"/>
                <w:b/>
                <w:smallCaps/>
                <w:sz w:val="20"/>
              </w:rPr>
              <w:t xml:space="preserve">DG principal. Unidad responsable </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244EDC" w:rsidRPr="00E959E7" w:rsidP="00B7441B">
            <w:pPr>
              <w:spacing w:before="60" w:after="60"/>
              <w:jc w:val="left"/>
              <w:rPr>
                <w:rFonts w:ascii="Arial" w:hAnsi="Arial" w:cs="Arial"/>
                <w:color w:val="000080"/>
                <w:sz w:val="20"/>
              </w:rPr>
            </w:pPr>
            <w:r>
              <w:rPr>
                <w:rFonts w:ascii="Arial" w:hAnsi="Arial"/>
                <w:color w:val="000080"/>
                <w:sz w:val="20"/>
              </w:rPr>
              <w:t>DG SANTE (Unidad B2, Seguridad Sanitaria)</w:t>
            </w:r>
          </w:p>
        </w:tc>
      </w:tr>
      <w:tr w:rsidTr="4DA7158C">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1E0806" w:rsidRPr="002C6CE6" w:rsidP="00B7441B">
            <w:pPr>
              <w:spacing w:before="60" w:after="60"/>
              <w:jc w:val="left"/>
              <w:rPr>
                <w:rFonts w:ascii="Arial" w:hAnsi="Arial" w:cs="Arial"/>
                <w:b/>
                <w:bCs/>
                <w:smallCaps/>
                <w:sz w:val="20"/>
              </w:rPr>
            </w:pPr>
            <w:r>
              <w:rPr>
                <w:rFonts w:ascii="Arial" w:hAnsi="Arial"/>
                <w:b/>
                <w:smallCaps/>
                <w:sz w:val="20"/>
              </w:rPr>
              <w:t xml:space="preserve">Calendario orientativo </w:t>
            </w:r>
          </w:p>
          <w:p w:rsidR="001E0806" w:rsidRPr="002C6CE6" w:rsidP="47344C93">
            <w:pPr>
              <w:spacing w:before="60" w:after="60"/>
              <w:jc w:val="left"/>
              <w:rPr>
                <w:rFonts w:ascii="Arial" w:hAnsi="Arial" w:cs="Arial"/>
                <w:b/>
                <w:bCs/>
                <w:smallCaps/>
                <w:sz w:val="20"/>
              </w:rPr>
            </w:pPr>
            <w:r>
              <w:rPr>
                <w:rFonts w:ascii="Arial" w:hAnsi="Arial"/>
                <w:b/>
                <w:smallCaps/>
                <w:sz w:val="20"/>
              </w:rPr>
              <w:t>(fecha de comienzo y fecha de finalización previstas)</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1E0806" w:rsidRPr="002C6CE6" w:rsidP="47344C93">
            <w:pPr>
              <w:spacing w:before="60" w:after="60"/>
              <w:jc w:val="left"/>
              <w:rPr>
                <w:rFonts w:ascii="Arial" w:hAnsi="Arial" w:cs="Arial"/>
                <w:color w:val="000080"/>
                <w:sz w:val="20"/>
                <w:highlight w:val="green"/>
              </w:rPr>
            </w:pPr>
            <w:r>
              <w:rPr>
                <w:rFonts w:ascii="Arial" w:hAnsi="Arial"/>
                <w:color w:val="000080"/>
                <w:sz w:val="20"/>
              </w:rPr>
              <w:t>T4-2023 – T4-2024</w:t>
            </w:r>
          </w:p>
        </w:tc>
      </w:tr>
      <w:tr w:rsidTr="4DA7158C">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1E0806" w:rsidRPr="002C6CE6">
            <w:pPr>
              <w:spacing w:before="60" w:after="60"/>
              <w:jc w:val="left"/>
              <w:rPr>
                <w:rFonts w:ascii="Arial" w:hAnsi="Arial" w:cs="Arial"/>
                <w:b/>
                <w:bCs/>
                <w:smallCaps/>
                <w:sz w:val="20"/>
              </w:rPr>
            </w:pPr>
            <w:r>
              <w:rPr>
                <w:rFonts w:ascii="Arial" w:hAnsi="Arial"/>
                <w:b/>
                <w:smallCaps/>
                <w:sz w:val="20"/>
              </w:rPr>
              <w:t>Información complementaria</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1E0806" w:rsidRPr="002C6CE6" w:rsidP="00A17C0E">
            <w:pPr>
              <w:spacing w:before="60" w:after="60"/>
              <w:jc w:val="left"/>
              <w:rPr>
                <w:rFonts w:ascii="Arial" w:hAnsi="Arial" w:cs="Arial"/>
                <w:color w:val="000080"/>
                <w:sz w:val="20"/>
              </w:rPr>
            </w:pPr>
            <w:r>
              <w:rPr>
                <w:rFonts w:ascii="Arial" w:hAnsi="Arial"/>
                <w:color w:val="000080"/>
                <w:sz w:val="20"/>
              </w:rPr>
              <w:t>https://health.ec.europa.eu/health-security-and-infectious-diseases_es</w:t>
            </w:r>
          </w:p>
        </w:tc>
      </w:tr>
      <w:tr w:rsidTr="4DA7158C">
        <w:tblPrEx>
          <w:tblW w:w="10283" w:type="dxa"/>
          <w:jc w:val="center"/>
          <w:tblLayout w:type="fixed"/>
          <w:tblLook w:val="01E0"/>
        </w:tblPrEx>
        <w:trPr>
          <w:jc w:val="center"/>
        </w:trPr>
        <w:tc>
          <w:tcPr>
            <w:tcW w:w="10283" w:type="dxa"/>
            <w:gridSpan w:val="2"/>
            <w:tcBorders>
              <w:bottom w:val="single" w:sz="4" w:space="0" w:color="auto"/>
              <w:right w:val="single" w:sz="4" w:space="0" w:color="auto"/>
            </w:tcBorders>
            <w:shd w:val="clear" w:color="auto" w:fill="E6E6E6"/>
          </w:tcPr>
          <w:p w:rsidR="00244EDC" w:rsidRPr="002C6CE6" w:rsidP="00AB1E0F">
            <w:pPr>
              <w:spacing w:before="60" w:after="60"/>
              <w:rPr>
                <w:rFonts w:ascii="Arial" w:hAnsi="Arial" w:cs="Arial"/>
                <w:b/>
                <w:i/>
                <w:color w:val="00B050"/>
                <w:sz w:val="20"/>
                <w:lang w:eastAsia="en-GB"/>
              </w:rPr>
            </w:pPr>
          </w:p>
        </w:tc>
      </w:tr>
      <w:tr w:rsidTr="4DA7158C">
        <w:tblPrEx>
          <w:tblW w:w="10283" w:type="dxa"/>
          <w:jc w:val="center"/>
          <w:tblLayout w:type="fixed"/>
          <w:tblLook w:val="01E0"/>
        </w:tblPrEx>
        <w:trPr>
          <w:jc w:val="center"/>
        </w:trPr>
        <w:tc>
          <w:tcPr>
            <w:tcW w:w="10283" w:type="dxa"/>
            <w:gridSpan w:val="2"/>
            <w:tcBorders>
              <w:bottom w:val="single" w:sz="4" w:space="0" w:color="auto"/>
            </w:tcBorders>
            <w:shd w:val="clear" w:color="auto" w:fill="0000FF"/>
          </w:tcPr>
          <w:p w:rsidR="001E0806" w:rsidRPr="002C6CE6" w:rsidP="00451053">
            <w:pPr>
              <w:keepNext/>
              <w:keepLines/>
              <w:widowControl w:val="0"/>
              <w:spacing w:before="60" w:after="60"/>
              <w:jc w:val="center"/>
              <w:rPr>
                <w:rFonts w:ascii="Arial" w:hAnsi="Arial" w:cs="Arial"/>
                <w:b/>
                <w:sz w:val="22"/>
                <w:szCs w:val="22"/>
              </w:rPr>
            </w:pPr>
            <w:r>
              <w:rPr>
                <w:rFonts w:ascii="Arial" w:hAnsi="Arial"/>
                <w:b/>
                <w:sz w:val="22"/>
              </w:rPr>
              <w:t>A. Contexto político, finalidad y ámbito de aplicación de la evaluación</w:t>
            </w:r>
          </w:p>
        </w:tc>
      </w:tr>
      <w:tr w:rsidTr="4DA7158C">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1E0806" w:rsidRPr="002C6CE6" w:rsidP="00451053">
            <w:pPr>
              <w:keepNext/>
              <w:keepLines/>
              <w:widowControl w:val="0"/>
              <w:spacing w:before="60" w:after="60"/>
              <w:rPr>
                <w:rFonts w:ascii="Arial" w:hAnsi="Arial" w:cs="Arial"/>
                <w:sz w:val="20"/>
              </w:rPr>
            </w:pPr>
            <w:r>
              <w:rPr>
                <w:rFonts w:ascii="Arial" w:hAnsi="Arial"/>
                <w:b/>
                <w:sz w:val="20"/>
              </w:rPr>
              <w:t xml:space="preserve">Contexto político </w:t>
            </w:r>
          </w:p>
        </w:tc>
      </w:tr>
      <w:tr w:rsidTr="4DA7158C">
        <w:tblPrEx>
          <w:tblW w:w="10283" w:type="dxa"/>
          <w:jc w:val="center"/>
          <w:tblLayout w:type="fixed"/>
          <w:tblLook w:val="01E0"/>
        </w:tblPrEx>
        <w:trPr>
          <w:trHeight w:val="4754"/>
          <w:jc w:val="center"/>
        </w:trPr>
        <w:tc>
          <w:tcPr>
            <w:tcW w:w="10283" w:type="dxa"/>
            <w:gridSpan w:val="2"/>
            <w:tcBorders>
              <w:bottom w:val="single" w:sz="4" w:space="0" w:color="auto"/>
            </w:tcBorders>
            <w:shd w:val="clear" w:color="auto" w:fill="auto"/>
          </w:tcPr>
          <w:p w:rsidR="00DE3A37" w:rsidRPr="002E5CE0" w:rsidP="66FCB77C">
            <w:pPr>
              <w:spacing w:before="60" w:after="60"/>
              <w:rPr>
                <w:rFonts w:ascii="Arial" w:hAnsi="Arial" w:cs="Arial"/>
                <w:color w:val="1F497D" w:themeColor="text2"/>
                <w:sz w:val="20"/>
              </w:rPr>
            </w:pPr>
            <w:r>
              <w:rPr>
                <w:rFonts w:ascii="Arial" w:hAnsi="Arial"/>
                <w:color w:val="1F497D" w:themeColor="text2"/>
                <w:sz w:val="20"/>
              </w:rPr>
              <w:t>La Comisión, partiendo de las primeras lecciones extraídas de la COVID-19, presentó en noviembre de 2020 un conjunto de propuestas para la creación de una</w:t>
            </w:r>
            <w:r>
              <w:t xml:space="preserve"> </w:t>
            </w:r>
            <w:r>
              <w:fldChar w:fldCharType="begin"/>
            </w:r>
            <w:r>
              <w:instrText xml:space="preserve"> HYPERLINK "https://commission.europa.eu/strategy-and-policy/priorities-2019-2024/promoting-our-european-way-life/european-health-union_es" </w:instrText>
            </w:r>
            <w:r>
              <w:fldChar w:fldCharType="separate"/>
            </w:r>
            <w:r>
              <w:rPr>
                <w:rStyle w:val="Hyperlink"/>
                <w:rFonts w:ascii="Arial" w:hAnsi="Arial"/>
                <w:sz w:val="20"/>
              </w:rPr>
              <w:t>Unión Europea de la Salud</w:t>
            </w:r>
            <w:r>
              <w:fldChar w:fldCharType="end"/>
            </w:r>
            <w:r>
              <w:t xml:space="preserve"> </w:t>
            </w:r>
            <w:r>
              <w:rPr>
                <w:rFonts w:ascii="Arial" w:hAnsi="Arial"/>
                <w:color w:val="1F497D" w:themeColor="text2"/>
                <w:sz w:val="20"/>
              </w:rPr>
              <w:t xml:space="preserve">que buscaba reforzar el marco de seguridad sanitaria de la UE y potenciar el papel de preparación y respuesta ante las crisis de las agencias clave de la UE en este ámbito: el </w:t>
            </w:r>
            <w:r>
              <w:fldChar w:fldCharType="begin"/>
            </w:r>
            <w:r>
              <w:instrText xml:space="preserve"> HYPERLINK "https://www.ecdc.europa.eu/en" </w:instrText>
            </w:r>
            <w:r>
              <w:fldChar w:fldCharType="separate"/>
            </w:r>
            <w:r>
              <w:rPr>
                <w:rStyle w:val="Hyperlink"/>
                <w:rFonts w:ascii="Arial" w:hAnsi="Arial"/>
                <w:sz w:val="20"/>
              </w:rPr>
              <w:t>Centro Europeo para la Prevención y el Control de las Enfermedades (CEPCE)</w:t>
            </w:r>
            <w:r>
              <w:fldChar w:fldCharType="end"/>
            </w:r>
            <w:r>
              <w:rPr>
                <w:rFonts w:ascii="Arial" w:hAnsi="Arial"/>
                <w:color w:val="1F497D" w:themeColor="text2"/>
                <w:sz w:val="20"/>
              </w:rPr>
              <w:t xml:space="preserve"> y la </w:t>
            </w:r>
            <w:r>
              <w:fldChar w:fldCharType="begin"/>
            </w:r>
            <w:r>
              <w:instrText xml:space="preserve"> HYPERLINK "https://www.ema.europa.eu/en" </w:instrText>
            </w:r>
            <w:r>
              <w:fldChar w:fldCharType="separate"/>
            </w:r>
            <w:r w:rsidRPr="001A27AE">
              <w:rPr>
                <w:rStyle w:val="Hyperlink"/>
                <w:rFonts w:ascii="Arial" w:hAnsi="Arial"/>
                <w:sz w:val="20"/>
              </w:rPr>
              <w:t>Agencia Europea d</w:t>
            </w:r>
            <w:r w:rsidRPr="001A27AE">
              <w:rPr>
                <w:rStyle w:val="Hyperlink"/>
                <w:rFonts w:ascii="Arial" w:hAnsi="Arial"/>
                <w:sz w:val="20"/>
              </w:rPr>
              <w:t>e</w:t>
            </w:r>
            <w:r w:rsidRPr="001A27AE">
              <w:rPr>
                <w:rStyle w:val="Hyperlink"/>
                <w:rFonts w:ascii="Arial" w:hAnsi="Arial"/>
                <w:sz w:val="20"/>
              </w:rPr>
              <w:t xml:space="preserve"> Medicamentos (EMA)</w:t>
            </w:r>
            <w:r>
              <w:fldChar w:fldCharType="end"/>
            </w:r>
            <w:r>
              <w:rPr>
                <w:rFonts w:ascii="Arial" w:hAnsi="Arial"/>
                <w:color w:val="1F497D" w:themeColor="text2"/>
                <w:sz w:val="20"/>
              </w:rPr>
              <w:t>. Además, basándose en este paquete de propuestas, lo complementó con la creación</w:t>
            </w:r>
            <w:r>
              <w:rPr>
                <w:rStyle w:val="FootnoteReference"/>
                <w:rFonts w:ascii="Arial" w:hAnsi="Arial" w:cs="Arial"/>
                <w:color w:val="1F497D" w:themeColor="text2"/>
                <w:sz w:val="20"/>
              </w:rPr>
              <w:footnoteReference w:id="4"/>
            </w:r>
            <w:r>
              <w:rPr>
                <w:rFonts w:ascii="Arial" w:hAnsi="Arial"/>
                <w:color w:val="1F497D" w:themeColor="text2"/>
                <w:sz w:val="20"/>
              </w:rPr>
              <w:t xml:space="preserve"> de un nuevo organismo: la </w:t>
            </w:r>
            <w:r>
              <w:fldChar w:fldCharType="begin"/>
            </w:r>
            <w:r>
              <w:instrText xml:space="preserve"> HYPERLINK "https://commission.europa.eu/about-european-commission/departments-and-executive-agencies/health-emergency-preparedness-and-response-authority_es" </w:instrText>
            </w:r>
            <w:r>
              <w:fldChar w:fldCharType="separate"/>
            </w:r>
            <w:r>
              <w:rPr>
                <w:rStyle w:val="Hyperlink"/>
                <w:rFonts w:ascii="Arial" w:hAnsi="Arial"/>
                <w:sz w:val="20"/>
              </w:rPr>
              <w:t>Autoridad de Preparación y Respuesta ante Emergencias Sanitarias (HERA)</w:t>
            </w:r>
            <w:r>
              <w:fldChar w:fldCharType="end"/>
            </w:r>
            <w:r>
              <w:rPr>
                <w:rFonts w:ascii="Arial" w:hAnsi="Arial"/>
                <w:color w:val="1F497D" w:themeColor="text2"/>
                <w:sz w:val="20"/>
              </w:rPr>
              <w:t xml:space="preserve">, destinada a mejorar la preparación y respuesta en el ámbito específico de las contramedidas médicas. La </w:t>
            </w:r>
            <w:r>
              <w:fldChar w:fldCharType="begin"/>
            </w:r>
            <w:r>
              <w:instrText xml:space="preserve"> HYPERLINK "https://health.ec.europa.eu/publications/eu-global-health-strategy-better-health-all-changing-world_es" </w:instrText>
            </w:r>
            <w:r>
              <w:fldChar w:fldCharType="separate"/>
            </w:r>
            <w:r>
              <w:rPr>
                <w:rStyle w:val="Hyperlink"/>
                <w:rFonts w:ascii="Arial" w:hAnsi="Arial"/>
                <w:sz w:val="20"/>
              </w:rPr>
              <w:t>Estrategia de la Unión Europea en materia de Salud Mundial</w:t>
            </w:r>
            <w:r>
              <w:fldChar w:fldCharType="end"/>
            </w:r>
            <w:r>
              <w:rPr>
                <w:rFonts w:ascii="Arial" w:hAnsi="Arial"/>
                <w:color w:val="1F497D" w:themeColor="text2"/>
                <w:sz w:val="20"/>
              </w:rPr>
              <w:t xml:space="preserve"> abarca la dimensión exterior de la Unión Europea de la Salud, cuya finalidad es orientar las actuaciones de la UE, a fin de mejorar la seguridad sanitaria mundial y ofrecer una salud mejor para todos en un mundo cambiante.</w:t>
            </w:r>
          </w:p>
          <w:p w:rsidR="00DD0D65" w:rsidRPr="002C6CE6" w:rsidP="66FCB77C">
            <w:pPr>
              <w:spacing w:before="60" w:after="60"/>
              <w:rPr>
                <w:rFonts w:ascii="Arial" w:hAnsi="Arial" w:cs="Arial"/>
                <w:i/>
                <w:iCs/>
                <w:color w:val="00B050"/>
                <w:sz w:val="20"/>
              </w:rPr>
            </w:pPr>
            <w:r>
              <w:rPr>
                <w:rFonts w:ascii="Arial" w:hAnsi="Arial"/>
                <w:color w:val="1F497D" w:themeColor="text2"/>
                <w:sz w:val="20"/>
              </w:rPr>
              <w:t xml:space="preserve">En este contexto, el </w:t>
            </w:r>
            <w:r>
              <w:fldChar w:fldCharType="begin"/>
            </w:r>
            <w:r>
              <w:instrText xml:space="preserve"> HYPERLINK "https://eur-lex.europa.eu/legal-content/ES/TXT/?qid=1673887469777&amp;uri=CELEX%3A32022R2371" </w:instrText>
            </w:r>
            <w:r>
              <w:fldChar w:fldCharType="separate"/>
            </w:r>
            <w:r>
              <w:rPr>
                <w:rStyle w:val="Hyperlink"/>
                <w:rFonts w:ascii="Arial" w:hAnsi="Arial"/>
                <w:sz w:val="20"/>
              </w:rPr>
              <w:t>Reglamento (UE) 2022/2371, sobre las amenazas transfronterizas graves para la salud</w:t>
            </w:r>
            <w:r>
              <w:fldChar w:fldCharType="end"/>
            </w:r>
            <w:r>
              <w:rPr>
                <w:rFonts w:ascii="Arial" w:hAnsi="Arial"/>
                <w:color w:val="1F497D" w:themeColor="text2"/>
                <w:sz w:val="20"/>
              </w:rPr>
              <w:t xml:space="preserve">, representa un acto jurídico global que intensifica el marco de seguridad sanitaria de la UE. Este acto recoge disposiciones generales, como la posibilidad de reconocer una emergencia de salud pública en la Unión, momento en el que se activará una serie de mecanismos de respuesta en otros Reglamentos: el </w:t>
            </w:r>
            <w:r>
              <w:fldChar w:fldCharType="begin"/>
            </w:r>
            <w:r>
              <w:instrText xml:space="preserve"> HYPERLINK "https://eur-lex.europa.eu/legal-content/ES/TXT/?uri=CELEX%3A32022R2370&amp;qid=1696368421220" </w:instrText>
            </w:r>
            <w:r>
              <w:fldChar w:fldCharType="separate"/>
            </w:r>
            <w:r>
              <w:rPr>
                <w:rStyle w:val="Hyperlink"/>
                <w:rFonts w:ascii="Arial" w:hAnsi="Arial"/>
                <w:sz w:val="20"/>
              </w:rPr>
              <w:t>Reglamento sobre la prórroga del mandato del CEPCE</w:t>
            </w:r>
            <w:r>
              <w:fldChar w:fldCharType="end"/>
            </w:r>
            <w:r>
              <w:rPr>
                <w:rFonts w:ascii="Arial" w:hAnsi="Arial"/>
                <w:color w:val="1F497D" w:themeColor="text2"/>
                <w:sz w:val="20"/>
              </w:rPr>
              <w:t xml:space="preserve">, el </w:t>
            </w:r>
            <w:r>
              <w:fldChar w:fldCharType="begin"/>
            </w:r>
            <w:r>
              <w:instrText xml:space="preserve"> HYPERLINK "https://eur-lex.europa.eu/legal-content/ES/TXT/?uri=CELEX%3A32022R0123&amp;qid=1696368557626" </w:instrText>
            </w:r>
            <w:r>
              <w:fldChar w:fldCharType="separate"/>
            </w:r>
            <w:r>
              <w:rPr>
                <w:rStyle w:val="Hyperlink"/>
                <w:rFonts w:ascii="Arial" w:hAnsi="Arial"/>
                <w:sz w:val="20"/>
              </w:rPr>
              <w:t>Reglamento sobre la prórroga del mandato de la EMA</w:t>
            </w:r>
            <w:r>
              <w:fldChar w:fldCharType="end"/>
            </w:r>
            <w:r>
              <w:rPr>
                <w:rFonts w:ascii="Arial" w:hAnsi="Arial"/>
                <w:sz w:val="20"/>
              </w:rPr>
              <w:t xml:space="preserve"> </w:t>
            </w:r>
            <w:r>
              <w:rPr>
                <w:rFonts w:ascii="Arial" w:hAnsi="Arial"/>
                <w:color w:val="1F497D" w:themeColor="text2"/>
                <w:sz w:val="20"/>
              </w:rPr>
              <w:t xml:space="preserve">y el </w:t>
            </w:r>
            <w:r>
              <w:fldChar w:fldCharType="begin"/>
            </w:r>
            <w:r>
              <w:instrText xml:space="preserve"> HYPERLINK "https://eur-lex.europa.eu/legal-content/ES/TXT/?uri=CELEX%3A32022R2372&amp;qid=1696368507072" </w:instrText>
            </w:r>
            <w:r>
              <w:fldChar w:fldCharType="separate"/>
            </w:r>
            <w:r>
              <w:rPr>
                <w:rStyle w:val="Hyperlink"/>
                <w:rFonts w:ascii="Arial" w:hAnsi="Arial"/>
                <w:sz w:val="20"/>
              </w:rPr>
              <w:t>Reglamento sobre el marco de medidas de emergencia</w:t>
            </w:r>
            <w:r>
              <w:fldChar w:fldCharType="end"/>
            </w:r>
            <w:r>
              <w:rPr>
                <w:rFonts w:ascii="Arial" w:hAnsi="Arial"/>
                <w:color w:val="1F497D" w:themeColor="text2"/>
                <w:sz w:val="20"/>
              </w:rPr>
              <w:t xml:space="preserve">. El Reglamento (UE) 2022/2371, que entró en vigor el 26 de diciembre de 2022, se basa en la Decisión n.º 1082/2013/UE previa sobre las amenazas transfronterizas graves para la salud. El Reglamento pretende fundamentalmente reforzar las estructuras y los mecanismos existentes a efectos de mejorar la protección, la prevención, la preparación y la respuesta en la UE frente a las amenazas transfronterizas para la salud, es decir, amenazas para la vida u otros peligros graves para la salud de origen biológico, químico, medioambiental o desconocido. Además, introduce unos aspectos novedosos en las actividades de prevención, preparación y respuesta, como el desarrollo del plan de prevención, preparación y respuesta de la Unión, así como las evaluaciones periódicas que debe llevar a cabo el CEPCE acerca del estado de ejecución de los planes nacionales de prevención, preparación y respuesta; también reúne a otros agentes que facilitan evaluaciones de riesgos y crea el Comité Consultivo sobre Emergencias de Salud Pública. El Reglamento prevé asimismo la cooperación de los Estados miembros y la Comisión durante las pandemias, especialmente a través de la adquisición conjunta de contramedidas médicas en relación con las amenazas transfronterizas para la salud. Se prevé que la HERA organice las adquisiciones conjuntas con arreglo al artículo 12 del Reglamento. Si bien la actividad de esta agencia se revisa por separado, las adquisiciones conjuntas mencionadas anteriormente que ampara el presente Reglamento se analizarán en el contexto de este acto. </w:t>
            </w:r>
          </w:p>
        </w:tc>
      </w:tr>
      <w:tr w:rsidTr="4DA7158C">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1E0806" w:rsidRPr="002C6CE6" w:rsidP="00451053">
            <w:pPr>
              <w:keepNext/>
              <w:keepLines/>
              <w:widowControl w:val="0"/>
              <w:spacing w:before="60" w:after="60"/>
              <w:rPr>
                <w:rFonts w:ascii="Arial" w:hAnsi="Arial" w:cs="Arial"/>
                <w:sz w:val="20"/>
              </w:rPr>
            </w:pPr>
            <w:r>
              <w:rPr>
                <w:rFonts w:ascii="Arial" w:hAnsi="Arial"/>
                <w:b/>
                <w:sz w:val="20"/>
              </w:rPr>
              <w:t xml:space="preserve">Finalidad y ámbito de aplicación </w:t>
            </w:r>
          </w:p>
        </w:tc>
      </w:tr>
      <w:tr w:rsidTr="4DA7158C">
        <w:tblPrEx>
          <w:tblW w:w="10283" w:type="dxa"/>
          <w:jc w:val="center"/>
          <w:tblLayout w:type="fixed"/>
          <w:tblLook w:val="01E0"/>
        </w:tblPrEx>
        <w:trPr>
          <w:jc w:val="center"/>
        </w:trPr>
        <w:tc>
          <w:tcPr>
            <w:tcW w:w="10283" w:type="dxa"/>
            <w:gridSpan w:val="2"/>
            <w:tcBorders>
              <w:bottom w:val="single" w:sz="4" w:space="0" w:color="auto"/>
            </w:tcBorders>
            <w:shd w:val="clear" w:color="auto" w:fill="auto"/>
          </w:tcPr>
          <w:p w:rsidR="00A475FA" w:rsidP="4DA7158C">
            <w:pPr>
              <w:keepNext/>
              <w:keepLines/>
              <w:widowControl w:val="0"/>
              <w:spacing w:before="60" w:after="60"/>
              <w:rPr>
                <w:rFonts w:ascii="Arial" w:hAnsi="Arial" w:cs="Arial"/>
                <w:color w:val="1036A0"/>
                <w:sz w:val="20"/>
              </w:rPr>
            </w:pPr>
            <w:r>
              <w:rPr>
                <w:rFonts w:ascii="Arial" w:hAnsi="Arial"/>
                <w:color w:val="1F497D" w:themeColor="text2"/>
                <w:sz w:val="20"/>
              </w:rPr>
              <w:t xml:space="preserve">Esta evaluación se deriva de una disposición legal del Reglamento (UE) 2022/2371. De conformidad con su artículo 33, la Comisión debe llevar a cabo, a más tardar el 31 de diciembre de 2024, una evaluación del Reglamento y presentar un informe sobre las principales conclusiones de la evaluación al Parlamento Europeo y al Consejo. </w:t>
            </w:r>
            <w:r>
              <w:rPr>
                <w:rFonts w:ascii="Arial" w:hAnsi="Arial"/>
                <w:color w:val="1036A0"/>
                <w:sz w:val="20"/>
              </w:rPr>
              <w:t xml:space="preserve">En consonancia con los criterios de evaluación establecidos en las </w:t>
            </w:r>
            <w:r>
              <w:fldChar w:fldCharType="begin"/>
            </w:r>
            <w:r>
              <w:instrText xml:space="preserve"> HYPERLINK "https://commission.europa.eu/law/law-making-process/planning-and-proposing-law/better-regulation/better-regulation-guidelines-and-toolbox_es" </w:instrText>
            </w:r>
            <w:r>
              <w:fldChar w:fldCharType="separate"/>
            </w:r>
            <w:r>
              <w:rPr>
                <w:rStyle w:val="Hyperlink"/>
                <w:rFonts w:ascii="Arial" w:hAnsi="Arial"/>
                <w:sz w:val="20"/>
              </w:rPr>
              <w:t>directrices de la Comisión para la mejora de la legislación</w:t>
            </w:r>
            <w:r>
              <w:fldChar w:fldCharType="end"/>
            </w:r>
            <w:r>
              <w:rPr>
                <w:rFonts w:ascii="Arial" w:hAnsi="Arial"/>
                <w:color w:val="1036A0"/>
                <w:sz w:val="20"/>
              </w:rPr>
              <w:t xml:space="preserve">, la evaluación debe valorar la eficacia, la eficiencia, la pertinencia, la coherencia y el valor añadido de la UE del Reglamento con el mayor detalle posible, a lo largo de su período de aplicación, que es relativamente corto. </w:t>
            </w:r>
          </w:p>
          <w:p w:rsidR="00EE5FB4" w:rsidP="4DA7158C">
            <w:pPr>
              <w:keepNext/>
              <w:keepLines/>
              <w:widowControl w:val="0"/>
              <w:spacing w:before="60" w:after="60"/>
              <w:rPr>
                <w:rFonts w:ascii="Arial" w:hAnsi="Arial" w:cs="Arial"/>
                <w:color w:val="1036A0"/>
                <w:sz w:val="20"/>
              </w:rPr>
            </w:pPr>
            <w:r>
              <w:rPr>
                <w:rFonts w:ascii="Arial" w:hAnsi="Arial"/>
                <w:color w:val="1036A0"/>
                <w:sz w:val="20"/>
              </w:rPr>
              <w:t xml:space="preserve">La evaluación abarcará el trabajo de la Comisión en las actividades de preparación y respuesta reguladas en el Reglamento, especialmente el funcionamiento del </w:t>
            </w:r>
            <w:r>
              <w:fldChar w:fldCharType="begin"/>
            </w:r>
            <w:r>
              <w:instrText xml:space="preserve"> HYPERLINK "https://www.ecdc.europa.eu/en/publications-data/early-warning-and-response-system-european-union-ewrs" </w:instrText>
            </w:r>
            <w:r>
              <w:fldChar w:fldCharType="separate"/>
            </w:r>
            <w:r>
              <w:rPr>
                <w:rStyle w:val="Hyperlink"/>
                <w:rFonts w:ascii="Arial" w:hAnsi="Arial"/>
                <w:sz w:val="20"/>
              </w:rPr>
              <w:t>Sistema de Alerta Precoz y Respuesta (SAPR)</w:t>
            </w:r>
            <w:r>
              <w:fldChar w:fldCharType="end"/>
            </w:r>
            <w:r>
              <w:rPr>
                <w:rFonts w:ascii="Arial" w:hAnsi="Arial"/>
                <w:color w:val="1036A0"/>
                <w:sz w:val="20"/>
              </w:rPr>
              <w:t xml:space="preserve"> y la red de vigilancia epidemiológica, la creación de laboratorios de referencia de la UE, así como la coordinación de las actividades de preparación y respuesta en el seno del Comité de Seguridad Sanitaria. </w:t>
            </w:r>
            <w:bookmarkStart w:id="0" w:name="_Hlk147394676"/>
            <w:r>
              <w:rPr>
                <w:rFonts w:ascii="Arial" w:hAnsi="Arial"/>
                <w:color w:val="1036A0"/>
                <w:sz w:val="20"/>
              </w:rPr>
              <w:t xml:space="preserve">Además, la evaluación valorará la aplicación del Reglamento (UE) 2022/2371 por parte de la HERA. Por tanto, también se ponderarán el impacto y la eficacia de las adquisiciones conjuntas. </w:t>
            </w:r>
          </w:p>
          <w:p w:rsidR="0076215A" w:rsidP="148DBCA1">
            <w:pPr>
              <w:keepNext/>
              <w:keepLines/>
              <w:widowControl w:val="0"/>
              <w:spacing w:before="60" w:after="60"/>
              <w:rPr>
                <w:rFonts w:ascii="Arial" w:hAnsi="Arial" w:cs="Arial"/>
                <w:color w:val="1036A0"/>
                <w:sz w:val="20"/>
              </w:rPr>
            </w:pPr>
            <w:r>
              <w:rPr>
                <w:rFonts w:ascii="Arial" w:hAnsi="Arial"/>
                <w:color w:val="1036A0"/>
                <w:sz w:val="20"/>
              </w:rPr>
              <w:t>La evaluación examinará asimismo los costes y beneficios reales del Reglamento, incluidos los efectos en las distintas partes interesadas.</w:t>
            </w:r>
            <w:bookmarkEnd w:id="0"/>
            <w:r>
              <w:rPr>
                <w:rFonts w:ascii="Arial" w:hAnsi="Arial"/>
                <w:color w:val="1036A0"/>
                <w:sz w:val="20"/>
              </w:rPr>
              <w:t xml:space="preserve"> También se evaluará si hay cargas administrativas o procedimientos complejos potencialmente innecesarios. El análisis incluirá también los avances logrados en la preparación de los actos delegados y de ejecución conexos.</w:t>
            </w:r>
          </w:p>
          <w:p w:rsidR="001E0806" w:rsidRPr="002C6CE6" w:rsidP="4DA7158C">
            <w:pPr>
              <w:keepNext/>
              <w:keepLines/>
              <w:widowControl w:val="0"/>
              <w:spacing w:before="60" w:after="60"/>
              <w:rPr>
                <w:rFonts w:ascii="Arial" w:hAnsi="Arial" w:cs="Arial"/>
                <w:i/>
                <w:iCs/>
                <w:color w:val="00B050"/>
                <w:sz w:val="20"/>
              </w:rPr>
            </w:pPr>
            <w:r>
              <w:rPr>
                <w:rFonts w:ascii="Arial" w:hAnsi="Arial"/>
                <w:color w:val="1036A0"/>
                <w:sz w:val="20"/>
              </w:rPr>
              <w:t xml:space="preserve">La evaluación abarcará la aplicación del Reglamento en todos los Estados miembros de la UE y otros países pertinentes desde su entrada en vigor en diciembre de 2022 hasta finales de diciembre de 2024. </w:t>
            </w:r>
          </w:p>
        </w:tc>
      </w:tr>
      <w:tr w:rsidTr="4DA7158C">
        <w:tblPrEx>
          <w:tblW w:w="10283" w:type="dxa"/>
          <w:jc w:val="center"/>
          <w:tblLayout w:type="fixed"/>
          <w:tblLook w:val="01E0"/>
        </w:tblPrEx>
        <w:trPr>
          <w:jc w:val="center"/>
        </w:trPr>
        <w:tc>
          <w:tcPr>
            <w:tcW w:w="10283" w:type="dxa"/>
            <w:gridSpan w:val="2"/>
            <w:tcBorders>
              <w:bottom w:val="single" w:sz="4" w:space="0" w:color="auto"/>
            </w:tcBorders>
            <w:shd w:val="clear" w:color="auto" w:fill="0000FF"/>
          </w:tcPr>
          <w:p w:rsidR="001E0806" w:rsidRPr="002C6CE6" w:rsidP="00451053">
            <w:pPr>
              <w:keepNext/>
              <w:keepLines/>
              <w:widowControl w:val="0"/>
              <w:spacing w:before="60" w:after="60"/>
              <w:jc w:val="center"/>
              <w:rPr>
                <w:rFonts w:ascii="Arial" w:hAnsi="Arial" w:cs="Arial"/>
                <w:b/>
                <w:sz w:val="22"/>
                <w:szCs w:val="22"/>
              </w:rPr>
            </w:pPr>
            <w:r>
              <w:rPr>
                <w:rFonts w:ascii="Arial" w:hAnsi="Arial"/>
                <w:b/>
                <w:sz w:val="22"/>
                <w:highlight w:val="blue"/>
              </w:rPr>
              <w:t>B. Mejora de la legislación</w:t>
            </w:r>
          </w:p>
        </w:tc>
      </w:tr>
      <w:tr w:rsidTr="4DA7158C">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1E0806" w:rsidRPr="002C6CE6" w:rsidP="00451053">
            <w:pPr>
              <w:keepNext/>
              <w:keepLines/>
              <w:widowControl w:val="0"/>
              <w:spacing w:before="60" w:after="60"/>
              <w:rPr>
                <w:rFonts w:ascii="Arial" w:hAnsi="Arial" w:cs="Arial"/>
                <w:sz w:val="20"/>
              </w:rPr>
            </w:pPr>
            <w:r>
              <w:rPr>
                <w:rFonts w:ascii="Arial" w:hAnsi="Arial"/>
                <w:b/>
                <w:sz w:val="20"/>
              </w:rPr>
              <w:t xml:space="preserve">Estrategia de consulta </w:t>
            </w:r>
          </w:p>
        </w:tc>
      </w:tr>
      <w:tr w:rsidTr="4DA7158C">
        <w:tblPrEx>
          <w:tblW w:w="10283" w:type="dxa"/>
          <w:jc w:val="center"/>
          <w:tblLayout w:type="fixed"/>
          <w:tblLook w:val="01E0"/>
        </w:tblPrEx>
        <w:trPr>
          <w:jc w:val="center"/>
        </w:trPr>
        <w:tc>
          <w:tcPr>
            <w:tcW w:w="10283" w:type="dxa"/>
            <w:gridSpan w:val="2"/>
            <w:tcBorders>
              <w:bottom w:val="single" w:sz="4" w:space="0" w:color="auto"/>
            </w:tcBorders>
            <w:shd w:val="clear" w:color="auto" w:fill="auto"/>
          </w:tcPr>
          <w:p w:rsidR="00141F53" w:rsidP="4DA7158C">
            <w:pPr>
              <w:keepNext/>
              <w:keepLines/>
              <w:widowControl w:val="0"/>
              <w:spacing w:before="60" w:after="60"/>
              <w:rPr>
                <w:rFonts w:ascii="Arial" w:hAnsi="Arial" w:cs="Arial"/>
                <w:color w:val="1036A0"/>
                <w:sz w:val="20"/>
              </w:rPr>
            </w:pPr>
            <w:r>
              <w:rPr>
                <w:rFonts w:ascii="Arial" w:hAnsi="Arial"/>
                <w:color w:val="1036A0"/>
                <w:sz w:val="20"/>
              </w:rPr>
              <w:t>La evaluación se basará en las aportaciones recogidas a través de una serie de actividades de consulta. Se trata de recabar datos y opiniones de una amplia gama de partes interesadas para contar con la información pertinente sobre la aplicación del Reglamento. La Comisión, a través de sus actividades de consulta, pretende cartografiar las primeras fases de la aplicación del Reglamento y evaluar si este ha cumplido sus objetivos de manera eficaz y eficiente, y si puede responder a las necesidades actuales y futuras.</w:t>
            </w:r>
            <w:bookmarkStart w:id="1" w:name="_Hlk147394905"/>
            <w:r>
              <w:rPr>
                <w:rFonts w:ascii="Arial" w:hAnsi="Arial"/>
                <w:color w:val="1036A0"/>
                <w:sz w:val="20"/>
              </w:rPr>
              <w:t xml:space="preserve"> </w:t>
            </w:r>
            <w:bookmarkEnd w:id="1"/>
            <w:r>
              <w:rPr>
                <w:rFonts w:ascii="Arial" w:hAnsi="Arial"/>
                <w:color w:val="1036A0"/>
                <w:sz w:val="20"/>
              </w:rPr>
              <w:t>Se consultará a todas las principales partes interesadas en este proceso a través de actividades de consulta específicas: representantes de las autoridades de los Estados miembros, de la UE e internacionales, como el CEPCE y la OMS, y otras partes interesadas, incluidos los profesionales sanitarios y los expertos en salud pública.</w:t>
            </w:r>
            <w:r>
              <w:rPr>
                <w:rFonts w:ascii="Arial" w:hAnsi="Arial"/>
                <w:i/>
                <w:color w:val="1036A0"/>
                <w:sz w:val="20"/>
              </w:rPr>
              <w:t xml:space="preserve"> </w:t>
            </w:r>
            <w:r>
              <w:rPr>
                <w:rFonts w:ascii="Arial" w:hAnsi="Arial"/>
                <w:color w:val="1036A0"/>
                <w:sz w:val="20"/>
              </w:rPr>
              <w:t>Durante el proceso de evaluación se llevarán a cabo entrevistas y encuestas determinadas con las autoridades de los Estados miembros, con organismos de la UE e internacionales, así como con organizaciones a escala de la UE. Por lo que se refiere a las partes interesadas de los Estados miembros, se trata principalmente de representantes del Comité de Seguridad Sanitaria, así como de expertos en salud pública y profesionales de la salud. Dada la gama de actividades de consulta específicas previstas (entrevistas estructuradas, encuestas, seminarios web) y los intercambios periódicos con expertos en salud pública, no se llevará a cabo una consulta pública como tal. Además, y con fines de transparencia, se organizará un seminario web a través de la Plataforma de Política Sanitaria para informar sobre el proceso de evaluación y recoger posibles observaciones añadidas de las organizaciones de la sociedad civil sobre la aplicación del Reglamento a escala nacional y de la UE.</w:t>
            </w:r>
          </w:p>
          <w:p w:rsidR="00DD0D65" w:rsidRPr="00DD6445" w:rsidP="47344C93">
            <w:pPr>
              <w:keepNext/>
              <w:keepLines/>
              <w:widowControl w:val="0"/>
              <w:spacing w:before="60" w:after="60"/>
              <w:rPr>
                <w:rFonts w:ascii="Arial" w:hAnsi="Arial" w:cs="Arial"/>
                <w:b/>
                <w:bCs/>
                <w:color w:val="1036A0"/>
              </w:rPr>
            </w:pPr>
            <w:r>
              <w:rPr>
                <w:rFonts w:ascii="Arial" w:hAnsi="Arial"/>
                <w:color w:val="1036A0"/>
                <w:sz w:val="20"/>
              </w:rPr>
              <w:t>Todas las aportaciones que se reciban de las partes interesadas se tendrán debidamente en cuenta durante el ejercicio de evaluación y se incluirán en el informe de síntesis, que se adjuntará al informe de evaluación (será un documento de trabajo de los servicios de la Comisión).</w:t>
            </w:r>
          </w:p>
        </w:tc>
      </w:tr>
      <w:tr w:rsidTr="4DA7158C">
        <w:tblPrEx>
          <w:tblW w:w="10283" w:type="dxa"/>
          <w:jc w:val="center"/>
          <w:tblLayout w:type="fixed"/>
          <w:tblLook w:val="01E0"/>
        </w:tblPrEx>
        <w:trPr>
          <w:jc w:val="center"/>
        </w:trPr>
        <w:tc>
          <w:tcPr>
            <w:tcW w:w="10283" w:type="dxa"/>
            <w:gridSpan w:val="2"/>
            <w:shd w:val="clear" w:color="auto" w:fill="FFFFFF" w:themeFill="background1"/>
          </w:tcPr>
          <w:p w:rsidR="00875C7D" w:rsidRPr="002C6CE6" w:rsidP="00451053">
            <w:pPr>
              <w:keepNext/>
              <w:keepLines/>
              <w:widowControl w:val="0"/>
              <w:spacing w:before="60" w:after="60"/>
              <w:rPr>
                <w:rFonts w:ascii="Arial" w:hAnsi="Arial" w:cs="Arial"/>
                <w:b/>
                <w:sz w:val="20"/>
                <w:lang w:eastAsia="en-GB"/>
              </w:rPr>
            </w:pPr>
          </w:p>
        </w:tc>
      </w:tr>
      <w:tr w:rsidTr="4DA7158C">
        <w:tblPrEx>
          <w:tblW w:w="10283" w:type="dxa"/>
          <w:jc w:val="center"/>
          <w:tblLayout w:type="fixed"/>
          <w:tblLook w:val="01E0"/>
        </w:tblPrEx>
        <w:trPr>
          <w:jc w:val="center"/>
        </w:trPr>
        <w:tc>
          <w:tcPr>
            <w:tcW w:w="10283" w:type="dxa"/>
            <w:gridSpan w:val="2"/>
            <w:shd w:val="clear" w:color="auto" w:fill="F2F2F2" w:themeFill="background1" w:themeFillShade="F2"/>
          </w:tcPr>
          <w:p w:rsidR="001E0806" w:rsidRPr="002C6CE6" w:rsidP="00451053">
            <w:pPr>
              <w:keepNext/>
              <w:keepLines/>
              <w:widowControl w:val="0"/>
              <w:spacing w:before="60" w:after="60"/>
              <w:rPr>
                <w:rFonts w:ascii="Arial" w:hAnsi="Arial" w:cs="Arial"/>
                <w:sz w:val="20"/>
              </w:rPr>
            </w:pPr>
            <w:r>
              <w:rPr>
                <w:rFonts w:ascii="Arial" w:hAnsi="Arial"/>
                <w:b/>
                <w:sz w:val="20"/>
              </w:rPr>
              <w:t xml:space="preserve">Recogida de datos y metodología </w:t>
            </w:r>
          </w:p>
        </w:tc>
      </w:tr>
      <w:tr w:rsidTr="4DA7158C">
        <w:tblPrEx>
          <w:tblW w:w="10283" w:type="dxa"/>
          <w:jc w:val="center"/>
          <w:tblLayout w:type="fixed"/>
          <w:tblLook w:val="01E0"/>
        </w:tblPrEx>
        <w:trPr>
          <w:jc w:val="center"/>
        </w:trPr>
        <w:tc>
          <w:tcPr>
            <w:tcW w:w="10283" w:type="dxa"/>
            <w:gridSpan w:val="2"/>
            <w:shd w:val="clear" w:color="auto" w:fill="auto"/>
          </w:tcPr>
          <w:p w:rsidR="00355DA9" w:rsidP="148DBCA1">
            <w:pPr>
              <w:keepNext/>
              <w:keepLines/>
              <w:widowControl w:val="0"/>
              <w:spacing w:before="60" w:after="60"/>
              <w:rPr>
                <w:rFonts w:ascii="Arial" w:hAnsi="Arial" w:cs="Arial"/>
                <w:color w:val="1036A0"/>
                <w:sz w:val="20"/>
              </w:rPr>
            </w:pPr>
            <w:r>
              <w:rPr>
                <w:rFonts w:ascii="Arial" w:hAnsi="Arial"/>
                <w:color w:val="1036A0"/>
                <w:sz w:val="20"/>
              </w:rPr>
              <w:t xml:space="preserve">Dada la urgencia que conllevó la pandemia de COVID-19, que aún se encontraba en su punto álgido cuando se adoptó la propuesta de Reglamento (UE) 2022/2371 sobre las amenazas transfronterizas graves para la salud, no se llevó a cabo en su momento ninguna evaluación de impacto de esta legislación nueva. Además, como este Reglamento, que es complejo y general, no empezó a aplicarse hasta el 26 de diciembre de 2022, solo se contará con una cantidad limitada de datos e información. </w:t>
            </w:r>
          </w:p>
          <w:p w:rsidR="00355DA9" w:rsidP="64811F5A">
            <w:pPr>
              <w:keepNext/>
              <w:keepLines/>
              <w:widowControl w:val="0"/>
              <w:spacing w:before="60" w:after="60"/>
              <w:rPr>
                <w:rFonts w:ascii="Arial" w:hAnsi="Arial" w:cs="Arial"/>
                <w:color w:val="1036A0"/>
                <w:sz w:val="20"/>
              </w:rPr>
            </w:pPr>
            <w:r>
              <w:rPr>
                <w:rFonts w:ascii="Arial" w:hAnsi="Arial"/>
                <w:color w:val="1036A0"/>
                <w:sz w:val="20"/>
              </w:rPr>
              <w:t xml:space="preserve">Esta evaluación se basará en lo siguiente: </w:t>
            </w:r>
          </w:p>
          <w:p w:rsidR="00355DA9" w:rsidP="00933374">
            <w:pPr>
              <w:pStyle w:val="ListParagraph"/>
              <w:keepNext/>
              <w:keepLines/>
              <w:widowControl w:val="0"/>
              <w:numPr>
                <w:ilvl w:val="0"/>
                <w:numId w:val="1"/>
              </w:numPr>
              <w:spacing w:before="60" w:after="60"/>
              <w:jc w:val="both"/>
              <w:rPr>
                <w:rFonts w:ascii="Arial" w:hAnsi="Arial" w:cs="Arial"/>
                <w:color w:val="1036A0"/>
              </w:rPr>
            </w:pPr>
            <w:r>
              <w:rPr>
                <w:rFonts w:ascii="Arial" w:hAnsi="Arial"/>
                <w:color w:val="1036A0"/>
                <w:sz w:val="20"/>
              </w:rPr>
              <w:t xml:space="preserve">los resultados de varios estudios en curso, como el relativo a los nuevos avances del Sistema de Alerta Precoz y Respuesta, que contribuirán a analizar algunos aspectos concretos de la aplicación del Reglamento (UE) 2022/2371; </w:t>
            </w:r>
          </w:p>
          <w:p w:rsidR="00355DA9" w:rsidP="00933374">
            <w:pPr>
              <w:pStyle w:val="ListParagraph"/>
              <w:keepNext/>
              <w:keepLines/>
              <w:widowControl w:val="0"/>
              <w:numPr>
                <w:ilvl w:val="0"/>
                <w:numId w:val="1"/>
              </w:numPr>
              <w:spacing w:before="60" w:after="60"/>
              <w:jc w:val="both"/>
              <w:rPr>
                <w:rFonts w:ascii="Arial" w:hAnsi="Arial" w:cs="Arial"/>
                <w:color w:val="1036A0"/>
              </w:rPr>
            </w:pPr>
            <w:r>
              <w:rPr>
                <w:rFonts w:ascii="Arial" w:hAnsi="Arial"/>
                <w:color w:val="1036A0"/>
                <w:sz w:val="20"/>
              </w:rPr>
              <w:t xml:space="preserve">otras pruebas pertinentes, como </w:t>
            </w:r>
            <w:r>
              <w:fldChar w:fldCharType="begin"/>
            </w:r>
            <w:r>
              <w:instrText xml:space="preserve"> HYPERLINK "https://www.nivel.nl/en/project/contact-tracing-tools-and-applications-used-eu-level-feasibility-and-integration-within" </w:instrText>
            </w:r>
            <w:r>
              <w:fldChar w:fldCharType="separate"/>
            </w:r>
            <w:r>
              <w:rPr>
                <w:rStyle w:val="Hyperlink"/>
                <w:rFonts w:ascii="Arial" w:hAnsi="Arial"/>
                <w:sz w:val="20"/>
              </w:rPr>
              <w:t>un estudio sobre el rastreo transfronterizo de contactos</w:t>
            </w:r>
            <w:r>
              <w:fldChar w:fldCharType="end"/>
            </w:r>
            <w:r>
              <w:rPr>
                <w:rFonts w:ascii="Arial" w:hAnsi="Arial"/>
                <w:color w:val="1036A0"/>
                <w:sz w:val="20"/>
              </w:rPr>
              <w:t>,</w:t>
            </w:r>
            <w:r>
              <w:t xml:space="preserve"> </w:t>
            </w:r>
            <w:r>
              <w:fldChar w:fldCharType="begin"/>
            </w:r>
            <w:r>
              <w:instrText xml:space="preserve"> HYPERLINK "https://digital-strategy.ec.europa.eu/en/library/covid-19-digital-contact-tracing-study" </w:instrText>
            </w:r>
            <w:r>
              <w:fldChar w:fldCharType="separate"/>
            </w:r>
            <w:r>
              <w:rPr>
                <w:rStyle w:val="Hyperlink"/>
                <w:rFonts w:ascii="Arial" w:hAnsi="Arial"/>
                <w:sz w:val="20"/>
              </w:rPr>
              <w:t xml:space="preserve">un estudio sobre rastreos digitales de contactos en el marco de la COVID-19: </w:t>
            </w:r>
            <w:r>
              <w:fldChar w:fldCharType="end"/>
            </w:r>
            <w:r>
              <w:fldChar w:fldCharType="begin"/>
            </w:r>
            <w:r>
              <w:instrText xml:space="preserve"> HYPERLINK "https://digital-strategy.ec.europa.eu/en/library/covid-19-digital-contact-tracing-study" </w:instrText>
            </w:r>
            <w:r>
              <w:fldChar w:fldCharType="separate"/>
            </w:r>
            <w:r>
              <w:rPr>
                <w:rStyle w:val="Hyperlink"/>
                <w:rFonts w:ascii="Arial" w:hAnsi="Arial"/>
                <w:sz w:val="20"/>
              </w:rPr>
              <w:t>configurar el futuro digital de Europa</w:t>
            </w:r>
            <w:r>
              <w:fldChar w:fldCharType="end"/>
            </w:r>
            <w:r>
              <w:t xml:space="preserve">, </w:t>
            </w:r>
            <w:r>
              <w:rPr>
                <w:rFonts w:ascii="Arial" w:hAnsi="Arial"/>
                <w:color w:val="1036A0"/>
                <w:sz w:val="20"/>
              </w:rPr>
              <w:t>las labores relativas a la formación del personal sanitario y las personas trabajadoras de la sanidad pública, así como diversas aportaciones para ayudar al Comité Consultivo sobre Emergencias de Salud Pública;</w:t>
            </w:r>
          </w:p>
          <w:p w:rsidR="00355DA9" w:rsidP="00933374">
            <w:pPr>
              <w:pStyle w:val="ListParagraph"/>
              <w:keepNext/>
              <w:keepLines/>
              <w:widowControl w:val="0"/>
              <w:numPr>
                <w:ilvl w:val="0"/>
                <w:numId w:val="1"/>
              </w:numPr>
              <w:spacing w:before="60" w:after="60"/>
              <w:jc w:val="both"/>
              <w:rPr>
                <w:rFonts w:ascii="Arial" w:hAnsi="Arial" w:cs="Arial"/>
                <w:color w:val="1036A0"/>
              </w:rPr>
            </w:pPr>
            <w:r>
              <w:rPr>
                <w:rFonts w:ascii="Arial" w:hAnsi="Arial"/>
                <w:color w:val="1036A0"/>
                <w:sz w:val="20"/>
              </w:rPr>
              <w:t xml:space="preserve">los resultados de los talleres regionales que organizarán los Estados miembros para contribuir a la aplicación del Reglamento (UE) 2022/2371; </w:t>
            </w:r>
          </w:p>
          <w:p w:rsidR="00DB44E2" w:rsidRPr="00DE3A37" w:rsidP="00933374">
            <w:pPr>
              <w:pStyle w:val="ListParagraph"/>
              <w:keepNext/>
              <w:keepLines/>
              <w:widowControl w:val="0"/>
              <w:numPr>
                <w:ilvl w:val="0"/>
                <w:numId w:val="1"/>
              </w:numPr>
              <w:spacing w:before="60" w:after="60"/>
              <w:jc w:val="both"/>
              <w:rPr>
                <w:rFonts w:ascii="Arial" w:hAnsi="Arial" w:cs="Arial"/>
                <w:color w:val="1036A0"/>
              </w:rPr>
            </w:pPr>
            <w:r>
              <w:rPr>
                <w:rFonts w:ascii="Arial" w:hAnsi="Arial"/>
                <w:color w:val="1036A0"/>
                <w:sz w:val="20"/>
              </w:rPr>
              <w:t xml:space="preserve">los resultados del estudio relativo a la designación de laboratorios de referencia o los </w:t>
            </w:r>
            <w:r>
              <w:fldChar w:fldCharType="begin"/>
            </w:r>
            <w:r>
              <w:instrText xml:space="preserve"> HYPERLINK "https://eur-lex.europa.eu/legal-content/ES/ALL/?uri=comnat:COM_2022_0669_FIN2" </w:instrText>
            </w:r>
            <w:r>
              <w:fldChar w:fldCharType="separate"/>
            </w:r>
            <w:r>
              <w:rPr>
                <w:rStyle w:val="Hyperlink"/>
                <w:rFonts w:ascii="Arial" w:hAnsi="Arial"/>
                <w:sz w:val="20"/>
              </w:rPr>
              <w:t>informes del estado de preparación sanitaria de 2022</w:t>
            </w:r>
            <w:r>
              <w:fldChar w:fldCharType="end"/>
            </w:r>
            <w:r>
              <w:rPr>
                <w:rFonts w:ascii="Arial" w:hAnsi="Arial"/>
                <w:color w:val="1036A0"/>
                <w:sz w:val="20"/>
              </w:rPr>
              <w:t xml:space="preserve"> y 2023;</w:t>
            </w:r>
          </w:p>
          <w:p w:rsidR="00AA6E07" w:rsidRPr="008B4EB3" w:rsidP="00933374">
            <w:pPr>
              <w:pStyle w:val="ListParagraph"/>
              <w:keepNext/>
              <w:keepLines/>
              <w:widowControl w:val="0"/>
              <w:numPr>
                <w:ilvl w:val="0"/>
                <w:numId w:val="1"/>
              </w:numPr>
              <w:spacing w:before="60" w:after="60"/>
              <w:jc w:val="both"/>
              <w:rPr>
                <w:rFonts w:ascii="Arial" w:hAnsi="Arial" w:cs="Arial"/>
                <w:color w:val="1036A0"/>
              </w:rPr>
            </w:pPr>
            <w:r>
              <w:rPr>
                <w:rFonts w:ascii="Arial" w:hAnsi="Arial"/>
                <w:color w:val="1036A0"/>
                <w:sz w:val="20"/>
              </w:rPr>
              <w:t>los datos recogidos por la Comisión durante la aplicación del Reglamento (UE) 2022/2371;</w:t>
            </w:r>
          </w:p>
          <w:p w:rsidR="00247925" w:rsidRPr="008B4EB3" w:rsidP="00933374">
            <w:pPr>
              <w:pStyle w:val="ListParagraph"/>
              <w:keepNext/>
              <w:keepLines/>
              <w:widowControl w:val="0"/>
              <w:numPr>
                <w:ilvl w:val="0"/>
                <w:numId w:val="1"/>
              </w:numPr>
              <w:spacing w:before="60" w:after="60"/>
              <w:jc w:val="both"/>
              <w:rPr>
                <w:rFonts w:ascii="Arial" w:hAnsi="Arial" w:cs="Arial"/>
                <w:color w:val="1036A0"/>
              </w:rPr>
            </w:pPr>
            <w:r>
              <w:rPr>
                <w:rFonts w:ascii="Arial" w:hAnsi="Arial"/>
                <w:color w:val="1036A0"/>
                <w:sz w:val="20"/>
              </w:rPr>
              <w:t xml:space="preserve">los datos sobre el impacto y la eficacia de las adjudicaciones conjuntas; </w:t>
            </w:r>
          </w:p>
          <w:p w:rsidR="003E723D" w:rsidRPr="00DE3A37" w:rsidP="00933374">
            <w:pPr>
              <w:pStyle w:val="ListParagraph"/>
              <w:keepNext/>
              <w:keepLines/>
              <w:widowControl w:val="0"/>
              <w:numPr>
                <w:ilvl w:val="0"/>
                <w:numId w:val="1"/>
              </w:numPr>
              <w:spacing w:before="60" w:after="60"/>
              <w:jc w:val="both"/>
              <w:rPr>
                <w:rFonts w:ascii="Arial" w:hAnsi="Arial" w:cs="Arial"/>
                <w:color w:val="1036A0"/>
              </w:rPr>
            </w:pPr>
            <w:r>
              <w:rPr>
                <w:rFonts w:ascii="Arial" w:hAnsi="Arial"/>
                <w:color w:val="1036A0"/>
                <w:sz w:val="20"/>
              </w:rPr>
              <w:t xml:space="preserve">otros datos procedentes de la revisión de la HERA, en su caso; </w:t>
            </w:r>
          </w:p>
          <w:p w:rsidR="00355DA9" w:rsidRPr="005D71E5" w:rsidP="00933374">
            <w:pPr>
              <w:pStyle w:val="ListParagraph"/>
              <w:keepNext/>
              <w:keepLines/>
              <w:widowControl w:val="0"/>
              <w:numPr>
                <w:ilvl w:val="0"/>
                <w:numId w:val="1"/>
              </w:numPr>
              <w:spacing w:before="60" w:after="60"/>
              <w:jc w:val="both"/>
              <w:rPr>
                <w:rFonts w:ascii="Arial" w:hAnsi="Arial" w:cs="Arial"/>
                <w:color w:val="1036A0"/>
              </w:rPr>
            </w:pPr>
            <w:r>
              <w:rPr>
                <w:rFonts w:ascii="Arial" w:hAnsi="Arial"/>
                <w:color w:val="1036A0"/>
                <w:sz w:val="20"/>
              </w:rPr>
              <w:t>y todos los demás análisis e informes pertinentes sobre el funcionamiento del Reglamento (UE) 2022/2371 hasta la fecha.</w:t>
            </w:r>
          </w:p>
          <w:p w:rsidR="7C5CDF79" w:rsidRPr="00DE3A37" w:rsidP="47344C93">
            <w:pPr>
              <w:keepNext/>
              <w:keepLines/>
              <w:widowControl w:val="0"/>
              <w:spacing w:before="60" w:after="60"/>
              <w:rPr>
                <w:rFonts w:ascii="Arial" w:hAnsi="Arial" w:cs="Arial"/>
                <w:color w:val="1036A0"/>
                <w:sz w:val="20"/>
              </w:rPr>
            </w:pPr>
            <w:r>
              <w:rPr>
                <w:rFonts w:ascii="Arial" w:hAnsi="Arial"/>
                <w:color w:val="1036A0"/>
                <w:sz w:val="20"/>
              </w:rPr>
              <w:t>Además, la evaluación estará respaldada por un estudio externo. Se buscarán más datos y opiniones de las partes interesadas a través del estudio externo y de las actividades de consulta específicas previstas. También se determinarán y evaluarán los costes y beneficios relacionados con el Reglamento (UE) 2022/2371 en la medida de lo posible, incluida la parte de la evaluación destinada a una posible reducción de la carga. Cuando la cuantificación de los beneficios no sea viable, se utilizará en su lugar información cualitativa.</w:t>
            </w:r>
          </w:p>
          <w:p w:rsidR="001E0806" w:rsidRPr="009D1E58" w:rsidP="00BF122A">
            <w:pPr>
              <w:keepNext/>
              <w:keepLines/>
              <w:widowControl w:val="0"/>
              <w:spacing w:before="60"/>
              <w:rPr>
                <w:rFonts w:ascii="Arial" w:hAnsi="Arial" w:cs="Arial"/>
                <w:iCs/>
                <w:color w:val="1036A0"/>
                <w:sz w:val="20"/>
              </w:rPr>
            </w:pPr>
            <w:r>
              <w:rPr>
                <w:rFonts w:ascii="Arial" w:hAnsi="Arial"/>
                <w:color w:val="00B050"/>
                <w:sz w:val="20"/>
              </w:rPr>
              <w:t xml:space="preserve"> </w:t>
            </w:r>
          </w:p>
        </w:tc>
      </w:tr>
    </w:tbl>
    <w:p w:rsidR="001E0806" w:rsidRPr="002C6CE6" w:rsidP="004B1D74"/>
    <w:sectPr w:rsidSect="00C775BB">
      <w:footerReference w:type="default" r:id="rId12"/>
      <w:headerReference w:type="first" r:id="rId13"/>
      <w:pgSz w:w="11906" w:h="16838"/>
      <w:pgMar w:top="1020" w:right="1701" w:bottom="1020" w:left="1587" w:header="601" w:footer="107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3AB">
    <w:pPr>
      <w:pStyle w:val="Footer"/>
      <w:jc w:val="center"/>
    </w:pPr>
    <w:r>
      <w:fldChar w:fldCharType="begin"/>
    </w:r>
    <w:r>
      <w:instrText>PAGE</w:instrText>
    </w:r>
    <w:r>
      <w:fldChar w:fldCharType="separate"/>
    </w:r>
    <w:r w:rsidR="00062094">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D5A6E" w:rsidP="002B4DCC">
      <w:pPr>
        <w:spacing w:after="0"/>
      </w:pPr>
      <w:r>
        <w:separator/>
      </w:r>
    </w:p>
  </w:footnote>
  <w:footnote w:type="continuationSeparator" w:id="1">
    <w:p w:rsidR="00FD5A6E" w:rsidP="002B4DCC">
      <w:pPr>
        <w:spacing w:after="0"/>
      </w:pPr>
      <w:r>
        <w:continuationSeparator/>
      </w:r>
    </w:p>
  </w:footnote>
  <w:footnote w:type="continuationNotice" w:id="2">
    <w:p w:rsidR="00FD5A6E">
      <w:pPr>
        <w:spacing w:after="0"/>
      </w:pPr>
    </w:p>
  </w:footnote>
  <w:footnote w:id="3">
    <w:p w:rsidR="005306A0" w:rsidRPr="005306A0" w:rsidP="002D35B8">
      <w:pPr>
        <w:pStyle w:val="FootnoteText"/>
        <w:spacing w:after="0"/>
      </w:pPr>
      <w:r>
        <w:rPr>
          <w:rStyle w:val="FootnoteReference"/>
        </w:rPr>
        <w:footnoteRef/>
      </w:r>
      <w:r>
        <w:tab/>
      </w:r>
      <w:r>
        <w:rPr>
          <w:rFonts w:ascii="Arial" w:hAnsi="Arial"/>
          <w:sz w:val="16"/>
        </w:rPr>
        <w:t>Reglamento (UE) 2022/2371 del Parlamento Europeo y del Consejo, de 23 de noviembre de 2022, sobre las amenazas transfronterizas graves para la salud y por el que se deroga la Decisión n.º 1082/2013/CE (DO L 314 de 6.12.2022, p. 26).</w:t>
      </w:r>
    </w:p>
  </w:footnote>
  <w:footnote w:id="4">
    <w:p w:rsidR="004A0E96" w:rsidRPr="004A0E96">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rPr>
        <w:tab/>
        <w:t>Decisión de la Comisión C(2021) 6712, de 16 de septiembre de 2021, por la que se crea la Autoridad de Preparación y Respuesta ante Emergencias Sanitarias (DO C 393 I de 29.9.2021, p.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3AB" w:rsidP="004B1D74">
    <w:pPr>
      <w:pStyle w:val="Header"/>
      <w:spacing w:after="0"/>
      <w:jc w:val="center"/>
    </w:pPr>
    <w:r>
      <w:rPr>
        <w:rFonts w:ascii="Arial" w:hAnsi="Arial"/>
        <w:noProof/>
      </w:rPr>
      <w:drawing>
        <wp:inline distT="0" distB="0" distL="0" distR="0">
          <wp:extent cx="1908175" cy="508635"/>
          <wp:effectExtent l="0" t="0" r="0" b="5715"/>
          <wp:docPr id="4" name="Picture 4"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p w:rsidR="004B1D74" w:rsidP="004B1D74">
    <w:pPr>
      <w:pStyle w:val="Heade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start w:val="1"/>
      <w:numFmt w:val="decimal"/>
      <w:lvlText w:val="%1."/>
      <w:lvlJc w:val="left"/>
      <w:pPr>
        <w:tabs>
          <w:tab w:val="num" w:pos="476"/>
        </w:tabs>
        <w:ind w:left="476" w:hanging="47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0D5E5F"/>
    <w:multiLevelType w:val="hybridMultilevel"/>
    <w:tmpl w:val="594C4F24"/>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EEFE5B1"/>
    <w:multiLevelType w:val="hybridMultilevel"/>
    <w:tmpl w:val="24C27BB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7B469AF"/>
    <w:multiLevelType w:val="hybridMultilevel"/>
    <w:tmpl w:val="7E389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D5E2CC9"/>
    <w:multiLevelType w:val="hybridMultilevel"/>
    <w:tmpl w:val="D250EE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7B25768"/>
    <w:multiLevelType w:val="hybridMultilevel"/>
    <w:tmpl w:val="7534C1A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3C3D2A"/>
    <w:multiLevelType w:val="hybridMultilevel"/>
    <w:tmpl w:val="ECECCB5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00B05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0">
    <w:nsid w:val="4B483D5E"/>
    <w:multiLevelType w:val="hybridMultilevel"/>
    <w:tmpl w:val="55C27790"/>
    <w:lvl w:ilvl="0">
      <w:start w:val="1"/>
      <w:numFmt w:val="decimal"/>
      <w:pStyle w:val="IAToolChapterHeading"/>
      <w:lvlText w:val="Tool #%1."/>
      <w:lvlJc w:val="left"/>
      <w:pPr>
        <w:ind w:left="717" w:hanging="360"/>
      </w:pPr>
      <w:rPr>
        <w:rFonts w:hint="default"/>
        <w:b/>
        <w:i w:val="0"/>
        <w:cap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083460"/>
    <w:multiLevelType w:val="hybridMultilevel"/>
    <w:tmpl w:val="23D043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1F15440"/>
    <w:multiLevelType w:val="hybridMultilevel"/>
    <w:tmpl w:val="B7BE73E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7">
    <w:nsid w:val="68CA48DB"/>
    <w:multiLevelType w:val="hybridMultilevel"/>
    <w:tmpl w:val="99667A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B432AA0"/>
    <w:multiLevelType w:val="hybridMultilevel"/>
    <w:tmpl w:val="0652E4E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C41534E"/>
    <w:multiLevelType w:val="hybridMultilevel"/>
    <w:tmpl w:val="F82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1">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29F09D4"/>
    <w:multiLevelType w:val="hybridMultilevel"/>
    <w:tmpl w:val="41B67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30130B"/>
    <w:multiLevelType w:val="hybridMultilevel"/>
    <w:tmpl w:val="D3CA85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4"/>
  </w:num>
  <w:num w:numId="2">
    <w:abstractNumId w:val="1"/>
  </w:num>
  <w:num w:numId="3">
    <w:abstractNumId w:val="0"/>
  </w:num>
  <w:num w:numId="4">
    <w:abstractNumId w:val="6"/>
  </w:num>
  <w:num w:numId="5">
    <w:abstractNumId w:val="18"/>
  </w:num>
  <w:num w:numId="6">
    <w:abstractNumId w:val="9"/>
  </w:num>
  <w:num w:numId="7">
    <w:abstractNumId w:val="17"/>
  </w:num>
  <w:num w:numId="8">
    <w:abstractNumId w:val="26"/>
  </w:num>
  <w:num w:numId="9">
    <w:abstractNumId w:val="30"/>
  </w:num>
  <w:num w:numId="10">
    <w:abstractNumId w:val="13"/>
  </w:num>
  <w:num w:numId="11">
    <w:abstractNumId w:val="25"/>
  </w:num>
  <w:num w:numId="12">
    <w:abstractNumId w:val="24"/>
  </w:num>
  <w:num w:numId="13">
    <w:abstractNumId w:val="19"/>
  </w:num>
  <w:num w:numId="14">
    <w:abstractNumId w:val="23"/>
  </w:num>
  <w:num w:numId="15">
    <w:abstractNumId w:val="7"/>
  </w:num>
  <w:num w:numId="16">
    <w:abstractNumId w:val="14"/>
  </w:num>
  <w:num w:numId="17">
    <w:abstractNumId w:val="5"/>
  </w:num>
  <w:num w:numId="18">
    <w:abstractNumId w:val="10"/>
  </w:num>
  <w:num w:numId="19">
    <w:abstractNumId w:val="31"/>
  </w:num>
  <w:num w:numId="20">
    <w:abstractNumId w:val="11"/>
  </w:num>
  <w:num w:numId="21">
    <w:abstractNumId w:val="34"/>
  </w:num>
  <w:num w:numId="22">
    <w:abstractNumId w:val="2"/>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20"/>
  </w:num>
  <w:num w:numId="30">
    <w:abstractNumId w:val="6"/>
  </w:num>
  <w:num w:numId="31">
    <w:abstractNumId w:val="16"/>
  </w:num>
  <w:num w:numId="32">
    <w:abstractNumId w:val="12"/>
  </w:num>
  <w:num w:numId="33">
    <w:abstractNumId w:val="3"/>
  </w:num>
  <w:num w:numId="34">
    <w:abstractNumId w:val="33"/>
  </w:num>
  <w:num w:numId="35">
    <w:abstractNumId w:val="12"/>
  </w:num>
  <w:num w:numId="36">
    <w:abstractNumId w:val="8"/>
  </w:num>
  <w:num w:numId="37">
    <w:abstractNumId w:val="29"/>
  </w:num>
  <w:num w:numId="38">
    <w:abstractNumId w:val="27"/>
  </w:num>
  <w:num w:numId="39">
    <w:abstractNumId w:val="28"/>
  </w:num>
  <w:num w:numId="40">
    <w:abstractNumId w:val="22"/>
  </w:num>
  <w:num w:numId="41">
    <w:abstractNumId w:val="32"/>
  </w:num>
  <w:num w:numId="42">
    <w:abstractNumId w:val="2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docVars>
    <w:docVar w:name="LW_DocType" w:val="REP"/>
  </w:docVars>
  <m:mathPr>
    <m:mathFont m:val="Cambria Math"/>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0806"/>
    <w:pPr>
      <w:spacing w:after="240"/>
      <w:jc w:val="both"/>
    </w:pPr>
    <w:rPr>
      <w:sz w:val="24"/>
      <w:lang w:eastAsia="en-US"/>
    </w:rPr>
  </w:style>
  <w:style w:type="paragraph" w:styleId="Heading1">
    <w:name w:val="heading 1"/>
    <w:basedOn w:val="Normal"/>
    <w:next w:val="Text1"/>
    <w:qFormat/>
    <w:rsid w:val="00661B0F"/>
    <w:pPr>
      <w:keepNext/>
      <w:numPr>
        <w:numId w:val="30"/>
      </w:numPr>
      <w:spacing w:before="240"/>
      <w:outlineLvl w:val="0"/>
    </w:pPr>
    <w:rPr>
      <w:b/>
      <w:smallCaps/>
    </w:rPr>
  </w:style>
  <w:style w:type="paragraph" w:styleId="Heading2">
    <w:name w:val="heading 2"/>
    <w:basedOn w:val="Normal"/>
    <w:next w:val="Text2"/>
    <w:qFormat/>
    <w:rsid w:val="00661B0F"/>
    <w:pPr>
      <w:keepNext/>
      <w:numPr>
        <w:ilvl w:val="1"/>
        <w:numId w:val="30"/>
      </w:numPr>
      <w:outlineLvl w:val="1"/>
    </w:pPr>
    <w:rPr>
      <w:b/>
    </w:rPr>
  </w:style>
  <w:style w:type="paragraph" w:styleId="Heading3">
    <w:name w:val="heading 3"/>
    <w:basedOn w:val="Normal"/>
    <w:next w:val="Text3"/>
    <w:qFormat/>
    <w:rsid w:val="00661B0F"/>
    <w:pPr>
      <w:keepNext/>
      <w:numPr>
        <w:ilvl w:val="2"/>
        <w:numId w:val="30"/>
      </w:numPr>
      <w:outlineLvl w:val="2"/>
    </w:pPr>
    <w:rPr>
      <w:i/>
    </w:rPr>
  </w:style>
  <w:style w:type="paragraph" w:styleId="Heading4">
    <w:name w:val="heading 4"/>
    <w:basedOn w:val="Normal"/>
    <w:next w:val="Text4"/>
    <w:qFormat/>
    <w:rsid w:val="00661B0F"/>
    <w:pPr>
      <w:keepNext/>
      <w:numPr>
        <w:ilvl w:val="3"/>
        <w:numId w:val="30"/>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5"/>
      </w:numPr>
    </w:pPr>
  </w:style>
  <w:style w:type="paragraph" w:styleId="ListBullet2">
    <w:name w:val="List Bullet 2"/>
    <w:basedOn w:val="Text2"/>
    <w:pPr>
      <w:numPr>
        <w:numId w:val="7"/>
      </w:numPr>
      <w:tabs>
        <w:tab w:val="clear" w:pos="2302"/>
      </w:tabs>
    </w:pPr>
  </w:style>
  <w:style w:type="paragraph" w:styleId="ListBullet3">
    <w:name w:val="List Bullet 3"/>
    <w:basedOn w:val="Text3"/>
    <w:pPr>
      <w:numPr>
        <w:numId w:val="8"/>
      </w:numPr>
      <w:tabs>
        <w:tab w:val="clear" w:pos="2302"/>
      </w:tabs>
    </w:pPr>
  </w:style>
  <w:style w:type="paragraph" w:styleId="ListBullet4">
    <w:name w:val="List Bullet 4"/>
    <w:basedOn w:val="Text4"/>
    <w:pPr>
      <w:numPr>
        <w:numId w:val="9"/>
      </w:numPr>
      <w:tabs>
        <w:tab w:val="clear" w:pos="2302"/>
      </w:tabs>
    </w:p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5"/>
      </w:numPr>
    </w:pPr>
  </w:style>
  <w:style w:type="paragraph" w:styleId="ListNumber2">
    <w:name w:val="List Number 2"/>
    <w:basedOn w:val="Text2"/>
    <w:pPr>
      <w:numPr>
        <w:numId w:val="17"/>
      </w:numPr>
      <w:tabs>
        <w:tab w:val="clear" w:pos="2302"/>
      </w:tabs>
    </w:pPr>
  </w:style>
  <w:style w:type="paragraph" w:styleId="ListNumber3">
    <w:name w:val="List Number 3"/>
    <w:basedOn w:val="Text3"/>
    <w:pPr>
      <w:numPr>
        <w:numId w:val="18"/>
      </w:numPr>
      <w:tabs>
        <w:tab w:val="clear" w:pos="2302"/>
      </w:tabs>
    </w:pPr>
  </w:style>
  <w:style w:type="paragraph" w:styleId="ListNumber4">
    <w:name w:val="List Number 4"/>
    <w:basedOn w:val="Text4"/>
    <w:pPr>
      <w:numPr>
        <w:numId w:val="19"/>
      </w:numPr>
      <w:tabs>
        <w:tab w:val="clear" w:pos="2302"/>
      </w:tabs>
    </w:pPr>
  </w:style>
  <w:style w:type="paragraph" w:styleId="ListNumber5">
    <w:name w:val="List Number 5"/>
    <w:basedOn w:val="Normal"/>
    <w:pPr>
      <w:numPr>
        <w:numId w:val="3"/>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customStyle="1"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6"/>
      </w:numPr>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pPr>
  </w:style>
  <w:style w:type="paragraph" w:customStyle="1" w:styleId="ListDash2">
    <w:name w:val="List Dash 2"/>
    <w:basedOn w:val="Text2"/>
    <w:pPr>
      <w:numPr>
        <w:numId w:val="12"/>
      </w:numPr>
      <w:tabs>
        <w:tab w:val="clear" w:pos="2302"/>
      </w:tabs>
    </w:pPr>
  </w:style>
  <w:style w:type="paragraph" w:customStyle="1" w:styleId="ListDash3">
    <w:name w:val="List Dash 3"/>
    <w:basedOn w:val="Text3"/>
    <w:pPr>
      <w:numPr>
        <w:numId w:val="13"/>
      </w:numPr>
      <w:tabs>
        <w:tab w:val="clear" w:pos="2302"/>
      </w:tabs>
    </w:pPr>
  </w:style>
  <w:style w:type="paragraph" w:customStyle="1" w:styleId="ListDash4">
    <w:name w:val="List Dash 4"/>
    <w:basedOn w:val="Text4"/>
    <w:pPr>
      <w:numPr>
        <w:numId w:val="14"/>
      </w:numPr>
      <w:tabs>
        <w:tab w:val="clear" w:pos="2302"/>
      </w:tabs>
    </w:pPr>
  </w:style>
  <w:style w:type="paragraph" w:customStyle="1" w:styleId="ListNumberLevel2">
    <w:name w:val="List Number (Level 2)"/>
    <w:basedOn w:val="Normal"/>
    <w:pPr>
      <w:numPr>
        <w:ilvl w:val="1"/>
        <w:numId w:val="15"/>
      </w:numPr>
    </w:pPr>
  </w:style>
  <w:style w:type="paragraph" w:customStyle="1" w:styleId="ListNumberLevel3">
    <w:name w:val="List Number (Level 3)"/>
    <w:basedOn w:val="Normal"/>
    <w:pPr>
      <w:numPr>
        <w:ilvl w:val="2"/>
        <w:numId w:val="15"/>
      </w:numPr>
    </w:pPr>
  </w:style>
  <w:style w:type="paragraph" w:customStyle="1" w:styleId="ListNumberLevel4">
    <w:name w:val="List Number (Level 4)"/>
    <w:basedOn w:val="Normal"/>
    <w:pPr>
      <w:numPr>
        <w:ilvl w:val="3"/>
        <w:numId w:val="15"/>
      </w:numPr>
    </w:pPr>
  </w:style>
  <w:style w:type="paragraph" w:customStyle="1" w:styleId="ListNumber1">
    <w:name w:val="List Number 1"/>
    <w:basedOn w:val="Text1"/>
    <w:pPr>
      <w:numPr>
        <w:numId w:val="16"/>
      </w:numPr>
    </w:pPr>
  </w:style>
  <w:style w:type="paragraph" w:customStyle="1" w:styleId="ListNumber1Level2">
    <w:name w:val="List Number 1 (Level 2)"/>
    <w:basedOn w:val="Text1"/>
    <w:pPr>
      <w:numPr>
        <w:ilvl w:val="1"/>
        <w:numId w:val="16"/>
      </w:numPr>
    </w:pPr>
  </w:style>
  <w:style w:type="paragraph" w:customStyle="1" w:styleId="ListNumber1Level3">
    <w:name w:val="List Number 1 (Level 3)"/>
    <w:basedOn w:val="Text1"/>
    <w:pPr>
      <w:numPr>
        <w:ilvl w:val="2"/>
        <w:numId w:val="16"/>
      </w:numPr>
    </w:pPr>
  </w:style>
  <w:style w:type="paragraph" w:customStyle="1" w:styleId="ListNumber1Level4">
    <w:name w:val="List Number 1 (Level 4)"/>
    <w:basedOn w:val="Text1"/>
    <w:pPr>
      <w:numPr>
        <w:ilvl w:val="3"/>
        <w:numId w:val="16"/>
      </w:numPr>
    </w:pPr>
  </w:style>
  <w:style w:type="paragraph" w:customStyle="1" w:styleId="ListNumber2Level2">
    <w:name w:val="List Number 2 (Level 2)"/>
    <w:basedOn w:val="Text2"/>
    <w:pPr>
      <w:numPr>
        <w:ilvl w:val="1"/>
        <w:numId w:val="17"/>
      </w:numPr>
      <w:tabs>
        <w:tab w:val="clear" w:pos="2302"/>
      </w:tabs>
    </w:pPr>
  </w:style>
  <w:style w:type="paragraph" w:customStyle="1" w:styleId="ListNumber2Level3">
    <w:name w:val="List Number 2 (Level 3)"/>
    <w:basedOn w:val="Text2"/>
    <w:pPr>
      <w:numPr>
        <w:ilvl w:val="2"/>
        <w:numId w:val="17"/>
      </w:numPr>
      <w:tabs>
        <w:tab w:val="clear" w:pos="2302"/>
      </w:tabs>
    </w:pPr>
  </w:style>
  <w:style w:type="paragraph" w:customStyle="1" w:styleId="ListNumber2Level4">
    <w:name w:val="List Number 2 (Level 4)"/>
    <w:basedOn w:val="Text2"/>
    <w:pPr>
      <w:numPr>
        <w:ilvl w:val="3"/>
        <w:numId w:val="17"/>
      </w:numPr>
      <w:tabs>
        <w:tab w:val="clear" w:pos="2302"/>
      </w:tabs>
    </w:pPr>
  </w:style>
  <w:style w:type="paragraph" w:customStyle="1" w:styleId="ListNumber3Level2">
    <w:name w:val="List Number 3 (Level 2)"/>
    <w:basedOn w:val="Text3"/>
    <w:pPr>
      <w:numPr>
        <w:ilvl w:val="1"/>
        <w:numId w:val="18"/>
      </w:numPr>
      <w:tabs>
        <w:tab w:val="clear" w:pos="2302"/>
      </w:tabs>
    </w:pPr>
  </w:style>
  <w:style w:type="paragraph" w:customStyle="1" w:styleId="ListNumber3Level3">
    <w:name w:val="List Number 3 (Level 3)"/>
    <w:basedOn w:val="Text3"/>
    <w:pPr>
      <w:numPr>
        <w:ilvl w:val="2"/>
        <w:numId w:val="18"/>
      </w:numPr>
      <w:tabs>
        <w:tab w:val="clear" w:pos="2302"/>
      </w:tabs>
    </w:pPr>
  </w:style>
  <w:style w:type="paragraph" w:customStyle="1" w:styleId="ListNumber3Level4">
    <w:name w:val="List Number 3 (Level 4)"/>
    <w:basedOn w:val="Text3"/>
    <w:pPr>
      <w:numPr>
        <w:ilvl w:val="3"/>
        <w:numId w:val="18"/>
      </w:numPr>
      <w:tabs>
        <w:tab w:val="clear" w:pos="2302"/>
      </w:tabs>
    </w:pPr>
  </w:style>
  <w:style w:type="paragraph" w:customStyle="1" w:styleId="ListNumber4Level2">
    <w:name w:val="List Number 4 (Level 2)"/>
    <w:basedOn w:val="Text4"/>
    <w:pPr>
      <w:numPr>
        <w:ilvl w:val="1"/>
        <w:numId w:val="19"/>
      </w:numPr>
      <w:tabs>
        <w:tab w:val="clear" w:pos="2302"/>
      </w:tabs>
    </w:pPr>
  </w:style>
  <w:style w:type="paragraph" w:customStyle="1" w:styleId="ListNumber4Level3">
    <w:name w:val="List Number 4 (Level 3)"/>
    <w:basedOn w:val="Text4"/>
    <w:pPr>
      <w:numPr>
        <w:ilvl w:val="2"/>
        <w:numId w:val="19"/>
      </w:numPr>
      <w:tabs>
        <w:tab w:val="clear" w:pos="2302"/>
      </w:tabs>
    </w:pPr>
  </w:style>
  <w:style w:type="paragraph" w:customStyle="1" w:styleId="ListNumber4Level4">
    <w:name w:val="List Number 4 (Level 4)"/>
    <w:basedOn w:val="Text4"/>
    <w:pPr>
      <w:numPr>
        <w:ilvl w:val="3"/>
        <w:numId w:val="19"/>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8"/>
      </w:numPr>
      <w:spacing w:line="360" w:lineRule="auto"/>
      <w:jc w:val="left"/>
    </w:pPr>
    <w:rPr>
      <w:rFonts w:eastAsiaTheme="minorHAnsi"/>
      <w:szCs w:val="22"/>
    </w:rPr>
  </w:style>
  <w:style w:type="paragraph" w:customStyle="1" w:styleId="LegalNumPar2">
    <w:name w:val="LegalNumPar2"/>
    <w:basedOn w:val="Normal"/>
    <w:pPr>
      <w:numPr>
        <w:ilvl w:val="1"/>
        <w:numId w:val="28"/>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8"/>
      </w:numPr>
      <w:spacing w:line="360" w:lineRule="auto"/>
      <w:jc w:val="left"/>
    </w:pPr>
    <w:rPr>
      <w:rFonts w:eastAsiaTheme="minorHAnsi"/>
      <w:szCs w:val="22"/>
    </w:rPr>
  </w:style>
  <w:style w:type="paragraph" w:customStyle="1" w:styleId="IAToolChapterHeading">
    <w:name w:val="IA Tool Chapter Heading"/>
    <w:basedOn w:val="Normal"/>
    <w:next w:val="Normal"/>
    <w:qFormat/>
    <w:rsid w:val="00085CA5"/>
    <w:pPr>
      <w:numPr>
        <w:numId w:val="29"/>
      </w:numPr>
      <w:tabs>
        <w:tab w:val="left" w:pos="391"/>
      </w:tabs>
    </w:pPr>
    <w:rPr>
      <w:rFonts w:ascii="Times New Roman Bold" w:hAnsi="Times New Roman Bold"/>
      <w:b/>
      <w:smallCaps/>
      <w:color w:val="548DD4"/>
      <w:sz w:val="28"/>
      <w:szCs w:val="28"/>
    </w:rPr>
  </w:style>
  <w:style w:type="character" w:customStyle="1" w:styleId="FooterChar">
    <w:name w:val="Footer Char"/>
    <w:basedOn w:val="DefaultParagraphFont"/>
    <w:link w:val="Footer"/>
    <w:rsid w:val="001E0806"/>
    <w:rPr>
      <w:rFonts w:ascii="Arial" w:hAnsi="Arial"/>
      <w:sz w:val="16"/>
      <w:lang w:eastAsia="en-US"/>
    </w:rPr>
  </w:style>
  <w:style w:type="character" w:customStyle="1" w:styleId="HeaderChar">
    <w:name w:val="Header Char"/>
    <w:basedOn w:val="DefaultParagraphFont"/>
    <w:link w:val="Header"/>
    <w:uiPriority w:val="99"/>
    <w:rsid w:val="001E0806"/>
    <w:rPr>
      <w:sz w:val="24"/>
      <w:lang w:eastAsia="en-US"/>
    </w:rPr>
  </w:style>
  <w:style w:type="character" w:styleId="PageNumber">
    <w:name w:val="page number"/>
    <w:rsid w:val="001E0806"/>
  </w:style>
  <w:style w:type="paragraph" w:styleId="BalloonText">
    <w:name w:val="Balloon Text"/>
    <w:basedOn w:val="Normal"/>
    <w:link w:val="BalloonTextChar"/>
    <w:uiPriority w:val="99"/>
    <w:semiHidden/>
    <w:unhideWhenUsed/>
    <w:rsid w:val="001E08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806"/>
    <w:rPr>
      <w:rFonts w:ascii="Tahoma" w:hAnsi="Tahoma" w:cs="Tahoma"/>
      <w:sz w:val="16"/>
      <w:szCs w:val="16"/>
      <w:lang w:eastAsia="en-US"/>
    </w:rPr>
  </w:style>
  <w:style w:type="character" w:styleId="Hyperlink">
    <w:name w:val="Hyperlink"/>
    <w:basedOn w:val="DefaultParagraphFont"/>
    <w:uiPriority w:val="99"/>
    <w:unhideWhenUsed/>
    <w:rsid w:val="00E02927"/>
    <w:rPr>
      <w:color w:val="0000FF" w:themeColor="hyperlink"/>
      <w:u w:val="single"/>
    </w:rPr>
  </w:style>
  <w:style w:type="character" w:styleId="CommentReference">
    <w:name w:val="annotation reference"/>
    <w:basedOn w:val="DefaultParagraphFont"/>
    <w:uiPriority w:val="99"/>
    <w:semiHidden/>
    <w:unhideWhenUsed/>
    <w:rsid w:val="00315ECF"/>
    <w:rPr>
      <w:sz w:val="16"/>
      <w:szCs w:val="16"/>
    </w:rPr>
  </w:style>
  <w:style w:type="paragraph" w:styleId="CommentSubject">
    <w:name w:val="annotation subject"/>
    <w:basedOn w:val="CommentText"/>
    <w:next w:val="CommentText"/>
    <w:link w:val="CommentSubjectChar"/>
    <w:uiPriority w:val="99"/>
    <w:semiHidden/>
    <w:unhideWhenUsed/>
    <w:rsid w:val="00315ECF"/>
    <w:rPr>
      <w:b/>
      <w:bCs/>
    </w:rPr>
  </w:style>
  <w:style w:type="character" w:customStyle="1" w:styleId="CommentTextChar">
    <w:name w:val="Comment Text Char"/>
    <w:basedOn w:val="DefaultParagraphFont"/>
    <w:link w:val="CommentText"/>
    <w:semiHidden/>
    <w:rsid w:val="00315ECF"/>
    <w:rPr>
      <w:lang w:eastAsia="en-US"/>
    </w:rPr>
  </w:style>
  <w:style w:type="character" w:customStyle="1" w:styleId="CommentSubjectChar">
    <w:name w:val="Comment Subject Char"/>
    <w:basedOn w:val="CommentTextChar"/>
    <w:link w:val="CommentSubject"/>
    <w:uiPriority w:val="99"/>
    <w:semiHidden/>
    <w:rsid w:val="00315ECF"/>
    <w:rPr>
      <w:b/>
      <w:bCs/>
      <w:lang w:eastAsia="en-US"/>
    </w:rPr>
  </w:style>
  <w:style w:type="paragraph" w:styleId="ListParagraph">
    <w:name w:val="List Paragraph"/>
    <w:basedOn w:val="Normal"/>
    <w:uiPriority w:val="34"/>
    <w:qFormat/>
    <w:rsid w:val="00453C9C"/>
    <w:pPr>
      <w:spacing w:after="0"/>
      <w:ind w:left="720"/>
      <w:contextualSpacing/>
      <w:jc w:val="left"/>
    </w:pPr>
    <w:rPr>
      <w:szCs w:val="24"/>
      <w:lang w:eastAsia="en-GB"/>
    </w:rPr>
  </w:style>
  <w:style w:type="paragraph" w:styleId="Revision">
    <w:name w:val="Revision"/>
    <w:hidden/>
    <w:uiPriority w:val="99"/>
    <w:semiHidden/>
    <w:rsid w:val="00CD3AB9"/>
    <w:rPr>
      <w:sz w:val="24"/>
      <w:lang w:eastAsia="en-US"/>
    </w:rPr>
  </w:style>
  <w:style w:type="character" w:styleId="FootnoteReference">
    <w:name w:val="footnote reference"/>
    <w:basedOn w:val="DefaultParagraphFont"/>
    <w:uiPriority w:val="99"/>
    <w:semiHidden/>
    <w:unhideWhenUsed/>
    <w:rsid w:val="005306A0"/>
    <w:rPr>
      <w:vertAlign w:val="superscript"/>
    </w:rPr>
  </w:style>
  <w:style w:type="character" w:styleId="FollowedHyperlink">
    <w:name w:val="FollowedHyperlink"/>
    <w:basedOn w:val="DefaultParagraphFont"/>
    <w:uiPriority w:val="99"/>
    <w:semiHidden/>
    <w:unhideWhenUsed/>
    <w:rsid w:val="00CD6FA1"/>
    <w:rPr>
      <w:color w:val="800080" w:themeColor="followedHyperlink"/>
      <w:u w:val="single"/>
    </w:rPr>
  </w:style>
  <w:style w:type="character" w:customStyle="1" w:styleId="normaltextrun">
    <w:name w:val="normaltextrun"/>
    <w:basedOn w:val="DefaultParagraphFont"/>
    <w:rsid w:val="004A0E96"/>
  </w:style>
  <w:style w:type="character" w:customStyle="1" w:styleId="UnresolvedMention">
    <w:name w:val="Unresolved Mention"/>
    <w:basedOn w:val="DefaultParagraphFont"/>
    <w:uiPriority w:val="99"/>
    <w:semiHidden/>
    <w:unhideWhenUsed/>
    <w:rsid w:val="004A0E96"/>
    <w:rPr>
      <w:color w:val="605E5C"/>
      <w:shd w:val="clear" w:color="auto" w:fill="E1DFDD"/>
    </w:rPr>
  </w:style>
  <w:style w:type="character" w:styleId="Emphasis">
    <w:name w:val="Emphasis"/>
    <w:basedOn w:val="DefaultParagraphFont"/>
    <w:uiPriority w:val="20"/>
    <w:qFormat/>
    <w:rsid w:val="008360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20(x86)\DIaLOGIKa\Eurolook\Templates\Eurolook.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48F1434A9434C98DA00CC7DA69B89" ma:contentTypeVersion="16" ma:contentTypeDescription="Create a new document." ma:contentTypeScope="" ma:versionID="544a6451b61b47519a7c4dd3194982f6">
  <xsd:schema xmlns:xsd="http://www.w3.org/2001/XMLSchema" xmlns:xs="http://www.w3.org/2001/XMLSchema" xmlns:p="http://schemas.microsoft.com/office/2006/metadata/properties" xmlns:ns2="590d3f1b-a5be-4600-95ba-480499bda195" xmlns:ns3="f2983581-87cd-4b3a-a77a-777bbb751c49" targetNamespace="http://schemas.microsoft.com/office/2006/metadata/properties" ma:root="true" ma:fieldsID="ab0c97f1ad15360793915f5b6a33503d" ns2:_="" ns3:_="">
    <xsd:import namespace="590d3f1b-a5be-4600-95ba-480499bda195"/>
    <xsd:import namespace="f2983581-87cd-4b3a-a77a-777bbb751c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d3f1b-a5be-4600-95ba-480499bd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983581-87cd-4b3a-a77a-777bbb751c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ff1328-5042-4c31-be15-d384fc3a69f0}" ma:internalName="TaxCatchAll" ma:showField="CatchAllData" ma:web="f2983581-87cd-4b3a-a77a-777bbb751c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d3f1b-a5be-4600-95ba-480499bda19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f2983581-87cd-4b3a-a77a-777bbb751c49" xsi:nil="true"/>
  </documentManagement>
</p:properties>
</file>

<file path=customXml/item4.xml><?xml version="1.0" encoding="utf-8"?>
<EurolookProperties>
  <ProductCustomizationId/>
  <Created>
    <Version>4.6</Version>
    <Date>2019-02-18T10:10:12</Date>
    <Language>EN</Language>
    <Note/>
  </Created>
  <Edited>
    <Version>10.0.42447.0</Version>
    <Date>2021-10-05T12:55:22</Date>
  </Edited>
  <DocumentModel>
    <Id>6cbda13a-4db2-46c6-876a-ef72275827ef</Id>
    <Name>Report</Name>
  </DocumentModel>
  <DocumentDate/>
  <DocumentVersion/>
  <CompatibilityMode>Eurolook4X</CompatibilityMode>
</EurolookProperties>
</file>

<file path=customXml/item5.xml><?xml version="1.0" encoding="utf-8"?>
<Texts>
  <SecurityPersonalData>Personal data</SecurityPersonalData>
  <SecurityLimitedDG>Limited</SecurityLimitedDG>
  <SecurityPharma>Pharma investigations</SecurityPharma>
  <LabelPictureSeq>Picture {SEQ Picture \* ARABIC } – </LabelPictureSeq>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LabelSource>Source</LabelSource>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Author Role="Creator">
  <Id>446c8849-f8d6-46e8-b930-aa675ea7fff3</Id>
  <Names>
    <Latin>
      <FirstName>Jesus</FirstName>
      <LastName>SANCHEZ MERINO</LastName>
    </Latin>
    <Greek>
      <FirstName/>
      <LastName/>
    </Greek>
    <Cyrillic>
      <FirstName/>
      <LastName/>
    </Cyrillic>
    <DocumentScript>
      <FirstName>Jesus</FirstName>
      <LastName>SANCHEZ MERINO</LastName>
      <FullName>Jesus SANCHEZ MERINO</FullName>
    </DocumentScript>
  </Names>
  <Initials>JSM</Initials>
  <Gender>m</Gender>
  <Email>Jesus.Sanchez-Merino@ec.europa.eu</Email>
  <Service>SG.B.4</Service>
  <Function ShowInSignature="true"/>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SG.B.4-Working methods &amp; Decision-making Process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+32 229 94189</Phone>
    <Office>BERL 05/096</Office>
  </MainWorkplace>
  <Workplaces>
    <Workplace IsMain="false">
      <AddressId>1264fb81-f6bb-475e-9f9d-a937d3be6ee2</AddressId>
      <Fax/>
      <Phone/>
      <Office/>
    </Workplace>
    <Workplace IsMain="true">
      <AddressId>f03b5801-04c9-4931-aa17-c6d6c70bc579</AddressId>
      <Fax/>
      <Phone>+32 229 94189</Phone>
      <Office>BERL 05/096</Office>
    </Workplace>
  </Workplaces>
</Author>
</file>

<file path=customXml/itemProps1.xml><?xml version="1.0" encoding="utf-8"?>
<ds:datastoreItem xmlns:ds="http://schemas.openxmlformats.org/officeDocument/2006/customXml" ds:itemID="{C0B1C4DD-24CA-40E9-B38A-0AD8D6E5D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d3f1b-a5be-4600-95ba-480499bda195"/>
    <ds:schemaRef ds:uri="f2983581-87cd-4b3a-a77a-777bbb75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21468-E66C-4B63-875E-A1B0EDDF3CFC}">
  <ds:schemaRefs>
    <ds:schemaRef ds:uri="http://schemas.openxmlformats.org/officeDocument/2006/bibliography"/>
  </ds:schemaRefs>
</ds:datastoreItem>
</file>

<file path=customXml/itemProps3.xml><?xml version="1.0" encoding="utf-8"?>
<ds:datastoreItem xmlns:ds="http://schemas.openxmlformats.org/officeDocument/2006/customXml" ds:itemID="{92152C55-C3B5-4FC1-B037-33CCB35DA02F}">
  <ds:schemaRefs>
    <ds:schemaRef ds:uri="http://schemas.microsoft.com/office/2006/metadata/properties"/>
    <ds:schemaRef ds:uri="http://schemas.microsoft.com/office/infopath/2007/PartnerControls"/>
    <ds:schemaRef ds:uri="590d3f1b-a5be-4600-95ba-480499bda195"/>
    <ds:schemaRef ds:uri="f2983581-87cd-4b3a-a77a-777bbb751c49"/>
  </ds:schemaRefs>
</ds:datastoreItem>
</file>

<file path=customXml/itemProps4.xml><?xml version="1.0" encoding="utf-8"?>
<ds:datastoreItem xmlns:ds="http://schemas.openxmlformats.org/officeDocument/2006/customXml" ds:itemID="{69ED0C79-D88A-4206-B956-F350406CB40A}">
  <ds:schemaRefs/>
</ds:datastoreItem>
</file>

<file path=customXml/itemProps5.xml><?xml version="1.0" encoding="utf-8"?>
<ds:datastoreItem xmlns:ds="http://schemas.openxmlformats.org/officeDocument/2006/customXml" ds:itemID="{92931C26-4BB6-4C23-AC93-3863D42726BD}">
  <ds:schemaRefs/>
</ds:datastoreItem>
</file>

<file path=customXml/itemProps6.xml><?xml version="1.0" encoding="utf-8"?>
<ds:datastoreItem xmlns:ds="http://schemas.openxmlformats.org/officeDocument/2006/customXml" ds:itemID="{E65A2BA7-2CAB-4C91-B3A5-D8764D4A1DA4}">
  <ds:schemaRefs>
    <ds:schemaRef ds:uri="http://schemas.microsoft.com/sharepoint/v3/contenttype/forms"/>
  </ds:schemaRefs>
</ds:datastoreItem>
</file>

<file path=customXml/itemProps7.xml><?xml version="1.0" encoding="utf-8"?>
<ds:datastoreItem xmlns:ds="http://schemas.openxmlformats.org/officeDocument/2006/customXml" ds:itemID="{93236D38-6E39-4620-8982-A44FCB0D78BC}">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