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476"/>
      </w:tblGrid>
      <w:tr w:rsidTr="6B9D1276">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315ECF" w:rsidRPr="00FC64C9" w:rsidP="00315ECF">
            <w:pPr>
              <w:spacing w:before="60" w:after="60"/>
              <w:jc w:val="center"/>
              <w:rPr>
                <w:rFonts w:ascii="Arial" w:hAnsi="Arial"/>
                <w:b/>
                <w:sz w:val="20"/>
              </w:rPr>
            </w:pPr>
            <w:r>
              <w:rPr>
                <w:rFonts w:ascii="Arial" w:hAnsi="Arial"/>
                <w:b/>
                <w:sz w:val="20"/>
              </w:rPr>
              <w:t>CONVOCATORIA DE DATOS</w:t>
            </w:r>
            <w:r>
              <w:rPr>
                <w:rFonts w:ascii="Arial" w:hAnsi="Arial"/>
                <w:b/>
                <w:sz w:val="20"/>
              </w:rPr>
              <w:t xml:space="preserve"> </w:t>
            </w:r>
          </w:p>
          <w:p w:rsidR="001E0806" w:rsidRPr="00FC64C9" w:rsidP="00315ECF">
            <w:pPr>
              <w:spacing w:before="60" w:after="60"/>
              <w:jc w:val="center"/>
              <w:rPr>
                <w:rFonts w:ascii="Arial" w:hAnsi="Arial"/>
                <w:b/>
                <w:i/>
                <w:sz w:val="20"/>
              </w:rPr>
            </w:pPr>
            <w:r>
              <w:rPr>
                <w:rFonts w:ascii="Arial" w:hAnsi="Arial"/>
                <w:b/>
                <w:sz w:val="20"/>
              </w:rPr>
              <w:t>PARA UNA EVALUACIÓN</w:t>
            </w:r>
            <w:r>
              <w:rPr>
                <w:rFonts w:ascii="Arial" w:hAnsi="Arial"/>
                <w:b/>
                <w:sz w:val="20"/>
              </w:rPr>
              <w:t xml:space="preserve"> </w:t>
            </w:r>
          </w:p>
        </w:tc>
      </w:tr>
      <w:tr w:rsidTr="6B9D1276">
        <w:tblPrEx>
          <w:tblW w:w="10283" w:type="dxa"/>
          <w:jc w:val="center"/>
          <w:tblLayout w:type="fixed"/>
          <w:tblLook w:val="01E0"/>
        </w:tblPrEx>
        <w:trPr>
          <w:jc w:val="center"/>
        </w:trPr>
        <w:tc>
          <w:tcPr>
            <w:tcW w:w="10283" w:type="dxa"/>
            <w:gridSpan w:val="2"/>
            <w:tcBorders>
              <w:bottom w:val="single" w:sz="4" w:space="0" w:color="auto"/>
            </w:tcBorders>
            <w:shd w:val="clear" w:color="auto" w:fill="D9D9D9" w:themeFill="background1" w:themeFillShade="D9"/>
          </w:tcPr>
          <w:p w:rsidR="00CD583D" w:rsidRPr="00FC64C9" w:rsidP="00A97435">
            <w:pPr>
              <w:spacing w:before="60" w:after="60"/>
              <w:rPr>
                <w:rFonts w:ascii="Arial" w:hAnsi="Arial"/>
                <w:sz w:val="20"/>
              </w:rPr>
            </w:pPr>
            <w:r>
              <w:rPr>
                <w:rFonts w:ascii="Arial" w:hAnsi="Arial"/>
                <w:color w:val="000080"/>
                <w:sz w:val="20"/>
              </w:rPr>
              <w:t>El presente documento tiene por objeto informar al público y las partes interesadas acerca de la labor de la Comisión, de modo que puedan formular observaciones y participar de manera efectiva en las actividades de consulta.</w:t>
            </w:r>
            <w:r>
              <w:rPr>
                <w:rFonts w:ascii="Arial" w:hAnsi="Arial"/>
                <w:color w:val="000080"/>
                <w:sz w:val="20"/>
              </w:rPr>
              <w:t xml:space="preserve"> </w:t>
            </w:r>
          </w:p>
        </w:tc>
      </w:tr>
      <w:tr w:rsidTr="6B9D1276">
        <w:tblPrEx>
          <w:tblW w:w="10283" w:type="dxa"/>
          <w:jc w:val="center"/>
          <w:tblLayout w:type="fixed"/>
          <w:tblLook w:val="01E0"/>
        </w:tblPrEx>
        <w:trPr>
          <w:trHeight w:val="615"/>
          <w:jc w:val="center"/>
        </w:trPr>
        <w:tc>
          <w:tcPr>
            <w:tcW w:w="2807" w:type="dxa"/>
            <w:tcBorders>
              <w:bottom w:val="single" w:sz="4" w:space="0" w:color="auto"/>
            </w:tcBorders>
            <w:shd w:val="clear" w:color="auto" w:fill="E6E6E6"/>
            <w:vAlign w:val="center"/>
          </w:tcPr>
          <w:p w:rsidR="001E0806" w:rsidRPr="00D0313C" w:rsidP="00B7441B">
            <w:pPr>
              <w:spacing w:before="60" w:after="60"/>
              <w:jc w:val="left"/>
              <w:rPr>
                <w:rFonts w:ascii="Arial" w:hAnsi="Arial" w:cs="Arial"/>
                <w:b/>
                <w:bCs/>
                <w:smallCaps/>
                <w:sz w:val="20"/>
              </w:rPr>
            </w:pPr>
            <w:r>
              <w:rPr>
                <w:rFonts w:ascii="Arial" w:hAnsi="Arial"/>
                <w:b/>
                <w:smallCaps/>
                <w:sz w:val="20"/>
              </w:rPr>
              <w:t>Título de la evaluación</w:t>
            </w:r>
          </w:p>
        </w:tc>
        <w:tc>
          <w:tcPr>
            <w:tcW w:w="7476" w:type="dxa"/>
            <w:shd w:val="clear" w:color="auto" w:fill="auto"/>
            <w:vAlign w:val="center"/>
          </w:tcPr>
          <w:p w:rsidR="001E0806" w:rsidRPr="00D0313C" w:rsidP="00EE614B">
            <w:pPr>
              <w:spacing w:before="60" w:after="60"/>
              <w:jc w:val="left"/>
              <w:rPr>
                <w:rFonts w:ascii="Arial" w:hAnsi="Arial" w:cs="Arial"/>
                <w:color w:val="000080"/>
                <w:sz w:val="20"/>
              </w:rPr>
            </w:pPr>
            <w:r>
              <w:rPr>
                <w:rFonts w:ascii="Arial" w:hAnsi="Arial"/>
                <w:color w:val="000080"/>
                <w:sz w:val="20"/>
              </w:rPr>
              <w:t>Legislación sobre sanidad animal (evaluación)</w:t>
            </w:r>
          </w:p>
        </w:tc>
      </w:tr>
      <w:tr w:rsidTr="6B9D1276">
        <w:tblPrEx>
          <w:tblW w:w="10283" w:type="dxa"/>
          <w:jc w:val="center"/>
          <w:tblLayout w:type="fixed"/>
          <w:tblLook w:val="01E0"/>
        </w:tblPrEx>
        <w:trPr>
          <w:trHeight w:val="709"/>
          <w:jc w:val="center"/>
        </w:trPr>
        <w:tc>
          <w:tcPr>
            <w:tcW w:w="2807" w:type="dxa"/>
            <w:tcBorders>
              <w:bottom w:val="single" w:sz="4" w:space="0" w:color="auto"/>
              <w:right w:val="single" w:sz="4" w:space="0" w:color="auto"/>
            </w:tcBorders>
            <w:shd w:val="clear" w:color="auto" w:fill="E6E6E6"/>
            <w:vAlign w:val="center"/>
          </w:tcPr>
          <w:p w:rsidR="00244EDC" w:rsidRPr="00D0313C" w:rsidP="00B7441B">
            <w:pPr>
              <w:spacing w:before="60" w:after="60"/>
              <w:jc w:val="left"/>
              <w:rPr>
                <w:rFonts w:ascii="Arial" w:hAnsi="Arial" w:cs="Arial"/>
                <w:b/>
                <w:bCs/>
                <w:smallCaps/>
                <w:sz w:val="20"/>
              </w:rPr>
            </w:pPr>
            <w:r>
              <w:rPr>
                <w:rFonts w:ascii="Arial" w:hAnsi="Arial"/>
                <w:b/>
                <w:smallCaps/>
                <w:sz w:val="20"/>
              </w:rPr>
              <w:t>DG principal. Unidad responsable</w:t>
            </w:r>
            <w:r>
              <w:rPr>
                <w:rFonts w:ascii="Arial" w:hAnsi="Arial"/>
                <w:b/>
                <w:smallCaps/>
                <w:sz w:val="20"/>
              </w:rPr>
              <w:t xml:space="preserve"> </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244EDC" w:rsidRPr="00D0313C" w:rsidP="00B7441B">
            <w:pPr>
              <w:spacing w:before="60" w:after="60"/>
              <w:jc w:val="left"/>
              <w:rPr>
                <w:rFonts w:ascii="Arial" w:hAnsi="Arial" w:cs="Arial"/>
                <w:color w:val="000080"/>
                <w:sz w:val="20"/>
              </w:rPr>
            </w:pPr>
            <w:r>
              <w:rPr>
                <w:rFonts w:ascii="Arial" w:hAnsi="Arial"/>
                <w:color w:val="000080"/>
                <w:sz w:val="20"/>
              </w:rPr>
              <w:t>DG SANTE, Unidad G2 — Sanidad Animal</w:t>
            </w:r>
          </w:p>
        </w:tc>
      </w:tr>
      <w:tr w:rsidTr="6B9D1276">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D0313C" w:rsidP="00B7441B">
            <w:pPr>
              <w:spacing w:before="60" w:after="60"/>
              <w:jc w:val="left"/>
              <w:rPr>
                <w:rFonts w:ascii="Arial" w:hAnsi="Arial" w:cs="Arial"/>
                <w:b/>
                <w:bCs/>
                <w:smallCaps/>
                <w:sz w:val="20"/>
              </w:rPr>
            </w:pPr>
            <w:r>
              <w:rPr>
                <w:rFonts w:ascii="Arial" w:hAnsi="Arial"/>
                <w:b/>
                <w:smallCaps/>
                <w:sz w:val="20"/>
              </w:rPr>
              <w:t>Calendario orientativo</w:t>
            </w:r>
            <w:r>
              <w:rPr>
                <w:rFonts w:ascii="Arial" w:hAnsi="Arial"/>
                <w:b/>
                <w:smallCaps/>
                <w:sz w:val="20"/>
              </w:rPr>
              <w:t xml:space="preserve"> </w:t>
            </w:r>
          </w:p>
          <w:p w:rsidR="001E0806" w:rsidRPr="00D0313C" w:rsidP="00B7441B">
            <w:pPr>
              <w:spacing w:before="60" w:after="60"/>
              <w:jc w:val="left"/>
              <w:rPr>
                <w:rFonts w:ascii="Arial" w:hAnsi="Arial" w:cs="Arial"/>
                <w:b/>
                <w:bCs/>
                <w:smallCaps/>
                <w:sz w:val="20"/>
              </w:rPr>
            </w:pPr>
            <w:r>
              <w:rPr>
                <w:rFonts w:ascii="Arial" w:hAnsi="Arial"/>
                <w:b/>
                <w:smallCaps/>
                <w:sz w:val="20"/>
              </w:rPr>
              <w:t>(fecha de comienzo y fecha de finalización previstas)</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D0313C" w:rsidP="00D71BFF">
            <w:pPr>
              <w:spacing w:before="60" w:after="60"/>
              <w:jc w:val="left"/>
              <w:rPr>
                <w:rFonts w:ascii="Arial" w:hAnsi="Arial" w:cs="Arial"/>
                <w:color w:val="000080"/>
                <w:sz w:val="20"/>
                <w:highlight w:val="green"/>
              </w:rPr>
            </w:pPr>
            <w:r>
              <w:rPr>
                <w:rFonts w:ascii="Arial" w:hAnsi="Arial"/>
                <w:b/>
                <w:color w:val="000080"/>
                <w:sz w:val="20"/>
              </w:rPr>
              <w:t>Cuarto trimestre de 2023 – primer trimestre de 2026</w:t>
            </w:r>
            <w:r>
              <w:rPr>
                <w:rFonts w:ascii="Arial" w:hAnsi="Arial"/>
                <w:b/>
                <w:color w:val="000080"/>
                <w:sz w:val="20"/>
              </w:rPr>
              <w:t xml:space="preserve"> </w:t>
            </w:r>
          </w:p>
        </w:tc>
      </w:tr>
      <w:tr w:rsidTr="6B9D1276">
        <w:tblPrEx>
          <w:tblW w:w="10283" w:type="dxa"/>
          <w:jc w:val="center"/>
          <w:tblLayout w:type="fixed"/>
          <w:tblLook w:val="01E0"/>
        </w:tblPrEx>
        <w:trPr>
          <w:trHeight w:val="950"/>
          <w:jc w:val="center"/>
        </w:trPr>
        <w:tc>
          <w:tcPr>
            <w:tcW w:w="2807" w:type="dxa"/>
            <w:tcBorders>
              <w:bottom w:val="single" w:sz="4" w:space="0" w:color="auto"/>
              <w:right w:val="single" w:sz="4" w:space="0" w:color="auto"/>
            </w:tcBorders>
            <w:shd w:val="clear" w:color="auto" w:fill="E6E6E6"/>
            <w:vAlign w:val="center"/>
          </w:tcPr>
          <w:p w:rsidR="001E0806" w:rsidRPr="00D0313C">
            <w:pPr>
              <w:spacing w:before="60" w:after="60"/>
              <w:jc w:val="left"/>
              <w:rPr>
                <w:rFonts w:ascii="Arial" w:hAnsi="Arial" w:cs="Arial"/>
                <w:b/>
                <w:bCs/>
                <w:smallCaps/>
                <w:sz w:val="20"/>
              </w:rPr>
            </w:pPr>
            <w:r>
              <w:rPr>
                <w:rFonts w:ascii="Arial" w:hAnsi="Arial"/>
                <w:b/>
                <w:smallCaps/>
                <w:sz w:val="20"/>
              </w:rPr>
              <w:t>Información complementaria</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C86333" w:rsidRPr="00D0313C" w:rsidP="00C86333">
            <w:pPr>
              <w:spacing w:before="60" w:after="60"/>
              <w:jc w:val="left"/>
              <w:rPr>
                <w:rFonts w:ascii="Arial" w:hAnsi="Arial" w:cs="Arial"/>
                <w:color w:val="000080"/>
                <w:sz w:val="20"/>
              </w:rPr>
            </w:pPr>
            <w:r>
              <w:fldChar w:fldCharType="begin"/>
            </w:r>
            <w:r>
              <w:instrText xml:space="preserve"> HYPERLINK "https://food.ec.europa.eu/animals/animal-health/animal-health-law_en" </w:instrText>
            </w:r>
            <w:r>
              <w:fldChar w:fldCharType="separate"/>
            </w:r>
            <w:r>
              <w:rPr>
                <w:rFonts w:ascii="Arial" w:hAnsi="Arial"/>
                <w:color w:val="0000FF"/>
                <w:sz w:val="20"/>
                <w:u w:val="single"/>
              </w:rPr>
              <w:t>Legislación sobre sanidad animal (europa.eu)</w:t>
            </w:r>
            <w:r>
              <w:fldChar w:fldCharType="end"/>
            </w:r>
          </w:p>
        </w:tc>
      </w:tr>
      <w:tr w:rsidTr="6B9D1276">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FC64C9" w:rsidP="00451053">
            <w:pPr>
              <w:keepNext/>
              <w:keepLines/>
              <w:widowControl w:val="0"/>
              <w:spacing w:before="60" w:after="60"/>
              <w:jc w:val="center"/>
              <w:rPr>
                <w:rFonts w:ascii="Arial" w:hAnsi="Arial"/>
                <w:b/>
                <w:sz w:val="20"/>
              </w:rPr>
            </w:pPr>
            <w:r>
              <w:rPr>
                <w:rFonts w:ascii="Arial" w:hAnsi="Arial"/>
                <w:b/>
                <w:sz w:val="20"/>
              </w:rPr>
              <w:t>A. Contexto político, finalidad y ámbito de aplicación de la evaluación</w:t>
            </w:r>
          </w:p>
        </w:tc>
      </w:tr>
      <w:tr w:rsidTr="6B9D1276">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D0313C" w:rsidP="00451053">
            <w:pPr>
              <w:keepNext/>
              <w:keepLines/>
              <w:widowControl w:val="0"/>
              <w:spacing w:before="60" w:after="60"/>
              <w:rPr>
                <w:rFonts w:ascii="Arial" w:hAnsi="Arial" w:cs="Arial"/>
                <w:sz w:val="20"/>
              </w:rPr>
            </w:pPr>
            <w:r>
              <w:rPr>
                <w:rFonts w:ascii="Arial" w:hAnsi="Arial"/>
                <w:b/>
                <w:sz w:val="20"/>
              </w:rPr>
              <w:t>Contexto político</w:t>
            </w:r>
            <w:r>
              <w:rPr>
                <w:rFonts w:ascii="Arial" w:hAnsi="Arial"/>
                <w:b/>
                <w:sz w:val="20"/>
              </w:rPr>
              <w:t xml:space="preserve"> </w:t>
            </w:r>
          </w:p>
        </w:tc>
      </w:tr>
      <w:tr w:rsidTr="6B9D1276">
        <w:tblPrEx>
          <w:tblW w:w="10283" w:type="dxa"/>
          <w:jc w:val="center"/>
          <w:tblLayout w:type="fixed"/>
          <w:tblLook w:val="01E0"/>
        </w:tblPrEx>
        <w:trPr>
          <w:trHeight w:val="4754"/>
          <w:jc w:val="center"/>
        </w:trPr>
        <w:tc>
          <w:tcPr>
            <w:tcW w:w="10283" w:type="dxa"/>
            <w:gridSpan w:val="2"/>
            <w:tcBorders>
              <w:bottom w:val="single" w:sz="4" w:space="0" w:color="auto"/>
            </w:tcBorders>
            <w:shd w:val="clear" w:color="auto" w:fill="auto"/>
          </w:tcPr>
          <w:p w:rsidR="003242B6" w:rsidRPr="00D0313C" w:rsidP="6B9D1276">
            <w:pPr>
              <w:keepNext/>
              <w:keepLines/>
              <w:widowControl w:val="0"/>
              <w:spacing w:before="60" w:after="60" w:line="360" w:lineRule="auto"/>
              <w:rPr>
                <w:rFonts w:ascii="Arial" w:hAnsi="Arial" w:cs="Arial"/>
                <w:color w:val="1036A0"/>
                <w:sz w:val="20"/>
              </w:rPr>
            </w:pPr>
            <w:r>
              <w:fldChar w:fldCharType="begin"/>
            </w:r>
            <w:r>
              <w:instrText xml:space="preserve"> HYPERLINK "https://eur-lex.europa.eu/legal-content/ES/TXT/?uri=CELEX:02016R0429-20191214 " </w:instrText>
            </w:r>
            <w:r>
              <w:fldChar w:fldCharType="separate"/>
            </w:r>
            <w:r>
              <w:rPr>
                <w:rStyle w:val="Hyperlink"/>
                <w:rFonts w:ascii="Arial" w:hAnsi="Arial"/>
                <w:sz w:val="20"/>
              </w:rPr>
              <w:t>El Reglamento (UE) 2016/429 del Parlamento Europeo y del Consejo, relativo a las enfermedades transmisibles de los animales (la «Legislación sobre sanidad animal»)</w:t>
            </w:r>
            <w:r>
              <w:fldChar w:fldCharType="end"/>
            </w:r>
            <w:r>
              <w:rPr>
                <w:rFonts w:ascii="Arial" w:hAnsi="Arial"/>
                <w:sz w:val="20"/>
              </w:rPr>
              <w:t>, es aplicable desde abril de 2021.</w:t>
            </w:r>
            <w:r>
              <w:rPr>
                <w:rFonts w:ascii="Arial" w:hAnsi="Arial"/>
                <w:sz w:val="20"/>
              </w:rPr>
              <w:t xml:space="preserve"> </w:t>
            </w:r>
            <w:r>
              <w:rPr>
                <w:rFonts w:ascii="Arial" w:hAnsi="Arial"/>
                <w:sz w:val="20"/>
              </w:rPr>
              <w:t>Su principal objetivo es prevenir y controlar las enfermedades de los animales que son transmisibles a los animales o a los seres humanos.</w:t>
            </w:r>
            <w:r>
              <w:rPr>
                <w:rFonts w:ascii="Arial" w:hAnsi="Arial"/>
                <w:sz w:val="20"/>
              </w:rPr>
              <w:t xml:space="preserve"> </w:t>
            </w:r>
            <w:r>
              <w:rPr>
                <w:rFonts w:ascii="Arial" w:hAnsi="Arial"/>
                <w:sz w:val="20"/>
              </w:rPr>
              <w:t>La Legislación sobre sanidad animal pone en práctica los principios establecidos en la Estrategia de Salud Animal 2007-2013, como «más vale prevenir que curar» y «Una sola salud».</w:t>
            </w:r>
            <w:r>
              <w:rPr>
                <w:rFonts w:ascii="Arial" w:hAnsi="Arial"/>
                <w:sz w:val="20"/>
              </w:rPr>
              <w:t xml:space="preserve"> </w:t>
            </w:r>
            <w:r>
              <w:rPr>
                <w:rFonts w:ascii="Arial" w:hAnsi="Arial"/>
                <w:sz w:val="20"/>
              </w:rPr>
              <w:t>Garantiza una mejor preparación frente a las enfermedades, la prevención y el control de una serie de enfermedades de los animales, así como un enfoque basado en el riesgo para decidir los requisitos zoosanitarios para los desplazamientos de animales y productos de origen animal en la UE y la entrada de animales y productos de origen animal en la UE.</w:t>
            </w:r>
          </w:p>
          <w:p w:rsidR="00A1720E" w:rsidRPr="00D0313C" w:rsidP="6B9D1276">
            <w:pPr>
              <w:keepNext/>
              <w:keepLines/>
              <w:widowControl w:val="0"/>
              <w:spacing w:before="60" w:after="60" w:line="360" w:lineRule="auto"/>
              <w:rPr>
                <w:rFonts w:ascii="Arial" w:hAnsi="Arial" w:cs="Arial"/>
                <w:sz w:val="20"/>
              </w:rPr>
            </w:pPr>
            <w:r>
              <w:rPr>
                <w:rFonts w:ascii="Arial" w:hAnsi="Arial"/>
                <w:sz w:val="20"/>
              </w:rPr>
              <w:t>La Legislación sobre sanidad animal establece prioridades claras para la salud animal y establece qué responsabilidades tienen los operadores y las autoridades competentes para garantizar el funcionamiento seguro y fluido del mercado único de animales y productos de origen animal.</w:t>
            </w:r>
            <w:r>
              <w:rPr>
                <w:rFonts w:ascii="Arial" w:hAnsi="Arial"/>
                <w:sz w:val="20"/>
              </w:rPr>
              <w:t xml:space="preserve"> </w:t>
            </w:r>
            <w:r>
              <w:rPr>
                <w:rFonts w:ascii="Arial" w:hAnsi="Arial"/>
                <w:sz w:val="20"/>
              </w:rPr>
              <w:t>Abre la posibilidad de reducir la carga administrativa para los agricultores, otros operadores y las autoridades competentes sin comprometer la situación zoosanitaria en la UE.</w:t>
            </w:r>
            <w:r>
              <w:rPr>
                <w:rFonts w:ascii="Arial" w:hAnsi="Arial"/>
                <w:sz w:val="20"/>
              </w:rPr>
              <w:t xml:space="preserve"> </w:t>
            </w:r>
          </w:p>
          <w:p w:rsidR="00C86333" w:rsidRPr="00D0313C" w:rsidP="001E07E5">
            <w:pPr>
              <w:keepNext/>
              <w:keepLines/>
              <w:widowControl w:val="0"/>
              <w:spacing w:before="60" w:after="60" w:line="360" w:lineRule="auto"/>
              <w:rPr>
                <w:rFonts w:ascii="Arial" w:hAnsi="Arial" w:cs="Arial"/>
                <w:sz w:val="20"/>
              </w:rPr>
            </w:pPr>
            <w:r>
              <w:rPr>
                <w:rFonts w:ascii="Arial" w:hAnsi="Arial"/>
                <w:sz w:val="20"/>
              </w:rPr>
              <w:t>De conformidad con el artículo 282 de la Legislación sobre sanidad animal, la Comisión debe evaluar la legislación y los actos delegados a que se refiere el artículo 264 de la misma y presentar los resultados de la evaluación en un informe al Parlamento Europeo y al Consejo a más tardar el 22 de abril de 2026.</w:t>
            </w:r>
          </w:p>
        </w:tc>
      </w:tr>
    </w:tbl>
    <w:p w:rsidR="00C86333" w:rsidRPr="00FC64C9">
      <w:pPr>
        <w:rPr>
          <w:rFonts w:ascii="Arial" w:hAnsi="Arial"/>
          <w:sz w:val="20"/>
        </w:rPr>
      </w:pPr>
      <w:r>
        <w:br w:type="page"/>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3"/>
      </w:tblGrid>
      <w:tr w:rsidTr="6B9D1276">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tcBorders>
              <w:bottom w:val="single" w:sz="4" w:space="0" w:color="auto"/>
            </w:tcBorders>
            <w:shd w:val="clear" w:color="auto" w:fill="E6E6E6"/>
          </w:tcPr>
          <w:p w:rsidR="001E0806" w:rsidRPr="00D0313C" w:rsidP="00451053">
            <w:pPr>
              <w:keepNext/>
              <w:keepLines/>
              <w:widowControl w:val="0"/>
              <w:spacing w:before="60" w:after="60"/>
              <w:rPr>
                <w:rFonts w:ascii="Arial" w:hAnsi="Arial" w:cs="Arial"/>
                <w:sz w:val="20"/>
              </w:rPr>
            </w:pPr>
            <w:r>
              <w:rPr>
                <w:rFonts w:ascii="Arial" w:hAnsi="Arial"/>
                <w:b/>
                <w:sz w:val="20"/>
              </w:rPr>
              <w:t>Finalidad y ámbito de aplicación</w:t>
            </w:r>
            <w:r>
              <w:rPr>
                <w:rFonts w:ascii="Arial" w:hAnsi="Arial"/>
                <w:b/>
                <w:sz w:val="20"/>
              </w:rPr>
              <w:t xml:space="preserve"> </w:t>
            </w:r>
          </w:p>
        </w:tc>
      </w:tr>
      <w:tr w:rsidTr="6B9D1276">
        <w:tblPrEx>
          <w:tblW w:w="10283" w:type="dxa"/>
          <w:jc w:val="center"/>
          <w:tblLayout w:type="fixed"/>
          <w:tblLook w:val="01E0"/>
        </w:tblPrEx>
        <w:trPr>
          <w:jc w:val="center"/>
        </w:trPr>
        <w:tc>
          <w:tcPr>
            <w:tcW w:w="10283" w:type="dxa"/>
            <w:tcBorders>
              <w:bottom w:val="single" w:sz="4" w:space="0" w:color="auto"/>
            </w:tcBorders>
            <w:shd w:val="clear" w:color="auto" w:fill="auto"/>
          </w:tcPr>
          <w:p w:rsidR="007A645F" w:rsidRPr="00D0313C" w:rsidP="6B9D1276">
            <w:pPr>
              <w:keepNext/>
              <w:keepLines/>
              <w:widowControl w:val="0"/>
              <w:spacing w:after="0" w:line="360" w:lineRule="auto"/>
              <w:rPr>
                <w:rFonts w:ascii="Arial" w:hAnsi="Arial" w:cs="Arial"/>
                <w:sz w:val="20"/>
              </w:rPr>
            </w:pPr>
            <w:r>
              <w:rPr>
                <w:rFonts w:ascii="Arial" w:hAnsi="Arial"/>
                <w:sz w:val="20"/>
              </w:rPr>
              <w:t>La evaluación analizará el funcionamiento de la Legislación sobre sanidad animal (el Reglamento de base y los actos delegados adoptados basados en dicho Reglamento) para determinar si proporciona a las autoridades competentes, a los operadores y a otras partes interesadas el marco y las herramientas adecuadas para proteger eficazmente la salud pública y animal mediante la prevención y el control de las enfermedades de los animales, que sean pertinentes para la intervención de la UE, y si garantiza que los animales y los productos de origen animal se desplacen de forma segura por el mercado único de la UE.</w:t>
            </w:r>
            <w:r>
              <w:rPr>
                <w:rFonts w:ascii="Arial" w:hAnsi="Arial"/>
                <w:sz w:val="20"/>
              </w:rPr>
              <w:t xml:space="preserve"> </w:t>
            </w:r>
          </w:p>
          <w:p w:rsidR="007A645F" w:rsidRPr="00D0313C" w:rsidP="194990AE">
            <w:pPr>
              <w:keepNext/>
              <w:keepLines/>
              <w:widowControl w:val="0"/>
              <w:spacing w:after="0" w:line="360" w:lineRule="auto"/>
              <w:rPr>
                <w:rFonts w:ascii="Arial" w:hAnsi="Arial" w:cs="Arial"/>
                <w:sz w:val="20"/>
              </w:rPr>
            </w:pPr>
            <w:r>
              <w:rPr>
                <w:rFonts w:ascii="Arial" w:hAnsi="Arial"/>
                <w:sz w:val="20"/>
              </w:rPr>
              <w:t>La evaluación comprobará si las normas:</w:t>
            </w:r>
            <w:r>
              <w:rPr>
                <w:rFonts w:ascii="Arial" w:hAnsi="Arial"/>
                <w:sz w:val="20"/>
              </w:rPr>
              <w:t xml:space="preserve"> </w:t>
            </w:r>
          </w:p>
          <w:p w:rsidR="007A645F" w:rsidRPr="00D0313C" w:rsidP="00E83C7D">
            <w:pPr>
              <w:keepNext/>
              <w:keepLines/>
              <w:widowControl w:val="0"/>
              <w:spacing w:after="0" w:line="360" w:lineRule="auto"/>
              <w:rPr>
                <w:rFonts w:ascii="Arial" w:hAnsi="Arial" w:cs="Arial"/>
                <w:sz w:val="20"/>
              </w:rPr>
            </w:pPr>
            <w:r>
              <w:rPr>
                <w:rFonts w:ascii="Arial" w:hAnsi="Arial"/>
                <w:sz w:val="20"/>
              </w:rPr>
              <w:t>•</w:t>
            </w:r>
            <w:r>
              <w:rPr>
                <w:rFonts w:ascii="Arial" w:hAnsi="Arial"/>
                <w:sz w:val="20"/>
              </w:rPr>
              <w:tab/>
            </w:r>
            <w:r>
              <w:rPr>
                <w:rFonts w:ascii="Arial" w:hAnsi="Arial"/>
                <w:sz w:val="20"/>
              </w:rPr>
              <w:t>son eficaces para alcanzar los objetivos de la Estrategia de Salud Animal;</w:t>
            </w:r>
          </w:p>
          <w:p w:rsidR="002F6399" w:rsidRPr="00D0313C" w:rsidP="00E83C7D">
            <w:pPr>
              <w:keepNext/>
              <w:keepLines/>
              <w:widowControl w:val="0"/>
              <w:spacing w:after="0" w:line="360" w:lineRule="auto"/>
              <w:rPr>
                <w:rFonts w:ascii="Arial" w:hAnsi="Arial" w:cs="Arial"/>
                <w:sz w:val="20"/>
              </w:rPr>
            </w:pPr>
            <w:r>
              <w:rPr>
                <w:rFonts w:ascii="Arial" w:hAnsi="Arial"/>
                <w:sz w:val="20"/>
              </w:rPr>
              <w:t>•</w:t>
            </w:r>
            <w:r>
              <w:rPr>
                <w:rFonts w:ascii="Arial" w:hAnsi="Arial"/>
                <w:sz w:val="20"/>
              </w:rPr>
              <w:tab/>
            </w:r>
            <w:r>
              <w:rPr>
                <w:rFonts w:ascii="Arial" w:hAnsi="Arial"/>
                <w:sz w:val="20"/>
              </w:rPr>
              <w:t>son eficientes y proporcionadas;</w:t>
            </w:r>
          </w:p>
          <w:p w:rsidR="007A645F" w:rsidRPr="00D0313C" w:rsidP="002F6399">
            <w:pPr>
              <w:keepNext/>
              <w:keepLines/>
              <w:widowControl w:val="0"/>
              <w:spacing w:after="0" w:line="360" w:lineRule="auto"/>
              <w:rPr>
                <w:rFonts w:ascii="Arial" w:hAnsi="Arial" w:cs="Arial"/>
                <w:sz w:val="20"/>
              </w:rPr>
            </w:pPr>
            <w:r>
              <w:rPr>
                <w:rFonts w:ascii="Arial" w:hAnsi="Arial"/>
                <w:sz w:val="20"/>
              </w:rPr>
              <w:t>•</w:t>
            </w:r>
            <w:r>
              <w:rPr>
                <w:rFonts w:ascii="Arial" w:hAnsi="Arial"/>
                <w:sz w:val="20"/>
              </w:rPr>
              <w:tab/>
            </w:r>
            <w:r>
              <w:rPr>
                <w:rFonts w:ascii="Arial" w:hAnsi="Arial"/>
                <w:sz w:val="20"/>
              </w:rPr>
              <w:t>están en consonancia con las necesidades actuales y futuras;</w:t>
            </w:r>
          </w:p>
          <w:p w:rsidR="007A645F" w:rsidRPr="00D0313C" w:rsidP="6B9D1276">
            <w:pPr>
              <w:keepNext/>
              <w:keepLines/>
              <w:widowControl w:val="0"/>
              <w:spacing w:after="0" w:line="360" w:lineRule="auto"/>
              <w:rPr>
                <w:rFonts w:ascii="Arial" w:hAnsi="Arial" w:cs="Arial"/>
                <w:sz w:val="20"/>
              </w:rPr>
            </w:pPr>
            <w:r>
              <w:rPr>
                <w:rFonts w:ascii="Arial" w:hAnsi="Arial"/>
                <w:sz w:val="20"/>
              </w:rPr>
              <w:t>•</w:t>
            </w:r>
            <w:r>
              <w:tab/>
            </w:r>
            <w:r>
              <w:rPr>
                <w:rFonts w:ascii="Arial" w:hAnsi="Arial"/>
                <w:sz w:val="20"/>
              </w:rPr>
              <w:t>son coherentes a nivel interno y con otras políticas y programas de la UE;</w:t>
            </w:r>
            <w:r>
              <w:rPr>
                <w:rFonts w:ascii="Arial" w:hAnsi="Arial"/>
                <w:sz w:val="20"/>
              </w:rPr>
              <w:t xml:space="preserve"> </w:t>
            </w:r>
            <w:r>
              <w:rPr>
                <w:rFonts w:ascii="Arial" w:hAnsi="Arial"/>
                <w:sz w:val="20"/>
              </w:rPr>
              <w:t>y</w:t>
            </w:r>
          </w:p>
          <w:p w:rsidR="007A645F" w:rsidRPr="00D0313C" w:rsidP="00E83C7D">
            <w:pPr>
              <w:keepNext/>
              <w:keepLines/>
              <w:widowControl w:val="0"/>
              <w:spacing w:after="0" w:line="360" w:lineRule="auto"/>
              <w:rPr>
                <w:rFonts w:ascii="Arial" w:hAnsi="Arial" w:cs="Arial"/>
                <w:sz w:val="20"/>
              </w:rPr>
            </w:pPr>
            <w:r>
              <w:rPr>
                <w:rFonts w:ascii="Arial" w:hAnsi="Arial"/>
                <w:sz w:val="20"/>
              </w:rPr>
              <w:t>•</w:t>
            </w:r>
            <w:r>
              <w:rPr>
                <w:rFonts w:ascii="Arial" w:hAnsi="Arial"/>
                <w:sz w:val="20"/>
              </w:rPr>
              <w:tab/>
            </w:r>
            <w:r>
              <w:rPr>
                <w:rFonts w:ascii="Arial" w:hAnsi="Arial"/>
                <w:sz w:val="20"/>
              </w:rPr>
              <w:t>tienen valor añadido de la UE.</w:t>
            </w:r>
            <w:r>
              <w:rPr>
                <w:rFonts w:ascii="Arial" w:hAnsi="Arial"/>
                <w:sz w:val="20"/>
              </w:rPr>
              <w:t xml:space="preserve">  </w:t>
            </w:r>
          </w:p>
          <w:p w:rsidR="00D92CB6" w:rsidRPr="00D0313C" w:rsidP="003C6FCD">
            <w:pPr>
              <w:keepNext/>
              <w:keepLines/>
              <w:widowControl w:val="0"/>
              <w:spacing w:before="60" w:after="60" w:line="360" w:lineRule="auto"/>
              <w:rPr>
                <w:rFonts w:ascii="Arial" w:hAnsi="Arial" w:cs="Arial"/>
                <w:sz w:val="20"/>
              </w:rPr>
            </w:pPr>
            <w:r>
              <w:rPr>
                <w:rFonts w:ascii="Arial" w:hAnsi="Arial"/>
                <w:sz w:val="20"/>
              </w:rPr>
              <w:t>La evaluación también mostrará si el marco jurídico es fácil de entender y de aplicar y si contribuye a generar confianza en el mercado único de animales y productos de origen animal.</w:t>
            </w:r>
          </w:p>
          <w:p w:rsidR="00D92CB6" w:rsidRPr="00D0313C" w:rsidP="6B9D1276">
            <w:pPr>
              <w:keepNext/>
              <w:keepLines/>
              <w:widowControl w:val="0"/>
              <w:spacing w:before="60" w:after="60" w:line="360" w:lineRule="auto"/>
              <w:rPr>
                <w:rFonts w:ascii="Arial" w:hAnsi="Arial" w:cs="Arial"/>
                <w:sz w:val="20"/>
              </w:rPr>
            </w:pPr>
            <w:r>
              <w:rPr>
                <w:rFonts w:ascii="Arial" w:hAnsi="Arial"/>
                <w:sz w:val="20"/>
              </w:rPr>
              <w:t>La evaluación se centrará en la pertinencia, adecuación y sostenibilidad de la Legislación sobre sanidad animal y en la pertinencia, adecuación y sostenibilidad de las normas adoptadas con base en ella.</w:t>
            </w:r>
            <w:r>
              <w:rPr>
                <w:rFonts w:ascii="Arial" w:hAnsi="Arial"/>
                <w:sz w:val="20"/>
              </w:rPr>
              <w:t xml:space="preserve"> </w:t>
            </w:r>
            <w:r>
              <w:rPr>
                <w:rFonts w:ascii="Arial" w:hAnsi="Arial"/>
                <w:sz w:val="20"/>
              </w:rPr>
              <w:t>Su impacto en el comercio con países no pertenecientes a la UE, su coherencia interna y su coherencia con otras políticas y programas de la UE, como «Una sola salud», la seguridad alimentaria y el bienestar de los animales en general, también se tendrán en cuenta en la evaluación.</w:t>
            </w:r>
            <w:r>
              <w:rPr>
                <w:rFonts w:ascii="Arial" w:hAnsi="Arial"/>
                <w:sz w:val="20"/>
              </w:rPr>
              <w:t xml:space="preserve"> </w:t>
            </w:r>
            <w:r>
              <w:rPr>
                <w:rFonts w:ascii="Arial" w:hAnsi="Arial"/>
                <w:sz w:val="20"/>
              </w:rPr>
              <w:t>La evaluación también examinará las oportunidades de racionalizar aún más las obligaciones de notificación y reducir la carga administrativa para los ciudadanos, los operadores y las autoridades competentes.</w:t>
            </w:r>
          </w:p>
          <w:p w:rsidR="00C86333" w:rsidRPr="00D0313C" w:rsidP="00B3242D">
            <w:pPr>
              <w:keepNext/>
              <w:keepLines/>
              <w:widowControl w:val="0"/>
              <w:spacing w:after="0" w:line="360" w:lineRule="auto"/>
              <w:rPr>
                <w:rFonts w:ascii="Arial" w:hAnsi="Arial" w:cs="Arial"/>
                <w:color w:val="1036A0"/>
                <w:sz w:val="20"/>
              </w:rPr>
            </w:pPr>
            <w:r>
              <w:rPr>
                <w:rFonts w:ascii="Arial" w:hAnsi="Arial"/>
                <w:sz w:val="20"/>
              </w:rPr>
              <w:t>La evaluación abarcará la totalidad de la Legislación sobre sanidad animal y las normas adoptadas con base en ella durante un período que comience a partir de su entrada en vigor el 21 de abril de 2016.</w:t>
            </w:r>
            <w:r>
              <w:rPr>
                <w:rFonts w:ascii="Arial" w:hAnsi="Arial"/>
                <w:sz w:val="20"/>
              </w:rPr>
              <w:t xml:space="preserve"> </w:t>
            </w:r>
            <w:r>
              <w:rPr>
                <w:rFonts w:ascii="Arial" w:hAnsi="Arial"/>
                <w:sz w:val="20"/>
              </w:rPr>
              <w:t>La evaluación también valorará si se han producido consecuencias no deseadas o imprevistas desde que la Legislación sobre sanidad animal comenzó a aplicarse el 21 de abril de 2021 y, sobre esta base, llegará a una conclusión con respecto a si es necesario actualizarla o no.</w:t>
            </w:r>
          </w:p>
        </w:tc>
      </w:tr>
      <w:tr w:rsidTr="6B9D1276">
        <w:tblPrEx>
          <w:tblW w:w="10283" w:type="dxa"/>
          <w:jc w:val="center"/>
          <w:tblLayout w:type="fixed"/>
          <w:tblLook w:val="01E0"/>
        </w:tblPrEx>
        <w:trPr>
          <w:jc w:val="center"/>
        </w:trPr>
        <w:tc>
          <w:tcPr>
            <w:tcW w:w="10283" w:type="dxa"/>
            <w:tcBorders>
              <w:bottom w:val="single" w:sz="4" w:space="0" w:color="auto"/>
            </w:tcBorders>
            <w:shd w:val="clear" w:color="auto" w:fill="0000FF"/>
          </w:tcPr>
          <w:p w:rsidR="001E0806" w:rsidRPr="00FC64C9" w:rsidP="00451053">
            <w:pPr>
              <w:keepNext/>
              <w:keepLines/>
              <w:widowControl w:val="0"/>
              <w:spacing w:before="60" w:after="60"/>
              <w:jc w:val="center"/>
              <w:rPr>
                <w:rFonts w:ascii="Arial" w:hAnsi="Arial"/>
                <w:b/>
                <w:sz w:val="20"/>
              </w:rPr>
            </w:pPr>
            <w:r>
              <w:rPr>
                <w:rFonts w:ascii="Arial" w:hAnsi="Arial"/>
                <w:b/>
                <w:sz w:val="20"/>
                <w:highlight w:val="blue"/>
              </w:rPr>
              <w:t>B. Mejora de la legislación</w:t>
            </w:r>
          </w:p>
        </w:tc>
      </w:tr>
      <w:tr w:rsidTr="6B9D1276">
        <w:tblPrEx>
          <w:tblW w:w="10283" w:type="dxa"/>
          <w:jc w:val="center"/>
          <w:tblLayout w:type="fixed"/>
          <w:tblLook w:val="01E0"/>
        </w:tblPrEx>
        <w:trPr>
          <w:jc w:val="center"/>
        </w:trPr>
        <w:tc>
          <w:tcPr>
            <w:tcW w:w="10283" w:type="dxa"/>
            <w:tcBorders>
              <w:bottom w:val="single" w:sz="4" w:space="0" w:color="auto"/>
            </w:tcBorders>
            <w:shd w:val="clear" w:color="auto" w:fill="E6E6E6"/>
          </w:tcPr>
          <w:p w:rsidR="001E0806" w:rsidRPr="00D0313C" w:rsidP="00451053">
            <w:pPr>
              <w:keepNext/>
              <w:keepLines/>
              <w:widowControl w:val="0"/>
              <w:spacing w:before="60" w:after="60"/>
              <w:rPr>
                <w:rFonts w:ascii="Arial" w:hAnsi="Arial" w:cs="Arial"/>
                <w:sz w:val="20"/>
              </w:rPr>
            </w:pPr>
            <w:r>
              <w:rPr>
                <w:rFonts w:ascii="Arial" w:hAnsi="Arial"/>
                <w:b/>
                <w:sz w:val="20"/>
              </w:rPr>
              <w:t>Estrategia de consulta</w:t>
            </w:r>
            <w:r>
              <w:rPr>
                <w:rFonts w:ascii="Arial" w:hAnsi="Arial"/>
                <w:b/>
                <w:sz w:val="20"/>
              </w:rPr>
              <w:t xml:space="preserve"> </w:t>
            </w:r>
          </w:p>
        </w:tc>
      </w:tr>
      <w:tr w:rsidTr="6B9D1276">
        <w:tblPrEx>
          <w:tblW w:w="10283" w:type="dxa"/>
          <w:jc w:val="center"/>
          <w:tblLayout w:type="fixed"/>
          <w:tblLook w:val="01E0"/>
        </w:tblPrEx>
        <w:trPr>
          <w:jc w:val="center"/>
        </w:trPr>
        <w:tc>
          <w:tcPr>
            <w:tcW w:w="10283" w:type="dxa"/>
            <w:tcBorders>
              <w:bottom w:val="single" w:sz="4" w:space="0" w:color="auto"/>
            </w:tcBorders>
            <w:shd w:val="clear" w:color="auto" w:fill="auto"/>
          </w:tcPr>
          <w:p w:rsidR="00DD0D65" w:rsidRPr="00FC64C9" w:rsidP="008A3DC1">
            <w:pPr>
              <w:keepNext/>
              <w:keepLines/>
              <w:widowControl w:val="0"/>
              <w:spacing w:before="60" w:after="120" w:line="360" w:lineRule="auto"/>
              <w:rPr>
                <w:rFonts w:ascii="Arial" w:hAnsi="Arial"/>
                <w:i/>
                <w:color w:val="1036A0"/>
                <w:sz w:val="20"/>
              </w:rPr>
            </w:pPr>
            <w:r>
              <w:rPr>
                <w:rFonts w:ascii="Arial" w:hAnsi="Arial"/>
                <w:sz w:val="20"/>
              </w:rPr>
              <w:t>Con esta convocatoria de datos, la Comisión está consultando al público en general y a las partes interesadas.</w:t>
            </w:r>
            <w:r>
              <w:rPr>
                <w:rFonts w:ascii="Arial" w:hAnsi="Arial"/>
                <w:sz w:val="20"/>
              </w:rPr>
              <w:t xml:space="preserve"> </w:t>
            </w:r>
            <w:r>
              <w:rPr>
                <w:rFonts w:ascii="Arial" w:hAnsi="Arial"/>
                <w:sz w:val="20"/>
              </w:rPr>
              <w:br/>
            </w:r>
            <w:r>
              <w:rPr>
                <w:rFonts w:ascii="Arial" w:hAnsi="Arial"/>
                <w:sz w:val="20"/>
              </w:rPr>
              <w:t>La Comisión llevará a cabo una consulta específica con partes interesadas específicas, principalmente las autoridades competentes de los países de la UE y los miembros del Comité Consultivo de Sanidad Animal (AHAC, por sus siglas en inglés), un subgrupo del Grupo Consultivo sobre Sostenibilidad de los Sistemas Alimentarios (</w:t>
            </w:r>
            <w:r>
              <w:fldChar w:fldCharType="begin"/>
            </w:r>
            <w:r>
              <w:instrText xml:space="preserve"> HYPERLINK "https://food.ec.europa.eu/horizontal-topics/expert-groups/advisory-groups-action-platforms/advisory-group-agsfs_en" </w:instrText>
            </w:r>
            <w:r>
              <w:fldChar w:fldCharType="separate"/>
            </w:r>
            <w:r>
              <w:rPr>
                <w:rStyle w:val="Hyperlink"/>
                <w:rFonts w:ascii="Arial" w:hAnsi="Arial"/>
                <w:sz w:val="20"/>
              </w:rPr>
              <w:t>https://food.ec.europa.eu/horizontal-topics/expert-groups/advisory-groups-action-platforms/advisory-group-agsfs_en</w:t>
            </w:r>
            <w:r>
              <w:fldChar w:fldCharType="end"/>
            </w:r>
            <w:r>
              <w:rPr>
                <w:rFonts w:ascii="Arial" w:hAnsi="Arial"/>
                <w:sz w:val="20"/>
              </w:rPr>
              <w:t>), compuesto por las partes interesadas pertinentes, por ejemplo, las autoridades nacionales competentes, las agencias de la UE, las organizaciones internacionales, la industria y las asociaciones de productores, los veterinarios y las organizaciones no gubernamentales.</w:t>
            </w:r>
            <w:r>
              <w:rPr>
                <w:rFonts w:ascii="Arial" w:hAnsi="Arial"/>
                <w:sz w:val="20"/>
              </w:rPr>
              <w:t xml:space="preserve"> </w:t>
            </w:r>
            <w:r>
              <w:rPr>
                <w:rFonts w:ascii="Arial" w:hAnsi="Arial"/>
                <w:sz w:val="20"/>
              </w:rPr>
              <w:t>La consulta consistirá también en entrevistas, encuestas y talleres.</w:t>
            </w:r>
            <w:r>
              <w:rPr>
                <w:rFonts w:ascii="Arial" w:hAnsi="Arial"/>
                <w:sz w:val="20"/>
              </w:rPr>
              <w:t xml:space="preserve"> </w:t>
            </w:r>
            <w:r>
              <w:rPr>
                <w:rFonts w:ascii="Arial" w:hAnsi="Arial"/>
                <w:sz w:val="20"/>
              </w:rPr>
              <w:t>Sus resultados se resumirán y publicarán en un informe de síntesis.</w:t>
            </w:r>
          </w:p>
        </w:tc>
      </w:tr>
    </w:tbl>
    <w:p w:rsidR="00C86333" w:rsidRPr="00FC64C9">
      <w:pPr>
        <w:rPr>
          <w:rFonts w:ascii="Arial" w:hAnsi="Arial"/>
          <w:sz w:val="20"/>
        </w:rPr>
      </w:pPr>
      <w:r>
        <w:br w:type="page"/>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3"/>
      </w:tblGrid>
      <w:tr w:rsidTr="6B9D1276">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shd w:val="clear" w:color="auto" w:fill="FFFFFF" w:themeFill="background1"/>
          </w:tcPr>
          <w:p w:rsidR="00875C7D" w:rsidRPr="00D0313C" w:rsidP="00451053">
            <w:pPr>
              <w:keepNext/>
              <w:keepLines/>
              <w:widowControl w:val="0"/>
              <w:spacing w:before="60" w:after="60"/>
              <w:rPr>
                <w:rFonts w:ascii="Arial" w:hAnsi="Arial" w:cs="Arial"/>
                <w:b/>
                <w:sz w:val="20"/>
                <w:lang w:eastAsia="en-GB"/>
              </w:rPr>
            </w:pPr>
          </w:p>
        </w:tc>
      </w:tr>
      <w:tr w:rsidTr="6B9D1276">
        <w:tblPrEx>
          <w:tblW w:w="10283" w:type="dxa"/>
          <w:jc w:val="center"/>
          <w:tblLayout w:type="fixed"/>
          <w:tblLook w:val="01E0"/>
        </w:tblPrEx>
        <w:trPr>
          <w:jc w:val="center"/>
        </w:trPr>
        <w:tc>
          <w:tcPr>
            <w:tcW w:w="10283" w:type="dxa"/>
            <w:shd w:val="clear" w:color="auto" w:fill="F2F2F2" w:themeFill="background1" w:themeFillShade="F2"/>
          </w:tcPr>
          <w:p w:rsidR="001E0806" w:rsidRPr="00D0313C" w:rsidP="00451053">
            <w:pPr>
              <w:keepNext/>
              <w:keepLines/>
              <w:widowControl w:val="0"/>
              <w:spacing w:before="60" w:after="60"/>
              <w:rPr>
                <w:rFonts w:ascii="Arial" w:hAnsi="Arial" w:cs="Arial"/>
                <w:sz w:val="20"/>
              </w:rPr>
            </w:pPr>
            <w:r>
              <w:rPr>
                <w:rFonts w:ascii="Arial" w:hAnsi="Arial"/>
                <w:b/>
                <w:sz w:val="20"/>
              </w:rPr>
              <w:t>Recogida de datos y metodología</w:t>
            </w:r>
            <w:r>
              <w:rPr>
                <w:rFonts w:ascii="Arial" w:hAnsi="Arial"/>
                <w:b/>
                <w:sz w:val="20"/>
              </w:rPr>
              <w:t xml:space="preserve">  </w:t>
            </w:r>
          </w:p>
        </w:tc>
      </w:tr>
      <w:tr w:rsidTr="6B9D1276">
        <w:tblPrEx>
          <w:tblW w:w="10283" w:type="dxa"/>
          <w:jc w:val="center"/>
          <w:tblLayout w:type="fixed"/>
          <w:tblLook w:val="01E0"/>
        </w:tblPrEx>
        <w:trPr>
          <w:jc w:val="center"/>
        </w:trPr>
        <w:tc>
          <w:tcPr>
            <w:tcW w:w="10283" w:type="dxa"/>
            <w:shd w:val="clear" w:color="auto" w:fill="auto"/>
          </w:tcPr>
          <w:p w:rsidR="006417FA" w:rsidP="00D0313C">
            <w:pPr>
              <w:spacing w:after="0" w:line="360" w:lineRule="auto"/>
              <w:rPr>
                <w:rFonts w:ascii="Arial" w:hAnsi="Arial" w:cs="Arial"/>
                <w:sz w:val="20"/>
              </w:rPr>
            </w:pPr>
            <w:r>
              <w:rPr>
                <w:rFonts w:ascii="Arial" w:hAnsi="Arial"/>
                <w:sz w:val="20"/>
              </w:rPr>
              <w:t>En particular, la evaluación se basará en documentos y estudios de la Comisión sobre salud animal.</w:t>
            </w:r>
            <w:r>
              <w:rPr>
                <w:rFonts w:ascii="Arial" w:hAnsi="Arial"/>
                <w:sz w:val="20"/>
              </w:rPr>
              <w:t xml:space="preserve"> </w:t>
            </w:r>
            <w:r>
              <w:rPr>
                <w:rFonts w:ascii="Arial" w:hAnsi="Arial"/>
                <w:sz w:val="20"/>
              </w:rPr>
              <w:t>La lista no exhaustiva que figura a continuación se complementará con estudios realizados y datos recopilados por otros organismos y fuentes, como Eurostat, autoridades nacionales y diversas asociaciones, según se disponga de ellos.</w:t>
            </w:r>
            <w:r>
              <w:rPr>
                <w:rFonts w:ascii="Arial" w:hAnsi="Arial"/>
                <w:sz w:val="20"/>
              </w:rPr>
              <w:t xml:space="preserve"> </w:t>
            </w:r>
            <w:r>
              <w:rPr>
                <w:rFonts w:ascii="Arial" w:hAnsi="Arial"/>
                <w:sz w:val="20"/>
              </w:rPr>
              <w:t>También formará parte de la evaluación una revisión bibliográfica.</w:t>
            </w:r>
          </w:p>
          <w:p w:rsidR="006C158F" w:rsidP="0DF94113">
            <w:pPr>
              <w:pStyle w:val="ListParagraph"/>
              <w:numPr>
                <w:ilvl w:val="0"/>
                <w:numId w:val="48"/>
              </w:numPr>
              <w:spacing w:line="360" w:lineRule="auto"/>
              <w:rPr>
                <w:rFonts w:ascii="Arial" w:hAnsi="Arial" w:cs="Arial"/>
                <w:sz w:val="20"/>
                <w:szCs w:val="20"/>
              </w:rPr>
            </w:pPr>
            <w:r>
              <w:fldChar w:fldCharType="begin"/>
            </w:r>
            <w:r>
              <w:instrText xml:space="preserve"> HYPERLINK </w:instrText>
            </w:r>
            <w:r>
              <w:fldChar w:fldCharType="separate"/>
            </w:r>
            <w:r>
              <w:rPr>
                <w:rStyle w:val="Hyperlink"/>
                <w:rFonts w:ascii="Arial" w:hAnsi="Arial"/>
                <w:sz w:val="20"/>
              </w:rPr>
              <w:t>Evaluación de impacto de la propuesta de la Comisión relativa a la Legislación sobre sanidad animal [SWD(2013) 160 final]</w:t>
            </w:r>
            <w:r>
              <w:fldChar w:fldCharType="end"/>
            </w:r>
            <w:r>
              <w:t>;</w:t>
            </w:r>
          </w:p>
          <w:p w:rsidR="00D0313C" w:rsidP="0DF94113">
            <w:pPr>
              <w:pStyle w:val="ListParagraph"/>
              <w:numPr>
                <w:ilvl w:val="0"/>
                <w:numId w:val="48"/>
              </w:numPr>
              <w:spacing w:line="360" w:lineRule="auto"/>
              <w:rPr>
                <w:rFonts w:ascii="Arial" w:hAnsi="Arial" w:cs="Arial"/>
                <w:sz w:val="20"/>
                <w:szCs w:val="20"/>
              </w:rPr>
            </w:pPr>
            <w:r>
              <w:fldChar w:fldCharType="begin"/>
            </w:r>
            <w:r>
              <w:instrText xml:space="preserve"> HYPERLINK "https://ec.europa.eu/food/audits-analysis/audit-report" </w:instrText>
            </w:r>
            <w:r>
              <w:fldChar w:fldCharType="separate"/>
            </w:r>
            <w:r>
              <w:rPr>
                <w:rStyle w:val="Hyperlink"/>
                <w:rFonts w:ascii="Arial" w:hAnsi="Arial"/>
                <w:sz w:val="20"/>
              </w:rPr>
              <w:t>Resultados de las auditorías de la DG SANTE en el ámbito de la sanidad animal</w:t>
            </w:r>
            <w:r>
              <w:fldChar w:fldCharType="end"/>
            </w:r>
            <w:r>
              <w:rPr>
                <w:rFonts w:ascii="Arial" w:hAnsi="Arial"/>
                <w:sz w:val="20"/>
              </w:rPr>
              <w:t xml:space="preserve"> llevadas a cabo desde la adopción y aplicación de la Legislación sobre sanidad animal;</w:t>
            </w:r>
          </w:p>
          <w:p w:rsidR="00C965BF" w:rsidRPr="00700A75" w:rsidP="0DF94113">
            <w:pPr>
              <w:pStyle w:val="ListParagraph"/>
              <w:numPr>
                <w:ilvl w:val="0"/>
                <w:numId w:val="48"/>
              </w:numPr>
              <w:spacing w:line="360" w:lineRule="auto"/>
              <w:rPr>
                <w:rFonts w:ascii="Arial" w:hAnsi="Arial"/>
                <w:sz w:val="20"/>
                <w:szCs w:val="20"/>
              </w:rPr>
            </w:pPr>
            <w:r>
              <w:fldChar w:fldCharType="begin"/>
            </w:r>
            <w:r>
              <w:instrText xml:space="preserve"> HYPERLINK "https://www.europarl.europa.eu/RegData/docs_autres_institutions/commission_europeenne/com/2023/0498/COM_COM(2023)0498_ES.pdf" </w:instrText>
            </w:r>
            <w:r>
              <w:fldChar w:fldCharType="separate"/>
            </w:r>
            <w:r>
              <w:rPr>
                <w:rStyle w:val="Hyperlink"/>
                <w:rFonts w:ascii="Arial" w:hAnsi="Arial"/>
                <w:sz w:val="20"/>
              </w:rPr>
              <w:t>Informe de la Comisión al Parlamento Europeo y al Consejo sobre la viabilidad técnica y económica de la introducción de la identificación electrónica obligatoria de los animales de la especie bovina en todo el territorio de la Unión, COM(2023) 498 final</w:t>
            </w:r>
            <w:r>
              <w:fldChar w:fldCharType="end"/>
            </w:r>
            <w:r>
              <w:t>;</w:t>
            </w:r>
          </w:p>
          <w:p w:rsidR="00D0313C" w:rsidP="0DF94113">
            <w:pPr>
              <w:pStyle w:val="ListParagraph"/>
              <w:numPr>
                <w:ilvl w:val="0"/>
                <w:numId w:val="48"/>
              </w:numPr>
              <w:spacing w:line="360" w:lineRule="auto"/>
              <w:rPr>
                <w:rFonts w:ascii="Arial" w:hAnsi="Arial" w:cs="Arial"/>
                <w:sz w:val="20"/>
                <w:szCs w:val="20"/>
              </w:rPr>
            </w:pPr>
            <w:r>
              <w:fldChar w:fldCharType="begin"/>
            </w:r>
            <w:r>
              <w:instrText xml:space="preserve"> HYPERLINK "https://food.ec.europa.eu/animals/animal-health/animal-health-law/delegated-and-implementing-acts_en" </w:instrText>
            </w:r>
            <w:r>
              <w:fldChar w:fldCharType="separate"/>
            </w:r>
            <w:r>
              <w:rPr>
                <w:rStyle w:val="Hyperlink"/>
                <w:rFonts w:ascii="Arial" w:hAnsi="Arial"/>
                <w:sz w:val="20"/>
              </w:rPr>
              <w:t>todos los reglamentos delegados y las normas pertinentes en el marco del Reglamento</w:t>
            </w:r>
            <w:r>
              <w:fldChar w:fldCharType="end"/>
            </w:r>
            <w:r>
              <w:rPr>
                <w:rFonts w:ascii="Arial" w:hAnsi="Arial"/>
                <w:sz w:val="20"/>
              </w:rPr>
              <w:t>.</w:t>
            </w:r>
          </w:p>
          <w:p w:rsidR="00BD7F53" w:rsidRPr="00D0313C" w:rsidP="6B9D1276">
            <w:pPr>
              <w:keepNext/>
              <w:keepLines/>
              <w:widowControl w:val="0"/>
              <w:spacing w:before="60" w:after="60" w:line="360" w:lineRule="auto"/>
              <w:rPr>
                <w:rFonts w:ascii="Arial" w:hAnsi="Arial" w:cs="Arial"/>
                <w:sz w:val="20"/>
              </w:rPr>
            </w:pPr>
            <w:r>
              <w:rPr>
                <w:rFonts w:ascii="Arial" w:hAnsi="Arial"/>
                <w:sz w:val="20"/>
              </w:rPr>
              <w:t>La evaluación también se basará en la información existente, como el sistema de gestión de la información sobre los controles oficiales (SGICO) y la base de datos del Sistema de Información sobre Enfermedades Animales (ADIS), la información de Eurostat, las evaluaciones de la Autoridad Europea de Seguridad Alimentaria y los informes de los países de la UE sobre las sanciones que han aplicado en caso de infracción de la Legislación sobre sanidad animal.</w:t>
            </w:r>
          </w:p>
          <w:p w:rsidR="00BD7F53" w:rsidRPr="00D0313C" w:rsidP="6BA4978C">
            <w:pPr>
              <w:keepNext/>
              <w:keepLines/>
              <w:widowControl w:val="0"/>
              <w:spacing w:before="60" w:after="120" w:line="360" w:lineRule="auto"/>
              <w:rPr>
                <w:rFonts w:ascii="Arial" w:hAnsi="Arial" w:cs="Arial"/>
                <w:sz w:val="20"/>
              </w:rPr>
            </w:pPr>
            <w:r>
              <w:rPr>
                <w:rFonts w:ascii="Arial" w:hAnsi="Arial"/>
                <w:sz w:val="20"/>
              </w:rPr>
              <w:t>Como parte de la evaluación, se pondrá en marcha un estudio para recopilar y analizar datos sobre el funcionamiento de la Legislación sobre sanidad animal y sus repercusiones, así como para obtener de los países de la UE otra información y pruebas pertinentes.</w:t>
            </w:r>
            <w:r>
              <w:rPr>
                <w:rFonts w:ascii="Arial" w:hAnsi="Arial"/>
                <w:sz w:val="20"/>
              </w:rPr>
              <w:t xml:space="preserve"> </w:t>
            </w:r>
          </w:p>
          <w:p w:rsidR="00381344" w:rsidRPr="00700A75" w:rsidP="6B9D1276">
            <w:pPr>
              <w:keepNext/>
              <w:keepLines/>
              <w:widowControl w:val="0"/>
              <w:spacing w:before="60" w:after="120" w:line="360" w:lineRule="auto"/>
              <w:rPr>
                <w:rFonts w:ascii="Arial" w:hAnsi="Arial"/>
                <w:sz w:val="20"/>
              </w:rPr>
            </w:pPr>
            <w:r>
              <w:rPr>
                <w:rFonts w:ascii="Arial" w:hAnsi="Arial"/>
                <w:sz w:val="20"/>
              </w:rPr>
              <w:t>En sus respuestas a la presente convocatoria de datos, la Comisión anima a las partes interesadas a proporcionar (referencias a) datos que ayuden a determinar oportunidades de reducir la carga administrativa para los ciudadanos, los operadores y las autoridades competentes y posibilidades de simplificación.</w:t>
            </w:r>
            <w:r>
              <w:rPr>
                <w:rFonts w:ascii="Arial" w:hAnsi="Arial"/>
                <w:sz w:val="20"/>
              </w:rPr>
              <w:t xml:space="preserve"> </w:t>
            </w:r>
          </w:p>
        </w:tc>
      </w:tr>
      <w:tr w:rsidTr="6B9D1276">
        <w:tblPrEx>
          <w:tblW w:w="10283" w:type="dxa"/>
          <w:jc w:val="center"/>
          <w:tblLayout w:type="fixed"/>
          <w:tblLook w:val="01E0"/>
        </w:tblPrEx>
        <w:trPr>
          <w:jc w:val="center"/>
        </w:trPr>
        <w:tc>
          <w:tcPr>
            <w:tcW w:w="10283" w:type="dxa"/>
            <w:shd w:val="clear" w:color="auto" w:fill="auto"/>
          </w:tcPr>
          <w:p w:rsidR="006C158F" w:rsidRPr="00563E6B" w:rsidP="00D0313C">
            <w:pPr>
              <w:spacing w:after="0" w:line="360" w:lineRule="auto"/>
              <w:rPr>
                <w:rFonts w:ascii="Arial" w:hAnsi="Arial" w:cs="Arial"/>
                <w:sz w:val="20"/>
                <w:lang w:val="en-IE" w:eastAsia="nl-NL"/>
              </w:rPr>
            </w:pPr>
          </w:p>
        </w:tc>
      </w:tr>
    </w:tbl>
    <w:p w:rsidR="002A2293" w:rsidRPr="00FC64C9" w:rsidP="00B3242D">
      <w:pPr>
        <w:spacing w:before="100" w:beforeAutospacing="1" w:after="100" w:afterAutospacing="1"/>
        <w:jc w:val="left"/>
        <w:rPr>
          <w:rFonts w:ascii="Arial" w:hAnsi="Arial"/>
          <w:sz w:val="20"/>
        </w:rPr>
      </w:pPr>
    </w:p>
    <w:sectPr w:rsidSect="003F369F">
      <w:footerReference w:type="default" r:id="rId11"/>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pPr>
      <w:pStyle w:val="Footer"/>
      <w:jc w:val="center"/>
    </w:pPr>
    <w:r>
      <w:fldChar w:fldCharType="begin"/>
    </w:r>
    <w:r>
      <w:instrText>PAGE</w:instrText>
    </w:r>
    <w:r>
      <w:fldChar w:fldCharType="separate"/>
    </w:r>
    <w:r w:rsidR="00A34D2D">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2.5pt;height:12.5pt" o:bullet="t">
        <v:imagedata r:id="rId1" o:title="warning"/>
      </v:shape>
    </w:pict>
  </w:numPicBullet>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22C0170"/>
    <w:multiLevelType w:val="hybridMultilevel"/>
    <w:tmpl w:val="B5C619FA"/>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Arial" w:eastAsia="Times New Roman" w:hAnsi="Arial"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DC17610"/>
    <w:multiLevelType w:val="hybridMultilevel"/>
    <w:tmpl w:val="49A6FE0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3D6C0B65"/>
    <w:multiLevelType w:val="hybridMultilevel"/>
    <w:tmpl w:val="AB9C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09E7AA1"/>
    <w:multiLevelType w:val="hybridMultilevel"/>
    <w:tmpl w:val="7E24B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5CE01FC"/>
    <w:multiLevelType w:val="hybridMultilevel"/>
    <w:tmpl w:val="08200156"/>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nsid w:val="65181EDE"/>
    <w:multiLevelType w:val="hybridMultilevel"/>
    <w:tmpl w:val="0C78BCB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9F526B"/>
    <w:multiLevelType w:val="hybridMultilevel"/>
    <w:tmpl w:val="2A4AA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6"/>
  </w:num>
  <w:num w:numId="4">
    <w:abstractNumId w:val="18"/>
  </w:num>
  <w:num w:numId="5">
    <w:abstractNumId w:val="9"/>
  </w:num>
  <w:num w:numId="6">
    <w:abstractNumId w:val="17"/>
  </w:num>
  <w:num w:numId="7">
    <w:abstractNumId w:val="29"/>
  </w:num>
  <w:num w:numId="8">
    <w:abstractNumId w:val="34"/>
  </w:num>
  <w:num w:numId="9">
    <w:abstractNumId w:val="14"/>
  </w:num>
  <w:num w:numId="10">
    <w:abstractNumId w:val="28"/>
  </w:num>
  <w:num w:numId="11">
    <w:abstractNumId w:val="27"/>
  </w:num>
  <w:num w:numId="12">
    <w:abstractNumId w:val="20"/>
  </w:num>
  <w:num w:numId="13">
    <w:abstractNumId w:val="25"/>
  </w:num>
  <w:num w:numId="14">
    <w:abstractNumId w:val="7"/>
  </w:num>
  <w:num w:numId="15">
    <w:abstractNumId w:val="15"/>
  </w:num>
  <w:num w:numId="16">
    <w:abstractNumId w:val="5"/>
  </w:num>
  <w:num w:numId="17">
    <w:abstractNumId w:val="10"/>
  </w:num>
  <w:num w:numId="18">
    <w:abstractNumId w:val="35"/>
  </w:num>
  <w:num w:numId="19">
    <w:abstractNumId w:val="11"/>
  </w:num>
  <w:num w:numId="20">
    <w:abstractNumId w:val="39"/>
  </w:num>
  <w:num w:numId="21">
    <w:abstractNumId w:val="3"/>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21"/>
  </w:num>
  <w:num w:numId="29">
    <w:abstractNumId w:val="6"/>
  </w:num>
  <w:num w:numId="30">
    <w:abstractNumId w:val="16"/>
  </w:num>
  <w:num w:numId="31">
    <w:abstractNumId w:val="12"/>
  </w:num>
  <w:num w:numId="32">
    <w:abstractNumId w:val="4"/>
  </w:num>
  <w:num w:numId="33">
    <w:abstractNumId w:val="38"/>
  </w:num>
  <w:num w:numId="34">
    <w:abstractNumId w:val="12"/>
  </w:num>
  <w:num w:numId="35">
    <w:abstractNumId w:val="8"/>
  </w:num>
  <w:num w:numId="36">
    <w:abstractNumId w:val="33"/>
  </w:num>
  <w:num w:numId="37">
    <w:abstractNumId w:val="31"/>
  </w:num>
  <w:num w:numId="38">
    <w:abstractNumId w:val="32"/>
  </w:num>
  <w:num w:numId="39">
    <w:abstractNumId w:val="24"/>
  </w:num>
  <w:num w:numId="40">
    <w:abstractNumId w:val="36"/>
  </w:num>
  <w:num w:numId="41">
    <w:abstractNumId w:val="22"/>
  </w:num>
  <w:num w:numId="42">
    <w:abstractNumId w:val="30"/>
  </w:num>
  <w:num w:numId="43">
    <w:abstractNumId w:val="13"/>
  </w:num>
  <w:num w:numId="44">
    <w:abstractNumId w:val="23"/>
  </w:num>
  <w:num w:numId="45">
    <w:abstractNumId w:val="37"/>
  </w:num>
  <w:num w:numId="46">
    <w:abstractNumId w:val="19"/>
  </w:num>
  <w:num w:numId="47">
    <w:abstractNumId w:val="2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REP"/>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6"/>
    <w:pPr>
      <w:spacing w:after="240"/>
      <w:jc w:val="both"/>
    </w:pPr>
    <w:rPr>
      <w:sz w:val="24"/>
      <w:lang w:eastAsia="en-US"/>
    </w:rPr>
  </w:style>
  <w:style w:type="paragraph" w:styleId="Heading1">
    <w:name w:val="heading 1"/>
    <w:basedOn w:val="Normal"/>
    <w:next w:val="Text1"/>
    <w:qFormat/>
    <w:rsid w:val="00661B0F"/>
    <w:pPr>
      <w:keepNext/>
      <w:numPr>
        <w:numId w:val="29"/>
      </w:numPr>
      <w:spacing w:before="240"/>
      <w:outlineLvl w:val="0"/>
    </w:pPr>
    <w:rPr>
      <w:b/>
      <w:smallCaps/>
    </w:rPr>
  </w:style>
  <w:style w:type="paragraph" w:styleId="Heading2">
    <w:name w:val="heading 2"/>
    <w:basedOn w:val="Normal"/>
    <w:next w:val="Text2"/>
    <w:qFormat/>
    <w:rsid w:val="00661B0F"/>
    <w:pPr>
      <w:keepNext/>
      <w:numPr>
        <w:ilvl w:val="1"/>
        <w:numId w:val="29"/>
      </w:numPr>
      <w:outlineLvl w:val="1"/>
    </w:pPr>
    <w:rPr>
      <w:b/>
    </w:rPr>
  </w:style>
  <w:style w:type="paragraph" w:styleId="Heading3">
    <w:name w:val="heading 3"/>
    <w:basedOn w:val="Normal"/>
    <w:next w:val="Text3"/>
    <w:qFormat/>
    <w:rsid w:val="00661B0F"/>
    <w:pPr>
      <w:keepNext/>
      <w:numPr>
        <w:ilvl w:val="2"/>
        <w:numId w:val="29"/>
      </w:numPr>
      <w:outlineLvl w:val="2"/>
    </w:pPr>
    <w:rPr>
      <w:i/>
    </w:rPr>
  </w:style>
  <w:style w:type="paragraph" w:styleId="Heading4">
    <w:name w:val="heading 4"/>
    <w:basedOn w:val="Normal"/>
    <w:next w:val="Text4"/>
    <w:qFormat/>
    <w:rsid w:val="00661B0F"/>
    <w:pPr>
      <w:keepNext/>
      <w:numPr>
        <w:ilvl w:val="3"/>
        <w:numId w:val="29"/>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es-ES"/>
    </w:rPr>
  </w:style>
  <w:style w:type="paragraph" w:customStyle="1" w:styleId="RUE">
    <w:name w:val="RUE"/>
    <w:basedOn w:val="Normal"/>
    <w:pPr>
      <w:spacing w:after="0"/>
      <w:jc w:val="center"/>
    </w:pPr>
    <w:rPr>
      <w:b/>
      <w:caps/>
      <w:sz w:val="32"/>
      <w:bdr w:val="single" w:sz="18" w:space="0" w:color="auto"/>
      <w:lang w:val="es-ES"/>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8"/>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basedOn w:val="DefaultParagraphFont"/>
    <w:link w:val="CommentText"/>
    <w:uiPriority w:val="99"/>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basedOn w:val="Normal"/>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customStyle="1" w:styleId="UnresolvedMention">
    <w:name w:val="Unresolved Mention"/>
    <w:basedOn w:val="DefaultParagraphFont"/>
    <w:uiPriority w:val="99"/>
    <w:semiHidden/>
    <w:unhideWhenUsed/>
    <w:rsid w:val="00DA5A41"/>
    <w:rPr>
      <w:color w:val="605E5C"/>
      <w:shd w:val="clear" w:color="auto" w:fill="E1DFDD"/>
    </w:rPr>
  </w:style>
  <w:style w:type="character" w:styleId="FollowedHyperlink">
    <w:name w:val="FollowedHyperlink"/>
    <w:basedOn w:val="DefaultParagraphFont"/>
    <w:uiPriority w:val="99"/>
    <w:semiHidden/>
    <w:unhideWhenUsed/>
    <w:rsid w:val="00DA5A41"/>
    <w:rPr>
      <w:color w:val="800080" w:themeColor="followedHyperlink"/>
      <w:u w:val="single"/>
    </w:rPr>
  </w:style>
  <w:style w:type="character" w:customStyle="1" w:styleId="markedcontent">
    <w:name w:val="markedcontent"/>
    <w:basedOn w:val="DefaultParagraphFont"/>
    <w:rsid w:val="006D7A2B"/>
  </w:style>
  <w:style w:type="paragraph" w:customStyle="1" w:styleId="pf0">
    <w:name w:val="pf0"/>
    <w:basedOn w:val="Normal"/>
    <w:rsid w:val="00707770"/>
    <w:pPr>
      <w:spacing w:before="100" w:beforeAutospacing="1" w:after="100" w:afterAutospacing="1"/>
      <w:jc w:val="left"/>
    </w:pPr>
    <w:rPr>
      <w:szCs w:val="24"/>
      <w:lang w:val="es-ES" w:eastAsia="en-IE"/>
    </w:rPr>
  </w:style>
  <w:style w:type="character" w:customStyle="1" w:styleId="cf01">
    <w:name w:val="cf01"/>
    <w:basedOn w:val="DefaultParagraphFont"/>
    <w:rsid w:val="00707770"/>
    <w:rPr>
      <w:rFonts w:ascii="Segoe UI" w:hAnsi="Segoe UI" w:cs="Segoe UI" w:hint="default"/>
      <w:sz w:val="18"/>
      <w:szCs w:val="18"/>
    </w:rPr>
  </w:style>
  <w:style w:type="character" w:customStyle="1" w:styleId="cf11">
    <w:name w:val="cf11"/>
    <w:basedOn w:val="DefaultParagraphFont"/>
    <w:rsid w:val="00707770"/>
    <w:rPr>
      <w:rFonts w:ascii="Segoe UI" w:hAnsi="Segoe UI" w:cs="Segoe UI" w:hint="default"/>
      <w:sz w:val="18"/>
      <w:szCs w:val="18"/>
    </w:rPr>
  </w:style>
  <w:style w:type="character" w:styleId="FootnoteReference">
    <w:name w:val="footnote reference"/>
    <w:basedOn w:val="DefaultParagraphFont"/>
    <w:uiPriority w:val="99"/>
    <w:semiHidden/>
    <w:unhideWhenUsed/>
    <w:rsid w:val="00BD7F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DIaLOGIKa\Eurolook\Templates\Eurolook.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44627A9AF3D42A9FFBD2CA0C9887A" ma:contentTypeVersion="6" ma:contentTypeDescription="Create a new document." ma:contentTypeScope="" ma:versionID="f08555cbecc41f2ba78115a34b4321c6">
  <xsd:schema xmlns:xsd="http://www.w3.org/2001/XMLSchema" xmlns:xs="http://www.w3.org/2001/XMLSchema" xmlns:p="http://schemas.microsoft.com/office/2006/metadata/properties" xmlns:ns2="5ee205a1-bbd6-47a5-94cd-4d218f8e25d8" xmlns:ns3="5c12d167-b8fe-407d-871e-24383ae9bc39" targetNamespace="http://schemas.microsoft.com/office/2006/metadata/properties" ma:root="true" ma:fieldsID="82a2ae93c64e97fc9a1abd8453c09ef3" ns2:_="" ns3:_="">
    <xsd:import namespace="5ee205a1-bbd6-47a5-94cd-4d218f8e25d8"/>
    <xsd:import namespace="5c12d167-b8fe-407d-871e-24383ae9bc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205a1-bbd6-47a5-94cd-4d218f8e2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2d167-b8fe-407d-871e-24383ae9bc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Props1.xml><?xml version="1.0" encoding="utf-8"?>
<ds:datastoreItem xmlns:ds="http://schemas.openxmlformats.org/officeDocument/2006/customXml" ds:itemID="{69ED0C79-D88A-4206-B956-F350406CB40A}">
  <ds:schemaRefs/>
</ds:datastoreItem>
</file>

<file path=customXml/itemProps2.xml><?xml version="1.0" encoding="utf-8"?>
<ds:datastoreItem xmlns:ds="http://schemas.openxmlformats.org/officeDocument/2006/customXml" ds:itemID="{9F6E20E4-1AB0-4E06-A573-DAD287E1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205a1-bbd6-47a5-94cd-4d218f8e25d8"/>
    <ds:schemaRef ds:uri="5c12d167-b8fe-407d-871e-24383ae9b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31C26-4BB6-4C23-AC93-3863D42726BD}">
  <ds:schemaRefs/>
</ds:datastoreItem>
</file>

<file path=customXml/itemProps4.xml><?xml version="1.0" encoding="utf-8"?>
<ds:datastoreItem xmlns:ds="http://schemas.openxmlformats.org/officeDocument/2006/customXml" ds:itemID="{7F12B869-5F82-43F8-A972-101E604AC3E1}">
  <ds:schemaRefs>
    <ds:schemaRef ds:uri="http://schemas.microsoft.com/sharepoint/v3/contenttype/forms"/>
  </ds:schemaRefs>
</ds:datastoreItem>
</file>

<file path=customXml/itemProps5.xml><?xml version="1.0" encoding="utf-8"?>
<ds:datastoreItem xmlns:ds="http://schemas.openxmlformats.org/officeDocument/2006/customXml" ds:itemID="{782A1F29-3B5D-43CA-95F3-45F63E4467F9}">
  <ds:schemaRefs>
    <ds:schemaRef ds:uri="http://purl.org/dc/dcmitype/"/>
    <ds:schemaRef ds:uri="http://purl.org/dc/terms/"/>
    <ds:schemaRef ds:uri="http://purl.org/dc/elements/1.1/"/>
    <ds:schemaRef ds:uri="5ee205a1-bbd6-47a5-94cd-4d218f8e25d8"/>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c12d167-b8fe-407d-871e-24383ae9bc39"/>
  </ds:schemaRefs>
</ds:datastoreItem>
</file>

<file path=customXml/itemProps6.xml><?xml version="1.0" encoding="utf-8"?>
<ds:datastoreItem xmlns:ds="http://schemas.openxmlformats.org/officeDocument/2006/customXml" ds:itemID="{C598EAF1-1B12-44F3-ACF7-CC03D031DFCB}">
  <ds:schemaRefs>
    <ds:schemaRef ds:uri="http://schemas.openxmlformats.org/officeDocument/2006/bibliography"/>
  </ds:schemaRefs>
</ds:datastoreItem>
</file>

<file path=customXml/itemProps7.xml><?xml version="1.0" encoding="utf-8"?>
<ds:datastoreItem xmlns:ds="http://schemas.openxmlformats.org/officeDocument/2006/customXml" ds:itemID="{93236D38-6E39-4620-8982-A44FCB0D78BC}">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