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6.2.0.0 -->
  <w:body>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7"/>
        <w:gridCol w:w="7476"/>
      </w:tblGrid>
      <w:tr w:rsidTr="001E2AAA">
        <w:tblPrEx>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10283" w:type="dxa"/>
            <w:gridSpan w:val="2"/>
            <w:tcBorders>
              <w:bottom w:val="single" w:sz="4" w:space="0" w:color="auto"/>
            </w:tcBorders>
            <w:shd w:val="clear" w:color="auto" w:fill="0000FF"/>
          </w:tcPr>
          <w:p w:rsidR="00315ECF" w:rsidRPr="005C3B56" w:rsidP="00315ECF">
            <w:pPr>
              <w:spacing w:before="60" w:after="60"/>
              <w:jc w:val="center"/>
              <w:rPr>
                <w:rFonts w:ascii="Arial" w:hAnsi="Arial" w:cs="Arial"/>
                <w:b/>
                <w:sz w:val="22"/>
                <w:szCs w:val="22"/>
              </w:rPr>
            </w:pPr>
            <w:bookmarkStart w:id="0" w:name="_Hlk139364256"/>
            <w:bookmarkStart w:id="1" w:name="_GoBack"/>
            <w:bookmarkEnd w:id="1"/>
            <w:r w:rsidRPr="005C3B56">
              <w:rPr>
                <w:rFonts w:ascii="Arial" w:hAnsi="Arial"/>
                <w:b/>
                <w:sz w:val="22"/>
              </w:rPr>
              <w:t xml:space="preserve">CONVOCATORIA DE DATOS </w:t>
            </w:r>
          </w:p>
          <w:p w:rsidR="001E0806" w:rsidRPr="005C3B56" w:rsidP="00315ECF">
            <w:pPr>
              <w:spacing w:before="60" w:after="60"/>
              <w:jc w:val="center"/>
              <w:rPr>
                <w:rFonts w:ascii="Arial" w:hAnsi="Arial" w:cs="Arial"/>
                <w:b/>
                <w:i/>
                <w:sz w:val="22"/>
                <w:szCs w:val="22"/>
              </w:rPr>
            </w:pPr>
            <w:r w:rsidRPr="005C3B56">
              <w:rPr>
                <w:rFonts w:ascii="Arial" w:hAnsi="Arial"/>
                <w:b/>
                <w:sz w:val="22"/>
              </w:rPr>
              <w:t>PARA UNA EVALUACIÓN</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D9D9D9" w:themeFill="background1" w:themeFillShade="D9"/>
          </w:tcPr>
          <w:p w:rsidR="00CD583D" w:rsidRPr="005C3B56" w:rsidP="00A97435">
            <w:pPr>
              <w:spacing w:before="60" w:after="60"/>
              <w:rPr>
                <w:rFonts w:ascii="Arial" w:hAnsi="Arial" w:cs="Arial"/>
                <w:sz w:val="18"/>
                <w:szCs w:val="18"/>
                <w:lang w:eastAsia="en-GB"/>
              </w:rPr>
            </w:pPr>
          </w:p>
        </w:tc>
      </w:tr>
      <w:tr w:rsidTr="001E2AAA">
        <w:tblPrEx>
          <w:tblW w:w="10283" w:type="dxa"/>
          <w:jc w:val="center"/>
          <w:tblLayout w:type="fixed"/>
          <w:tblLook w:val="01E0"/>
        </w:tblPrEx>
        <w:trPr>
          <w:jc w:val="center"/>
        </w:trPr>
        <w:tc>
          <w:tcPr>
            <w:tcW w:w="2807" w:type="dxa"/>
            <w:tcBorders>
              <w:bottom w:val="single" w:sz="4" w:space="0" w:color="auto"/>
            </w:tcBorders>
            <w:shd w:val="clear" w:color="auto" w:fill="E6E6E6"/>
            <w:vAlign w:val="center"/>
          </w:tcPr>
          <w:p w:rsidR="001E0806" w:rsidRPr="005C3B56" w:rsidP="00B7441B">
            <w:pPr>
              <w:spacing w:before="60" w:after="60"/>
              <w:jc w:val="left"/>
              <w:rPr>
                <w:rFonts w:ascii="Arial" w:hAnsi="Arial" w:cs="Arial"/>
                <w:b/>
                <w:bCs/>
                <w:smallCaps/>
                <w:sz w:val="20"/>
              </w:rPr>
            </w:pPr>
            <w:r w:rsidRPr="005C3B56">
              <w:rPr>
                <w:rFonts w:ascii="Arial" w:hAnsi="Arial"/>
                <w:b/>
                <w:smallCaps/>
                <w:sz w:val="20"/>
              </w:rPr>
              <w:t>Título de la evaluación</w:t>
            </w:r>
          </w:p>
        </w:tc>
        <w:tc>
          <w:tcPr>
            <w:tcW w:w="7476" w:type="dxa"/>
            <w:shd w:val="clear" w:color="auto" w:fill="auto"/>
            <w:vAlign w:val="center"/>
          </w:tcPr>
          <w:p w:rsidR="001E0806" w:rsidRPr="005C3B56" w:rsidP="00EE614B">
            <w:pPr>
              <w:spacing w:before="60" w:after="60"/>
              <w:jc w:val="left"/>
              <w:rPr>
                <w:rFonts w:ascii="Arial" w:hAnsi="Arial" w:cs="Arial"/>
                <w:color w:val="000080"/>
                <w:szCs w:val="24"/>
              </w:rPr>
            </w:pPr>
            <w:r w:rsidRPr="005C3B56">
              <w:rPr>
                <w:rFonts w:ascii="Arial" w:hAnsi="Arial"/>
                <w:color w:val="000080"/>
              </w:rPr>
              <w:t>Programa LIFE 2021-2027 (evaluación intermedia)</w:t>
            </w:r>
          </w:p>
        </w:tc>
      </w:tr>
      <w:tr w:rsidTr="001E2AAA">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244EDC" w:rsidRPr="005C3B56" w:rsidP="00B7441B">
            <w:pPr>
              <w:spacing w:before="60" w:after="60"/>
              <w:jc w:val="left"/>
              <w:rPr>
                <w:rFonts w:ascii="Arial" w:hAnsi="Arial" w:cs="Arial"/>
                <w:b/>
                <w:bCs/>
                <w:smallCaps/>
                <w:sz w:val="20"/>
              </w:rPr>
            </w:pPr>
            <w:r w:rsidRPr="005C3B56">
              <w:rPr>
                <w:rFonts w:ascii="Arial" w:hAnsi="Arial"/>
                <w:b/>
                <w:smallCaps/>
                <w:sz w:val="20"/>
              </w:rPr>
              <w:t xml:space="preserve">DG principal. Unidad responsable </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244EDC" w:rsidRPr="005C3B56" w:rsidP="00B7441B">
            <w:pPr>
              <w:spacing w:before="60" w:after="60"/>
              <w:jc w:val="left"/>
              <w:rPr>
                <w:rFonts w:ascii="Arial" w:hAnsi="Arial" w:cs="Arial"/>
                <w:color w:val="000080"/>
                <w:sz w:val="20"/>
              </w:rPr>
            </w:pPr>
            <w:r w:rsidRPr="005C3B56">
              <w:rPr>
                <w:rFonts w:ascii="Arial" w:hAnsi="Arial"/>
                <w:color w:val="000080"/>
                <w:sz w:val="20"/>
              </w:rPr>
              <w:t>DG Medio Ambiente A3 - Conocimientos Ecológicos y Centro de Investigación. Programa LIFE</w:t>
            </w:r>
          </w:p>
        </w:tc>
      </w:tr>
      <w:tr w:rsidTr="001E2AAA">
        <w:tblPrEx>
          <w:tblW w:w="10283" w:type="dxa"/>
          <w:jc w:val="center"/>
          <w:tblLayout w:type="fixed"/>
          <w:tblLook w:val="01E0"/>
        </w:tblPrEx>
        <w:trPr>
          <w:jc w:val="center"/>
        </w:trPr>
        <w:tc>
          <w:tcPr>
            <w:tcW w:w="2807" w:type="dxa"/>
            <w:tcBorders>
              <w:bottom w:val="single" w:sz="4" w:space="0" w:color="auto"/>
              <w:right w:val="single" w:sz="4" w:space="0" w:color="auto"/>
            </w:tcBorders>
            <w:shd w:val="clear" w:color="auto" w:fill="E6E6E6"/>
            <w:vAlign w:val="center"/>
          </w:tcPr>
          <w:p w:rsidR="001E0806" w:rsidRPr="005C3B56" w:rsidP="00B7441B">
            <w:pPr>
              <w:spacing w:before="60" w:after="60"/>
              <w:jc w:val="left"/>
              <w:rPr>
                <w:rFonts w:ascii="Arial" w:hAnsi="Arial" w:cs="Arial"/>
                <w:b/>
                <w:bCs/>
                <w:smallCaps/>
                <w:sz w:val="20"/>
              </w:rPr>
            </w:pPr>
            <w:r w:rsidRPr="005C3B56">
              <w:rPr>
                <w:rFonts w:ascii="Arial" w:hAnsi="Arial"/>
                <w:b/>
                <w:smallCaps/>
                <w:sz w:val="20"/>
              </w:rPr>
              <w:t xml:space="preserve">Calendario orientativo </w:t>
            </w:r>
          </w:p>
          <w:p w:rsidR="001E0806" w:rsidRPr="005C3B56" w:rsidP="00B7441B">
            <w:pPr>
              <w:spacing w:before="60" w:after="60"/>
              <w:jc w:val="left"/>
              <w:rPr>
                <w:rFonts w:ascii="Arial" w:hAnsi="Arial" w:cs="Arial"/>
                <w:b/>
                <w:bCs/>
                <w:smallCaps/>
                <w:sz w:val="20"/>
              </w:rPr>
            </w:pPr>
            <w:r w:rsidRPr="005C3B56">
              <w:rPr>
                <w:rFonts w:ascii="Arial" w:hAnsi="Arial"/>
                <w:b/>
                <w:smallCaps/>
                <w:sz w:val="20"/>
              </w:rPr>
              <w:t>(fecha de comienzo y fecha de finalización previstas)</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1E0806" w:rsidRPr="005C3B56" w:rsidP="00A97435">
            <w:pPr>
              <w:spacing w:before="60" w:after="60"/>
              <w:jc w:val="left"/>
              <w:rPr>
                <w:rFonts w:ascii="Arial" w:hAnsi="Arial" w:cs="Arial"/>
                <w:color w:val="000080"/>
                <w:sz w:val="20"/>
                <w:highlight w:val="green"/>
              </w:rPr>
            </w:pPr>
            <w:r w:rsidRPr="005C3B56">
              <w:rPr>
                <w:rFonts w:ascii="Arial" w:hAnsi="Arial"/>
                <w:color w:val="000080"/>
                <w:sz w:val="20"/>
              </w:rPr>
              <w:t>Fecha de finalización prevista: cuarto trimestre de 2024</w:t>
            </w:r>
          </w:p>
        </w:tc>
      </w:tr>
      <w:tr w:rsidTr="007C7B04">
        <w:tblPrEx>
          <w:tblW w:w="10283" w:type="dxa"/>
          <w:jc w:val="center"/>
          <w:tblLayout w:type="fixed"/>
          <w:tblLook w:val="01E0"/>
        </w:tblPrEx>
        <w:trPr>
          <w:trHeight w:val="791"/>
          <w:jc w:val="center"/>
        </w:trPr>
        <w:tc>
          <w:tcPr>
            <w:tcW w:w="2807" w:type="dxa"/>
            <w:tcBorders>
              <w:bottom w:val="single" w:sz="4" w:space="0" w:color="auto"/>
              <w:right w:val="single" w:sz="4" w:space="0" w:color="auto"/>
            </w:tcBorders>
            <w:shd w:val="clear" w:color="auto" w:fill="E6E6E6"/>
            <w:vAlign w:val="center"/>
          </w:tcPr>
          <w:p w:rsidR="001E0806" w:rsidRPr="005C3B56">
            <w:pPr>
              <w:spacing w:before="60" w:after="60"/>
              <w:jc w:val="left"/>
              <w:rPr>
                <w:rFonts w:ascii="Arial" w:hAnsi="Arial" w:cs="Arial"/>
                <w:b/>
                <w:bCs/>
                <w:smallCaps/>
                <w:sz w:val="20"/>
              </w:rPr>
            </w:pPr>
            <w:r w:rsidRPr="005C3B56">
              <w:rPr>
                <w:rFonts w:ascii="Arial" w:hAnsi="Arial"/>
                <w:b/>
                <w:smallCaps/>
                <w:sz w:val="20"/>
              </w:rPr>
              <w:t>Información complementaria</w:t>
            </w:r>
          </w:p>
        </w:tc>
        <w:tc>
          <w:tcPr>
            <w:tcW w:w="7476" w:type="dxa"/>
            <w:tcBorders>
              <w:top w:val="single" w:sz="4" w:space="0" w:color="auto"/>
              <w:left w:val="single" w:sz="4" w:space="0" w:color="auto"/>
              <w:bottom w:val="single" w:sz="4" w:space="0" w:color="auto"/>
              <w:right w:val="single" w:sz="4" w:space="0" w:color="auto"/>
            </w:tcBorders>
            <w:shd w:val="clear" w:color="auto" w:fill="auto"/>
            <w:vAlign w:val="center"/>
          </w:tcPr>
          <w:p w:rsidR="001E0806" w:rsidRPr="005C3B56" w:rsidP="00A17C0E">
            <w:pPr>
              <w:spacing w:before="60" w:after="60"/>
              <w:jc w:val="left"/>
              <w:rPr>
                <w:rFonts w:ascii="Arial" w:hAnsi="Arial" w:cs="Arial"/>
                <w:color w:val="000080"/>
                <w:sz w:val="20"/>
              </w:rPr>
            </w:pPr>
            <w:r>
              <w:fldChar w:fldCharType="begin"/>
            </w:r>
            <w:r>
              <w:instrText xml:space="preserve"> HYPERLINK "https://cinea.ec.europa.eu/programmes/life_es" </w:instrText>
            </w:r>
            <w:r>
              <w:fldChar w:fldCharType="separate"/>
            </w:r>
            <w:r w:rsidRPr="005C3B56" w:rsidR="00084C63">
              <w:rPr>
                <w:rStyle w:val="Hyperlink"/>
                <w:rFonts w:ascii="Arial" w:hAnsi="Arial"/>
              </w:rPr>
              <w:t>LIFE (europa.eu)</w:t>
            </w:r>
            <w:r>
              <w:fldChar w:fldCharType="end"/>
            </w:r>
          </w:p>
        </w:tc>
      </w:tr>
      <w:tr w:rsidTr="001E2AAA">
        <w:tblPrEx>
          <w:tblW w:w="10283" w:type="dxa"/>
          <w:jc w:val="center"/>
          <w:tblLayout w:type="fixed"/>
          <w:tblLook w:val="01E0"/>
        </w:tblPrEx>
        <w:trPr>
          <w:jc w:val="center"/>
        </w:trPr>
        <w:tc>
          <w:tcPr>
            <w:tcW w:w="10283" w:type="dxa"/>
            <w:gridSpan w:val="2"/>
            <w:tcBorders>
              <w:bottom w:val="single" w:sz="4" w:space="0" w:color="auto"/>
              <w:right w:val="single" w:sz="4" w:space="0" w:color="auto"/>
            </w:tcBorders>
            <w:shd w:val="clear" w:color="auto" w:fill="E6E6E6"/>
          </w:tcPr>
          <w:p w:rsidR="007C7B04" w:rsidRPr="005C3B56" w:rsidP="00E34618">
            <w:pPr>
              <w:pStyle w:val="ListParagraph"/>
              <w:tabs>
                <w:tab w:val="left" w:pos="-480"/>
              </w:tabs>
              <w:spacing w:before="120" w:after="120"/>
              <w:ind w:left="0"/>
              <w:contextualSpacing w:val="0"/>
              <w:rPr>
                <w:rFonts w:ascii="Arial" w:hAnsi="Arial" w:cs="Arial"/>
                <w:b/>
                <w:i/>
                <w:color w:val="00B050"/>
                <w:sz w:val="20"/>
              </w:rPr>
            </w:pP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0000FF"/>
          </w:tcPr>
          <w:p w:rsidR="001E0806" w:rsidRPr="005C3B56" w:rsidP="00451053">
            <w:pPr>
              <w:keepNext/>
              <w:keepLines/>
              <w:widowControl w:val="0"/>
              <w:spacing w:before="60" w:after="60"/>
              <w:jc w:val="center"/>
              <w:rPr>
                <w:rFonts w:ascii="Arial" w:hAnsi="Arial" w:cs="Arial"/>
                <w:b/>
                <w:sz w:val="22"/>
                <w:szCs w:val="22"/>
              </w:rPr>
            </w:pPr>
            <w:r w:rsidRPr="005C3B56">
              <w:rPr>
                <w:rFonts w:ascii="Arial" w:hAnsi="Arial"/>
                <w:b/>
                <w:sz w:val="22"/>
              </w:rPr>
              <w:t>A. Contexto político, finalidad y ámbito de aplicación de la evaluación</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1E0806" w:rsidRPr="005C3B56" w:rsidP="00CA0D4A">
            <w:pPr>
              <w:keepNext/>
              <w:keepLines/>
              <w:widowControl w:val="0"/>
              <w:spacing w:before="60" w:after="60"/>
              <w:rPr>
                <w:rFonts w:ascii="Arial" w:hAnsi="Arial" w:cs="Arial"/>
                <w:sz w:val="20"/>
              </w:rPr>
            </w:pPr>
            <w:r>
              <w:rPr>
                <w:rFonts w:ascii="Arial" w:hAnsi="Arial"/>
                <w:b/>
                <w:sz w:val="20"/>
              </w:rPr>
              <w:t>Contexto político</w:t>
            </w:r>
          </w:p>
        </w:tc>
      </w:tr>
      <w:tr w:rsidTr="00A86B55">
        <w:tblPrEx>
          <w:tblW w:w="10283" w:type="dxa"/>
          <w:jc w:val="center"/>
          <w:tblLayout w:type="fixed"/>
          <w:tblLook w:val="01E0"/>
        </w:tblPrEx>
        <w:trPr>
          <w:trHeight w:val="3003"/>
          <w:jc w:val="center"/>
        </w:trPr>
        <w:tc>
          <w:tcPr>
            <w:tcW w:w="10283" w:type="dxa"/>
            <w:gridSpan w:val="2"/>
            <w:tcBorders>
              <w:bottom w:val="single" w:sz="4" w:space="0" w:color="auto"/>
            </w:tcBorders>
            <w:shd w:val="clear" w:color="auto" w:fill="auto"/>
          </w:tcPr>
          <w:p w:rsidR="00C76EA0" w:rsidRPr="005C3B56" w:rsidP="00C76EA0">
            <w:pPr>
              <w:pStyle w:val="ListParagraph"/>
              <w:tabs>
                <w:tab w:val="left" w:pos="-480"/>
              </w:tabs>
              <w:spacing w:before="120"/>
              <w:ind w:left="0"/>
              <w:contextualSpacing w:val="0"/>
              <w:jc w:val="both"/>
              <w:rPr>
                <w:rFonts w:ascii="Arial" w:hAnsi="Arial" w:cs="Arial"/>
                <w:sz w:val="20"/>
                <w:szCs w:val="20"/>
              </w:rPr>
            </w:pPr>
            <w:r w:rsidRPr="005C3B56">
              <w:rPr>
                <w:rFonts w:ascii="Arial" w:hAnsi="Arial"/>
                <w:sz w:val="20"/>
              </w:rPr>
              <w:t xml:space="preserve">El programa de medio ambiente y acción por el clima (programa LIFE) se puso en marcha el 29 de abril de 2021 mediante el </w:t>
            </w:r>
            <w:r>
              <w:fldChar w:fldCharType="begin"/>
            </w:r>
            <w:r>
              <w:instrText xml:space="preserve"> HYPERLINK "https://eur-lex.europa.eu/legal-content/EN/TXT/?uri=CELEX%3A32021R0783" </w:instrText>
            </w:r>
            <w:r>
              <w:fldChar w:fldCharType="separate"/>
            </w:r>
            <w:r w:rsidRPr="005C3B56">
              <w:rPr>
                <w:rStyle w:val="Hyperlink"/>
                <w:rFonts w:ascii="Arial" w:hAnsi="Arial"/>
                <w:sz w:val="20"/>
              </w:rPr>
              <w:t>Reglamento 2021/783</w:t>
            </w:r>
            <w:r>
              <w:fldChar w:fldCharType="end"/>
            </w:r>
            <w:r w:rsidRPr="005C3B56">
              <w:rPr>
                <w:rFonts w:ascii="Arial" w:hAnsi="Arial"/>
                <w:sz w:val="20"/>
              </w:rPr>
              <w:t>. Dentro del marco financiero plurianual para el período 2021-2027, el programa LIFE es el único programa de la UE que se dedica específicamente al medio ambiente y a la acción por el clima. Por lo tanto, tiene un papel fundamental en la legislación y las políticas de la UE en materia de medio ambiente, clima y energías limpias.</w:t>
            </w:r>
          </w:p>
          <w:p w:rsidR="00062CF5" w:rsidRPr="005C3B56" w:rsidP="00C76EA0">
            <w:pPr>
              <w:pStyle w:val="ListParagraph"/>
              <w:tabs>
                <w:tab w:val="left" w:pos="-480"/>
              </w:tabs>
              <w:spacing w:before="120"/>
              <w:ind w:left="0"/>
              <w:contextualSpacing w:val="0"/>
              <w:jc w:val="both"/>
              <w:rPr>
                <w:rFonts w:ascii="Arial" w:hAnsi="Arial" w:cs="Arial"/>
                <w:sz w:val="20"/>
                <w:szCs w:val="20"/>
              </w:rPr>
            </w:pPr>
            <w:r w:rsidRPr="005C3B56">
              <w:rPr>
                <w:rFonts w:ascii="Arial" w:hAnsi="Arial"/>
                <w:sz w:val="20"/>
              </w:rPr>
              <w:t xml:space="preserve">El programa LIFE es plenamente acorde con los objetivos y metas del </w:t>
            </w:r>
            <w:r>
              <w:fldChar w:fldCharType="begin"/>
            </w:r>
            <w:r>
              <w:instrText xml:space="preserve"> HYPERLINK "https://commission.europa.eu/strategy-and-policy/priorities-2019-2024/european-green-deal_es" </w:instrText>
            </w:r>
            <w:r>
              <w:fldChar w:fldCharType="separate"/>
            </w:r>
            <w:r w:rsidRPr="005C3B56">
              <w:rPr>
                <w:rStyle w:val="Hyperlink"/>
                <w:rFonts w:ascii="Arial" w:hAnsi="Arial"/>
                <w:sz w:val="20"/>
              </w:rPr>
              <w:t>Pacto Verde Europeo</w:t>
            </w:r>
            <w:r>
              <w:fldChar w:fldCharType="end"/>
            </w:r>
            <w:r w:rsidRPr="005C3B56">
              <w:rPr>
                <w:rFonts w:ascii="Arial" w:hAnsi="Arial"/>
                <w:sz w:val="20"/>
              </w:rPr>
              <w:t>, en particular: constituir una sociedad justa y próspera, con una economía moderna, competitiva y eficiente en su uso de los recursos; bajar las emisiones netas de gases de efecto invernadero a cero de aquí a 2050; alcanzar un crecimiento económico que esté disociado del uso de los recursos; proteger y mejorar el capital natural de la UE; asegurar elevados niveles de salud y bienestar para los ciudadanos; y velar por su protección frente a los riesgos e impactos medioambientales y climáticos.</w:t>
            </w:r>
          </w:p>
          <w:p w:rsidR="00DD0D65" w:rsidRPr="005C3B56" w:rsidP="00C76EA0">
            <w:pPr>
              <w:pStyle w:val="ListParagraph"/>
              <w:tabs>
                <w:tab w:val="left" w:pos="-480"/>
              </w:tabs>
              <w:spacing w:before="120"/>
              <w:ind w:left="0"/>
              <w:contextualSpacing w:val="0"/>
              <w:jc w:val="both"/>
              <w:rPr>
                <w:rFonts w:ascii="Arial" w:hAnsi="Arial" w:cs="Arial"/>
                <w:sz w:val="20"/>
                <w:szCs w:val="20"/>
              </w:rPr>
            </w:pPr>
            <w:r w:rsidRPr="005C3B56">
              <w:rPr>
                <w:rFonts w:ascii="Arial" w:hAnsi="Arial"/>
                <w:sz w:val="20"/>
              </w:rPr>
              <w:t>De conformidad con el artículo 20 del Reglamento LIFE, la Comisión debe llevar a cabo una evaluación intermedia del programa.</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1E0806" w:rsidRPr="005C3B56" w:rsidP="00451053">
            <w:pPr>
              <w:keepNext/>
              <w:keepLines/>
              <w:widowControl w:val="0"/>
              <w:spacing w:before="60" w:after="60"/>
              <w:rPr>
                <w:rFonts w:ascii="Arial" w:hAnsi="Arial" w:cs="Arial"/>
                <w:sz w:val="20"/>
              </w:rPr>
            </w:pPr>
            <w:r w:rsidRPr="005C3B56">
              <w:rPr>
                <w:rFonts w:ascii="Arial" w:hAnsi="Arial"/>
                <w:b/>
                <w:sz w:val="20"/>
              </w:rPr>
              <w:t>Finalidad y ámbito de aplicación</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auto"/>
          </w:tcPr>
          <w:p w:rsidR="00E50FB4" w:rsidRPr="005C3B56" w:rsidP="00A86B55">
            <w:pPr>
              <w:pStyle w:val="ListParagraph"/>
              <w:tabs>
                <w:tab w:val="left" w:pos="-480"/>
              </w:tabs>
              <w:spacing w:before="120"/>
              <w:ind w:left="0"/>
              <w:contextualSpacing w:val="0"/>
              <w:jc w:val="both"/>
              <w:rPr>
                <w:rFonts w:ascii="Arial" w:hAnsi="Arial" w:cs="Arial"/>
                <w:sz w:val="20"/>
                <w:szCs w:val="20"/>
              </w:rPr>
            </w:pPr>
            <w:r w:rsidRPr="005C3B56">
              <w:rPr>
                <w:rFonts w:ascii="Arial" w:hAnsi="Arial"/>
                <w:sz w:val="20"/>
              </w:rPr>
              <w:t>El objetivo de esta evaluación intermedia es mejorar la ejecución del programa LIFE y que la información que se recabe contribuya a fundamentar la propuesta para el programa que le seguirá.</w:t>
            </w:r>
          </w:p>
          <w:p w:rsidR="0093661F" w:rsidRPr="005C3B56" w:rsidP="00A86B55">
            <w:pPr>
              <w:pStyle w:val="ListParagraph"/>
              <w:tabs>
                <w:tab w:val="left" w:pos="-480"/>
              </w:tabs>
              <w:spacing w:before="120"/>
              <w:ind w:left="0"/>
              <w:contextualSpacing w:val="0"/>
              <w:jc w:val="both"/>
              <w:rPr>
                <w:rFonts w:ascii="Arial" w:hAnsi="Arial" w:cs="Arial"/>
                <w:sz w:val="20"/>
                <w:szCs w:val="20"/>
              </w:rPr>
            </w:pPr>
            <w:r w:rsidRPr="005C3B56">
              <w:rPr>
                <w:rFonts w:ascii="Arial" w:hAnsi="Arial"/>
                <w:sz w:val="20"/>
              </w:rPr>
              <w:t>Abarcará las actividades que se enmarcan en los subprogramas LIFE, a saber: Naturaleza y Biodiversidad; Economía Circular y Calidad de Vida Mitigación del Cambio Climático y Adaptación a este; y Transición hacia Energías Limpias durante el período 2021-2024, y se centrará en evaluar si el programa está alcanzando sus objetivos y mant</w:t>
            </w:r>
            <w:r w:rsidR="00CA0D4A">
              <w:rPr>
                <w:rFonts w:ascii="Arial" w:hAnsi="Arial"/>
                <w:sz w:val="20"/>
              </w:rPr>
              <w:t>eniendo su enfoque estratégico.</w:t>
            </w:r>
          </w:p>
          <w:p w:rsidR="00A86B55" w:rsidRPr="005C3B56" w:rsidP="007A73E4">
            <w:pPr>
              <w:pStyle w:val="ListParagraph"/>
              <w:tabs>
                <w:tab w:val="left" w:pos="-480"/>
              </w:tabs>
              <w:spacing w:before="120"/>
              <w:ind w:left="0"/>
              <w:contextualSpacing w:val="0"/>
              <w:jc w:val="both"/>
              <w:rPr>
                <w:rFonts w:ascii="Arial" w:hAnsi="Arial" w:cs="Arial"/>
                <w:sz w:val="20"/>
                <w:szCs w:val="20"/>
              </w:rPr>
            </w:pPr>
            <w:r w:rsidRPr="005C3B56">
              <w:rPr>
                <w:rFonts w:ascii="Arial" w:hAnsi="Arial"/>
                <w:sz w:val="20"/>
              </w:rPr>
              <w:t>Aunque algunos de los efectos previstos del programa pueden no ser evidentes todavía, el análisis hará el mejor uso posible de toda la información actualmente disponible, es decir, los resultados de los proyectos que estén a punto de finalizar o que se encuentren en una fase muy avanzada de ejecución. El análisis también tendrá en cuenta en qué medida el programa se ha basado en los logros de los programas medioambientales anteriores, así como los nuevos elementos introducidos en el pro</w:t>
            </w:r>
            <w:r w:rsidR="00CA0D4A">
              <w:rPr>
                <w:rFonts w:ascii="Arial" w:hAnsi="Arial"/>
                <w:sz w:val="20"/>
              </w:rPr>
              <w:t>grama LIFE actual, entre ellos:</w:t>
            </w:r>
          </w:p>
          <w:p w:rsidR="00A86B55" w:rsidRPr="005C3B56" w:rsidP="00A86B55">
            <w:pPr>
              <w:pStyle w:val="ListParagraph"/>
              <w:tabs>
                <w:tab w:val="left" w:pos="-480"/>
              </w:tabs>
              <w:spacing w:before="120"/>
              <w:ind w:left="0"/>
              <w:contextualSpacing w:val="0"/>
              <w:jc w:val="both"/>
              <w:rPr>
                <w:rFonts w:ascii="Arial" w:hAnsi="Arial" w:cs="Arial"/>
                <w:sz w:val="20"/>
                <w:szCs w:val="20"/>
              </w:rPr>
            </w:pPr>
            <w:r w:rsidRPr="005C3B56">
              <w:rPr>
                <w:rFonts w:ascii="Arial" w:hAnsi="Arial"/>
                <w:sz w:val="20"/>
              </w:rPr>
              <w:t>1. La acción reforzada en materia de naturaleza y biodiversidad con un ámbito de aplicación ampliado y un apoyo específico a los programas de acción coordinados en los Estados miembros.</w:t>
            </w:r>
          </w:p>
          <w:p w:rsidR="00A86B55" w:rsidRPr="005C3B56" w:rsidP="00A86B55">
            <w:pPr>
              <w:pStyle w:val="ListParagraph"/>
              <w:tabs>
                <w:tab w:val="left" w:pos="-480"/>
              </w:tabs>
              <w:spacing w:before="120"/>
              <w:ind w:left="0"/>
              <w:contextualSpacing w:val="0"/>
              <w:jc w:val="both"/>
              <w:rPr>
                <w:rFonts w:ascii="Arial" w:hAnsi="Arial" w:cs="Arial"/>
                <w:sz w:val="20"/>
                <w:szCs w:val="20"/>
              </w:rPr>
            </w:pPr>
            <w:r w:rsidRPr="005C3B56">
              <w:rPr>
                <w:rFonts w:ascii="Arial" w:hAnsi="Arial"/>
                <w:sz w:val="20"/>
              </w:rPr>
              <w:t>2. El objetivo del 61 % para los gastos en apo</w:t>
            </w:r>
            <w:r w:rsidR="00CA0D4A">
              <w:rPr>
                <w:rFonts w:ascii="Arial" w:hAnsi="Arial"/>
                <w:sz w:val="20"/>
              </w:rPr>
              <w:t>yo de los objetivos climáticos.</w:t>
            </w:r>
          </w:p>
          <w:p w:rsidR="00A86B55" w:rsidRPr="005C3B56" w:rsidP="00A86B55">
            <w:pPr>
              <w:pStyle w:val="ListParagraph"/>
              <w:tabs>
                <w:tab w:val="left" w:pos="-480"/>
              </w:tabs>
              <w:spacing w:before="120"/>
              <w:ind w:left="0"/>
              <w:contextualSpacing w:val="0"/>
              <w:jc w:val="both"/>
              <w:rPr>
                <w:rFonts w:ascii="Arial" w:hAnsi="Arial" w:cs="Arial"/>
                <w:sz w:val="20"/>
                <w:szCs w:val="20"/>
              </w:rPr>
            </w:pPr>
            <w:r w:rsidRPr="005C3B56">
              <w:rPr>
                <w:rFonts w:ascii="Arial" w:hAnsi="Arial"/>
                <w:sz w:val="20"/>
              </w:rPr>
              <w:t>3. La acción reforzada en materia de eficiencia energética y energías renovables, con el lanzamiento del nuevo subprograma LIFE de Tra</w:t>
            </w:r>
            <w:r w:rsidR="00CA0D4A">
              <w:rPr>
                <w:rFonts w:ascii="Arial" w:hAnsi="Arial"/>
                <w:sz w:val="20"/>
              </w:rPr>
              <w:t>nsición hacia Energías Limpias.</w:t>
            </w:r>
          </w:p>
          <w:p w:rsidR="00A86B55" w:rsidRPr="005C3B56" w:rsidP="00A86B55">
            <w:pPr>
              <w:pStyle w:val="ListParagraph"/>
              <w:tabs>
                <w:tab w:val="left" w:pos="-480"/>
              </w:tabs>
              <w:spacing w:before="120"/>
              <w:ind w:left="0"/>
              <w:contextualSpacing w:val="0"/>
              <w:jc w:val="both"/>
              <w:rPr>
                <w:rFonts w:ascii="Arial" w:hAnsi="Arial" w:cs="Arial"/>
                <w:sz w:val="20"/>
                <w:szCs w:val="20"/>
              </w:rPr>
            </w:pPr>
            <w:r w:rsidRPr="005C3B56">
              <w:rPr>
                <w:rFonts w:ascii="Arial" w:hAnsi="Arial"/>
                <w:sz w:val="20"/>
              </w:rPr>
              <w:t>4. Más oportunidades para que se establezcan sinergia</w:t>
            </w:r>
            <w:r w:rsidR="00CA0D4A">
              <w:rPr>
                <w:rFonts w:ascii="Arial" w:hAnsi="Arial"/>
                <w:sz w:val="20"/>
              </w:rPr>
              <w:t>s con otros fondos y programas.</w:t>
            </w:r>
          </w:p>
          <w:p w:rsidR="00A86B55" w:rsidRPr="005C3B56" w:rsidP="00A86B55">
            <w:pPr>
              <w:pStyle w:val="ListParagraph"/>
              <w:tabs>
                <w:tab w:val="left" w:pos="-480"/>
              </w:tabs>
              <w:spacing w:before="120"/>
              <w:ind w:left="0"/>
              <w:contextualSpacing w:val="0"/>
              <w:jc w:val="both"/>
              <w:rPr>
                <w:rFonts w:ascii="Arial" w:hAnsi="Arial" w:cs="Arial"/>
                <w:sz w:val="20"/>
                <w:szCs w:val="20"/>
              </w:rPr>
            </w:pPr>
            <w:r w:rsidRPr="005C3B56">
              <w:rPr>
                <w:rFonts w:ascii="Arial" w:hAnsi="Arial"/>
                <w:sz w:val="20"/>
              </w:rPr>
              <w:t>5. Un mayor impacto en os retos sociales, aunando esfuerzos con el programa «Horizonte Europa» y en particular con sus mision</w:t>
            </w:r>
            <w:r w:rsidR="00CA0D4A">
              <w:rPr>
                <w:rFonts w:ascii="Arial" w:hAnsi="Arial"/>
                <w:sz w:val="20"/>
              </w:rPr>
              <w:t>es.</w:t>
            </w:r>
          </w:p>
          <w:p w:rsidR="00E50FB4" w:rsidRPr="005C3B56" w:rsidP="00A86B55">
            <w:pPr>
              <w:pStyle w:val="ListParagraph"/>
              <w:tabs>
                <w:tab w:val="left" w:pos="-480"/>
              </w:tabs>
              <w:spacing w:before="120"/>
              <w:ind w:left="0"/>
              <w:contextualSpacing w:val="0"/>
              <w:jc w:val="both"/>
              <w:rPr>
                <w:rFonts w:ascii="Arial" w:hAnsi="Arial" w:cs="Arial"/>
                <w:sz w:val="20"/>
                <w:szCs w:val="20"/>
              </w:rPr>
            </w:pPr>
            <w:r w:rsidRPr="005C3B56">
              <w:rPr>
                <w:rFonts w:ascii="Arial" w:hAnsi="Arial"/>
                <w:sz w:val="20"/>
              </w:rPr>
              <w:t>6. Un ámbito geográfico ampliado que incluya a los países y territorios de ultramar (PTU).</w:t>
            </w:r>
          </w:p>
          <w:p w:rsidR="0065395C" w:rsidRPr="005C3B56" w:rsidP="00A86B55">
            <w:pPr>
              <w:pStyle w:val="ListParagraph"/>
              <w:tabs>
                <w:tab w:val="left" w:pos="-480"/>
              </w:tabs>
              <w:spacing w:before="120"/>
              <w:ind w:left="0"/>
              <w:contextualSpacing w:val="0"/>
              <w:jc w:val="both"/>
              <w:rPr>
                <w:rFonts w:ascii="Arial" w:hAnsi="Arial" w:cs="Arial"/>
                <w:sz w:val="20"/>
                <w:szCs w:val="20"/>
              </w:rPr>
            </w:pPr>
            <w:r w:rsidRPr="005C3B56">
              <w:rPr>
                <w:rFonts w:ascii="Arial" w:hAnsi="Arial"/>
                <w:sz w:val="20"/>
              </w:rPr>
              <w:t>El informe de evaluación también abordará la coherencia del programa LIFE con las acciones en materia de medio ambiente, clima y energías limpias financiadas por otros programas e iniciativas de gasto de la UE, y la forma en que la financiación nacional en materia de medio ambiente, clima y energía por parte de los Estados miembros comple</w:t>
            </w:r>
            <w:r w:rsidR="00CA0D4A">
              <w:rPr>
                <w:rFonts w:ascii="Arial" w:hAnsi="Arial"/>
                <w:sz w:val="20"/>
              </w:rPr>
              <w:t>menta la financiación de la UE.</w:t>
            </w:r>
          </w:p>
          <w:p w:rsidR="00C76EA0" w:rsidRPr="005C3B56" w:rsidP="00A86B55">
            <w:pPr>
              <w:pStyle w:val="ListParagraph"/>
              <w:tabs>
                <w:tab w:val="left" w:pos="-480"/>
              </w:tabs>
              <w:spacing w:before="120"/>
              <w:ind w:left="0"/>
              <w:contextualSpacing w:val="0"/>
              <w:jc w:val="both"/>
              <w:rPr>
                <w:rFonts w:ascii="Arial" w:hAnsi="Arial" w:cs="Arial"/>
                <w:sz w:val="20"/>
                <w:szCs w:val="20"/>
              </w:rPr>
            </w:pPr>
            <w:r w:rsidRPr="005C3B56">
              <w:rPr>
                <w:rFonts w:ascii="Arial" w:hAnsi="Arial"/>
                <w:sz w:val="20"/>
              </w:rPr>
              <w:t>Esta evaluación intermedia forma parte integrante del proceso de elaboración de políticas de la Comisión y permite a los responsables políticos tomar decisiones sobre la base de los mejores datos disponibles. La evaluación producirá una valoración crítica y basada en pruebas, utilizando datos sólidos y fiables extraídos de una serie de fuentes y analizados de manera adecuada. Presentará una clara concatenación lógica entre los datos, el análisis y las conclusiones y pondrá de relieve los puntos fuertes y débiles del programa.</w:t>
            </w:r>
          </w:p>
          <w:p w:rsidR="001E0806" w:rsidRPr="005C3B56" w:rsidP="00A86B55">
            <w:pPr>
              <w:pStyle w:val="ListParagraph"/>
              <w:tabs>
                <w:tab w:val="left" w:pos="-480"/>
              </w:tabs>
              <w:spacing w:before="120"/>
              <w:ind w:left="0"/>
              <w:contextualSpacing w:val="0"/>
              <w:jc w:val="both"/>
              <w:rPr>
                <w:rFonts w:ascii="Arial" w:hAnsi="Arial" w:cs="Arial"/>
                <w:sz w:val="20"/>
                <w:szCs w:val="20"/>
              </w:rPr>
            </w:pPr>
            <w:r w:rsidRPr="005C3B56">
              <w:rPr>
                <w:rFonts w:ascii="Arial" w:hAnsi="Arial"/>
                <w:sz w:val="20"/>
              </w:rPr>
              <w:t>Por último, la evaluación intermedia recomendará ajustes en la forma en que se diseña y ejecuta el programa actualmente para mejorar su rendimiento en la segunda mitad del período de ejecución y aportar información útil para la preparación del período posterior a 2027.</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0000FF"/>
          </w:tcPr>
          <w:p w:rsidR="001E0806" w:rsidRPr="005C3B56" w:rsidP="00451053">
            <w:pPr>
              <w:keepNext/>
              <w:keepLines/>
              <w:widowControl w:val="0"/>
              <w:spacing w:before="60" w:after="60"/>
              <w:jc w:val="center"/>
              <w:rPr>
                <w:rFonts w:ascii="Arial" w:hAnsi="Arial" w:cs="Arial"/>
                <w:b/>
                <w:sz w:val="22"/>
                <w:szCs w:val="22"/>
              </w:rPr>
            </w:pPr>
            <w:r w:rsidRPr="005C3B56">
              <w:rPr>
                <w:rFonts w:ascii="Arial" w:hAnsi="Arial"/>
                <w:b/>
                <w:sz w:val="22"/>
                <w:highlight w:val="blue"/>
              </w:rPr>
              <w:t>B. Mejora de la legislación</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E6E6E6"/>
          </w:tcPr>
          <w:p w:rsidR="001E0806" w:rsidRPr="005C3B56" w:rsidP="00451053">
            <w:pPr>
              <w:keepNext/>
              <w:keepLines/>
              <w:widowControl w:val="0"/>
              <w:spacing w:before="60" w:after="60"/>
              <w:rPr>
                <w:rFonts w:ascii="Arial" w:hAnsi="Arial" w:cs="Arial"/>
                <w:sz w:val="20"/>
              </w:rPr>
            </w:pPr>
            <w:r w:rsidRPr="005C3B56">
              <w:rPr>
                <w:rFonts w:ascii="Arial" w:hAnsi="Arial"/>
                <w:b/>
                <w:sz w:val="20"/>
              </w:rPr>
              <w:t>Estrategia de consulta</w:t>
            </w:r>
          </w:p>
        </w:tc>
      </w:tr>
      <w:tr w:rsidTr="001E2AAA">
        <w:tblPrEx>
          <w:tblW w:w="10283" w:type="dxa"/>
          <w:jc w:val="center"/>
          <w:tblLayout w:type="fixed"/>
          <w:tblLook w:val="01E0"/>
        </w:tblPrEx>
        <w:trPr>
          <w:jc w:val="center"/>
        </w:trPr>
        <w:tc>
          <w:tcPr>
            <w:tcW w:w="10283" w:type="dxa"/>
            <w:gridSpan w:val="2"/>
            <w:tcBorders>
              <w:bottom w:val="single" w:sz="4" w:space="0" w:color="auto"/>
            </w:tcBorders>
            <w:shd w:val="clear" w:color="auto" w:fill="auto"/>
          </w:tcPr>
          <w:p w:rsidR="00F172A3" w:rsidRPr="005C3B56" w:rsidP="00356FFA">
            <w:pPr>
              <w:pStyle w:val="ListParagraph"/>
              <w:tabs>
                <w:tab w:val="left" w:pos="-480"/>
              </w:tabs>
              <w:ind w:left="0"/>
              <w:contextualSpacing w:val="0"/>
              <w:jc w:val="both"/>
              <w:rPr>
                <w:rFonts w:ascii="Arial" w:hAnsi="Arial" w:cs="Arial"/>
                <w:sz w:val="20"/>
                <w:szCs w:val="20"/>
              </w:rPr>
            </w:pPr>
            <w:r w:rsidRPr="005C3B56">
              <w:rPr>
                <w:rFonts w:ascii="Arial" w:hAnsi="Arial"/>
                <w:sz w:val="20"/>
              </w:rPr>
              <w:t>Como soporte a la evaluación, se emplearán diversas herramientas de consulta para recopilar datos y opiniones de una amplia gama de p</w:t>
            </w:r>
            <w:r w:rsidR="00CA0D4A">
              <w:rPr>
                <w:rFonts w:ascii="Arial" w:hAnsi="Arial"/>
                <w:sz w:val="20"/>
              </w:rPr>
              <w:t>artes interesadas. Por ejemplo:</w:t>
            </w:r>
          </w:p>
          <w:p w:rsidR="00F172A3" w:rsidRPr="005C3B56" w:rsidP="00356FFA">
            <w:pPr>
              <w:pStyle w:val="ListParagraph"/>
              <w:tabs>
                <w:tab w:val="left" w:pos="-480"/>
              </w:tabs>
              <w:ind w:left="0"/>
              <w:contextualSpacing w:val="0"/>
              <w:jc w:val="both"/>
              <w:rPr>
                <w:rFonts w:ascii="Arial" w:hAnsi="Arial" w:cs="Arial"/>
                <w:sz w:val="20"/>
                <w:szCs w:val="20"/>
              </w:rPr>
            </w:pPr>
            <w:r w:rsidRPr="005C3B56">
              <w:rPr>
                <w:rFonts w:ascii="Symbol" w:hAnsi="Symbol"/>
                <w:sz w:val="20"/>
              </w:rPr>
              <w:sym w:font="Symbol" w:char="F0B7"/>
            </w:r>
            <w:r w:rsidRPr="005C3B56">
              <w:rPr>
                <w:rFonts w:ascii="Arial" w:hAnsi="Arial"/>
                <w:sz w:val="20"/>
              </w:rPr>
              <w:t xml:space="preserve"> una consulta específica en forma de encuesta que se pondrá en marcha en el primer trimestre de 2024 para recabar opiniones sobre diferentes aspectos de la ejecución del programa LIFE y sobre las preguntas de la evaluación; y</w:t>
            </w:r>
          </w:p>
          <w:p w:rsidR="00F172A3" w:rsidRPr="005C3B56" w:rsidP="00356FFA">
            <w:pPr>
              <w:pStyle w:val="ListParagraph"/>
              <w:tabs>
                <w:tab w:val="left" w:pos="-480"/>
              </w:tabs>
              <w:ind w:left="0"/>
              <w:contextualSpacing w:val="0"/>
              <w:jc w:val="both"/>
              <w:rPr>
                <w:rFonts w:ascii="Arial" w:hAnsi="Arial" w:cs="Arial"/>
                <w:sz w:val="20"/>
                <w:szCs w:val="20"/>
              </w:rPr>
            </w:pPr>
            <w:r w:rsidRPr="005C3B56">
              <w:rPr>
                <w:rFonts w:ascii="Symbol" w:hAnsi="Symbol"/>
                <w:sz w:val="20"/>
              </w:rPr>
              <w:sym w:font="Symbol" w:char="F0B7"/>
            </w:r>
            <w:r w:rsidRPr="005C3B56">
              <w:rPr>
                <w:rFonts w:ascii="Arial" w:hAnsi="Arial"/>
                <w:sz w:val="20"/>
              </w:rPr>
              <w:t xml:space="preserve"> entrevistas específicas con las principales partes interesadas, </w:t>
            </w:r>
            <w:r w:rsidR="00CA0D4A">
              <w:rPr>
                <w:rFonts w:ascii="Arial" w:hAnsi="Arial"/>
                <w:sz w:val="20"/>
              </w:rPr>
              <w:t>que se llevarán a cabo en 2024.</w:t>
            </w:r>
          </w:p>
          <w:p w:rsidR="00FE2E6D" w:rsidRPr="005C3B56" w:rsidP="00356FFA">
            <w:pPr>
              <w:pStyle w:val="ListParagraph"/>
              <w:tabs>
                <w:tab w:val="left" w:pos="-480"/>
              </w:tabs>
              <w:ind w:left="0"/>
              <w:contextualSpacing w:val="0"/>
              <w:jc w:val="both"/>
              <w:rPr>
                <w:rFonts w:ascii="Arial" w:hAnsi="Arial" w:cs="Arial"/>
                <w:sz w:val="20"/>
                <w:szCs w:val="20"/>
              </w:rPr>
            </w:pPr>
          </w:p>
          <w:p w:rsidR="00DD0D65" w:rsidRPr="005C3B56" w:rsidP="00356FFA">
            <w:pPr>
              <w:pStyle w:val="ListParagraph"/>
              <w:tabs>
                <w:tab w:val="left" w:pos="-480"/>
              </w:tabs>
              <w:spacing w:after="120"/>
              <w:ind w:left="0"/>
              <w:contextualSpacing w:val="0"/>
              <w:jc w:val="both"/>
              <w:rPr>
                <w:rFonts w:ascii="Arial" w:hAnsi="Arial" w:cs="Arial"/>
                <w:sz w:val="20"/>
                <w:szCs w:val="20"/>
              </w:rPr>
            </w:pPr>
            <w:r w:rsidRPr="005C3B56">
              <w:rPr>
                <w:rFonts w:ascii="Arial" w:hAnsi="Arial"/>
                <w:sz w:val="20"/>
              </w:rPr>
              <w:t>Se elaborará un informe de síntesis en el que se resuman los resultados de estas actividades de consulta.</w:t>
            </w:r>
          </w:p>
        </w:tc>
      </w:tr>
      <w:tr w:rsidTr="007F1916">
        <w:tblPrEx>
          <w:tblW w:w="10283" w:type="dxa"/>
          <w:jc w:val="center"/>
          <w:tblLayout w:type="fixed"/>
          <w:tblLook w:val="01E0"/>
        </w:tblPrEx>
        <w:trPr>
          <w:jc w:val="center"/>
        </w:trPr>
        <w:tc>
          <w:tcPr>
            <w:tcW w:w="10283" w:type="dxa"/>
            <w:gridSpan w:val="2"/>
            <w:shd w:val="clear" w:color="auto" w:fill="auto"/>
          </w:tcPr>
          <w:p w:rsidR="001E0806" w:rsidRPr="005C3B56" w:rsidP="00451053">
            <w:pPr>
              <w:keepNext/>
              <w:keepLines/>
              <w:widowControl w:val="0"/>
              <w:spacing w:before="60" w:after="60"/>
              <w:rPr>
                <w:rFonts w:ascii="Arial" w:hAnsi="Arial" w:cs="Arial"/>
                <w:sz w:val="20"/>
              </w:rPr>
            </w:pPr>
            <w:r w:rsidRPr="005C3B56">
              <w:rPr>
                <w:rFonts w:ascii="Arial" w:hAnsi="Arial"/>
                <w:b/>
                <w:sz w:val="20"/>
              </w:rPr>
              <w:t>Recogida de datos y metodología</w:t>
            </w:r>
          </w:p>
        </w:tc>
      </w:tr>
      <w:tr w:rsidTr="001E2AAA">
        <w:tblPrEx>
          <w:tblW w:w="10283" w:type="dxa"/>
          <w:jc w:val="center"/>
          <w:tblLayout w:type="fixed"/>
          <w:tblLook w:val="01E0"/>
        </w:tblPrEx>
        <w:trPr>
          <w:jc w:val="center"/>
        </w:trPr>
        <w:tc>
          <w:tcPr>
            <w:tcW w:w="10283" w:type="dxa"/>
            <w:gridSpan w:val="2"/>
            <w:shd w:val="clear" w:color="auto" w:fill="auto"/>
          </w:tcPr>
          <w:p w:rsidR="00414B41" w:rsidRPr="005C3B56" w:rsidP="00356FFA">
            <w:pPr>
              <w:keepNext/>
              <w:keepLines/>
              <w:widowControl w:val="0"/>
              <w:spacing w:before="120" w:after="0"/>
              <w:rPr>
                <w:rFonts w:ascii="Arial" w:hAnsi="Arial" w:cs="Arial"/>
                <w:sz w:val="20"/>
              </w:rPr>
            </w:pPr>
            <w:r w:rsidRPr="005C3B56">
              <w:rPr>
                <w:rFonts w:ascii="Arial" w:hAnsi="Arial"/>
                <w:sz w:val="20"/>
              </w:rPr>
              <w:t>La evaluación estará respaldada por un estudio a cargo de un contratista externo elaborado con los mejores datos y pruebas ofi</w:t>
            </w:r>
            <w:r w:rsidR="00CA0D4A">
              <w:rPr>
                <w:rFonts w:ascii="Arial" w:hAnsi="Arial"/>
                <w:sz w:val="20"/>
              </w:rPr>
              <w:t>ciales disponibles, incluyendo:</w:t>
            </w:r>
          </w:p>
          <w:p w:rsidR="00414B41" w:rsidRPr="005C3B56" w:rsidP="00356FFA">
            <w:pPr>
              <w:pStyle w:val="ListParagraph"/>
              <w:keepNext/>
              <w:keepLines/>
              <w:widowControl w:val="0"/>
              <w:numPr>
                <w:ilvl w:val="0"/>
                <w:numId w:val="44"/>
              </w:numPr>
              <w:contextualSpacing w:val="0"/>
              <w:rPr>
                <w:rFonts w:ascii="Arial" w:hAnsi="Arial" w:cs="Arial"/>
                <w:sz w:val="20"/>
                <w:szCs w:val="20"/>
              </w:rPr>
            </w:pPr>
            <w:r w:rsidRPr="005C3B56">
              <w:rPr>
                <w:rFonts w:ascii="Arial" w:hAnsi="Arial"/>
                <w:sz w:val="20"/>
              </w:rPr>
              <w:t>los indicadores de seguimiento y notificación del programa; y</w:t>
            </w:r>
          </w:p>
          <w:p w:rsidR="0051023B" w:rsidRPr="005C3B56" w:rsidP="00356FFA">
            <w:pPr>
              <w:pStyle w:val="ListParagraph"/>
              <w:keepNext/>
              <w:keepLines/>
              <w:widowControl w:val="0"/>
              <w:numPr>
                <w:ilvl w:val="0"/>
                <w:numId w:val="44"/>
              </w:numPr>
              <w:contextualSpacing w:val="0"/>
              <w:rPr>
                <w:rFonts w:ascii="Arial" w:hAnsi="Arial" w:cs="Arial"/>
                <w:sz w:val="20"/>
                <w:szCs w:val="20"/>
              </w:rPr>
            </w:pPr>
            <w:r w:rsidRPr="005C3B56">
              <w:rPr>
                <w:rFonts w:ascii="Arial" w:hAnsi="Arial"/>
                <w:sz w:val="20"/>
              </w:rPr>
              <w:t>los datos y pruebas relacionados con los proyectos financiados en el marco del programa LIFE.</w:t>
            </w:r>
          </w:p>
          <w:p w:rsidR="0068370A" w:rsidRPr="005C3B56" w:rsidP="00356FFA">
            <w:pPr>
              <w:keepNext/>
              <w:keepLines/>
              <w:widowControl w:val="0"/>
              <w:spacing w:after="120"/>
              <w:rPr>
                <w:rFonts w:ascii="Arial" w:hAnsi="Arial" w:cs="Arial"/>
                <w:sz w:val="20"/>
                <w:lang w:eastAsia="en-GB"/>
              </w:rPr>
            </w:pPr>
          </w:p>
          <w:p w:rsidR="001E0806" w:rsidRPr="005C3B56" w:rsidP="00356FFA">
            <w:pPr>
              <w:keepNext/>
              <w:keepLines/>
              <w:widowControl w:val="0"/>
              <w:spacing w:after="120"/>
              <w:rPr>
                <w:rFonts w:ascii="Arial" w:hAnsi="Arial" w:cs="Arial"/>
                <w:sz w:val="20"/>
              </w:rPr>
            </w:pPr>
            <w:r w:rsidRPr="005C3B56">
              <w:rPr>
                <w:rFonts w:ascii="Arial" w:hAnsi="Arial"/>
                <w:sz w:val="20"/>
              </w:rPr>
              <w:t xml:space="preserve">Se recopilarán datos adicionales a través de diversas actividades de consulta dirigidas a las </w:t>
            </w:r>
            <w:r w:rsidR="00CA0D4A">
              <w:rPr>
                <w:rFonts w:ascii="Arial" w:hAnsi="Arial"/>
                <w:sz w:val="20"/>
              </w:rPr>
              <w:t>principales partes interesadas.</w:t>
            </w:r>
          </w:p>
          <w:p w:rsidR="004F2431" w:rsidRPr="005C3B56" w:rsidP="004F2431">
            <w:pPr>
              <w:keepNext/>
              <w:keepLines/>
              <w:widowControl w:val="0"/>
              <w:spacing w:after="120"/>
              <w:rPr>
                <w:rFonts w:ascii="Arial" w:hAnsi="Arial" w:cs="Arial"/>
                <w:sz w:val="20"/>
              </w:rPr>
            </w:pPr>
            <w:r w:rsidRPr="005C3B56">
              <w:rPr>
                <w:rFonts w:ascii="Arial" w:hAnsi="Arial"/>
                <w:sz w:val="20"/>
              </w:rPr>
              <w:t>Se tendrán en cuenta también otras evaluaciones, en particular la que se realizó para medir el impacto del Programa LIFE 2021-2027 y la evaluación final del Programa LIFE 2014-2021. Con el objetivo de valorar la continuidad de los objetivos y actividades del programa LIFE en los programas posteriores, esta evaluación intermedia también examinará proyectos anteriores, especialmente en cuanto a sus impactos, éxitos y enseñanzas extraídas.</w:t>
            </w:r>
          </w:p>
        </w:tc>
      </w:tr>
    </w:tbl>
    <w:p w:rsidR="001E0806" w:rsidRPr="005C3B56" w:rsidP="00572BB2">
      <w:bookmarkEnd w:id="0"/>
    </w:p>
    <w:sectPr w:rsidSect="003F369F">
      <w:footerReference w:type="default" r:id="rId10"/>
      <w:headerReference w:type="first" r:id="rId11"/>
      <w:pgSz w:w="11906" w:h="16838"/>
      <w:pgMar w:top="1020" w:right="1701" w:bottom="1020" w:left="1587" w:header="601" w:footer="1077"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3AB">
    <w:pPr>
      <w:pStyle w:val="Footer"/>
      <w:jc w:val="center"/>
    </w:pPr>
    <w:r>
      <w:fldChar w:fldCharType="begin"/>
    </w:r>
    <w:r>
      <w:instrText>PAGE</w:instrText>
    </w:r>
    <w:r>
      <w:fldChar w:fldCharType="separate"/>
    </w:r>
    <w:r w:rsidR="003F6675">
      <w:rPr>
        <w:noProof/>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3AB" w:rsidP="004B1D74">
    <w:pPr>
      <w:pStyle w:val="Header"/>
      <w:spacing w:after="0"/>
      <w:jc w:val="center"/>
    </w:pPr>
    <w:r>
      <w:rPr>
        <w:rFonts w:ascii="Arial" w:hAnsi="Arial"/>
        <w:noProof/>
        <w:lang w:eastAsia="es-ES"/>
      </w:rPr>
      <w:drawing>
        <wp:inline distT="0" distB="0" distL="0" distR="0">
          <wp:extent cx="1908175" cy="508635"/>
          <wp:effectExtent l="0" t="0" r="0" b="5715"/>
          <wp:docPr id="4" name="Picture 4" descr="logo-ce-horizontal-en-quadri-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e-horizontal-en-quadri-l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908175" cy="508635"/>
                  </a:xfrm>
                  <a:prstGeom prst="rect">
                    <a:avLst/>
                  </a:prstGeom>
                  <a:noFill/>
                  <a:ln>
                    <a:noFill/>
                  </a:ln>
                </pic:spPr>
              </pic:pic>
            </a:graphicData>
          </a:graphic>
        </wp:inline>
      </w:drawing>
    </w:r>
  </w:p>
  <w:p w:rsidR="004B1D74" w:rsidP="004B1D74">
    <w:pPr>
      <w:pStyle w:val="Heade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rning" style="width:14.15pt;height:14.15pt" o:bullet="t">
        <v:imagedata r:id="rId1" o:title="warning"/>
      </v:shape>
    </w:pict>
  </w:numPicBullet>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8DE61A8"/>
    <w:multiLevelType w:val="hybridMultilevel"/>
    <w:tmpl w:val="686A40CA"/>
    <w:name w:val="LegalNumParListTemplate3"/>
    <w:lvl w:ilvl="0">
      <w:start w:val="1"/>
      <w:numFmt w:val="decimal"/>
      <w:lvlText w:val="%1."/>
      <w:lvlJc w:val="left"/>
      <w:pPr>
        <w:tabs>
          <w:tab w:val="num" w:pos="476"/>
        </w:tabs>
        <w:ind w:left="476" w:hanging="47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0D5E5F"/>
    <w:multiLevelType w:val="hybridMultilevel"/>
    <w:tmpl w:val="594C4F24"/>
    <w:lvl w:ilvl="0">
      <w:start w:val="1"/>
      <w:numFmt w:val="bullet"/>
      <w:lvlText w:val=""/>
      <w:lvlJc w:val="left"/>
      <w:pPr>
        <w:ind w:left="360" w:hanging="360"/>
      </w:pPr>
      <w:rPr>
        <w:rFonts w:ascii="Symbol" w:hAnsi="Symbol" w:hint="default"/>
      </w:rPr>
    </w:lvl>
    <w:lvl w:ilvl="1">
      <w:start w:val="0"/>
      <w:numFmt w:val="bullet"/>
      <w:lvlText w:val="-"/>
      <w:lvlJc w:val="left"/>
      <w:pPr>
        <w:ind w:left="1080" w:hanging="360"/>
      </w:pPr>
      <w:rPr>
        <w:rFonts w:ascii="Times New Roman" w:eastAsia="Times New Roman" w:hAnsi="Times New Roman" w:cs="Times New Roman"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7B469AF"/>
    <w:multiLevelType w:val="hybridMultilevel"/>
    <w:tmpl w:val="7E389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D5E2CC9"/>
    <w:multiLevelType w:val="hybridMultilevel"/>
    <w:tmpl w:val="D250EE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3">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3C3D2A"/>
    <w:multiLevelType w:val="hybridMultilevel"/>
    <w:tmpl w:val="ECECCB5E"/>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color w:val="00B05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6">
    <w:nsid w:val="3B0C7C5F"/>
    <w:multiLevelType w:val="hybridMultilevel"/>
    <w:tmpl w:val="5B5EA2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8">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9">
    <w:nsid w:val="49F344F8"/>
    <w:multiLevelType w:val="hybridMultilevel"/>
    <w:tmpl w:val="38F6A57C"/>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B483D5E"/>
    <w:multiLevelType w:val="hybridMultilevel"/>
    <w:tmpl w:val="55C27790"/>
    <w:lvl w:ilvl="0">
      <w:start w:val="1"/>
      <w:numFmt w:val="decimal"/>
      <w:pStyle w:val="IAToolChapterHeading"/>
      <w:lvlText w:val="Tool #%1."/>
      <w:lvlJc w:val="left"/>
      <w:pPr>
        <w:ind w:left="717" w:hanging="360"/>
      </w:pPr>
      <w:rPr>
        <w:rFonts w:hint="default"/>
        <w:b/>
        <w:i w:val="0"/>
        <w:cap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F083460"/>
    <w:multiLevelType w:val="hybridMultilevel"/>
    <w:tmpl w:val="23D043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1F15440"/>
    <w:multiLevelType w:val="hybridMultilevel"/>
    <w:tmpl w:val="B7BE73E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3B87331"/>
    <w:multiLevelType w:val="hybridMultilevel"/>
    <w:tmpl w:val="DFCEA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25">
    <w:nsid w:val="59E26D03"/>
    <w:multiLevelType w:val="hybridMultilevel"/>
    <w:tmpl w:val="987E992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7">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8">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9">
    <w:nsid w:val="68CA48DB"/>
    <w:multiLevelType w:val="hybridMultilevel"/>
    <w:tmpl w:val="99667A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6B432AA0"/>
    <w:multiLevelType w:val="hybridMultilevel"/>
    <w:tmpl w:val="0652E4E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C41534E"/>
    <w:multiLevelType w:val="hybridMultilevel"/>
    <w:tmpl w:val="F8265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33">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29F09D4"/>
    <w:multiLevelType w:val="hybridMultilevel"/>
    <w:tmpl w:val="41B67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530130B"/>
    <w:multiLevelType w:val="hybridMultilevel"/>
    <w:tmpl w:val="D3CA85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AE21647"/>
    <w:multiLevelType w:val="hybridMultilevel"/>
    <w:tmpl w:val="CBE466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5"/>
  </w:num>
  <w:num w:numId="4">
    <w:abstractNumId w:val="17"/>
  </w:num>
  <w:num w:numId="5">
    <w:abstractNumId w:val="8"/>
  </w:num>
  <w:num w:numId="6">
    <w:abstractNumId w:val="15"/>
  </w:num>
  <w:num w:numId="7">
    <w:abstractNumId w:val="28"/>
  </w:num>
  <w:num w:numId="8">
    <w:abstractNumId w:val="32"/>
  </w:num>
  <w:num w:numId="9">
    <w:abstractNumId w:val="12"/>
  </w:num>
  <w:num w:numId="10">
    <w:abstractNumId w:val="27"/>
  </w:num>
  <w:num w:numId="11">
    <w:abstractNumId w:val="26"/>
  </w:num>
  <w:num w:numId="12">
    <w:abstractNumId w:val="18"/>
  </w:num>
  <w:num w:numId="13">
    <w:abstractNumId w:val="24"/>
  </w:num>
  <w:num w:numId="14">
    <w:abstractNumId w:val="6"/>
  </w:num>
  <w:num w:numId="15">
    <w:abstractNumId w:val="13"/>
  </w:num>
  <w:num w:numId="16">
    <w:abstractNumId w:val="4"/>
  </w:num>
  <w:num w:numId="17">
    <w:abstractNumId w:val="9"/>
  </w:num>
  <w:num w:numId="18">
    <w:abstractNumId w:val="33"/>
  </w:num>
  <w:num w:numId="19">
    <w:abstractNumId w:val="10"/>
  </w:num>
  <w:num w:numId="20">
    <w:abstractNumId w:val="37"/>
  </w:num>
  <w:num w:numId="21">
    <w:abstractNumId w:val="2"/>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20"/>
  </w:num>
  <w:num w:numId="29">
    <w:abstractNumId w:val="5"/>
  </w:num>
  <w:num w:numId="30">
    <w:abstractNumId w:val="14"/>
  </w:num>
  <w:num w:numId="31">
    <w:abstractNumId w:val="11"/>
  </w:num>
  <w:num w:numId="32">
    <w:abstractNumId w:val="3"/>
  </w:num>
  <w:num w:numId="33">
    <w:abstractNumId w:val="35"/>
  </w:num>
  <w:num w:numId="34">
    <w:abstractNumId w:val="11"/>
  </w:num>
  <w:num w:numId="35">
    <w:abstractNumId w:val="7"/>
  </w:num>
  <w:num w:numId="36">
    <w:abstractNumId w:val="31"/>
  </w:num>
  <w:num w:numId="37">
    <w:abstractNumId w:val="29"/>
  </w:num>
  <w:num w:numId="38">
    <w:abstractNumId w:val="30"/>
  </w:num>
  <w:num w:numId="39">
    <w:abstractNumId w:val="22"/>
  </w:num>
  <w:num w:numId="40">
    <w:abstractNumId w:val="34"/>
  </w:num>
  <w:num w:numId="41">
    <w:abstractNumId w:val="21"/>
  </w:num>
  <w:num w:numId="42">
    <w:abstractNumId w:val="25"/>
  </w:num>
  <w:num w:numId="43">
    <w:abstractNumId w:val="36"/>
  </w:num>
  <w:num w:numId="44">
    <w:abstractNumId w:val="23"/>
  </w:num>
  <w:num w:numId="45">
    <w:abstractNumId w:val="16"/>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m:mathPr>
    <m:mathFont m:val="Cambria Math"/>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0806"/>
    <w:pPr>
      <w:spacing w:after="240"/>
      <w:jc w:val="both"/>
    </w:pPr>
    <w:rPr>
      <w:sz w:val="24"/>
      <w:lang w:eastAsia="en-US"/>
    </w:rPr>
  </w:style>
  <w:style w:type="paragraph" w:styleId="Heading1">
    <w:name w:val="heading 1"/>
    <w:basedOn w:val="Normal"/>
    <w:next w:val="Text1"/>
    <w:qFormat/>
    <w:rsid w:val="00661B0F"/>
    <w:pPr>
      <w:keepNext/>
      <w:numPr>
        <w:numId w:val="29"/>
      </w:numPr>
      <w:spacing w:before="240"/>
      <w:outlineLvl w:val="0"/>
    </w:pPr>
    <w:rPr>
      <w:b/>
      <w:smallCaps/>
    </w:rPr>
  </w:style>
  <w:style w:type="paragraph" w:styleId="Heading2">
    <w:name w:val="heading 2"/>
    <w:basedOn w:val="Normal"/>
    <w:next w:val="Text2"/>
    <w:qFormat/>
    <w:rsid w:val="00661B0F"/>
    <w:pPr>
      <w:keepNext/>
      <w:numPr>
        <w:ilvl w:val="1"/>
        <w:numId w:val="29"/>
      </w:numPr>
      <w:outlineLvl w:val="1"/>
    </w:pPr>
    <w:rPr>
      <w:b/>
    </w:rPr>
  </w:style>
  <w:style w:type="paragraph" w:styleId="Heading3">
    <w:name w:val="heading 3"/>
    <w:basedOn w:val="Normal"/>
    <w:next w:val="Text3"/>
    <w:qFormat/>
    <w:rsid w:val="00661B0F"/>
    <w:pPr>
      <w:keepNext/>
      <w:numPr>
        <w:ilvl w:val="2"/>
        <w:numId w:val="29"/>
      </w:numPr>
      <w:outlineLvl w:val="2"/>
    </w:pPr>
    <w:rPr>
      <w:i/>
    </w:rPr>
  </w:style>
  <w:style w:type="paragraph" w:styleId="Heading4">
    <w:name w:val="heading 4"/>
    <w:basedOn w:val="Normal"/>
    <w:next w:val="Text4"/>
    <w:qFormat/>
    <w:rsid w:val="00661B0F"/>
    <w:pPr>
      <w:keepNext/>
      <w:numPr>
        <w:ilvl w:val="3"/>
        <w:numId w:val="29"/>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 Char,Footnote Text Char Char,Footnote Text Char Char Char Char,Footnote Text Char Char Char Char Char,Footnote Text Char Char Char Char Char Char Char Char,Footnote text,Schriftart: 10 pt,Schriftart: 8 pt,Schriftart: 9 pt,WB-Fußnotentext"/>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customStyle="1"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paragraph" w:customStyle="1" w:styleId="IAToolChapterHeading">
    <w:name w:val="IA Tool Chapter Heading"/>
    <w:basedOn w:val="Normal"/>
    <w:next w:val="Normal"/>
    <w:qFormat/>
    <w:rsid w:val="00085CA5"/>
    <w:pPr>
      <w:numPr>
        <w:numId w:val="28"/>
      </w:numPr>
      <w:tabs>
        <w:tab w:val="left" w:pos="391"/>
      </w:tabs>
    </w:pPr>
    <w:rPr>
      <w:rFonts w:ascii="Times New Roman Bold" w:hAnsi="Times New Roman Bold"/>
      <w:b/>
      <w:smallCaps/>
      <w:color w:val="548DD4"/>
      <w:sz w:val="28"/>
      <w:szCs w:val="28"/>
    </w:rPr>
  </w:style>
  <w:style w:type="character" w:customStyle="1" w:styleId="FooterChar">
    <w:name w:val="Footer Char"/>
    <w:basedOn w:val="DefaultParagraphFont"/>
    <w:link w:val="Footer"/>
    <w:rsid w:val="001E0806"/>
    <w:rPr>
      <w:rFonts w:ascii="Arial" w:hAnsi="Arial"/>
      <w:sz w:val="16"/>
      <w:lang w:eastAsia="en-US"/>
    </w:rPr>
  </w:style>
  <w:style w:type="character" w:customStyle="1" w:styleId="HeaderChar">
    <w:name w:val="Header Char"/>
    <w:basedOn w:val="DefaultParagraphFont"/>
    <w:link w:val="Header"/>
    <w:uiPriority w:val="99"/>
    <w:rsid w:val="001E0806"/>
    <w:rPr>
      <w:sz w:val="24"/>
      <w:lang w:eastAsia="en-US"/>
    </w:rPr>
  </w:style>
  <w:style w:type="character" w:styleId="PageNumber">
    <w:name w:val="page number"/>
    <w:rsid w:val="001E0806"/>
  </w:style>
  <w:style w:type="paragraph" w:styleId="BalloonText">
    <w:name w:val="Balloon Text"/>
    <w:basedOn w:val="Normal"/>
    <w:link w:val="BalloonTextChar"/>
    <w:uiPriority w:val="99"/>
    <w:semiHidden/>
    <w:unhideWhenUsed/>
    <w:rsid w:val="001E08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806"/>
    <w:rPr>
      <w:rFonts w:ascii="Tahoma" w:hAnsi="Tahoma" w:cs="Tahoma"/>
      <w:sz w:val="16"/>
      <w:szCs w:val="16"/>
      <w:lang w:eastAsia="en-US"/>
    </w:rPr>
  </w:style>
  <w:style w:type="character" w:styleId="Hyperlink">
    <w:name w:val="Hyperlink"/>
    <w:basedOn w:val="DefaultParagraphFont"/>
    <w:uiPriority w:val="99"/>
    <w:unhideWhenUsed/>
    <w:rsid w:val="00E02927"/>
    <w:rPr>
      <w:color w:val="0000FF" w:themeColor="hyperlink"/>
      <w:u w:val="single"/>
    </w:rPr>
  </w:style>
  <w:style w:type="character" w:styleId="CommentReference">
    <w:name w:val="annotation reference"/>
    <w:basedOn w:val="DefaultParagraphFont"/>
    <w:uiPriority w:val="99"/>
    <w:semiHidden/>
    <w:unhideWhenUsed/>
    <w:rsid w:val="00315ECF"/>
    <w:rPr>
      <w:sz w:val="16"/>
      <w:szCs w:val="16"/>
    </w:rPr>
  </w:style>
  <w:style w:type="paragraph" w:styleId="CommentSubject">
    <w:name w:val="annotation subject"/>
    <w:basedOn w:val="CommentText"/>
    <w:next w:val="CommentText"/>
    <w:link w:val="CommentSubjectChar"/>
    <w:uiPriority w:val="99"/>
    <w:semiHidden/>
    <w:unhideWhenUsed/>
    <w:rsid w:val="00315ECF"/>
    <w:rPr>
      <w:b/>
      <w:bCs/>
    </w:rPr>
  </w:style>
  <w:style w:type="character" w:customStyle="1" w:styleId="CommentTextChar">
    <w:name w:val="Comment Text Char"/>
    <w:basedOn w:val="DefaultParagraphFont"/>
    <w:link w:val="CommentText"/>
    <w:semiHidden/>
    <w:rsid w:val="00315ECF"/>
    <w:rPr>
      <w:lang w:eastAsia="en-US"/>
    </w:rPr>
  </w:style>
  <w:style w:type="character" w:customStyle="1" w:styleId="CommentSubjectChar">
    <w:name w:val="Comment Subject Char"/>
    <w:basedOn w:val="CommentTextChar"/>
    <w:link w:val="CommentSubject"/>
    <w:uiPriority w:val="99"/>
    <w:semiHidden/>
    <w:rsid w:val="00315ECF"/>
    <w:rPr>
      <w:b/>
      <w:bCs/>
      <w:lang w:eastAsia="en-US"/>
    </w:rPr>
  </w:style>
  <w:style w:type="paragraph" w:styleId="ListParagraph">
    <w:name w:val="List Paragraph"/>
    <w:aliases w:val="1st level - Bullet List Paragraph,Bullet EY,Bullet list,Lettre d'introduction,List L1,List Paragraph compact,List Paragraph1,List Paragraph11,Normal bullet 2,Normal bullet 21,Numbered List,Paragraph,Paragraphe de liste 2,Reference list"/>
    <w:basedOn w:val="Normal"/>
    <w:link w:val="ListParagraphChar"/>
    <w:uiPriority w:val="34"/>
    <w:qFormat/>
    <w:rsid w:val="00453C9C"/>
    <w:pPr>
      <w:spacing w:after="0"/>
      <w:ind w:left="720"/>
      <w:contextualSpacing/>
      <w:jc w:val="left"/>
    </w:pPr>
    <w:rPr>
      <w:szCs w:val="24"/>
      <w:lang w:eastAsia="en-GB"/>
    </w:rPr>
  </w:style>
  <w:style w:type="paragraph" w:styleId="Revision">
    <w:name w:val="Revision"/>
    <w:hidden/>
    <w:uiPriority w:val="99"/>
    <w:semiHidden/>
    <w:rsid w:val="00CD3AB9"/>
    <w:rPr>
      <w:sz w:val="24"/>
      <w:lang w:eastAsia="en-US"/>
    </w:rPr>
  </w:style>
  <w:style w:type="character" w:customStyle="1" w:styleId="FootnoteTextChar">
    <w:name w:val="Footnote Text Char"/>
    <w:aliases w:val=" Char Char,Footnote Text Char Char Char,Footnote Text Char Char Char Char Char Char,Footnote Text Char Char Char Char Char1,Footnote text Char,Schriftart: 10 pt Char,Schriftart: 8 pt Char,Schriftart: 9 pt Char,WB-Fußnotentext Char"/>
    <w:basedOn w:val="DefaultParagraphFont"/>
    <w:link w:val="FootnoteText"/>
    <w:uiPriority w:val="99"/>
    <w:rsid w:val="007C7B04"/>
    <w:rPr>
      <w:lang w:eastAsia="en-US"/>
    </w:rPr>
  </w:style>
  <w:style w:type="character" w:styleId="FootnoteReference">
    <w:name w:val="footnote reference"/>
    <w:basedOn w:val="DefaultParagraphFont"/>
    <w:uiPriority w:val="99"/>
    <w:unhideWhenUsed/>
    <w:qFormat/>
    <w:rsid w:val="007C7B04"/>
    <w:rPr>
      <w:vertAlign w:val="superscript"/>
    </w:rPr>
  </w:style>
  <w:style w:type="character" w:customStyle="1" w:styleId="ListParagraphChar">
    <w:name w:val="List Paragraph Char"/>
    <w:aliases w:val="1st level - Bullet List Paragraph Char,Bullet list Char,Lettre d'introduction Char,List Paragraph compact Char,List Paragraph1 Char,Normal bullet 2 Char,Numbered List Char,Paragraph Char,Paragraphe de liste 2 Char,Reference list Char"/>
    <w:link w:val="ListParagraph"/>
    <w:uiPriority w:val="34"/>
    <w:qFormat/>
    <w:locked/>
    <w:rsid w:val="007C7B04"/>
    <w:rPr>
      <w:sz w:val="24"/>
      <w:szCs w:val="24"/>
    </w:rPr>
  </w:style>
  <w:style w:type="character" w:customStyle="1" w:styleId="UnresolvedMention1">
    <w:name w:val="Unresolved Mention1"/>
    <w:basedOn w:val="DefaultParagraphFont"/>
    <w:uiPriority w:val="99"/>
    <w:semiHidden/>
    <w:unhideWhenUsed/>
    <w:rsid w:val="00062CF5"/>
    <w:rPr>
      <w:color w:val="605E5C"/>
      <w:shd w:val="clear" w:color="auto" w:fill="E1DFDD"/>
    </w:rPr>
  </w:style>
  <w:style w:type="paragraph" w:customStyle="1" w:styleId="Comment">
    <w:name w:val="_Comment"/>
    <w:basedOn w:val="Normal"/>
    <w:link w:val="CommentChar"/>
    <w:qFormat/>
    <w:rsid w:val="00A52F8C"/>
    <w:pPr>
      <w:shd w:val="clear" w:color="auto" w:fill="EAF1DD" w:themeFill="accent3" w:themeFillTint="33"/>
      <w:spacing w:after="0" w:line="276" w:lineRule="auto"/>
      <w:jc w:val="left"/>
    </w:pPr>
    <w:rPr>
      <w:rFonts w:asciiTheme="minorHAnsi" w:eastAsiaTheme="minorHAnsi" w:hAnsiTheme="minorHAnsi" w:cstheme="minorBidi"/>
      <w:noProof/>
      <w:sz w:val="22"/>
      <w:szCs w:val="22"/>
      <w:lang w:eastAsia="en-GB"/>
    </w:rPr>
  </w:style>
  <w:style w:type="character" w:customStyle="1" w:styleId="CommentChar">
    <w:name w:val="_Comment Char"/>
    <w:basedOn w:val="DefaultParagraphFont"/>
    <w:link w:val="Comment"/>
    <w:rsid w:val="00A52F8C"/>
    <w:rPr>
      <w:rFonts w:asciiTheme="minorHAnsi" w:eastAsiaTheme="minorHAnsi" w:hAnsiTheme="minorHAnsi" w:cstheme="minorBidi"/>
      <w:noProof/>
      <w:sz w:val="22"/>
      <w:szCs w:val="22"/>
      <w:shd w:val="clear" w:color="auto" w:fill="EAF1DD" w:themeFill="accent3" w:themeFillTint="33"/>
    </w:rPr>
  </w:style>
  <w:style w:type="character" w:customStyle="1" w:styleId="UnresolvedMention">
    <w:name w:val="Unresolved Mention"/>
    <w:basedOn w:val="DefaultParagraphFont"/>
    <w:uiPriority w:val="99"/>
    <w:semiHidden/>
    <w:unhideWhenUsed/>
    <w:rsid w:val="00EF0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numbering.xml.rels>&#65279;<?xml version="1.0" encoding="utf-8" standalone="yes"?><Relationships xmlns="http://schemas.openxmlformats.org/package/2006/relationships"><Relationship Id="rId1" Type="http://schemas.openxmlformats.org/officeDocument/2006/relationships/image" Target="media/image2.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20(x86)\DIaLOGIKa\Eurolook\Templates\Eurolook.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EurolookProperties>
  <ProductCustomizationId/>
  <Created>
    <Version>4.6</Version>
    <Date>2019-02-18T10:10:12</Date>
    <Language>EN</Language>
    <Note/>
  </Created>
  <Edited>
    <Version>10.0.42447.0</Version>
    <Date>2021-10-05T12:55:22</Date>
  </Edited>
  <DocumentModel>
    <Id>6cbda13a-4db2-46c6-876a-ef72275827ef</Id>
    <Name>Report</Name>
  </DocumentModel>
  <DocumentDate/>
  <DocumentVersion/>
  <CompatibilityMode>Eurolook4X</CompatibilityMode>
</EurolookProperties>
</file>

<file path=customXml/item3.xml><?xml version="1.0" encoding="utf-8"?>
<Author Role="Creator">
  <Id>446c8849-f8d6-46e8-b930-aa675ea7fff3</Id>
  <Names>
    <Latin>
      <FirstName>Jesus</FirstName>
      <LastName>SANCHEZ MERINO</LastName>
    </Latin>
    <Greek>
      <FirstName/>
      <LastName/>
    </Greek>
    <Cyrillic>
      <FirstName/>
      <LastName/>
    </Cyrillic>
    <DocumentScript>
      <FirstName>Jesus</FirstName>
      <LastName>SANCHEZ MERINO</LastName>
      <FullName>Jesus SANCHEZ MERINO</FullName>
    </DocumentScript>
  </Names>
  <Initials>JSM</Initials>
  <Gender>m</Gender>
  <Email>Jesus.Sanchez-Merino@ec.europa.eu</Email>
  <Service>SG.B.4</Service>
  <Function ShowInSignature="true"/>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226d3ed1-ce15-488c-9606-fb4a6a782851</Id>
    <LogicalLevel>2</LogicalLevel>
    <Name>SG.B</Name>
    <HeadLine1>Directorate B - Decision-making &amp; Collegiality</HeadLine1>
    <HeadLine2/>
    <PrimaryAddressId>f03b5801-04c9-4931-aa17-c6d6c70bc579</PrimaryAddressId>
    <SecondaryAddressId/>
    <WebAddress/>
    <InheritedWebAddress>WebAddress</InheritedWebAddress>
    <ShowInHeader>true</ShowInHeader>
  </OrgaEntity2>
  <OrgaEntity3>
    <Id>a9c119bf-67eb-460c-976f-01375d32d078</Id>
    <LogicalLevel>3</LogicalLevel>
    <Name>SG.B.4</Name>
    <HeadLine1>SG.B.4-Working methods &amp; Decision-making Process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+32 229 94189</Phone>
    <Office>BERL 05/096</Office>
  </MainWorkplace>
  <Workplaces>
    <Workplace IsMain="false">
      <AddressId>1264fb81-f6bb-475e-9f9d-a937d3be6ee2</AddressId>
      <Fax/>
      <Phone/>
      <Office/>
    </Workplace>
    <Workplace IsMain="true">
      <AddressId>f03b5801-04c9-4931-aa17-c6d6c70bc579</AddressId>
      <Fax/>
      <Phone>+32 229 94189</Phone>
      <Office>BERL 05/096</Office>
    </Workplace>
  </Workplaces>
</Author>
</file>

<file path=customXml/item4.xml><?xml version="1.0" encoding="utf-8"?>
<Texts>
  <SecurityPersonalData>Personal data</SecurityPersonalData>
  <SecurityLimitedDG>Limited</SecurityLimitedDG>
  <SecurityPharma>Pharma investigations</SecurityPharma>
  <LabelPictureSeq>Picture {SEQ Picture \* ARABIC } – </LabelPictureSeq>
  <SecurityMediationServiceMatter>Mediation Service matter</SecurityMediationServiceMatter>
  <SecurityDeadline>Deadline</SecurityDeadline>
  <SecurityEconomyAndFinance>Economy and finance – special handling</SecurityEconomyAndFinance>
  <FooterFax>Fax</FooterFax>
  <FooterOffice>Office:</FooterOffice>
  <SecurityOlafInvestigations>OLAF investigations</SecurityOlafInvestigations>
  <TechHistory>Document History</TechHistory>
  <SecurityInternal>Commission internal</SecurityInternal>
  <SecurityOlafSpecialHandling>OLAF investigations – special handling</SecurityOlafSpecialHandling>
  <SecurityPersonal>Personal</SecurityPersonal>
  <CourtProceduralDocuments>Court procedural documents</CourtProceduralDocuments>
  <SecurityCompOperationsHandling>Handling instructions are provided by the DG COMP (comp-lso@ec.europa.eu)</SecurityCompOperationsHandling>
  <OrgaRoot>EUROPEAN COMMISSION</OrgaRoot>
  <TechHistoryComment>Comment</TechHistoryComment>
  <Contact>Contact:</Contact>
  <SecurityInvestigationsDisciplinary>Investigations and disciplinary matters</SecurityInvestigationsDisciplinary>
  <SecurityCompOperations>COMP operations</SecurityCompOperations>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SecurityEtsCritical>ETS critical</SecurityEtsCritical>
  <SecurityCompSpecial>COMP - special handling</SecurityCompSpecial>
  <LabelSource>Source</LabelSource>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TechHistoryDate>Date</TechHistoryDate>
  <AddressFooterBrussels>Commission européenne/Europese Commissie, 1049 Bruxelles/Brussel, BELGIQUE/BELGIË - Tel. +32 22991111</AddressFooterBrussels>
  <SecurityIasOperations>IAS operations</SecurityIasOperations>
  <TechHistoryCreatedBy>Document created by</TechHistoryCreatedBy>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SecurityLimitedServiceUnitGroup>Limited</SecurityLimitedServiceUnitGroup>
  <TechHistoryVersion>Version</TechHistoryVersion>
  <SecurityMedicalSecret>Medical secret</SecurityMedicalSecret>
  <Contacts>Contacts:</Contacts>
  <SecurityEmbargo>Embargo until</SecurityEmbargo>
  <SecurityLimited>Limited</SecurityLimited>
  <DateFormatShort>dd/MM/yyyy</DateFormatShort>
  <DateFormatLong>d MMMM yyyy</DateFormatLong>
</Texts>
</file>

<file path=customXml/item5.xml><?xml version="1.0" encoding="utf-8"?>
<ct:contentTypeSchema xmlns:ct="http://schemas.microsoft.com/office/2006/metadata/contentType" xmlns:ma="http://schemas.microsoft.com/office/2006/metadata/properties/metaAttributes" ct:_="" ma:_="" ma:contentTypeName="Document" ma:contentTypeID="0x010100AB6DCF41F10D214DBDDF7E1F5EB8F7C1" ma:contentTypeVersion="1" ma:contentTypeDescription="Create a new document." ma:contentTypeScope="" ma:versionID="4d11a2104eb79e191fab213970d36f05">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152C55-C3B5-4FC1-B037-33CCB35DA02F}">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9ED0C79-D88A-4206-B956-F350406CB40A}">
  <ds:schemaRefs/>
</ds:datastoreItem>
</file>

<file path=customXml/itemProps3.xml><?xml version="1.0" encoding="utf-8"?>
<ds:datastoreItem xmlns:ds="http://schemas.openxmlformats.org/officeDocument/2006/customXml" ds:itemID="{93236D38-6E39-4620-8982-A44FCB0D78BC}">
  <ds:schemaRefs/>
</ds:datastoreItem>
</file>

<file path=customXml/itemProps4.xml><?xml version="1.0" encoding="utf-8"?>
<ds:datastoreItem xmlns:ds="http://schemas.openxmlformats.org/officeDocument/2006/customXml" ds:itemID="{92931C26-4BB6-4C23-AC93-3863D42726BD}">
  <ds:schemaRefs/>
</ds:datastoreItem>
</file>

<file path=customXml/itemProps5.xml><?xml version="1.0" encoding="utf-8"?>
<ds:datastoreItem xmlns:ds="http://schemas.openxmlformats.org/officeDocument/2006/customXml" ds:itemID="{13ACA7DB-6CA2-49B6-85C0-8A7872EBF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5A2BA7-2CAB-4C91-B3A5-D8764D4A1D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