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52B63E" w14:textId="2EF1876D" w:rsidR="00722B49" w:rsidRPr="00301E8C" w:rsidRDefault="00C952B6" w:rsidP="00C952B6">
      <w:pPr>
        <w:pStyle w:val="Pagedecouverture"/>
        <w:rPr>
          <w:noProof/>
        </w:rPr>
      </w:pPr>
      <w:bookmarkStart w:id="0" w:name="LW_BM_COVERPAGE"/>
      <w:r>
        <w:rPr>
          <w:noProof/>
        </w:rPr>
        <w:pict w14:anchorId="4903DC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8E1FB839-37F8-449D-A325-4DC9B8D4F094" style="width:455.25pt;height:286.5pt">
            <v:imagedata r:id="rId11" o:title=""/>
          </v:shape>
        </w:pict>
      </w:r>
    </w:p>
    <w:bookmarkEnd w:id="0"/>
    <w:p w14:paraId="3702FAB4" w14:textId="77777777" w:rsidR="00DB0FE0" w:rsidRDefault="00DB0FE0" w:rsidP="00DB0FE0">
      <w:pPr>
        <w:rPr>
          <w:noProof/>
        </w:rPr>
        <w:sectPr w:rsidR="00DB0FE0" w:rsidSect="00C952B6">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31C6C854" w14:textId="77777777" w:rsidR="00F73667" w:rsidRDefault="00F73667" w:rsidP="00F73667">
      <w:pPr>
        <w:pStyle w:val="ListParagraph"/>
        <w:numPr>
          <w:ilvl w:val="0"/>
          <w:numId w:val="1"/>
        </w:numPr>
        <w:jc w:val="both"/>
        <w:rPr>
          <w:noProof/>
        </w:rPr>
      </w:pPr>
      <w:bookmarkStart w:id="1" w:name="_GoBack"/>
      <w:bookmarkEnd w:id="1"/>
      <w:r>
        <w:rPr>
          <w:noProof/>
        </w:rPr>
        <w:lastRenderedPageBreak/>
        <w:t xml:space="preserve">Resumen </w:t>
      </w:r>
    </w:p>
    <w:p w14:paraId="3200003B" w14:textId="77777777" w:rsidR="00F73667" w:rsidRDefault="00F73667" w:rsidP="00F73667">
      <w:pPr>
        <w:jc w:val="both"/>
        <w:rPr>
          <w:iCs/>
          <w:noProof/>
        </w:rPr>
      </w:pPr>
    </w:p>
    <w:p w14:paraId="45159660" w14:textId="77777777" w:rsidR="00F73667" w:rsidRDefault="00F73667" w:rsidP="00F73667">
      <w:pPr>
        <w:jc w:val="both"/>
        <w:rPr>
          <w:iCs/>
          <w:noProof/>
        </w:rPr>
      </w:pPr>
      <w:r>
        <w:rPr>
          <w:noProof/>
        </w:rPr>
        <w:t xml:space="preserve">El diálogo sobre liberalización de visados entre la Unión Europea y Armenia se inició en septiembre de 2024. Posteriormente, la Comisión preparó un Plan de Acción para la Liberalización de Visados (en lo sucesivo, «PALV») con el apoyo de expertos de los Estados miembros durante dos visitas de inspección a Armenia en febrero y abril de 2025. Más adelante, en noviembre de 2025, la Comisión entregó el PALV a las autoridades armenias. </w:t>
      </w:r>
    </w:p>
    <w:p w14:paraId="6836AA87" w14:textId="77777777" w:rsidR="00F73667" w:rsidRDefault="00F73667" w:rsidP="00F73667">
      <w:pPr>
        <w:jc w:val="both"/>
        <w:rPr>
          <w:iCs/>
          <w:noProof/>
        </w:rPr>
      </w:pPr>
    </w:p>
    <w:p w14:paraId="1438EC17" w14:textId="61124A47" w:rsidR="00F73667" w:rsidRPr="0043426F" w:rsidRDefault="00F73667" w:rsidP="00F73667">
      <w:pPr>
        <w:jc w:val="both"/>
        <w:rPr>
          <w:noProof/>
        </w:rPr>
      </w:pPr>
      <w:r>
        <w:rPr>
          <w:noProof/>
        </w:rPr>
        <w:t xml:space="preserve">Este Plan de Acción introduce reformas detalladas en los ámbitos de i) la seguridad de los documentos de viaje; ii) la gestión de fronteras y de la migración y el asilo; iii) el orden público y la seguridad, y iv) cuestiones de derechos fundamentales relativas a la libertad de circulación. El diálogo sobre liberalización de visados dura todo el tiempo que sea necesario para que se cumplan todos los criterios de referencia que se han establecido. </w:t>
      </w:r>
    </w:p>
    <w:p w14:paraId="66C5E92C" w14:textId="77777777" w:rsidR="00F73667" w:rsidRDefault="00F73667" w:rsidP="00F73667">
      <w:pPr>
        <w:jc w:val="both"/>
        <w:rPr>
          <w:b/>
          <w:bCs/>
          <w:noProof/>
        </w:rPr>
      </w:pPr>
    </w:p>
    <w:p w14:paraId="518F2D60" w14:textId="75A76129" w:rsidR="00F73667" w:rsidRDefault="00F73667" w:rsidP="00F73667">
      <w:pPr>
        <w:jc w:val="both"/>
        <w:rPr>
          <w:noProof/>
        </w:rPr>
      </w:pPr>
      <w:r>
        <w:rPr>
          <w:noProof/>
        </w:rPr>
        <w:t xml:space="preserve">En diciembre de 2025, se llevó a cabo una primera misión de evaluación de la UE en Ereván con expertos de los Estados miembros, los servicios de la Comisión, el Servicio Europeo de Acción Exterior, Frontex y la Delegación de la UE en Armenia destinada a evaluar los progresos realizados por Armenia en el cumplimiento de los criterios de referencia del PALV. La atención se centró en el primer conjunto de criterios de referencia (fase 1), que abarcaba el marco legislativo y estratégico en todos los ámbitos de actuación incluidos en el PALV. </w:t>
      </w:r>
    </w:p>
    <w:p w14:paraId="7CCCA765" w14:textId="77777777" w:rsidR="00F73667" w:rsidRDefault="00F73667" w:rsidP="00F73667">
      <w:pPr>
        <w:jc w:val="both"/>
        <w:rPr>
          <w:noProof/>
        </w:rPr>
      </w:pPr>
    </w:p>
    <w:p w14:paraId="523EC0A1" w14:textId="0CFB9E50" w:rsidR="00F73667" w:rsidRDefault="00F73667" w:rsidP="00F73667">
      <w:pPr>
        <w:jc w:val="both"/>
        <w:rPr>
          <w:noProof/>
        </w:rPr>
      </w:pPr>
      <w:r>
        <w:rPr>
          <w:noProof/>
        </w:rPr>
        <w:t xml:space="preserve">El primer informe de situación de la Comisión se basa en las conclusiones de esta misión de evaluación de la UE y en la información facilitada por las autoridades armenias. Se centra en el primer conjunto de criterios de referencia que figura en el PALV, tal como se ha descrito anteriormente. En general, este primer informe de situación de la Comisión concluye que las autoridades armenias han mostrado un firme compromiso político para llevar a cabo las reformas previstas en el marco del PALV. A pesar de que el PALV no se presentó a Armenia hasta hace poco, las autoridades armenias ya han iniciado o previsto muchas de las reformas necesarias. </w:t>
      </w:r>
    </w:p>
    <w:p w14:paraId="4C70D2E7" w14:textId="77777777" w:rsidR="00F73667" w:rsidRDefault="00F73667" w:rsidP="00F73667">
      <w:pPr>
        <w:jc w:val="both"/>
        <w:rPr>
          <w:noProof/>
        </w:rPr>
      </w:pPr>
    </w:p>
    <w:p w14:paraId="1F57CFC5" w14:textId="7AABF789" w:rsidR="00F73667" w:rsidRDefault="00F73667" w:rsidP="00F73667">
      <w:pPr>
        <w:jc w:val="both"/>
        <w:rPr>
          <w:noProof/>
        </w:rPr>
      </w:pPr>
      <w:r>
        <w:rPr>
          <w:noProof/>
        </w:rPr>
        <w:t>La Comisión presentará las conclusiones del presente informe al Parlamento Europeo y al Consejo. Asimismo, presentará y debatirá estas conclusiones con las autoridades armenias en la próxima reunión de altos funcionarios. La Comisión seguirá supervisando el cumplimiento de todos los criterios de referencia en el marco de los cuatro bloques del PALV, con el apoyo de expertos de los Estados miembros de la UE. En el próximo período, se organizarán más misiones de evaluación de la UE en Armenia a tal fin. La Comisión publicará informes de situación periódicos. La Comisión y el Consejo examinarán detenidamente los avances en el cumplimiento del primer conjunto de criterios de referencia, con vistas a alcanzar un acuerdo para iniciar la evaluación del segundo conjunto de criterios de referencia (fase 2). Este segundo conjunto de criterios examinará la aplicación de las reformas.</w:t>
      </w:r>
      <w:r w:rsidR="00BA1D50">
        <w:rPr>
          <w:noProof/>
        </w:rPr>
        <w:t xml:space="preserve"> </w:t>
      </w:r>
    </w:p>
    <w:p w14:paraId="06CA88F8" w14:textId="77777777" w:rsidR="00F73667" w:rsidRDefault="00F73667" w:rsidP="00F73667">
      <w:pPr>
        <w:jc w:val="both"/>
        <w:rPr>
          <w:noProof/>
        </w:rPr>
      </w:pPr>
    </w:p>
    <w:p w14:paraId="22F541C0" w14:textId="6345C63B" w:rsidR="00F73667" w:rsidRDefault="00F73667" w:rsidP="00F73667">
      <w:pPr>
        <w:jc w:val="both"/>
        <w:rPr>
          <w:noProof/>
        </w:rPr>
      </w:pPr>
      <w:r>
        <w:rPr>
          <w:noProof/>
        </w:rPr>
        <w:t xml:space="preserve">La Comisión seguirá apoyando a Armenia en la aplicación del PALV, en particular mediante asistencia técnica y financiera específica procedente del Plan de Resiliencia y Crecimiento para Armenia que se está poniendo en marcha. </w:t>
      </w:r>
    </w:p>
    <w:p w14:paraId="1EDE3528" w14:textId="77777777" w:rsidR="00F73667" w:rsidRDefault="00F73667" w:rsidP="00F73667">
      <w:pPr>
        <w:pStyle w:val="ListParagraph"/>
        <w:rPr>
          <w:noProof/>
        </w:rPr>
      </w:pPr>
    </w:p>
    <w:p w14:paraId="03A21F99" w14:textId="77777777" w:rsidR="00F73667" w:rsidRDefault="00F73667" w:rsidP="00B21195">
      <w:pPr>
        <w:pStyle w:val="ListParagraph"/>
        <w:rPr>
          <w:noProof/>
        </w:rPr>
      </w:pPr>
    </w:p>
    <w:p w14:paraId="5A27A083" w14:textId="08ED9E4A" w:rsidR="00722B49" w:rsidRPr="00301E8C" w:rsidRDefault="00722B49" w:rsidP="00722B49">
      <w:pPr>
        <w:pStyle w:val="ListParagraph"/>
        <w:numPr>
          <w:ilvl w:val="0"/>
          <w:numId w:val="1"/>
        </w:numPr>
        <w:rPr>
          <w:noProof/>
        </w:rPr>
      </w:pPr>
      <w:r>
        <w:rPr>
          <w:noProof/>
        </w:rPr>
        <w:t>Antecedentes</w:t>
      </w:r>
    </w:p>
    <w:p w14:paraId="42FC3728" w14:textId="77777777" w:rsidR="00820B25" w:rsidRPr="00301E8C" w:rsidRDefault="00820B25" w:rsidP="00820B25">
      <w:pPr>
        <w:rPr>
          <w:noProof/>
        </w:rPr>
      </w:pPr>
    </w:p>
    <w:p w14:paraId="71E23F4C" w14:textId="2839EC88" w:rsidR="00C166E3" w:rsidRPr="00301E8C" w:rsidRDefault="00292842" w:rsidP="00820B25">
      <w:pPr>
        <w:jc w:val="both"/>
        <w:rPr>
          <w:noProof/>
        </w:rPr>
      </w:pPr>
      <w:r>
        <w:rPr>
          <w:noProof/>
        </w:rPr>
        <w:t xml:space="preserve">Las relaciones entre la UE y Armenia se basan en el Acuerdo de Asociación Global y Reforzado, que entró en vigor el 1 de marzo de 2021. El 2 de diciembre de 2025, el Consejo de Asociación UE-Armenia, en el marco del Acuerdo de Asociación Global y Reforzado, adoptó una nueva agenda estratégica para la asociación entre la UE y Armenia que establecía prioridades ambiciosas y proporcionaba un marco claro y mutuamente acordado para la cooperación en materia de movilidad y contactos interpersonales. </w:t>
      </w:r>
    </w:p>
    <w:p w14:paraId="7E2B3122" w14:textId="567A9F79" w:rsidR="581CFBFB" w:rsidRDefault="581CFBFB" w:rsidP="581CFBFB">
      <w:pPr>
        <w:jc w:val="both"/>
        <w:rPr>
          <w:noProof/>
        </w:rPr>
      </w:pPr>
    </w:p>
    <w:p w14:paraId="2BA14E2E" w14:textId="1E3AF744" w:rsidR="1FDB314D" w:rsidRDefault="1FDB314D" w:rsidP="581CFBFB">
      <w:pPr>
        <w:jc w:val="both"/>
        <w:rPr>
          <w:noProof/>
        </w:rPr>
      </w:pPr>
      <w:r>
        <w:rPr>
          <w:noProof/>
        </w:rPr>
        <w:t>Tras su aprobación por parte del Consejo en julio de 2024, el 9 de septiembre de 2024 se inició en Ereván un diálogo sobre liberalización de visados entre la UE y Armenia. En octubre de 2025, el Consejo refrendó el Plan de Acción para la Liberalización de Visados (PALV) para Armenia presentado por la Comisión, en el que se establecen los principales criterios de referencia que debe cumplir Armenia antes de que se pueda conceder a los ciudadanos armenios la exención de visado para viajar a la UE. El PALV se entregó a las autoridades armenias el 5 de noviembre de 2025. La UE apoya las reformas relacionadas con el diálogo sobre liberalización de visados a través del Plan de Resiliencia y Crecimiento para Armenia, anunciado por la presidenta Von der Leyen en abril de 2024.</w:t>
      </w:r>
    </w:p>
    <w:p w14:paraId="2E45333A" w14:textId="77777777" w:rsidR="581CFBFB" w:rsidRDefault="581CFBFB" w:rsidP="581CFBFB">
      <w:pPr>
        <w:jc w:val="both"/>
        <w:rPr>
          <w:noProof/>
        </w:rPr>
      </w:pPr>
    </w:p>
    <w:p w14:paraId="07180B51" w14:textId="2B90B0D1" w:rsidR="1FDB314D" w:rsidRDefault="1FDB314D" w:rsidP="581CFBFB">
      <w:pPr>
        <w:jc w:val="both"/>
        <w:rPr>
          <w:noProof/>
        </w:rPr>
      </w:pPr>
      <w:r>
        <w:rPr>
          <w:noProof/>
        </w:rPr>
        <w:t>El PALV se estructura en torno a cuatro bloques, a saber 1) seguridad de los documentos, incluidos los datos biométricos; 2) gestión integrada de las fronteras, gestión de la migración y asilo; 3) orden público y seguridad, y 4) relaciones exteriores y derechos fundamentales. Asimismo, contiene dos niveles de criterios de referencia: en la primera fase, se establece un conjunto de criterios de referencia relativo al marco político y legislativo. Este primer conjunto de criterios de referencia allanará el camino para el cumplimiento de criterios de referencia más concretos, que examinarán la aplicación efectiva y sostenible de las medidas pertinentes, en una segunda fase.</w:t>
      </w:r>
    </w:p>
    <w:p w14:paraId="6F2F220B" w14:textId="77777777" w:rsidR="00F96A5C" w:rsidRDefault="00F96A5C" w:rsidP="581CFBFB">
      <w:pPr>
        <w:jc w:val="both"/>
        <w:rPr>
          <w:noProof/>
        </w:rPr>
      </w:pPr>
    </w:p>
    <w:p w14:paraId="0A4B014A" w14:textId="77777777" w:rsidR="00DE53DE" w:rsidRDefault="000F1F7F" w:rsidP="00272DEE">
      <w:pPr>
        <w:spacing w:after="120"/>
        <w:jc w:val="both"/>
        <w:rPr>
          <w:noProof/>
        </w:rPr>
      </w:pPr>
      <w:r>
        <w:rPr>
          <w:noProof/>
        </w:rPr>
        <w:t xml:space="preserve">Desde el 1 de enero de 2014, los ciudadanos de la UE están exentos de la necesidad de visado para viajar a Armenia. </w:t>
      </w:r>
    </w:p>
    <w:p w14:paraId="0FB57ACA" w14:textId="7C49448D" w:rsidR="009F125D" w:rsidRDefault="00C166E3" w:rsidP="00272DEE">
      <w:pPr>
        <w:spacing w:after="120"/>
        <w:jc w:val="both"/>
        <w:rPr>
          <w:noProof/>
        </w:rPr>
      </w:pPr>
      <w:r>
        <w:rPr>
          <w:noProof/>
        </w:rPr>
        <w:t xml:space="preserve">Como primer paso gradual hacia la futura exención de visado para los ciudadanos armenios que viajen a la UE, el Acuerdo de facilitación de visados entre la UE y Armenia entró en vigor el 1 de enero de 2014. En esa misma fecha, también entró en vigor el Acuerdo de Readmisión entre la UE y Armenia. Ambos acuerdos, cuya aplicación efectiva supervisan dos comités mixtos específicos, se están aplicando de manera continua y satisfactoria. </w:t>
      </w:r>
      <w:bookmarkStart w:id="2" w:name="_Hlk225410314"/>
      <w:r>
        <w:rPr>
          <w:noProof/>
        </w:rPr>
        <w:t>El número de visados Schengen expedidos a ciudadanos armenios, así como el porcentaje de estos visados que son visados para entradas múltiples, ha aumentado constantemente en los últimos años. En 2019, se expidieron 51 000 visados Schengen a ciudadanos armenios (el 34,8 % de los cuales eran visados para entradas múltiples), mientras que en 2024 se les expidieron 86 300 visados Schengen (el 43,5 % de los cuales eran visados para entradas múltiples). Esto es prueba del creciente interés de los armenios por viajar a la UE.</w:t>
      </w:r>
      <w:r w:rsidR="00BA1D50">
        <w:rPr>
          <w:noProof/>
        </w:rPr>
        <w:t xml:space="preserve"> </w:t>
      </w:r>
      <w:r>
        <w:rPr>
          <w:noProof/>
        </w:rPr>
        <w:t xml:space="preserve">La tasa de denegación de visados se ha mantenido estable, en el 13,2 % en 2019 y el 12,4 % en 2024, aunque se espera que se reduzca en mayor medida en el futuro gracias a los esfuerzos adicionales que se van a realizar. </w:t>
      </w:r>
      <w:bookmarkStart w:id="3" w:name="_Hlk223595223"/>
      <w:r>
        <w:rPr>
          <w:noProof/>
        </w:rPr>
        <w:t>Sigue existiendo una excelente cooperación en materia de readmisión y retorno entre la UE y Armenia, como se confirmó en la última reunión del Comité Mixto de Readmisión, celebrada el 9 de octubre de 2025. En 2024, los Estados miembros de la UE dictaron 3 105 decisiones de retorno contra ciudadanos armenios y se llevaron a cabo 925 retornos efectivos. En 2025</w:t>
      </w:r>
      <w:r>
        <w:rPr>
          <w:rStyle w:val="FootnoteReference"/>
          <w:noProof/>
          <w:lang w:val="en-IE"/>
        </w:rPr>
        <w:footnoteReference w:id="1"/>
      </w:r>
      <w:r>
        <w:rPr>
          <w:noProof/>
        </w:rPr>
        <w:t>, los Estados miembros de la UE emitieron 3 200 decisiones de retorno contra ciudadanos armenios y se llevaron a cabo 1 310 retornos efectivos de armenios a su país</w:t>
      </w:r>
      <w:bookmarkEnd w:id="3"/>
      <w:r>
        <w:rPr>
          <w:noProof/>
        </w:rPr>
        <w:t xml:space="preserve">. El número de ciudadanos armenios detenidos en situación irregular en la UE se ha mantenido relativamente estable, con 2 155 en 2019 y 2 465 en 2024. </w:t>
      </w:r>
      <w:bookmarkEnd w:id="2"/>
      <w:r>
        <w:rPr>
          <w:noProof/>
        </w:rPr>
        <w:t>Sin embargo, el importante número de solicitudes de asilo infundadas de nacionales armenios en algunos países de la UE, en particular por parte de personas que buscan tratamientos médicos, plantea un reto que las autoridades armenias deben abordar. En 2024, 5 130 armenios solicitaron asilo en la UE (en comparación con los 5 240 de 2022). No obstante, esta tendencia de solicitudes de asilo por parte de ciudadanos armenios disminuyó considerablemente en 2025</w:t>
      </w:r>
      <w:r>
        <w:rPr>
          <w:rStyle w:val="FootnoteReference"/>
          <w:noProof/>
        </w:rPr>
        <w:footnoteReference w:id="2"/>
      </w:r>
      <w:r>
        <w:rPr>
          <w:noProof/>
        </w:rPr>
        <w:t xml:space="preserve">, ya que ese año el número de solicitudes que presentaron en la UE fue de 3 535. Las autoridades armenias esperan que el nuevo régimen universal de seguro de enfermedad de Armenia, que ha entrado en vigor en 2026, contribuya a que sigan disminuyendo las solicitudes de asilo. </w:t>
      </w:r>
    </w:p>
    <w:p w14:paraId="4691E2DA" w14:textId="224BC6E0" w:rsidR="00722B49" w:rsidRPr="00301E8C" w:rsidRDefault="00722B49" w:rsidP="00722B49">
      <w:pPr>
        <w:pStyle w:val="ListParagraph"/>
        <w:numPr>
          <w:ilvl w:val="0"/>
          <w:numId w:val="1"/>
        </w:numPr>
        <w:rPr>
          <w:noProof/>
        </w:rPr>
      </w:pPr>
      <w:r>
        <w:rPr>
          <w:noProof/>
        </w:rPr>
        <w:t>Metodología</w:t>
      </w:r>
    </w:p>
    <w:p w14:paraId="45588297" w14:textId="77777777" w:rsidR="005E6AF1" w:rsidRPr="00301E8C" w:rsidRDefault="005E6AF1" w:rsidP="00943339">
      <w:pPr>
        <w:jc w:val="both"/>
        <w:rPr>
          <w:noProof/>
        </w:rPr>
      </w:pPr>
    </w:p>
    <w:p w14:paraId="1DA9A253" w14:textId="0B5F2942" w:rsidR="00943339" w:rsidRDefault="00943339" w:rsidP="00943339">
      <w:pPr>
        <w:jc w:val="both"/>
        <w:rPr>
          <w:noProof/>
        </w:rPr>
      </w:pPr>
      <w:r>
        <w:rPr>
          <w:noProof/>
        </w:rPr>
        <w:t>En consonancia con la metodología recogida en el PALV, la Comisión debe transmitir al Parlamento Europeo y al Consejo una comunicación sobre la aplicación de dicho Plan por parte de Armenia. El presente informe constituye la primera comunicación al respecto.</w:t>
      </w:r>
    </w:p>
    <w:p w14:paraId="60AA9C12" w14:textId="77777777" w:rsidR="00775BDF" w:rsidRDefault="00775BDF" w:rsidP="00943339">
      <w:pPr>
        <w:jc w:val="both"/>
        <w:rPr>
          <w:noProof/>
        </w:rPr>
      </w:pPr>
    </w:p>
    <w:p w14:paraId="3EF71C2B" w14:textId="2A262B35" w:rsidR="00775BDF" w:rsidRDefault="00775BDF" w:rsidP="003C7D62">
      <w:pPr>
        <w:jc w:val="both"/>
        <w:rPr>
          <w:noProof/>
        </w:rPr>
      </w:pPr>
      <w:r>
        <w:rPr>
          <w:noProof/>
        </w:rPr>
        <w:t>Asimismo, el presente informe se publica tras la adopción por parte de la Comisión de su primera Estrategia de Visados de la UE</w:t>
      </w:r>
      <w:r>
        <w:rPr>
          <w:rStyle w:val="FootnoteReference"/>
          <w:noProof/>
        </w:rPr>
        <w:footnoteReference w:id="3"/>
      </w:r>
      <w:r>
        <w:rPr>
          <w:noProof/>
        </w:rPr>
        <w:t xml:space="preserve"> el 29 de enero de 2026, cuyo objetivo es reforzar la seguridad y la integridad del espacio Schengen, al tiempo que se facilitan los viajes de buena fe y se impulsa el atractivo global de la UE. El presente informe se ajusta a los principios de la Estrategia de Visados de la UE. </w:t>
      </w:r>
    </w:p>
    <w:p w14:paraId="6C1596F5" w14:textId="77777777" w:rsidR="003C7D62" w:rsidRPr="00725177" w:rsidRDefault="003C7D62" w:rsidP="003C7D62">
      <w:pPr>
        <w:jc w:val="both"/>
        <w:rPr>
          <w:noProof/>
        </w:rPr>
      </w:pPr>
    </w:p>
    <w:p w14:paraId="0FC4FA56" w14:textId="6E54BD3D" w:rsidR="00943339" w:rsidRPr="00301E8C" w:rsidRDefault="29F1244F" w:rsidP="00943339">
      <w:pPr>
        <w:jc w:val="both"/>
        <w:rPr>
          <w:noProof/>
        </w:rPr>
      </w:pPr>
      <w:r>
        <w:rPr>
          <w:noProof/>
        </w:rPr>
        <w:t>En la reunión de altos funcionarios encargados de supervisar el diálogo sobre liberalización de visados que se celebró en noviembre de 2025, las autoridades armenias presentaron las medidas que ya habían adoptado para aplicar el PALV y explicaron qué próximos pasos tenían previstos. El 30 de noviembre de 2025, Armenia presentó su primer informe de situación sobre la aplicación del PALV, que se volvió a actualizar el 27 de febrero de 2026. Del 8 al 12 de diciembre de 2025 tuvo lugar en Ereván una misión de evaluación de la UE en la que participaron expertos de los Estados miembros de la UE, los servicios de la Comisión Europea, el Servicio Europeo de Acción Exterior, Frontex y la Delegación de la UE en Armenia. Esta misión de evaluación se centró en la aplicación del primer conjunto de criterios de referencia de los cuatro bloques del PALV. La misión de evaluación también se basó en dos misiones de inspección realizadas en febrero y abril de 2025 en Armenia con la participación de expertos de los Estados miembros de la UE, los servicios de la Comisión Europea, el Servicio Europeo de Acción Exterior, Frontex y la Delegación de la UE en Armenia, cuyo objetivo era recoger aportaciones para la elaboración del PALV. La información objetiva incluida en el presente informe se basa en estas fuentes.</w:t>
      </w:r>
      <w:r w:rsidR="00BA1D50">
        <w:rPr>
          <w:noProof/>
        </w:rPr>
        <w:t xml:space="preserve"> </w:t>
      </w:r>
    </w:p>
    <w:p w14:paraId="04E128E2" w14:textId="77777777" w:rsidR="00D530C7" w:rsidRPr="00301E8C" w:rsidRDefault="00D530C7" w:rsidP="00943339">
      <w:pPr>
        <w:jc w:val="both"/>
        <w:rPr>
          <w:noProof/>
        </w:rPr>
      </w:pPr>
    </w:p>
    <w:p w14:paraId="5D2EA33C" w14:textId="132E95A3" w:rsidR="006A359F" w:rsidRPr="00301E8C" w:rsidRDefault="00943339" w:rsidP="006A359F">
      <w:pPr>
        <w:jc w:val="both"/>
        <w:rPr>
          <w:noProof/>
        </w:rPr>
      </w:pPr>
      <w:r>
        <w:rPr>
          <w:noProof/>
        </w:rPr>
        <w:t>Este primer informe sigue la estructura del PALV. En el marco de los cuatro bloques del PALV, el informe evalúa los avances en el primer conjunto de criterios de referencia, centrándose en el marco político y legislativo y formulando recomendaciones a las autoridades armenias según proceda. La sección de conclusiones presenta una evaluación general y esboza los siguientes pasos.</w:t>
      </w:r>
    </w:p>
    <w:p w14:paraId="645AFBBD" w14:textId="77777777" w:rsidR="006A359F" w:rsidRPr="00301E8C" w:rsidRDefault="006A359F" w:rsidP="006A359F">
      <w:pPr>
        <w:jc w:val="both"/>
        <w:rPr>
          <w:noProof/>
        </w:rPr>
      </w:pPr>
    </w:p>
    <w:p w14:paraId="28EF76AF" w14:textId="0F953645" w:rsidR="008B3436" w:rsidRPr="00301E8C" w:rsidRDefault="00874E3E" w:rsidP="008B3436">
      <w:pPr>
        <w:jc w:val="both"/>
        <w:rPr>
          <w:noProof/>
        </w:rPr>
      </w:pPr>
      <w:r>
        <w:rPr>
          <w:noProof/>
        </w:rPr>
        <w:t xml:space="preserve">Al evaluar la aplicación del PALV, la Comisión también supervisará de forma constante la tasa de denegación de visados en Armenia, el número de ciudadanos armenios a los que se deniega la entrada en la frontera exterior de la UE o que son detenidos en situación irregular en la UE, el número de decisiones de retorno y el número de retornos a Armenia, el número de solicitudes de asilo de ciudadanos armenios en la UE y otros indicadores de rendimiento pertinentes. La Comisión también proporcionará una evaluación de las posibles repercusiones en materia de migración y seguridad en la UE de la futura liberalización de visados para Armenia, antes de pasar a evaluar el segundo conjunto de criterios de referencia, centrándose en la aplicación. Las autoridades armenias deberán abordar las posibles repercusiones detectadas durante la aplicación del PALV. </w:t>
      </w:r>
    </w:p>
    <w:p w14:paraId="3D17231F" w14:textId="77777777" w:rsidR="008B3436" w:rsidRPr="00301E8C" w:rsidRDefault="008B3436" w:rsidP="008B3436">
      <w:pPr>
        <w:jc w:val="both"/>
        <w:rPr>
          <w:noProof/>
        </w:rPr>
      </w:pPr>
    </w:p>
    <w:p w14:paraId="33AC1587" w14:textId="75BC076B" w:rsidR="008B3436" w:rsidRPr="00301E8C" w:rsidRDefault="008B3436" w:rsidP="008B3436">
      <w:pPr>
        <w:jc w:val="both"/>
        <w:rPr>
          <w:noProof/>
          <w:spacing w:val="-2"/>
        </w:rPr>
      </w:pPr>
      <w:r>
        <w:rPr>
          <w:noProof/>
        </w:rPr>
        <w:t xml:space="preserve">Los avances se evaluarán con arreglo a un enfoque basado en los resultados y estarán condicionados a la aplicación efectiva y coherente por parte de Armenia de todos los criterios de referencia establecidos por el PALV. No se tratará de un proceso automático y la Comisión y el Consejo examinarán detenidamente los avances en el cumplimiento del primer conjunto de criterios de referencia, con vistas a alcanzar un acuerdo para iniciar la evaluación del segundo conjunto de criterios de referencia. </w:t>
      </w:r>
    </w:p>
    <w:p w14:paraId="27A31275" w14:textId="77777777" w:rsidR="008B3436" w:rsidRPr="00301E8C" w:rsidRDefault="008B3436" w:rsidP="008B3436">
      <w:pPr>
        <w:jc w:val="both"/>
        <w:rPr>
          <w:noProof/>
          <w:spacing w:val="-2"/>
        </w:rPr>
      </w:pPr>
    </w:p>
    <w:p w14:paraId="7AE5D9E8" w14:textId="75AEC1FE" w:rsidR="008B3436" w:rsidRPr="00301E8C" w:rsidRDefault="008B3436" w:rsidP="008B3436">
      <w:pPr>
        <w:jc w:val="both"/>
        <w:rPr>
          <w:noProof/>
        </w:rPr>
      </w:pPr>
      <w:r>
        <w:rPr>
          <w:noProof/>
        </w:rPr>
        <w:t xml:space="preserve">A la hora de decidir si presenta una propuesta al Parlamento Europeo y al Consejo para suprimir la obligación de los ciudadanos armenios que viajen al espacio Schengen de obtener un visado de estancia de corta duración, mediante una modificación del Reglamento (UE) 2018/1806, la Comisión también tendrá en cuenta las relaciones generales entre la UE y Armenia y cualquier posible repercusión de la liberalización de visados en función de las tendencias de los indicadores de rendimiento mencionados anteriormente. </w:t>
      </w:r>
    </w:p>
    <w:p w14:paraId="26699C63" w14:textId="77777777" w:rsidR="008B3436" w:rsidRPr="00301E8C" w:rsidRDefault="008B3436" w:rsidP="008B3436">
      <w:pPr>
        <w:jc w:val="both"/>
        <w:rPr>
          <w:noProof/>
        </w:rPr>
      </w:pPr>
    </w:p>
    <w:p w14:paraId="5DEA9DFF" w14:textId="77777777" w:rsidR="0043426F" w:rsidRDefault="008B3436" w:rsidP="0043426F">
      <w:pPr>
        <w:jc w:val="both"/>
        <w:rPr>
          <w:noProof/>
        </w:rPr>
      </w:pPr>
      <w:r>
        <w:rPr>
          <w:noProof/>
        </w:rPr>
        <w:t>Con arreglo al procedimiento legislativo ordinario establecido en el Tratado de Funcionamiento de la Unión Europea para estas cuestiones, el Parlamento Europeo y el Consejo adoptarán una decisión sobre la base de la propuesta de la Comisión.</w:t>
      </w:r>
    </w:p>
    <w:p w14:paraId="4F232C97" w14:textId="77777777" w:rsidR="0043426F" w:rsidRDefault="0043426F" w:rsidP="0043426F">
      <w:pPr>
        <w:jc w:val="both"/>
        <w:rPr>
          <w:noProof/>
        </w:rPr>
      </w:pPr>
    </w:p>
    <w:p w14:paraId="39C1978F" w14:textId="77777777" w:rsidR="00940D6B" w:rsidRDefault="00940D6B" w:rsidP="008B3436">
      <w:pPr>
        <w:jc w:val="both"/>
        <w:rPr>
          <w:noProof/>
        </w:rPr>
      </w:pPr>
    </w:p>
    <w:p w14:paraId="74C8C3F2" w14:textId="6CD7BA2F" w:rsidR="00722B49" w:rsidRPr="00301E8C" w:rsidRDefault="00722B49" w:rsidP="00722B49">
      <w:pPr>
        <w:pStyle w:val="ListParagraph"/>
        <w:numPr>
          <w:ilvl w:val="0"/>
          <w:numId w:val="1"/>
        </w:numPr>
        <w:rPr>
          <w:noProof/>
        </w:rPr>
      </w:pPr>
      <w:r>
        <w:rPr>
          <w:noProof/>
        </w:rPr>
        <w:t>Bloque 1: Seguridad de los documentos, incluidos los datos biométricos</w:t>
      </w:r>
    </w:p>
    <w:p w14:paraId="14DF52EE" w14:textId="77777777" w:rsidR="005E6AF1" w:rsidRPr="00301E8C" w:rsidRDefault="005E6AF1" w:rsidP="005E6AF1">
      <w:pPr>
        <w:rPr>
          <w:noProof/>
        </w:rPr>
      </w:pPr>
    </w:p>
    <w:p w14:paraId="27625478" w14:textId="77777777" w:rsidR="005E6AF1" w:rsidRPr="00301E8C" w:rsidRDefault="005E6AF1" w:rsidP="005E6AF1">
      <w:pPr>
        <w:pStyle w:val="paragraph"/>
        <w:numPr>
          <w:ilvl w:val="0"/>
          <w:numId w:val="3"/>
        </w:numPr>
        <w:spacing w:before="0" w:beforeAutospacing="0" w:after="0" w:afterAutospacing="0"/>
        <w:jc w:val="both"/>
        <w:textAlignment w:val="baseline"/>
        <w:rPr>
          <w:b/>
          <w:bCs/>
          <w:noProof/>
          <w:color w:val="000000" w:themeColor="text1"/>
          <w:sz w:val="22"/>
          <w:szCs w:val="22"/>
        </w:rPr>
      </w:pPr>
      <w:r>
        <w:rPr>
          <w:b/>
          <w:noProof/>
          <w:sz w:val="22"/>
        </w:rPr>
        <w:t>Consolidación de un marco jurídico e institucional que vele por la integridad y la seguridad de los procesos relativos al estado civil y al registro civil, lo que incluye la inscripción de todos los ciudadanos armenios en un registro electrónico de población seguro y unificado, que garantice los más altos niveles de protección de datos.</w:t>
      </w:r>
    </w:p>
    <w:p w14:paraId="0A499E54" w14:textId="77777777" w:rsidR="006E1DEC" w:rsidRPr="00301E8C" w:rsidRDefault="006E1DEC" w:rsidP="006E1DEC">
      <w:pPr>
        <w:rPr>
          <w:noProof/>
          <w:lang w:eastAsia="x-none"/>
        </w:rPr>
      </w:pPr>
    </w:p>
    <w:p w14:paraId="7B216C2D" w14:textId="13B4867E" w:rsidR="00144BA7" w:rsidRDefault="00BF5C1B" w:rsidP="00144BA7">
      <w:pPr>
        <w:jc w:val="both"/>
        <w:rPr>
          <w:noProof/>
        </w:rPr>
      </w:pPr>
      <w:r>
        <w:rPr>
          <w:noProof/>
        </w:rPr>
        <w:t>En julio de 2025, Armenia adoptó una nueva Ley sobre el Registro Estatal de Población que establece la base jurídica para la creación de un Registro Estatal de Población unificado como única fuente nacional de datos de identificación personal y demográficos en Armenia. Este Registro tiene por objeto garantizar la integridad, la coherencia y la fiabilidad de los datos sobre el estado civil y la población, reforzando así la gestión de la identidad, la administración pública y la prestación de servicios en consonancia con las normas internacionales. Se están llevando a cabo mejoras técnicas para mejorar la eficiencia y la interoperabilidad del Registro Estatal de Población de Armenia con otras bases de datos pertinentes</w:t>
      </w:r>
    </w:p>
    <w:p w14:paraId="12E29B1F" w14:textId="77777777" w:rsidR="00E34E6D" w:rsidRPr="00301E8C" w:rsidRDefault="00E34E6D" w:rsidP="00144BA7">
      <w:pPr>
        <w:jc w:val="both"/>
        <w:rPr>
          <w:noProof/>
        </w:rPr>
      </w:pPr>
    </w:p>
    <w:p w14:paraId="177B88F3" w14:textId="4C8A106A" w:rsidR="006E1DEC" w:rsidRPr="00301E8C" w:rsidRDefault="00093D43" w:rsidP="006E1DEC">
      <w:pPr>
        <w:jc w:val="both"/>
        <w:rPr>
          <w:noProof/>
        </w:rPr>
      </w:pPr>
      <w:r>
        <w:rPr>
          <w:noProof/>
        </w:rPr>
        <w:t xml:space="preserve">y está previsto que esté plenamente operativo el 1 de enero de 2027. Englobará a toda la población de Armenia, incluidos los nacionales no armenios, y consistirá en un registro exhaustivo de acontecimientos vitales, como nacimientos, fallecimientos, matrimonios y divorcios. Además, este Registro funcionará como una plataforma integrada para la inscripción según el lugar de residencia, la expedición de números de servicios públicos y el registro del estatuto jurídico de una persona, lo que incluye a los ciudadanos de Armenia, los residentes extranjeros, los solicitantes de asilo y los refugiados. Una vez que esté operativo, se espera que cumpla las normas pertinentes y sirva de eje central para una gestión segura de la identidad, una mayor seguridad de los documentos y una gobernanza de la población y la migración basada en datos contrastados. </w:t>
      </w:r>
    </w:p>
    <w:p w14:paraId="79419BB5" w14:textId="77777777" w:rsidR="006E1DEC" w:rsidRPr="00301E8C" w:rsidRDefault="006E1DEC" w:rsidP="006E1DEC">
      <w:pPr>
        <w:jc w:val="both"/>
        <w:rPr>
          <w:noProof/>
          <w:lang w:eastAsia="x-none"/>
        </w:rPr>
      </w:pPr>
    </w:p>
    <w:p w14:paraId="44B36B3E" w14:textId="55F73530" w:rsidR="006E1DEC" w:rsidRPr="00301E8C" w:rsidRDefault="005E6AF1" w:rsidP="006E1DEC">
      <w:pPr>
        <w:pStyle w:val="paragraph"/>
        <w:numPr>
          <w:ilvl w:val="0"/>
          <w:numId w:val="3"/>
        </w:numPr>
        <w:spacing w:before="0" w:beforeAutospacing="0" w:after="0" w:afterAutospacing="0"/>
        <w:jc w:val="both"/>
        <w:textAlignment w:val="baseline"/>
        <w:rPr>
          <w:b/>
          <w:bCs/>
          <w:noProof/>
          <w:color w:val="000000" w:themeColor="text1"/>
          <w:sz w:val="22"/>
          <w:szCs w:val="22"/>
        </w:rPr>
      </w:pPr>
      <w:r>
        <w:rPr>
          <w:b/>
          <w:noProof/>
          <w:sz w:val="22"/>
        </w:rPr>
        <w:t>Consolidación del marco jurídico e institucional para la expedición de pasaportes biométricos legibles mecánicamente con plena observancia de las normas más estrictas de la OACI y de sus prácticas recomendadas basadas en una gestión segura de la identidad (documentos de filiación e identidad y registro civil), de acuerdo con el principio de un documento por persona, también por lo que respecta a los pasaportes diplomáticos y de servicio.</w:t>
      </w:r>
    </w:p>
    <w:p w14:paraId="30EDFD3B" w14:textId="77777777" w:rsidR="006E1DEC" w:rsidRPr="00725177" w:rsidRDefault="006E1DEC" w:rsidP="006E1DEC">
      <w:pPr>
        <w:pStyle w:val="paragraph"/>
        <w:spacing w:before="0" w:beforeAutospacing="0" w:after="0" w:afterAutospacing="0"/>
        <w:jc w:val="both"/>
        <w:textAlignment w:val="baseline"/>
        <w:rPr>
          <w:b/>
          <w:bCs/>
          <w:noProof/>
          <w:color w:val="000000" w:themeColor="text1"/>
          <w:sz w:val="22"/>
          <w:szCs w:val="22"/>
        </w:rPr>
      </w:pPr>
    </w:p>
    <w:p w14:paraId="37440312" w14:textId="6D9F918F" w:rsidR="00093D43" w:rsidRPr="00301E8C" w:rsidRDefault="00093D43" w:rsidP="00093D43">
      <w:pPr>
        <w:jc w:val="both"/>
        <w:rPr>
          <w:noProof/>
        </w:rPr>
      </w:pPr>
      <w:r>
        <w:rPr>
          <w:noProof/>
        </w:rPr>
        <w:t>En 2023, el Gobierno de Armenia puso en marcha una licitación pública para introducir un sistema nacional de identificación biométrica, con el objetivo de modernizar la gestión de la identidad y armonizar la seguridad de los documentos en el país con las normas internacionales. Una vez finalizado el procedimiento de licitación, el Ministerio del Interior de Armenia celebró un acuerdo de asociación público-privada con la empresa HayPass CJSC para desarrollar y aplicar el nuevo sistema nacional de identificación biométrica. Este sistema constituye una piedra angular de la reforma más amplia de Armenia de su sistema de pasaportes y documentos de identidad.</w:t>
      </w:r>
    </w:p>
    <w:p w14:paraId="47368B1A" w14:textId="77777777" w:rsidR="00093D43" w:rsidRPr="00301E8C" w:rsidRDefault="00093D43" w:rsidP="00093D43">
      <w:pPr>
        <w:jc w:val="both"/>
        <w:rPr>
          <w:noProof/>
          <w:lang w:eastAsia="x-none"/>
        </w:rPr>
      </w:pPr>
    </w:p>
    <w:p w14:paraId="12833BD1" w14:textId="394DE653" w:rsidR="00093D43" w:rsidRPr="00301E8C" w:rsidRDefault="00093D43" w:rsidP="00093D43">
      <w:pPr>
        <w:jc w:val="both"/>
        <w:rPr>
          <w:noProof/>
        </w:rPr>
      </w:pPr>
      <w:r>
        <w:rPr>
          <w:noProof/>
        </w:rPr>
        <w:t>Con arreglo a los requisitos del nuevo sistema, todos los documentos de identidad expedidos por Armenia, en particular los documentos de identidad, pasaportes, tarjetas de residencia, documentos de viaje y pasaportes diplomáticos y de servicio, incorporarán identificadores biométricos y cumplirán las normas y prácticas recomendadas establecidas en el documento 9303 de la OACI. La reforma conforme a este nuevo sistema está concebida para garantizar un alto nivel de seguridad de los documentos, interoperabilidad y reconocimiento internacional.</w:t>
      </w:r>
    </w:p>
    <w:p w14:paraId="4F9A6C75" w14:textId="77777777" w:rsidR="00093D43" w:rsidRPr="00301E8C" w:rsidRDefault="00093D43" w:rsidP="00093D43">
      <w:pPr>
        <w:jc w:val="both"/>
        <w:rPr>
          <w:noProof/>
          <w:lang w:eastAsia="x-none"/>
        </w:rPr>
      </w:pPr>
    </w:p>
    <w:p w14:paraId="723FB2CC" w14:textId="08EA8B40" w:rsidR="00093D43" w:rsidRPr="00301E8C" w:rsidRDefault="146D4742" w:rsidP="00093D43">
      <w:pPr>
        <w:jc w:val="both"/>
        <w:rPr>
          <w:noProof/>
        </w:rPr>
      </w:pPr>
      <w:r>
        <w:rPr>
          <w:noProof/>
        </w:rPr>
        <w:t>Se está llevando a cabo una revisión exhaustiva del marco jurídico que regula los documentos de identidad y los procedimientos conexos. Se espera que el principio de un documento por persona se defina y codifique explícitamente en la legislación, reforzando así la seguridad jurídica y la coherencia operativa.</w:t>
      </w:r>
    </w:p>
    <w:p w14:paraId="6C0C7A8B" w14:textId="77777777" w:rsidR="00093D43" w:rsidRPr="00301E8C" w:rsidRDefault="00093D43" w:rsidP="00093D43">
      <w:pPr>
        <w:jc w:val="both"/>
        <w:rPr>
          <w:noProof/>
          <w:lang w:eastAsia="x-none"/>
        </w:rPr>
      </w:pPr>
    </w:p>
    <w:p w14:paraId="149C1EE3" w14:textId="1968328C" w:rsidR="00093D43" w:rsidRPr="00301E8C" w:rsidRDefault="00001E69" w:rsidP="006E1DEC">
      <w:pPr>
        <w:jc w:val="both"/>
        <w:rPr>
          <w:noProof/>
        </w:rPr>
      </w:pPr>
      <w:r>
        <w:rPr>
          <w:noProof/>
        </w:rPr>
        <w:t xml:space="preserve">Para resolver la cuestión de la gestión de los certificados del país, Armenia se adhiere al sistema PKI/PKD (infraestructura de clave pública/directorio de clave pública) de la OACI, que permite cargar y descargar los certificados digitales necesarios y distribuirlos a otros países. Una vez realizadas las integraciones necesarias de los sistemas, las autoridades armenias podrán verificar la autenticidad y validez de los chips de todos los pasaportes expedidos por países que sean miembros del PKD de la OACI durante las inspecciones fronterizas. La integración de la misma infraestructura de clave pública para los documentos nacionales de identidad y los pasaportes basados en chips en los sistemas existentes aumentará la seguridad de los documentos y la seguridad interior y exterior. </w:t>
      </w:r>
    </w:p>
    <w:p w14:paraId="07E6CF04" w14:textId="77777777" w:rsidR="006E1DEC" w:rsidRPr="00725177" w:rsidRDefault="006E1DEC" w:rsidP="006E1DEC">
      <w:pPr>
        <w:pStyle w:val="paragraph"/>
        <w:spacing w:before="0" w:beforeAutospacing="0" w:after="0" w:afterAutospacing="0"/>
        <w:ind w:left="360"/>
        <w:jc w:val="both"/>
        <w:textAlignment w:val="baseline"/>
        <w:rPr>
          <w:b/>
          <w:bCs/>
          <w:noProof/>
          <w:color w:val="000000" w:themeColor="text1"/>
          <w:sz w:val="22"/>
          <w:szCs w:val="22"/>
        </w:rPr>
      </w:pPr>
    </w:p>
    <w:p w14:paraId="392C88BD" w14:textId="77777777" w:rsidR="005E6AF1" w:rsidRPr="00301E8C" w:rsidRDefault="005E6AF1" w:rsidP="005E6AF1">
      <w:pPr>
        <w:pStyle w:val="paragraph"/>
        <w:numPr>
          <w:ilvl w:val="0"/>
          <w:numId w:val="3"/>
        </w:numPr>
        <w:spacing w:before="0" w:beforeAutospacing="0" w:after="0" w:afterAutospacing="0"/>
        <w:jc w:val="both"/>
        <w:textAlignment w:val="baseline"/>
        <w:rPr>
          <w:b/>
          <w:bCs/>
          <w:noProof/>
          <w:color w:val="000000" w:themeColor="text1"/>
          <w:sz w:val="22"/>
          <w:szCs w:val="22"/>
        </w:rPr>
      </w:pPr>
      <w:r>
        <w:rPr>
          <w:b/>
          <w:noProof/>
          <w:sz w:val="22"/>
        </w:rPr>
        <w:t>Adopción de un calendario claro para la total implantación de pasaportes biométricos conformes con las normas de la OACI (también en los consulados de Armenia en el extranjero) y de documentos de viaje (incluidos los documentos de viaje para todos los no nacionales distintos de los documentos de viaje nacionales ordinarios), de conformidad con las normas internacionales, así como para la completa eliminación de los antiguos pasaportes.</w:t>
      </w:r>
    </w:p>
    <w:p w14:paraId="423133C5" w14:textId="77777777" w:rsidR="003C7F7F" w:rsidRPr="00725177" w:rsidRDefault="003C7F7F" w:rsidP="003C7F7F">
      <w:pPr>
        <w:pStyle w:val="paragraph"/>
        <w:spacing w:before="0" w:beforeAutospacing="0" w:after="0" w:afterAutospacing="0"/>
        <w:jc w:val="both"/>
        <w:textAlignment w:val="baseline"/>
        <w:rPr>
          <w:b/>
          <w:bCs/>
          <w:noProof/>
          <w:sz w:val="22"/>
          <w:szCs w:val="22"/>
        </w:rPr>
      </w:pPr>
    </w:p>
    <w:p w14:paraId="62A249E1" w14:textId="3B3C637F" w:rsidR="00940D6B" w:rsidRPr="00301E8C" w:rsidRDefault="00252E9B" w:rsidP="00940D6B">
      <w:pPr>
        <w:jc w:val="both"/>
        <w:rPr>
          <w:noProof/>
        </w:rPr>
      </w:pPr>
      <w:r>
        <w:rPr>
          <w:noProof/>
        </w:rPr>
        <w:t xml:space="preserve">Está previsto que el nuevo sistema de identificación biométrica se ponga en marcha en el segundo semestre de 2026, al igual que los primeros documentos de identidad y pasaportes biométricos. La reforma también se ampliará a los documentos de viaje expedidos por las misiones diplomáticas armenias en el extranjero. </w:t>
      </w:r>
    </w:p>
    <w:p w14:paraId="676914CB" w14:textId="77777777" w:rsidR="00940D6B" w:rsidRDefault="00940D6B" w:rsidP="00252E9B">
      <w:pPr>
        <w:jc w:val="both"/>
        <w:rPr>
          <w:noProof/>
        </w:rPr>
      </w:pPr>
    </w:p>
    <w:p w14:paraId="4DF9BA74" w14:textId="1C4514D6" w:rsidR="00940D6B" w:rsidRPr="00301E8C" w:rsidRDefault="00940D6B" w:rsidP="00252E9B">
      <w:pPr>
        <w:jc w:val="both"/>
        <w:rPr>
          <w:noProof/>
        </w:rPr>
      </w:pPr>
      <w:r>
        <w:rPr>
          <w:noProof/>
        </w:rPr>
        <w:t xml:space="preserve">Todavía no se ha fijado ningún plazo para la finalización de la eliminación progresiva de los pasaportes no conformes con las normas de la OACI. </w:t>
      </w:r>
    </w:p>
    <w:p w14:paraId="3706694F" w14:textId="77777777" w:rsidR="003C7F7F" w:rsidRPr="00725177" w:rsidRDefault="003C7F7F" w:rsidP="003C7F7F">
      <w:pPr>
        <w:pStyle w:val="paragraph"/>
        <w:spacing w:before="0" w:beforeAutospacing="0" w:after="0" w:afterAutospacing="0"/>
        <w:jc w:val="both"/>
        <w:textAlignment w:val="baseline"/>
        <w:rPr>
          <w:b/>
          <w:bCs/>
          <w:noProof/>
          <w:sz w:val="22"/>
          <w:szCs w:val="22"/>
        </w:rPr>
      </w:pPr>
    </w:p>
    <w:p w14:paraId="7C868BCE" w14:textId="559FF867" w:rsidR="005E6AF1" w:rsidRPr="00301E8C" w:rsidRDefault="005E6AF1" w:rsidP="005E6AF1">
      <w:pPr>
        <w:pStyle w:val="paragraph"/>
        <w:numPr>
          <w:ilvl w:val="0"/>
          <w:numId w:val="3"/>
        </w:numPr>
        <w:spacing w:before="0" w:beforeAutospacing="0" w:after="0" w:afterAutospacing="0"/>
        <w:jc w:val="both"/>
        <w:textAlignment w:val="baseline"/>
        <w:rPr>
          <w:b/>
          <w:bCs/>
          <w:noProof/>
          <w:color w:val="000000" w:themeColor="text1"/>
          <w:sz w:val="22"/>
          <w:szCs w:val="22"/>
        </w:rPr>
      </w:pPr>
      <w:r>
        <w:rPr>
          <w:b/>
          <w:noProof/>
          <w:sz w:val="22"/>
        </w:rPr>
        <w:t>Adopción de un código ético y programas de formación en materia de lucha contra la corrupción, así como imposición de sanciones en caso de incumplimiento, gestión segura de los documentos personales y protección de datos para los funcionarios de las autoridades públicas que se ocupan de los pasaportes, los documentos de identidad y otros documentos de filiación e identidad.</w:t>
      </w:r>
    </w:p>
    <w:p w14:paraId="525BD0B3" w14:textId="77777777" w:rsidR="005E6AF1" w:rsidRPr="00301E8C" w:rsidRDefault="005E6AF1" w:rsidP="005E6AF1">
      <w:pPr>
        <w:rPr>
          <w:b/>
          <w:bCs/>
          <w:noProof/>
        </w:rPr>
      </w:pPr>
    </w:p>
    <w:p w14:paraId="12709172" w14:textId="3A35FF43" w:rsidR="006368EF" w:rsidRDefault="007C2F4E" w:rsidP="006368EF">
      <w:pPr>
        <w:jc w:val="both"/>
        <w:rPr>
          <w:noProof/>
        </w:rPr>
      </w:pPr>
      <w:r>
        <w:rPr>
          <w:noProof/>
        </w:rPr>
        <w:t xml:space="preserve">El personal de la Agencia de Registro de Actos del Estado Civil de Armenia entra dentro del ámbito de aplicación de la Ley de la Función Pública y de la normativa relacionada con la integridad derivada de dicha Ley. Aunque esta Ley también establece una base jurídica clara para la integridad y la rendición de cuentas, y el Ministerio de Justicia introdujo formaciones periódicas en materia de integridad, se dispone de menos pruebas sobre la existencia de procedimientos operativos específicos para investigar las violaciones de la integridad, la documentación sistemática de los resultados de la ejecución o la aplicación de medidas preventivas concretas para mitigar los riesgos de integridad y corrupción inherentes a las funciones de registro civil y de expedición de documentos. </w:t>
      </w:r>
    </w:p>
    <w:p w14:paraId="0C31DD5F" w14:textId="77777777" w:rsidR="00847027" w:rsidRPr="00301E8C" w:rsidRDefault="00847027" w:rsidP="006368EF">
      <w:pPr>
        <w:jc w:val="both"/>
        <w:rPr>
          <w:noProof/>
          <w:lang w:eastAsia="x-none"/>
        </w:rPr>
      </w:pPr>
    </w:p>
    <w:p w14:paraId="7D57358E" w14:textId="14A308FA" w:rsidR="006368EF" w:rsidRPr="00301E8C" w:rsidRDefault="006368EF" w:rsidP="006368EF">
      <w:pPr>
        <w:jc w:val="both"/>
        <w:rPr>
          <w:noProof/>
        </w:rPr>
      </w:pPr>
      <w:r>
        <w:rPr>
          <w:noProof/>
        </w:rPr>
        <w:t>A fin de contribuir al funcionamiento sostenible de las nuevas plataformas digitales e introducir buenas prácticas en materia de gobernanza de datos, el Servicio de Migración y Ciudadanía de Armenia ha contratado personal especializado encargado de desarrollar y aplicar políticas integrales de gestión de datos. Paralelamente, y en cooperación con socios internacionales, el Servicio de Migración y Ciudadanía está aplicando iniciativas específicas de desarrollo de capacidades y programas de formación en el ámbito de la gestión de datos para el personal pertinente.</w:t>
      </w:r>
    </w:p>
    <w:p w14:paraId="15AE8CB0" w14:textId="77777777" w:rsidR="006368EF" w:rsidRPr="00301E8C" w:rsidRDefault="006368EF" w:rsidP="006368EF">
      <w:pPr>
        <w:jc w:val="both"/>
        <w:rPr>
          <w:noProof/>
          <w:lang w:eastAsia="x-none"/>
        </w:rPr>
      </w:pPr>
    </w:p>
    <w:p w14:paraId="6457F867" w14:textId="0CDBB5D7" w:rsidR="006368EF" w:rsidRPr="00301E8C" w:rsidRDefault="00485773" w:rsidP="006368EF">
      <w:pPr>
        <w:jc w:val="both"/>
        <w:rPr>
          <w:noProof/>
        </w:rPr>
      </w:pPr>
      <w:r>
        <w:rPr>
          <w:noProof/>
        </w:rPr>
        <w:t>Además, el Servicio de Migración y Ciudadanía también ha introducido una serie obligatoria de cursos de formación pertinentes para la seguridad de los documentos y la gestión de la identidad. Estos materiales de formación se están elaborando junto con unidades asociadas del Servicio Nacional de Seguridad y su objetivo es garantizar la armonización con las buenas prácticas europeas y los requisitos operativos locales.</w:t>
      </w:r>
    </w:p>
    <w:p w14:paraId="1DE177AA" w14:textId="77777777" w:rsidR="006368EF" w:rsidRPr="00301E8C" w:rsidRDefault="006368EF" w:rsidP="006368EF">
      <w:pPr>
        <w:jc w:val="both"/>
        <w:rPr>
          <w:noProof/>
          <w:lang w:eastAsia="x-none"/>
        </w:rPr>
      </w:pPr>
    </w:p>
    <w:p w14:paraId="775567EF" w14:textId="77777777" w:rsidR="005E6AF1" w:rsidRPr="00301E8C" w:rsidRDefault="005E6AF1" w:rsidP="006622EE">
      <w:pPr>
        <w:jc w:val="both"/>
        <w:rPr>
          <w:noProof/>
        </w:rPr>
      </w:pPr>
    </w:p>
    <w:p w14:paraId="00CBB532" w14:textId="0A08FBAF" w:rsidR="005E6AF1" w:rsidRPr="00353A3E" w:rsidRDefault="005E6AF1" w:rsidP="006622EE">
      <w:pPr>
        <w:jc w:val="both"/>
        <w:rPr>
          <w:i/>
          <w:iCs/>
          <w:noProof/>
        </w:rPr>
      </w:pPr>
      <w:r>
        <w:rPr>
          <w:i/>
          <w:noProof/>
        </w:rPr>
        <w:t xml:space="preserve">Sobre la base de las conclusiones anteriores, se recomienda que, en relación con los criterios de referencia del bloque 1 relativos a la </w:t>
      </w:r>
      <w:r>
        <w:rPr>
          <w:b/>
          <w:i/>
          <w:noProof/>
        </w:rPr>
        <w:t>seguridad de los documentos, incluidos los datos biométricos</w:t>
      </w:r>
      <w:r>
        <w:rPr>
          <w:i/>
          <w:noProof/>
        </w:rPr>
        <w:t xml:space="preserve"> (primera fase), las autoridades armenias: </w:t>
      </w:r>
    </w:p>
    <w:p w14:paraId="0294B66D" w14:textId="77777777" w:rsidR="00D83F61" w:rsidRPr="00301E8C" w:rsidRDefault="00D83F61" w:rsidP="005E6AF1">
      <w:pPr>
        <w:rPr>
          <w:noProof/>
        </w:rPr>
      </w:pPr>
    </w:p>
    <w:p w14:paraId="7DCFCC3D" w14:textId="7D7626D1" w:rsidR="00585B7D" w:rsidRDefault="00BA59E2" w:rsidP="00D83F61">
      <w:pPr>
        <w:pStyle w:val="ListParagraph"/>
        <w:widowControl/>
        <w:numPr>
          <w:ilvl w:val="0"/>
          <w:numId w:val="5"/>
        </w:numPr>
        <w:autoSpaceDE/>
        <w:autoSpaceDN/>
        <w:jc w:val="both"/>
        <w:rPr>
          <w:rFonts w:cs="Calibri"/>
          <w:i/>
          <w:iCs/>
          <w:noProof/>
        </w:rPr>
      </w:pPr>
      <w:r>
        <w:rPr>
          <w:i/>
          <w:noProof/>
        </w:rPr>
        <w:t xml:space="preserve">garanticen que el futuro Registro Estatal de Población cumpla las normas internacionales de integridad y seguridad de los datos; </w:t>
      </w:r>
    </w:p>
    <w:p w14:paraId="5870B1C1" w14:textId="7F646E06" w:rsidR="00D83F61" w:rsidRPr="00353A3E" w:rsidRDefault="00BA59E2" w:rsidP="00D83F61">
      <w:pPr>
        <w:pStyle w:val="ListParagraph"/>
        <w:widowControl/>
        <w:numPr>
          <w:ilvl w:val="0"/>
          <w:numId w:val="5"/>
        </w:numPr>
        <w:autoSpaceDE/>
        <w:autoSpaceDN/>
        <w:jc w:val="both"/>
        <w:rPr>
          <w:rFonts w:cs="Calibri"/>
          <w:i/>
          <w:iCs/>
          <w:noProof/>
        </w:rPr>
      </w:pPr>
      <w:r>
        <w:rPr>
          <w:i/>
          <w:noProof/>
        </w:rPr>
        <w:t>eliminen gradualmente todos los pasaportes que no cumplan las normas de la OACI;</w:t>
      </w:r>
    </w:p>
    <w:p w14:paraId="7660186B" w14:textId="2D4EE57B" w:rsidR="00D83F61" w:rsidRPr="00353A3E" w:rsidRDefault="00BA59E2" w:rsidP="00D83F61">
      <w:pPr>
        <w:pStyle w:val="ListParagraph"/>
        <w:widowControl/>
        <w:numPr>
          <w:ilvl w:val="0"/>
          <w:numId w:val="5"/>
        </w:numPr>
        <w:autoSpaceDE/>
        <w:autoSpaceDN/>
        <w:jc w:val="both"/>
        <w:rPr>
          <w:rFonts w:cs="Calibri"/>
          <w:i/>
          <w:iCs/>
          <w:noProof/>
        </w:rPr>
      </w:pPr>
      <w:r>
        <w:rPr>
          <w:i/>
          <w:noProof/>
        </w:rPr>
        <w:t xml:space="preserve">impartan formación específica, continua y adaptada a las funciones sobre autenticación de chips de documentos de identidad a todo el personal pertinente para que interprete correctamente los resultados generados por la aplicación de lectura de documentos; </w:t>
      </w:r>
    </w:p>
    <w:p w14:paraId="5F95C2DF" w14:textId="307499E1" w:rsidR="00D83F61" w:rsidRPr="00353A3E" w:rsidRDefault="00BA59E2" w:rsidP="00D83F61">
      <w:pPr>
        <w:pStyle w:val="ListParagraph"/>
        <w:widowControl/>
        <w:numPr>
          <w:ilvl w:val="0"/>
          <w:numId w:val="5"/>
        </w:numPr>
        <w:autoSpaceDE/>
        <w:autoSpaceDN/>
        <w:jc w:val="both"/>
        <w:rPr>
          <w:i/>
          <w:iCs/>
          <w:noProof/>
        </w:rPr>
      </w:pPr>
      <w:r>
        <w:rPr>
          <w:i/>
          <w:noProof/>
        </w:rPr>
        <w:t>procedan a adherirse al sistema de la OACI de infraestructura de clave pública/directorio de clave pública (PKI/PKD), de manera que se puedan cargar, validar y distribuir de forma segura los certificados de la autoridad certificadora de firmas del país y los certificados de signatario de documentos necesarios para realizar una verificación fiable de los documentos de viaje electrónicos;</w:t>
      </w:r>
    </w:p>
    <w:p w14:paraId="0F61C48C" w14:textId="0AE402D9" w:rsidR="00D83F61" w:rsidRPr="00353A3E" w:rsidRDefault="00BA59E2" w:rsidP="00D83F61">
      <w:pPr>
        <w:pStyle w:val="ListParagraph"/>
        <w:widowControl/>
        <w:numPr>
          <w:ilvl w:val="0"/>
          <w:numId w:val="5"/>
        </w:numPr>
        <w:autoSpaceDE/>
        <w:autoSpaceDN/>
        <w:jc w:val="both"/>
        <w:rPr>
          <w:i/>
          <w:iCs/>
          <w:noProof/>
        </w:rPr>
      </w:pPr>
      <w:r>
        <w:rPr>
          <w:i/>
          <w:noProof/>
        </w:rPr>
        <w:t>establezcan una infraestructura centralizada de gestión de certificados para garantizar la distribución segura, coherente y oportuna de los certificados digitales a todas las autoridades competentes que participan en la verificación de documentos y el control fronterizo, incluidos los servicios de migración, las autoridades fronterizas, los servicios aduaneros y la policía;</w:t>
      </w:r>
    </w:p>
    <w:p w14:paraId="688E61C3" w14:textId="14550FD8" w:rsidR="00D83F61" w:rsidRPr="00353A3E" w:rsidRDefault="00BA59E2" w:rsidP="00D83F61">
      <w:pPr>
        <w:pStyle w:val="ListParagraph"/>
        <w:widowControl/>
        <w:numPr>
          <w:ilvl w:val="0"/>
          <w:numId w:val="5"/>
        </w:numPr>
        <w:autoSpaceDE/>
        <w:autoSpaceDN/>
        <w:jc w:val="both"/>
        <w:rPr>
          <w:i/>
          <w:iCs/>
          <w:noProof/>
          <w:color w:val="000000"/>
        </w:rPr>
      </w:pPr>
      <w:r>
        <w:rPr>
          <w:i/>
          <w:noProof/>
          <w:color w:val="000000" w:themeColor="text1"/>
        </w:rPr>
        <w:t xml:space="preserve">lleven a cabo evaluaciones periódicas del riesgo para la integridad que abarquen todas las fases de los procesos relativos a los documentos de filiación e identidad, en particular la expedición, la verificación, el almacenamiento y el acceso informático; </w:t>
      </w:r>
    </w:p>
    <w:p w14:paraId="7707C7BA" w14:textId="6ED11429" w:rsidR="00D83F61" w:rsidRPr="00353A3E" w:rsidRDefault="00BA59E2" w:rsidP="00D83F61">
      <w:pPr>
        <w:pStyle w:val="ListParagraph"/>
        <w:widowControl/>
        <w:numPr>
          <w:ilvl w:val="0"/>
          <w:numId w:val="5"/>
        </w:numPr>
        <w:autoSpaceDE/>
        <w:autoSpaceDN/>
        <w:jc w:val="both"/>
        <w:rPr>
          <w:i/>
          <w:iCs/>
          <w:noProof/>
          <w:color w:val="000000"/>
        </w:rPr>
      </w:pPr>
      <w:r>
        <w:rPr>
          <w:i/>
          <w:noProof/>
          <w:color w:val="000000" w:themeColor="text1"/>
        </w:rPr>
        <w:t xml:space="preserve">creen una formación obligatoria en materia de lucha contra la corrupción e integridad para todos los funcionarios que participan en los procesos relativos a los documentos de filiación e identidad, con ciclos de actualización periódicos y un seguimiento estructurado; </w:t>
      </w:r>
    </w:p>
    <w:p w14:paraId="00861546" w14:textId="3872BFE4" w:rsidR="00D83F61" w:rsidRPr="00353A3E" w:rsidRDefault="00BA59E2" w:rsidP="00D83F61">
      <w:pPr>
        <w:pStyle w:val="NormalWeb"/>
        <w:numPr>
          <w:ilvl w:val="0"/>
          <w:numId w:val="5"/>
        </w:numPr>
        <w:spacing w:beforeAutospacing="0" w:after="0" w:afterAutospacing="0" w:line="240" w:lineRule="auto"/>
        <w:jc w:val="both"/>
        <w:rPr>
          <w:i/>
          <w:iCs/>
          <w:noProof/>
          <w:color w:val="000000"/>
          <w:sz w:val="22"/>
          <w:szCs w:val="22"/>
        </w:rPr>
      </w:pPr>
      <w:r>
        <w:rPr>
          <w:i/>
          <w:noProof/>
          <w:color w:val="000000" w:themeColor="text1"/>
          <w:sz w:val="22"/>
        </w:rPr>
        <w:t>establezcan procedimientos operativos normalizados para la notificación, detección e investigación de las conductas indebidas y las violaciones de la integridad en las que estén implicados funcionarios responsables de la gestión de pasaportes, documentos de identidad y otros documentos de filiación e identidad, de manera que se garantice una rendición de cuentas eficaz.</w:t>
      </w:r>
    </w:p>
    <w:p w14:paraId="146DEED9" w14:textId="77777777" w:rsidR="00D83F61" w:rsidRPr="00301E8C" w:rsidRDefault="00D83F61" w:rsidP="005E6AF1">
      <w:pPr>
        <w:rPr>
          <w:noProof/>
        </w:rPr>
      </w:pPr>
    </w:p>
    <w:p w14:paraId="762EF9AB" w14:textId="77777777" w:rsidR="005E6AF1" w:rsidRPr="00301E8C" w:rsidRDefault="005E6AF1" w:rsidP="005E6AF1">
      <w:pPr>
        <w:rPr>
          <w:noProof/>
        </w:rPr>
      </w:pPr>
    </w:p>
    <w:p w14:paraId="6A86809B" w14:textId="13CE026B" w:rsidR="00722B49" w:rsidRPr="00301E8C" w:rsidRDefault="00722B49" w:rsidP="00722B49">
      <w:pPr>
        <w:pStyle w:val="ListParagraph"/>
        <w:numPr>
          <w:ilvl w:val="0"/>
          <w:numId w:val="1"/>
        </w:numPr>
        <w:rPr>
          <w:noProof/>
        </w:rPr>
      </w:pPr>
      <w:r>
        <w:rPr>
          <w:noProof/>
        </w:rPr>
        <w:t>Bloque 2: Gestión integrada de las fronteras, gestión de la migración y asilo</w:t>
      </w:r>
    </w:p>
    <w:p w14:paraId="283DC6C6" w14:textId="77777777" w:rsidR="006622EE" w:rsidRPr="00301E8C" w:rsidRDefault="006622EE" w:rsidP="006622EE">
      <w:pPr>
        <w:pStyle w:val="ListParagraph"/>
        <w:rPr>
          <w:noProof/>
        </w:rPr>
      </w:pPr>
    </w:p>
    <w:p w14:paraId="0552062A" w14:textId="6857AF7D" w:rsidR="00FF58B1" w:rsidRPr="00301E8C" w:rsidRDefault="00FF58B1" w:rsidP="00FF58B1">
      <w:pPr>
        <w:pStyle w:val="ListParagraph"/>
        <w:numPr>
          <w:ilvl w:val="1"/>
          <w:numId w:val="1"/>
        </w:numPr>
        <w:rPr>
          <w:noProof/>
        </w:rPr>
      </w:pPr>
      <w:r>
        <w:rPr>
          <w:noProof/>
        </w:rPr>
        <w:t>Gestión integrada de las fronteras y política de visados</w:t>
      </w:r>
    </w:p>
    <w:p w14:paraId="03514207" w14:textId="77777777" w:rsidR="00F618EC" w:rsidRPr="00301E8C" w:rsidRDefault="00F618EC" w:rsidP="00F618EC">
      <w:pPr>
        <w:adjustRightInd w:val="0"/>
        <w:jc w:val="both"/>
        <w:rPr>
          <w:b/>
          <w:bCs/>
          <w:noProof/>
          <w:color w:val="000000" w:themeColor="text1"/>
        </w:rPr>
      </w:pPr>
    </w:p>
    <w:p w14:paraId="5F5EA5DD" w14:textId="77777777" w:rsidR="00F618EC" w:rsidRPr="00301E8C" w:rsidRDefault="00F618EC" w:rsidP="00F618EC">
      <w:pPr>
        <w:pStyle w:val="paragraph"/>
        <w:numPr>
          <w:ilvl w:val="0"/>
          <w:numId w:val="3"/>
        </w:numPr>
        <w:spacing w:before="0" w:beforeAutospacing="0" w:after="0" w:afterAutospacing="0"/>
        <w:jc w:val="both"/>
        <w:textAlignment w:val="baseline"/>
        <w:rPr>
          <w:b/>
          <w:bCs/>
          <w:noProof/>
          <w:color w:val="000000" w:themeColor="text1"/>
          <w:sz w:val="22"/>
          <w:szCs w:val="22"/>
        </w:rPr>
      </w:pPr>
      <w:r>
        <w:rPr>
          <w:b/>
          <w:noProof/>
          <w:sz w:val="22"/>
        </w:rPr>
        <w:t>Consolidación del marco jurídico e institucional para la gestión de las fronteras con arreglo a las normas internacionales y de la UE, en particular en lo que respecta a la seguridad de los datos y al control exhaustivo de las fronteras, garantizando también una cooperación eficaz entre todos los organismos que participan en la gestión de las fronteras.</w:t>
      </w:r>
    </w:p>
    <w:p w14:paraId="1660DCD5" w14:textId="77777777" w:rsidR="00117DFA" w:rsidRPr="00725177" w:rsidRDefault="00117DFA" w:rsidP="00117DFA">
      <w:pPr>
        <w:pStyle w:val="paragraph"/>
        <w:spacing w:before="0" w:beforeAutospacing="0" w:after="0" w:afterAutospacing="0"/>
        <w:jc w:val="both"/>
        <w:textAlignment w:val="baseline"/>
        <w:rPr>
          <w:b/>
          <w:bCs/>
          <w:noProof/>
          <w:color w:val="000000" w:themeColor="text1"/>
          <w:sz w:val="22"/>
          <w:szCs w:val="22"/>
        </w:rPr>
      </w:pPr>
    </w:p>
    <w:p w14:paraId="2E2BD4A1" w14:textId="08BCFF95" w:rsidR="00117DFA" w:rsidRPr="00940D6B" w:rsidRDefault="007B72F1" w:rsidP="005C2B11">
      <w:pPr>
        <w:jc w:val="both"/>
        <w:rPr>
          <w:rFonts w:eastAsia="Calibri"/>
          <w:i/>
          <w:noProof/>
        </w:rPr>
      </w:pPr>
      <w:r>
        <w:rPr>
          <w:noProof/>
        </w:rPr>
        <w:t xml:space="preserve">En los dos últimos años, el Servicio Nacional de Seguridad de Armenia y sus cuerpos de guardias de fronteras han asumido progresivamente una mayor responsabilidad en materia de control fronterizo en Armenia. A raíz de esta transferencia de competencias, los cuerpos de guardias de fronteras armenias pasan a ser plenamente responsables de las inspecciones fronterizas en todos los pasos fronterizos existentes, con Georgia, Irán y en los aeropuertos internacionales del país. Las fronteras nacionales con Azerbaiyán y Turquía siguen cerradas. Las fronteras «verdes» de Armenia con Irán y Turquía han sido patrulladas </w:t>
      </w:r>
      <w:r w:rsidR="00725177">
        <w:rPr>
          <w:noProof/>
        </w:rPr>
        <w:t>juntamente con</w:t>
      </w:r>
      <w:r>
        <w:rPr>
          <w:noProof/>
        </w:rPr>
        <w:t xml:space="preserve"> los guardias de fronteras rusos desde enero de 2025. </w:t>
      </w:r>
    </w:p>
    <w:p w14:paraId="19977C01" w14:textId="77777777" w:rsidR="00A765AD" w:rsidRDefault="00A765AD" w:rsidP="00A765AD">
      <w:pPr>
        <w:jc w:val="both"/>
        <w:rPr>
          <w:noProof/>
        </w:rPr>
      </w:pPr>
    </w:p>
    <w:p w14:paraId="578724FE" w14:textId="31D1266E" w:rsidR="00FF5200" w:rsidRPr="00301E8C" w:rsidRDefault="00FF5200" w:rsidP="00FF5200">
      <w:pPr>
        <w:jc w:val="both"/>
        <w:rPr>
          <w:noProof/>
        </w:rPr>
      </w:pPr>
      <w:r>
        <w:rPr>
          <w:noProof/>
        </w:rPr>
        <w:t xml:space="preserve">Armenia debe considerar la posibilidad de elaborar legislación específica para reforzar la cooperación y el intercambio de información entre organismos, ya que estos resultarán esenciales para que prospere la aplicación del concepto de gestión integrada de las fronteras. En la actualidad, la gestión de las fronteras y las actividades </w:t>
      </w:r>
      <w:r w:rsidR="00725177">
        <w:rPr>
          <w:noProof/>
        </w:rPr>
        <w:t>policiales conexas</w:t>
      </w:r>
      <w:r>
        <w:rPr>
          <w:noProof/>
        </w:rPr>
        <w:t xml:space="preserve"> siguen estando muy separadas en el país. Las autoridades nacionales que trabajan en este ámbito no intercambian sistemáticamente inteligencia operativa y cada autoridad tiende a intervenir de manera independiente en los delitos detectados dentro de su propio ámbito de responsabilidad.</w:t>
      </w:r>
    </w:p>
    <w:p w14:paraId="76A314F6" w14:textId="77777777" w:rsidR="00FF5200" w:rsidRPr="00301E8C" w:rsidRDefault="00FF5200" w:rsidP="00FF5200">
      <w:pPr>
        <w:jc w:val="both"/>
        <w:rPr>
          <w:noProof/>
          <w:lang w:eastAsia="x-none"/>
        </w:rPr>
      </w:pPr>
    </w:p>
    <w:p w14:paraId="696828C3" w14:textId="77777777" w:rsidR="00FF5200" w:rsidRDefault="00FF5200" w:rsidP="00FF5200">
      <w:pPr>
        <w:jc w:val="both"/>
        <w:rPr>
          <w:noProof/>
        </w:rPr>
      </w:pPr>
      <w:r>
        <w:rPr>
          <w:noProof/>
        </w:rPr>
        <w:t xml:space="preserve">A fin de subsanar estas deficiencias, Armenia debe reforzar el intercambio de información entre organismos y sus capacidades analíticas, entre otras cosas, a través del desarrollo de i) análisis de riesgos conjuntos; ii) perfiles de riesgo y iii) un mejor seguimiento. En este contexto, un cambio estratégico de respuestas reactivas a un modelo policial basado en la inteligencia aumentaría considerablemente la eficacia de la gestión de las fronteras y la seguridad interior. </w:t>
      </w:r>
    </w:p>
    <w:p w14:paraId="5CE9372C" w14:textId="77777777" w:rsidR="00FF5200" w:rsidRPr="00301E8C" w:rsidRDefault="00FF5200" w:rsidP="003E27EA">
      <w:pPr>
        <w:jc w:val="both"/>
        <w:rPr>
          <w:noProof/>
        </w:rPr>
      </w:pPr>
    </w:p>
    <w:p w14:paraId="4D0DE647" w14:textId="77777777" w:rsidR="00F618EC" w:rsidRPr="00301E8C" w:rsidRDefault="00F618EC" w:rsidP="00F618EC">
      <w:pPr>
        <w:pStyle w:val="paragraph"/>
        <w:numPr>
          <w:ilvl w:val="0"/>
          <w:numId w:val="3"/>
        </w:numPr>
        <w:spacing w:before="0" w:beforeAutospacing="0" w:after="0" w:afterAutospacing="0"/>
        <w:jc w:val="both"/>
        <w:textAlignment w:val="baseline"/>
        <w:rPr>
          <w:b/>
          <w:bCs/>
          <w:noProof/>
          <w:color w:val="000000" w:themeColor="text1"/>
          <w:sz w:val="22"/>
          <w:szCs w:val="22"/>
        </w:rPr>
      </w:pPr>
      <w:r>
        <w:rPr>
          <w:b/>
          <w:noProof/>
          <w:sz w:val="22"/>
        </w:rPr>
        <w:t>Adopción de una estrategia nacional para la gestión integrada de las fronteras y un plan de acción de conformidad con las normas internacionales, que contengan un calendario claro, objetivos estratégicos y específicos, así como medidas de aplicación, hitos detallados, indicadores de rendimiento y mecanismos de control para seguir desarrollando la legislación, la organización, la infraestructura, los equipos y unos recursos humanos y financieros suficientes en el ámbito de la gestión de las fronteras y el retorno, así como la cooperación internacional.</w:t>
      </w:r>
    </w:p>
    <w:p w14:paraId="59B54E00" w14:textId="77777777" w:rsidR="00B2270D" w:rsidRPr="00725177" w:rsidRDefault="00B2270D" w:rsidP="00B2270D">
      <w:pPr>
        <w:pStyle w:val="paragraph"/>
        <w:spacing w:before="0" w:beforeAutospacing="0" w:after="0" w:afterAutospacing="0"/>
        <w:jc w:val="both"/>
        <w:textAlignment w:val="baseline"/>
        <w:rPr>
          <w:b/>
          <w:bCs/>
          <w:noProof/>
          <w:color w:val="000000" w:themeColor="text1"/>
          <w:sz w:val="22"/>
          <w:szCs w:val="22"/>
        </w:rPr>
      </w:pPr>
    </w:p>
    <w:p w14:paraId="4F07B246" w14:textId="4F720F46" w:rsidR="00A765E9" w:rsidRPr="00301E8C" w:rsidRDefault="00A765E9" w:rsidP="00A765E9">
      <w:pPr>
        <w:jc w:val="both"/>
        <w:rPr>
          <w:noProof/>
        </w:rPr>
      </w:pPr>
      <w:r>
        <w:rPr>
          <w:noProof/>
        </w:rPr>
        <w:t xml:space="preserve">La evolución de las funciones y responsabilidades de los guardias de fronteras armenios exigirá la correspondiente reforma de su sistema de formación. Esta reforma es esencial para garantizar el pleno cumplimiento y el constante mantenimiento de las normas profesionales en el </w:t>
      </w:r>
      <w:r w:rsidR="00725177">
        <w:rPr>
          <w:noProof/>
        </w:rPr>
        <w:t>control y las inspecciones fronterizos</w:t>
      </w:r>
      <w:r>
        <w:rPr>
          <w:noProof/>
        </w:rPr>
        <w:t xml:space="preserve">, en particular a la luz de la futura introducción del modelo de gestión integrada de las fronteras. Este modelo requiere una intensa cooperación operativa entre las distintas autoridades implicadas en la gestión de las fronteras, en particular la guardia de fronteras, la policía, las autoridades de migración y el servicio de aduanas. </w:t>
      </w:r>
    </w:p>
    <w:p w14:paraId="663948FF" w14:textId="77777777" w:rsidR="00A765E9" w:rsidRDefault="00A765E9" w:rsidP="00B2270D">
      <w:pPr>
        <w:jc w:val="both"/>
        <w:rPr>
          <w:noProof/>
        </w:rPr>
      </w:pPr>
    </w:p>
    <w:p w14:paraId="33625E44" w14:textId="6C86F203" w:rsidR="000E1B2F" w:rsidRPr="00301E8C" w:rsidRDefault="00B2270D" w:rsidP="00B2270D">
      <w:pPr>
        <w:jc w:val="both"/>
        <w:rPr>
          <w:noProof/>
        </w:rPr>
      </w:pPr>
      <w:r>
        <w:rPr>
          <w:noProof/>
        </w:rPr>
        <w:t>Las autoridades armenias han elaborado un documento de reflexión sobre la futura gestión integrada de las fronteras, que fue aprobado por el primer ministro.</w:t>
      </w:r>
      <w:r w:rsidR="00BA1D50">
        <w:rPr>
          <w:noProof/>
        </w:rPr>
        <w:t xml:space="preserve"> </w:t>
      </w:r>
      <w:r>
        <w:rPr>
          <w:noProof/>
        </w:rPr>
        <w:t xml:space="preserve">Sobre la base de este documento de reflexión, se está elaborando el proyecto de estrategia de gestión integrada de las fronteras y su plan de acción para el período 2026-2029, con la asistencia de la UE. </w:t>
      </w:r>
    </w:p>
    <w:p w14:paraId="38AF68B0" w14:textId="77777777" w:rsidR="00B2270D" w:rsidRPr="00301E8C" w:rsidRDefault="00B2270D" w:rsidP="00B2270D">
      <w:pPr>
        <w:jc w:val="both"/>
        <w:rPr>
          <w:noProof/>
          <w:lang w:eastAsia="x-none"/>
        </w:rPr>
      </w:pPr>
    </w:p>
    <w:p w14:paraId="2D12B32E" w14:textId="130BD10B" w:rsidR="000507DC" w:rsidRPr="001710E3" w:rsidRDefault="000507DC" w:rsidP="00764F22">
      <w:pPr>
        <w:jc w:val="both"/>
        <w:rPr>
          <w:bCs/>
          <w:noProof/>
        </w:rPr>
      </w:pPr>
      <w:r>
        <w:rPr>
          <w:noProof/>
        </w:rPr>
        <w:t xml:space="preserve">La cooperación internacional de los cuerpos de guardias de fronteras todavía se encuentra en una fase temprana. Desde 2012, existe un acuerdo de trabajo entre el Consejo de Seguridad Nacional y Frontex y actualmente está en marcha la adopción de un nuevo acuerdo de trabajo entre Frontex y las autoridades armenias pertinentes. </w:t>
      </w:r>
    </w:p>
    <w:p w14:paraId="76E2B178" w14:textId="77777777" w:rsidR="00B2270D" w:rsidRPr="00725177" w:rsidRDefault="00B2270D" w:rsidP="00B2270D">
      <w:pPr>
        <w:pStyle w:val="paragraph"/>
        <w:spacing w:before="0" w:beforeAutospacing="0" w:after="0" w:afterAutospacing="0"/>
        <w:jc w:val="both"/>
        <w:textAlignment w:val="baseline"/>
        <w:rPr>
          <w:b/>
          <w:bCs/>
          <w:noProof/>
          <w:color w:val="000000" w:themeColor="text1"/>
          <w:sz w:val="22"/>
          <w:szCs w:val="22"/>
        </w:rPr>
      </w:pPr>
    </w:p>
    <w:p w14:paraId="29481E37" w14:textId="6124BE87" w:rsidR="00F618EC" w:rsidRPr="00301E8C" w:rsidRDefault="00F618EC" w:rsidP="00F618EC">
      <w:pPr>
        <w:pStyle w:val="paragraph"/>
        <w:numPr>
          <w:ilvl w:val="0"/>
          <w:numId w:val="3"/>
        </w:numPr>
        <w:spacing w:before="0" w:beforeAutospacing="0" w:after="0" w:afterAutospacing="0"/>
        <w:jc w:val="both"/>
        <w:textAlignment w:val="baseline"/>
        <w:rPr>
          <w:b/>
          <w:bCs/>
          <w:noProof/>
          <w:color w:val="000000" w:themeColor="text1"/>
          <w:sz w:val="22"/>
          <w:szCs w:val="22"/>
        </w:rPr>
      </w:pPr>
      <w:r>
        <w:rPr>
          <w:b/>
          <w:noProof/>
          <w:sz w:val="22"/>
        </w:rPr>
        <w:t>Adopción de un código ético y de programas de formación sobre lucha contra la corrupción y la delincuencia organizada, respeto de los derechos fundamentales, procedimientos de remisión y asilo pertinentes para la gestión de fronteras y la lucha contra el tráfico ilícito de migrantes y la trata de seres humanos que abarquen específicamente a todas las autoridades nacionales que intervienen en la gestión integrada de las fronteras.</w:t>
      </w:r>
    </w:p>
    <w:p w14:paraId="461888EB" w14:textId="77777777" w:rsidR="00F616CA" w:rsidRPr="00725177" w:rsidRDefault="00F616CA" w:rsidP="00F616CA">
      <w:pPr>
        <w:pStyle w:val="paragraph"/>
        <w:spacing w:before="0" w:beforeAutospacing="0" w:after="0" w:afterAutospacing="0"/>
        <w:jc w:val="both"/>
        <w:textAlignment w:val="baseline"/>
        <w:rPr>
          <w:b/>
          <w:bCs/>
          <w:noProof/>
          <w:sz w:val="22"/>
          <w:szCs w:val="22"/>
        </w:rPr>
      </w:pPr>
    </w:p>
    <w:p w14:paraId="21069FCA" w14:textId="3CA64DA6" w:rsidR="00C762B0" w:rsidRDefault="00F616CA" w:rsidP="00F616CA">
      <w:pPr>
        <w:jc w:val="both"/>
        <w:rPr>
          <w:noProof/>
        </w:rPr>
      </w:pPr>
      <w:r>
        <w:rPr>
          <w:noProof/>
        </w:rPr>
        <w:t xml:space="preserve">Las Normas de conducta para el personal de los organismos nacionales de seguridad de Armenia, adoptadas en mayo de 2025, establecen un marco jurídico que también se aplica al personal de los cuerpos de guardias de fronteras y abarca tanto la conducta durante el servicio como una amplia variedad de situaciones fuera de servicio. Además, el Servicio Nacional de Seguridad adoptó en febrero de 2026 un nuevo código de conducta independiente para los cuerpos de guardias de fronteras, basado en las directrices de la UE. </w:t>
      </w:r>
    </w:p>
    <w:p w14:paraId="1B79D9AB" w14:textId="77777777" w:rsidR="00882783" w:rsidRDefault="00882783" w:rsidP="00F616CA">
      <w:pPr>
        <w:jc w:val="both"/>
        <w:rPr>
          <w:noProof/>
        </w:rPr>
      </w:pPr>
    </w:p>
    <w:p w14:paraId="3370B48D" w14:textId="18E5359B" w:rsidR="00F616CA" w:rsidRPr="00301E8C" w:rsidRDefault="00F616CA" w:rsidP="00F616CA">
      <w:pPr>
        <w:jc w:val="both"/>
        <w:rPr>
          <w:noProof/>
        </w:rPr>
      </w:pPr>
      <w:r>
        <w:rPr>
          <w:noProof/>
        </w:rPr>
        <w:t>Estos textos articulan principios coherentes y uniformes relativos a la primacía del interés público y la legalidad, la imparcialidad y la objetividad, la no discriminación, el respeto de las personas vulnerables, las normas contra la corrupción y una imagen y conducta profesionales adecuadas. Las disposiciones que contienen en relación con el trato respetuoso de las personas vulnerables, los procedimientos de tramitación de reclamaciones y las restricciones a los registros son detalladas y se adaptan adecuadamente al contexto específico del control fronterizo. Asimismo, las Normas de conducta contienen disposiciones sólidas contra la corrupción, en particular restricciones a los regalos y requisitos en materia de conflictos de intereses, que se ajustan al marco nacional de integridad más amplio.</w:t>
      </w:r>
    </w:p>
    <w:p w14:paraId="05CB5699" w14:textId="77777777" w:rsidR="00F616CA" w:rsidRPr="00301E8C" w:rsidRDefault="00F616CA" w:rsidP="00F616CA">
      <w:pPr>
        <w:jc w:val="both"/>
        <w:rPr>
          <w:noProof/>
          <w:lang w:eastAsia="x-none"/>
        </w:rPr>
      </w:pPr>
    </w:p>
    <w:p w14:paraId="7AEB2FFF" w14:textId="430C9350" w:rsidR="00F616CA" w:rsidRPr="00301E8C" w:rsidRDefault="00F616CA" w:rsidP="00F616CA">
      <w:pPr>
        <w:jc w:val="both"/>
        <w:rPr>
          <w:noProof/>
        </w:rPr>
      </w:pPr>
      <w:r>
        <w:rPr>
          <w:noProof/>
        </w:rPr>
        <w:t xml:space="preserve">El Centro Educativo Científico del Servicio Nacional de Seguridad de Armenia ofrece formación y reciclaje profesional periódicos a los agentes de los cuerpos de guardias de fronteras. La formación se imparte a través de cursos de corta duración, así como de programas más prolongados de hasta un mes, a menudo </w:t>
      </w:r>
      <w:r w:rsidR="00725177">
        <w:rPr>
          <w:noProof/>
        </w:rPr>
        <w:t>impartidas in</w:t>
      </w:r>
      <w:r>
        <w:rPr>
          <w:i/>
          <w:iCs/>
          <w:noProof/>
        </w:rPr>
        <w:t xml:space="preserve"> situ</w:t>
      </w:r>
      <w:r>
        <w:rPr>
          <w:noProof/>
        </w:rPr>
        <w:t xml:space="preserve">. Según las autoridades armenias, existen planes para integrar módulos adicionales en los programas de formación de los cuerpos de guardias de fronteras a partir de mediados de 2026, que tratarán cuestiones como la prevención de la corrupción y la lucha contra el tráfico ilícito de drogas, el contrabando y la delincuencia organizada. </w:t>
      </w:r>
    </w:p>
    <w:p w14:paraId="2B9D4A11" w14:textId="77777777" w:rsidR="00F616CA" w:rsidRPr="00301E8C" w:rsidRDefault="00F616CA" w:rsidP="00F616CA">
      <w:pPr>
        <w:jc w:val="both"/>
        <w:rPr>
          <w:noProof/>
          <w:lang w:eastAsia="x-none"/>
        </w:rPr>
      </w:pPr>
    </w:p>
    <w:p w14:paraId="4C2F2E8A" w14:textId="7C897493" w:rsidR="00F616CA" w:rsidRPr="00301E8C" w:rsidRDefault="00F616CA" w:rsidP="00F616CA">
      <w:pPr>
        <w:jc w:val="both"/>
        <w:rPr>
          <w:noProof/>
        </w:rPr>
      </w:pPr>
      <w:r>
        <w:rPr>
          <w:noProof/>
        </w:rPr>
        <w:t xml:space="preserve">Paralelamente, las Normas de conducta y deontología para los funcionarios de aduanas, adoptadas el 12 de agosto de 2025, establecen normas de comportamiento para el personal de aduanas, incluidas disposiciones sobre conflictos de intereses, límites y registros de regalos, obligaciones de confidencialidad y conducta en el trato con el público. Estas normas son coherentes con los marcos internacionales de integridad aplicables a las autoridades aduaneras. </w:t>
      </w:r>
    </w:p>
    <w:p w14:paraId="49193F18" w14:textId="77777777" w:rsidR="00F616CA" w:rsidRPr="00301E8C" w:rsidRDefault="00F616CA" w:rsidP="00F616CA">
      <w:pPr>
        <w:jc w:val="both"/>
        <w:rPr>
          <w:noProof/>
          <w:lang w:eastAsia="x-none"/>
        </w:rPr>
      </w:pPr>
    </w:p>
    <w:p w14:paraId="68966930" w14:textId="1480AB79" w:rsidR="00F616CA" w:rsidRPr="00301E8C" w:rsidRDefault="00F616CA" w:rsidP="00F616CA">
      <w:pPr>
        <w:jc w:val="both"/>
        <w:rPr>
          <w:noProof/>
        </w:rPr>
      </w:pPr>
      <w:r>
        <w:rPr>
          <w:noProof/>
        </w:rPr>
        <w:t xml:space="preserve">El proyecto de documento de reflexión 2026-2029, titulado «Desarrollo de las capacidades de los cuerpos de guardias de fronteras en el marco del sistema de gestión integrada de las fronteras», refleja la intención de los cuerpos de guardias de fronteras de llevar a cabo reformas relacionadas con la integridad, aumentar la transparencia y la rendición de cuentas, introducir medidas contra la corrupción, y aplicar herramientas de evaluación del riesgo de corrupción y el riesgo para la integridad y mecanismos de auditoría. </w:t>
      </w:r>
    </w:p>
    <w:p w14:paraId="6D4E3EBC" w14:textId="77777777" w:rsidR="00F616CA" w:rsidRPr="00301E8C" w:rsidRDefault="00F616CA" w:rsidP="00F616CA">
      <w:pPr>
        <w:jc w:val="both"/>
        <w:rPr>
          <w:noProof/>
          <w:lang w:eastAsia="x-none"/>
        </w:rPr>
      </w:pPr>
    </w:p>
    <w:p w14:paraId="45D2F340" w14:textId="7A456A7A" w:rsidR="004A4658" w:rsidRPr="00301E8C" w:rsidRDefault="00F616CA" w:rsidP="00F616CA">
      <w:pPr>
        <w:jc w:val="both"/>
        <w:rPr>
          <w:noProof/>
        </w:rPr>
      </w:pPr>
      <w:r>
        <w:rPr>
          <w:noProof/>
        </w:rPr>
        <w:t>Por último, el Servicio de Migración y Ciudadanía de Armenia organiza periódicamente actividades de formación y reuniones de coordinación con el personal de los cuerpos de guardias de fronteras y tiene previsto ampliar actividades de formación similares a los agentes de policía pertinentes. El objetivo de estas formaciones es garantizar la aplicación uniforme y coherente de los procedimientos de asilo y remisión en todas las autoridades que participan en la gestión de fronteras, reforzando así el cumplimiento de las normas internacionales de protección. La CEPOL está prestando apoyo a las autoridades nacionales en sus esfuerzos por desarrollar las capacidades de los servicios policiales en consonancia con las normas y prácticas de la UE en ámbitos como los derechos humanos y la lucha contra el tráfico ilícito de migrantes y la trata de seres humanos. Los cuerpos de guardias de fronteras también reciben formación del ACNUR sobre las normas internacionales y nacionales en materia de protección de los refugiados. Este organismo de las Naciones Unidas lleva a cabo un seguimiento periódico de la protección en los pasos fronterizos en coordinación con el Servicio de Migración y Ciudadanía y la Oficina del Defensor de los Derechos Humanos.</w:t>
      </w:r>
    </w:p>
    <w:p w14:paraId="2B80B29F" w14:textId="77777777" w:rsidR="00F618EC" w:rsidRPr="00301E8C" w:rsidRDefault="00F618EC" w:rsidP="00F618EC">
      <w:pPr>
        <w:rPr>
          <w:noProof/>
        </w:rPr>
      </w:pPr>
    </w:p>
    <w:p w14:paraId="53D76CD9" w14:textId="77777777" w:rsidR="00F618EC" w:rsidRPr="00301E8C" w:rsidRDefault="00F618EC" w:rsidP="00F618EC">
      <w:pPr>
        <w:rPr>
          <w:noProof/>
        </w:rPr>
      </w:pPr>
    </w:p>
    <w:p w14:paraId="18113CD6" w14:textId="0C5A2CD5" w:rsidR="00FF58B1" w:rsidRPr="00301E8C" w:rsidRDefault="00FF58B1" w:rsidP="00FF58B1">
      <w:pPr>
        <w:pStyle w:val="ListParagraph"/>
        <w:numPr>
          <w:ilvl w:val="1"/>
          <w:numId w:val="1"/>
        </w:numPr>
        <w:rPr>
          <w:noProof/>
        </w:rPr>
      </w:pPr>
      <w:r>
        <w:rPr>
          <w:noProof/>
        </w:rPr>
        <w:t xml:space="preserve">Gestión de la migración </w:t>
      </w:r>
    </w:p>
    <w:p w14:paraId="6B3DBCDE" w14:textId="77777777" w:rsidR="00F618EC" w:rsidRPr="00301E8C" w:rsidRDefault="00F618EC" w:rsidP="00F618EC">
      <w:pPr>
        <w:rPr>
          <w:noProof/>
        </w:rPr>
      </w:pPr>
    </w:p>
    <w:p w14:paraId="0829FB1C" w14:textId="77777777" w:rsidR="00F618EC" w:rsidRPr="00301E8C" w:rsidRDefault="00F618EC" w:rsidP="00F618EC">
      <w:pPr>
        <w:pStyle w:val="paragraph"/>
        <w:numPr>
          <w:ilvl w:val="0"/>
          <w:numId w:val="3"/>
        </w:numPr>
        <w:spacing w:before="0" w:beforeAutospacing="0" w:after="0" w:afterAutospacing="0"/>
        <w:jc w:val="both"/>
        <w:textAlignment w:val="baseline"/>
        <w:rPr>
          <w:b/>
          <w:bCs/>
          <w:noProof/>
          <w:color w:val="000000" w:themeColor="text1"/>
          <w:sz w:val="22"/>
          <w:szCs w:val="22"/>
        </w:rPr>
      </w:pPr>
      <w:r>
        <w:rPr>
          <w:b/>
          <w:noProof/>
          <w:sz w:val="22"/>
        </w:rPr>
        <w:t>Consolidación del marco jurídico e institucional de la política de migración, en consonancia con las normas internacionales y de la UE, incluso en el ámbito de la migración legal/laboral; medidas de apoyo a la integración de los extranjeros y la reintegración de ciudadanos armenios (que hayan regresado voluntariamente o no) y lucha contra la migración clandestina (incluso mediante esfuerzos continuos para celebrar acuerdos de readmisión con los principales países de origen o tránsito de los inmigrantes clandestinos y la detección de inmigrantes clandestinos dentro del país).</w:t>
      </w:r>
    </w:p>
    <w:p w14:paraId="59FFB780" w14:textId="77777777" w:rsidR="00301E8C" w:rsidRPr="00725177" w:rsidRDefault="00301E8C" w:rsidP="00301E8C">
      <w:pPr>
        <w:pStyle w:val="paragraph"/>
        <w:spacing w:before="0" w:beforeAutospacing="0" w:after="0" w:afterAutospacing="0"/>
        <w:jc w:val="both"/>
        <w:textAlignment w:val="baseline"/>
        <w:rPr>
          <w:b/>
          <w:bCs/>
          <w:noProof/>
          <w:color w:val="000000" w:themeColor="text1"/>
          <w:sz w:val="22"/>
          <w:szCs w:val="22"/>
        </w:rPr>
      </w:pPr>
    </w:p>
    <w:p w14:paraId="0375488F" w14:textId="19DAB329" w:rsidR="00301E8C" w:rsidRDefault="00301E8C" w:rsidP="6B5C554C">
      <w:pPr>
        <w:jc w:val="both"/>
        <w:rPr>
          <w:noProof/>
        </w:rPr>
      </w:pPr>
      <w:r>
        <w:rPr>
          <w:noProof/>
        </w:rPr>
        <w:t>En los últimos años, Armenia ha emprendido importantes reformas jurídicas, institucionales y operativas para modernizar su marco de gobernanza de la migración, en consonancia con el programa del Gobierno armenio para el período 2021-2026, respaldadas también por varios proyectos financiados por la UE. Estas reformas se proponen fortalecer la capacidad institucional, garantizar una gestión más eficaz de los flujos migratorios y reforzar los procesos de integración, asilo y readmisión. El elemento central ha sido la creación del Servicio de Migración y Ciudadanía dependiente del Ministerio del Interior, que entró en funcionamiento en febrero de 2024 y cuenta con el apoyo de varios proyectos financiados por la UE ejecutados por la Organización Internacional para las Migraciones (OIM) y el Centro Internacional para el Desarrollo de Políticas Migratorias (CIDPM).</w:t>
      </w:r>
    </w:p>
    <w:p w14:paraId="55782D28" w14:textId="2825BA2C" w:rsidR="00301E8C" w:rsidRPr="00301E8C" w:rsidRDefault="00301E8C" w:rsidP="00301E8C">
      <w:pPr>
        <w:jc w:val="both"/>
        <w:rPr>
          <w:noProof/>
        </w:rPr>
      </w:pPr>
      <w:r>
        <w:rPr>
          <w:noProof/>
        </w:rPr>
        <w:t xml:space="preserve"> </w:t>
      </w:r>
    </w:p>
    <w:p w14:paraId="7E693616" w14:textId="3D9C8836" w:rsidR="00301E8C" w:rsidRPr="00301E8C" w:rsidRDefault="00BF307E" w:rsidP="00301E8C">
      <w:pPr>
        <w:jc w:val="both"/>
        <w:rPr>
          <w:noProof/>
        </w:rPr>
      </w:pPr>
      <w:r>
        <w:rPr>
          <w:noProof/>
        </w:rPr>
        <w:t xml:space="preserve">Parte de los actuales esfuerzos de reforma de Armenia en materia de migración se han centrado en la digitalización de los sistemas de gestión de la población y la migración, lo que se refleja, por ejemplo, en las disposiciones recogidas en la Ley sobre el Registro Estatal de Población, adoptada el 3 de julio de 2025, y cuya entrada en vigor está prevista para el 1 de enero de 2027. Además de datos sobre ciudadanos armenios, el nuevo registro incluirá datos sobre todos los extranjeros que residan legalmente en Armenia. La ley proporciona la base jurídica para la creación de un registro de población unificado que concentre todos los datos personales, demográficos y de actos civiles en un único sistema de información. </w:t>
      </w:r>
    </w:p>
    <w:p w14:paraId="254CF30A" w14:textId="77777777" w:rsidR="00301E8C" w:rsidRPr="00301E8C" w:rsidRDefault="00301E8C" w:rsidP="00301E8C">
      <w:pPr>
        <w:jc w:val="both"/>
        <w:rPr>
          <w:noProof/>
          <w:lang w:eastAsia="x-none"/>
        </w:rPr>
      </w:pPr>
    </w:p>
    <w:p w14:paraId="246B79B9" w14:textId="517D05A5" w:rsidR="00972855" w:rsidRPr="00972855" w:rsidRDefault="00301E8C" w:rsidP="00301E8C">
      <w:pPr>
        <w:jc w:val="both"/>
        <w:rPr>
          <w:noProof/>
        </w:rPr>
      </w:pPr>
      <w:r>
        <w:rPr>
          <w:noProof/>
        </w:rPr>
        <w:t>Paralelamente, Armenia ha avanzado en las reformas para digitalizar los servicios administrativos relacionados con la ciudadanía y la residencia legal. El 22 de enero de 2025, se adoptaron modificaciones de la Ley de Ciudadanía, que introducen procedimientos electrónicos para tramitar las solicitudes de obtención o cancelación de la ciudadanía armenia. El Sistema Electrónico de Gestión de Casos de Ciudadanía se puso oficialmente en marcha el 1 de enero de 2026. Permite la gestión digital de los casos, reduce las cargas administrativas y mejora la eficiencia. La digitalización de los procedimientos de concesión de permisos de trabajo y de residencia para los extranjeros también se incluye en las modificaciones de la Ley de Extranjería adoptadas en enero de 2026, que entrarán en vigor en noviembre de 2026.</w:t>
      </w:r>
      <w:r w:rsidR="00BA1D50">
        <w:rPr>
          <w:noProof/>
        </w:rPr>
        <w:t xml:space="preserve"> </w:t>
      </w:r>
    </w:p>
    <w:p w14:paraId="2B4CFCDA" w14:textId="77777777" w:rsidR="006D1CC7" w:rsidRPr="00BF307E" w:rsidRDefault="006D1CC7" w:rsidP="00301E8C">
      <w:pPr>
        <w:jc w:val="both"/>
        <w:rPr>
          <w:noProof/>
          <w:lang w:eastAsia="x-none"/>
        </w:rPr>
      </w:pPr>
    </w:p>
    <w:p w14:paraId="5FD3DC7F" w14:textId="6A584E99" w:rsidR="00C27333" w:rsidRDefault="00657127" w:rsidP="00770BD0">
      <w:pPr>
        <w:jc w:val="both"/>
        <w:rPr>
          <w:noProof/>
        </w:rPr>
      </w:pPr>
      <w:r>
        <w:rPr>
          <w:noProof/>
        </w:rPr>
        <w:t xml:space="preserve">Un decreto gubernamental concedió el estatuto de protección temporal a los armenios de Karabaj (115 000 en total) en octubre de 2023. En diciembre de 2025, el Gobierno prorrogó esta protección temporal hasta el 31 de diciembre de 2026. El Servicio de Migración y Ciudadanía está llevando a cabo campañas de sensibilización pública sobre esta cuestión y ha facilitado procedimientos acelerados de obtención de ciudadanía para las personas desplazadas. Entre 2023 y mediados de marzo de 2026, un total de 34 567 personas con estatuto de protección temporal adquirieron la ciudadanía armenia. Hasta la fecha, todos los solicitantes acogidos a este programa han obtenido la ciudadanía armenia. </w:t>
      </w:r>
    </w:p>
    <w:p w14:paraId="4B9CE6C1" w14:textId="77777777" w:rsidR="00C27333" w:rsidRDefault="00C27333" w:rsidP="00770BD0">
      <w:pPr>
        <w:jc w:val="both"/>
        <w:rPr>
          <w:noProof/>
        </w:rPr>
      </w:pPr>
    </w:p>
    <w:p w14:paraId="22AB8BCC" w14:textId="557D300C" w:rsidR="00770BD0" w:rsidRDefault="00770BD0" w:rsidP="00770BD0">
      <w:pPr>
        <w:jc w:val="both"/>
        <w:rPr>
          <w:rFonts w:eastAsia="Segoe UI"/>
          <w:noProof/>
          <w:color w:val="333333"/>
        </w:rPr>
      </w:pPr>
      <w:r>
        <w:rPr>
          <w:noProof/>
        </w:rPr>
        <w:t xml:space="preserve">Armenia está aplicando medidas para favorecer la reintegración de los ciudadanos que regresan. El apoyo a la reintegración se presta a través de una combinación de programas dirigidos por el Estado, iniciativas financiadas por donantes y la participación de la sociedad civil. </w:t>
      </w:r>
    </w:p>
    <w:p w14:paraId="6282757F" w14:textId="77777777" w:rsidR="00E87C26" w:rsidRDefault="00E87C26" w:rsidP="00E87C26">
      <w:pPr>
        <w:jc w:val="both"/>
        <w:rPr>
          <w:noProof/>
          <w:lang w:eastAsia="x-none"/>
        </w:rPr>
      </w:pPr>
    </w:p>
    <w:p w14:paraId="68C13121" w14:textId="5401DE3A" w:rsidR="00E87C26" w:rsidRDefault="00E87C26" w:rsidP="00E87C26">
      <w:pPr>
        <w:jc w:val="both"/>
        <w:rPr>
          <w:noProof/>
        </w:rPr>
      </w:pPr>
      <w:r>
        <w:rPr>
          <w:noProof/>
        </w:rPr>
        <w:t>El Centro de Repatriación e Integración, creado en 2023 por la Oficina del Alto Comisionado de la Diáspora, ha seguido funcionando como punto de entrada central para el apoyo a la repatriación y la reintegración. El Centro proporciona una gestión de casos y una asistencia individualizadas que abarcan aspectos como el estatuto jurídico, el acceso a los servicios públicos, el empleo, la educación, la creación de empresas y una integración socioeconómica más amplia, todo ello complementado con formación lingüística, seminarios de integración y materiales de orientación multilingües.</w:t>
      </w:r>
    </w:p>
    <w:p w14:paraId="7EFEDB4B" w14:textId="77777777" w:rsidR="00CD15B2" w:rsidRPr="00DD6E85" w:rsidRDefault="00CD15B2" w:rsidP="00E87C26">
      <w:pPr>
        <w:jc w:val="both"/>
        <w:rPr>
          <w:noProof/>
          <w:lang w:eastAsia="x-none"/>
        </w:rPr>
      </w:pPr>
    </w:p>
    <w:p w14:paraId="51AB2D13" w14:textId="777F9530" w:rsidR="00301E8C" w:rsidRPr="006D1CC7" w:rsidRDefault="00301E8C" w:rsidP="00301E8C">
      <w:pPr>
        <w:jc w:val="both"/>
        <w:rPr>
          <w:noProof/>
        </w:rPr>
      </w:pPr>
      <w:r>
        <w:rPr>
          <w:noProof/>
        </w:rPr>
        <w:t>Armenia sigue reforzando su cooperación en materia de readmisión con la Unión Europea, los Estados miembros de la UE y terceros países. El 21 de julio de 2025, firmó un acuerdo bilateral de readmisión con Georgia que fue ratificado por el Parlamento armenio el 19 de enero de 2026. Se están redactando acuerdos adicionales con Ucrania, Kazajistán, Kirguistán, Islandia, Montenegro y Albania, mientras que el acuerdo con Moldavia ya está listo para su firma. Armenia también ha propuesto acuerdos de readmisión a Irak y la India.</w:t>
      </w:r>
    </w:p>
    <w:p w14:paraId="04706A69" w14:textId="77777777" w:rsidR="00301E8C" w:rsidRPr="006D1CC7" w:rsidRDefault="00301E8C" w:rsidP="00301E8C">
      <w:pPr>
        <w:jc w:val="both"/>
        <w:rPr>
          <w:noProof/>
          <w:lang w:eastAsia="x-none"/>
        </w:rPr>
      </w:pPr>
    </w:p>
    <w:p w14:paraId="67AEFB6F" w14:textId="639A5980" w:rsidR="00301E8C" w:rsidRDefault="00301E8C" w:rsidP="00301E8C">
      <w:pPr>
        <w:jc w:val="both"/>
        <w:rPr>
          <w:noProof/>
        </w:rPr>
      </w:pPr>
      <w:r>
        <w:rPr>
          <w:noProof/>
        </w:rPr>
        <w:t>En 2025, los Estados miembros de la UE presentaron 775 solicitudes de readmisión a Armenia, que expidió 479 documentos provisionales de viaje en respuesta. Como consecuencia de ello, se retornó a 119 armenios en vuelos chárter financiados por Frontex en 2025. D</w:t>
      </w:r>
      <w:r>
        <w:rPr>
          <w:noProof/>
          <w:color w:val="333333"/>
        </w:rPr>
        <w:t>esde julio de 2022, Armenia se beneficia del Programa de Reintegración de la UE (EURP) dirigido por Frontex.</w:t>
      </w:r>
    </w:p>
    <w:p w14:paraId="53DEA795" w14:textId="77777777" w:rsidR="00CD15B2" w:rsidRDefault="00CD15B2" w:rsidP="00301E8C">
      <w:pPr>
        <w:jc w:val="both"/>
        <w:rPr>
          <w:noProof/>
        </w:rPr>
      </w:pPr>
    </w:p>
    <w:p w14:paraId="23215386" w14:textId="5658FA56" w:rsidR="00893420" w:rsidRPr="006E1D36" w:rsidRDefault="00301E8C" w:rsidP="00893420">
      <w:pPr>
        <w:jc w:val="both"/>
        <w:rPr>
          <w:noProof/>
        </w:rPr>
      </w:pPr>
      <w:r>
        <w:rPr>
          <w:noProof/>
        </w:rPr>
        <w:t>La detección dentro del país de migrantes irregulares en Armenia se lleva a cabo con arreglo a un marco interinstitucional. Los casos detectados se remiten al Servicio de Migración y Ciudadanía para que realice una evaluación del estatuto jurídico, inicie procedimientos de protección internacional cuando proceda o adopte decisiones de retorno de conformidad con la legislación nacional y los acuerdos de readmisión.</w:t>
      </w:r>
      <w:r>
        <w:rPr>
          <w:i/>
          <w:noProof/>
        </w:rPr>
        <w:t xml:space="preserve"> </w:t>
      </w:r>
      <w:r>
        <w:rPr>
          <w:noProof/>
        </w:rPr>
        <w:t>Si bien existe un marco jurídico e institucional básico, la detección dentro del propio país sigue siendo en gran medida de carácter reactivo y se basa en casos concretos, con deficiencias en cuanto al apoyo analítico, la focalización en función del riesgo o una coordinación operativa interinstitucional estructurada</w:t>
      </w:r>
      <w:r>
        <w:rPr>
          <w:i/>
          <w:noProof/>
        </w:rPr>
        <w:t>.</w:t>
      </w:r>
      <w:r>
        <w:rPr>
          <w:noProof/>
        </w:rPr>
        <w:t xml:space="preserve"> El nivel de ejecución de las decisiones de retorno y expulsión sigue siendo bajo.</w:t>
      </w:r>
    </w:p>
    <w:p w14:paraId="2F985EF8" w14:textId="77777777" w:rsidR="00743590" w:rsidRDefault="00743590" w:rsidP="00893420">
      <w:pPr>
        <w:jc w:val="both"/>
        <w:rPr>
          <w:i/>
          <w:iCs/>
          <w:noProof/>
          <w:lang w:eastAsia="x-none"/>
        </w:rPr>
      </w:pPr>
    </w:p>
    <w:p w14:paraId="1C8BF35F" w14:textId="0EE3C46C" w:rsidR="00743590" w:rsidRPr="00743590" w:rsidRDefault="00743590" w:rsidP="00893420">
      <w:pPr>
        <w:jc w:val="both"/>
        <w:rPr>
          <w:noProof/>
        </w:rPr>
      </w:pPr>
      <w:r>
        <w:rPr>
          <w:noProof/>
        </w:rPr>
        <w:t>En cuanto a la migración legal, las autoridades armenias se han esforzado por racionalizar los sistemas de concesión de permisos de trabajo, mejorar los marcos de inspección del trabajo y adaptar sus políticas a las normas internacionales.</w:t>
      </w:r>
    </w:p>
    <w:p w14:paraId="34BFE76A" w14:textId="77777777" w:rsidR="00301E8C" w:rsidRPr="00725177" w:rsidRDefault="00301E8C" w:rsidP="00301E8C">
      <w:pPr>
        <w:pStyle w:val="paragraph"/>
        <w:spacing w:before="0" w:beforeAutospacing="0" w:after="0" w:afterAutospacing="0"/>
        <w:jc w:val="both"/>
        <w:textAlignment w:val="baseline"/>
        <w:rPr>
          <w:b/>
          <w:bCs/>
          <w:noProof/>
          <w:color w:val="000000" w:themeColor="text1"/>
          <w:sz w:val="22"/>
          <w:szCs w:val="22"/>
        </w:rPr>
      </w:pPr>
    </w:p>
    <w:p w14:paraId="4D930D74" w14:textId="77777777" w:rsidR="00F618EC" w:rsidRPr="00477839" w:rsidRDefault="00F618EC" w:rsidP="00F618EC">
      <w:pPr>
        <w:pStyle w:val="paragraph"/>
        <w:numPr>
          <w:ilvl w:val="0"/>
          <w:numId w:val="3"/>
        </w:numPr>
        <w:spacing w:before="0" w:beforeAutospacing="0" w:after="0" w:afterAutospacing="0"/>
        <w:jc w:val="both"/>
        <w:textAlignment w:val="baseline"/>
        <w:rPr>
          <w:rFonts w:eastAsiaTheme="majorEastAsia"/>
          <w:b/>
          <w:bCs/>
          <w:noProof/>
          <w:color w:val="000000" w:themeColor="text1"/>
          <w:sz w:val="22"/>
          <w:szCs w:val="22"/>
        </w:rPr>
      </w:pPr>
      <w:r>
        <w:rPr>
          <w:b/>
          <w:noProof/>
          <w:sz w:val="22"/>
        </w:rPr>
        <w:t>Adopción de una estrategia nacional de migración que garantice una aplicación eficiente de los aspectos jurídicos de la política de migración, en particular normas en materia de derechos fundamentales (también para los menores), un calendario claro, objetivos, actividades, resultados e indicadores de rendimiento, así como desarrollo y aprobación del plan de acción pertinente que disponga los recursos humanos y financieros.</w:t>
      </w:r>
    </w:p>
    <w:p w14:paraId="55215F1B" w14:textId="5D676E99" w:rsidR="00477839" w:rsidRPr="00725177" w:rsidRDefault="00477839" w:rsidP="00477839">
      <w:pPr>
        <w:pStyle w:val="paragraph"/>
        <w:spacing w:before="0" w:beforeAutospacing="0" w:after="0" w:afterAutospacing="0"/>
        <w:jc w:val="both"/>
        <w:textAlignment w:val="baseline"/>
        <w:rPr>
          <w:b/>
          <w:bCs/>
          <w:noProof/>
          <w:sz w:val="22"/>
          <w:szCs w:val="22"/>
        </w:rPr>
      </w:pPr>
    </w:p>
    <w:p w14:paraId="04B27D74" w14:textId="168612F4" w:rsidR="00100044" w:rsidRDefault="0061723D" w:rsidP="00477839">
      <w:pPr>
        <w:jc w:val="both"/>
        <w:rPr>
          <w:noProof/>
        </w:rPr>
      </w:pPr>
      <w:r>
        <w:rPr>
          <w:noProof/>
        </w:rPr>
        <w:t xml:space="preserve">Las autoridades armenias están elaborando una nueva estrategia sobre migración y ciudadanía para el período 2026-2031, con el apoyo de la UE, que está previsto que se someta a consulta pública a mediados de 2026. </w:t>
      </w:r>
    </w:p>
    <w:p w14:paraId="28B92873" w14:textId="77777777" w:rsidR="00100044" w:rsidRPr="00100044" w:rsidRDefault="00100044" w:rsidP="00477839">
      <w:pPr>
        <w:jc w:val="both"/>
        <w:rPr>
          <w:noProof/>
        </w:rPr>
      </w:pPr>
    </w:p>
    <w:p w14:paraId="68F01DC4" w14:textId="5EE63B7F" w:rsidR="00477839" w:rsidRPr="00100044" w:rsidRDefault="16C7242F" w:rsidP="00477839">
      <w:pPr>
        <w:jc w:val="both"/>
        <w:rPr>
          <w:noProof/>
        </w:rPr>
      </w:pPr>
      <w:r>
        <w:rPr>
          <w:noProof/>
        </w:rPr>
        <w:t xml:space="preserve">Con esta futura estrategia, las autoridades armenias tienen la intención de establecer un marco integrado, basado en datos contrastados y con visión de futuro para la gobernanza de todas las dimensiones de la movilidad humana, que se ponga al servicio de la resiliencia demográfica, el desarrollo del capital humano y las asociaciones internacionales de Armenia. Se prevé que la estrategia anuncie nuevos cambios en el marco jurídico de la migración, el asilo y la ciudadanía. </w:t>
      </w:r>
    </w:p>
    <w:p w14:paraId="197ACDB8" w14:textId="77777777" w:rsidR="00477839" w:rsidRPr="00725177" w:rsidRDefault="00477839" w:rsidP="00477839">
      <w:pPr>
        <w:pStyle w:val="paragraph"/>
        <w:spacing w:before="0" w:beforeAutospacing="0" w:after="0" w:afterAutospacing="0"/>
        <w:jc w:val="both"/>
        <w:textAlignment w:val="baseline"/>
        <w:rPr>
          <w:rStyle w:val="normaltextrun"/>
          <w:rFonts w:eastAsiaTheme="majorEastAsia"/>
          <w:b/>
          <w:bCs/>
          <w:noProof/>
          <w:color w:val="000000" w:themeColor="text1"/>
          <w:sz w:val="22"/>
          <w:szCs w:val="22"/>
        </w:rPr>
      </w:pPr>
    </w:p>
    <w:p w14:paraId="526D7948" w14:textId="77777777" w:rsidR="00CD383C" w:rsidRPr="00725177" w:rsidRDefault="00CD383C" w:rsidP="00477839">
      <w:pPr>
        <w:pStyle w:val="paragraph"/>
        <w:spacing w:before="0" w:beforeAutospacing="0" w:after="0" w:afterAutospacing="0"/>
        <w:jc w:val="both"/>
        <w:textAlignment w:val="baseline"/>
        <w:rPr>
          <w:rStyle w:val="normaltextrun"/>
          <w:rFonts w:eastAsiaTheme="majorEastAsia"/>
          <w:b/>
          <w:bCs/>
          <w:noProof/>
          <w:color w:val="000000" w:themeColor="text1"/>
          <w:sz w:val="22"/>
          <w:szCs w:val="22"/>
        </w:rPr>
      </w:pPr>
    </w:p>
    <w:p w14:paraId="328A1BF5" w14:textId="0CF26A05" w:rsidR="00FF58B1" w:rsidRPr="00301E8C" w:rsidRDefault="00FF58B1" w:rsidP="00FF58B1">
      <w:pPr>
        <w:pStyle w:val="ListParagraph"/>
        <w:numPr>
          <w:ilvl w:val="1"/>
          <w:numId w:val="1"/>
        </w:numPr>
        <w:rPr>
          <w:noProof/>
        </w:rPr>
      </w:pPr>
      <w:r>
        <w:rPr>
          <w:noProof/>
        </w:rPr>
        <w:t xml:space="preserve">Política de asilo </w:t>
      </w:r>
    </w:p>
    <w:p w14:paraId="1CE1D1E0" w14:textId="77777777" w:rsidR="00F618EC" w:rsidRPr="00301E8C" w:rsidRDefault="00F618EC" w:rsidP="00F618EC">
      <w:pPr>
        <w:rPr>
          <w:noProof/>
        </w:rPr>
      </w:pPr>
    </w:p>
    <w:p w14:paraId="6B456B9D" w14:textId="77777777" w:rsidR="00F618EC" w:rsidRPr="00301E8C" w:rsidRDefault="00F618EC" w:rsidP="00F618EC">
      <w:pPr>
        <w:pStyle w:val="paragraph"/>
        <w:numPr>
          <w:ilvl w:val="0"/>
          <w:numId w:val="3"/>
        </w:numPr>
        <w:spacing w:before="0" w:beforeAutospacing="0" w:after="0" w:afterAutospacing="0"/>
        <w:jc w:val="both"/>
        <w:textAlignment w:val="baseline"/>
        <w:rPr>
          <w:b/>
          <w:bCs/>
          <w:noProof/>
          <w:color w:val="000000" w:themeColor="text1"/>
          <w:sz w:val="22"/>
          <w:szCs w:val="22"/>
        </w:rPr>
      </w:pPr>
      <w:r>
        <w:rPr>
          <w:b/>
          <w:noProof/>
          <w:sz w:val="22"/>
        </w:rPr>
        <w:t>Consolidación y aproximación a las normas internacionales y de la UE del marco jurídico e institucional de la política de asilo, dentro del pleno respeto del principio de no devolución y que incluya la protección subsidiaria, a través de la adopción de una legislación que garantice el acceso efectivo a procedimientos equitativos para determinar el estatuto, derechos de protección (libertad de circulación, asistencia sanitaria, educación, no discriminación y otros derechos laborales y sociales), soluciones duraderas, en particular la integración de los solicitantes y beneficiarios de protección internacional, así como una atención especial a las personas en situación vulnerable, incluidos los apátridas.</w:t>
      </w:r>
    </w:p>
    <w:p w14:paraId="7C19224A" w14:textId="77777777" w:rsidR="00F618EC" w:rsidRDefault="00F618EC" w:rsidP="00F618EC">
      <w:pPr>
        <w:rPr>
          <w:noProof/>
        </w:rPr>
      </w:pPr>
    </w:p>
    <w:p w14:paraId="4A529DF7" w14:textId="75378DBA" w:rsidR="00560AE5" w:rsidRDefault="00560AE5" w:rsidP="00DC7928">
      <w:pPr>
        <w:jc w:val="both"/>
        <w:rPr>
          <w:noProof/>
        </w:rPr>
      </w:pPr>
      <w:r>
        <w:rPr>
          <w:noProof/>
        </w:rPr>
        <w:t xml:space="preserve">Armenia ratificó la Convención sobre el Estatuto de los Refugiados de 1951 y su Protocolo de 1967 en 1993. </w:t>
      </w:r>
    </w:p>
    <w:p w14:paraId="6BBBCF6A" w14:textId="77777777" w:rsidR="00560AE5" w:rsidRDefault="00560AE5" w:rsidP="00DC7928">
      <w:pPr>
        <w:jc w:val="both"/>
        <w:rPr>
          <w:noProof/>
        </w:rPr>
      </w:pPr>
    </w:p>
    <w:p w14:paraId="50A41B4E" w14:textId="34AA0396" w:rsidR="00DC7928" w:rsidRPr="00F05883" w:rsidRDefault="00CD383C" w:rsidP="00DC7928">
      <w:pPr>
        <w:jc w:val="both"/>
        <w:rPr>
          <w:noProof/>
        </w:rPr>
      </w:pPr>
      <w:r>
        <w:rPr>
          <w:noProof/>
        </w:rPr>
        <w:t>Las autoridades armenias pretenden reforzar el marco jurídico de la protección internacional y está previsto que se aprueben modificaciones de la Ley de Refugiados y Asilo en el Parlamento en el segundo semestre de 2026. El objetivo es seguir adaptando el marco nacional de asilo del país a las normas internacionales y de la UE estableciendo formas claramente definidas de protección internacional y garantizando el acceso efectivo a procedimientos de asilo equitativos y eficientes. El proyecto legislativo también pretende garantizar el acceso a la asistencia jurídica gratuita, asegurar procedimientos justos y transparentes respaldados por decisiones motivadas, reforzar las salvaguardias para el tratamiento de los datos personales y mejorar las garantías procedimentales de los solicitantes de asilo en la frontera. Se prevén salvaguardias específicas para las personas vulnerables, incluidos los menores, así como para los extranjeros sujetos a extradición o enjuiciamiento penal.</w:t>
      </w:r>
    </w:p>
    <w:p w14:paraId="2196F95A" w14:textId="77777777" w:rsidR="00100044" w:rsidRPr="00F05883" w:rsidRDefault="00100044" w:rsidP="00DC7928">
      <w:pPr>
        <w:jc w:val="both"/>
        <w:rPr>
          <w:noProof/>
        </w:rPr>
      </w:pPr>
    </w:p>
    <w:p w14:paraId="3D1FBD48" w14:textId="4F2CDB4F" w:rsidR="00100044" w:rsidRPr="00F05883" w:rsidRDefault="00100044" w:rsidP="00100044">
      <w:pPr>
        <w:jc w:val="both"/>
        <w:rPr>
          <w:noProof/>
        </w:rPr>
      </w:pPr>
      <w:r>
        <w:rPr>
          <w:noProof/>
        </w:rPr>
        <w:t xml:space="preserve">Armenia también está preparando un nuevo proyecto de ley sobre los apátridas. Los avances organizativos en este ámbito en los últimos años incluyen el refuerzo de los mecanismos de remisión en la frontera, los trabajos preparatorios para la creación de un sistema electrónico de gestión de casos de asilo y una mayor cooperación entre las instituciones del país que trabajan en los ámbitos de la migración, la gestión de fronteras, el poder judicial y las instituciones de protección social. </w:t>
      </w:r>
    </w:p>
    <w:p w14:paraId="0B49FCF6" w14:textId="77777777" w:rsidR="00F05883" w:rsidRPr="00F05883" w:rsidRDefault="00F05883" w:rsidP="00100044">
      <w:pPr>
        <w:jc w:val="both"/>
        <w:rPr>
          <w:noProof/>
        </w:rPr>
      </w:pPr>
    </w:p>
    <w:p w14:paraId="45EC89CD" w14:textId="74D38B7B" w:rsidR="00100044" w:rsidRPr="00F05883" w:rsidRDefault="00100044" w:rsidP="00100044">
      <w:pPr>
        <w:jc w:val="both"/>
        <w:rPr>
          <w:noProof/>
        </w:rPr>
      </w:pPr>
      <w:r>
        <w:rPr>
          <w:noProof/>
        </w:rPr>
        <w:t xml:space="preserve">Actualmente, se está trabajando en la fase final de construcción de un nuevo centro de acogida temporal para solicitantes de asilo cerca de Ereván. Se espera que los primeros solicitantes de asilo sean trasladados a las nuevas instalaciones a lo largo de 2026. El nuevo centro puede albergar hasta cien personas. </w:t>
      </w:r>
    </w:p>
    <w:p w14:paraId="1E6F4A94" w14:textId="77777777" w:rsidR="00100044" w:rsidRDefault="00100044" w:rsidP="00100044">
      <w:pPr>
        <w:jc w:val="both"/>
        <w:rPr>
          <w:noProof/>
          <w:highlight w:val="yellow"/>
          <w:lang w:eastAsia="x-none"/>
        </w:rPr>
      </w:pPr>
    </w:p>
    <w:p w14:paraId="4FEC6F9F" w14:textId="77777777" w:rsidR="00C4312B" w:rsidRPr="00100044" w:rsidRDefault="00C4312B" w:rsidP="00100044">
      <w:pPr>
        <w:jc w:val="both"/>
        <w:rPr>
          <w:noProof/>
          <w:highlight w:val="yellow"/>
          <w:lang w:eastAsia="x-none"/>
        </w:rPr>
      </w:pPr>
    </w:p>
    <w:p w14:paraId="5D9ED763" w14:textId="2D459EA8" w:rsidR="005E6AF1" w:rsidRPr="00301E8C" w:rsidRDefault="005E6AF1" w:rsidP="005E6AF1">
      <w:pPr>
        <w:rPr>
          <w:noProof/>
        </w:rPr>
      </w:pPr>
      <w:r>
        <w:rPr>
          <w:noProof/>
        </w:rPr>
        <w:t xml:space="preserve">Sobre la base de las conclusiones anteriores, se recomienda que, en relación con los criterios de referencia del bloque 2 relativos a </w:t>
      </w:r>
      <w:r>
        <w:rPr>
          <w:b/>
          <w:noProof/>
        </w:rPr>
        <w:t>la gestión integrada de las fronteras, la gestión de la migración y el asilo</w:t>
      </w:r>
      <w:r>
        <w:rPr>
          <w:noProof/>
        </w:rPr>
        <w:t xml:space="preserve"> (primera fase), las autoridades armenias: </w:t>
      </w:r>
    </w:p>
    <w:p w14:paraId="7992DA7F" w14:textId="77777777" w:rsidR="001513B8" w:rsidRPr="00353A3E" w:rsidRDefault="001513B8" w:rsidP="001513B8">
      <w:pPr>
        <w:rPr>
          <w:i/>
          <w:iCs/>
          <w:noProof/>
          <w:u w:val="single"/>
        </w:rPr>
      </w:pPr>
    </w:p>
    <w:p w14:paraId="45979308" w14:textId="77777777" w:rsidR="001513B8" w:rsidRPr="00353A3E" w:rsidRDefault="001513B8" w:rsidP="001513B8">
      <w:pPr>
        <w:rPr>
          <w:i/>
          <w:iCs/>
          <w:noProof/>
          <w:u w:val="single"/>
        </w:rPr>
      </w:pPr>
      <w:r>
        <w:rPr>
          <w:i/>
          <w:noProof/>
          <w:u w:val="single"/>
        </w:rPr>
        <w:t>Gestión integrada de las fronteras</w:t>
      </w:r>
    </w:p>
    <w:p w14:paraId="67891D26" w14:textId="46A54F23" w:rsidR="00AF6567" w:rsidRDefault="0061723D" w:rsidP="001513B8">
      <w:pPr>
        <w:pStyle w:val="ListParagraph"/>
        <w:widowControl/>
        <w:numPr>
          <w:ilvl w:val="0"/>
          <w:numId w:val="5"/>
        </w:numPr>
        <w:autoSpaceDE/>
        <w:autoSpaceDN/>
        <w:jc w:val="both"/>
        <w:rPr>
          <w:i/>
          <w:iCs/>
          <w:noProof/>
        </w:rPr>
      </w:pPr>
      <w:r>
        <w:rPr>
          <w:i/>
          <w:noProof/>
        </w:rPr>
        <w:t>prosigan la transición para garantizar que el control fronterizo en Armenia sea plena responsabilidad de las autoridades armenias;</w:t>
      </w:r>
    </w:p>
    <w:p w14:paraId="460D671C" w14:textId="0B7573CA" w:rsidR="002E574F" w:rsidRDefault="00EB3F36" w:rsidP="001513B8">
      <w:pPr>
        <w:pStyle w:val="ListParagraph"/>
        <w:widowControl/>
        <w:numPr>
          <w:ilvl w:val="0"/>
          <w:numId w:val="5"/>
        </w:numPr>
        <w:autoSpaceDE/>
        <w:autoSpaceDN/>
        <w:jc w:val="both"/>
        <w:rPr>
          <w:i/>
          <w:iCs/>
          <w:noProof/>
        </w:rPr>
      </w:pPr>
      <w:r>
        <w:rPr>
          <w:i/>
          <w:noProof/>
        </w:rPr>
        <w:t xml:space="preserve">concluyan y apliquen el nuevo acuerdo de trabajo con Frontex; </w:t>
      </w:r>
    </w:p>
    <w:p w14:paraId="3FCB7E95" w14:textId="77CDB85E" w:rsidR="001513B8" w:rsidRPr="00353A3E" w:rsidRDefault="0061723D" w:rsidP="001513B8">
      <w:pPr>
        <w:pStyle w:val="ListParagraph"/>
        <w:widowControl/>
        <w:numPr>
          <w:ilvl w:val="0"/>
          <w:numId w:val="5"/>
        </w:numPr>
        <w:autoSpaceDE/>
        <w:autoSpaceDN/>
        <w:jc w:val="both"/>
        <w:rPr>
          <w:i/>
          <w:iCs/>
          <w:noProof/>
        </w:rPr>
      </w:pPr>
      <w:r>
        <w:rPr>
          <w:i/>
          <w:noProof/>
        </w:rPr>
        <w:t>elaboren una futura estrategia de gestión integrada de las fronteras y un plan de acción que la acompañe de conformidad con las normas de la UE y con unas responsabilidades claramente definidas, plazos realistas y mecanismos de seguimiento sólidos;</w:t>
      </w:r>
    </w:p>
    <w:p w14:paraId="7CC3ED4C" w14:textId="2C04309A" w:rsidR="001513B8" w:rsidRPr="00353A3E" w:rsidRDefault="0061723D" w:rsidP="001513B8">
      <w:pPr>
        <w:pStyle w:val="NormalWeb"/>
        <w:numPr>
          <w:ilvl w:val="0"/>
          <w:numId w:val="5"/>
        </w:numPr>
        <w:spacing w:beforeAutospacing="0" w:after="0" w:afterAutospacing="0" w:line="240" w:lineRule="auto"/>
        <w:jc w:val="both"/>
        <w:rPr>
          <w:i/>
          <w:iCs/>
          <w:noProof/>
          <w:color w:val="000000"/>
          <w:sz w:val="22"/>
          <w:szCs w:val="22"/>
        </w:rPr>
      </w:pPr>
      <w:r>
        <w:rPr>
          <w:i/>
          <w:noProof/>
          <w:color w:val="000000" w:themeColor="text1"/>
          <w:sz w:val="22"/>
        </w:rPr>
        <w:t>revisen el proyecto de plan de acción para el período 2026-2029 titulado «Desarrollo de las capacidades de los cuerpos de guardias de fronteras en el marco del sistema de gestión integrada de las fronteras» para incluir disposiciones adecuadas sobre recursos, rendición de cuentas, objetivos cuantificables e indicadores de rendimiento;</w:t>
      </w:r>
      <w:r>
        <w:rPr>
          <w:i/>
          <w:noProof/>
          <w:sz w:val="22"/>
        </w:rPr>
        <w:t xml:space="preserve"> </w:t>
      </w:r>
    </w:p>
    <w:p w14:paraId="78FD61B3" w14:textId="46A418D7" w:rsidR="00F370B3" w:rsidRPr="00301E8C" w:rsidRDefault="0061723D" w:rsidP="00C76397">
      <w:pPr>
        <w:pStyle w:val="NormalWeb"/>
        <w:numPr>
          <w:ilvl w:val="0"/>
          <w:numId w:val="5"/>
        </w:numPr>
        <w:spacing w:beforeAutospacing="0" w:after="0" w:afterAutospacing="0" w:line="240" w:lineRule="auto"/>
        <w:jc w:val="both"/>
        <w:rPr>
          <w:noProof/>
        </w:rPr>
      </w:pPr>
      <w:r>
        <w:rPr>
          <w:i/>
          <w:noProof/>
          <w:sz w:val="22"/>
        </w:rPr>
        <w:t xml:space="preserve">reformen y modernicen el sistema de formación de las autoridades fronterizas, en particular de los servicios aduaneros y las fuerzas policiales, con el fin de garantizar unas normas profesionales sistemáticamente estrictas en el control fronterizo y las inspecciones fronterizas (así como en la prevención de la corrupción, la lucha contra el contrabando y la lucha contra la trata de seres humanos), en consonancia con la evolución de las responsabilidades de las fuerzas fronterizas nacionales y los requisitos del modelo de gestión integrada de las fronteras de la UE; </w:t>
      </w:r>
    </w:p>
    <w:p w14:paraId="7E5A6265" w14:textId="08F1FDD9" w:rsidR="001513B8" w:rsidRPr="00353A3E" w:rsidRDefault="007C7FBA" w:rsidP="001513B8">
      <w:pPr>
        <w:pStyle w:val="ListParagraph"/>
        <w:widowControl/>
        <w:numPr>
          <w:ilvl w:val="0"/>
          <w:numId w:val="5"/>
        </w:numPr>
        <w:autoSpaceDE/>
        <w:autoSpaceDN/>
        <w:jc w:val="both"/>
        <w:rPr>
          <w:i/>
          <w:iCs/>
          <w:noProof/>
        </w:rPr>
      </w:pPr>
      <w:r>
        <w:rPr>
          <w:i/>
          <w:noProof/>
        </w:rPr>
        <w:t>adopten un marco jurídico específico para una cooperación interinstitucional eficaz y un intercambio sistemático de información entre las autoridades fronterizas, aduaneras y policiales del país, a fin de garantizar la aplicación sostenible del modelo de gestión integrada de las fronteras;</w:t>
      </w:r>
    </w:p>
    <w:p w14:paraId="6C7DBD44" w14:textId="2D297305" w:rsidR="001513B8" w:rsidRPr="00353A3E" w:rsidRDefault="007C7FBA" w:rsidP="001513B8">
      <w:pPr>
        <w:pStyle w:val="ListParagraph"/>
        <w:widowControl/>
        <w:numPr>
          <w:ilvl w:val="0"/>
          <w:numId w:val="5"/>
        </w:numPr>
        <w:autoSpaceDE/>
        <w:autoSpaceDN/>
        <w:jc w:val="both"/>
        <w:rPr>
          <w:i/>
          <w:iCs/>
          <w:noProof/>
        </w:rPr>
      </w:pPr>
      <w:r>
        <w:rPr>
          <w:i/>
          <w:noProof/>
          <w:color w:val="000000" w:themeColor="text1"/>
        </w:rPr>
        <w:t>lleven a cabo evaluaciones periódicas del riesgo para la integridad, centrándose específicamente en las vulnerabilidades relacionadas con las fronteras (como el fraude documental, la facilitación del contrabando y la corrupción en los procedimientos de inspección) y sigan desarrollando medidas preventivas y de mitigación específicas para abordar los riesgos detectados;</w:t>
      </w:r>
    </w:p>
    <w:p w14:paraId="2ED2CE38" w14:textId="4A30086A" w:rsidR="001513B8" w:rsidRPr="00353A3E" w:rsidRDefault="007C7FBA" w:rsidP="001513B8">
      <w:pPr>
        <w:pStyle w:val="ListParagraph"/>
        <w:widowControl/>
        <w:numPr>
          <w:ilvl w:val="0"/>
          <w:numId w:val="5"/>
        </w:numPr>
        <w:autoSpaceDE/>
        <w:autoSpaceDN/>
        <w:jc w:val="both"/>
        <w:rPr>
          <w:i/>
          <w:iCs/>
          <w:noProof/>
        </w:rPr>
      </w:pPr>
      <w:r>
        <w:rPr>
          <w:i/>
          <w:noProof/>
        </w:rPr>
        <w:t>introduzcan una formación obligatoria y periódica en materia de lucha contra la corrupción para los guardias de fronteras, complementada con módulos específicos para cada función diseñados para aumentar la resiliencia del personal que desempeña funciones de alto riesgo, en particular en el control de documentos, las inspecciones fronterizas, los controles aduaneros, el control del asilo y las funciones de inteligencia;</w:t>
      </w:r>
    </w:p>
    <w:p w14:paraId="683DFF33" w14:textId="28F941EB" w:rsidR="001513B8" w:rsidRPr="00353A3E" w:rsidRDefault="007C7FBA" w:rsidP="001513B8">
      <w:pPr>
        <w:pStyle w:val="ListParagraph"/>
        <w:widowControl/>
        <w:numPr>
          <w:ilvl w:val="0"/>
          <w:numId w:val="5"/>
        </w:numPr>
        <w:autoSpaceDE/>
        <w:autoSpaceDN/>
        <w:jc w:val="both"/>
        <w:rPr>
          <w:b/>
          <w:bCs/>
          <w:i/>
          <w:iCs/>
          <w:noProof/>
        </w:rPr>
      </w:pPr>
      <w:r>
        <w:rPr>
          <w:i/>
          <w:noProof/>
        </w:rPr>
        <w:t>codifiquen los protocolos de investigación del Servicio Nacional de Seguridad, ya sea en el marco del código de conducta pertinente o a través del Derecho derivado correspondiente, estableciendo procedimientos claros, plazos, normas probatorias y sanciones proporcionadas con el fin de garantizar respuestas predecibles, justas y oportunas a las conductas indebidas y las violaciones de la integridad.</w:t>
      </w:r>
    </w:p>
    <w:p w14:paraId="2D7444F5" w14:textId="77777777" w:rsidR="001513B8" w:rsidRDefault="001513B8" w:rsidP="001513B8">
      <w:pPr>
        <w:jc w:val="both"/>
        <w:rPr>
          <w:b/>
          <w:bCs/>
          <w:i/>
          <w:iCs/>
          <w:noProof/>
        </w:rPr>
      </w:pPr>
    </w:p>
    <w:p w14:paraId="60864764" w14:textId="45C157E2" w:rsidR="001513B8" w:rsidRPr="00353A3E" w:rsidRDefault="001513B8" w:rsidP="001513B8">
      <w:pPr>
        <w:jc w:val="both"/>
        <w:rPr>
          <w:i/>
          <w:iCs/>
          <w:noProof/>
          <w:u w:val="single"/>
        </w:rPr>
      </w:pPr>
      <w:r>
        <w:rPr>
          <w:i/>
          <w:noProof/>
          <w:u w:val="single"/>
        </w:rPr>
        <w:t>Gestión de la migración</w:t>
      </w:r>
    </w:p>
    <w:p w14:paraId="596916AD" w14:textId="074B1A5F" w:rsidR="00560AE5" w:rsidRDefault="007C7FBA" w:rsidP="001513B8">
      <w:pPr>
        <w:pStyle w:val="ListParagraph"/>
        <w:widowControl/>
        <w:numPr>
          <w:ilvl w:val="0"/>
          <w:numId w:val="5"/>
        </w:numPr>
        <w:autoSpaceDE/>
        <w:autoSpaceDN/>
        <w:jc w:val="both"/>
        <w:rPr>
          <w:i/>
          <w:iCs/>
          <w:noProof/>
        </w:rPr>
      </w:pPr>
      <w:r>
        <w:rPr>
          <w:i/>
          <w:noProof/>
        </w:rPr>
        <w:t>prosigan los esfuerzos para desarrollar un marco jurídico adecuado para hacer frente a los retos relacionados tanto con la migración irregular como con la regular;</w:t>
      </w:r>
    </w:p>
    <w:p w14:paraId="7A9622BF" w14:textId="621102A1" w:rsidR="001513B8" w:rsidRPr="00353A3E" w:rsidRDefault="007C7FBA" w:rsidP="001513B8">
      <w:pPr>
        <w:pStyle w:val="ListParagraph"/>
        <w:widowControl/>
        <w:numPr>
          <w:ilvl w:val="0"/>
          <w:numId w:val="5"/>
        </w:numPr>
        <w:autoSpaceDE/>
        <w:autoSpaceDN/>
        <w:jc w:val="both"/>
        <w:rPr>
          <w:i/>
          <w:iCs/>
          <w:noProof/>
        </w:rPr>
      </w:pPr>
      <w:r>
        <w:rPr>
          <w:i/>
          <w:noProof/>
        </w:rPr>
        <w:t>adopten una nueva estrategia de migración, que proporcione un marco estratégico global y coherente que se ajuste a los flujos migratorios actuales y previstos, así como a las normas internacionales, con el apoyo de unas dotaciones presupuestarias estatales suficientes y sostenibles;</w:t>
      </w:r>
    </w:p>
    <w:p w14:paraId="1C0205BD" w14:textId="653BE349" w:rsidR="001513B8" w:rsidRPr="008F03A8" w:rsidRDefault="007C7FBA" w:rsidP="001513B8">
      <w:pPr>
        <w:pStyle w:val="ListParagraph"/>
        <w:widowControl/>
        <w:numPr>
          <w:ilvl w:val="0"/>
          <w:numId w:val="5"/>
        </w:numPr>
        <w:autoSpaceDE/>
        <w:autoSpaceDN/>
        <w:jc w:val="both"/>
        <w:rPr>
          <w:i/>
          <w:iCs/>
          <w:noProof/>
        </w:rPr>
      </w:pPr>
      <w:r>
        <w:rPr>
          <w:i/>
          <w:noProof/>
        </w:rPr>
        <w:t>sigan digitalizando los procesos de gestión de la población y la migración, garantizando al mismo tiempo el pleno cumplimiento de la legislación nacional en materia de protección de datos personales, que actualmente está experimentando un importante desarrollo, así como la interoperabilidad con el Registro Estatal de Población;</w:t>
      </w:r>
    </w:p>
    <w:p w14:paraId="14A2F39D" w14:textId="0DF4CE74" w:rsidR="001513B8" w:rsidRPr="00353A3E" w:rsidRDefault="007C7FBA" w:rsidP="001513B8">
      <w:pPr>
        <w:pStyle w:val="ListParagraph"/>
        <w:widowControl/>
        <w:numPr>
          <w:ilvl w:val="0"/>
          <w:numId w:val="5"/>
        </w:numPr>
        <w:autoSpaceDE/>
        <w:autoSpaceDN/>
        <w:jc w:val="both"/>
        <w:rPr>
          <w:i/>
          <w:iCs/>
          <w:noProof/>
        </w:rPr>
      </w:pPr>
      <w:r>
        <w:rPr>
          <w:i/>
          <w:noProof/>
        </w:rPr>
        <w:t>sigan celebrando acuerdos de readmisión con los principales países de origen de los actuales flujos migratorios con el fin de reforzar los acuerdos de retorno y readmisión para que sean eficaces, previsibles y sostenibles.</w:t>
      </w:r>
    </w:p>
    <w:p w14:paraId="1E703688" w14:textId="77777777" w:rsidR="00353A3E" w:rsidRPr="00353A3E" w:rsidRDefault="00353A3E" w:rsidP="004866F3">
      <w:pPr>
        <w:widowControl/>
        <w:autoSpaceDE/>
        <w:autoSpaceDN/>
        <w:jc w:val="both"/>
        <w:rPr>
          <w:i/>
          <w:iCs/>
          <w:noProof/>
          <w:u w:val="single"/>
          <w:lang w:eastAsia="x-none"/>
        </w:rPr>
      </w:pPr>
    </w:p>
    <w:p w14:paraId="71C6B40F" w14:textId="458E9279" w:rsidR="00353A3E" w:rsidRPr="00353A3E" w:rsidRDefault="00353A3E" w:rsidP="004866F3">
      <w:pPr>
        <w:widowControl/>
        <w:autoSpaceDE/>
        <w:autoSpaceDN/>
        <w:jc w:val="both"/>
        <w:rPr>
          <w:i/>
          <w:iCs/>
          <w:noProof/>
          <w:u w:val="single"/>
        </w:rPr>
      </w:pPr>
      <w:r>
        <w:rPr>
          <w:i/>
          <w:noProof/>
          <w:u w:val="single"/>
        </w:rPr>
        <w:t>Asilo</w:t>
      </w:r>
    </w:p>
    <w:p w14:paraId="76363F4D" w14:textId="1C974794" w:rsidR="00353A3E" w:rsidRPr="00353A3E" w:rsidRDefault="007C7FBA" w:rsidP="004866F3">
      <w:pPr>
        <w:pStyle w:val="ListParagraph"/>
        <w:numPr>
          <w:ilvl w:val="0"/>
          <w:numId w:val="6"/>
        </w:numPr>
        <w:jc w:val="both"/>
        <w:rPr>
          <w:i/>
          <w:iCs/>
          <w:noProof/>
        </w:rPr>
      </w:pPr>
      <w:r>
        <w:rPr>
          <w:i/>
          <w:noProof/>
        </w:rPr>
        <w:t>hagan plenamente operativo el nuevo centro temporal para solicitantes de asilo y trasladen ahí a los solicitantes pertinentes;</w:t>
      </w:r>
    </w:p>
    <w:p w14:paraId="7E11AFE6" w14:textId="07A331BB" w:rsidR="00353A3E" w:rsidRPr="00353A3E" w:rsidRDefault="007C7FBA" w:rsidP="004866F3">
      <w:pPr>
        <w:pStyle w:val="ListParagraph"/>
        <w:numPr>
          <w:ilvl w:val="0"/>
          <w:numId w:val="6"/>
        </w:numPr>
        <w:jc w:val="both"/>
        <w:rPr>
          <w:i/>
          <w:iCs/>
          <w:noProof/>
        </w:rPr>
      </w:pPr>
      <w:r>
        <w:rPr>
          <w:i/>
          <w:noProof/>
        </w:rPr>
        <w:t>adopten modificaciones de la Ley de Refugiados y Asilo y una nueva Ley de Apátridas para seguir adaptando el marco nacional de asilo a las normas internacionales y de la UE.</w:t>
      </w:r>
    </w:p>
    <w:p w14:paraId="4125AF92" w14:textId="77777777" w:rsidR="001513B8" w:rsidRDefault="001513B8" w:rsidP="001513B8">
      <w:pPr>
        <w:rPr>
          <w:noProof/>
        </w:rPr>
      </w:pPr>
    </w:p>
    <w:p w14:paraId="3C300536" w14:textId="77777777" w:rsidR="005E6AF1" w:rsidRPr="00301E8C" w:rsidRDefault="005E6AF1" w:rsidP="005E6AF1">
      <w:pPr>
        <w:rPr>
          <w:noProof/>
        </w:rPr>
      </w:pPr>
    </w:p>
    <w:p w14:paraId="5900CB61" w14:textId="77777777" w:rsidR="00FF58B1" w:rsidRPr="00301E8C" w:rsidRDefault="00FF58B1" w:rsidP="00FF58B1">
      <w:pPr>
        <w:pStyle w:val="ListParagraph"/>
        <w:numPr>
          <w:ilvl w:val="0"/>
          <w:numId w:val="1"/>
        </w:numPr>
        <w:rPr>
          <w:noProof/>
        </w:rPr>
      </w:pPr>
      <w:r>
        <w:rPr>
          <w:noProof/>
        </w:rPr>
        <w:t xml:space="preserve">Bloque 3: Orden público y seguridad </w:t>
      </w:r>
    </w:p>
    <w:p w14:paraId="7FEE61E5" w14:textId="772E90CA" w:rsidR="00FF58B1" w:rsidRPr="00301E8C" w:rsidRDefault="00FF58B1" w:rsidP="00FF58B1">
      <w:pPr>
        <w:pStyle w:val="ListParagraph"/>
        <w:numPr>
          <w:ilvl w:val="1"/>
          <w:numId w:val="1"/>
        </w:numPr>
        <w:rPr>
          <w:noProof/>
        </w:rPr>
      </w:pPr>
      <w:r>
        <w:rPr>
          <w:noProof/>
        </w:rPr>
        <w:t>Prevención y lucha contra la delincuencia organizada, el terrorismo y la corrupción</w:t>
      </w:r>
    </w:p>
    <w:p w14:paraId="1019496E" w14:textId="77777777" w:rsidR="00F618EC" w:rsidRPr="00301E8C" w:rsidRDefault="00F618EC" w:rsidP="00F618EC">
      <w:pPr>
        <w:rPr>
          <w:noProof/>
        </w:rPr>
      </w:pPr>
    </w:p>
    <w:p w14:paraId="3D58B172" w14:textId="77777777" w:rsidR="00F618EC" w:rsidRPr="000E42CE" w:rsidRDefault="00F618EC" w:rsidP="00F618EC">
      <w:pPr>
        <w:pStyle w:val="paragraph"/>
        <w:numPr>
          <w:ilvl w:val="0"/>
          <w:numId w:val="3"/>
        </w:numPr>
        <w:spacing w:before="0" w:beforeAutospacing="0" w:after="0" w:afterAutospacing="0"/>
        <w:jc w:val="both"/>
        <w:textAlignment w:val="baseline"/>
        <w:rPr>
          <w:b/>
          <w:bCs/>
          <w:noProof/>
          <w:color w:val="000000" w:themeColor="text1"/>
          <w:sz w:val="22"/>
          <w:szCs w:val="22"/>
        </w:rPr>
      </w:pPr>
      <w:r>
        <w:rPr>
          <w:b/>
          <w:noProof/>
          <w:sz w:val="22"/>
        </w:rPr>
        <w:t>Consolidación, conforme a las normas internacionales y de la UE, del marco jurídico e institucional para la prevención y la lucha contra la delincuencia organizada, junto con una estrategia nacional y un plan de acción que contenga un calendario claro, objetivos específicos, actividades, resultados, indicadores de rendimiento y recursos humanos y financieros suficientes</w:t>
      </w:r>
    </w:p>
    <w:p w14:paraId="689B1FA7" w14:textId="77777777" w:rsidR="00FC58E1" w:rsidRPr="00FC58E1" w:rsidRDefault="00FC58E1" w:rsidP="00FC58E1">
      <w:pPr>
        <w:jc w:val="both"/>
        <w:rPr>
          <w:noProof/>
          <w:lang w:eastAsia="x-none"/>
        </w:rPr>
      </w:pPr>
    </w:p>
    <w:p w14:paraId="41B84B4A" w14:textId="25870C05" w:rsidR="00802F43" w:rsidRPr="007B1EEE" w:rsidRDefault="00802F43" w:rsidP="00802F43">
      <w:pPr>
        <w:jc w:val="both"/>
        <w:rPr>
          <w:noProof/>
        </w:rPr>
      </w:pPr>
      <w:r>
        <w:rPr>
          <w:noProof/>
        </w:rPr>
        <w:t>Armenia es parte de la Convención de las Naciones Unidas contra la Delincuencia Organizada Transnacional (Convención de Palermo) y de la Convención de las Naciones Unidas contra la Corrupción (Convención de Mérida). La definición jurídica y la tipificación de diversas formas de delincuencia organizada figuran en el capítulo 34 del Código Penal de Armenia, que establece la responsabilidad por delitos de carácter general contra la seguridad pública.</w:t>
      </w:r>
    </w:p>
    <w:p w14:paraId="71D278CA" w14:textId="77777777" w:rsidR="00802F43" w:rsidRDefault="00802F43" w:rsidP="00FC58E1">
      <w:pPr>
        <w:jc w:val="both"/>
        <w:rPr>
          <w:noProof/>
        </w:rPr>
      </w:pPr>
    </w:p>
    <w:p w14:paraId="1253397B" w14:textId="0A655669" w:rsidR="00FC58E1" w:rsidRDefault="00FC58E1" w:rsidP="00FC58E1">
      <w:pPr>
        <w:jc w:val="both"/>
        <w:rPr>
          <w:noProof/>
        </w:rPr>
      </w:pPr>
      <w:r>
        <w:rPr>
          <w:noProof/>
        </w:rPr>
        <w:t>El Código Penal, que entró en vigor en julio de 2022, introdujo por primera vez en Armenia un sistema de responsabilidad penal para las personas jurídicas. Este marco establece los motivos y las condiciones para determinar la responsabilidad penal, así como las circunstancias en las que las entidades jurídicas pueden quedar exentas de esta responsabilidad. Asimismo, establece una serie de medidas de Derecho penal aplicables a las personas jurídicas (en particular sanciones pecuniarias, la suspensión temporal de determinadas actividades, la prohibición de operar en el territorio de Armenia y la liquidación judicial). No obstante, todavía no se han registrado condenas relacionadas con entidades jurídicas.</w:t>
      </w:r>
    </w:p>
    <w:p w14:paraId="6A2E398C" w14:textId="77777777" w:rsidR="007B1EEE" w:rsidRPr="007B1EEE" w:rsidRDefault="007B1EEE" w:rsidP="00FC58E1">
      <w:pPr>
        <w:jc w:val="both"/>
        <w:rPr>
          <w:noProof/>
        </w:rPr>
      </w:pPr>
    </w:p>
    <w:p w14:paraId="7F523E24" w14:textId="3429A741" w:rsidR="00F40D22" w:rsidRDefault="00FC58E1" w:rsidP="00FC58E1">
      <w:pPr>
        <w:jc w:val="both"/>
        <w:rPr>
          <w:noProof/>
        </w:rPr>
      </w:pPr>
      <w:r>
        <w:rPr>
          <w:noProof/>
        </w:rPr>
        <w:t xml:space="preserve">La nueva Ley de Enjuiciamiento Penal también introdujo varios cambios estructurales y procedimentales importantes que tienen una repercusión directa en la investigación y el enjuiciamiento de la delincuencia grave y organizada en Armenia. En particular, se suprimió la fase preliminar formal para incoar un proceso penal, y las investigaciones penales comienzan ahora con el registro del primer escrito procesal que contiene indicios de una posible infracción penal. </w:t>
      </w:r>
    </w:p>
    <w:p w14:paraId="4128D25E" w14:textId="77777777" w:rsidR="00F40D22" w:rsidRDefault="00F40D22" w:rsidP="00FC58E1">
      <w:pPr>
        <w:jc w:val="both"/>
        <w:rPr>
          <w:noProof/>
        </w:rPr>
      </w:pPr>
    </w:p>
    <w:p w14:paraId="6FD55D53" w14:textId="10D7CD4E" w:rsidR="00FC58E1" w:rsidRDefault="00FC58E1" w:rsidP="00FC58E1">
      <w:pPr>
        <w:jc w:val="both"/>
        <w:rPr>
          <w:noProof/>
        </w:rPr>
      </w:pPr>
      <w:r>
        <w:rPr>
          <w:noProof/>
        </w:rPr>
        <w:t>Además, se incorporaron al Código de Procedimiento Penal las actividades de investigación operativa. Esto significa que los investigadores del Comité de Investigación o del Comité Anticorrupción participan desde el principio en todos los procesos penales. En este marco, las competencias de investigación operativa se atribuyeron exclusivamente al Comité Anticorrupción, mientras que el Comité de Investigación, responsable de investigar todos los delitos salvo los delitos de corrupción, funciona sin competencias operativas, apoyándose principalmente en las competencias policiales del Ministerio del Interior.</w:t>
      </w:r>
    </w:p>
    <w:p w14:paraId="18A68100" w14:textId="77777777" w:rsidR="005E4AB9" w:rsidRDefault="005E4AB9" w:rsidP="005E4AB9">
      <w:pPr>
        <w:jc w:val="both"/>
        <w:rPr>
          <w:noProof/>
        </w:rPr>
      </w:pPr>
    </w:p>
    <w:p w14:paraId="0AA17E21" w14:textId="71DE1AB9" w:rsidR="00FC58E1" w:rsidRPr="00FC58E1" w:rsidRDefault="00182432" w:rsidP="00FC58E1">
      <w:pPr>
        <w:jc w:val="both"/>
        <w:rPr>
          <w:noProof/>
        </w:rPr>
      </w:pPr>
      <w:r>
        <w:rPr>
          <w:noProof/>
        </w:rPr>
        <w:t xml:space="preserve">Sobre la base de un proyecto de la UE ejecutado por el Programa de las Naciones Unidas para el Desarrollo (PNUD), las autoridades armenias crearon en febrero de 2026 un Centro de Estadística e Investigación de la Delincuencia dependiente del Ministerio del Interior. Este centro se ha concebido para brindar apoyo analítico a la toma de decisiones en el Ministerio y ofrecer a las autoridades una visión más completa de las tendencias y la evolución de la delincuencia. </w:t>
      </w:r>
    </w:p>
    <w:p w14:paraId="70707175" w14:textId="77777777" w:rsidR="00FC58E1" w:rsidRPr="00FC58E1" w:rsidRDefault="00FC58E1" w:rsidP="00FC58E1">
      <w:pPr>
        <w:jc w:val="both"/>
        <w:rPr>
          <w:noProof/>
        </w:rPr>
      </w:pPr>
    </w:p>
    <w:p w14:paraId="6CCA5F17" w14:textId="2FCE1693" w:rsidR="00FC58E1" w:rsidRPr="00FC58E1" w:rsidRDefault="005E4AB9" w:rsidP="00FC58E1">
      <w:pPr>
        <w:jc w:val="both"/>
        <w:rPr>
          <w:noProof/>
        </w:rPr>
      </w:pPr>
      <w:r>
        <w:rPr>
          <w:noProof/>
        </w:rPr>
        <w:t>Armenia también está elaborando una estrategia de prevención de la delincuencia para el período 2026-2033, cuya adopción está prevista para el segundo semestre de 2026. El proyecto de esta estrategia muestra la intención de Armenia de reforzar su capacidad para prevenir la delincuencia mediante la elaboración de políticas basadas en datos contrastados, la coordinación institucional y medidas preventivas específicas. Armenia tiene previsto reforzar sus capacidades operativas en materia de prevención de la delincuencia mediante el desarrollo de capacidades específicas para la policía, la introducción de tecnologías innovadoras de prevención de la delincuencia y mayores capacidades en ámbitos como la prevención de la ciberdelincuencia, la violencia doméstica y familiar, la prevención de la delincuencia juvenil y la identificación de las víctimas. El proyecto de estrategia también destaca la importancia de reforzar la cooperación local e internacional en el ámbito de la prevención de la delincuencia. Armenia se ha beneficiado de las metodologías de análisis de inteligencia estratégica adquiridas bajo la orientación de Europol en el marco del proyecto TOPCOP para la elaboración del proyecto de estrategia.</w:t>
      </w:r>
    </w:p>
    <w:p w14:paraId="047B3FF0" w14:textId="77777777" w:rsidR="00FC58E1" w:rsidRPr="00FC58E1" w:rsidRDefault="00FC58E1" w:rsidP="00FC58E1">
      <w:pPr>
        <w:rPr>
          <w:noProof/>
          <w:lang w:eastAsia="x-none"/>
        </w:rPr>
      </w:pPr>
    </w:p>
    <w:p w14:paraId="0E9C43C0" w14:textId="77777777" w:rsidR="00F618EC" w:rsidRPr="00FE713B" w:rsidRDefault="00F618EC" w:rsidP="00F618EC">
      <w:pPr>
        <w:pStyle w:val="paragraph"/>
        <w:numPr>
          <w:ilvl w:val="0"/>
          <w:numId w:val="3"/>
        </w:numPr>
        <w:spacing w:before="0" w:beforeAutospacing="0" w:after="0" w:afterAutospacing="0"/>
        <w:jc w:val="both"/>
        <w:textAlignment w:val="baseline"/>
        <w:rPr>
          <w:b/>
          <w:bCs/>
          <w:noProof/>
          <w:color w:val="000000" w:themeColor="text1"/>
          <w:sz w:val="22"/>
          <w:szCs w:val="22"/>
        </w:rPr>
      </w:pPr>
      <w:r>
        <w:rPr>
          <w:b/>
          <w:noProof/>
          <w:sz w:val="22"/>
        </w:rPr>
        <w:t>Consolidar el marco jurídico e institucional en el ámbito de la lucha contra la trata de seres humanos y adaptarlo a las normas internacionales y de la UE, en particular mediante el desarrollo y la aprobación de un plan de acción pertinente que establezca un calendario claro, objetivos, actividades, resultados, indicadores de rendimiento y recursos humanos y financieros.</w:t>
      </w:r>
    </w:p>
    <w:p w14:paraId="3EED5A98" w14:textId="77777777" w:rsidR="00FE713B" w:rsidRPr="00725177" w:rsidRDefault="00FE713B" w:rsidP="00FE713B">
      <w:pPr>
        <w:pStyle w:val="paragraph"/>
        <w:spacing w:before="0" w:beforeAutospacing="0" w:after="0" w:afterAutospacing="0"/>
        <w:jc w:val="both"/>
        <w:textAlignment w:val="baseline"/>
        <w:rPr>
          <w:b/>
          <w:bCs/>
          <w:noProof/>
          <w:sz w:val="22"/>
          <w:szCs w:val="22"/>
        </w:rPr>
      </w:pPr>
    </w:p>
    <w:p w14:paraId="56D55323" w14:textId="2FB84896" w:rsidR="00743590" w:rsidRPr="00C92DA8" w:rsidRDefault="00743590" w:rsidP="00743590">
      <w:pPr>
        <w:jc w:val="both"/>
        <w:rPr>
          <w:noProof/>
        </w:rPr>
      </w:pPr>
      <w:r>
        <w:rPr>
          <w:noProof/>
        </w:rPr>
        <w:t xml:space="preserve">Armenia ha ratificado el Protocolo de las Naciones Unidas para prevenir, reprimir y sancionar la trata de personas, así como el Protocolo contra el tráfico ilícito de migrantes por tierra, mar y aire, que complementan la Convención de Palermo. Armenia participa en la Alianza Mundial contra el Tráfico Ilícito de Migrantes iniciada por la Comisión y refrendó la Declaración Conjunta adoptada en la Conferencia Internacional organizada por la Comisión el 10 de diciembre de 2025 en Bruselas. </w:t>
      </w:r>
    </w:p>
    <w:p w14:paraId="7F6EBB1D" w14:textId="77777777" w:rsidR="00743590" w:rsidRPr="00725177" w:rsidRDefault="00743590" w:rsidP="00FE713B">
      <w:pPr>
        <w:jc w:val="both"/>
        <w:rPr>
          <w:noProof/>
        </w:rPr>
      </w:pPr>
    </w:p>
    <w:p w14:paraId="6453D161" w14:textId="77777777" w:rsidR="007119A9" w:rsidRPr="00FE713B" w:rsidRDefault="007119A9" w:rsidP="007119A9">
      <w:pPr>
        <w:jc w:val="both"/>
        <w:rPr>
          <w:noProof/>
        </w:rPr>
      </w:pPr>
      <w:r>
        <w:rPr>
          <w:noProof/>
        </w:rPr>
        <w:t xml:space="preserve">El nuevo Código Penal y la Ley de Enjuiciamiento Penal establecieron disposiciones sobre la trata de seres humanos. En particular, el artículo 188 del Código Penal ofrece una definición actualizada de trata y explotación de seres humanos, mientras que el artículo 189 establece disposiciones sobre los delitos con agravantes relacionados con la trata cometidos contra menores o personas en situaciones de vulnerabilidad. </w:t>
      </w:r>
    </w:p>
    <w:p w14:paraId="74866EC1" w14:textId="77777777" w:rsidR="007119A9" w:rsidRPr="007119A9" w:rsidRDefault="007119A9" w:rsidP="00FE713B">
      <w:pPr>
        <w:jc w:val="both"/>
        <w:rPr>
          <w:noProof/>
        </w:rPr>
      </w:pPr>
    </w:p>
    <w:p w14:paraId="1328E0F4" w14:textId="121D948F" w:rsidR="00413809" w:rsidRPr="00FE713B" w:rsidRDefault="00FE713B" w:rsidP="00413809">
      <w:pPr>
        <w:jc w:val="both"/>
        <w:rPr>
          <w:noProof/>
        </w:rPr>
      </w:pPr>
      <w:r>
        <w:rPr>
          <w:noProof/>
        </w:rPr>
        <w:t>En los últimos diez años, Armenia ha emprendido una serie de medidas legislativas e institucionales para reforzar su marco de prevención y lucha contra la trata de seres humanos y las formas conexas de explotación, de conformidad con las normas internacionales. En diciembre de 2014 y mayo de 2022 se adoptaron modificaciones de la Ley sobre la identificación de las personas víctimas de la trata y la explotación de seres humanos y el apoyo a estas, que establecieron una base amplia para los mecanismos de identificación y asistencia a las víctimas.</w:t>
      </w:r>
      <w:r w:rsidR="00BA1D50">
        <w:rPr>
          <w:noProof/>
        </w:rPr>
        <w:t xml:space="preserve"> </w:t>
      </w:r>
      <w:r>
        <w:rPr>
          <w:noProof/>
        </w:rPr>
        <w:t>En octubre de 2022, una decisión gubernamental aprobó criterios para reconocer a una persona como víctima de trata o explotación. Posteriormente, se establecieron normas mínimas de calidad para la provisión de alojamiento y la prestación de ayuda de subsistencia, asistencia psicológica, asesoramiento, asistencia jurídica gratuita y servicios asistenciales por parte de las instituciones pertinentes.</w:t>
      </w:r>
      <w:r>
        <w:rPr>
          <w:noProof/>
          <w:sz w:val="24"/>
        </w:rPr>
        <w:t xml:space="preserve"> </w:t>
      </w:r>
    </w:p>
    <w:p w14:paraId="3CE0B599" w14:textId="77777777" w:rsidR="00FE713B" w:rsidRPr="00FE713B" w:rsidRDefault="00FE713B" w:rsidP="00FE713B">
      <w:pPr>
        <w:jc w:val="both"/>
        <w:rPr>
          <w:noProof/>
          <w:lang w:eastAsia="x-none"/>
        </w:rPr>
      </w:pPr>
    </w:p>
    <w:p w14:paraId="4749378E" w14:textId="1BD73087" w:rsidR="00FE713B" w:rsidRPr="00FE713B" w:rsidRDefault="00FE713B" w:rsidP="00FE713B">
      <w:pPr>
        <w:jc w:val="both"/>
        <w:rPr>
          <w:noProof/>
        </w:rPr>
      </w:pPr>
      <w:r>
        <w:rPr>
          <w:noProof/>
        </w:rPr>
        <w:t xml:space="preserve">A nivel estratégico, Armenia aprobó en enero de 2023 un plan de acción nacional para el período 2023-2025 destinado a luchar contra la trata y la explotación de seres humanos, junto con un plan de acción asociado. Según las autoridades armenias, actualmente se están llevando a cabo los trabajos preparatorios del siguiente plan de acción nacional trienal, cuya adopción está prevista para abril de 2026. </w:t>
      </w:r>
    </w:p>
    <w:p w14:paraId="5EE52231" w14:textId="77777777" w:rsidR="00FE713B" w:rsidRPr="00FE713B" w:rsidRDefault="00FE713B" w:rsidP="00FE713B">
      <w:pPr>
        <w:jc w:val="both"/>
        <w:rPr>
          <w:noProof/>
          <w:lang w:eastAsia="x-none"/>
        </w:rPr>
      </w:pPr>
    </w:p>
    <w:p w14:paraId="1BDFCE5B" w14:textId="62B5057A" w:rsidR="00F618EC" w:rsidRPr="008B0C08" w:rsidRDefault="00F618EC" w:rsidP="00F618EC">
      <w:pPr>
        <w:pStyle w:val="paragraph"/>
        <w:numPr>
          <w:ilvl w:val="0"/>
          <w:numId w:val="3"/>
        </w:numPr>
        <w:spacing w:before="0" w:beforeAutospacing="0" w:after="0" w:afterAutospacing="0"/>
        <w:jc w:val="both"/>
        <w:textAlignment w:val="baseline"/>
        <w:rPr>
          <w:b/>
          <w:bCs/>
          <w:i/>
          <w:iCs/>
          <w:noProof/>
          <w:color w:val="000000" w:themeColor="text1"/>
          <w:sz w:val="22"/>
          <w:szCs w:val="22"/>
        </w:rPr>
      </w:pPr>
      <w:r>
        <w:rPr>
          <w:b/>
          <w:noProof/>
          <w:sz w:val="22"/>
        </w:rPr>
        <w:t>Consolidación del marco jurídico e institucional para la prevención y la lucha contra la corrupción y adaptación de dicho marco a las normas internacionales y de la UE, así como adopción de una estrategia nacional de lucha contra la corrupción, elaboración y aprobación de un plan de acción destinado específicamente a la aplicación de dicha estrategia y que prevea un calendario claro, objetivos, actividades, resultados, indicadores de rendimiento y recursos humanos y financieros, coordinación de los esfuerzos de los organismos anticorrupción, en particular del Comité Anticorrupción y de la Comisión de Prevención de la Corrupción, con el objetivo principal de garantizar la independencia, la eficiencia, el empoderamiento y la rendición de cuentas de las autoridades responsables de la lucha contra la corrupción y refuerzo de los mecanismos para el intercambio de información entre dichas autoridades; establecimiento de un marco legislativo e institucional sólido y regulado, que incluya la adopción del Derecho derivado necesario para el funcionamiento eficaz de los mecanismos de control interno destinados específicamente a la prevención y la represión de la corrupción (incluida la corrupción de alto nivel, la corrupción en las transacciones internacionales y la protección de los denunciantes que informen de casos de corrupción), los riesgos de corrupción y el establecimiento de normas de integridad dentro de las instituciones/autoridades públicas; consolidación del marco legislativo para el seguimiento, entre otras cosas, de las recomendaciones del GRECO (Grupo de Estados contra la Corrupción del Consejo de Europa) y de la OCDE (Red Anticorrupción – Plan de Acción Anticorrupción de Estambul).</w:t>
      </w:r>
    </w:p>
    <w:p w14:paraId="00E4BDB8" w14:textId="77777777" w:rsidR="00F71C03" w:rsidRPr="00725177" w:rsidRDefault="00F71C03" w:rsidP="00F71C03">
      <w:pPr>
        <w:pStyle w:val="paragraph"/>
        <w:spacing w:before="0" w:beforeAutospacing="0" w:after="0" w:afterAutospacing="0"/>
        <w:jc w:val="both"/>
        <w:textAlignment w:val="baseline"/>
        <w:rPr>
          <w:b/>
          <w:bCs/>
          <w:i/>
          <w:iCs/>
          <w:noProof/>
          <w:spacing w:val="-2"/>
          <w:sz w:val="22"/>
          <w:szCs w:val="22"/>
        </w:rPr>
      </w:pPr>
    </w:p>
    <w:p w14:paraId="40622185" w14:textId="16A836D2" w:rsidR="00F71C03" w:rsidRPr="00802F43" w:rsidRDefault="00F71C03" w:rsidP="00F71C03">
      <w:pPr>
        <w:jc w:val="both"/>
        <w:rPr>
          <w:noProof/>
        </w:rPr>
      </w:pPr>
      <w:r>
        <w:rPr>
          <w:noProof/>
        </w:rPr>
        <w:t>Desde que se iniciaron las reformas en 2018, Armenia ha reforzado y armonizado considerablemente su marco jurídico e institucional de lucha contra la corrupción, de conformidad con las normas internacionales. El país es parte de los principales instrumentos jurídicos y mecanismos de seguimiento internacionales para prevenir y combatir la corrupción, y participa activamente en la Red Anticorrupción de la OCDE para Europa Oriental y Asia Central y en la Iniciativa de Indicadores de Integridad Pública de la OCDE.</w:t>
      </w:r>
    </w:p>
    <w:p w14:paraId="0FACD472" w14:textId="77777777" w:rsidR="00F71C03" w:rsidRPr="00F71C03" w:rsidRDefault="00F71C03" w:rsidP="00F71C03">
      <w:pPr>
        <w:jc w:val="both"/>
        <w:rPr>
          <w:noProof/>
          <w:lang w:eastAsia="x-none"/>
        </w:rPr>
      </w:pPr>
    </w:p>
    <w:p w14:paraId="4B7A258A" w14:textId="7F6C2AB1" w:rsidR="009A7161" w:rsidRDefault="00F71C03" w:rsidP="00F71C03">
      <w:pPr>
        <w:jc w:val="both"/>
        <w:rPr>
          <w:noProof/>
        </w:rPr>
      </w:pPr>
      <w:r>
        <w:rPr>
          <w:noProof/>
        </w:rPr>
        <w:t xml:space="preserve">Armenia ha consolidado sus reformas legislativas e institucionales en respuesta a las recomendaciones derivadas de los sucesivos ciclos de evaluación del GRECO. El nuevo Código Penal, en vigor desde julio de 2022, amplió el alcance de los delitos relacionados con la corrupción, introdujo la responsabilidad penal de las entidades jurídicas y perfiló en mayor medida los elementos constitutivos de los delitos de corrupción de conformidad con las normas internacionales. </w:t>
      </w:r>
    </w:p>
    <w:p w14:paraId="31BA67E0" w14:textId="77777777" w:rsidR="009A7161" w:rsidRDefault="009A7161" w:rsidP="00F71C03">
      <w:pPr>
        <w:jc w:val="both"/>
        <w:rPr>
          <w:noProof/>
        </w:rPr>
      </w:pPr>
    </w:p>
    <w:p w14:paraId="745EC6D1" w14:textId="26B7B3E0" w:rsidR="00F71C03" w:rsidRPr="00F71C03" w:rsidRDefault="00F71C03" w:rsidP="00F71C03">
      <w:pPr>
        <w:jc w:val="both"/>
        <w:rPr>
          <w:noProof/>
        </w:rPr>
      </w:pPr>
      <w:r>
        <w:rPr>
          <w:noProof/>
        </w:rPr>
        <w:t>Paralelamente, se encomendaron mandatos de prevención e investigación a organismos específicos, en particular la Comisión de Prevención de la Corrupción, el Comité Anticorrupción y dos unidades especializadas de la Fiscalía General.</w:t>
      </w:r>
    </w:p>
    <w:p w14:paraId="72FE42F9" w14:textId="77777777" w:rsidR="00F71C03" w:rsidRPr="00F71C03" w:rsidRDefault="00F71C03" w:rsidP="00F71C03">
      <w:pPr>
        <w:jc w:val="both"/>
        <w:rPr>
          <w:noProof/>
          <w:lang w:eastAsia="x-none"/>
        </w:rPr>
      </w:pPr>
    </w:p>
    <w:p w14:paraId="4A5EA592" w14:textId="0A1A96C2" w:rsidR="00F71C03" w:rsidRPr="00F71C03" w:rsidRDefault="00F71C03" w:rsidP="00286B46">
      <w:pPr>
        <w:jc w:val="both"/>
        <w:rPr>
          <w:noProof/>
        </w:rPr>
      </w:pPr>
      <w:r>
        <w:rPr>
          <w:noProof/>
        </w:rPr>
        <w:t xml:space="preserve">La quinta estrategia nacional de lucha contra la corrupción de Armenia (2023-2026) plasma las preocupaciones y recomendaciones planteadas por los socios internacionales y las organizaciones de la sociedad civil, así como las aportaciones de las instituciones nacionales de lucha contra la corrupción. La estrategia se centra en seguir reforzando el marco de lucha contra la corrupción y en la aplicación efectiva de la legislación. Está previsto que se adopte una nueva estrategia de lucha contra la corrupción a mediados de 2026 como uno de los pilares de la estrategia global para el sector de la justicia. </w:t>
      </w:r>
    </w:p>
    <w:p w14:paraId="2C02BB9D" w14:textId="77777777" w:rsidR="00F71C03" w:rsidRPr="00F71C03" w:rsidRDefault="00F71C03" w:rsidP="00F71C03">
      <w:pPr>
        <w:jc w:val="both"/>
        <w:rPr>
          <w:noProof/>
          <w:lang w:eastAsia="x-none"/>
        </w:rPr>
      </w:pPr>
    </w:p>
    <w:p w14:paraId="53AD986F" w14:textId="2D6C99E0" w:rsidR="00F71C03" w:rsidRPr="00F71C03" w:rsidRDefault="00F71C03" w:rsidP="00F71C03">
      <w:pPr>
        <w:jc w:val="both"/>
        <w:rPr>
          <w:noProof/>
        </w:rPr>
      </w:pPr>
      <w:r>
        <w:rPr>
          <w:noProof/>
        </w:rPr>
        <w:t>La Comisión de Prevención de la Corrupción es responsable de prevenir la corrupción y salvaguardar la integridad en todo el sector público. Entre 2021 y 2025, se amplió sustancialmente el sistema de declaración del patrimonio de Armenia. Como consecuencia de esta ampliación, determinadas categorías de funcionarios públicos están ahora obligadas a presentar declaraciones detalladas sobre su patrimonio, ingresos, gastos e intereses. La Comisión de Prevención de la Corrupción gestiona un sistema de declaración electrónica y está legalmente facultada para acceder a las bases de datos gubernamentales y a los registros financieros, lo que incluye los datos normalmente protegidos por el secreto bancario, la confidencialidad de las operaciones de valores, el secreto de los seguros y la información crediticia.</w:t>
      </w:r>
    </w:p>
    <w:p w14:paraId="45BDCD7D" w14:textId="77777777" w:rsidR="00F71C03" w:rsidRPr="00F71C03" w:rsidRDefault="00F71C03" w:rsidP="00F71C03">
      <w:pPr>
        <w:jc w:val="both"/>
        <w:rPr>
          <w:noProof/>
          <w:lang w:eastAsia="x-none"/>
        </w:rPr>
      </w:pPr>
    </w:p>
    <w:p w14:paraId="6651288C" w14:textId="0492A501" w:rsidR="001F605D" w:rsidRDefault="00F71C03" w:rsidP="001F605D">
      <w:pPr>
        <w:jc w:val="both"/>
        <w:rPr>
          <w:noProof/>
        </w:rPr>
      </w:pPr>
      <w:r>
        <w:rPr>
          <w:noProof/>
        </w:rPr>
        <w:t>La Comisión de Prevención de la Corrupción lleva a cabo controles de integridad y emite dictámenes consultivos sobre los candidatos para su nombramiento o promoción a cargos judiciales, fiscales y otros altos cargos públicos, como los de miembro del Comité Anticorrupción o del Comité de Investigación. Las modificaciones del Código Judicial adoptadas el 11 de abril de 2024 introdujeron controles continuos de integridad para jueces, fiscales e investigadores y varios fiscales e investigadores en activo se sometieron a tales evaluaciones en 2024 y 2025. Los dictámenes de la Comisión tienen carácter consultivo y, en ocasiones, han sido ignorados por las autoridades facultadas para proceder a los nombramientos. El 4 de marzo de 2026, la Asamblea Nacional aprobó el nuevo paquete legislativo destinado a aumentar la transparencia y formalizar el flujo de trabajo de los dictámenes sobre integridad.</w:t>
      </w:r>
      <w:r w:rsidR="00BA1D50">
        <w:rPr>
          <w:noProof/>
        </w:rPr>
        <w:t xml:space="preserve"> </w:t>
      </w:r>
    </w:p>
    <w:p w14:paraId="7BE71397" w14:textId="77777777" w:rsidR="001F605D" w:rsidRDefault="001F605D" w:rsidP="001F605D">
      <w:pPr>
        <w:jc w:val="both"/>
        <w:rPr>
          <w:noProof/>
        </w:rPr>
      </w:pPr>
    </w:p>
    <w:p w14:paraId="57EDC7B6" w14:textId="47589524" w:rsidR="20C93BB0" w:rsidRPr="001F605D" w:rsidRDefault="20C93BB0" w:rsidP="001F605D">
      <w:pPr>
        <w:jc w:val="both"/>
        <w:rPr>
          <w:noProof/>
        </w:rPr>
      </w:pPr>
      <w:r>
        <w:rPr>
          <w:noProof/>
        </w:rPr>
        <w:t>En enero de 2026, la Asamblea Nacional adoptó modificaciones de la Ley sobre la Comisión de Prevención de la Corrupción, por las que se introdujo un sistema de evaluación del riesgo de corrupción en las autoridades públicas. La Ley entrará en vigor seis meses después de su adopción, tras la aprobación de la metodología de evaluación del riesgo de corrupción por parte de la Comisión de Prevención de la Corrupción.</w:t>
      </w:r>
    </w:p>
    <w:p w14:paraId="51EF492C" w14:textId="035DBC6E" w:rsidR="5935EBAD" w:rsidRDefault="5935EBAD" w:rsidP="5935EBAD">
      <w:pPr>
        <w:jc w:val="both"/>
        <w:rPr>
          <w:noProof/>
        </w:rPr>
      </w:pPr>
    </w:p>
    <w:p w14:paraId="66A03426" w14:textId="24F339A5" w:rsidR="00BF5584" w:rsidRDefault="00F71C03" w:rsidP="00BF5584">
      <w:pPr>
        <w:jc w:val="both"/>
        <w:rPr>
          <w:noProof/>
        </w:rPr>
      </w:pPr>
      <w:r>
        <w:rPr>
          <w:noProof/>
        </w:rPr>
        <w:t xml:space="preserve">La Comisión de Prevención de la Corrupción también presta apoyo metodológico a las instituciones públicas a la hora de elaborar códigos de conducta sectoriales y está facultada para emitir dictámenes sobre cualquier deficiencia que detecte. La Comisión de Prevención de la Corrupción carece actualmente de personal suficiente y de recursos legislativos y financieros suficientes para poder cumplir eficazmente su amplio mandato. </w:t>
      </w:r>
    </w:p>
    <w:p w14:paraId="390274F5" w14:textId="2AFD8E11" w:rsidR="00F71C03" w:rsidRPr="00F71C03" w:rsidRDefault="00F71C03" w:rsidP="00F71C03">
      <w:pPr>
        <w:jc w:val="both"/>
        <w:rPr>
          <w:noProof/>
          <w:lang w:eastAsia="x-none"/>
        </w:rPr>
      </w:pPr>
    </w:p>
    <w:p w14:paraId="37BF57F1" w14:textId="798AE26D" w:rsidR="00F71C03" w:rsidRPr="00F71C03" w:rsidRDefault="00BF5584" w:rsidP="00F71C03">
      <w:pPr>
        <w:jc w:val="both"/>
        <w:rPr>
          <w:noProof/>
        </w:rPr>
      </w:pPr>
      <w:r>
        <w:rPr>
          <w:noProof/>
        </w:rPr>
        <w:t>Se han iniciado los trabajos preparatorios de una nueva Ley de Prevención de la Corrupción, cuyo objetivo es consolidar el marco regulador vigente que rige los conflictos de intereses, la aceptación de regalos, los códigos de conducta, las incompatibilidades y las normas de integridad conexas.</w:t>
      </w:r>
    </w:p>
    <w:p w14:paraId="7449D0DF" w14:textId="77777777" w:rsidR="00F71C03" w:rsidRPr="00F71C03" w:rsidRDefault="00F71C03" w:rsidP="00F71C03">
      <w:pPr>
        <w:jc w:val="both"/>
        <w:rPr>
          <w:noProof/>
          <w:lang w:eastAsia="x-none"/>
        </w:rPr>
      </w:pPr>
    </w:p>
    <w:p w14:paraId="4EDEE6D5" w14:textId="14EA3C6F" w:rsidR="00F71C03" w:rsidRPr="00F71C03" w:rsidRDefault="00487F68" w:rsidP="00F71C03">
      <w:pPr>
        <w:jc w:val="both"/>
        <w:rPr>
          <w:noProof/>
        </w:rPr>
      </w:pPr>
      <w:r>
        <w:rPr>
          <w:noProof/>
        </w:rPr>
        <w:t xml:space="preserve">En cuanto a las disposiciones en materia de integridad en el Ministerio del Interior, se ha encomendado un amplio mandato al Departamento de Lucha contra la </w:t>
      </w:r>
      <w:r>
        <w:rPr>
          <w:rFonts w:ascii="Cambria Math" w:hAnsi="Cambria Math"/>
          <w:noProof/>
        </w:rPr>
        <w:t>C</w:t>
      </w:r>
      <w:r>
        <w:rPr>
          <w:noProof/>
        </w:rPr>
        <w:t>orrupción y Seguridad Interior, de reciente creación, que incluye la tramitación de procedimientos disciplinarios, la prevención y detección de la corrupción, la realización de inspecciones y actividades operativas y la realización de controles de integridad del personal del Ministerio. El marco de integridad se reforzó aún más en octubre de 2025 con la adopción de la Ley de Integridad y Disciplina Policial y el subsiguiente Derecho derivado, que establecen conjuntamente normas, responsabilidades y procedimientos para las investigaciones disciplinarias y las evaluaciones de la integridad de los agentes de policía y del personal de rescate contra incendios. De conformidad con la Ley de Integridad y Disciplina Policial, los candidatos a puestos de agente de policía deben someterse a un control de integridad antes de su primer nombramiento. Estos controles de integridad empezaron a llevarse a cabo en enero de 2026.</w:t>
      </w:r>
    </w:p>
    <w:p w14:paraId="5C576ED0" w14:textId="77777777" w:rsidR="003F2FC8" w:rsidRDefault="003F2FC8" w:rsidP="00F71C03">
      <w:pPr>
        <w:jc w:val="both"/>
        <w:rPr>
          <w:noProof/>
        </w:rPr>
      </w:pPr>
    </w:p>
    <w:p w14:paraId="78924A70" w14:textId="3B7CAE51" w:rsidR="00F71C03" w:rsidRPr="00F71C03" w:rsidRDefault="00F71C03" w:rsidP="00F71C03">
      <w:pPr>
        <w:jc w:val="both"/>
        <w:rPr>
          <w:noProof/>
        </w:rPr>
      </w:pPr>
      <w:r>
        <w:rPr>
          <w:noProof/>
        </w:rPr>
        <w:t xml:space="preserve">El Comité Anticorrupción armenio es la autoridad responsable de investigar los delitos de corrupción y llevar a cabo la fase de instrucción de los procedimientos penales en los casos de corrupción. Creado mediante una ley específica, este Comité goza de un alto grado de independencia institucional y está facultado para llevar a cabo actividades de investigación operativa. </w:t>
      </w:r>
      <w:r w:rsidR="00725177">
        <w:rPr>
          <w:noProof/>
        </w:rPr>
        <w:t>Al presidente</w:t>
      </w:r>
      <w:r>
        <w:rPr>
          <w:noProof/>
        </w:rPr>
        <w:t xml:space="preserve"> del Comité Anticorrupción lo nombra el Gobierno para un mandato de seis años, renovable una sola vez. </w:t>
      </w:r>
    </w:p>
    <w:p w14:paraId="1F3EAFD6" w14:textId="77777777" w:rsidR="00F71C03" w:rsidRPr="00F71C03" w:rsidRDefault="00F71C03" w:rsidP="00F71C03">
      <w:pPr>
        <w:jc w:val="both"/>
        <w:rPr>
          <w:noProof/>
          <w:lang w:eastAsia="x-none"/>
        </w:rPr>
      </w:pPr>
    </w:p>
    <w:p w14:paraId="39C7C954" w14:textId="6F629B4E" w:rsidR="00F71C03" w:rsidRPr="00F71C03" w:rsidRDefault="00F71C03" w:rsidP="00F71C03">
      <w:pPr>
        <w:jc w:val="both"/>
        <w:rPr>
          <w:noProof/>
        </w:rPr>
      </w:pPr>
      <w:r>
        <w:rPr>
          <w:noProof/>
        </w:rPr>
        <w:t>El Comité Anticorrupción está jurídicamente obligado a informar al público sobre sus actividades, respetando al mismo tiempo la confidencialidad de la fase de instrucción y la protección de los secretos de Estado. Aunque el número de condenas por corrupción está aumentando, la práctica condenatoria revela un uso generalizado de penas suspendidas, lo que puede socavar el efecto disuasorio de las sanciones penales y debilitar la confianza pública en el sistema judicial. En 2024, por ejemplo, solo se impusieron penas privativas de libertad a 37 personas, mientras que a 185 personas se les impusieron penas suspendidas.</w:t>
      </w:r>
    </w:p>
    <w:p w14:paraId="40836565" w14:textId="77777777" w:rsidR="00F71C03" w:rsidRPr="00F71C03" w:rsidRDefault="00F71C03" w:rsidP="00F71C03">
      <w:pPr>
        <w:jc w:val="both"/>
        <w:rPr>
          <w:noProof/>
          <w:lang w:eastAsia="x-none"/>
        </w:rPr>
      </w:pPr>
    </w:p>
    <w:p w14:paraId="0BD5B148" w14:textId="000B9BF1" w:rsidR="00F71C03" w:rsidRPr="00F71C03" w:rsidRDefault="00F71C03" w:rsidP="00F71C03">
      <w:pPr>
        <w:jc w:val="both"/>
        <w:rPr>
          <w:noProof/>
        </w:rPr>
      </w:pPr>
      <w:r>
        <w:rPr>
          <w:noProof/>
        </w:rPr>
        <w:t xml:space="preserve">En la actualidad, el Comité Anticorrupción carece de un enfoque estratégico global para hacer frente a la corrupción en sectores de alto riesgo, que se ajuste a las normas y las buenas prácticas europeas. La ausencia de un marco estratégico y basado en el riesgo limita la capacidad del Comité para llevar a cabo investigaciones proactivas y basadas en la inteligencia, en particular en los casos que afectan a altos funcionarios. </w:t>
      </w:r>
    </w:p>
    <w:p w14:paraId="1FFEC59D" w14:textId="77777777" w:rsidR="00F71C03" w:rsidRPr="00F71C03" w:rsidRDefault="00F71C03" w:rsidP="00F71C03">
      <w:pPr>
        <w:jc w:val="both"/>
        <w:rPr>
          <w:noProof/>
          <w:lang w:eastAsia="x-none"/>
        </w:rPr>
      </w:pPr>
    </w:p>
    <w:p w14:paraId="0BEFE331" w14:textId="096E1CAC" w:rsidR="00F71C03" w:rsidRPr="00F71C03" w:rsidRDefault="00D21800" w:rsidP="00F71C03">
      <w:pPr>
        <w:jc w:val="both"/>
        <w:rPr>
          <w:noProof/>
        </w:rPr>
      </w:pPr>
      <w:r>
        <w:rPr>
          <w:noProof/>
        </w:rPr>
        <w:t>Aunque Armenia incauta habitualmente los productos del cohecho en casos de cohecho activo, el seguimiento y la recuperación sistemáticos de los productos de la corrupción siguen siendo limitados. El Departamento de Decomiso de Bienes de Origen Ilícito de la Fiscalía General se centra en la recuperación de activos a través de procedimientos de decomiso civil, pero su mandato no se extiende a la recuperación de activos de origen delictivo. Actualmente no existe una unidad centralizada y especializada dedicada a la identificación y el seguimiento de activos en los procesos penales y los investigadores y fiscales tienden a dar prioridad a los aspectos probatorios de los casos sobre la recuperación de activos.</w:t>
      </w:r>
    </w:p>
    <w:p w14:paraId="77AFFC6B" w14:textId="77777777" w:rsidR="00F71C03" w:rsidRPr="00725177" w:rsidRDefault="00F71C03" w:rsidP="00F71C03">
      <w:pPr>
        <w:pStyle w:val="paragraph"/>
        <w:spacing w:before="0" w:beforeAutospacing="0" w:after="0" w:afterAutospacing="0"/>
        <w:jc w:val="both"/>
        <w:textAlignment w:val="baseline"/>
        <w:rPr>
          <w:b/>
          <w:bCs/>
          <w:noProof/>
          <w:color w:val="000000" w:themeColor="text1"/>
          <w:sz w:val="22"/>
          <w:szCs w:val="22"/>
        </w:rPr>
      </w:pPr>
    </w:p>
    <w:p w14:paraId="73FC35F9" w14:textId="535A6110" w:rsidR="00F618EC" w:rsidRPr="00F3575D" w:rsidRDefault="00F618EC" w:rsidP="00F618EC">
      <w:pPr>
        <w:pStyle w:val="paragraph"/>
        <w:numPr>
          <w:ilvl w:val="0"/>
          <w:numId w:val="3"/>
        </w:numPr>
        <w:spacing w:before="0" w:beforeAutospacing="0" w:after="0" w:afterAutospacing="0"/>
        <w:jc w:val="both"/>
        <w:textAlignment w:val="baseline"/>
        <w:rPr>
          <w:b/>
          <w:bCs/>
          <w:noProof/>
          <w:color w:val="000000" w:themeColor="text1"/>
          <w:sz w:val="22"/>
          <w:szCs w:val="22"/>
        </w:rPr>
      </w:pPr>
      <w:r>
        <w:rPr>
          <w:b/>
          <w:noProof/>
          <w:sz w:val="22"/>
        </w:rPr>
        <w:t>Consolidación del marco jurídico e institucional para la lucha contra el blanqueo de capitales y la financiación del terrorismo, adaptándolo a las normas de la UE e internacionales establecidas por el Grupo de Acción Financiera Internacional (GAFI).</w:t>
      </w:r>
    </w:p>
    <w:p w14:paraId="6CEEA664" w14:textId="77777777" w:rsidR="00F3575D" w:rsidRPr="00725177" w:rsidRDefault="00F3575D" w:rsidP="00F3575D">
      <w:pPr>
        <w:pStyle w:val="paragraph"/>
        <w:spacing w:before="0" w:beforeAutospacing="0" w:after="0" w:afterAutospacing="0"/>
        <w:jc w:val="both"/>
        <w:textAlignment w:val="baseline"/>
        <w:rPr>
          <w:b/>
          <w:bCs/>
          <w:noProof/>
          <w:sz w:val="22"/>
          <w:szCs w:val="22"/>
        </w:rPr>
      </w:pPr>
    </w:p>
    <w:p w14:paraId="5C4D47E5" w14:textId="715EEC8C" w:rsidR="00F3575D" w:rsidRPr="000D0A29" w:rsidRDefault="00F3575D" w:rsidP="00F3575D">
      <w:pPr>
        <w:jc w:val="both"/>
        <w:rPr>
          <w:noProof/>
        </w:rPr>
      </w:pPr>
      <w:r>
        <w:rPr>
          <w:noProof/>
        </w:rPr>
        <w:t>Armenia es parte de los principales instrumentos jurídicos internacionales en el ámbito de la lucha contra el blanqueo de capitales y la financiación del terrorismo, como la Convención de las Naciones Unidas contra el tráfico ilícito de estupefacientes y sustancias sicotrópicas (Convención de Viena), la Convención de las Naciones Unidas contra la Delincuencia Organizada Transnacional (Convención de Palermo), la Convención de las Naciones Unidas contra la Corrupción (Convención de Mérida) y el Convenio Internacional para la Represión de la Financiación del Terrorismo. Además, Armenia ha ratificado el Convenio del Consejo de Europa de 2005 relativo al blanqueo, seguimiento, embargo y comiso de los productos del delito y a la financiación del terrorismo (Convenio de Varsovia). Armenia también participa en la Red Interinstitucional de Recuperación de Activos de Camden.</w:t>
      </w:r>
    </w:p>
    <w:p w14:paraId="1BCC04B8" w14:textId="77777777" w:rsidR="00F3575D" w:rsidRPr="000D0A29" w:rsidRDefault="00F3575D" w:rsidP="00F3575D">
      <w:pPr>
        <w:jc w:val="both"/>
        <w:rPr>
          <w:noProof/>
          <w:lang w:eastAsia="x-none"/>
        </w:rPr>
      </w:pPr>
    </w:p>
    <w:p w14:paraId="17B616F4" w14:textId="1E40275A" w:rsidR="00725CAD" w:rsidRPr="000D0A29" w:rsidRDefault="00725CAD" w:rsidP="00725CAD">
      <w:pPr>
        <w:jc w:val="both"/>
        <w:rPr>
          <w:noProof/>
        </w:rPr>
      </w:pPr>
      <w:r>
        <w:rPr>
          <w:noProof/>
        </w:rPr>
        <w:t xml:space="preserve">Asimismo, es miembro del Comité Especial de Expertos sobre evaluación de medidas contra el blanqueo de dinero y la financiación del terrorismo (MONEYVAL) del Consejo de Europa. El último informe de evaluación mutua sobre Armenia del MONEYVAL se adoptó en diciembre de 2015, seguido de un informe de seguimiento en julio de 2018. En ese momento, este informe estimó que Armenia había cumplido, total o parcialmente, la mayoría de los requisitos de cumplimiento y eficacia técnicos. La próxima evaluación de MONEYVAL, cuya publicación está prevista para 2026, tras la visita </w:t>
      </w:r>
      <w:r>
        <w:rPr>
          <w:i/>
          <w:iCs/>
          <w:noProof/>
        </w:rPr>
        <w:t>in situ</w:t>
      </w:r>
      <w:r>
        <w:rPr>
          <w:noProof/>
        </w:rPr>
        <w:t xml:space="preserve"> realizada en 2025, constituirá una referencia importante para la próxima evaluación de este criterio de referencia.</w:t>
      </w:r>
    </w:p>
    <w:p w14:paraId="17E20ABE" w14:textId="77777777" w:rsidR="00725CAD" w:rsidRPr="000D0A29" w:rsidRDefault="00725CAD" w:rsidP="00F3575D">
      <w:pPr>
        <w:jc w:val="both"/>
        <w:rPr>
          <w:noProof/>
          <w:lang w:eastAsia="x-none"/>
        </w:rPr>
      </w:pPr>
    </w:p>
    <w:p w14:paraId="02E1C5D2" w14:textId="04A8652C" w:rsidR="00F3575D" w:rsidRPr="00F3575D" w:rsidRDefault="00F3575D" w:rsidP="00F3575D">
      <w:pPr>
        <w:jc w:val="both"/>
        <w:rPr>
          <w:noProof/>
        </w:rPr>
      </w:pPr>
      <w:r>
        <w:rPr>
          <w:noProof/>
        </w:rPr>
        <w:t xml:space="preserve">La Ley armenia sobre la lucha contra el blanqueo de capitales y la financiación del terrorismo está en vigor desde 2008 y ha sido objeto de varias modificaciones, la última de ellas en junio de 2022, a fin de reflejar la evolución de las normas internacionales. Armenia ha revisado su Ley de Criptoactivos para prohibir las transacciones en efectivo en el sector de las criptomonedas a partir del 1 de enero de 2027.  </w:t>
      </w:r>
    </w:p>
    <w:p w14:paraId="36C17F6B" w14:textId="77777777" w:rsidR="00F3575D" w:rsidRPr="00725177" w:rsidRDefault="00F3575D" w:rsidP="00F3575D">
      <w:pPr>
        <w:pStyle w:val="paragraph"/>
        <w:spacing w:before="0" w:beforeAutospacing="0" w:after="0" w:afterAutospacing="0"/>
        <w:jc w:val="both"/>
        <w:textAlignment w:val="baseline"/>
        <w:rPr>
          <w:b/>
          <w:bCs/>
          <w:noProof/>
          <w:color w:val="000000" w:themeColor="text1"/>
          <w:sz w:val="22"/>
          <w:szCs w:val="22"/>
        </w:rPr>
      </w:pPr>
    </w:p>
    <w:p w14:paraId="2DAF8526" w14:textId="3BC0C013" w:rsidR="00F618EC" w:rsidRPr="000D0A29" w:rsidRDefault="00F618EC" w:rsidP="00F618EC">
      <w:pPr>
        <w:pStyle w:val="paragraph"/>
        <w:numPr>
          <w:ilvl w:val="0"/>
          <w:numId w:val="3"/>
        </w:numPr>
        <w:spacing w:before="0" w:beforeAutospacing="0" w:after="0" w:afterAutospacing="0"/>
        <w:jc w:val="both"/>
        <w:textAlignment w:val="baseline"/>
        <w:rPr>
          <w:b/>
          <w:bCs/>
          <w:noProof/>
          <w:color w:val="000000" w:themeColor="text1"/>
          <w:sz w:val="22"/>
          <w:szCs w:val="22"/>
        </w:rPr>
      </w:pPr>
      <w:r>
        <w:rPr>
          <w:b/>
          <w:noProof/>
          <w:sz w:val="22"/>
        </w:rPr>
        <w:t>Actualización periódica de la correspondiente estrategia nacional en materia de lucha contra el blanqueo de capitales y la financiación del terrorismo.</w:t>
      </w:r>
    </w:p>
    <w:p w14:paraId="35B4D10F" w14:textId="77777777" w:rsidR="000D0A29" w:rsidRPr="00725177" w:rsidRDefault="000D0A29" w:rsidP="000D0A29">
      <w:pPr>
        <w:pStyle w:val="paragraph"/>
        <w:spacing w:before="0" w:beforeAutospacing="0" w:after="0" w:afterAutospacing="0"/>
        <w:jc w:val="both"/>
        <w:textAlignment w:val="baseline"/>
        <w:rPr>
          <w:b/>
          <w:bCs/>
          <w:noProof/>
          <w:spacing w:val="-2"/>
          <w:sz w:val="22"/>
          <w:szCs w:val="22"/>
        </w:rPr>
      </w:pPr>
    </w:p>
    <w:p w14:paraId="07C6586B" w14:textId="7024ACE5" w:rsidR="000D0A29" w:rsidRPr="000D0A29" w:rsidRDefault="000D0A29" w:rsidP="000D0A29">
      <w:pPr>
        <w:jc w:val="both"/>
        <w:rPr>
          <w:noProof/>
        </w:rPr>
      </w:pPr>
      <w:r>
        <w:rPr>
          <w:noProof/>
        </w:rPr>
        <w:t>La estrategia nacional armenia de lucha contra el blanqueo de capitales, la financiación del terrorismo y la financiación de la proliferación se adoptó inicialmente en 2014 y debe revisarse periódicamente y actualizarse cada tres años.</w:t>
      </w:r>
    </w:p>
    <w:p w14:paraId="5F3AA86F" w14:textId="77777777" w:rsidR="000D0A29" w:rsidRPr="000D0A29" w:rsidRDefault="000D0A29" w:rsidP="000D0A29">
      <w:pPr>
        <w:jc w:val="both"/>
        <w:rPr>
          <w:noProof/>
          <w:lang w:eastAsia="x-none"/>
        </w:rPr>
      </w:pPr>
    </w:p>
    <w:p w14:paraId="3FBD1723" w14:textId="4428F715" w:rsidR="000D0A29" w:rsidRPr="000D0A29" w:rsidRDefault="000D0A29" w:rsidP="000D0A29">
      <w:pPr>
        <w:jc w:val="both"/>
        <w:rPr>
          <w:noProof/>
        </w:rPr>
      </w:pPr>
      <w:r>
        <w:rPr>
          <w:noProof/>
        </w:rPr>
        <w:t xml:space="preserve">La actual estrategia nacional para el período 2025-2028 aplica un enfoque basado en el riesgo y está concebida para abordar los principales riesgos, vulnerabilidades y deficiencias sistémicas que se habían detectado en la evaluación nacional del blanqueo de capitales y la financiación del terrorismo para el período 2021-2023. </w:t>
      </w:r>
    </w:p>
    <w:p w14:paraId="46750C35" w14:textId="77777777" w:rsidR="000D0A29" w:rsidRPr="00725177" w:rsidRDefault="000D0A29" w:rsidP="000D0A29">
      <w:pPr>
        <w:pStyle w:val="paragraph"/>
        <w:spacing w:before="0" w:beforeAutospacing="0" w:after="0" w:afterAutospacing="0"/>
        <w:jc w:val="both"/>
        <w:textAlignment w:val="baseline"/>
        <w:rPr>
          <w:b/>
          <w:bCs/>
          <w:noProof/>
          <w:color w:val="000000" w:themeColor="text1"/>
          <w:sz w:val="22"/>
          <w:szCs w:val="22"/>
        </w:rPr>
      </w:pPr>
    </w:p>
    <w:p w14:paraId="4193C7AA" w14:textId="77777777" w:rsidR="00F618EC" w:rsidRPr="006E2988" w:rsidRDefault="00F618EC" w:rsidP="00F618EC">
      <w:pPr>
        <w:pStyle w:val="paragraph"/>
        <w:numPr>
          <w:ilvl w:val="0"/>
          <w:numId w:val="3"/>
        </w:numPr>
        <w:spacing w:before="0" w:beforeAutospacing="0" w:after="0" w:afterAutospacing="0"/>
        <w:jc w:val="both"/>
        <w:textAlignment w:val="baseline"/>
        <w:rPr>
          <w:b/>
          <w:bCs/>
          <w:noProof/>
          <w:color w:val="000000" w:themeColor="text1"/>
          <w:sz w:val="22"/>
          <w:szCs w:val="22"/>
        </w:rPr>
      </w:pPr>
      <w:r>
        <w:rPr>
          <w:b/>
          <w:noProof/>
          <w:sz w:val="22"/>
        </w:rPr>
        <w:t>Consolidación de una Unidad de Inteligencia Financiera Independiente, con las competencias y los recursos adecuados.</w:t>
      </w:r>
    </w:p>
    <w:p w14:paraId="2849A917" w14:textId="77777777" w:rsidR="006E2988" w:rsidRPr="00725177" w:rsidRDefault="006E2988" w:rsidP="006E2988">
      <w:pPr>
        <w:pStyle w:val="paragraph"/>
        <w:spacing w:before="0" w:beforeAutospacing="0" w:after="0" w:afterAutospacing="0"/>
        <w:jc w:val="both"/>
        <w:textAlignment w:val="baseline"/>
        <w:rPr>
          <w:b/>
          <w:bCs/>
          <w:noProof/>
          <w:sz w:val="22"/>
          <w:szCs w:val="22"/>
        </w:rPr>
      </w:pPr>
    </w:p>
    <w:p w14:paraId="42510C41" w14:textId="0DFD9339" w:rsidR="006E2988" w:rsidRPr="006E2988" w:rsidRDefault="006E2988" w:rsidP="006E2988">
      <w:pPr>
        <w:jc w:val="both"/>
        <w:rPr>
          <w:noProof/>
        </w:rPr>
      </w:pPr>
      <w:r>
        <w:rPr>
          <w:noProof/>
        </w:rPr>
        <w:t>El Centro de Supervisión Financiera se creó en 2005 como una unidad diferenciada dentro del Banco Central de Armenia. Funciona como una unidad de inteligencia financiera de tipo administrativo y como intermediario entre las entidades notificantes y las autoridades policiales. El mandato del Centro es luchar contra el blanqueo de capitales y la financiación del terrorismo mediante la recepción, el análisis y la difusión de información pertinente para las actividades de lucha contra el blanqueo de capitales y la financiación del terrorismo. Actualmente emplea a treinta y siete personas y tiene previsto contratar a tres más en 2026.</w:t>
      </w:r>
    </w:p>
    <w:p w14:paraId="7AB33D91" w14:textId="77777777" w:rsidR="006E2988" w:rsidRDefault="006E2988" w:rsidP="006E2988">
      <w:pPr>
        <w:jc w:val="both"/>
        <w:rPr>
          <w:noProof/>
        </w:rPr>
      </w:pPr>
    </w:p>
    <w:p w14:paraId="2A3B23CB" w14:textId="2C46F3BB" w:rsidR="006E2988" w:rsidRPr="006E2988" w:rsidRDefault="006E2988" w:rsidP="006E2988">
      <w:pPr>
        <w:jc w:val="both"/>
        <w:rPr>
          <w:noProof/>
        </w:rPr>
      </w:pPr>
      <w:r>
        <w:rPr>
          <w:noProof/>
        </w:rPr>
        <w:t>A escala nacional, este Centro es una de las pocas instituciones de la comunidad policial armenia que ha formalizado la cooperación a través de memorandos de entendimiento con las autoridades asociadas en Armenia.</w:t>
      </w:r>
    </w:p>
    <w:p w14:paraId="39D8F77E" w14:textId="77777777" w:rsidR="006E2988" w:rsidRPr="006E2988" w:rsidRDefault="006E2988" w:rsidP="006E2988">
      <w:pPr>
        <w:jc w:val="both"/>
        <w:rPr>
          <w:noProof/>
          <w:lang w:eastAsia="x-none"/>
        </w:rPr>
      </w:pPr>
    </w:p>
    <w:p w14:paraId="0AE37C16" w14:textId="036CFBD0" w:rsidR="006E2988" w:rsidRPr="00D211D7" w:rsidRDefault="006E2988" w:rsidP="006E2988">
      <w:pPr>
        <w:jc w:val="both"/>
        <w:rPr>
          <w:noProof/>
        </w:rPr>
      </w:pPr>
      <w:r>
        <w:rPr>
          <w:noProof/>
        </w:rPr>
        <w:t xml:space="preserve">Aunque el número de comunicaciones sobre transacciones sospechosas recibidas por el Centro (366 en 2024) y el número de notificaciones transmitidas por este a las autoridades policiales (95 en 2024) siguen siendo bajos, las evaluaciones internacionales han reconocido sistemáticamente la calidad de los procesos internos y del trabajo analítico del Centro. </w:t>
      </w:r>
    </w:p>
    <w:p w14:paraId="0D47F56A" w14:textId="77777777" w:rsidR="006E2988" w:rsidRPr="00725177" w:rsidRDefault="006E2988" w:rsidP="006E2988">
      <w:pPr>
        <w:pStyle w:val="paragraph"/>
        <w:spacing w:before="0" w:beforeAutospacing="0" w:after="0" w:afterAutospacing="0"/>
        <w:jc w:val="both"/>
        <w:textAlignment w:val="baseline"/>
        <w:rPr>
          <w:b/>
          <w:bCs/>
          <w:noProof/>
          <w:color w:val="000000" w:themeColor="text1"/>
          <w:sz w:val="22"/>
          <w:szCs w:val="22"/>
        </w:rPr>
      </w:pPr>
    </w:p>
    <w:p w14:paraId="5FD0749C" w14:textId="77777777" w:rsidR="00692B59" w:rsidRPr="00692B59" w:rsidRDefault="00692B59" w:rsidP="00692B59">
      <w:pPr>
        <w:pStyle w:val="paragraph"/>
        <w:numPr>
          <w:ilvl w:val="0"/>
          <w:numId w:val="3"/>
        </w:numPr>
        <w:spacing w:before="0" w:beforeAutospacing="0" w:after="0" w:afterAutospacing="0"/>
        <w:jc w:val="both"/>
        <w:textAlignment w:val="baseline"/>
        <w:rPr>
          <w:b/>
          <w:bCs/>
          <w:noProof/>
          <w:color w:val="000000" w:themeColor="text1"/>
          <w:sz w:val="22"/>
          <w:szCs w:val="22"/>
        </w:rPr>
      </w:pPr>
      <w:r>
        <w:rPr>
          <w:b/>
          <w:noProof/>
          <w:sz w:val="22"/>
        </w:rPr>
        <w:t>Consolidación del marco jurídico e institucional para la recuperación de activos y su adaptación a las normas internacionales y de la UE, incluida la creación de un organismo de recuperación de activos.</w:t>
      </w:r>
    </w:p>
    <w:p w14:paraId="1715C243" w14:textId="77777777" w:rsidR="00D35211" w:rsidRPr="00725177" w:rsidRDefault="00D35211" w:rsidP="00D35211">
      <w:pPr>
        <w:pStyle w:val="paragraph"/>
        <w:spacing w:before="0" w:beforeAutospacing="0" w:after="0" w:afterAutospacing="0"/>
        <w:jc w:val="both"/>
        <w:rPr>
          <w:b/>
          <w:bCs/>
          <w:noProof/>
          <w:sz w:val="22"/>
          <w:szCs w:val="22"/>
        </w:rPr>
      </w:pPr>
    </w:p>
    <w:p w14:paraId="19FC73BB" w14:textId="31C24562" w:rsidR="00D35211" w:rsidRDefault="00D35211" w:rsidP="00D35211">
      <w:pPr>
        <w:jc w:val="both"/>
        <w:rPr>
          <w:noProof/>
        </w:rPr>
      </w:pPr>
      <w:r>
        <w:rPr>
          <w:noProof/>
        </w:rPr>
        <w:t xml:space="preserve">El Código Penal de 2022 establece un marco jurídico para el decomiso de activos ilícitos como medida de Derecho penal. El artículo 121 del Código Penal regula el decomiso de los productos e instrumentos del delito. La introducción de la responsabilidad penal de las personas jurídicas en el Código Penal de 2022 ha ampliado considerablemente el alcance del decomiso, que ahora puede aplicarse tanto a las personas físicas como a las jurídicas. </w:t>
      </w:r>
    </w:p>
    <w:p w14:paraId="622385DD" w14:textId="77777777" w:rsidR="00D35211" w:rsidRPr="00D35211" w:rsidRDefault="00D35211" w:rsidP="00D35211">
      <w:pPr>
        <w:jc w:val="both"/>
        <w:rPr>
          <w:noProof/>
          <w:lang w:eastAsia="x-none"/>
        </w:rPr>
      </w:pPr>
    </w:p>
    <w:p w14:paraId="5AA4A547" w14:textId="540849C2" w:rsidR="009F2DA8" w:rsidRDefault="00D35211" w:rsidP="00D35211">
      <w:pPr>
        <w:jc w:val="both"/>
        <w:rPr>
          <w:noProof/>
        </w:rPr>
      </w:pPr>
      <w:r>
        <w:rPr>
          <w:noProof/>
        </w:rPr>
        <w:t xml:space="preserve">Paralelamente al decomiso basado en condena, Armenia ha introducido un marco jurídico para el decomiso no basado en condena. El 16 de abril de 2020, la Asamblea Nacional adoptó la Ley sobre el decomiso civil de activos ilícitos, que establece la base jurídica para el decomiso sin condena penal. Por lo tanto, Armenia cuenta con un marco legislativo que se ajusta en gran medida a las obligaciones derivadas de los acuerdos internacionales de los que es parte, pero este marco todavía no se ha ajustado a las normas de la UE. </w:t>
      </w:r>
    </w:p>
    <w:p w14:paraId="11252AA6" w14:textId="77777777" w:rsidR="009140E1" w:rsidRDefault="009140E1" w:rsidP="00D35211">
      <w:pPr>
        <w:jc w:val="both"/>
        <w:rPr>
          <w:noProof/>
        </w:rPr>
      </w:pPr>
    </w:p>
    <w:p w14:paraId="7811AD64" w14:textId="54228E1B" w:rsidR="00D35211" w:rsidRDefault="00CF39B8" w:rsidP="00D35211">
      <w:pPr>
        <w:pStyle w:val="paragraph"/>
        <w:spacing w:before="0" w:beforeAutospacing="0" w:after="0" w:afterAutospacing="0"/>
        <w:jc w:val="both"/>
        <w:rPr>
          <w:noProof/>
          <w:sz w:val="22"/>
          <w:szCs w:val="22"/>
        </w:rPr>
      </w:pPr>
      <w:r>
        <w:rPr>
          <w:noProof/>
          <w:sz w:val="22"/>
        </w:rPr>
        <w:t xml:space="preserve">Las autoridades armenias se han comprometido a reformar el sistema nacional de recuperación de activos y a adaptarlo a las normas de la UE. </w:t>
      </w:r>
    </w:p>
    <w:p w14:paraId="13752A1B" w14:textId="77777777" w:rsidR="000500CD" w:rsidRPr="00725177" w:rsidRDefault="000500CD" w:rsidP="00D35211">
      <w:pPr>
        <w:pStyle w:val="paragraph"/>
        <w:spacing w:before="0" w:beforeAutospacing="0" w:after="0" w:afterAutospacing="0"/>
        <w:jc w:val="both"/>
        <w:rPr>
          <w:b/>
          <w:bCs/>
          <w:noProof/>
          <w:color w:val="000000" w:themeColor="text1"/>
          <w:sz w:val="22"/>
          <w:szCs w:val="22"/>
        </w:rPr>
      </w:pPr>
    </w:p>
    <w:p w14:paraId="1EF8BA0D" w14:textId="77777777" w:rsidR="00F618EC" w:rsidRPr="00957D3F" w:rsidRDefault="00F618EC" w:rsidP="00F618EC">
      <w:pPr>
        <w:pStyle w:val="paragraph"/>
        <w:numPr>
          <w:ilvl w:val="0"/>
          <w:numId w:val="3"/>
        </w:numPr>
        <w:spacing w:before="0" w:beforeAutospacing="0" w:after="0" w:afterAutospacing="0"/>
        <w:jc w:val="both"/>
        <w:textAlignment w:val="baseline"/>
        <w:rPr>
          <w:b/>
          <w:bCs/>
          <w:noProof/>
          <w:color w:val="000000" w:themeColor="text1"/>
          <w:sz w:val="22"/>
          <w:szCs w:val="22"/>
        </w:rPr>
      </w:pPr>
      <w:r>
        <w:rPr>
          <w:b/>
          <w:noProof/>
          <w:sz w:val="22"/>
        </w:rPr>
        <w:t>Adopción de un marco legislativo para la protección de los denunciantes que informen, entre otras cosas, sobre el blanqueo de capitales y la financiación del terrorismo.</w:t>
      </w:r>
    </w:p>
    <w:p w14:paraId="3C7BF99C" w14:textId="77777777" w:rsidR="00957D3F" w:rsidRPr="00725177" w:rsidRDefault="00957D3F" w:rsidP="00957D3F">
      <w:pPr>
        <w:pStyle w:val="paragraph"/>
        <w:spacing w:before="0" w:beforeAutospacing="0" w:after="0" w:afterAutospacing="0"/>
        <w:jc w:val="both"/>
        <w:textAlignment w:val="baseline"/>
        <w:rPr>
          <w:b/>
          <w:bCs/>
          <w:noProof/>
          <w:sz w:val="22"/>
          <w:szCs w:val="22"/>
        </w:rPr>
      </w:pPr>
    </w:p>
    <w:p w14:paraId="5069FE8B" w14:textId="4CE88CF1" w:rsidR="00957D3F" w:rsidRPr="00957D3F" w:rsidRDefault="00957D3F" w:rsidP="00957D3F">
      <w:pPr>
        <w:jc w:val="both"/>
        <w:rPr>
          <w:noProof/>
        </w:rPr>
      </w:pPr>
      <w:r>
        <w:rPr>
          <w:noProof/>
        </w:rPr>
        <w:t>El marco jurídico de Armenia ha ofrecido garantías formales para la protección de los denunciantes desde 2018 y en 2022 se adoptaron importantes modificaciones de la legislación.</w:t>
      </w:r>
      <w:r w:rsidR="00BA1D50">
        <w:rPr>
          <w:noProof/>
        </w:rPr>
        <w:t xml:space="preserve"> </w:t>
      </w:r>
      <w:r>
        <w:rPr>
          <w:noProof/>
        </w:rPr>
        <w:t xml:space="preserve">La legislación actual permite denunciar delitos de corrupción, conflictos de intereses, infracciones de códigos de conducta, requisitos de incompatibilidad e infracciones relacionadas con las declaraciones u otros daños al interés público. </w:t>
      </w:r>
    </w:p>
    <w:p w14:paraId="0D56FC48" w14:textId="77777777" w:rsidR="00957D3F" w:rsidRPr="00957D3F" w:rsidRDefault="00957D3F" w:rsidP="00957D3F">
      <w:pPr>
        <w:jc w:val="both"/>
        <w:rPr>
          <w:noProof/>
          <w:lang w:eastAsia="x-none"/>
        </w:rPr>
      </w:pPr>
    </w:p>
    <w:p w14:paraId="5D190B34" w14:textId="5723323B" w:rsidR="00957D3F" w:rsidRPr="00957D3F" w:rsidRDefault="00957D3F" w:rsidP="00957D3F">
      <w:pPr>
        <w:jc w:val="both"/>
        <w:rPr>
          <w:noProof/>
        </w:rPr>
      </w:pPr>
      <w:r>
        <w:rPr>
          <w:noProof/>
        </w:rPr>
        <w:t xml:space="preserve">Aunque el Defensor oficial de los Derechos Humanos de Armenia ha sido formalmente facultado y dotado de medios para recibir denuncias y solicitudes de denunciantes y personas relacionadas relativas a presuntas violaciones de sus derechos, hasta la fecha no se ha notificado ningún caso práctico de protección de denunciantes de irregularidades. </w:t>
      </w:r>
    </w:p>
    <w:p w14:paraId="24CFBACF" w14:textId="77777777" w:rsidR="00957D3F" w:rsidRPr="00957D3F" w:rsidRDefault="00957D3F" w:rsidP="00957D3F">
      <w:pPr>
        <w:jc w:val="both"/>
        <w:rPr>
          <w:noProof/>
          <w:lang w:eastAsia="x-none"/>
        </w:rPr>
      </w:pPr>
    </w:p>
    <w:p w14:paraId="33106F23" w14:textId="4715FDDB" w:rsidR="00957D3F" w:rsidRDefault="001D3D72" w:rsidP="00957D3F">
      <w:pPr>
        <w:jc w:val="both"/>
        <w:rPr>
          <w:noProof/>
        </w:rPr>
      </w:pPr>
      <w:r>
        <w:rPr>
          <w:noProof/>
        </w:rPr>
        <w:t>El Ministerio de Justicia ha preparado modificaciones legislativas para reforzar el marco de denuncia de irregularidades. En particular, el proyecto de modificaciones se propone ampliar explícitamente la cobertura a posibles infracciones relacionadas con el blanqueo de capitales y la financiación del terrorismo e incluirá también a las entidades privadas de 250 o más empleados en el ámbito de aplicación de la ley.</w:t>
      </w:r>
    </w:p>
    <w:p w14:paraId="27D79E06" w14:textId="77777777" w:rsidR="00957D3F" w:rsidRDefault="00957D3F" w:rsidP="00957D3F">
      <w:pPr>
        <w:jc w:val="both"/>
        <w:rPr>
          <w:noProof/>
        </w:rPr>
      </w:pPr>
    </w:p>
    <w:p w14:paraId="47064516" w14:textId="77777777" w:rsidR="00F618EC" w:rsidRPr="001D3D72" w:rsidRDefault="00F618EC" w:rsidP="00F618EC">
      <w:pPr>
        <w:pStyle w:val="paragraph"/>
        <w:numPr>
          <w:ilvl w:val="0"/>
          <w:numId w:val="3"/>
        </w:numPr>
        <w:spacing w:before="0" w:beforeAutospacing="0" w:after="0" w:afterAutospacing="0"/>
        <w:jc w:val="both"/>
        <w:textAlignment w:val="baseline"/>
        <w:rPr>
          <w:b/>
          <w:bCs/>
          <w:noProof/>
          <w:color w:val="000000" w:themeColor="text1"/>
          <w:sz w:val="22"/>
          <w:szCs w:val="22"/>
        </w:rPr>
      </w:pPr>
      <w:r>
        <w:rPr>
          <w:b/>
          <w:noProof/>
          <w:sz w:val="22"/>
        </w:rPr>
        <w:t>Adopción de una estrategia nacional relativa a las políticas en materia de drogas, que adopte un enfoque equilibrado y global, incluidas medidas destinadas a luchar contra el tráfico de drogas y a abordar la demanda y los daños relacionados con las drogas, de conformidad con las normas internacionales y de la UE, así como desarrollo y aprobación de un plan de acción que establezca un calendario claro, objetivos, actividades, resultados, indicadores de rendimiento y recursos humanos y financieros concebido para garantizar la aplicación de la estrategia nacional.</w:t>
      </w:r>
    </w:p>
    <w:p w14:paraId="1C175D7E" w14:textId="77777777" w:rsidR="001D3D72" w:rsidRPr="00D211D7" w:rsidRDefault="001D3D72" w:rsidP="001D3D72">
      <w:pPr>
        <w:rPr>
          <w:noProof/>
          <w:lang w:eastAsia="x-none"/>
        </w:rPr>
      </w:pPr>
    </w:p>
    <w:p w14:paraId="2B54631A" w14:textId="48A02550" w:rsidR="00802F43" w:rsidRPr="00CD15B2" w:rsidRDefault="00802F43" w:rsidP="001D3D72">
      <w:pPr>
        <w:jc w:val="both"/>
        <w:rPr>
          <w:noProof/>
        </w:rPr>
      </w:pPr>
      <w:r>
        <w:rPr>
          <w:noProof/>
        </w:rPr>
        <w:t>Armenia es parte de la Convención de las Naciones Unidas contra el tráfico ilícito de estupefacientes y sustancias sicotrópicas (Convención de Viena) y de la Convención de las Naciones Unidas contra la Delincuencia Organizada Transnacional (Convención de Palermo).</w:t>
      </w:r>
    </w:p>
    <w:p w14:paraId="75908392" w14:textId="77777777" w:rsidR="00802F43" w:rsidRDefault="00802F43" w:rsidP="001D3D72">
      <w:pPr>
        <w:jc w:val="both"/>
        <w:rPr>
          <w:noProof/>
        </w:rPr>
      </w:pPr>
    </w:p>
    <w:p w14:paraId="50801E60" w14:textId="72FEAD6F" w:rsidR="001502D7" w:rsidRPr="001502D7" w:rsidRDefault="001D3D72" w:rsidP="001502D7">
      <w:pPr>
        <w:jc w:val="both"/>
        <w:rPr>
          <w:noProof/>
        </w:rPr>
      </w:pPr>
      <w:r>
        <w:rPr>
          <w:noProof/>
        </w:rPr>
        <w:t>Los delitos relacionados con las drogas son una de las principales amenazas para la seguridad y la salud pública en Armenia. En los últimos años, el tráfico de drogas en línea ha aumentado en Armenia, pasando de solo 8 casos registrados en 2021 a 321 casos en 2024. En general, las investigaciones penales relacionadas con las drogas también han aumentado, lo que refleja tanto la intensificación de los esfuerzos policiales como el creciente uso de Armenia como ruta de tránsito de estupefacientes. En diciembre de 2025, la Policía investigó 3 311 causas penales relacionadas con las drogas, frente a 3 639 en 2024, 5 070 en 2023, 2 266 en 2022 y 1 544 en 2021.</w:t>
      </w:r>
    </w:p>
    <w:p w14:paraId="3DDED897" w14:textId="77777777" w:rsidR="001502D7" w:rsidRPr="001502D7" w:rsidRDefault="001502D7" w:rsidP="001D3D72">
      <w:pPr>
        <w:jc w:val="both"/>
        <w:rPr>
          <w:noProof/>
        </w:rPr>
      </w:pPr>
    </w:p>
    <w:p w14:paraId="20CA6A06" w14:textId="3E52D2C1" w:rsidR="001D3D72" w:rsidRDefault="001D3D72" w:rsidP="001D3D72">
      <w:pPr>
        <w:jc w:val="both"/>
        <w:rPr>
          <w:noProof/>
        </w:rPr>
      </w:pPr>
      <w:r>
        <w:rPr>
          <w:noProof/>
        </w:rPr>
        <w:t xml:space="preserve">En respuesta a la creciente amenaza, las autoridades armenias adoptaron en junio de 2025 un plan estratégico (2025-2027) para luchar contra el uso no médico y el tráfico ilícito de estupefacientes y sustancias psicotrópicas. La estrategia y su plan de acción conexo identifican sesenta y ocho actividades en doce ámbitos estratégicos, que abarcan la prevención, la aplicación de la ley, el tráfico en línea, el desarrollo de capacidades, la cooperación internacional, el suministro de tratamientos modernos y basados en datos contrastados y la rehabilitación. </w:t>
      </w:r>
    </w:p>
    <w:p w14:paraId="10523E0D" w14:textId="77777777" w:rsidR="001D3D72" w:rsidRPr="001D3D72" w:rsidRDefault="001D3D72" w:rsidP="001D3D72">
      <w:pPr>
        <w:jc w:val="both"/>
        <w:rPr>
          <w:noProof/>
          <w:lang w:eastAsia="x-none"/>
        </w:rPr>
      </w:pPr>
    </w:p>
    <w:p w14:paraId="569537F4" w14:textId="77777777" w:rsidR="00F618EC" w:rsidRPr="00301E8C" w:rsidRDefault="00F618EC" w:rsidP="00F618EC">
      <w:pPr>
        <w:pStyle w:val="paragraph"/>
        <w:numPr>
          <w:ilvl w:val="0"/>
          <w:numId w:val="3"/>
        </w:numPr>
        <w:spacing w:before="0" w:beforeAutospacing="0" w:after="0" w:afterAutospacing="0"/>
        <w:jc w:val="both"/>
        <w:textAlignment w:val="baseline"/>
        <w:rPr>
          <w:b/>
          <w:bCs/>
          <w:noProof/>
          <w:color w:val="000000" w:themeColor="text1"/>
          <w:sz w:val="22"/>
          <w:szCs w:val="22"/>
        </w:rPr>
      </w:pPr>
      <w:r>
        <w:rPr>
          <w:b/>
          <w:noProof/>
          <w:sz w:val="22"/>
        </w:rPr>
        <w:t>Firma, ratificación y transposición a la legislación nacional de todos los convenios pertinentes de las Naciones Unidas y del Consejo de Europa y sus respectivos protocolos en los ámbitos enumerados más arriba y en materia de lucha contra el terrorismo, entre otros, el Convenio de 2005 relativo al blanqueo, seguimiento, embargo y comiso de los productos del delito y a la financiación del terrorismo del Consejo de Europa, así como el Convenio de La Haya relativo a la protección de los niños (Convenio de La Haya relativo a la competencia, la ley aplicable, el reconocimiento, la ejecución y la cooperación en materia de responsabilidad parental y de medidas de protección de los niños de 1996), el Convenio del Consejo de Europa para la protección de los niños contra la explotación y el abuso sexual de 2007 y el Protocolo Adicional al Convenio penal sobre la corrupción</w:t>
      </w:r>
    </w:p>
    <w:p w14:paraId="3590791D" w14:textId="77777777" w:rsidR="00F618EC" w:rsidRPr="00725177" w:rsidRDefault="00F618EC" w:rsidP="00F618EC">
      <w:pPr>
        <w:pStyle w:val="paragraph"/>
        <w:spacing w:before="0" w:beforeAutospacing="0" w:after="0" w:afterAutospacing="0"/>
        <w:jc w:val="both"/>
        <w:textAlignment w:val="baseline"/>
        <w:rPr>
          <w:noProof/>
          <w:color w:val="000000" w:themeColor="text1"/>
          <w:sz w:val="22"/>
          <w:szCs w:val="22"/>
        </w:rPr>
      </w:pPr>
    </w:p>
    <w:p w14:paraId="2AA8AE2A" w14:textId="02C09DE1" w:rsidR="00DA2050" w:rsidRPr="00DA2050" w:rsidRDefault="00DA2050" w:rsidP="00DA2050">
      <w:pPr>
        <w:jc w:val="both"/>
        <w:rPr>
          <w:noProof/>
        </w:rPr>
      </w:pPr>
      <w:r>
        <w:rPr>
          <w:noProof/>
        </w:rPr>
        <w:t>Armenia entró a formar parte del Consejo de Europa en enero de 2001 y desde entonces ha firmado ochenta y tres convenios del Consejo de Europa, de los cuales ha ratificado setenta. Armenia firmó y ratificó el Convenio del Consejo de Europa de 2005 relativo al blanqueo, seguimiento, embargo y comiso de los productos del delito y a la financiación del terrorismo, que entró en vigor el 1 de octubre de 2008. También firmó y ratificó el Convenio de La Haya de 1996 relativo a la competencia, la ley aplicable, el reconocimiento, la ejecución y la cooperación en materia de responsabilidad parental y de medidas de protección de los niños, que entró en vigor el 1 de mayo de 2008. Además, firmó y ratificó el Convenio del Consejo de Europa de 2007 para la protección de los niños contra la explotación y el abuso sexual, con efecto a partir del 1 de enero de 2021. Armenia también firmó y ratificó el Protocolo Adicional al Convenio penal sobre la corrupción, que entró en vigor el 1 de mayo de 2006.</w:t>
      </w:r>
    </w:p>
    <w:p w14:paraId="4FE84035" w14:textId="77777777" w:rsidR="009B758B" w:rsidRDefault="009B758B" w:rsidP="00DA2050">
      <w:pPr>
        <w:jc w:val="both"/>
        <w:rPr>
          <w:noProof/>
          <w:lang w:eastAsia="x-none"/>
        </w:rPr>
      </w:pPr>
    </w:p>
    <w:p w14:paraId="57B77664" w14:textId="5DAAC2A8" w:rsidR="00DA2050" w:rsidRPr="00DA2050" w:rsidRDefault="00DA2050" w:rsidP="00DA2050">
      <w:pPr>
        <w:jc w:val="both"/>
        <w:rPr>
          <w:noProof/>
        </w:rPr>
      </w:pPr>
      <w:r>
        <w:rPr>
          <w:noProof/>
        </w:rPr>
        <w:t xml:space="preserve">Armenia es parte de todos los principales instrumentos de lucha contra la delincuencia y la delincuencia organizada de las Naciones Unidas que están abiertos a ratificación en el marco de los Tratados de las Naciones Unidas. En el ámbito de la lucha contra el terrorismo, Armenia ha mantenido una estrecha cooperación con el Comité del Consejo de Seguridad de las Naciones Unidas de conformidad con las Resoluciones 1267 (1999), 1989 (2011) y 2253 (2015). Las autoridades armenias competentes reciben, examinan y verifican periódicamente listas consolidadas actualizadas relativas al EIIL (Dáesh) y Al-Qaida y a las personas, grupos y entidades asociados, con el fin de garantizar que sus procedimientos nacionales cumplan las obligaciones internacionales en materia de lucha contra el terrorismo. El marco nacional se ha adaptado a las normas internacionales y, en particular, a la entrada en vigor del nuevo Código Penal en 2022, que aportó un enfoque modernizado con respecto a los delitos relacionados con el terrorismo. </w:t>
      </w:r>
    </w:p>
    <w:p w14:paraId="0D978EFA" w14:textId="77777777" w:rsidR="00FF58B1" w:rsidRPr="00301E8C" w:rsidRDefault="00FF58B1" w:rsidP="00FF58B1">
      <w:pPr>
        <w:pStyle w:val="ListParagraph"/>
        <w:numPr>
          <w:ilvl w:val="1"/>
          <w:numId w:val="1"/>
        </w:numPr>
        <w:rPr>
          <w:noProof/>
        </w:rPr>
      </w:pPr>
      <w:r>
        <w:rPr>
          <w:noProof/>
        </w:rPr>
        <w:t>Cooperación judicial en materia penal</w:t>
      </w:r>
    </w:p>
    <w:p w14:paraId="533A208A" w14:textId="77777777" w:rsidR="005E02F9" w:rsidRPr="00301E8C" w:rsidRDefault="005E02F9" w:rsidP="005E02F9">
      <w:pPr>
        <w:rPr>
          <w:noProof/>
        </w:rPr>
      </w:pPr>
    </w:p>
    <w:p w14:paraId="659F9F4B" w14:textId="77777777" w:rsidR="005E02F9" w:rsidRPr="00124E80" w:rsidRDefault="005E02F9" w:rsidP="005E02F9">
      <w:pPr>
        <w:pStyle w:val="paragraph"/>
        <w:numPr>
          <w:ilvl w:val="0"/>
          <w:numId w:val="3"/>
        </w:numPr>
        <w:spacing w:before="0" w:beforeAutospacing="0" w:after="0" w:afterAutospacing="0"/>
        <w:jc w:val="both"/>
        <w:textAlignment w:val="baseline"/>
        <w:rPr>
          <w:b/>
          <w:bCs/>
          <w:noProof/>
          <w:color w:val="000000" w:themeColor="text1"/>
          <w:sz w:val="22"/>
          <w:szCs w:val="22"/>
        </w:rPr>
      </w:pPr>
      <w:r>
        <w:rPr>
          <w:b/>
          <w:noProof/>
          <w:sz w:val="22"/>
        </w:rPr>
        <w:t>Consolidación de los marcos jurídicos e institucionales que garanticen una asistencia mutua eficaz en materia penal.</w:t>
      </w:r>
    </w:p>
    <w:p w14:paraId="60B9865B" w14:textId="77777777" w:rsidR="00124E80" w:rsidRDefault="00124E80" w:rsidP="00124E80">
      <w:pPr>
        <w:rPr>
          <w:noProof/>
          <w:lang w:eastAsia="x-none"/>
        </w:rPr>
      </w:pPr>
    </w:p>
    <w:p w14:paraId="53FD6DA1" w14:textId="7003ACF8" w:rsidR="00CD15B2" w:rsidRDefault="00CD15B2" w:rsidP="00124E80">
      <w:pPr>
        <w:jc w:val="both"/>
        <w:rPr>
          <w:noProof/>
        </w:rPr>
      </w:pPr>
      <w:r>
        <w:rPr>
          <w:noProof/>
        </w:rPr>
        <w:t xml:space="preserve">La cooperación entre Armenia y los Estados miembros de la UE se basa principalmente en instrumentos clave del Consejo de Europa, en particular el Convenio Europeo de Extradición, de 13 de diciembre de 1957, y sus protocolos adicionales, el Convenio Europeo sobre la Transmisión de Procedimientos en Materia Penal, de 15 de mayo de 1972, y el Convenio Europeo de Asistencia Judicial en Materia Penal, de 20 de abril de 1959, junto con sus protocolos adicionales. </w:t>
      </w:r>
    </w:p>
    <w:p w14:paraId="598736D2" w14:textId="77777777" w:rsidR="00CD15B2" w:rsidRDefault="00CD15B2" w:rsidP="00124E80">
      <w:pPr>
        <w:jc w:val="both"/>
        <w:rPr>
          <w:noProof/>
        </w:rPr>
      </w:pPr>
    </w:p>
    <w:p w14:paraId="1912746A" w14:textId="34D19380" w:rsidR="00124E80" w:rsidRDefault="00124E80" w:rsidP="00124E80">
      <w:pPr>
        <w:jc w:val="both"/>
        <w:rPr>
          <w:noProof/>
        </w:rPr>
      </w:pPr>
      <w:r>
        <w:rPr>
          <w:noProof/>
        </w:rPr>
        <w:t xml:space="preserve">La cooperación judicial en materia penal con otros países está regulada a escala nacional por los capítulos 54 y 54¹ de la Ley de Enjuiciamiento Penal, que establecen el marco jurídico para la extradición, la asistencia judicial y otras formas de cooperación internacional en los procesos penales. La asistencia judicial internacional en materia penal también se rige por la Ley de asistencia judicial en materia penal, adoptada el 15 de noviembre de 2024. </w:t>
      </w:r>
    </w:p>
    <w:p w14:paraId="5ED5241A" w14:textId="77777777" w:rsidR="00CD15B2" w:rsidRDefault="00CD15B2" w:rsidP="00124E80">
      <w:pPr>
        <w:jc w:val="both"/>
        <w:rPr>
          <w:noProof/>
        </w:rPr>
      </w:pPr>
    </w:p>
    <w:p w14:paraId="35DFB504" w14:textId="6289F238" w:rsidR="00CD15B2" w:rsidRDefault="00CD15B2" w:rsidP="00124E80">
      <w:pPr>
        <w:jc w:val="both"/>
        <w:rPr>
          <w:noProof/>
        </w:rPr>
      </w:pPr>
      <w:r>
        <w:rPr>
          <w:noProof/>
        </w:rPr>
        <w:t xml:space="preserve">En conjunto, esta legislación constituye un marco jurídico integral que permite a Armenia buscar asistencia judicial en materia penal con los países socios. </w:t>
      </w:r>
    </w:p>
    <w:p w14:paraId="5CD57168" w14:textId="77777777" w:rsidR="00124E80" w:rsidRPr="00725177" w:rsidRDefault="00124E80" w:rsidP="00124E80">
      <w:pPr>
        <w:pStyle w:val="paragraph"/>
        <w:spacing w:before="0" w:beforeAutospacing="0" w:after="0" w:afterAutospacing="0"/>
        <w:jc w:val="both"/>
        <w:textAlignment w:val="baseline"/>
        <w:rPr>
          <w:b/>
          <w:bCs/>
          <w:noProof/>
          <w:color w:val="000000" w:themeColor="text1"/>
          <w:sz w:val="22"/>
          <w:szCs w:val="22"/>
        </w:rPr>
      </w:pPr>
    </w:p>
    <w:p w14:paraId="37AEE9AC" w14:textId="77777777" w:rsidR="005E02F9" w:rsidRPr="00F42E07" w:rsidRDefault="005E02F9" w:rsidP="005E02F9">
      <w:pPr>
        <w:pStyle w:val="paragraph"/>
        <w:numPr>
          <w:ilvl w:val="0"/>
          <w:numId w:val="3"/>
        </w:numPr>
        <w:spacing w:before="0" w:beforeAutospacing="0" w:after="0" w:afterAutospacing="0"/>
        <w:jc w:val="both"/>
        <w:textAlignment w:val="baseline"/>
        <w:rPr>
          <w:b/>
          <w:bCs/>
          <w:noProof/>
          <w:color w:val="000000" w:themeColor="text1"/>
          <w:sz w:val="22"/>
          <w:szCs w:val="22"/>
        </w:rPr>
      </w:pPr>
      <w:r>
        <w:rPr>
          <w:b/>
          <w:noProof/>
          <w:sz w:val="22"/>
        </w:rPr>
        <w:t>Firma, ratificación y transposición a la legislación nacional de los convenios internacionales pertinentes y sus protocolos, en particular el Segundo Protocolo adicional al Convenio Europeo de Asistencia Judicial en Materia Penal y el Convenio del Consejo de Europa de 2005 relativo al blanqueo, seguimiento, embargo y comiso de los productos del delito y a la financiación del terrorismo.</w:t>
      </w:r>
    </w:p>
    <w:p w14:paraId="7B1C99DB" w14:textId="77777777" w:rsidR="00F42E07" w:rsidRPr="00725177" w:rsidRDefault="00F42E07" w:rsidP="00F42E07">
      <w:pPr>
        <w:pStyle w:val="paragraph"/>
        <w:spacing w:before="0" w:beforeAutospacing="0" w:after="0" w:afterAutospacing="0"/>
        <w:jc w:val="both"/>
        <w:textAlignment w:val="baseline"/>
        <w:rPr>
          <w:b/>
          <w:bCs/>
          <w:noProof/>
          <w:sz w:val="22"/>
          <w:szCs w:val="22"/>
        </w:rPr>
      </w:pPr>
    </w:p>
    <w:p w14:paraId="47A05BAF" w14:textId="0D003960" w:rsidR="00F42E07" w:rsidRPr="00F42E07" w:rsidRDefault="00F42E07" w:rsidP="00F42E07">
      <w:pPr>
        <w:jc w:val="both"/>
        <w:rPr>
          <w:noProof/>
        </w:rPr>
      </w:pPr>
      <w:r>
        <w:rPr>
          <w:noProof/>
        </w:rPr>
        <w:t xml:space="preserve">Armenia firmó y ratificó el Segundo Protocolo adicional al Convenio Europeo de Asistencia Judicial en Materia Penal. Entró en vigor el 1 de abril de 2011. La legislación nacional se ha adaptado a este Protocolo. Asimismo, se han iniciado procedimientos internos con vistas a la ratificación y aplicación del Tercer Protocolo Adicional en 2026. </w:t>
      </w:r>
    </w:p>
    <w:p w14:paraId="6DEA36A4" w14:textId="77777777" w:rsidR="00F42E07" w:rsidRPr="00F42E07" w:rsidRDefault="00F42E07" w:rsidP="00F42E07">
      <w:pPr>
        <w:jc w:val="both"/>
        <w:rPr>
          <w:noProof/>
          <w:lang w:eastAsia="x-none"/>
        </w:rPr>
      </w:pPr>
    </w:p>
    <w:p w14:paraId="4D3F2B43" w14:textId="6C02A01B" w:rsidR="00F42E07" w:rsidRPr="00F42E07" w:rsidRDefault="00F42E07" w:rsidP="00F42E07">
      <w:pPr>
        <w:jc w:val="both"/>
        <w:rPr>
          <w:noProof/>
        </w:rPr>
      </w:pPr>
      <w:r>
        <w:rPr>
          <w:noProof/>
        </w:rPr>
        <w:t>Armenia firmó y ratificó el Convenio del Consejo de Europa de 2005 relativo al blanqueo, seguimiento, embargo y comiso de los productos del delito y a la financiación del terrorismo, que entró en vigor el 1 de octubre de 2008.</w:t>
      </w:r>
    </w:p>
    <w:p w14:paraId="36326D85" w14:textId="77777777" w:rsidR="00F42E07" w:rsidRPr="00725177" w:rsidRDefault="00F42E07" w:rsidP="00F42E07">
      <w:pPr>
        <w:pStyle w:val="paragraph"/>
        <w:spacing w:before="0" w:beforeAutospacing="0" w:after="0" w:afterAutospacing="0"/>
        <w:jc w:val="both"/>
        <w:textAlignment w:val="baseline"/>
        <w:rPr>
          <w:b/>
          <w:bCs/>
          <w:noProof/>
          <w:color w:val="000000" w:themeColor="text1"/>
          <w:sz w:val="22"/>
          <w:szCs w:val="22"/>
        </w:rPr>
      </w:pPr>
    </w:p>
    <w:p w14:paraId="2B3936F4" w14:textId="77777777" w:rsidR="005E02F9" w:rsidRPr="00301E8C" w:rsidRDefault="005E02F9" w:rsidP="005E02F9">
      <w:pPr>
        <w:rPr>
          <w:noProof/>
        </w:rPr>
      </w:pPr>
    </w:p>
    <w:p w14:paraId="2F709FBE" w14:textId="38FCA502" w:rsidR="005E02F9" w:rsidRPr="00301E8C" w:rsidRDefault="00FF58B1" w:rsidP="005E02F9">
      <w:pPr>
        <w:pStyle w:val="ListParagraph"/>
        <w:numPr>
          <w:ilvl w:val="1"/>
          <w:numId w:val="1"/>
        </w:numPr>
        <w:rPr>
          <w:noProof/>
        </w:rPr>
      </w:pPr>
      <w:r>
        <w:rPr>
          <w:noProof/>
        </w:rPr>
        <w:t xml:space="preserve">Cooperación en materia de aplicación de la ley </w:t>
      </w:r>
    </w:p>
    <w:p w14:paraId="578E7A53" w14:textId="77777777" w:rsidR="005E02F9" w:rsidRPr="00301E8C" w:rsidRDefault="005E02F9" w:rsidP="005E02F9">
      <w:pPr>
        <w:rPr>
          <w:noProof/>
        </w:rPr>
      </w:pPr>
    </w:p>
    <w:p w14:paraId="7450144C" w14:textId="77777777" w:rsidR="005E02F9" w:rsidRPr="00D23843" w:rsidRDefault="005E02F9" w:rsidP="005E02F9">
      <w:pPr>
        <w:pStyle w:val="paragraph"/>
        <w:numPr>
          <w:ilvl w:val="0"/>
          <w:numId w:val="3"/>
        </w:numPr>
        <w:spacing w:before="0" w:beforeAutospacing="0" w:after="0" w:afterAutospacing="0"/>
        <w:jc w:val="both"/>
        <w:textAlignment w:val="baseline"/>
        <w:rPr>
          <w:b/>
          <w:bCs/>
          <w:noProof/>
          <w:color w:val="000000" w:themeColor="text1"/>
          <w:sz w:val="22"/>
          <w:szCs w:val="22"/>
        </w:rPr>
      </w:pPr>
      <w:r>
        <w:rPr>
          <w:b/>
          <w:noProof/>
          <w:sz w:val="22"/>
        </w:rPr>
        <w:t>Introducción de mecanismos de coordinación eficaces entre los organismos estatales competentes y creación de un banco de datos común (dentro del sistema informático) que contemple el derecho de acceso directo de los funcionarios pertinentes.</w:t>
      </w:r>
    </w:p>
    <w:p w14:paraId="329D3EE3" w14:textId="77777777" w:rsidR="00D23843" w:rsidRPr="00725177" w:rsidRDefault="00D23843" w:rsidP="00D23843">
      <w:pPr>
        <w:pStyle w:val="paragraph"/>
        <w:spacing w:before="0" w:beforeAutospacing="0" w:after="0" w:afterAutospacing="0"/>
        <w:jc w:val="both"/>
        <w:textAlignment w:val="baseline"/>
        <w:rPr>
          <w:b/>
          <w:bCs/>
          <w:noProof/>
          <w:sz w:val="22"/>
          <w:szCs w:val="22"/>
        </w:rPr>
      </w:pPr>
    </w:p>
    <w:p w14:paraId="11F47D65" w14:textId="3BBB9EC7" w:rsidR="00A42886" w:rsidRDefault="00D23843" w:rsidP="00D23843">
      <w:pPr>
        <w:jc w:val="both"/>
        <w:rPr>
          <w:noProof/>
        </w:rPr>
      </w:pPr>
      <w:r>
        <w:rPr>
          <w:noProof/>
        </w:rPr>
        <w:t xml:space="preserve">Las autoridades policiales armenias tienen acceso a una gran variedad de fuentes de datos digitales que abarcan los datos policiales, el registro de la población, la migración, la gestión de fronteras y la cooperación internacional. Sin embargo, el acceso a estos datos y su utilización siguen estando fragmentados en los diversos sistemas, con una interoperabilidad limitada. El uso de los datos es predominantemente reactivo y se basa en casos concretos, con una escasa aplicación de enfoques proactivos o basados en la inteligencia. La insuficiente coordinación operativa y las deficiencias en la planificación operativa práctica siguen suponiendo un reto para los organismos de investigación armenios. </w:t>
      </w:r>
    </w:p>
    <w:p w14:paraId="74B9E931" w14:textId="77777777" w:rsidR="00A42886" w:rsidRDefault="00A42886" w:rsidP="00D23843">
      <w:pPr>
        <w:jc w:val="both"/>
        <w:rPr>
          <w:noProof/>
        </w:rPr>
      </w:pPr>
    </w:p>
    <w:p w14:paraId="48FDD0B5" w14:textId="62CAC2E8" w:rsidR="00D23843" w:rsidRDefault="00D23843" w:rsidP="00D23843">
      <w:pPr>
        <w:jc w:val="both"/>
        <w:rPr>
          <w:noProof/>
        </w:rPr>
      </w:pPr>
      <w:r>
        <w:rPr>
          <w:noProof/>
        </w:rPr>
        <w:t>La plena implantación del Registro Estatal de Población unificado (prevista para el 1 de enero de 2027) y la mayor interoperabilidad entre los sistemas de información, gracias al apoyo del nuevo Centro de Estadística e Investigación de la Delincuencia del Ministerio del Interior, permitirán seguir avanzando en este ámbito.</w:t>
      </w:r>
    </w:p>
    <w:p w14:paraId="38AC408B" w14:textId="77777777" w:rsidR="00A42886" w:rsidRPr="00A42886" w:rsidRDefault="00A42886" w:rsidP="00D23843">
      <w:pPr>
        <w:jc w:val="both"/>
        <w:rPr>
          <w:noProof/>
        </w:rPr>
      </w:pPr>
    </w:p>
    <w:p w14:paraId="2BC030DB" w14:textId="32C79097" w:rsidR="00D23843" w:rsidRPr="00A42886" w:rsidRDefault="00A42886" w:rsidP="00D23843">
      <w:pPr>
        <w:jc w:val="both"/>
        <w:rPr>
          <w:noProof/>
        </w:rPr>
      </w:pPr>
      <w:r>
        <w:rPr>
          <w:noProof/>
        </w:rPr>
        <w:t>La estrategia para las reformas judiciales y jurídicas 2022-2026 también establece planes para introducir un sistema electrónico de gestión de casos penales para la fase de instrucción de los procedimientos penales («causa penal electrónica»). Esta reforma constituirá un componente clave de los esfuerzos generales del Gobierno por modernizar el sistema de justicia penal y mejorar su eficiencia, transparencia y rendición de cuentas. Se prevé que el sistema electrónico de gestión de causas esté plenamente operativo en marzo de 2027.</w:t>
      </w:r>
    </w:p>
    <w:p w14:paraId="0485CA93" w14:textId="77777777" w:rsidR="00D23843" w:rsidRPr="00725177" w:rsidRDefault="00D23843" w:rsidP="00D23843">
      <w:pPr>
        <w:pStyle w:val="paragraph"/>
        <w:spacing w:before="0" w:beforeAutospacing="0" w:after="0" w:afterAutospacing="0"/>
        <w:jc w:val="both"/>
        <w:textAlignment w:val="baseline"/>
        <w:rPr>
          <w:b/>
          <w:bCs/>
          <w:noProof/>
          <w:color w:val="000000" w:themeColor="text1"/>
          <w:sz w:val="22"/>
          <w:szCs w:val="22"/>
        </w:rPr>
      </w:pPr>
    </w:p>
    <w:p w14:paraId="3F27AA96" w14:textId="77777777" w:rsidR="005E02F9" w:rsidRPr="00301E8C" w:rsidRDefault="005E02F9" w:rsidP="005E02F9">
      <w:pPr>
        <w:pStyle w:val="paragraph"/>
        <w:numPr>
          <w:ilvl w:val="0"/>
          <w:numId w:val="3"/>
        </w:numPr>
        <w:spacing w:before="0" w:beforeAutospacing="0" w:after="0" w:afterAutospacing="0"/>
        <w:jc w:val="both"/>
        <w:textAlignment w:val="baseline"/>
        <w:rPr>
          <w:b/>
          <w:bCs/>
          <w:noProof/>
          <w:color w:val="000000" w:themeColor="text1"/>
          <w:sz w:val="22"/>
          <w:szCs w:val="22"/>
        </w:rPr>
      </w:pPr>
      <w:r>
        <w:rPr>
          <w:b/>
          <w:noProof/>
          <w:sz w:val="22"/>
        </w:rPr>
        <w:t>Proseguir una cooperación estructurada eficaz mediante la aplicación del acuerdo de trabajo tanto con Europol (en particular a través de la conexión SIENA y el despliegue de un funcionario de enlace) como con la CEPOL, así como seguir participando activamente en proyectos regionales de desarrollo de capacidades en la zona de la Asociación Oriental.</w:t>
      </w:r>
    </w:p>
    <w:p w14:paraId="28703939" w14:textId="77777777" w:rsidR="005E02F9" w:rsidRDefault="005E02F9" w:rsidP="005E02F9">
      <w:pPr>
        <w:rPr>
          <w:b/>
          <w:bCs/>
          <w:noProof/>
        </w:rPr>
      </w:pPr>
    </w:p>
    <w:p w14:paraId="7AC0E76B" w14:textId="7FC27898" w:rsidR="005F46F8" w:rsidRPr="005F46F8" w:rsidRDefault="005F46F8" w:rsidP="005F46F8">
      <w:pPr>
        <w:jc w:val="both"/>
        <w:rPr>
          <w:noProof/>
        </w:rPr>
      </w:pPr>
      <w:r>
        <w:rPr>
          <w:noProof/>
        </w:rPr>
        <w:t>En septiembre de 2021, se firmó un acuerdo de trabajo entre la Policía armenia y Europol, que sentó las bases para los posteriores instrumentos de ejecución (el acuerdo de enlace y el memorando de entendimiento sobre la Red de Intercambio Seguro de Información, SIENA). Estos instrumentos entraron formalmente en vigor en mayo de 2024. Armenia ha nombrado a un funcionario de enlace con Europol cuyo despliegue efectivo se produjo en abril de 2026. Este despliegue reforzará las relaciones entre las autoridades policiales armenias, Europol y otros funcionarios de enlace de los socios de Europol.</w:t>
      </w:r>
    </w:p>
    <w:p w14:paraId="557AE769" w14:textId="77777777" w:rsidR="005F46F8" w:rsidRPr="005F46F8" w:rsidRDefault="005F46F8" w:rsidP="005F46F8">
      <w:pPr>
        <w:jc w:val="both"/>
        <w:rPr>
          <w:noProof/>
          <w:lang w:eastAsia="x-none"/>
        </w:rPr>
      </w:pPr>
    </w:p>
    <w:p w14:paraId="53EC577E" w14:textId="7E2CDCF9" w:rsidR="002554F9" w:rsidRDefault="005F46F8" w:rsidP="005F46F8">
      <w:pPr>
        <w:jc w:val="both"/>
        <w:rPr>
          <w:noProof/>
        </w:rPr>
      </w:pPr>
      <w:r>
        <w:rPr>
          <w:noProof/>
        </w:rPr>
        <w:t>La cooperación de Armenia con la CEPOL se basa en un acuerdo de trabajo firmado en abril de 2017. Este acuerdo de trabajo debe renovarse para tener en cuenta la legislación más reciente de la UE en materia de protección de datos. Desde la puesta en marcha por la CEPOL del programa TOPCOP para los socios orientales en 2020, los funcionarios de policía armenios han participado en numerosos cursos de formación sobre el tráfico ilícito de drogas, la trata de seres humanos, la migración irregular, la delincuencia organizada contra la propiedad, el fraude en línea y la ciberdelincuencia, así como en los programas de intercambio y mentoría de la CEPOL.</w:t>
      </w:r>
    </w:p>
    <w:p w14:paraId="7937E8AA" w14:textId="77777777" w:rsidR="002554F9" w:rsidRDefault="002554F9" w:rsidP="005F46F8">
      <w:pPr>
        <w:jc w:val="both"/>
        <w:rPr>
          <w:noProof/>
        </w:rPr>
      </w:pPr>
    </w:p>
    <w:p w14:paraId="36C39935" w14:textId="10317AAF" w:rsidR="005F46F8" w:rsidRPr="005F46F8" w:rsidRDefault="002554F9" w:rsidP="005F46F8">
      <w:pPr>
        <w:jc w:val="both"/>
        <w:rPr>
          <w:noProof/>
        </w:rPr>
      </w:pPr>
      <w:r>
        <w:rPr>
          <w:noProof/>
        </w:rPr>
        <w:t>El nombramiento de un coordinador nacional de la EMPACT dentro de la Policía armenia amplía significativamente las oportunidades de participación de Armenia en los marcos de cooperación operativa dirigidos por la UE.</w:t>
      </w:r>
    </w:p>
    <w:p w14:paraId="35116D76" w14:textId="77777777" w:rsidR="005E02F9" w:rsidRPr="00301E8C" w:rsidRDefault="005E02F9" w:rsidP="005E02F9">
      <w:pPr>
        <w:rPr>
          <w:noProof/>
        </w:rPr>
      </w:pPr>
    </w:p>
    <w:p w14:paraId="4DDB3F35" w14:textId="463F57F9" w:rsidR="005E6AF1" w:rsidRPr="00301E8C" w:rsidRDefault="00FF58B1" w:rsidP="005E6AF1">
      <w:pPr>
        <w:pStyle w:val="ListParagraph"/>
        <w:numPr>
          <w:ilvl w:val="1"/>
          <w:numId w:val="1"/>
        </w:numPr>
        <w:rPr>
          <w:noProof/>
        </w:rPr>
      </w:pPr>
      <w:r>
        <w:rPr>
          <w:noProof/>
        </w:rPr>
        <w:t>Protección de datos</w:t>
      </w:r>
      <w:r w:rsidR="00BA1D50">
        <w:rPr>
          <w:noProof/>
        </w:rPr>
        <w:t xml:space="preserve"> </w:t>
      </w:r>
    </w:p>
    <w:p w14:paraId="7CE8B7AA" w14:textId="77777777" w:rsidR="005E02F9" w:rsidRPr="00301E8C" w:rsidRDefault="005E02F9" w:rsidP="005E02F9">
      <w:pPr>
        <w:pStyle w:val="paragraph"/>
        <w:spacing w:before="0" w:beforeAutospacing="0" w:after="0" w:afterAutospacing="0"/>
        <w:jc w:val="both"/>
        <w:textAlignment w:val="baseline"/>
        <w:rPr>
          <w:noProof/>
          <w:sz w:val="22"/>
          <w:szCs w:val="22"/>
          <w:lang w:val="en-GB"/>
        </w:rPr>
      </w:pPr>
    </w:p>
    <w:p w14:paraId="06DAF903" w14:textId="65FCAA83" w:rsidR="005E02F9" w:rsidRPr="00CA723E" w:rsidRDefault="005E02F9" w:rsidP="005E02F9">
      <w:pPr>
        <w:pStyle w:val="paragraph"/>
        <w:numPr>
          <w:ilvl w:val="0"/>
          <w:numId w:val="3"/>
        </w:numPr>
        <w:spacing w:before="0" w:beforeAutospacing="0" w:after="0" w:afterAutospacing="0"/>
        <w:jc w:val="both"/>
        <w:textAlignment w:val="baseline"/>
        <w:rPr>
          <w:b/>
          <w:bCs/>
          <w:noProof/>
          <w:color w:val="000000" w:themeColor="text1"/>
          <w:sz w:val="22"/>
          <w:szCs w:val="22"/>
        </w:rPr>
      </w:pPr>
      <w:r>
        <w:rPr>
          <w:b/>
          <w:noProof/>
          <w:sz w:val="22"/>
        </w:rPr>
        <w:t>Consolidación de los marcos jurídicos e institucionales actualmente vigentes en el ámbito de la protección de datos personales y adaptación de estos a las normas internacionales y de la UE, en particular mediante la adopción de estatutos, instrucciones y reglamentos para regular los procesos, las operaciones y los procedimientos adecuados.</w:t>
      </w:r>
    </w:p>
    <w:p w14:paraId="40CF346B" w14:textId="77777777" w:rsidR="00CA723E" w:rsidRPr="00725177" w:rsidRDefault="00CA723E" w:rsidP="00CA723E">
      <w:pPr>
        <w:pStyle w:val="paragraph"/>
        <w:spacing w:before="0" w:beforeAutospacing="0" w:after="0" w:afterAutospacing="0"/>
        <w:jc w:val="both"/>
        <w:textAlignment w:val="baseline"/>
        <w:rPr>
          <w:b/>
          <w:bCs/>
          <w:noProof/>
          <w:sz w:val="22"/>
          <w:szCs w:val="22"/>
        </w:rPr>
      </w:pPr>
    </w:p>
    <w:p w14:paraId="7E1EB711" w14:textId="6B50FB64" w:rsidR="00CA723E" w:rsidRPr="00CA723E" w:rsidRDefault="00CA723E" w:rsidP="00CA723E">
      <w:pPr>
        <w:jc w:val="both"/>
        <w:rPr>
          <w:noProof/>
        </w:rPr>
      </w:pPr>
      <w:r>
        <w:rPr>
          <w:noProof/>
        </w:rPr>
        <w:t>La actual Ley armenia sobre protección de datos personales se aprobó en mayo de 2015. Tras su adopción, se promulgaron decretos gubernamentales para regular los aspectos técnicos y organizativos del tratamiento de datos personales. El programa del Gobierno para el período 2021-2026 reconoce la importancia estratégica de reforzar la protección de los datos personales y presenta medidas para mejorar el marco reglamentario e institucional en este ámbito. En la actualidad, el principal regulador nacional de protección de datos en Armenia es la Agencia de Protección de Datos Personales, que depende del Ministerio de Justicia.</w:t>
      </w:r>
    </w:p>
    <w:p w14:paraId="7B62020E" w14:textId="77777777" w:rsidR="00CA723E" w:rsidRPr="00CA723E" w:rsidRDefault="00CA723E" w:rsidP="00CA723E">
      <w:pPr>
        <w:jc w:val="both"/>
        <w:rPr>
          <w:noProof/>
          <w:lang w:eastAsia="x-none"/>
        </w:rPr>
      </w:pPr>
    </w:p>
    <w:p w14:paraId="095CE04D" w14:textId="044E8651" w:rsidR="000845C4" w:rsidRDefault="00EA5D72" w:rsidP="000845C4">
      <w:pPr>
        <w:jc w:val="both"/>
        <w:rPr>
          <w:noProof/>
        </w:rPr>
      </w:pPr>
      <w:r>
        <w:rPr>
          <w:noProof/>
        </w:rPr>
        <w:t xml:space="preserve">En octubre de 2025, el Gobierno aprobó un documento de reflexión en el que se establecían planes para crear una nueva autoridad independiente de protección de datos personales. Se espera que el marco institucional previsto para esta autoridad funcione sobre la base de una legislación reforzada y de prácticas reguladoras más modernas, facilitando así una mayor protección de los datos personales de los ciudadanos y mecanismos de ejecución más eficaces, en consonancia con los principios europeos de protección de datos. Está previsto que la nueva ley se apruebe en el Parlamento en el cuarto trimestre de 2026 y que la nueva Autoridad de Protección de Datos Personales se cree a mediados de 2027. </w:t>
      </w:r>
    </w:p>
    <w:p w14:paraId="18CA24FE" w14:textId="77777777" w:rsidR="000845C4" w:rsidRDefault="000845C4" w:rsidP="000845C4">
      <w:pPr>
        <w:jc w:val="both"/>
        <w:rPr>
          <w:noProof/>
        </w:rPr>
      </w:pPr>
    </w:p>
    <w:p w14:paraId="198F8C22" w14:textId="77777777" w:rsidR="005E02F9" w:rsidRPr="00D82976" w:rsidRDefault="005E02F9" w:rsidP="005E02F9">
      <w:pPr>
        <w:pStyle w:val="paragraph"/>
        <w:numPr>
          <w:ilvl w:val="0"/>
          <w:numId w:val="3"/>
        </w:numPr>
        <w:spacing w:before="0" w:beforeAutospacing="0" w:after="0" w:afterAutospacing="0"/>
        <w:jc w:val="both"/>
        <w:textAlignment w:val="baseline"/>
        <w:rPr>
          <w:b/>
          <w:bCs/>
          <w:noProof/>
          <w:color w:val="000000" w:themeColor="text1"/>
          <w:sz w:val="22"/>
          <w:szCs w:val="22"/>
        </w:rPr>
      </w:pPr>
      <w:r>
        <w:rPr>
          <w:b/>
          <w:noProof/>
          <w:sz w:val="22"/>
        </w:rPr>
        <w:t>Transposición a la legislación nacional de los convenios, protocolos y recomendaciones internacionales pertinentes, incluidos el Protocolo Adicional de 2001 al Convenio europeo para la protección de las personas con respecto al tratamiento automatizado de datos de carácter personal, a las Autoridades de control y a los flujos transfronterizos de datos (STE n.º 181), el Protocolo de 2018 por el que se modifica el Convenio para la protección de las personas con respecto al tratamiento automatizado de datos de carácter personal (STCE n.º 223) y la Recomendación n.º R(87) 15 del Comité de Ministros del Consejo de Europa por la que se regula el uso de datos personales en el ámbito policial.</w:t>
      </w:r>
    </w:p>
    <w:p w14:paraId="6B64D8F6" w14:textId="77777777" w:rsidR="00D82976" w:rsidRPr="00725177" w:rsidRDefault="00D82976" w:rsidP="00D82976">
      <w:pPr>
        <w:pStyle w:val="paragraph"/>
        <w:spacing w:before="0" w:beforeAutospacing="0" w:after="0" w:afterAutospacing="0"/>
        <w:jc w:val="both"/>
        <w:textAlignment w:val="baseline"/>
        <w:rPr>
          <w:b/>
          <w:bCs/>
          <w:noProof/>
          <w:sz w:val="22"/>
          <w:szCs w:val="22"/>
        </w:rPr>
      </w:pPr>
    </w:p>
    <w:p w14:paraId="2AC0491F" w14:textId="689B77BB" w:rsidR="002B2B7D" w:rsidRPr="002B2B7D" w:rsidRDefault="002B2B7D" w:rsidP="002B2B7D">
      <w:pPr>
        <w:jc w:val="both"/>
        <w:rPr>
          <w:noProof/>
        </w:rPr>
      </w:pPr>
      <w:r>
        <w:rPr>
          <w:noProof/>
        </w:rPr>
        <w:t xml:space="preserve">Armenia firmó y ratificó el Protocolo Adicional (STE n.º 181), que entró en vigor en septiembre de 2012. También firmó el «Convenio 108+» en octubre de 2019 y lo ratificó en enero de 2022. </w:t>
      </w:r>
    </w:p>
    <w:p w14:paraId="0A1EED11" w14:textId="77777777" w:rsidR="002B2B7D" w:rsidRPr="00725177" w:rsidRDefault="002B2B7D" w:rsidP="00D82976">
      <w:pPr>
        <w:pStyle w:val="paragraph"/>
        <w:spacing w:before="0" w:beforeAutospacing="0" w:after="0" w:afterAutospacing="0"/>
        <w:jc w:val="both"/>
        <w:textAlignment w:val="baseline"/>
        <w:rPr>
          <w:noProof/>
          <w:sz w:val="22"/>
          <w:szCs w:val="22"/>
        </w:rPr>
      </w:pPr>
    </w:p>
    <w:p w14:paraId="28A6E4D6" w14:textId="163753D6" w:rsidR="00D82976" w:rsidRDefault="00544ABE" w:rsidP="00D82976">
      <w:pPr>
        <w:pStyle w:val="paragraph"/>
        <w:spacing w:before="0" w:beforeAutospacing="0" w:after="0" w:afterAutospacing="0"/>
        <w:jc w:val="both"/>
        <w:textAlignment w:val="baseline"/>
        <w:rPr>
          <w:noProof/>
          <w:sz w:val="22"/>
          <w:szCs w:val="22"/>
        </w:rPr>
      </w:pPr>
      <w:r>
        <w:rPr>
          <w:noProof/>
          <w:sz w:val="22"/>
        </w:rPr>
        <w:t xml:space="preserve">Las autoridades armenias tienen la intención de adoptar modificaciones legislativas para garantizar que el marco nacional de protección de datos se armonice con las normas europeas más recientes y las buenas prácticas internacionales, incluidas las derivadas del Convenio 108+ del Consejo de Europa, sus protocolos y los instrumentos pertinentes del Consejo de Europa aplicables al sector de los cuerpos y fuerzas de seguridad. </w:t>
      </w:r>
    </w:p>
    <w:p w14:paraId="3F529ED6" w14:textId="77777777" w:rsidR="00D82976" w:rsidRPr="00725177" w:rsidRDefault="00D82976" w:rsidP="00D82976">
      <w:pPr>
        <w:pStyle w:val="paragraph"/>
        <w:spacing w:before="0" w:beforeAutospacing="0" w:after="0" w:afterAutospacing="0"/>
        <w:jc w:val="both"/>
        <w:textAlignment w:val="baseline"/>
        <w:rPr>
          <w:b/>
          <w:bCs/>
          <w:noProof/>
          <w:color w:val="000000" w:themeColor="text1"/>
          <w:sz w:val="22"/>
          <w:szCs w:val="22"/>
        </w:rPr>
      </w:pPr>
    </w:p>
    <w:p w14:paraId="32FFB5FD" w14:textId="77777777" w:rsidR="005E02F9" w:rsidRPr="00301E8C" w:rsidRDefault="005E02F9" w:rsidP="005E02F9">
      <w:pPr>
        <w:pStyle w:val="paragraph"/>
        <w:numPr>
          <w:ilvl w:val="0"/>
          <w:numId w:val="3"/>
        </w:numPr>
        <w:spacing w:before="0" w:beforeAutospacing="0" w:after="0" w:afterAutospacing="0"/>
        <w:jc w:val="both"/>
        <w:textAlignment w:val="baseline"/>
        <w:rPr>
          <w:b/>
          <w:bCs/>
          <w:noProof/>
          <w:color w:val="000000" w:themeColor="text1"/>
          <w:sz w:val="22"/>
          <w:szCs w:val="22"/>
        </w:rPr>
      </w:pPr>
      <w:r>
        <w:rPr>
          <w:b/>
          <w:noProof/>
          <w:sz w:val="22"/>
        </w:rPr>
        <w:t>Creación de una agencia independiente de control de la protección de datos personales con las competencias y obligaciones adecuadas.</w:t>
      </w:r>
    </w:p>
    <w:p w14:paraId="0CF3B80E" w14:textId="77777777" w:rsidR="005E02F9" w:rsidRDefault="005E02F9" w:rsidP="005E02F9">
      <w:pPr>
        <w:rPr>
          <w:b/>
          <w:bCs/>
          <w:noProof/>
        </w:rPr>
      </w:pPr>
    </w:p>
    <w:p w14:paraId="7801D048" w14:textId="50AC0FC8" w:rsidR="00402314" w:rsidRPr="00402314" w:rsidRDefault="00402314" w:rsidP="00402314">
      <w:pPr>
        <w:jc w:val="both"/>
        <w:rPr>
          <w:noProof/>
        </w:rPr>
      </w:pPr>
      <w:r>
        <w:rPr>
          <w:noProof/>
        </w:rPr>
        <w:t>La actual autoridad nacional armenia de protección de datos, la Agencia de Protección de Datos Personales, funciona como una subdivisión independiente dentro de la estructura del Ministerio de Justicia. Por lo tanto, no puede considerarse conforme con las exigencias y normas relativas a la independencia de una autoridad de control de la protección de datos.</w:t>
      </w:r>
    </w:p>
    <w:p w14:paraId="78A04753" w14:textId="77777777" w:rsidR="00402314" w:rsidRPr="00402314" w:rsidRDefault="00402314" w:rsidP="00402314">
      <w:pPr>
        <w:jc w:val="both"/>
        <w:rPr>
          <w:noProof/>
          <w:lang w:eastAsia="x-none"/>
        </w:rPr>
      </w:pPr>
    </w:p>
    <w:p w14:paraId="37DD2E05" w14:textId="07A3D344" w:rsidR="00402314" w:rsidRPr="00402314" w:rsidRDefault="004A3EE9" w:rsidP="00402314">
      <w:pPr>
        <w:jc w:val="both"/>
        <w:rPr>
          <w:noProof/>
        </w:rPr>
      </w:pPr>
      <w:r>
        <w:rPr>
          <w:noProof/>
        </w:rPr>
        <w:t xml:space="preserve">El documento de reflexión mencionado anteriormente y aprobado por el Gobierno en octubre de 2025 prevé la creación de una autoridad independiente de protección de datos personales. El modelo previsto es un órgano colegiado compuesto por tres comisarios, facultado para llevar a cabo procedimientos e investigaciones, adoptar medidas correctoras y proporcionar asesoramiento especializado a instituciones públicas y entidades privadas. </w:t>
      </w:r>
    </w:p>
    <w:p w14:paraId="6BAA7E03" w14:textId="77777777" w:rsidR="004A3EE9" w:rsidRDefault="004A3EE9" w:rsidP="00402314">
      <w:pPr>
        <w:jc w:val="both"/>
        <w:rPr>
          <w:noProof/>
        </w:rPr>
      </w:pPr>
    </w:p>
    <w:p w14:paraId="6EE76B8B" w14:textId="51B63E05" w:rsidR="00402314" w:rsidRPr="00402314" w:rsidRDefault="004A3EE9" w:rsidP="00402314">
      <w:pPr>
        <w:jc w:val="both"/>
        <w:rPr>
          <w:noProof/>
        </w:rPr>
      </w:pPr>
      <w:r>
        <w:rPr>
          <w:noProof/>
        </w:rPr>
        <w:t>El requisito de una autoridad independiente se deriva del Convenio 108 y del Convenio 108+, pero también de los compromisos adquiridos por Armenia, en particular en el contexto del Acuerdo firmado en abril de 2024 entre la UE y Armenia sobre la cooperación entre Eurojust y las autoridades armenias competentes en materia de cooperación judicial. Estos compromisos exigen que Armenia cree una autoridad independiente de protección de datos que disponga de recursos suficientes y esté dotada de competencias efectivas, y cuya independencia quede garantizada.</w:t>
      </w:r>
    </w:p>
    <w:p w14:paraId="5A02634F" w14:textId="2E3E4C6E" w:rsidR="5935EBAD" w:rsidRDefault="5935EBAD" w:rsidP="5935EBAD">
      <w:pPr>
        <w:jc w:val="both"/>
        <w:rPr>
          <w:noProof/>
        </w:rPr>
      </w:pPr>
    </w:p>
    <w:p w14:paraId="62AE8309" w14:textId="41256221" w:rsidR="55471282" w:rsidRDefault="55471282" w:rsidP="5935EBAD">
      <w:pPr>
        <w:jc w:val="both"/>
        <w:rPr>
          <w:noProof/>
        </w:rPr>
      </w:pPr>
      <w:r>
        <w:rPr>
          <w:noProof/>
        </w:rPr>
        <w:t xml:space="preserve">El mandato de la nueva Autoridad de Protección de Datos tendrá que distinguirse claramente del de la Agencia del Sistema de Información actualmente responsable de la gestión de los sistemas de información estatales y que está previsto que se transforme en un nuevo organismo, encargado de la ciberseguridad y la gestión de datos. </w:t>
      </w:r>
    </w:p>
    <w:p w14:paraId="7529CE48" w14:textId="77777777" w:rsidR="00402314" w:rsidRDefault="00402314" w:rsidP="00402314">
      <w:pPr>
        <w:jc w:val="both"/>
        <w:rPr>
          <w:noProof/>
          <w:lang w:eastAsia="x-none"/>
        </w:rPr>
      </w:pPr>
    </w:p>
    <w:p w14:paraId="5CC07789" w14:textId="10F4B320" w:rsidR="00982FA6" w:rsidRDefault="00982FA6" w:rsidP="00982FA6">
      <w:pPr>
        <w:jc w:val="both"/>
        <w:rPr>
          <w:noProof/>
        </w:rPr>
      </w:pPr>
      <w:r>
        <w:rPr>
          <w:noProof/>
        </w:rPr>
        <w:t>En vista de lo anterior, debe llevarse a cabo una evaluación exhaustiva del marco de protección de datos personales de Armenia en una fase posterior, tras la adopción y aplicación de las modificaciones legislativas previstas y la creación de la nueva Autoridad de Protección de Datos.</w:t>
      </w:r>
    </w:p>
    <w:p w14:paraId="354F1F12" w14:textId="77777777" w:rsidR="00982FA6" w:rsidRPr="00CA723E" w:rsidRDefault="00982FA6" w:rsidP="00982FA6">
      <w:pPr>
        <w:jc w:val="both"/>
        <w:rPr>
          <w:noProof/>
          <w:lang w:eastAsia="x-none"/>
        </w:rPr>
      </w:pPr>
    </w:p>
    <w:p w14:paraId="3980EF7C" w14:textId="77777777" w:rsidR="008418E6" w:rsidRDefault="008418E6" w:rsidP="009F2DA8">
      <w:pPr>
        <w:rPr>
          <w:noProof/>
        </w:rPr>
      </w:pPr>
    </w:p>
    <w:p w14:paraId="5B3415C0" w14:textId="3569DE46" w:rsidR="009F2DA8" w:rsidRPr="00301E8C" w:rsidRDefault="005E6AF1" w:rsidP="009F2DA8">
      <w:pPr>
        <w:rPr>
          <w:noProof/>
        </w:rPr>
      </w:pPr>
      <w:r>
        <w:rPr>
          <w:noProof/>
        </w:rPr>
        <w:t xml:space="preserve">Sobre la base de las conclusiones anteriores, se recomienda que, en relación con los criterios de referencia del bloque 3 relativos al </w:t>
      </w:r>
      <w:r>
        <w:rPr>
          <w:b/>
          <w:noProof/>
        </w:rPr>
        <w:t>orden público y a la seguridad</w:t>
      </w:r>
      <w:r>
        <w:rPr>
          <w:noProof/>
        </w:rPr>
        <w:t xml:space="preserve"> (primera fase), las autoridades armenias: </w:t>
      </w:r>
    </w:p>
    <w:p w14:paraId="6EBA4C23" w14:textId="77777777" w:rsidR="009F2DA8" w:rsidRDefault="009F2DA8" w:rsidP="005E6AF1">
      <w:pPr>
        <w:rPr>
          <w:noProof/>
        </w:rPr>
      </w:pPr>
    </w:p>
    <w:p w14:paraId="6EE4DC76" w14:textId="77777777" w:rsidR="00982FA6" w:rsidRPr="007D53E0" w:rsidRDefault="00982FA6" w:rsidP="00982FA6">
      <w:pPr>
        <w:rPr>
          <w:noProof/>
          <w:u w:val="single"/>
        </w:rPr>
      </w:pPr>
      <w:r>
        <w:rPr>
          <w:noProof/>
          <w:u w:val="single"/>
        </w:rPr>
        <w:t>Prevenir y combatir la delincuencia organizada</w:t>
      </w:r>
    </w:p>
    <w:p w14:paraId="2FD00D57" w14:textId="452747E4" w:rsidR="00982FA6" w:rsidRPr="007D53E0" w:rsidRDefault="00544ABE" w:rsidP="00982FA6">
      <w:pPr>
        <w:pStyle w:val="ListParagraph"/>
        <w:widowControl/>
        <w:numPr>
          <w:ilvl w:val="0"/>
          <w:numId w:val="5"/>
        </w:numPr>
        <w:autoSpaceDE/>
        <w:autoSpaceDN/>
        <w:jc w:val="both"/>
        <w:rPr>
          <w:rFonts w:cs="Calibri"/>
          <w:i/>
          <w:iCs/>
          <w:noProof/>
        </w:rPr>
      </w:pPr>
      <w:r>
        <w:rPr>
          <w:i/>
          <w:noProof/>
        </w:rPr>
        <w:t>adopten la estrategia de prevención de la delincuencia junto con su correspondiente plan de acción. Esta estrategia debe abordar tanto los aspectos de prevención como de represión, incluida la cooperación operativa entre las fuerzas y cuerpos de seguridad, y abarcar, en particular, la delincuencia organizada;</w:t>
      </w:r>
      <w:r w:rsidR="00BA1D50">
        <w:rPr>
          <w:i/>
          <w:noProof/>
        </w:rPr>
        <w:t xml:space="preserve"> </w:t>
      </w:r>
    </w:p>
    <w:p w14:paraId="5B9C7ED9" w14:textId="3CCF6362" w:rsidR="00982FA6" w:rsidRDefault="00CA0F46" w:rsidP="00982FA6">
      <w:pPr>
        <w:pStyle w:val="ListParagraph"/>
        <w:widowControl/>
        <w:numPr>
          <w:ilvl w:val="0"/>
          <w:numId w:val="5"/>
        </w:numPr>
        <w:autoSpaceDE/>
        <w:autoSpaceDN/>
        <w:jc w:val="both"/>
        <w:rPr>
          <w:rFonts w:cs="Calibri"/>
          <w:i/>
          <w:iCs/>
          <w:noProof/>
        </w:rPr>
      </w:pPr>
      <w:r>
        <w:rPr>
          <w:i/>
          <w:noProof/>
        </w:rPr>
        <w:t>sigan desarrollando capacidades analíticas sobre la delincuencia grave y organizada mediante la introducción de un modelo de funciones policiales basadas en la inteligencia, con vistas a establecer un marco fiable y exhaustivo de conocimiento de la situación, por ejemplo, una evaluación nacional de la amenaza de la delincuencia grave y organizada (SOCTA);</w:t>
      </w:r>
    </w:p>
    <w:p w14:paraId="508B20FC" w14:textId="7D11A314" w:rsidR="00F91E89" w:rsidRPr="007D6EF7" w:rsidRDefault="00CA0F46" w:rsidP="00F91E89">
      <w:pPr>
        <w:pStyle w:val="ListParagraph"/>
        <w:widowControl/>
        <w:numPr>
          <w:ilvl w:val="0"/>
          <w:numId w:val="5"/>
        </w:numPr>
        <w:autoSpaceDE/>
        <w:autoSpaceDN/>
        <w:jc w:val="both"/>
        <w:rPr>
          <w:rFonts w:cs="Calibri"/>
          <w:i/>
          <w:iCs/>
          <w:noProof/>
        </w:rPr>
      </w:pPr>
      <w:r>
        <w:rPr>
          <w:i/>
          <w:noProof/>
        </w:rPr>
        <w:t xml:space="preserve">apliquen el acuerdo de trabajo celebrado con Europol, en particular mediante el intercambio de información operativa a través de SIENA; </w:t>
      </w:r>
    </w:p>
    <w:p w14:paraId="50B759A2" w14:textId="6322B0D9" w:rsidR="00F91E89" w:rsidRPr="007D53E0" w:rsidRDefault="00CA0F46" w:rsidP="00F91E89">
      <w:pPr>
        <w:pStyle w:val="ListParagraph"/>
        <w:widowControl/>
        <w:numPr>
          <w:ilvl w:val="0"/>
          <w:numId w:val="5"/>
        </w:numPr>
        <w:autoSpaceDE/>
        <w:autoSpaceDN/>
        <w:jc w:val="both"/>
        <w:rPr>
          <w:rFonts w:cs="Calibri"/>
          <w:i/>
          <w:iCs/>
          <w:noProof/>
        </w:rPr>
      </w:pPr>
      <w:r>
        <w:rPr>
          <w:i/>
          <w:noProof/>
        </w:rPr>
        <w:t xml:space="preserve">creen grupos de trabajo operativos interinstitucionales para establecer, coordinar y aplicar periódicamente objetivos operativos comunes en todas las zonas afectadas por la delincuencia organizada; </w:t>
      </w:r>
    </w:p>
    <w:p w14:paraId="24F68D85" w14:textId="7E7E3594" w:rsidR="00F91E89" w:rsidRPr="007D6EF7" w:rsidRDefault="00CA0F46" w:rsidP="00F91E89">
      <w:pPr>
        <w:pStyle w:val="ListParagraph"/>
        <w:widowControl/>
        <w:numPr>
          <w:ilvl w:val="0"/>
          <w:numId w:val="5"/>
        </w:numPr>
        <w:autoSpaceDE/>
        <w:autoSpaceDN/>
        <w:jc w:val="both"/>
        <w:rPr>
          <w:rFonts w:cs="Calibri"/>
          <w:i/>
          <w:iCs/>
          <w:noProof/>
        </w:rPr>
      </w:pPr>
      <w:r>
        <w:rPr>
          <w:i/>
          <w:noProof/>
        </w:rPr>
        <w:t>creen y pongan en funcionamiento un organismo de recuperación de activos a través de procedimientos operativos normalizados claros, con un mandato bien definido, competencias suficientes y un acceso oportuno a la información pertinente;</w:t>
      </w:r>
    </w:p>
    <w:p w14:paraId="1DBB262C" w14:textId="35A1DEF4" w:rsidR="00982FA6" w:rsidRPr="007D53E0" w:rsidRDefault="00CA0F46" w:rsidP="00982FA6">
      <w:pPr>
        <w:pStyle w:val="ListParagraph"/>
        <w:widowControl/>
        <w:numPr>
          <w:ilvl w:val="0"/>
          <w:numId w:val="5"/>
        </w:numPr>
        <w:autoSpaceDE/>
        <w:autoSpaceDN/>
        <w:jc w:val="both"/>
        <w:rPr>
          <w:rFonts w:cs="Calibri"/>
          <w:i/>
          <w:iCs/>
          <w:noProof/>
        </w:rPr>
      </w:pPr>
      <w:r>
        <w:rPr>
          <w:i/>
          <w:noProof/>
        </w:rPr>
        <w:t>refuercen las capacidades para luchar contra la ciberdelincuencia, en particular mediante inversiones específicas en herramientas técnicas como la infraestructura informática y la criminalística digital;</w:t>
      </w:r>
    </w:p>
    <w:p w14:paraId="4C4A73CC" w14:textId="4E94C348" w:rsidR="007D53E0" w:rsidRDefault="00CA0F46" w:rsidP="00982FA6">
      <w:pPr>
        <w:pStyle w:val="ListParagraph"/>
        <w:widowControl/>
        <w:numPr>
          <w:ilvl w:val="0"/>
          <w:numId w:val="5"/>
        </w:numPr>
        <w:autoSpaceDE/>
        <w:autoSpaceDN/>
        <w:jc w:val="both"/>
        <w:rPr>
          <w:rFonts w:cs="Calibri"/>
          <w:i/>
          <w:iCs/>
          <w:noProof/>
        </w:rPr>
      </w:pPr>
      <w:r>
        <w:rPr>
          <w:i/>
          <w:noProof/>
        </w:rPr>
        <w:t>sigan abordando los riesgos relacionados con las operaciones con criptoactivos y el uso de criptoactivos en la comisión de delitos financieros;</w:t>
      </w:r>
    </w:p>
    <w:p w14:paraId="59587004" w14:textId="036D6196" w:rsidR="00C64829" w:rsidRPr="006020F5" w:rsidRDefault="00CA0F46" w:rsidP="00C64829">
      <w:pPr>
        <w:pStyle w:val="ListParagraph"/>
        <w:widowControl/>
        <w:numPr>
          <w:ilvl w:val="0"/>
          <w:numId w:val="5"/>
        </w:numPr>
        <w:autoSpaceDE/>
        <w:autoSpaceDN/>
        <w:jc w:val="both"/>
        <w:rPr>
          <w:rFonts w:cs="Calibri"/>
          <w:i/>
          <w:iCs/>
          <w:noProof/>
        </w:rPr>
      </w:pPr>
      <w:r>
        <w:rPr>
          <w:i/>
          <w:noProof/>
        </w:rPr>
        <w:t>destinen recursos adicionales para apoyar la ejecución de las actividades previstas en el plan de acción del plan estratégico para el período 2025-2027 sobre la lucha contra el uso no médico y el tráfico ilícito de estupefacientes y sustancias psicotrópicas.</w:t>
      </w:r>
    </w:p>
    <w:p w14:paraId="5BE06021" w14:textId="77777777" w:rsidR="00982FA6" w:rsidRPr="007D6EF7" w:rsidRDefault="00982FA6" w:rsidP="00982FA6">
      <w:pPr>
        <w:jc w:val="both"/>
        <w:rPr>
          <w:rFonts w:cs="Calibri"/>
          <w:i/>
          <w:iCs/>
          <w:noProof/>
        </w:rPr>
      </w:pPr>
    </w:p>
    <w:p w14:paraId="54A0CB1C" w14:textId="77777777" w:rsidR="000845C4" w:rsidRPr="007D6EF7" w:rsidRDefault="000845C4" w:rsidP="000845C4">
      <w:pPr>
        <w:jc w:val="both"/>
        <w:rPr>
          <w:i/>
          <w:iCs/>
          <w:noProof/>
          <w:u w:val="single"/>
        </w:rPr>
      </w:pPr>
      <w:r>
        <w:rPr>
          <w:i/>
          <w:noProof/>
          <w:u w:val="single"/>
        </w:rPr>
        <w:t>Lucha contra la corrupción</w:t>
      </w:r>
    </w:p>
    <w:p w14:paraId="173E8B95" w14:textId="2D16541A" w:rsidR="000845C4" w:rsidRPr="007D6EF7" w:rsidRDefault="00CA0F46" w:rsidP="000845C4">
      <w:pPr>
        <w:pStyle w:val="NormalWeb"/>
        <w:numPr>
          <w:ilvl w:val="0"/>
          <w:numId w:val="5"/>
        </w:numPr>
        <w:spacing w:beforeAutospacing="0" w:after="0" w:afterAutospacing="0" w:line="240" w:lineRule="auto"/>
        <w:jc w:val="both"/>
        <w:rPr>
          <w:i/>
          <w:iCs/>
          <w:noProof/>
          <w:color w:val="000000"/>
          <w:sz w:val="22"/>
          <w:szCs w:val="22"/>
        </w:rPr>
      </w:pPr>
      <w:r>
        <w:rPr>
          <w:i/>
          <w:noProof/>
          <w:color w:val="000000" w:themeColor="text1"/>
          <w:sz w:val="22"/>
        </w:rPr>
        <w:t>adopten una nueva estrategia nacional de lucha contra la corrupción que dé prioridad a los sectores más vulnerables a la corrupción mediante la integración de un marco sólido de evaluación de riesgos;</w:t>
      </w:r>
    </w:p>
    <w:p w14:paraId="2143EA27" w14:textId="1E30DA2B" w:rsidR="00845FAA" w:rsidRPr="007D6EF7" w:rsidRDefault="00CA0F46" w:rsidP="00845FAA">
      <w:pPr>
        <w:pStyle w:val="NormalWeb"/>
        <w:numPr>
          <w:ilvl w:val="0"/>
          <w:numId w:val="5"/>
        </w:numPr>
        <w:spacing w:beforeAutospacing="0" w:after="0" w:afterAutospacing="0" w:line="240" w:lineRule="auto"/>
        <w:jc w:val="both"/>
        <w:rPr>
          <w:i/>
          <w:iCs/>
          <w:noProof/>
          <w:color w:val="000000"/>
          <w:sz w:val="22"/>
          <w:szCs w:val="22"/>
        </w:rPr>
      </w:pPr>
      <w:r>
        <w:rPr>
          <w:i/>
          <w:noProof/>
          <w:color w:val="000000" w:themeColor="text1"/>
          <w:sz w:val="22"/>
        </w:rPr>
        <w:t xml:space="preserve">apliquen las modificaciones de la Ley sobre la Comisión de Prevención de la Corrupción y apliquen la metodología nacional para determinar los riesgos de corrupción, permitiendo así la introducción de medidas específicas de lucha contra la corrupción en función del riesgo en todas las instituciones públicas y las entidades pertinentes del sector privado; </w:t>
      </w:r>
    </w:p>
    <w:p w14:paraId="4B0F2093" w14:textId="207643D5" w:rsidR="000845C4" w:rsidRPr="007D6EF7" w:rsidRDefault="00CA0F46" w:rsidP="000845C4">
      <w:pPr>
        <w:pStyle w:val="NormalWeb"/>
        <w:numPr>
          <w:ilvl w:val="0"/>
          <w:numId w:val="5"/>
        </w:numPr>
        <w:spacing w:beforeAutospacing="0" w:after="0" w:afterAutospacing="0" w:line="240" w:lineRule="auto"/>
        <w:jc w:val="both"/>
        <w:rPr>
          <w:i/>
          <w:iCs/>
          <w:noProof/>
          <w:color w:val="000000"/>
          <w:sz w:val="22"/>
          <w:szCs w:val="22"/>
        </w:rPr>
      </w:pPr>
      <w:r>
        <w:rPr>
          <w:i/>
          <w:noProof/>
          <w:color w:val="000000" w:themeColor="text1"/>
          <w:sz w:val="22"/>
        </w:rPr>
        <w:t>doten a la Comisión de Prevención de la Corrupción de recursos financieros, humanos y técnicos suficientes y refuercen la aplicación de sus dictámenes sobre integridad;</w:t>
      </w:r>
    </w:p>
    <w:p w14:paraId="26F6A6EF" w14:textId="45182079" w:rsidR="00845FAA" w:rsidRPr="007D6EF7" w:rsidRDefault="00CA0F46" w:rsidP="000845C4">
      <w:pPr>
        <w:pStyle w:val="NormalWeb"/>
        <w:numPr>
          <w:ilvl w:val="0"/>
          <w:numId w:val="5"/>
        </w:numPr>
        <w:spacing w:beforeAutospacing="0" w:after="0" w:afterAutospacing="0" w:line="240" w:lineRule="auto"/>
        <w:jc w:val="both"/>
        <w:rPr>
          <w:i/>
          <w:iCs/>
          <w:noProof/>
          <w:color w:val="000000"/>
          <w:sz w:val="22"/>
          <w:szCs w:val="22"/>
        </w:rPr>
      </w:pPr>
      <w:r>
        <w:rPr>
          <w:i/>
          <w:noProof/>
          <w:color w:val="000000" w:themeColor="text1"/>
          <w:sz w:val="22"/>
        </w:rPr>
        <w:t xml:space="preserve">modernicen el sistema de declaración del patrimonio mediante la introducción de funciones automatizadas que permitan el cotejo sistemático con las bases de datos gubernamentales y financieras pertinentes. </w:t>
      </w:r>
    </w:p>
    <w:p w14:paraId="1D661246" w14:textId="6A37176A" w:rsidR="000845C4" w:rsidRPr="007D6EF7" w:rsidRDefault="00CA0F46" w:rsidP="000845C4">
      <w:pPr>
        <w:pStyle w:val="NormalWeb"/>
        <w:numPr>
          <w:ilvl w:val="0"/>
          <w:numId w:val="5"/>
        </w:numPr>
        <w:spacing w:beforeAutospacing="0" w:after="0" w:afterAutospacing="0" w:line="240" w:lineRule="auto"/>
        <w:jc w:val="both"/>
        <w:rPr>
          <w:i/>
          <w:iCs/>
          <w:noProof/>
          <w:color w:val="000000"/>
          <w:sz w:val="22"/>
          <w:szCs w:val="22"/>
        </w:rPr>
      </w:pPr>
      <w:r>
        <w:rPr>
          <w:i/>
          <w:noProof/>
          <w:color w:val="000000" w:themeColor="text1"/>
          <w:sz w:val="22"/>
        </w:rPr>
        <w:t>consoliden los códigos de conducta sectoriales;</w:t>
      </w:r>
    </w:p>
    <w:p w14:paraId="46269A0B" w14:textId="757D22AB" w:rsidR="000845C4" w:rsidRPr="007D6EF7" w:rsidRDefault="00CA0F46" w:rsidP="000845C4">
      <w:pPr>
        <w:pStyle w:val="NormalWeb"/>
        <w:numPr>
          <w:ilvl w:val="0"/>
          <w:numId w:val="5"/>
        </w:numPr>
        <w:spacing w:beforeAutospacing="0" w:after="0" w:afterAutospacing="0" w:line="240" w:lineRule="auto"/>
        <w:jc w:val="both"/>
        <w:rPr>
          <w:i/>
          <w:iCs/>
          <w:noProof/>
          <w:color w:val="000000"/>
          <w:sz w:val="22"/>
          <w:szCs w:val="22"/>
        </w:rPr>
      </w:pPr>
      <w:r>
        <w:rPr>
          <w:i/>
          <w:noProof/>
          <w:color w:val="000000" w:themeColor="text1"/>
          <w:sz w:val="22"/>
        </w:rPr>
        <w:t>aumenten la concienciación sobre la integridad en el sector público, en particular facilitando información y formación sistemáticas sobre los mecanismos de denuncia de irregularidades;</w:t>
      </w:r>
    </w:p>
    <w:p w14:paraId="2B8ADEAF" w14:textId="19547100" w:rsidR="007D6EF7" w:rsidRPr="007D6EF7" w:rsidRDefault="00CA0F46" w:rsidP="007D6EF7">
      <w:pPr>
        <w:pStyle w:val="NormalWeb"/>
        <w:numPr>
          <w:ilvl w:val="0"/>
          <w:numId w:val="5"/>
        </w:numPr>
        <w:spacing w:beforeAutospacing="0" w:after="0" w:afterAutospacing="0" w:line="240" w:lineRule="auto"/>
        <w:jc w:val="both"/>
        <w:rPr>
          <w:i/>
          <w:iCs/>
          <w:noProof/>
          <w:u w:val="single"/>
        </w:rPr>
      </w:pPr>
      <w:r>
        <w:rPr>
          <w:i/>
          <w:noProof/>
          <w:color w:val="000000" w:themeColor="text1"/>
          <w:sz w:val="22"/>
        </w:rPr>
        <w:t>aumenten las capacidades de la Oficina del Defensor de los Derechos Humanos para hacer cumplir su mandato de ejecutar sus obligaciones en materia de protección de los denunciantes de irregularidades;</w:t>
      </w:r>
    </w:p>
    <w:p w14:paraId="4307AC5E" w14:textId="79E844D9" w:rsidR="007D6EF7" w:rsidRPr="007D6EF7" w:rsidRDefault="00CA0F46" w:rsidP="000845C4">
      <w:pPr>
        <w:pStyle w:val="NormalWeb"/>
        <w:numPr>
          <w:ilvl w:val="0"/>
          <w:numId w:val="5"/>
        </w:numPr>
        <w:spacing w:beforeAutospacing="0" w:after="0" w:afterAutospacing="0" w:line="240" w:lineRule="auto"/>
        <w:jc w:val="both"/>
        <w:rPr>
          <w:i/>
          <w:iCs/>
          <w:noProof/>
          <w:color w:val="000000"/>
          <w:sz w:val="22"/>
          <w:szCs w:val="22"/>
        </w:rPr>
      </w:pPr>
      <w:r>
        <w:rPr>
          <w:i/>
          <w:noProof/>
          <w:color w:val="000000" w:themeColor="text1"/>
          <w:sz w:val="22"/>
        </w:rPr>
        <w:t>garanticen la aplicación efectiva de la nueva Ley de Integridad y Disciplina Policial y del Derecho derivado correspondiente;</w:t>
      </w:r>
    </w:p>
    <w:p w14:paraId="0F7739FD" w14:textId="29B6024B" w:rsidR="000845C4" w:rsidRPr="007D6EF7" w:rsidRDefault="00CA0F46" w:rsidP="000845C4">
      <w:pPr>
        <w:pStyle w:val="NormalWeb"/>
        <w:numPr>
          <w:ilvl w:val="0"/>
          <w:numId w:val="5"/>
        </w:numPr>
        <w:spacing w:beforeAutospacing="0" w:after="0" w:afterAutospacing="0" w:line="240" w:lineRule="auto"/>
        <w:jc w:val="both"/>
        <w:rPr>
          <w:i/>
          <w:iCs/>
          <w:noProof/>
          <w:color w:val="000000"/>
          <w:sz w:val="22"/>
          <w:szCs w:val="22"/>
        </w:rPr>
      </w:pPr>
      <w:r>
        <w:rPr>
          <w:i/>
          <w:noProof/>
          <w:color w:val="000000" w:themeColor="text1"/>
          <w:sz w:val="22"/>
        </w:rPr>
        <w:t xml:space="preserve">refuercen la capacidad operativa del recién creado Departamento de Seguridad Interior y Lucha contra la Corrupción del Ministerio del Interior; </w:t>
      </w:r>
    </w:p>
    <w:p w14:paraId="2845B7DF" w14:textId="1D6C88EC" w:rsidR="007D6EF7" w:rsidRPr="00AA7A9E" w:rsidRDefault="00CA0F46" w:rsidP="00982FA6">
      <w:pPr>
        <w:pStyle w:val="NormalWeb"/>
        <w:numPr>
          <w:ilvl w:val="0"/>
          <w:numId w:val="5"/>
        </w:numPr>
        <w:spacing w:beforeAutospacing="0" w:after="0" w:afterAutospacing="0" w:line="240" w:lineRule="auto"/>
        <w:jc w:val="both"/>
        <w:rPr>
          <w:i/>
          <w:iCs/>
          <w:noProof/>
          <w:u w:val="single"/>
        </w:rPr>
      </w:pPr>
      <w:r>
        <w:rPr>
          <w:i/>
          <w:noProof/>
          <w:color w:val="000000" w:themeColor="text1"/>
          <w:sz w:val="22"/>
        </w:rPr>
        <w:t>refuercen la coordinación estratégica y el intercambio de inteligencia entre las autoridades policiales, en particular mediante el establecimiento, bajo la coordinación del Comité Anticorrupción, de una estrategia operativa clara para combatir la corrupción de alto nivel.</w:t>
      </w:r>
    </w:p>
    <w:p w14:paraId="445C7BF1" w14:textId="77777777" w:rsidR="00AA7A9E" w:rsidRPr="007D6EF7" w:rsidRDefault="00AA7A9E" w:rsidP="00AA7A9E">
      <w:pPr>
        <w:pStyle w:val="NormalWeb"/>
        <w:spacing w:beforeAutospacing="0" w:after="0" w:afterAutospacing="0" w:line="240" w:lineRule="auto"/>
        <w:ind w:left="720"/>
        <w:jc w:val="both"/>
        <w:rPr>
          <w:i/>
          <w:iCs/>
          <w:noProof/>
          <w:u w:val="single"/>
        </w:rPr>
      </w:pPr>
    </w:p>
    <w:p w14:paraId="6C15E228" w14:textId="77777777" w:rsidR="00982FA6" w:rsidRPr="009D1023" w:rsidRDefault="00982FA6" w:rsidP="00982FA6">
      <w:pPr>
        <w:jc w:val="both"/>
        <w:rPr>
          <w:i/>
          <w:iCs/>
          <w:noProof/>
          <w:u w:val="single"/>
        </w:rPr>
      </w:pPr>
      <w:r>
        <w:rPr>
          <w:i/>
          <w:noProof/>
          <w:u w:val="single"/>
        </w:rPr>
        <w:t>Protección de datos</w:t>
      </w:r>
    </w:p>
    <w:p w14:paraId="02996F21" w14:textId="1C6AA105" w:rsidR="00982FA6" w:rsidRPr="002467B6" w:rsidRDefault="00CA0F46" w:rsidP="009D1023">
      <w:pPr>
        <w:pStyle w:val="ListParagraph"/>
        <w:widowControl/>
        <w:numPr>
          <w:ilvl w:val="0"/>
          <w:numId w:val="5"/>
        </w:numPr>
        <w:autoSpaceDE/>
        <w:autoSpaceDN/>
        <w:jc w:val="both"/>
        <w:rPr>
          <w:noProof/>
        </w:rPr>
      </w:pPr>
      <w:r>
        <w:rPr>
          <w:i/>
          <w:noProof/>
        </w:rPr>
        <w:t>establezcan y gestionen un marco sólido de protección de datos y creen una autoridad nacional de protección de datos independiente y plenamente operativa con un mandato jurídico claro, una gobernanza autónoma y recursos humanos, técnicos y financieros suficientes, en consonancia con las normas europeas e internacionales, en particular el Reglamento General de Protección de Datos de la UE, la Directiva sobre protección de datos en el ámbito penal, el Convenio 108+ y las orientaciones internacionales pertinentes;</w:t>
      </w:r>
    </w:p>
    <w:p w14:paraId="47331371" w14:textId="77777777" w:rsidR="002467B6" w:rsidRPr="009D1023" w:rsidRDefault="002467B6" w:rsidP="002467B6">
      <w:pPr>
        <w:pStyle w:val="ListParagraph"/>
        <w:widowControl/>
        <w:numPr>
          <w:ilvl w:val="0"/>
          <w:numId w:val="5"/>
        </w:numPr>
        <w:autoSpaceDE/>
        <w:autoSpaceDN/>
        <w:jc w:val="both"/>
        <w:rPr>
          <w:i/>
          <w:iCs/>
          <w:noProof/>
        </w:rPr>
      </w:pPr>
      <w:r>
        <w:rPr>
          <w:i/>
          <w:noProof/>
        </w:rPr>
        <w:t>garanticen la delimitación clara de competencias y responsabilidades entre la futura Autoridad de Protección de Datos y la Agencia del Sistema de Información, que está previsto que se encargue de la ciberseguridad y la gestión de datos en un futuro próximo.</w:t>
      </w:r>
    </w:p>
    <w:p w14:paraId="028C48D7" w14:textId="77777777" w:rsidR="005E6AF1" w:rsidRDefault="005E6AF1" w:rsidP="005E6AF1">
      <w:pPr>
        <w:rPr>
          <w:noProof/>
        </w:rPr>
      </w:pPr>
    </w:p>
    <w:p w14:paraId="723CF5DD" w14:textId="77777777" w:rsidR="00B337B1" w:rsidRPr="00301E8C" w:rsidRDefault="00B337B1" w:rsidP="005E6AF1">
      <w:pPr>
        <w:rPr>
          <w:noProof/>
        </w:rPr>
      </w:pPr>
    </w:p>
    <w:p w14:paraId="727856F0" w14:textId="394B1691" w:rsidR="00FF58B1" w:rsidRPr="00301E8C" w:rsidRDefault="005E6AF1" w:rsidP="00FF58B1">
      <w:pPr>
        <w:pStyle w:val="ListParagraph"/>
        <w:numPr>
          <w:ilvl w:val="0"/>
          <w:numId w:val="1"/>
        </w:numPr>
        <w:rPr>
          <w:noProof/>
        </w:rPr>
      </w:pPr>
      <w:r>
        <w:rPr>
          <w:noProof/>
        </w:rPr>
        <w:t>Bloque 4: Relaciones exteriores y derechos fundamentales</w:t>
      </w:r>
    </w:p>
    <w:p w14:paraId="250B57EF" w14:textId="21A19738" w:rsidR="005E02F9" w:rsidRPr="00301E8C" w:rsidRDefault="00FF58B1" w:rsidP="005E02F9">
      <w:pPr>
        <w:pStyle w:val="ListParagraph"/>
        <w:numPr>
          <w:ilvl w:val="1"/>
          <w:numId w:val="1"/>
        </w:numPr>
        <w:rPr>
          <w:noProof/>
        </w:rPr>
      </w:pPr>
      <w:r>
        <w:rPr>
          <w:noProof/>
        </w:rPr>
        <w:t>Libertad de circulación dentro de la República de Armenia</w:t>
      </w:r>
    </w:p>
    <w:p w14:paraId="3344897C" w14:textId="77777777" w:rsidR="005E02F9" w:rsidRPr="00301E8C" w:rsidRDefault="005E02F9" w:rsidP="005E02F9">
      <w:pPr>
        <w:rPr>
          <w:noProof/>
        </w:rPr>
      </w:pPr>
    </w:p>
    <w:p w14:paraId="1AE910D1" w14:textId="364F117A" w:rsidR="005E02F9" w:rsidRPr="00301E8C" w:rsidRDefault="1F072199" w:rsidP="6FAE1D23">
      <w:pPr>
        <w:pStyle w:val="paragraph"/>
        <w:numPr>
          <w:ilvl w:val="0"/>
          <w:numId w:val="3"/>
        </w:numPr>
        <w:spacing w:before="0" w:beforeAutospacing="0" w:after="0" w:afterAutospacing="0"/>
        <w:jc w:val="both"/>
        <w:textAlignment w:val="baseline"/>
        <w:rPr>
          <w:b/>
          <w:bCs/>
          <w:noProof/>
          <w:color w:val="000000" w:themeColor="text1"/>
          <w:sz w:val="22"/>
          <w:szCs w:val="22"/>
        </w:rPr>
      </w:pPr>
      <w:r>
        <w:rPr>
          <w:b/>
          <w:noProof/>
          <w:sz w:val="22"/>
        </w:rPr>
        <w:t>Mejora y consolidación del marco jurídico que regula el registro de ciudadanos extranjeros y apátridas que residen legalmente en el territorio de la República de Armenia.</w:t>
      </w:r>
    </w:p>
    <w:p w14:paraId="29C159C8" w14:textId="11AC531D" w:rsidR="6FAE1D23" w:rsidRPr="00725177" w:rsidRDefault="6FAE1D23" w:rsidP="6FAE1D23">
      <w:pPr>
        <w:pStyle w:val="paragraph"/>
        <w:spacing w:before="0" w:beforeAutospacing="0" w:after="0" w:afterAutospacing="0"/>
        <w:jc w:val="both"/>
        <w:rPr>
          <w:b/>
          <w:bCs/>
          <w:noProof/>
          <w:color w:val="000000" w:themeColor="text1"/>
          <w:sz w:val="22"/>
          <w:szCs w:val="22"/>
        </w:rPr>
      </w:pPr>
    </w:p>
    <w:p w14:paraId="5F946726" w14:textId="56C611E7" w:rsidR="4D573D90" w:rsidRDefault="4D573D90" w:rsidP="0BA56721">
      <w:pPr>
        <w:jc w:val="both"/>
        <w:rPr>
          <w:noProof/>
        </w:rPr>
      </w:pPr>
      <w:r>
        <w:rPr>
          <w:noProof/>
        </w:rPr>
        <w:t xml:space="preserve">La Ley sobre el Registro Estatal de Población revisada, adoptada en julio de 2025, modernizará y unificará el registro de población de Armenia y su marco jurídico. Esta Ley introduce un Registro Estatal de Población unificado, centralizado y digital que engloba a todas las personas que residen legalmente en Armenia, incluidos los nacionales extranjeros, los apátridas, los refugiados y los solicitantes de asilo </w:t>
      </w:r>
      <w:r>
        <w:rPr>
          <w:i/>
          <w:noProof/>
        </w:rPr>
        <w:t>(véase la sección 3 anterior)</w:t>
      </w:r>
      <w:r>
        <w:rPr>
          <w:noProof/>
        </w:rPr>
        <w:t>. Los nacionales extranjeros y los apátridas disfrutarán de los mismos derechos y estarán sujetos a las mismas obligaciones que los ciudadanos armenios en lo que respecta al registro de población y se les asignarán números para los servicios públicos de la misma manera que a los ciudadanos armenios. Está previsto que el nuevo registro digital empiece a funcionar el 1 de enero de 2027.</w:t>
      </w:r>
    </w:p>
    <w:p w14:paraId="4F8ACD0B" w14:textId="77777777" w:rsidR="005E02F9" w:rsidRPr="00301E8C" w:rsidRDefault="005E02F9" w:rsidP="005E02F9">
      <w:pPr>
        <w:rPr>
          <w:noProof/>
        </w:rPr>
      </w:pPr>
    </w:p>
    <w:p w14:paraId="5A901037" w14:textId="541AAA41" w:rsidR="00FF58B1" w:rsidRPr="00301E8C" w:rsidRDefault="00FF58B1" w:rsidP="00FF58B1">
      <w:pPr>
        <w:pStyle w:val="ListParagraph"/>
        <w:numPr>
          <w:ilvl w:val="1"/>
          <w:numId w:val="1"/>
        </w:numPr>
        <w:rPr>
          <w:noProof/>
        </w:rPr>
      </w:pPr>
      <w:r>
        <w:rPr>
          <w:noProof/>
        </w:rPr>
        <w:t xml:space="preserve">Condiciones y procedimientos para la expedición de documentos de viaje e identidad </w:t>
      </w:r>
    </w:p>
    <w:p w14:paraId="2A6FE8C3" w14:textId="77777777" w:rsidR="005E02F9" w:rsidRPr="00301E8C" w:rsidRDefault="005E02F9" w:rsidP="005E02F9">
      <w:pPr>
        <w:rPr>
          <w:noProof/>
        </w:rPr>
      </w:pPr>
    </w:p>
    <w:p w14:paraId="4EC688D1" w14:textId="77777777" w:rsidR="005E02F9" w:rsidRPr="00301E8C" w:rsidRDefault="1F072199" w:rsidP="6FAE1D23">
      <w:pPr>
        <w:pStyle w:val="paragraph"/>
        <w:numPr>
          <w:ilvl w:val="0"/>
          <w:numId w:val="3"/>
        </w:numPr>
        <w:spacing w:before="0" w:beforeAutospacing="0" w:after="0" w:afterAutospacing="0"/>
        <w:jc w:val="both"/>
        <w:textAlignment w:val="baseline"/>
        <w:rPr>
          <w:b/>
          <w:bCs/>
          <w:noProof/>
          <w:color w:val="000000" w:themeColor="text1"/>
          <w:sz w:val="22"/>
          <w:szCs w:val="22"/>
        </w:rPr>
      </w:pPr>
      <w:r>
        <w:rPr>
          <w:b/>
          <w:noProof/>
          <w:sz w:val="22"/>
        </w:rPr>
        <w:t>Consolidación de los marcos jurídicos e institucionales que garanticen la creación de un sistema eficaz y plenamente operativo para la expedición de documentos de viaje e identidad sin ningún tipo de discriminación, en particular para las mujeres, los niños, las personas con discapacidad, las personas desplazadas, las personas pertenecientes a minorías o las personas en situación vulnerable.</w:t>
      </w:r>
    </w:p>
    <w:p w14:paraId="7644D313" w14:textId="2ECDB9B6" w:rsidR="6FAE1D23" w:rsidRPr="00725177" w:rsidRDefault="6FAE1D23" w:rsidP="6FAE1D23">
      <w:pPr>
        <w:pStyle w:val="paragraph"/>
        <w:spacing w:before="0" w:beforeAutospacing="0" w:after="0" w:afterAutospacing="0"/>
        <w:jc w:val="both"/>
        <w:rPr>
          <w:b/>
          <w:bCs/>
          <w:noProof/>
          <w:color w:val="000000" w:themeColor="text1"/>
          <w:sz w:val="22"/>
          <w:szCs w:val="22"/>
        </w:rPr>
      </w:pPr>
    </w:p>
    <w:p w14:paraId="09342355" w14:textId="389C15BC" w:rsidR="0AAA38C3" w:rsidRDefault="0AAA38C3" w:rsidP="6FAE1D23">
      <w:pPr>
        <w:jc w:val="both"/>
        <w:rPr>
          <w:noProof/>
        </w:rPr>
      </w:pPr>
      <w:r>
        <w:rPr>
          <w:noProof/>
        </w:rPr>
        <w:t xml:space="preserve">La nueva Ley unificada sobre documentos de identidad, que se está ultimando actualmente, se ha elaborado de conformidad con el principio de no discriminación. Esta ley establecerá un marco jurídico coherente e inclusivo que regulará la expedición y el uso de todos los documentos de identidad en Armenia a partir del otoño de 2026 </w:t>
      </w:r>
      <w:r>
        <w:rPr>
          <w:i/>
          <w:noProof/>
        </w:rPr>
        <w:t>(véase la sección 4 anterior</w:t>
      </w:r>
      <w:r>
        <w:rPr>
          <w:noProof/>
        </w:rPr>
        <w:t>). Estos documentos se ajustarán plenamente a las normas de la OACI.</w:t>
      </w:r>
      <w:r w:rsidR="00BA1D50">
        <w:rPr>
          <w:noProof/>
        </w:rPr>
        <w:t xml:space="preserve"> </w:t>
      </w:r>
    </w:p>
    <w:p w14:paraId="3AD719BA" w14:textId="7E146D89" w:rsidR="6FAE1D23" w:rsidRDefault="6FAE1D23" w:rsidP="6FAE1D23">
      <w:pPr>
        <w:jc w:val="both"/>
        <w:rPr>
          <w:noProof/>
        </w:rPr>
      </w:pPr>
    </w:p>
    <w:p w14:paraId="2F34DD86" w14:textId="009E4BD6" w:rsidR="7967FCF7" w:rsidRDefault="7967FCF7" w:rsidP="6FAE1D23">
      <w:pPr>
        <w:jc w:val="both"/>
        <w:rPr>
          <w:noProof/>
        </w:rPr>
      </w:pPr>
      <w:r>
        <w:rPr>
          <w:noProof/>
        </w:rPr>
        <w:t>Las nuevas oficinas centrales para la expedición de documentos de identidad, que está previsto renovar por completo, están diseñadas para ser plenamente accesibles para las personas con discapacidad. Sin embargo, muchas de las oficinas descentralizadas no son en este momento accesibles para las personas con discapacidad. Además, los procedimientos actuales obstaculizan el pleno acceso a los servicios del estado civil y de documentación para las personas con discapacidad psicosocial o intelectual, lo que corre el riesgo de excluir a las personas vulnerables y marginadas del acceso efectivo a la documentación de identidad.</w:t>
      </w:r>
    </w:p>
    <w:p w14:paraId="144EEF41" w14:textId="5B95ED19" w:rsidR="6FAE1D23" w:rsidRDefault="6FAE1D23" w:rsidP="6FAE1D23">
      <w:pPr>
        <w:jc w:val="both"/>
        <w:rPr>
          <w:noProof/>
        </w:rPr>
      </w:pPr>
    </w:p>
    <w:p w14:paraId="5C1FFDF3" w14:textId="5468056C" w:rsidR="00FF58B1" w:rsidRPr="00301E8C" w:rsidRDefault="00FF58B1" w:rsidP="00FF58B1">
      <w:pPr>
        <w:pStyle w:val="ListParagraph"/>
        <w:numPr>
          <w:ilvl w:val="1"/>
          <w:numId w:val="1"/>
        </w:numPr>
        <w:rPr>
          <w:noProof/>
        </w:rPr>
      </w:pPr>
      <w:r>
        <w:rPr>
          <w:noProof/>
        </w:rPr>
        <w:t>Derechos de los ciudadanos, incluida la protección de las minorías</w:t>
      </w:r>
    </w:p>
    <w:p w14:paraId="4ADE246A" w14:textId="77777777" w:rsidR="005E02F9" w:rsidRPr="00301E8C" w:rsidRDefault="005E02F9" w:rsidP="005E02F9">
      <w:pPr>
        <w:rPr>
          <w:noProof/>
        </w:rPr>
      </w:pPr>
    </w:p>
    <w:p w14:paraId="2DDDE865" w14:textId="77777777" w:rsidR="005E02F9" w:rsidRPr="00C53A03" w:rsidRDefault="005E02F9" w:rsidP="005E02F9">
      <w:pPr>
        <w:pStyle w:val="paragraph"/>
        <w:numPr>
          <w:ilvl w:val="0"/>
          <w:numId w:val="3"/>
        </w:numPr>
        <w:spacing w:before="0" w:beforeAutospacing="0" w:after="0" w:afterAutospacing="0"/>
        <w:jc w:val="both"/>
        <w:textAlignment w:val="baseline"/>
        <w:rPr>
          <w:b/>
          <w:bCs/>
          <w:noProof/>
          <w:color w:val="000000" w:themeColor="text1"/>
          <w:sz w:val="22"/>
          <w:szCs w:val="22"/>
        </w:rPr>
      </w:pPr>
      <w:r>
        <w:rPr>
          <w:b/>
          <w:noProof/>
          <w:sz w:val="22"/>
        </w:rPr>
        <w:t>Adopción de una ley general contra la discriminación, tal como recomiendan los organismos de control de las Naciones Unidas y del Consejo de Europa, destinada a promover la igualdad y garantizar una protección eficaz contra la discriminación, lo que incluye la creación de un organismo específico para la igualdad.</w:t>
      </w:r>
    </w:p>
    <w:p w14:paraId="197530CD" w14:textId="77777777" w:rsidR="00C53A03" w:rsidRPr="00725177" w:rsidRDefault="00C53A03" w:rsidP="0BA56721">
      <w:pPr>
        <w:pStyle w:val="paragraph"/>
        <w:spacing w:before="0" w:beforeAutospacing="0" w:after="0" w:afterAutospacing="0"/>
        <w:ind w:left="360"/>
        <w:jc w:val="both"/>
        <w:textAlignment w:val="baseline"/>
        <w:rPr>
          <w:b/>
          <w:bCs/>
          <w:noProof/>
          <w:color w:val="000000" w:themeColor="text1"/>
          <w:sz w:val="22"/>
          <w:szCs w:val="22"/>
        </w:rPr>
      </w:pPr>
    </w:p>
    <w:p w14:paraId="0547B8CE" w14:textId="66FA54B3" w:rsidR="18A7DDE4" w:rsidRDefault="18A7DDE4" w:rsidP="0BA56721">
      <w:pPr>
        <w:jc w:val="both"/>
        <w:rPr>
          <w:noProof/>
        </w:rPr>
      </w:pPr>
      <w:r>
        <w:rPr>
          <w:noProof/>
        </w:rPr>
        <w:t xml:space="preserve">El Gobierno de Armenia está preparando un proyecto de Ley de prevención y protección contra la discriminación. Según la información recibida de las autoridades armenias, su objetivo es prevenir la discriminación y garantizar la igualdad de trato y la igualdad de oportunidades en el ejercicio de los derechos, las libertades y las obligaciones de todas las personas, así como prevenir la discriminación de conformidad con las normas internacionales. Definirá la discriminación y sus diversas formas y establecerá una lista de características protegidas. </w:t>
      </w:r>
    </w:p>
    <w:p w14:paraId="740FB643" w14:textId="77777777" w:rsidR="00D576E2" w:rsidRDefault="00D576E2" w:rsidP="0BA56721">
      <w:pPr>
        <w:jc w:val="both"/>
        <w:rPr>
          <w:noProof/>
        </w:rPr>
      </w:pPr>
    </w:p>
    <w:p w14:paraId="7CE1C1F3" w14:textId="35A3844F" w:rsidR="00B082FF" w:rsidRDefault="00B082FF" w:rsidP="00E20AE9">
      <w:pPr>
        <w:jc w:val="both"/>
        <w:rPr>
          <w:noProof/>
        </w:rPr>
      </w:pPr>
      <w:r>
        <w:rPr>
          <w:noProof/>
        </w:rPr>
        <w:t xml:space="preserve"> En el marco institucional previsto, el Defensor de los Derechos Humanos de Armenia asumiría el papel del organismo de igualdad. Su mandato incluiría la supervisión del cumplimiento de la legislación contra la discriminación y la promoción de la igualdad de trato, la prevención de las violaciones del derecho a no ser objeto de discriminación y la protección de los derechos de las víctimas de discriminación. </w:t>
      </w:r>
    </w:p>
    <w:p w14:paraId="14D4F1EC" w14:textId="6B495649" w:rsidR="00B082FF" w:rsidRDefault="00B082FF" w:rsidP="0BA56721">
      <w:pPr>
        <w:jc w:val="both"/>
        <w:rPr>
          <w:noProof/>
        </w:rPr>
      </w:pPr>
    </w:p>
    <w:p w14:paraId="3529315A" w14:textId="77777777" w:rsidR="005E02F9" w:rsidRPr="00847FD1" w:rsidRDefault="1F072199" w:rsidP="6FAE1D23">
      <w:pPr>
        <w:pStyle w:val="paragraph"/>
        <w:numPr>
          <w:ilvl w:val="0"/>
          <w:numId w:val="3"/>
        </w:numPr>
        <w:spacing w:before="0" w:beforeAutospacing="0" w:after="0" w:afterAutospacing="0"/>
        <w:jc w:val="both"/>
        <w:textAlignment w:val="baseline"/>
        <w:rPr>
          <w:b/>
          <w:bCs/>
          <w:noProof/>
          <w:color w:val="000000" w:themeColor="text1"/>
          <w:sz w:val="22"/>
          <w:szCs w:val="22"/>
        </w:rPr>
      </w:pPr>
      <w:r>
        <w:rPr>
          <w:b/>
          <w:noProof/>
          <w:sz w:val="22"/>
        </w:rPr>
        <w:t>Firma, ratificación y transposición a la legislación nacional de los documentos jurídicos pertinentes de las Naciones Unidas y del Consejo de Europa que promueven la igualdad y abordan la lucha contra la discriminación, teniendo en cuenta las disposiciones de la Convención de las Naciones Unidas sobre el Estatuto de los Apátridas y las recomendaciones permanentes del Consejo de Europa relativas a la Carta Europea de las Lenguas Regionales o Minoritarias. Consolidación de las políticas para garantizar la inclusión socioeconómica de las personas desplazadas.</w:t>
      </w:r>
    </w:p>
    <w:p w14:paraId="12871AD0" w14:textId="6D03D220" w:rsidR="6FAE1D23" w:rsidRDefault="6FAE1D23" w:rsidP="6FAE1D23">
      <w:pPr>
        <w:jc w:val="both"/>
        <w:rPr>
          <w:noProof/>
        </w:rPr>
      </w:pPr>
    </w:p>
    <w:p w14:paraId="6F97A82B" w14:textId="2C835663" w:rsidR="7BFB6BAC" w:rsidRDefault="7BFB6BAC" w:rsidP="6FAE1D23">
      <w:pPr>
        <w:jc w:val="both"/>
        <w:rPr>
          <w:noProof/>
        </w:rPr>
      </w:pPr>
      <w:r>
        <w:rPr>
          <w:noProof/>
        </w:rPr>
        <w:t xml:space="preserve">Armenia es parte de pleno derecho de la Convención de las Naciones Unidas sobre el Estatuto de los Refugiados de 1951 y su Protocolo de 1967, la Convención sobre el Estatuto de los Apátridas de 1954 y la Convención para Reducir los Casos de Apatridia de 1961. Estos instrumentos obligan jurídicamente a Armenia a garantizar a los desplazados y apátridas derechos como el acceso al trabajo, a la vivienda, a la educación, a la asistencia social y a disponer de documentos de identidad. Actualmente se está ultimando el proyecto de Ley de Apátridas. Este regula el procedimiento para determinar el estatuto de apátrida en Armenia, rige los procedimientos de expulsión y aborda cuestiones relacionadas con la documentación de conformidad con los tratados internacionales ratificados por Armenia. El proyecto de ley garantiza los derechos, las libertades y las obligaciones de los apátridas en consonancia con las convenciones de las Naciones Unidas. A lo largo de todo el procedimiento establecido en el proyecto, se respetan explícitamente los principios del interés superior del menor, la no discriminación, el respeto de los derechos fundamentales y el cumplimiento de las normas internacionales. </w:t>
      </w:r>
    </w:p>
    <w:p w14:paraId="11B61024" w14:textId="44C52702" w:rsidR="6FAE1D23" w:rsidRDefault="6FAE1D23" w:rsidP="6FAE1D23">
      <w:pPr>
        <w:jc w:val="both"/>
        <w:rPr>
          <w:noProof/>
        </w:rPr>
      </w:pPr>
    </w:p>
    <w:p w14:paraId="05165A87" w14:textId="65682F09" w:rsidR="4A43A655" w:rsidRDefault="4A43A655" w:rsidP="6FAE1D23">
      <w:pPr>
        <w:jc w:val="both"/>
        <w:rPr>
          <w:noProof/>
        </w:rPr>
      </w:pPr>
      <w:r>
        <w:rPr>
          <w:noProof/>
        </w:rPr>
        <w:t xml:space="preserve">El Gobierno de Armenia ha elaborado un proyecto de Ley sobre las minorías nacionales, que aún no ha sido aprobado por el Parlamento. Su objetivo es garantizar la protección de los derechos de las minorías nacionales y promover su integración de conformidad con las normas internacionales. El proyecto de ley aspira a adaptar la legislación de Armenia al Convenio Marco del Consejo de Europa para la Protección de las Minorías Nacionales y a la Carta Europea de las Lenguas Regionales o Minoritarias. A raíz de las recomendaciones formuladas en un dictamen conjunto del Consejo de Europa y la Comisión de Venecia en 2024, el proyecto se sometió a amplias consultas públicas. El proyecto de ley garantiza el derecho de las minorías nacionales a preservar y desarrollar sus tradiciones, su lengua y su cultura. Hace hincapié en la importancia del diálogo intercultural y el libre uso de las lenguas minoritarias en la educación pública. También establece las responsabilidades de los organismos de autogobierno estatal y local con respecto a las minorías nacionales, como la obligación de facilitar su participación en los procesos de toma de decisiones. </w:t>
      </w:r>
    </w:p>
    <w:p w14:paraId="2CA8B122" w14:textId="6BCF8C47" w:rsidR="6FAE1D23" w:rsidRDefault="6FAE1D23" w:rsidP="6FAE1D23">
      <w:pPr>
        <w:jc w:val="both"/>
        <w:rPr>
          <w:noProof/>
        </w:rPr>
      </w:pPr>
    </w:p>
    <w:p w14:paraId="4F494ED2" w14:textId="15FB7C4D" w:rsidR="0DE44E13" w:rsidRDefault="0DE44E13" w:rsidP="6FAE1D23">
      <w:pPr>
        <w:jc w:val="both"/>
        <w:rPr>
          <w:noProof/>
        </w:rPr>
      </w:pPr>
      <w:r>
        <w:rPr>
          <w:noProof/>
        </w:rPr>
        <w:t>Armenia ha firmado el Convenio del Consejo de Europa sobre prevención y lucha contra la violencia contra las mujeres y la violencia doméstica, aunque todavía no lo ha ratificado. El país ha avanzado en la adaptación de su legislación y sus políticas nacionales a los requisitos del Convenio.</w:t>
      </w:r>
    </w:p>
    <w:p w14:paraId="0B392585" w14:textId="786F9B2E" w:rsidR="0BA56721" w:rsidRDefault="0BA56721" w:rsidP="0BA56721">
      <w:pPr>
        <w:jc w:val="both"/>
        <w:rPr>
          <w:noProof/>
        </w:rPr>
      </w:pPr>
    </w:p>
    <w:p w14:paraId="187759AA" w14:textId="23CDD997" w:rsidR="59DB9433" w:rsidRDefault="59DB9433" w:rsidP="0BA56721">
      <w:pPr>
        <w:jc w:val="both"/>
        <w:rPr>
          <w:noProof/>
        </w:rPr>
      </w:pPr>
      <w:r>
        <w:rPr>
          <w:noProof/>
        </w:rPr>
        <w:t xml:space="preserve">Los marcos jurídicos e institucionales para la protección de la infancia en Armenia han ido mejorando gradualmente. La Ley sobre los Derechos del Niño y el Sistema de Protección de la Infancia, adoptada en octubre de 2025, introduce definiciones jurídicas de abuso, acoso, explotación y abandono de menores y pretende establecer un marco global para la protección de los derechos del menor. Paralelamente, el proyecto de programa sobre la protección de los derechos del menor para el período 2024-2029 (que aún está pendiente de aprobación por el Gobierno) y la estrategia demográfica para el período 2024-2040 (aprobada en octubre de 2024) amplían el ámbito de aplicación de las políticas de protección de la infancia a todos los niños, ya que van más allá de la atención que se prestaba anteriormente, limitada únicamente a los niños en situaciones vulnerables. Las reformas propuestas dan prioridad al acogimiento por familiares y a la colocación en hogares de guarda frente a la institucionalización, reconocen a los menores testigos de violencia doméstica como víctimas y refuerzan la protección laboral de los menores. </w:t>
      </w:r>
    </w:p>
    <w:p w14:paraId="6C49873A" w14:textId="73F611CC" w:rsidR="59DB9433" w:rsidRDefault="59DB9433" w:rsidP="0BA56721">
      <w:pPr>
        <w:jc w:val="both"/>
        <w:rPr>
          <w:noProof/>
        </w:rPr>
      </w:pPr>
      <w:r>
        <w:rPr>
          <w:noProof/>
        </w:rPr>
        <w:t xml:space="preserve"> </w:t>
      </w:r>
    </w:p>
    <w:p w14:paraId="75E51F08" w14:textId="0A97CFB7" w:rsidR="50ABDBAE" w:rsidRDefault="50ABDBAE" w:rsidP="0BA56721">
      <w:pPr>
        <w:jc w:val="both"/>
        <w:rPr>
          <w:noProof/>
        </w:rPr>
      </w:pPr>
      <w:r>
        <w:rPr>
          <w:noProof/>
        </w:rPr>
        <w:t>La protección contra la explotación y el abuso sexual de menores se reforzó aún más tras la ratificación por parte de Armenia, en 2020, del Convenio del Consejo de Europa para la protección de los niños contra la explotación y el abuso sexual. Este paso estableció una base jurídica más clara para combatir la explotación y al abuso sexual de menores. Otros avances requerirían la adopción de una estrategia para la prevención y la lucha contra el abuso y la explotación sexual de menores, así como la creación de mecanismos de denuncia accesibles, confidenciales y adaptados a los menores para que estos denuncien de forma segura la violencia y los abusos.</w:t>
      </w:r>
    </w:p>
    <w:p w14:paraId="702B89F5" w14:textId="125D9C9C" w:rsidR="6FAE1D23" w:rsidRDefault="6FAE1D23" w:rsidP="6FAE1D23">
      <w:pPr>
        <w:jc w:val="both"/>
        <w:rPr>
          <w:noProof/>
        </w:rPr>
      </w:pPr>
    </w:p>
    <w:p w14:paraId="05C682B7" w14:textId="330F77CA" w:rsidR="0B01A5CB" w:rsidRDefault="00E20AE9" w:rsidP="0BA56721">
      <w:pPr>
        <w:jc w:val="both"/>
        <w:rPr>
          <w:rFonts w:ascii="Arial" w:eastAsia="Arial" w:hAnsi="Arial" w:cs="Arial"/>
          <w:noProof/>
        </w:rPr>
      </w:pPr>
      <w:r>
        <w:rPr>
          <w:noProof/>
        </w:rPr>
        <w:t>Tras la ayuda de emergencia inicial, las autoridades han realizado importantes esfuerzos para la integración a largo plazo de los más de 115 000 armenios de Karabaj desplazados. A las personas desplazadas se les ha concedido el estatuto de protección temporal y se han beneficiado de programas de apoyo gubernamentales. Estos programas han incluido asistencia en efectivo, subvenciones para alquileres y servicios públicos, ayuda para la adquisición de vivienda, así como acceso gratuito a la educación, la asistencia sanitaria y los servicios sociales. El programa de alquiler y servicios públicos proporcionó cobertura universal a todos los armenios de Karabaj desplazados hasta junio de 2025, tras lo cual fue sustituido por una asistencia específica. Más de 16 000 niños desplazados se han matriculado en escuelas armenias. Las autoridades también han promovido la adquisición de la ciudadanía armenia a través de campañas de sensibilización y procedimientos acelerados de obtención de ciudadanía para los armenios de Karabaj. A pesar de estos esfuerzos, la integración a largo plazo de la población afectada sigue planteando un reto importante.</w:t>
      </w:r>
    </w:p>
    <w:p w14:paraId="10748295" w14:textId="77777777" w:rsidR="00C53A03" w:rsidRPr="00725177" w:rsidRDefault="00C53A03" w:rsidP="00C53A03">
      <w:pPr>
        <w:pStyle w:val="paragraph"/>
        <w:spacing w:before="0" w:beforeAutospacing="0" w:after="0" w:afterAutospacing="0"/>
        <w:ind w:left="360"/>
        <w:jc w:val="both"/>
        <w:textAlignment w:val="baseline"/>
        <w:rPr>
          <w:b/>
          <w:bCs/>
          <w:noProof/>
          <w:color w:val="000000" w:themeColor="text1"/>
          <w:sz w:val="22"/>
          <w:szCs w:val="22"/>
        </w:rPr>
      </w:pPr>
    </w:p>
    <w:p w14:paraId="08570830" w14:textId="2A6DCDB4" w:rsidR="005E02F9" w:rsidRPr="00C53A03" w:rsidRDefault="005E02F9" w:rsidP="0BA56721">
      <w:pPr>
        <w:pStyle w:val="paragraph"/>
        <w:numPr>
          <w:ilvl w:val="0"/>
          <w:numId w:val="3"/>
        </w:numPr>
        <w:spacing w:before="0" w:beforeAutospacing="0" w:after="0" w:afterAutospacing="0"/>
        <w:jc w:val="both"/>
        <w:textAlignment w:val="baseline"/>
        <w:rPr>
          <w:b/>
          <w:bCs/>
          <w:noProof/>
          <w:color w:val="000000" w:themeColor="text1"/>
          <w:sz w:val="22"/>
          <w:szCs w:val="22"/>
        </w:rPr>
      </w:pPr>
      <w:r>
        <w:rPr>
          <w:b/>
          <w:noProof/>
          <w:sz w:val="22"/>
        </w:rPr>
        <w:t>Establecer condiciones justas y transparentes para la adquisición de la ciudadanía armenia, lo que también abordará los retos relacionados con la facilitación de la naturalización armenia y la doble ciudadanía y mitigará el riesgo de abuso del posible futuro régimen de exención de visado. Abstenerse de crear un régimen de ciudadanía para inversores.</w:t>
      </w:r>
    </w:p>
    <w:p w14:paraId="7B595351" w14:textId="7049C41B" w:rsidR="0BA56721" w:rsidRDefault="0BA56721" w:rsidP="0BA56721">
      <w:pPr>
        <w:pStyle w:val="paragraph"/>
        <w:spacing w:before="0" w:beforeAutospacing="0" w:after="0" w:afterAutospacing="0"/>
        <w:jc w:val="both"/>
        <w:rPr>
          <w:b/>
          <w:bCs/>
          <w:noProof/>
          <w:color w:val="000000" w:themeColor="text1"/>
          <w:sz w:val="22"/>
          <w:szCs w:val="22"/>
          <w:lang w:val="en-GB"/>
        </w:rPr>
      </w:pPr>
    </w:p>
    <w:p w14:paraId="6BD19D22" w14:textId="6943D760" w:rsidR="08FC6379" w:rsidRDefault="08FC6379" w:rsidP="0BA56721">
      <w:pPr>
        <w:jc w:val="both"/>
        <w:rPr>
          <w:noProof/>
        </w:rPr>
      </w:pPr>
      <w:r>
        <w:rPr>
          <w:noProof/>
        </w:rPr>
        <w:t>Los recientes cambios en la Ley de Ciudadanía, que entraron en vigor el 1 de enero de 2026, digitalizaron determinadas fases del procedimiento para adquirir la ciudadanía, pero manteniendo inalterados los criterios de admisibilidad. El Gobierno de Armenia tiene previsto adoptar este año una estrategia sobre migración y ciudadanía.</w:t>
      </w:r>
      <w:r w:rsidR="00BA1D50">
        <w:rPr>
          <w:noProof/>
        </w:rPr>
        <w:t xml:space="preserve"> </w:t>
      </w:r>
    </w:p>
    <w:p w14:paraId="10FB19BB" w14:textId="1FE5DC17" w:rsidR="79CDC7A6" w:rsidRDefault="79CDC7A6" w:rsidP="0BA56721">
      <w:pPr>
        <w:jc w:val="both"/>
        <w:rPr>
          <w:noProof/>
        </w:rPr>
      </w:pPr>
      <w:r>
        <w:rPr>
          <w:noProof/>
        </w:rPr>
        <w:t xml:space="preserve"> </w:t>
      </w:r>
    </w:p>
    <w:p w14:paraId="1BDC9B3E" w14:textId="27BC8D92" w:rsidR="79CDC7A6" w:rsidRDefault="79CDC7A6" w:rsidP="0BA56721">
      <w:pPr>
        <w:jc w:val="both"/>
        <w:rPr>
          <w:noProof/>
        </w:rPr>
      </w:pPr>
      <w:r>
        <w:rPr>
          <w:noProof/>
        </w:rPr>
        <w:t>Las condiciones existentes para adquirir la ciudadanía armenia se basan en el nivel de integración del solicitante en la sociedad armenia e incluyen requisitos relacionados con la residencia, el dominio de la lengua y los conocimientos generales. Estas condiciones no se aplican a las personas de etnia armenia, que se benefician de un procedimiento de naturalización simplificado.</w:t>
      </w:r>
      <w:r w:rsidR="00BA1D50">
        <w:rPr>
          <w:noProof/>
        </w:rPr>
        <w:t xml:space="preserve"> </w:t>
      </w:r>
    </w:p>
    <w:p w14:paraId="10659053" w14:textId="412BF490" w:rsidR="79CDC7A6" w:rsidRDefault="79CDC7A6" w:rsidP="0BA56721">
      <w:pPr>
        <w:jc w:val="both"/>
        <w:rPr>
          <w:noProof/>
        </w:rPr>
      </w:pPr>
      <w:r>
        <w:rPr>
          <w:noProof/>
        </w:rPr>
        <w:t xml:space="preserve"> </w:t>
      </w:r>
    </w:p>
    <w:p w14:paraId="77FD8E33" w14:textId="7175B450" w:rsidR="79CDC7A6" w:rsidRDefault="79CDC7A6" w:rsidP="0BA56721">
      <w:pPr>
        <w:jc w:val="both"/>
        <w:rPr>
          <w:noProof/>
        </w:rPr>
      </w:pPr>
      <w:r>
        <w:rPr>
          <w:noProof/>
        </w:rPr>
        <w:t xml:space="preserve">En virtud de la actual Ley de Ciudadanía, se aplican exenciones del requisito de residencia de tres años a las personas de etnia armenia, a los cónyuges de ciudadanos armenios y a los progenitores o hijos de ciudadanos armenios. La ciudadanía también puede concederse colectivamente en casos de repatriación o retornos a gran escala. Si bien la Ley prohibió inicialmente la doble ciudadanía, las modificaciones posteriores introdujeron una aceptación limitada de la doble ciudadanía, en particular para los armenios que residen en el extranjero. </w:t>
      </w:r>
    </w:p>
    <w:p w14:paraId="57B48947" w14:textId="4A6201C8" w:rsidR="0BA56721" w:rsidRDefault="0BA56721" w:rsidP="0BA56721">
      <w:pPr>
        <w:jc w:val="both"/>
        <w:rPr>
          <w:noProof/>
        </w:rPr>
      </w:pPr>
    </w:p>
    <w:p w14:paraId="618CB5BA" w14:textId="631BDFBB" w:rsidR="79CDC7A6" w:rsidRDefault="79CDC7A6" w:rsidP="0BA56721">
      <w:pPr>
        <w:jc w:val="both"/>
        <w:rPr>
          <w:noProof/>
        </w:rPr>
      </w:pPr>
      <w:r>
        <w:rPr>
          <w:noProof/>
        </w:rPr>
        <w:t xml:space="preserve">El marco legislativo vigente incluye criterios de admisibilidad claramente definidos para la naturalización, la disponibilidad de vías de recurso para las solicitudes denegadas y salvaguardias para los apátridas y los derechos de los menores. Sin embargo, la Ley concede facultades discrecionales excesivamente amplias en casos excepcionales, carece de transparencia en los procedimientos y contiene ambigüedades relativas a la doble ciudadanía como consecuencia de incoherencias entre las disposiciones legales más antiguas y la práctica más reciente. </w:t>
      </w:r>
    </w:p>
    <w:p w14:paraId="3F0649A4" w14:textId="5CDF81BD" w:rsidR="0BA56721" w:rsidRDefault="0BA56721" w:rsidP="0BA56721">
      <w:pPr>
        <w:jc w:val="both"/>
        <w:rPr>
          <w:noProof/>
        </w:rPr>
      </w:pPr>
    </w:p>
    <w:p w14:paraId="3955A1B3" w14:textId="66FB283B" w:rsidR="075C74E2" w:rsidRDefault="075C74E2" w:rsidP="0BA56721">
      <w:pPr>
        <w:jc w:val="both"/>
        <w:rPr>
          <w:noProof/>
        </w:rPr>
      </w:pPr>
      <w:r>
        <w:rPr>
          <w:noProof/>
        </w:rPr>
        <w:t>Las autoridades armenias también están revisando las disposiciones legales sobre la obtención de un permiso de residencia a cambio de inversiones. El marco jurídico actual permite obtener un permiso de residencia especial de diez años a las personas de etnia armenia y los extranjeros que lleven a cabo actividades económicas o culturales en Armenia. Armenia no tiene intención de introducir un régimen de ciudadanía para inversores.</w:t>
      </w:r>
    </w:p>
    <w:p w14:paraId="7E3A1D19" w14:textId="77777777" w:rsidR="00C53A03" w:rsidRPr="00725177" w:rsidRDefault="00C53A03" w:rsidP="00C53A03">
      <w:pPr>
        <w:pStyle w:val="paragraph"/>
        <w:spacing w:before="0" w:beforeAutospacing="0" w:after="0" w:afterAutospacing="0"/>
        <w:ind w:left="360"/>
        <w:jc w:val="both"/>
        <w:textAlignment w:val="baseline"/>
        <w:rPr>
          <w:b/>
          <w:bCs/>
          <w:noProof/>
          <w:color w:val="000000" w:themeColor="text1"/>
          <w:sz w:val="22"/>
          <w:szCs w:val="22"/>
        </w:rPr>
      </w:pPr>
    </w:p>
    <w:p w14:paraId="0DE1DFA6" w14:textId="3F4F8DF4" w:rsidR="005E02F9" w:rsidRPr="00301E8C" w:rsidRDefault="1F072199" w:rsidP="546C26BF">
      <w:pPr>
        <w:pStyle w:val="paragraph"/>
        <w:numPr>
          <w:ilvl w:val="0"/>
          <w:numId w:val="3"/>
        </w:numPr>
        <w:spacing w:before="0" w:beforeAutospacing="0" w:after="0" w:afterAutospacing="0"/>
        <w:jc w:val="both"/>
        <w:textAlignment w:val="baseline"/>
        <w:rPr>
          <w:b/>
          <w:bCs/>
          <w:noProof/>
          <w:color w:val="000000" w:themeColor="text1"/>
          <w:sz w:val="22"/>
          <w:szCs w:val="22"/>
        </w:rPr>
      </w:pPr>
      <w:r>
        <w:rPr>
          <w:b/>
          <w:noProof/>
          <w:sz w:val="22"/>
        </w:rPr>
        <w:t>Elaboración y adopción de una estrategia nacional y un plan de acción sobre derechos humanos, aplicando activamente recomendaciones y normas, en particular en materia de igualdad y lucha contra la discriminación, derechos de las minorías, protección de datos personales, acceso efectivo a la justicia y libertad religiosa, formuladas por los organismos de las Naciones Unidas, la OSCE/OIDDH, el Consejo de Europa y la Comisión Europea contra el Racismo y la Intolerancia y otros organismos internacionales de derechos humanos.</w:t>
      </w:r>
    </w:p>
    <w:p w14:paraId="16433A46" w14:textId="2466E00B" w:rsidR="6FAE1D23" w:rsidRDefault="6FAE1D23" w:rsidP="6FAE1D23">
      <w:pPr>
        <w:jc w:val="both"/>
        <w:rPr>
          <w:noProof/>
        </w:rPr>
      </w:pPr>
    </w:p>
    <w:p w14:paraId="433F92F5" w14:textId="1174B073" w:rsidR="5B3EED17" w:rsidRDefault="5B3EED17" w:rsidP="6FAE1D23">
      <w:pPr>
        <w:jc w:val="both"/>
        <w:rPr>
          <w:noProof/>
        </w:rPr>
      </w:pPr>
      <w:r>
        <w:rPr>
          <w:noProof/>
        </w:rPr>
        <w:t xml:space="preserve">La estrategia nacional de Armenia para la protección de los derechos humanos y el plan de acción conexo para el período 2023-2025 expiraron a finales del año pasado. La estrategia y el plan de acción abarcaban un amplio abanico de ámbitos, como la igualdad y la no discriminación, la libertad religiosa, el acceso a la justicia, la prevención de la tortura y el derecho a la salud. Se basaron en gran medida en las recomendaciones formuladas por organismos internacionales como el Consejo de Derechos Humanos de las Naciones Unidas, el Consejo de Europa y la OSCE. En lugar de desarrollar una nueva estrategia independiente en materia de derechos humanos, las autoridades tienen la intención de incluir este ámbito como uno de los pilares de una estrategia nacional más amplia sobre la reforma del sector de la justicia, que se adoptará en el segundo semestre de 2026. </w:t>
      </w:r>
    </w:p>
    <w:p w14:paraId="199EE434" w14:textId="64AD67B3" w:rsidR="6FAE1D23" w:rsidRDefault="6FAE1D23" w:rsidP="6FAE1D23">
      <w:pPr>
        <w:jc w:val="both"/>
        <w:rPr>
          <w:noProof/>
        </w:rPr>
      </w:pPr>
    </w:p>
    <w:p w14:paraId="350F9DA8" w14:textId="0C8B9822" w:rsidR="3A870A15" w:rsidRDefault="3A870A15" w:rsidP="6FAE1D23">
      <w:pPr>
        <w:jc w:val="both"/>
        <w:rPr>
          <w:noProof/>
        </w:rPr>
      </w:pPr>
      <w:r>
        <w:rPr>
          <w:noProof/>
        </w:rPr>
        <w:t>Armenia adoptó una estrategia de aplicación de la política de género para el período 2025-2028 en abril de 2025. Esta estrategia se ajusta a las normas internacionales, en particular la Convención sobre la Eliminación de Todas las Formas de Discriminación contra la Mujer, la Plataforma de Acción de Pekín, los Objetivos de Desarrollo Sostenible y el Convenio de Estambul. La estrategia pretende garantizar la igualdad de derechos y oportunidades entre mujeres y hombres en todas las esferas de la vida pública mediante enfoques participativos y basados en datos contrastados. En mayo de 2025, Armenia adoptó el tercer plan de acción nacional sobre las mujeres, la paz y la seguridad para el período 2025-2027, elaborado en consonancia con la Resolución 1325 del Consejo de Seguridad de las Naciones Unidas.</w:t>
      </w:r>
    </w:p>
    <w:p w14:paraId="6E937ACB" w14:textId="631A1FCA" w:rsidR="6FAE1D23" w:rsidRDefault="6FAE1D23" w:rsidP="6FAE1D23">
      <w:pPr>
        <w:jc w:val="both"/>
        <w:rPr>
          <w:noProof/>
        </w:rPr>
      </w:pPr>
    </w:p>
    <w:p w14:paraId="1EE48071" w14:textId="625A293F" w:rsidR="00783912" w:rsidRDefault="0A2828E9" w:rsidP="6FAE1D23">
      <w:pPr>
        <w:jc w:val="both"/>
        <w:rPr>
          <w:noProof/>
        </w:rPr>
      </w:pPr>
      <w:r>
        <w:rPr>
          <w:noProof/>
        </w:rPr>
        <w:t>Con vistas a mejorar el acceso a la justicia, las autoridades armenias han adoptado una serie de medidas destinadas a reducir la carga de trabajo judicial. Estas medidas incluyen modificaciones legislativas que permiten transferir determinados asuntos a abogados o mediadores y un aumento tanto del número de jueces como del importe de los salarios judiciales, con el fin de acelerar la tramitación de los asuntos. En el marco de las reformas judiciales y jurídicas, se ha introducido un sistema judicial electrónico unificado, que ha reducido significativamente la acumulación de asuntos civiles pendientes. El Centro de Arbitraje y Mediación de Armenia, creado en 2023, promueve mecanismos alternativos de resolución de litigios y se ha introducido la mediación obligatoria para determinadas categorías de asuntos de Derecho de familia.</w:t>
      </w:r>
    </w:p>
    <w:p w14:paraId="517448B6" w14:textId="77777777" w:rsidR="00783912" w:rsidRPr="00783912" w:rsidRDefault="00783912" w:rsidP="6FAE1D23">
      <w:pPr>
        <w:jc w:val="both"/>
        <w:rPr>
          <w:noProof/>
        </w:rPr>
      </w:pPr>
    </w:p>
    <w:p w14:paraId="49C1DEE0" w14:textId="37527E82" w:rsidR="2C2D64A1" w:rsidRDefault="00983315" w:rsidP="6FAE1D23">
      <w:pPr>
        <w:jc w:val="both"/>
        <w:rPr>
          <w:noProof/>
        </w:rPr>
      </w:pPr>
      <w:r>
        <w:rPr>
          <w:noProof/>
        </w:rPr>
        <w:t>Aunque ahora se aplican medidas alternativas con mayor frecuencia, el uso generalizado de la prisión preventiva sigue siendo motivo de preocupación.</w:t>
      </w:r>
      <w:r w:rsidR="00BA1D50">
        <w:rPr>
          <w:noProof/>
        </w:rPr>
        <w:t xml:space="preserve"> </w:t>
      </w:r>
      <w:r>
        <w:rPr>
          <w:noProof/>
        </w:rPr>
        <w:t>En octubre de 2025, el 50,8 % de las personas retenidas en instituciones penitenciarias estaban detenidas en prisión preventiva. Este es también uno de los principales motivos que contribuyen al hacinamiento en las instituciones penitenciarias. De conformidad con una sentencia del Tribunal Constitucional, los órganos jurisdiccionales están ahora obligados, tras un determinado período, a evaluar los esfuerzos realizados por los organismos de investigación para evitar una prolongación injustificada de la prisión preventiva. En los procesos penales, se ha reforzado el papel de los psicólogos y su participación es ahora obligatoria en los asuntos relacionados con menores o personas con discapacidad. La grabación en vídeo de los interrogatorios también ha pasado a ser obligatoria, facilitada por el uso de cámaras corporales por parte de los investigadores.</w:t>
      </w:r>
    </w:p>
    <w:p w14:paraId="7F23FAB0" w14:textId="4D22A2BA" w:rsidR="6FAE1D23" w:rsidRDefault="6FAE1D23" w:rsidP="6FAE1D23">
      <w:pPr>
        <w:jc w:val="both"/>
        <w:rPr>
          <w:noProof/>
        </w:rPr>
      </w:pPr>
    </w:p>
    <w:p w14:paraId="4E772742" w14:textId="1979A0E5" w:rsidR="35CE913A" w:rsidRDefault="35CE913A" w:rsidP="6FAE1D23">
      <w:pPr>
        <w:jc w:val="both"/>
        <w:rPr>
          <w:noProof/>
        </w:rPr>
      </w:pPr>
      <w:r>
        <w:rPr>
          <w:noProof/>
        </w:rPr>
        <w:t>Armenia se sometió a su cuarto ciclo del examen periódico universal en mayo de 2025. El Gobierno apoyó la mayoría de las 265 recomendaciones recibidas, mientras que «tomó nota» de 16 recomendaciones (es decir, sin apoyarlas). La Comisión Europea contra el Racismo y la Intolerancia, en su informe de 2023, recomendó a las autoridades armenias que tomaran medidas en una serie de ámbitos, entre ellos el apoyo a actividades de sensibilización, en cooperación con el Defensor de los Derechos Humanos y los representantes pertinentes de la sociedad civil, sobre la importancia de la diversidad y la tolerancia en la sociedad, con vistas a prevenir y combatir el discurso de odio, la violencia motivada por el odio y todas las formas de discriminación.</w:t>
      </w:r>
      <w:r w:rsidR="00BA1D50">
        <w:rPr>
          <w:noProof/>
        </w:rPr>
        <w:t xml:space="preserve"> </w:t>
      </w:r>
    </w:p>
    <w:p w14:paraId="11E3A4FD" w14:textId="0793E4F6" w:rsidR="6FAE1D23" w:rsidRDefault="6FAE1D23" w:rsidP="6FAE1D23">
      <w:pPr>
        <w:jc w:val="both"/>
        <w:rPr>
          <w:noProof/>
        </w:rPr>
      </w:pPr>
    </w:p>
    <w:p w14:paraId="681E2E6F" w14:textId="461E4668" w:rsidR="0000758C" w:rsidRPr="00301E8C" w:rsidRDefault="0000758C" w:rsidP="0000758C">
      <w:pPr>
        <w:rPr>
          <w:noProof/>
        </w:rPr>
      </w:pPr>
      <w:r>
        <w:rPr>
          <w:noProof/>
        </w:rPr>
        <w:t xml:space="preserve">Sobre la base de las conclusiones anteriores, se recomienda que, en relación con los criterios de referencia del bloque 4 relativos a las </w:t>
      </w:r>
      <w:r>
        <w:rPr>
          <w:b/>
          <w:noProof/>
        </w:rPr>
        <w:t>relaciones exteriores y los derechos fundamentales</w:t>
      </w:r>
      <w:r>
        <w:rPr>
          <w:noProof/>
        </w:rPr>
        <w:t xml:space="preserve"> (primera fase), las autoridades armenias: </w:t>
      </w:r>
    </w:p>
    <w:p w14:paraId="43FDA909" w14:textId="3CCCC2C1" w:rsidR="6D8F4779" w:rsidRPr="00DD3071" w:rsidRDefault="00102069" w:rsidP="0BA56721">
      <w:pPr>
        <w:pStyle w:val="ListParagraph"/>
        <w:numPr>
          <w:ilvl w:val="0"/>
          <w:numId w:val="15"/>
        </w:numPr>
        <w:jc w:val="both"/>
        <w:rPr>
          <w:i/>
          <w:iCs/>
          <w:noProof/>
        </w:rPr>
      </w:pPr>
      <w:r>
        <w:rPr>
          <w:i/>
          <w:noProof/>
        </w:rPr>
        <w:t>garanticen que las personas con discapacidad física, psicosocial o intelectual tengan pleno acceso al sistema de expedición de documentos de viaje e identidad;</w:t>
      </w:r>
    </w:p>
    <w:p w14:paraId="043EE364" w14:textId="2AF59F5D" w:rsidR="005E6AF1" w:rsidRPr="00DD3071" w:rsidRDefault="00102069" w:rsidP="00C53A03">
      <w:pPr>
        <w:pStyle w:val="ListParagraph"/>
        <w:numPr>
          <w:ilvl w:val="0"/>
          <w:numId w:val="15"/>
        </w:numPr>
        <w:jc w:val="both"/>
        <w:rPr>
          <w:i/>
          <w:iCs/>
          <w:noProof/>
        </w:rPr>
      </w:pPr>
      <w:r>
        <w:rPr>
          <w:i/>
          <w:noProof/>
        </w:rPr>
        <w:t>adopten la Ley de prevención y protección contra la discriminación, en consonancia con las normas internacionales y europeas y con las recomendaciones del Consejo de Europa;</w:t>
      </w:r>
    </w:p>
    <w:p w14:paraId="1A24664F" w14:textId="4BDE10D7" w:rsidR="005E6AF1" w:rsidRPr="00DD3071" w:rsidRDefault="00102069" w:rsidP="00C53A03">
      <w:pPr>
        <w:pStyle w:val="ListParagraph"/>
        <w:numPr>
          <w:ilvl w:val="0"/>
          <w:numId w:val="15"/>
        </w:numPr>
        <w:jc w:val="both"/>
        <w:rPr>
          <w:i/>
          <w:iCs/>
          <w:noProof/>
        </w:rPr>
      </w:pPr>
      <w:r>
        <w:rPr>
          <w:i/>
          <w:noProof/>
        </w:rPr>
        <w:t>doten al futuro organismo de igualdad que se creará en virtud de la ley contra la discriminación de recursos financieros y humanos suficientes y sostenibles para cumplir su mandato, también para funciones de investigación, supervisión y relacionadas con los litigios;</w:t>
      </w:r>
    </w:p>
    <w:p w14:paraId="057C773D" w14:textId="3C47470C" w:rsidR="00F96A5C" w:rsidRPr="00DD3071" w:rsidRDefault="00102069" w:rsidP="00F96A5C">
      <w:pPr>
        <w:pStyle w:val="ListParagraph"/>
        <w:numPr>
          <w:ilvl w:val="0"/>
          <w:numId w:val="15"/>
        </w:numPr>
        <w:jc w:val="both"/>
        <w:rPr>
          <w:i/>
          <w:iCs/>
          <w:noProof/>
        </w:rPr>
      </w:pPr>
      <w:r>
        <w:rPr>
          <w:i/>
          <w:noProof/>
        </w:rPr>
        <w:t xml:space="preserve">adopten la Ley sobre las minorías nacionales para garantizar los derechos de las minorías nacionales a preservar y desarrollar sus tradiciones, lenguas y culturas, </w:t>
      </w:r>
      <w:r w:rsidR="00725177">
        <w:rPr>
          <w:i/>
          <w:noProof/>
        </w:rPr>
        <w:t>haciendo hincapié</w:t>
      </w:r>
      <w:r>
        <w:rPr>
          <w:i/>
          <w:noProof/>
        </w:rPr>
        <w:t xml:space="preserve"> tanto en el libre uso de las lenguas minoritarias en la educación pública como en la participación significativa de los representantes de las minorías nacionales en los procesos de toma de decisiones a escala nacional y local;</w:t>
      </w:r>
    </w:p>
    <w:p w14:paraId="196CD422" w14:textId="036080D3" w:rsidR="00F96A5C" w:rsidRPr="00DD3071" w:rsidRDefault="00102069" w:rsidP="00F96A5C">
      <w:pPr>
        <w:pStyle w:val="ListParagraph"/>
        <w:numPr>
          <w:ilvl w:val="0"/>
          <w:numId w:val="15"/>
        </w:numPr>
        <w:jc w:val="both"/>
        <w:rPr>
          <w:i/>
          <w:iCs/>
          <w:noProof/>
        </w:rPr>
      </w:pPr>
      <w:r>
        <w:rPr>
          <w:i/>
          <w:noProof/>
        </w:rPr>
        <w:t>adapten plenamente el marco legislativo de Armenia a las disposiciones del Convenio del Consejo de Europa sobre prevención y lucha contra la violencia contra las mujeres y la violencia doméstica y garanticen la adopción y aplicación de las medidas jurídicas, institucionales y políticas necesarias, en particular los mecanismos de protección de las víctimas, el desarrollo de capacidades para los profesionales pertinentes y las iniciativas sostenidas de sensibilización;</w:t>
      </w:r>
    </w:p>
    <w:p w14:paraId="579E1333" w14:textId="5FC711FF" w:rsidR="79ED2C45" w:rsidRPr="00DD3071" w:rsidRDefault="00102069" w:rsidP="00F96A5C">
      <w:pPr>
        <w:pStyle w:val="ListParagraph"/>
        <w:numPr>
          <w:ilvl w:val="0"/>
          <w:numId w:val="15"/>
        </w:numPr>
        <w:jc w:val="both"/>
        <w:rPr>
          <w:i/>
          <w:iCs/>
          <w:noProof/>
        </w:rPr>
      </w:pPr>
      <w:r>
        <w:rPr>
          <w:i/>
          <w:noProof/>
        </w:rPr>
        <w:t>apliquen la Ley sobre los Derechos del Niño y el Sistema de Protección de la Infancia adoptada en octubre de 2025 y adopten el programa general de protección de los derechos del niño para el período 2024-2029, velando por que todos los niños, incluidos los niños con discapacidad y los niños que reciben cuidados alternativos, estén protegidos contra todas las formas de violencia, incluida la trata de seres humanos, en consonancia con las normas internacionales, en particular el Convenio de La Haya de 1996 sobre la Protección de los Niños;</w:t>
      </w:r>
    </w:p>
    <w:p w14:paraId="64A8D270" w14:textId="359E962A" w:rsidR="79ED2C45" w:rsidRPr="00DD3071" w:rsidRDefault="00102069" w:rsidP="546C26BF">
      <w:pPr>
        <w:pStyle w:val="ListParagraph"/>
        <w:numPr>
          <w:ilvl w:val="0"/>
          <w:numId w:val="15"/>
        </w:numPr>
        <w:jc w:val="both"/>
        <w:rPr>
          <w:i/>
          <w:iCs/>
          <w:noProof/>
        </w:rPr>
      </w:pPr>
      <w:r>
        <w:rPr>
          <w:i/>
          <w:noProof/>
        </w:rPr>
        <w:t>elaboren una estrategia global para prevenir y combatir el abuso y la explotación sexual de menores, en consonancia con el Convenio del Consejo de Europa para la protección de los niños contra la explotación y el abuso sexual, de manera que se garantice la disponibilidad de una justicia adecuada a la edad, accesible, confidencial y adaptada a los menores, mecanismos de denuncia y apoyo a los menores víctimas y testigos;</w:t>
      </w:r>
    </w:p>
    <w:p w14:paraId="1E49A3B8" w14:textId="5B87A994" w:rsidR="00C53A03" w:rsidRPr="00DD3071" w:rsidRDefault="00102069" w:rsidP="0BA56721">
      <w:pPr>
        <w:pStyle w:val="ListParagraph"/>
        <w:numPr>
          <w:ilvl w:val="0"/>
          <w:numId w:val="15"/>
        </w:numPr>
        <w:jc w:val="both"/>
        <w:rPr>
          <w:i/>
          <w:iCs/>
          <w:noProof/>
        </w:rPr>
      </w:pPr>
      <w:r>
        <w:rPr>
          <w:i/>
          <w:noProof/>
        </w:rPr>
        <w:t>modifiquen la Ley de Ciudadanía para abordar las cuestiones pendientes relacionadas con la naturalización y la doble ciudadanía de las personas de etnia armenia, garantizando el establecimiento de salvaguardias claras para evitar cualquier posible abuso en el contexto de un futuro régimen de exención de visado de la UE;</w:t>
      </w:r>
    </w:p>
    <w:p w14:paraId="2558CF5D" w14:textId="66BEBD6A" w:rsidR="091839D7" w:rsidRPr="00DD3071" w:rsidRDefault="00102069" w:rsidP="0BA56721">
      <w:pPr>
        <w:pStyle w:val="ListParagraph"/>
        <w:numPr>
          <w:ilvl w:val="0"/>
          <w:numId w:val="15"/>
        </w:numPr>
        <w:jc w:val="both"/>
        <w:rPr>
          <w:i/>
          <w:iCs/>
          <w:noProof/>
        </w:rPr>
      </w:pPr>
      <w:r>
        <w:rPr>
          <w:i/>
          <w:noProof/>
        </w:rPr>
        <w:t>se abstengan de introducir un régimen de ciudadanía para inversores y garanticen que no haya regímenes de residencia para inversores que faciliten una vía indebida hacia la obtención de la ciudadanía;</w:t>
      </w:r>
    </w:p>
    <w:p w14:paraId="6C2C690F" w14:textId="1E916F7C" w:rsidR="0D511812" w:rsidRPr="00DD3071" w:rsidRDefault="00102069" w:rsidP="0BA56721">
      <w:pPr>
        <w:pStyle w:val="ListParagraph"/>
        <w:numPr>
          <w:ilvl w:val="0"/>
          <w:numId w:val="15"/>
        </w:numPr>
        <w:jc w:val="both"/>
        <w:rPr>
          <w:i/>
          <w:iCs/>
          <w:noProof/>
        </w:rPr>
      </w:pPr>
      <w:r>
        <w:rPr>
          <w:i/>
          <w:noProof/>
        </w:rPr>
        <w:t>lleven a cabo una evaluación de impacto exhaustiva de la aplicación de la estrategia de protección de los derechos humanos 2023-2025 y formulen y adopten una estrategia sucesora de manera oportuna e inclusiva.</w:t>
      </w:r>
    </w:p>
    <w:p w14:paraId="1B8E3672" w14:textId="77777777" w:rsidR="004F38F2" w:rsidRDefault="004F38F2" w:rsidP="6FAE1D23">
      <w:pPr>
        <w:jc w:val="both"/>
        <w:rPr>
          <w:i/>
          <w:iCs/>
          <w:noProof/>
        </w:rPr>
      </w:pPr>
    </w:p>
    <w:p w14:paraId="7233F5D0" w14:textId="77777777" w:rsidR="00B21195" w:rsidRPr="00301E8C" w:rsidRDefault="00B21195" w:rsidP="00C53A03">
      <w:pPr>
        <w:jc w:val="both"/>
        <w:rPr>
          <w:noProof/>
        </w:rPr>
      </w:pPr>
    </w:p>
    <w:p w14:paraId="16AB8258" w14:textId="62A68084" w:rsidR="00FF58B1" w:rsidRPr="00301E8C" w:rsidRDefault="00FF58B1" w:rsidP="009F2DA8">
      <w:pPr>
        <w:pStyle w:val="ListParagraph"/>
        <w:numPr>
          <w:ilvl w:val="0"/>
          <w:numId w:val="1"/>
        </w:numPr>
        <w:jc w:val="both"/>
        <w:rPr>
          <w:noProof/>
        </w:rPr>
      </w:pPr>
      <w:r>
        <w:rPr>
          <w:noProof/>
        </w:rPr>
        <w:t xml:space="preserve">Evaluación general y próximos pasos </w:t>
      </w:r>
    </w:p>
    <w:p w14:paraId="59E5AEED" w14:textId="77777777" w:rsidR="00722B49" w:rsidRPr="00301E8C" w:rsidRDefault="00722B49" w:rsidP="009F2DA8">
      <w:pPr>
        <w:jc w:val="both"/>
        <w:rPr>
          <w:noProof/>
        </w:rPr>
      </w:pPr>
    </w:p>
    <w:p w14:paraId="6D0EF8FF" w14:textId="6EF9FBB9" w:rsidR="000845C4" w:rsidRPr="00C53A03" w:rsidRDefault="000845C4" w:rsidP="000845C4">
      <w:pPr>
        <w:jc w:val="both"/>
        <w:rPr>
          <w:noProof/>
        </w:rPr>
      </w:pPr>
      <w:r>
        <w:rPr>
          <w:noProof/>
        </w:rPr>
        <w:t xml:space="preserve">De acuerdo con la metodología establecida, la Comisión ha evaluado la aplicación del Plan de Acción para la Liberalización de Visados (PALV) por parte de Armenia sobre la base de la información y los documentos legislativos y políticos pertinentes facilitados por las autoridades armenias. La evaluación documental se complementó con una evaluación </w:t>
      </w:r>
      <w:r>
        <w:rPr>
          <w:i/>
          <w:iCs/>
          <w:noProof/>
        </w:rPr>
        <w:t>in situ</w:t>
      </w:r>
      <w:r>
        <w:rPr>
          <w:noProof/>
        </w:rPr>
        <w:t xml:space="preserve"> realizada por los servicios de la Comisión y el Servicio Europeo de Acción Exterior, con el apoyo de expertos de los Estados miembros de la UE, Frontex y la Delegación de la UE en Armenia.</w:t>
      </w:r>
    </w:p>
    <w:p w14:paraId="727346BE" w14:textId="77777777" w:rsidR="000845C4" w:rsidRPr="00C53A03" w:rsidRDefault="000845C4" w:rsidP="000845C4">
      <w:pPr>
        <w:jc w:val="both"/>
        <w:rPr>
          <w:noProof/>
        </w:rPr>
      </w:pPr>
    </w:p>
    <w:p w14:paraId="4B6DEDD2" w14:textId="5F11035B" w:rsidR="000845C4" w:rsidRPr="00C53A03" w:rsidRDefault="000845C4" w:rsidP="000845C4">
      <w:pPr>
        <w:jc w:val="both"/>
        <w:rPr>
          <w:noProof/>
        </w:rPr>
      </w:pPr>
      <w:r>
        <w:rPr>
          <w:noProof/>
        </w:rPr>
        <w:t>La Comisión también supervisa los avances realizados por Armenia a través del Comité Mixto de Facilitación de Visados UE-Armenia, del Comité Mixto de Readmisión UE-Armenia, del Subcomité de Justicia, Libertad y Seguridad UE-Armenia y del diálogo sobre derechos humanos. En todos estos marcos existe un nivel avanzado de diálogo y cooperación entre la UE y Armenia.</w:t>
      </w:r>
    </w:p>
    <w:p w14:paraId="53496270" w14:textId="77777777" w:rsidR="000845C4" w:rsidRPr="00C53A03" w:rsidRDefault="000845C4" w:rsidP="000845C4">
      <w:pPr>
        <w:jc w:val="both"/>
        <w:rPr>
          <w:noProof/>
        </w:rPr>
      </w:pPr>
    </w:p>
    <w:p w14:paraId="415231AA" w14:textId="78CCC29B" w:rsidR="000845C4" w:rsidRPr="00C53A03" w:rsidRDefault="000845C4" w:rsidP="000845C4">
      <w:pPr>
        <w:jc w:val="both"/>
        <w:rPr>
          <w:noProof/>
        </w:rPr>
      </w:pPr>
      <w:r>
        <w:rPr>
          <w:noProof/>
        </w:rPr>
        <w:t>Sobre la base de lo anterior, la Comisión considera que Armenia ha avanzado considerablemente en la aplicación de los criterios de referencia pertinentes para la primera fase (marco legislativo y estratégico) del PALV, teniendo en cuenta que el PALV no se entregó oficialmente a las autoridades armenias hasta noviembre de 2025. El primer conjunto de criterios de referencia del bloque 1 (seguridad de los documentos, incluidos los datos biométricos) y del bloque 2 (gestión de la migración) se encuentra ya en una fase avanzada de cumplimiento. Armenia también está avanzando a buen ritmo en la aplicación del primer conjunto de criterios de referencia relacionados con los demás ámbitos de actuación cubiertos por el bloque 2 (gestión integrada de las fronteras y asilo), el bloque 3 (orden público y seguridad) y el bloque 4 (relaciones exteriores y derechos fundamentales) del PALV.</w:t>
      </w:r>
    </w:p>
    <w:p w14:paraId="09480B79" w14:textId="77777777" w:rsidR="000845C4" w:rsidRPr="00C53A03" w:rsidRDefault="000845C4" w:rsidP="000845C4">
      <w:pPr>
        <w:jc w:val="both"/>
        <w:rPr>
          <w:noProof/>
        </w:rPr>
      </w:pPr>
    </w:p>
    <w:p w14:paraId="2BECC3BA" w14:textId="6DF8D360" w:rsidR="000845C4" w:rsidRPr="000845C4" w:rsidRDefault="007205A4" w:rsidP="000845C4">
      <w:pPr>
        <w:jc w:val="both"/>
        <w:rPr>
          <w:noProof/>
        </w:rPr>
      </w:pPr>
      <w:r>
        <w:rPr>
          <w:noProof/>
        </w:rPr>
        <w:t>Las conclusiones de este primer informe de situación de la Comisión se presentarán al Parlamento Europeo y al Consejo. La Comisión también presentará y debatirá estas conclusiones con las autoridades armenias en la próxima reunión de altos funcionarios.</w:t>
      </w:r>
      <w:r w:rsidR="00BA1D50">
        <w:rPr>
          <w:noProof/>
        </w:rPr>
        <w:t xml:space="preserve"> </w:t>
      </w:r>
      <w:r>
        <w:rPr>
          <w:noProof/>
        </w:rPr>
        <w:t>La Comisión seguirá apoyando a Armenia en la aplicación del PALV, en particular mediante asistencia técnica y financiera específica procedente del Plan de Resiliencia y Crecimiento para Armenia que se está poniendo en marcha. La Comisión supervisará activamente el cumplimiento de todos los criterios de referencia en el marco de los cuatro bloques del PALV, con el apoyo de expertos de los Estados miembros de la UE. En el próximo período, se organizarán más misiones de evaluación de la UE en Armenia con vistas a evaluar los avances realizados por las autoridades armenias en el cumplimiento de todos los criterios de referencia de la primera fase. Las recomendaciones contenidas en el presente informe deben servir de guía a las autoridades armenias para colmar las lagunas detectadas. Este seguimiento servirá de base para elaborar los próximos informes de la Comisión al Parlamento Europeo y al Consejo sobre los avances realizados por Armenia en la aplicación del PALV.</w:t>
      </w:r>
      <w:r w:rsidR="00BA1D50">
        <w:rPr>
          <w:noProof/>
        </w:rPr>
        <w:t xml:space="preserve"> </w:t>
      </w:r>
      <w:r>
        <w:rPr>
          <w:noProof/>
        </w:rPr>
        <w:t xml:space="preserve"> </w:t>
      </w:r>
    </w:p>
    <w:sectPr w:rsidR="000845C4" w:rsidRPr="000845C4" w:rsidSect="00DB0FE0">
      <w:headerReference w:type="even" r:id="rId18"/>
      <w:headerReference w:type="default" r:id="rId19"/>
      <w:footerReference w:type="even" r:id="rId20"/>
      <w:footerReference w:type="default" r:id="rId21"/>
      <w:headerReference w:type="first" r:id="rId22"/>
      <w:footerReference w:type="first" r:id="rId23"/>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ED5EA4" w14:textId="77777777" w:rsidR="00585C78" w:rsidRPr="00301E8C" w:rsidRDefault="00585C78">
      <w:r>
        <w:separator/>
      </w:r>
    </w:p>
  </w:endnote>
  <w:endnote w:type="continuationSeparator" w:id="0">
    <w:p w14:paraId="067CA0F5" w14:textId="77777777" w:rsidR="00585C78" w:rsidRPr="00301E8C" w:rsidRDefault="00585C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9A315F" w14:textId="206B896B" w:rsidR="00C952B6" w:rsidRPr="00C952B6" w:rsidRDefault="00C952B6" w:rsidP="00C952B6">
    <w:pPr>
      <w:pStyle w:val="FooterCoverPage"/>
      <w:rPr>
        <w:rFonts w:ascii="Arial" w:hAnsi="Arial" w:cs="Arial"/>
        <w:b/>
        <w:sz w:val="48"/>
      </w:rPr>
    </w:pPr>
    <w:r w:rsidRPr="00C952B6">
      <w:rPr>
        <w:rFonts w:ascii="Arial" w:hAnsi="Arial" w:cs="Arial"/>
        <w:b/>
        <w:sz w:val="48"/>
      </w:rPr>
      <w:t>ES</w:t>
    </w:r>
    <w:r w:rsidRPr="00C952B6">
      <w:rPr>
        <w:rFonts w:ascii="Arial" w:hAnsi="Arial" w:cs="Arial"/>
        <w:b/>
        <w:sz w:val="48"/>
      </w:rPr>
      <w:tab/>
    </w:r>
    <w:r w:rsidRPr="00C952B6">
      <w:rPr>
        <w:rFonts w:ascii="Arial" w:hAnsi="Arial" w:cs="Arial"/>
        <w:b/>
        <w:sz w:val="48"/>
      </w:rPr>
      <w:tab/>
    </w:r>
    <w:r w:rsidRPr="00C952B6">
      <w:tab/>
    </w:r>
    <w:r w:rsidRPr="00C952B6">
      <w:rPr>
        <w:rFonts w:ascii="Arial" w:hAnsi="Arial" w:cs="Arial"/>
        <w:b/>
        <w:sz w:val="48"/>
      </w:rPr>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8229C8" w14:textId="70A7136A" w:rsidR="00C952B6" w:rsidRPr="00C952B6" w:rsidRDefault="00C952B6" w:rsidP="00C952B6">
    <w:pPr>
      <w:pStyle w:val="FooterCoverPage"/>
      <w:rPr>
        <w:rFonts w:ascii="Arial" w:hAnsi="Arial" w:cs="Arial"/>
        <w:b/>
        <w:sz w:val="48"/>
      </w:rPr>
    </w:pPr>
    <w:r w:rsidRPr="00C952B6">
      <w:rPr>
        <w:rFonts w:ascii="Arial" w:hAnsi="Arial" w:cs="Arial"/>
        <w:b/>
        <w:sz w:val="48"/>
      </w:rPr>
      <w:t>ES</w:t>
    </w:r>
    <w:r w:rsidRPr="00C952B6">
      <w:rPr>
        <w:rFonts w:ascii="Arial" w:hAnsi="Arial" w:cs="Arial"/>
        <w:b/>
        <w:sz w:val="48"/>
      </w:rPr>
      <w:tab/>
    </w:r>
    <w:r w:rsidRPr="00C952B6">
      <w:rPr>
        <w:rFonts w:ascii="Arial" w:hAnsi="Arial" w:cs="Arial"/>
        <w:b/>
        <w:sz w:val="48"/>
      </w:rPr>
      <w:tab/>
    </w:r>
    <w:r w:rsidRPr="00C952B6">
      <w:tab/>
    </w:r>
    <w:r w:rsidRPr="00C952B6">
      <w:rPr>
        <w:rFonts w:ascii="Arial" w:hAnsi="Arial" w:cs="Arial"/>
        <w:b/>
        <w:sz w:val="48"/>
      </w:rPr>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9445D2" w14:textId="77777777" w:rsidR="00C952B6" w:rsidRPr="00C952B6" w:rsidRDefault="00C952B6" w:rsidP="00C952B6">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EC8FD4" w14:textId="77777777" w:rsidR="00DB0FE0" w:rsidRDefault="00DB0FE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61EB35" w14:textId="77777777" w:rsidR="00DB0FE0" w:rsidRPr="00301E8C" w:rsidRDefault="00DB0FE0">
    <w:pPr>
      <w:pStyle w:val="BodyText"/>
      <w:spacing w:line="14" w:lineRule="auto"/>
      <w:rPr>
        <w:sz w:val="20"/>
      </w:rPr>
    </w:pPr>
    <w:r>
      <w:rPr>
        <w:noProof/>
        <w:sz w:val="20"/>
        <w:lang w:val="en-GB" w:eastAsia="en-GB"/>
      </w:rPr>
      <mc:AlternateContent>
        <mc:Choice Requires="wps">
          <w:drawing>
            <wp:anchor distT="0" distB="0" distL="0" distR="0" simplePos="0" relativeHeight="251658240" behindDoc="1" locked="0" layoutInCell="1" allowOverlap="1" wp14:anchorId="668926F2" wp14:editId="36A808D3">
              <wp:simplePos x="0" y="0"/>
              <wp:positionH relativeFrom="page">
                <wp:posOffset>3680586</wp:posOffset>
              </wp:positionH>
              <wp:positionV relativeFrom="page">
                <wp:posOffset>9884301</wp:posOffset>
              </wp:positionV>
              <wp:extent cx="129539" cy="139065"/>
              <wp:effectExtent l="0" t="0" r="0" b="0"/>
              <wp:wrapNone/>
              <wp:docPr id="2001415817"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9539" cy="139065"/>
                      </a:xfrm>
                      <a:prstGeom prst="rect">
                        <a:avLst/>
                      </a:prstGeom>
                    </wps:spPr>
                    <wps:txbx>
                      <w:txbxContent>
                        <w:p w14:paraId="2E5B635E" w14:textId="12FB4578" w:rsidR="00DB0FE0" w:rsidRPr="00301E8C" w:rsidRDefault="00DB0FE0">
                          <w:pPr>
                            <w:spacing w:before="14"/>
                            <w:ind w:left="20"/>
                            <w:rPr>
                              <w:sz w:val="16"/>
                            </w:rPr>
                          </w:pPr>
                          <w:r>
                            <w:rPr>
                              <w:sz w:val="16"/>
                            </w:rPr>
                            <w:fldChar w:fldCharType="begin"/>
                          </w:r>
                          <w:r>
                            <w:rPr>
                              <w:sz w:val="16"/>
                            </w:rPr>
                            <w:instrText xml:space="preserve"> PAGE </w:instrText>
                          </w:r>
                          <w:r>
                            <w:rPr>
                              <w:sz w:val="16"/>
                            </w:rPr>
                            <w:fldChar w:fldCharType="separate"/>
                          </w:r>
                          <w:r w:rsidR="00C952B6">
                            <w:rPr>
                              <w:noProof/>
                              <w:sz w:val="16"/>
                            </w:rPr>
                            <w:t>1</w:t>
                          </w:r>
                          <w:r>
                            <w:rPr>
                              <w:sz w:val="16"/>
                            </w:rPr>
                            <w:fldChar w:fldCharType="end"/>
                          </w:r>
                        </w:p>
                      </w:txbxContent>
                    </wps:txbx>
                    <wps:bodyPr wrap="square" lIns="0" tIns="0" rIns="0" bIns="0" rtlCol="0">
                      <a:noAutofit/>
                    </wps:bodyPr>
                  </wps:wsp>
                </a:graphicData>
              </a:graphic>
            </wp:anchor>
          </w:drawing>
        </mc:Choice>
        <mc:Fallback>
          <w:pict>
            <v:shapetype w14:anchorId="668926F2" id="_x0000_t202" coordsize="21600,21600" o:spt="202" path="m,l,21600r21600,l21600,xe">
              <v:stroke joinstyle="miter"/>
              <v:path gradientshapeok="t" o:connecttype="rect"/>
            </v:shapetype>
            <v:shape id="Textbox 1" o:spid="_x0000_s1026" type="#_x0000_t202" style="position:absolute;left:0;text-align:left;margin-left:289.8pt;margin-top:778.3pt;width:10.2pt;height:10.9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" filled="f" stroked="f">
              <v:path arrowok="t"/>
              <v:textbox inset="0,0,0,0">
                <w:txbxContent>
                  <w:p w14:paraId="2E5B635E" w14:textId="12FB4578" w:rsidR="00DB0FE0" w:rsidRPr="00301E8C" w:rsidRDefault="00DB0FE0">
                    <w:pPr>
                      <w:spacing w:before="14"/>
                      <w:ind w:left="20"/>
                      <w:rPr>
                        <w:sz w:val="16"/>
                      </w:rPr>
                    </w:pPr>
                    <w:r>
                      <w:rPr>
                        <w:sz w:val="16"/>
                      </w:rPr>
                      <w:fldChar w:fldCharType="begin"/>
                    </w:r>
                    <w:r>
                      <w:rPr>
                        <w:sz w:val="16"/>
                      </w:rPr>
                      <w:instrText xml:space="preserve"> PAGE </w:instrText>
                    </w:r>
                    <w:r>
                      <w:rPr>
                        <w:sz w:val="16"/>
                      </w:rPr>
                      <w:fldChar w:fldCharType="separate"/>
                    </w:r>
                    <w:r w:rsidR="00C952B6">
                      <w:rPr>
                        <w:noProof/>
                        <w:sz w:val="16"/>
                      </w:rPr>
                      <w:t>1</w:t>
                    </w:r>
                    <w:r>
                      <w:rPr>
                        <w:sz w:val="16"/>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BA8C92" w14:textId="77777777" w:rsidR="00DB0FE0" w:rsidRDefault="00DB0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87A2EE" w14:textId="77777777" w:rsidR="00585C78" w:rsidRPr="00301E8C" w:rsidRDefault="00585C78">
      <w:r>
        <w:separator/>
      </w:r>
    </w:p>
  </w:footnote>
  <w:footnote w:type="continuationSeparator" w:id="0">
    <w:p w14:paraId="2349BC9F" w14:textId="77777777" w:rsidR="00585C78" w:rsidRPr="00301E8C" w:rsidRDefault="00585C78">
      <w:r>
        <w:continuationSeparator/>
      </w:r>
    </w:p>
  </w:footnote>
  <w:footnote w:id="1">
    <w:p w14:paraId="2F2503C0" w14:textId="2ED67256" w:rsidR="007B2CEE" w:rsidRPr="00DD3071" w:rsidRDefault="007B2CEE">
      <w:pPr>
        <w:pStyle w:val="FootnoteText"/>
      </w:pPr>
      <w:r>
        <w:rPr>
          <w:rStyle w:val="FootnoteReference"/>
        </w:rPr>
        <w:footnoteRef/>
      </w:r>
      <w:r>
        <w:t xml:space="preserve"> Datos provisionales de Eurostat.</w:t>
      </w:r>
    </w:p>
  </w:footnote>
  <w:footnote w:id="2">
    <w:p w14:paraId="430AB2E4" w14:textId="77777777" w:rsidR="007B2CEE" w:rsidRPr="00194E6D" w:rsidRDefault="007B2CEE" w:rsidP="007B2CEE">
      <w:pPr>
        <w:pStyle w:val="FootnoteText"/>
      </w:pPr>
      <w:r>
        <w:rPr>
          <w:rStyle w:val="FootnoteReference"/>
        </w:rPr>
        <w:footnoteRef/>
      </w:r>
      <w:r>
        <w:t xml:space="preserve"> Datos provisionales de Eurostat. </w:t>
      </w:r>
    </w:p>
  </w:footnote>
  <w:footnote w:id="3">
    <w:p w14:paraId="3715051F" w14:textId="282BE0B7" w:rsidR="00775BDF" w:rsidRPr="00DD3071" w:rsidRDefault="00775BDF">
      <w:pPr>
        <w:pStyle w:val="FootnoteText"/>
      </w:pPr>
      <w:r>
        <w:rPr>
          <w:rStyle w:val="FootnoteReference"/>
        </w:rPr>
        <w:footnoteRef/>
      </w:r>
      <w:r>
        <w:t xml:space="preserve"> </w:t>
      </w:r>
      <w:hyperlink r:id="rId1" w:history="1">
        <w:r>
          <w:rPr>
            <w:rStyle w:val="Hyperlink"/>
          </w:rPr>
          <w:t>COM(2026) 43 final</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6D69FA" w14:textId="77777777" w:rsidR="00C952B6" w:rsidRPr="00C952B6" w:rsidRDefault="00C952B6" w:rsidP="00C952B6">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5B385B" w14:textId="77777777" w:rsidR="00C952B6" w:rsidRPr="00C952B6" w:rsidRDefault="00C952B6" w:rsidP="00C952B6">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404119" w14:textId="77777777" w:rsidR="00C952B6" w:rsidRPr="00C952B6" w:rsidRDefault="00C952B6" w:rsidP="00C952B6">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E4C9BE" w14:textId="77777777" w:rsidR="00DB0FE0" w:rsidRDefault="00DB0FE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D7B874" w14:textId="77777777" w:rsidR="00DB0FE0" w:rsidRDefault="00DB0FE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108E51" w14:textId="77777777" w:rsidR="00DB0FE0" w:rsidRDefault="00DB0F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8A0CD5"/>
    <w:multiLevelType w:val="hybridMultilevel"/>
    <w:tmpl w:val="190EB434"/>
    <w:lvl w:ilvl="0" w:tplc="DCAEA1D6">
      <w:start w:val="4"/>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2C2412E6"/>
    <w:multiLevelType w:val="multilevel"/>
    <w:tmpl w:val="AD4E1A68"/>
    <w:lvl w:ilvl="0">
      <w:start w:val="1"/>
      <w:numFmt w:val="decimal"/>
      <w:lvlText w:val="%1."/>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CE207C2"/>
    <w:multiLevelType w:val="hybridMultilevel"/>
    <w:tmpl w:val="17C8975C"/>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2D3A5117"/>
    <w:multiLevelType w:val="multilevel"/>
    <w:tmpl w:val="31F038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89148DC"/>
    <w:multiLevelType w:val="hybridMultilevel"/>
    <w:tmpl w:val="E9EA71A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3FA310E8"/>
    <w:multiLevelType w:val="hybridMultilevel"/>
    <w:tmpl w:val="AB8A53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6654CF5"/>
    <w:multiLevelType w:val="multilevel"/>
    <w:tmpl w:val="092E7EBC"/>
    <w:lvl w:ilvl="0">
      <w:start w:val="1"/>
      <w:numFmt w:val="decimal"/>
      <w:lvlText w:val="%1."/>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8A52528"/>
    <w:multiLevelType w:val="multilevel"/>
    <w:tmpl w:val="AD4E1A68"/>
    <w:lvl w:ilvl="0">
      <w:start w:val="1"/>
      <w:numFmt w:val="decimal"/>
      <w:lvlText w:val="%1."/>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EC23E5F"/>
    <w:multiLevelType w:val="hybridMultilevel"/>
    <w:tmpl w:val="2A042C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0993AD9"/>
    <w:multiLevelType w:val="hybridMultilevel"/>
    <w:tmpl w:val="22C8DAE6"/>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56C50317"/>
    <w:multiLevelType w:val="hybridMultilevel"/>
    <w:tmpl w:val="9454073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684B52D9"/>
    <w:multiLevelType w:val="multilevel"/>
    <w:tmpl w:val="E506A268"/>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2" w15:restartNumberingAfterBreak="0">
    <w:nsid w:val="6AFD3BAE"/>
    <w:multiLevelType w:val="hybridMultilevel"/>
    <w:tmpl w:val="67B6127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74AE147B"/>
    <w:multiLevelType w:val="hybridMultilevel"/>
    <w:tmpl w:val="CD827A1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79EE69CB"/>
    <w:multiLevelType w:val="hybridMultilevel"/>
    <w:tmpl w:val="A7CE020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7FC213AA"/>
    <w:multiLevelType w:val="hybridMultilevel"/>
    <w:tmpl w:val="3D320C8E"/>
    <w:lvl w:ilvl="0" w:tplc="1809000B">
      <w:start w:val="1"/>
      <w:numFmt w:val="bullet"/>
      <w:lvlText w:val=""/>
      <w:lvlJc w:val="left"/>
      <w:pPr>
        <w:ind w:left="360" w:hanging="360"/>
      </w:pPr>
      <w:rPr>
        <w:rFonts w:ascii="Wingdings" w:hAnsi="Wingdings" w:hint="default"/>
      </w:rPr>
    </w:lvl>
    <w:lvl w:ilvl="1" w:tplc="18090003" w:tentative="1">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num w:numId="1">
    <w:abstractNumId w:val="11"/>
  </w:num>
  <w:num w:numId="2">
    <w:abstractNumId w:val="10"/>
  </w:num>
  <w:num w:numId="3">
    <w:abstractNumId w:val="15"/>
  </w:num>
  <w:num w:numId="4">
    <w:abstractNumId w:val="0"/>
  </w:num>
  <w:num w:numId="5">
    <w:abstractNumId w:val="5"/>
  </w:num>
  <w:num w:numId="6">
    <w:abstractNumId w:val="4"/>
  </w:num>
  <w:num w:numId="7">
    <w:abstractNumId w:val="2"/>
  </w:num>
  <w:num w:numId="8">
    <w:abstractNumId w:val="3"/>
  </w:num>
  <w:num w:numId="9">
    <w:abstractNumId w:val="7"/>
  </w:num>
  <w:num w:numId="10">
    <w:abstractNumId w:val="9"/>
  </w:num>
  <w:num w:numId="11">
    <w:abstractNumId w:val="6"/>
  </w:num>
  <w:num w:numId="12">
    <w:abstractNumId w:val="1"/>
  </w:num>
  <w:num w:numId="13">
    <w:abstractNumId w:val="8"/>
  </w:num>
  <w:num w:numId="14">
    <w:abstractNumId w:val="13"/>
  </w:num>
  <w:num w:numId="15">
    <w:abstractNumId w:val="12"/>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8E1FB839-37F8-449D-A325-4DC9B8D4F094"/>
    <w:docVar w:name="LW_COVERPAGE_TYPE" w:val="1"/>
    <w:docVar w:name="LW_CROSSREFERENCE" w:val="&lt;UNUSED&gt;"/>
    <w:docVar w:name="LW_DocType" w:val="NORMAL"/>
    <w:docVar w:name="LW_EMISSION" w:val="30.4.2026"/>
    <w:docVar w:name="LW_EMISSION_ISODATE" w:val="2026-04-30"/>
    <w:docVar w:name="LW_EMISSION_LOCATION" w:val="BRX"/>
    <w:docVar w:name="LW_EMISSION_PREFIX" w:val="Bruselas, "/>
    <w:docVar w:name="LW_EMISSION_SUFFIX" w:val=" "/>
    <w:docVar w:name="LW_ID_DOCTYPE_NONLW" w:val="CP-006"/>
    <w:docVar w:name="LW_LANGUE" w:val="ES"/>
    <w:docVar w:name="LW_LEVEL_OF_SENSITIVITY" w:val="Standard treatment"/>
    <w:docVar w:name="LW_NOM.INST" w:val="COMISIÓN EUROPEA"/>
    <w:docVar w:name="LW_NOM.INST_JOINTDOC" w:val="&lt;EMPTY&gt;"/>
    <w:docVar w:name="LW_PART_NBR" w:val="1"/>
    <w:docVar w:name="LW_PART_NBR_TOTAL" w:val="1"/>
    <w:docVar w:name="LW_REF.INST.NEW" w:val="COM"/>
    <w:docVar w:name="LW_REF.INST.NEW_ADOPTED" w:val="final"/>
    <w:docVar w:name="LW_REF.INST.NEW_TEXT" w:val="(2026) 16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rimer informe de situación sobre la aplicación del Plan de Acción para la Liberalización de Visados por parte de Armenia"/>
    <w:docVar w:name="LW_TYPE.DOC.CP" w:val="INFORME DE LA COMISIÓN AL PARLAMENTO EUROPEO Y AL CONSEJO"/>
    <w:docVar w:name="LwApiVersions" w:val="LW4CoDe 1.24.5.0; LW 9.2, Build 20251112"/>
  </w:docVars>
  <w:rsids>
    <w:rsidRoot w:val="00810814"/>
    <w:rsid w:val="000001C9"/>
    <w:rsid w:val="000006F6"/>
    <w:rsid w:val="0000119B"/>
    <w:rsid w:val="00001E69"/>
    <w:rsid w:val="0000257A"/>
    <w:rsid w:val="00002743"/>
    <w:rsid w:val="00003279"/>
    <w:rsid w:val="00005362"/>
    <w:rsid w:val="000062B6"/>
    <w:rsid w:val="0000758C"/>
    <w:rsid w:val="0001040F"/>
    <w:rsid w:val="00010B89"/>
    <w:rsid w:val="0001234F"/>
    <w:rsid w:val="000124BE"/>
    <w:rsid w:val="00013FF0"/>
    <w:rsid w:val="000155E9"/>
    <w:rsid w:val="00015ECC"/>
    <w:rsid w:val="00016A13"/>
    <w:rsid w:val="000227AC"/>
    <w:rsid w:val="000227CE"/>
    <w:rsid w:val="000237B6"/>
    <w:rsid w:val="00023C02"/>
    <w:rsid w:val="00025463"/>
    <w:rsid w:val="00025748"/>
    <w:rsid w:val="000269CD"/>
    <w:rsid w:val="000313FF"/>
    <w:rsid w:val="00034689"/>
    <w:rsid w:val="00034AA1"/>
    <w:rsid w:val="0003556B"/>
    <w:rsid w:val="000376E9"/>
    <w:rsid w:val="0004003C"/>
    <w:rsid w:val="00042480"/>
    <w:rsid w:val="00044706"/>
    <w:rsid w:val="00045CC6"/>
    <w:rsid w:val="000500CD"/>
    <w:rsid w:val="000507DC"/>
    <w:rsid w:val="00052C83"/>
    <w:rsid w:val="0005323C"/>
    <w:rsid w:val="00053990"/>
    <w:rsid w:val="00057798"/>
    <w:rsid w:val="00060005"/>
    <w:rsid w:val="000614C5"/>
    <w:rsid w:val="000631BB"/>
    <w:rsid w:val="00063475"/>
    <w:rsid w:val="0007051C"/>
    <w:rsid w:val="000711F2"/>
    <w:rsid w:val="00071FF4"/>
    <w:rsid w:val="00072F1B"/>
    <w:rsid w:val="000769CB"/>
    <w:rsid w:val="00077994"/>
    <w:rsid w:val="000845C4"/>
    <w:rsid w:val="00084C8E"/>
    <w:rsid w:val="000859A5"/>
    <w:rsid w:val="00090CEA"/>
    <w:rsid w:val="00090FCB"/>
    <w:rsid w:val="00091071"/>
    <w:rsid w:val="00091708"/>
    <w:rsid w:val="00093D43"/>
    <w:rsid w:val="000A0EFC"/>
    <w:rsid w:val="000A46AF"/>
    <w:rsid w:val="000A579D"/>
    <w:rsid w:val="000B023B"/>
    <w:rsid w:val="000B16C8"/>
    <w:rsid w:val="000B6A47"/>
    <w:rsid w:val="000C10FD"/>
    <w:rsid w:val="000C18A7"/>
    <w:rsid w:val="000C3289"/>
    <w:rsid w:val="000C370C"/>
    <w:rsid w:val="000C414C"/>
    <w:rsid w:val="000C7206"/>
    <w:rsid w:val="000D0A29"/>
    <w:rsid w:val="000D3BC1"/>
    <w:rsid w:val="000E0034"/>
    <w:rsid w:val="000E0FA0"/>
    <w:rsid w:val="000E1B2F"/>
    <w:rsid w:val="000E21FE"/>
    <w:rsid w:val="000E3218"/>
    <w:rsid w:val="000E359A"/>
    <w:rsid w:val="000E42CE"/>
    <w:rsid w:val="000E6C06"/>
    <w:rsid w:val="000F012D"/>
    <w:rsid w:val="000F1F7F"/>
    <w:rsid w:val="000F36E6"/>
    <w:rsid w:val="000F68E5"/>
    <w:rsid w:val="000F77AF"/>
    <w:rsid w:val="00100044"/>
    <w:rsid w:val="00101586"/>
    <w:rsid w:val="00102069"/>
    <w:rsid w:val="00102AE8"/>
    <w:rsid w:val="00104470"/>
    <w:rsid w:val="00107081"/>
    <w:rsid w:val="00107D30"/>
    <w:rsid w:val="001108F1"/>
    <w:rsid w:val="0011228A"/>
    <w:rsid w:val="001153CD"/>
    <w:rsid w:val="00117DFA"/>
    <w:rsid w:val="001245C5"/>
    <w:rsid w:val="00124E80"/>
    <w:rsid w:val="00126CB4"/>
    <w:rsid w:val="00132D21"/>
    <w:rsid w:val="0013372F"/>
    <w:rsid w:val="00133820"/>
    <w:rsid w:val="00136ED9"/>
    <w:rsid w:val="00142184"/>
    <w:rsid w:val="00142658"/>
    <w:rsid w:val="00144BA7"/>
    <w:rsid w:val="00144DB1"/>
    <w:rsid w:val="00145B1E"/>
    <w:rsid w:val="00145C37"/>
    <w:rsid w:val="00146516"/>
    <w:rsid w:val="00147F1B"/>
    <w:rsid w:val="001502D7"/>
    <w:rsid w:val="001513B8"/>
    <w:rsid w:val="0016244C"/>
    <w:rsid w:val="00166F8F"/>
    <w:rsid w:val="001705F1"/>
    <w:rsid w:val="001710E3"/>
    <w:rsid w:val="00172626"/>
    <w:rsid w:val="00175EC4"/>
    <w:rsid w:val="00182432"/>
    <w:rsid w:val="00184DE4"/>
    <w:rsid w:val="001914E7"/>
    <w:rsid w:val="0019281C"/>
    <w:rsid w:val="00192E22"/>
    <w:rsid w:val="00193764"/>
    <w:rsid w:val="00193F26"/>
    <w:rsid w:val="001947A1"/>
    <w:rsid w:val="0019782F"/>
    <w:rsid w:val="00197BCC"/>
    <w:rsid w:val="001A5EFD"/>
    <w:rsid w:val="001A7643"/>
    <w:rsid w:val="001B0B56"/>
    <w:rsid w:val="001B3C93"/>
    <w:rsid w:val="001B4F63"/>
    <w:rsid w:val="001B55C9"/>
    <w:rsid w:val="001B5A5B"/>
    <w:rsid w:val="001B6016"/>
    <w:rsid w:val="001B77FA"/>
    <w:rsid w:val="001C4D91"/>
    <w:rsid w:val="001C68BA"/>
    <w:rsid w:val="001C6AC7"/>
    <w:rsid w:val="001D240D"/>
    <w:rsid w:val="001D26E6"/>
    <w:rsid w:val="001D370A"/>
    <w:rsid w:val="001D3D72"/>
    <w:rsid w:val="001D40E6"/>
    <w:rsid w:val="001D7C05"/>
    <w:rsid w:val="001E7E96"/>
    <w:rsid w:val="001F00A3"/>
    <w:rsid w:val="001F1455"/>
    <w:rsid w:val="001F1ECA"/>
    <w:rsid w:val="001F3C91"/>
    <w:rsid w:val="001F4522"/>
    <w:rsid w:val="001F4F3E"/>
    <w:rsid w:val="001F605D"/>
    <w:rsid w:val="001F763C"/>
    <w:rsid w:val="00200142"/>
    <w:rsid w:val="00200C63"/>
    <w:rsid w:val="00202597"/>
    <w:rsid w:val="0020489B"/>
    <w:rsid w:val="002048EF"/>
    <w:rsid w:val="00204C0A"/>
    <w:rsid w:val="0020533A"/>
    <w:rsid w:val="0020775D"/>
    <w:rsid w:val="00207FE9"/>
    <w:rsid w:val="002106D1"/>
    <w:rsid w:val="00212406"/>
    <w:rsid w:val="0021472F"/>
    <w:rsid w:val="00216AF2"/>
    <w:rsid w:val="00217D36"/>
    <w:rsid w:val="00217DEE"/>
    <w:rsid w:val="002210CA"/>
    <w:rsid w:val="00221279"/>
    <w:rsid w:val="002215D2"/>
    <w:rsid w:val="00221C0A"/>
    <w:rsid w:val="00221D81"/>
    <w:rsid w:val="00223C06"/>
    <w:rsid w:val="00226A16"/>
    <w:rsid w:val="002279F8"/>
    <w:rsid w:val="00235EB4"/>
    <w:rsid w:val="00239281"/>
    <w:rsid w:val="002401B9"/>
    <w:rsid w:val="00240742"/>
    <w:rsid w:val="0024136F"/>
    <w:rsid w:val="00242F84"/>
    <w:rsid w:val="002467B6"/>
    <w:rsid w:val="002477E6"/>
    <w:rsid w:val="002503AC"/>
    <w:rsid w:val="00252E05"/>
    <w:rsid w:val="00252E9B"/>
    <w:rsid w:val="00253A66"/>
    <w:rsid w:val="00253BCB"/>
    <w:rsid w:val="002554F9"/>
    <w:rsid w:val="00257431"/>
    <w:rsid w:val="00262433"/>
    <w:rsid w:val="00262989"/>
    <w:rsid w:val="00265642"/>
    <w:rsid w:val="002664D7"/>
    <w:rsid w:val="00267AB5"/>
    <w:rsid w:val="00272DEE"/>
    <w:rsid w:val="002733A8"/>
    <w:rsid w:val="00275EA3"/>
    <w:rsid w:val="002808FB"/>
    <w:rsid w:val="002831E1"/>
    <w:rsid w:val="00286B46"/>
    <w:rsid w:val="0029080A"/>
    <w:rsid w:val="00290C22"/>
    <w:rsid w:val="00291759"/>
    <w:rsid w:val="002917A2"/>
    <w:rsid w:val="002924A4"/>
    <w:rsid w:val="00292842"/>
    <w:rsid w:val="00295AC7"/>
    <w:rsid w:val="0029693E"/>
    <w:rsid w:val="00297845"/>
    <w:rsid w:val="002A3601"/>
    <w:rsid w:val="002A3AB6"/>
    <w:rsid w:val="002B2519"/>
    <w:rsid w:val="002B2B7D"/>
    <w:rsid w:val="002B2DBC"/>
    <w:rsid w:val="002B2DDD"/>
    <w:rsid w:val="002B4277"/>
    <w:rsid w:val="002B667F"/>
    <w:rsid w:val="002C77BC"/>
    <w:rsid w:val="002D0C37"/>
    <w:rsid w:val="002D2B96"/>
    <w:rsid w:val="002D33DD"/>
    <w:rsid w:val="002D39FB"/>
    <w:rsid w:val="002D4816"/>
    <w:rsid w:val="002E550C"/>
    <w:rsid w:val="002E574F"/>
    <w:rsid w:val="002F0963"/>
    <w:rsid w:val="002F0B0E"/>
    <w:rsid w:val="002F12E7"/>
    <w:rsid w:val="002F2C52"/>
    <w:rsid w:val="002F3FC9"/>
    <w:rsid w:val="002F4EC7"/>
    <w:rsid w:val="002F53F7"/>
    <w:rsid w:val="002F57BC"/>
    <w:rsid w:val="003011B0"/>
    <w:rsid w:val="00301E8C"/>
    <w:rsid w:val="00305621"/>
    <w:rsid w:val="003071D1"/>
    <w:rsid w:val="00310572"/>
    <w:rsid w:val="00313186"/>
    <w:rsid w:val="003157C2"/>
    <w:rsid w:val="00315D99"/>
    <w:rsid w:val="00322A08"/>
    <w:rsid w:val="00323C50"/>
    <w:rsid w:val="00323EBD"/>
    <w:rsid w:val="00325A22"/>
    <w:rsid w:val="00326593"/>
    <w:rsid w:val="00326686"/>
    <w:rsid w:val="003306B9"/>
    <w:rsid w:val="003312CF"/>
    <w:rsid w:val="00332878"/>
    <w:rsid w:val="00335916"/>
    <w:rsid w:val="003369AD"/>
    <w:rsid w:val="003369F5"/>
    <w:rsid w:val="00336D64"/>
    <w:rsid w:val="0034267F"/>
    <w:rsid w:val="00343522"/>
    <w:rsid w:val="00345E24"/>
    <w:rsid w:val="003536CD"/>
    <w:rsid w:val="00353A3E"/>
    <w:rsid w:val="00353B58"/>
    <w:rsid w:val="00354263"/>
    <w:rsid w:val="00355ABF"/>
    <w:rsid w:val="0036317A"/>
    <w:rsid w:val="00363F99"/>
    <w:rsid w:val="00365AEC"/>
    <w:rsid w:val="00370EDB"/>
    <w:rsid w:val="003730FD"/>
    <w:rsid w:val="0037685F"/>
    <w:rsid w:val="00376FFF"/>
    <w:rsid w:val="00377316"/>
    <w:rsid w:val="0038016A"/>
    <w:rsid w:val="0038120D"/>
    <w:rsid w:val="00382657"/>
    <w:rsid w:val="00382D75"/>
    <w:rsid w:val="00383874"/>
    <w:rsid w:val="003840B9"/>
    <w:rsid w:val="00384B0E"/>
    <w:rsid w:val="00385F3A"/>
    <w:rsid w:val="00392700"/>
    <w:rsid w:val="00392F7D"/>
    <w:rsid w:val="0039360B"/>
    <w:rsid w:val="00394365"/>
    <w:rsid w:val="00394F7E"/>
    <w:rsid w:val="00397B19"/>
    <w:rsid w:val="003A0358"/>
    <w:rsid w:val="003A040A"/>
    <w:rsid w:val="003A0996"/>
    <w:rsid w:val="003A2E9D"/>
    <w:rsid w:val="003A3388"/>
    <w:rsid w:val="003A5F74"/>
    <w:rsid w:val="003A7EF3"/>
    <w:rsid w:val="003B156F"/>
    <w:rsid w:val="003B2CBF"/>
    <w:rsid w:val="003B3D04"/>
    <w:rsid w:val="003B5166"/>
    <w:rsid w:val="003C130B"/>
    <w:rsid w:val="003C7A88"/>
    <w:rsid w:val="003C7D62"/>
    <w:rsid w:val="003C7F7F"/>
    <w:rsid w:val="003D258B"/>
    <w:rsid w:val="003D3FBD"/>
    <w:rsid w:val="003E179E"/>
    <w:rsid w:val="003E18D8"/>
    <w:rsid w:val="003E25D6"/>
    <w:rsid w:val="003E27EA"/>
    <w:rsid w:val="003E3539"/>
    <w:rsid w:val="003E3D8F"/>
    <w:rsid w:val="003E5E75"/>
    <w:rsid w:val="003E6617"/>
    <w:rsid w:val="003E77A4"/>
    <w:rsid w:val="003F1EF8"/>
    <w:rsid w:val="003F2FC8"/>
    <w:rsid w:val="003F3949"/>
    <w:rsid w:val="003F53F2"/>
    <w:rsid w:val="003F5DEA"/>
    <w:rsid w:val="003F6541"/>
    <w:rsid w:val="00400029"/>
    <w:rsid w:val="00401EEA"/>
    <w:rsid w:val="00402314"/>
    <w:rsid w:val="004037BB"/>
    <w:rsid w:val="00407C26"/>
    <w:rsid w:val="00410B02"/>
    <w:rsid w:val="00411C61"/>
    <w:rsid w:val="00413809"/>
    <w:rsid w:val="004152EB"/>
    <w:rsid w:val="00417415"/>
    <w:rsid w:val="00417AAB"/>
    <w:rsid w:val="00421159"/>
    <w:rsid w:val="004219ED"/>
    <w:rsid w:val="0042404D"/>
    <w:rsid w:val="00427E77"/>
    <w:rsid w:val="0043377A"/>
    <w:rsid w:val="0043426F"/>
    <w:rsid w:val="004372EC"/>
    <w:rsid w:val="00437534"/>
    <w:rsid w:val="00440440"/>
    <w:rsid w:val="004405BF"/>
    <w:rsid w:val="00442D3A"/>
    <w:rsid w:val="00443C9A"/>
    <w:rsid w:val="00444FF5"/>
    <w:rsid w:val="00445743"/>
    <w:rsid w:val="0045091F"/>
    <w:rsid w:val="004570BF"/>
    <w:rsid w:val="00457522"/>
    <w:rsid w:val="0046367E"/>
    <w:rsid w:val="0046385A"/>
    <w:rsid w:val="004679E2"/>
    <w:rsid w:val="00471CFB"/>
    <w:rsid w:val="00472448"/>
    <w:rsid w:val="004742D1"/>
    <w:rsid w:val="0047546D"/>
    <w:rsid w:val="004756EC"/>
    <w:rsid w:val="00475B5C"/>
    <w:rsid w:val="00477839"/>
    <w:rsid w:val="00481F7A"/>
    <w:rsid w:val="00483A5E"/>
    <w:rsid w:val="0048434F"/>
    <w:rsid w:val="00485773"/>
    <w:rsid w:val="004866F3"/>
    <w:rsid w:val="00487D97"/>
    <w:rsid w:val="00487F68"/>
    <w:rsid w:val="00490588"/>
    <w:rsid w:val="00495F35"/>
    <w:rsid w:val="004964A6"/>
    <w:rsid w:val="004974C4"/>
    <w:rsid w:val="004A3EE9"/>
    <w:rsid w:val="004A4658"/>
    <w:rsid w:val="004B0DC4"/>
    <w:rsid w:val="004C1106"/>
    <w:rsid w:val="004C1CA7"/>
    <w:rsid w:val="004C6685"/>
    <w:rsid w:val="004C7E8E"/>
    <w:rsid w:val="004D3D06"/>
    <w:rsid w:val="004D3F66"/>
    <w:rsid w:val="004D4091"/>
    <w:rsid w:val="004D47B4"/>
    <w:rsid w:val="004D572B"/>
    <w:rsid w:val="004D574D"/>
    <w:rsid w:val="004E0574"/>
    <w:rsid w:val="004E1B4B"/>
    <w:rsid w:val="004E25B7"/>
    <w:rsid w:val="004E2B3E"/>
    <w:rsid w:val="004E49A3"/>
    <w:rsid w:val="004E524E"/>
    <w:rsid w:val="004E548B"/>
    <w:rsid w:val="004E74E1"/>
    <w:rsid w:val="004F2559"/>
    <w:rsid w:val="004F271D"/>
    <w:rsid w:val="004F38F2"/>
    <w:rsid w:val="004F6A36"/>
    <w:rsid w:val="004F6F19"/>
    <w:rsid w:val="005004CE"/>
    <w:rsid w:val="00500961"/>
    <w:rsid w:val="005021A8"/>
    <w:rsid w:val="00503AFA"/>
    <w:rsid w:val="0050416E"/>
    <w:rsid w:val="00504CB4"/>
    <w:rsid w:val="00504EDC"/>
    <w:rsid w:val="00506464"/>
    <w:rsid w:val="00511D35"/>
    <w:rsid w:val="00512897"/>
    <w:rsid w:val="00515FAA"/>
    <w:rsid w:val="00517DF5"/>
    <w:rsid w:val="00521D74"/>
    <w:rsid w:val="00522840"/>
    <w:rsid w:val="0052465D"/>
    <w:rsid w:val="005268E2"/>
    <w:rsid w:val="00531B3D"/>
    <w:rsid w:val="00531DEF"/>
    <w:rsid w:val="00533125"/>
    <w:rsid w:val="005341FD"/>
    <w:rsid w:val="00534EB4"/>
    <w:rsid w:val="00535FC4"/>
    <w:rsid w:val="005432C9"/>
    <w:rsid w:val="00543543"/>
    <w:rsid w:val="00544709"/>
    <w:rsid w:val="00544ABE"/>
    <w:rsid w:val="00545E8D"/>
    <w:rsid w:val="005460FB"/>
    <w:rsid w:val="005518B8"/>
    <w:rsid w:val="00554A4E"/>
    <w:rsid w:val="00556BE6"/>
    <w:rsid w:val="0056024A"/>
    <w:rsid w:val="00560AE5"/>
    <w:rsid w:val="00562037"/>
    <w:rsid w:val="00563E86"/>
    <w:rsid w:val="005706FC"/>
    <w:rsid w:val="00570862"/>
    <w:rsid w:val="00571253"/>
    <w:rsid w:val="00571902"/>
    <w:rsid w:val="005738EC"/>
    <w:rsid w:val="0057484C"/>
    <w:rsid w:val="00575CD2"/>
    <w:rsid w:val="0058142E"/>
    <w:rsid w:val="00581690"/>
    <w:rsid w:val="00584369"/>
    <w:rsid w:val="00584D33"/>
    <w:rsid w:val="00585B7D"/>
    <w:rsid w:val="00585C78"/>
    <w:rsid w:val="0059068B"/>
    <w:rsid w:val="00590796"/>
    <w:rsid w:val="005926D9"/>
    <w:rsid w:val="00592D40"/>
    <w:rsid w:val="00592F58"/>
    <w:rsid w:val="005957C9"/>
    <w:rsid w:val="0059682B"/>
    <w:rsid w:val="00597C0A"/>
    <w:rsid w:val="00597E2B"/>
    <w:rsid w:val="005A01D2"/>
    <w:rsid w:val="005A3522"/>
    <w:rsid w:val="005A39D2"/>
    <w:rsid w:val="005A6513"/>
    <w:rsid w:val="005A6960"/>
    <w:rsid w:val="005A6D40"/>
    <w:rsid w:val="005A777B"/>
    <w:rsid w:val="005B34FC"/>
    <w:rsid w:val="005B52DD"/>
    <w:rsid w:val="005C2B11"/>
    <w:rsid w:val="005C4944"/>
    <w:rsid w:val="005C51B7"/>
    <w:rsid w:val="005C6643"/>
    <w:rsid w:val="005C6D06"/>
    <w:rsid w:val="005D1E3C"/>
    <w:rsid w:val="005D2105"/>
    <w:rsid w:val="005D438D"/>
    <w:rsid w:val="005D47DE"/>
    <w:rsid w:val="005D552F"/>
    <w:rsid w:val="005D55A8"/>
    <w:rsid w:val="005D7128"/>
    <w:rsid w:val="005E02F9"/>
    <w:rsid w:val="005E0CE8"/>
    <w:rsid w:val="005E4AB9"/>
    <w:rsid w:val="005E51B8"/>
    <w:rsid w:val="005E5437"/>
    <w:rsid w:val="005E6AF1"/>
    <w:rsid w:val="005F000A"/>
    <w:rsid w:val="005F12ED"/>
    <w:rsid w:val="005F254B"/>
    <w:rsid w:val="005F46F8"/>
    <w:rsid w:val="005F53CF"/>
    <w:rsid w:val="005F59E9"/>
    <w:rsid w:val="005F5E03"/>
    <w:rsid w:val="005F6AE6"/>
    <w:rsid w:val="006003BA"/>
    <w:rsid w:val="00602F49"/>
    <w:rsid w:val="00603124"/>
    <w:rsid w:val="00603480"/>
    <w:rsid w:val="006039BF"/>
    <w:rsid w:val="00607A58"/>
    <w:rsid w:val="006112F2"/>
    <w:rsid w:val="00612979"/>
    <w:rsid w:val="0061723D"/>
    <w:rsid w:val="0062124F"/>
    <w:rsid w:val="00621DF6"/>
    <w:rsid w:val="0062205F"/>
    <w:rsid w:val="006319EE"/>
    <w:rsid w:val="0063329D"/>
    <w:rsid w:val="006353AD"/>
    <w:rsid w:val="0063621E"/>
    <w:rsid w:val="006362B1"/>
    <w:rsid w:val="006368EF"/>
    <w:rsid w:val="006402C5"/>
    <w:rsid w:val="00641EF5"/>
    <w:rsid w:val="00646B49"/>
    <w:rsid w:val="006559A4"/>
    <w:rsid w:val="00656F36"/>
    <w:rsid w:val="00657127"/>
    <w:rsid w:val="00657BAD"/>
    <w:rsid w:val="00660548"/>
    <w:rsid w:val="006615DB"/>
    <w:rsid w:val="006622EE"/>
    <w:rsid w:val="00662536"/>
    <w:rsid w:val="0066345B"/>
    <w:rsid w:val="0066649A"/>
    <w:rsid w:val="00667B9C"/>
    <w:rsid w:val="00672F13"/>
    <w:rsid w:val="0068143E"/>
    <w:rsid w:val="00683EF9"/>
    <w:rsid w:val="0068546A"/>
    <w:rsid w:val="006919C2"/>
    <w:rsid w:val="00692B59"/>
    <w:rsid w:val="00694334"/>
    <w:rsid w:val="00695D63"/>
    <w:rsid w:val="00695F1A"/>
    <w:rsid w:val="006960F7"/>
    <w:rsid w:val="006A0119"/>
    <w:rsid w:val="006A0B37"/>
    <w:rsid w:val="006A359F"/>
    <w:rsid w:val="006A4262"/>
    <w:rsid w:val="006A618F"/>
    <w:rsid w:val="006A72F8"/>
    <w:rsid w:val="006B4BB6"/>
    <w:rsid w:val="006C3BB1"/>
    <w:rsid w:val="006C5BCA"/>
    <w:rsid w:val="006C5D8B"/>
    <w:rsid w:val="006C607E"/>
    <w:rsid w:val="006D1CC7"/>
    <w:rsid w:val="006D736C"/>
    <w:rsid w:val="006D755B"/>
    <w:rsid w:val="006D7904"/>
    <w:rsid w:val="006E0945"/>
    <w:rsid w:val="006E0FBB"/>
    <w:rsid w:val="006E11F4"/>
    <w:rsid w:val="006E1D36"/>
    <w:rsid w:val="006E1DEC"/>
    <w:rsid w:val="006E2988"/>
    <w:rsid w:val="006E3325"/>
    <w:rsid w:val="006E4804"/>
    <w:rsid w:val="006E6941"/>
    <w:rsid w:val="006F0218"/>
    <w:rsid w:val="006F03E1"/>
    <w:rsid w:val="006F342F"/>
    <w:rsid w:val="006F4649"/>
    <w:rsid w:val="006F4D75"/>
    <w:rsid w:val="00701499"/>
    <w:rsid w:val="0070334E"/>
    <w:rsid w:val="007046C1"/>
    <w:rsid w:val="007119A9"/>
    <w:rsid w:val="00712EEE"/>
    <w:rsid w:val="00715811"/>
    <w:rsid w:val="007205A4"/>
    <w:rsid w:val="00720674"/>
    <w:rsid w:val="0072208E"/>
    <w:rsid w:val="00722B49"/>
    <w:rsid w:val="00724D2F"/>
    <w:rsid w:val="00725177"/>
    <w:rsid w:val="00725CAD"/>
    <w:rsid w:val="00729C54"/>
    <w:rsid w:val="00732A86"/>
    <w:rsid w:val="00733442"/>
    <w:rsid w:val="007344A5"/>
    <w:rsid w:val="00734C02"/>
    <w:rsid w:val="007350CA"/>
    <w:rsid w:val="007352DE"/>
    <w:rsid w:val="007361F4"/>
    <w:rsid w:val="00737104"/>
    <w:rsid w:val="0074336E"/>
    <w:rsid w:val="00743590"/>
    <w:rsid w:val="00745447"/>
    <w:rsid w:val="0074556F"/>
    <w:rsid w:val="007474E3"/>
    <w:rsid w:val="00753E15"/>
    <w:rsid w:val="0075498B"/>
    <w:rsid w:val="007557CF"/>
    <w:rsid w:val="0075773D"/>
    <w:rsid w:val="0076050D"/>
    <w:rsid w:val="00764F22"/>
    <w:rsid w:val="007659CF"/>
    <w:rsid w:val="00770BD0"/>
    <w:rsid w:val="007739A0"/>
    <w:rsid w:val="007739E7"/>
    <w:rsid w:val="007758CE"/>
    <w:rsid w:val="00775BDF"/>
    <w:rsid w:val="00780578"/>
    <w:rsid w:val="007828EF"/>
    <w:rsid w:val="0078390A"/>
    <w:rsid w:val="00783912"/>
    <w:rsid w:val="007864C6"/>
    <w:rsid w:val="00786AA0"/>
    <w:rsid w:val="007903D4"/>
    <w:rsid w:val="00791B08"/>
    <w:rsid w:val="00793638"/>
    <w:rsid w:val="00793F87"/>
    <w:rsid w:val="007A0F3F"/>
    <w:rsid w:val="007A1AF6"/>
    <w:rsid w:val="007A7D24"/>
    <w:rsid w:val="007B1EEE"/>
    <w:rsid w:val="007B2CEE"/>
    <w:rsid w:val="007B2F51"/>
    <w:rsid w:val="007B4D0A"/>
    <w:rsid w:val="007B5841"/>
    <w:rsid w:val="007B70C7"/>
    <w:rsid w:val="007B72F1"/>
    <w:rsid w:val="007B786E"/>
    <w:rsid w:val="007C2F4E"/>
    <w:rsid w:val="007C7FBA"/>
    <w:rsid w:val="007D4279"/>
    <w:rsid w:val="007D53E0"/>
    <w:rsid w:val="007D6EF7"/>
    <w:rsid w:val="007E1167"/>
    <w:rsid w:val="007E139C"/>
    <w:rsid w:val="007E250E"/>
    <w:rsid w:val="007E640E"/>
    <w:rsid w:val="007E706D"/>
    <w:rsid w:val="007F0C7E"/>
    <w:rsid w:val="007F2BE4"/>
    <w:rsid w:val="007F32E0"/>
    <w:rsid w:val="007F416D"/>
    <w:rsid w:val="007F4B17"/>
    <w:rsid w:val="007F6AC9"/>
    <w:rsid w:val="007F7D20"/>
    <w:rsid w:val="008003BF"/>
    <w:rsid w:val="00800C1B"/>
    <w:rsid w:val="008025A4"/>
    <w:rsid w:val="00802F43"/>
    <w:rsid w:val="00805441"/>
    <w:rsid w:val="00806DF8"/>
    <w:rsid w:val="00810814"/>
    <w:rsid w:val="00810AF6"/>
    <w:rsid w:val="00811867"/>
    <w:rsid w:val="0081226B"/>
    <w:rsid w:val="00814210"/>
    <w:rsid w:val="008179B4"/>
    <w:rsid w:val="00820946"/>
    <w:rsid w:val="00820B25"/>
    <w:rsid w:val="00822B36"/>
    <w:rsid w:val="00825A22"/>
    <w:rsid w:val="00825A7D"/>
    <w:rsid w:val="00826029"/>
    <w:rsid w:val="00826C15"/>
    <w:rsid w:val="00830511"/>
    <w:rsid w:val="008350F5"/>
    <w:rsid w:val="00836413"/>
    <w:rsid w:val="00836D85"/>
    <w:rsid w:val="008413D6"/>
    <w:rsid w:val="008418E6"/>
    <w:rsid w:val="00845FAA"/>
    <w:rsid w:val="00847027"/>
    <w:rsid w:val="008473FE"/>
    <w:rsid w:val="00847FD1"/>
    <w:rsid w:val="00850030"/>
    <w:rsid w:val="00851045"/>
    <w:rsid w:val="00851ECB"/>
    <w:rsid w:val="00852AA9"/>
    <w:rsid w:val="00855020"/>
    <w:rsid w:val="00855183"/>
    <w:rsid w:val="00855226"/>
    <w:rsid w:val="008579F2"/>
    <w:rsid w:val="00860F22"/>
    <w:rsid w:val="00864FD6"/>
    <w:rsid w:val="00865284"/>
    <w:rsid w:val="0086636C"/>
    <w:rsid w:val="00870266"/>
    <w:rsid w:val="008713A9"/>
    <w:rsid w:val="00874E3E"/>
    <w:rsid w:val="00875781"/>
    <w:rsid w:val="00875C05"/>
    <w:rsid w:val="008766DE"/>
    <w:rsid w:val="00882783"/>
    <w:rsid w:val="008834EE"/>
    <w:rsid w:val="00883E67"/>
    <w:rsid w:val="0088652B"/>
    <w:rsid w:val="0089025E"/>
    <w:rsid w:val="00890549"/>
    <w:rsid w:val="008929D2"/>
    <w:rsid w:val="00893420"/>
    <w:rsid w:val="00897117"/>
    <w:rsid w:val="008A3933"/>
    <w:rsid w:val="008A397F"/>
    <w:rsid w:val="008A6846"/>
    <w:rsid w:val="008B00DA"/>
    <w:rsid w:val="008B0C08"/>
    <w:rsid w:val="008B2FDD"/>
    <w:rsid w:val="008B3436"/>
    <w:rsid w:val="008B6924"/>
    <w:rsid w:val="008C1FF1"/>
    <w:rsid w:val="008C3A43"/>
    <w:rsid w:val="008C4824"/>
    <w:rsid w:val="008C6329"/>
    <w:rsid w:val="008D1083"/>
    <w:rsid w:val="008D19B9"/>
    <w:rsid w:val="008D3F28"/>
    <w:rsid w:val="008D6A41"/>
    <w:rsid w:val="008E0BE5"/>
    <w:rsid w:val="008E0E09"/>
    <w:rsid w:val="008E11A4"/>
    <w:rsid w:val="008E4852"/>
    <w:rsid w:val="008E5D06"/>
    <w:rsid w:val="008E5F8E"/>
    <w:rsid w:val="008E6D65"/>
    <w:rsid w:val="008E7AE2"/>
    <w:rsid w:val="008F03A8"/>
    <w:rsid w:val="008F1905"/>
    <w:rsid w:val="008F41EC"/>
    <w:rsid w:val="009000AA"/>
    <w:rsid w:val="0090105C"/>
    <w:rsid w:val="0091153F"/>
    <w:rsid w:val="00911595"/>
    <w:rsid w:val="009140E1"/>
    <w:rsid w:val="00914F92"/>
    <w:rsid w:val="00915AC3"/>
    <w:rsid w:val="00920AA8"/>
    <w:rsid w:val="00925492"/>
    <w:rsid w:val="00926B64"/>
    <w:rsid w:val="00926DF5"/>
    <w:rsid w:val="00933871"/>
    <w:rsid w:val="009356DF"/>
    <w:rsid w:val="009376A2"/>
    <w:rsid w:val="00940D6B"/>
    <w:rsid w:val="00943339"/>
    <w:rsid w:val="00943F0D"/>
    <w:rsid w:val="009506C1"/>
    <w:rsid w:val="00950B52"/>
    <w:rsid w:val="009531F5"/>
    <w:rsid w:val="00953298"/>
    <w:rsid w:val="00956300"/>
    <w:rsid w:val="0095785E"/>
    <w:rsid w:val="00957D3F"/>
    <w:rsid w:val="00961B74"/>
    <w:rsid w:val="00971DB1"/>
    <w:rsid w:val="00972855"/>
    <w:rsid w:val="00980DA0"/>
    <w:rsid w:val="00981131"/>
    <w:rsid w:val="00982FA6"/>
    <w:rsid w:val="00983315"/>
    <w:rsid w:val="00983630"/>
    <w:rsid w:val="009853E7"/>
    <w:rsid w:val="00990DBA"/>
    <w:rsid w:val="00994285"/>
    <w:rsid w:val="00994551"/>
    <w:rsid w:val="00995AF1"/>
    <w:rsid w:val="009965B0"/>
    <w:rsid w:val="009A26C5"/>
    <w:rsid w:val="009A3B6F"/>
    <w:rsid w:val="009A598E"/>
    <w:rsid w:val="009A6F0D"/>
    <w:rsid w:val="009A7161"/>
    <w:rsid w:val="009B2AF5"/>
    <w:rsid w:val="009B4D6B"/>
    <w:rsid w:val="009B70A5"/>
    <w:rsid w:val="009B70DB"/>
    <w:rsid w:val="009B758B"/>
    <w:rsid w:val="009C312A"/>
    <w:rsid w:val="009C54D8"/>
    <w:rsid w:val="009C60C5"/>
    <w:rsid w:val="009C6C01"/>
    <w:rsid w:val="009D1023"/>
    <w:rsid w:val="009D1B2A"/>
    <w:rsid w:val="009D1B53"/>
    <w:rsid w:val="009D2702"/>
    <w:rsid w:val="009D271B"/>
    <w:rsid w:val="009D2789"/>
    <w:rsid w:val="009D31E5"/>
    <w:rsid w:val="009D3C1F"/>
    <w:rsid w:val="009D448D"/>
    <w:rsid w:val="009D5234"/>
    <w:rsid w:val="009D5667"/>
    <w:rsid w:val="009D59ED"/>
    <w:rsid w:val="009D5E82"/>
    <w:rsid w:val="009E7AE8"/>
    <w:rsid w:val="009F0C44"/>
    <w:rsid w:val="009F125D"/>
    <w:rsid w:val="009F27C6"/>
    <w:rsid w:val="009F2DA8"/>
    <w:rsid w:val="009F3CED"/>
    <w:rsid w:val="009F52ED"/>
    <w:rsid w:val="009F5CB0"/>
    <w:rsid w:val="009F7027"/>
    <w:rsid w:val="009F7192"/>
    <w:rsid w:val="009F7A25"/>
    <w:rsid w:val="00A073F5"/>
    <w:rsid w:val="00A12CAF"/>
    <w:rsid w:val="00A14250"/>
    <w:rsid w:val="00A14F58"/>
    <w:rsid w:val="00A16A1F"/>
    <w:rsid w:val="00A209D9"/>
    <w:rsid w:val="00A211B0"/>
    <w:rsid w:val="00A227DA"/>
    <w:rsid w:val="00A2345D"/>
    <w:rsid w:val="00A2410C"/>
    <w:rsid w:val="00A308D4"/>
    <w:rsid w:val="00A37E2F"/>
    <w:rsid w:val="00A412D3"/>
    <w:rsid w:val="00A41639"/>
    <w:rsid w:val="00A42886"/>
    <w:rsid w:val="00A456A5"/>
    <w:rsid w:val="00A45A88"/>
    <w:rsid w:val="00A46D2E"/>
    <w:rsid w:val="00A53DEB"/>
    <w:rsid w:val="00A56ED1"/>
    <w:rsid w:val="00A57E06"/>
    <w:rsid w:val="00A60FE1"/>
    <w:rsid w:val="00A62617"/>
    <w:rsid w:val="00A63862"/>
    <w:rsid w:val="00A6793F"/>
    <w:rsid w:val="00A70417"/>
    <w:rsid w:val="00A7593F"/>
    <w:rsid w:val="00A765AD"/>
    <w:rsid w:val="00A765E9"/>
    <w:rsid w:val="00A81E56"/>
    <w:rsid w:val="00A82378"/>
    <w:rsid w:val="00A8596D"/>
    <w:rsid w:val="00A85DE3"/>
    <w:rsid w:val="00A90907"/>
    <w:rsid w:val="00A91CF4"/>
    <w:rsid w:val="00A91E22"/>
    <w:rsid w:val="00A9331A"/>
    <w:rsid w:val="00A974EE"/>
    <w:rsid w:val="00AA5172"/>
    <w:rsid w:val="00AA5C61"/>
    <w:rsid w:val="00AA7A9E"/>
    <w:rsid w:val="00AB139F"/>
    <w:rsid w:val="00AB1E97"/>
    <w:rsid w:val="00AB2583"/>
    <w:rsid w:val="00AB259A"/>
    <w:rsid w:val="00AB3C52"/>
    <w:rsid w:val="00AB4143"/>
    <w:rsid w:val="00AB4997"/>
    <w:rsid w:val="00AB6C7C"/>
    <w:rsid w:val="00AC0F27"/>
    <w:rsid w:val="00AC4A0D"/>
    <w:rsid w:val="00AD1012"/>
    <w:rsid w:val="00AD2C9A"/>
    <w:rsid w:val="00AD4CEB"/>
    <w:rsid w:val="00AE1AF0"/>
    <w:rsid w:val="00AE5FCB"/>
    <w:rsid w:val="00AE6ADC"/>
    <w:rsid w:val="00AF110E"/>
    <w:rsid w:val="00AF1E78"/>
    <w:rsid w:val="00AF6567"/>
    <w:rsid w:val="00B00807"/>
    <w:rsid w:val="00B00DA6"/>
    <w:rsid w:val="00B04020"/>
    <w:rsid w:val="00B04263"/>
    <w:rsid w:val="00B04829"/>
    <w:rsid w:val="00B06238"/>
    <w:rsid w:val="00B06C19"/>
    <w:rsid w:val="00B06DCC"/>
    <w:rsid w:val="00B07333"/>
    <w:rsid w:val="00B07C3F"/>
    <w:rsid w:val="00B082FF"/>
    <w:rsid w:val="00B1575C"/>
    <w:rsid w:val="00B17149"/>
    <w:rsid w:val="00B201DA"/>
    <w:rsid w:val="00B207D6"/>
    <w:rsid w:val="00B21195"/>
    <w:rsid w:val="00B2270D"/>
    <w:rsid w:val="00B22875"/>
    <w:rsid w:val="00B22A9B"/>
    <w:rsid w:val="00B3167D"/>
    <w:rsid w:val="00B337B1"/>
    <w:rsid w:val="00B34DE6"/>
    <w:rsid w:val="00B36DA7"/>
    <w:rsid w:val="00B37770"/>
    <w:rsid w:val="00B37CF3"/>
    <w:rsid w:val="00B40F4C"/>
    <w:rsid w:val="00B418BF"/>
    <w:rsid w:val="00B435BB"/>
    <w:rsid w:val="00B44744"/>
    <w:rsid w:val="00B45601"/>
    <w:rsid w:val="00B45D68"/>
    <w:rsid w:val="00B52905"/>
    <w:rsid w:val="00B53271"/>
    <w:rsid w:val="00B54917"/>
    <w:rsid w:val="00B56ED1"/>
    <w:rsid w:val="00B61BC1"/>
    <w:rsid w:val="00B64D3E"/>
    <w:rsid w:val="00B6542B"/>
    <w:rsid w:val="00B7197C"/>
    <w:rsid w:val="00B7392C"/>
    <w:rsid w:val="00B74742"/>
    <w:rsid w:val="00B75108"/>
    <w:rsid w:val="00B75440"/>
    <w:rsid w:val="00B757FA"/>
    <w:rsid w:val="00B843E8"/>
    <w:rsid w:val="00B846C4"/>
    <w:rsid w:val="00B873C7"/>
    <w:rsid w:val="00B9213F"/>
    <w:rsid w:val="00B92FE3"/>
    <w:rsid w:val="00B93E03"/>
    <w:rsid w:val="00BA06EE"/>
    <w:rsid w:val="00BA088C"/>
    <w:rsid w:val="00BA1D50"/>
    <w:rsid w:val="00BA2364"/>
    <w:rsid w:val="00BA59E2"/>
    <w:rsid w:val="00BA5A1F"/>
    <w:rsid w:val="00BA66C7"/>
    <w:rsid w:val="00BA6C93"/>
    <w:rsid w:val="00BB19FD"/>
    <w:rsid w:val="00BB2A31"/>
    <w:rsid w:val="00BB3228"/>
    <w:rsid w:val="00BB3A02"/>
    <w:rsid w:val="00BB563B"/>
    <w:rsid w:val="00BB60DB"/>
    <w:rsid w:val="00BB7CCE"/>
    <w:rsid w:val="00BC0C68"/>
    <w:rsid w:val="00BC11B2"/>
    <w:rsid w:val="00BC1B94"/>
    <w:rsid w:val="00BC3917"/>
    <w:rsid w:val="00BC6EBF"/>
    <w:rsid w:val="00BD06EF"/>
    <w:rsid w:val="00BD236D"/>
    <w:rsid w:val="00BD5290"/>
    <w:rsid w:val="00BD5655"/>
    <w:rsid w:val="00BE2700"/>
    <w:rsid w:val="00BE2F7E"/>
    <w:rsid w:val="00BE640C"/>
    <w:rsid w:val="00BE749C"/>
    <w:rsid w:val="00BF0041"/>
    <w:rsid w:val="00BF1F59"/>
    <w:rsid w:val="00BF307E"/>
    <w:rsid w:val="00BF3DE3"/>
    <w:rsid w:val="00BF5584"/>
    <w:rsid w:val="00BF5C1B"/>
    <w:rsid w:val="00BF5D2C"/>
    <w:rsid w:val="00C01584"/>
    <w:rsid w:val="00C05919"/>
    <w:rsid w:val="00C065FB"/>
    <w:rsid w:val="00C10B49"/>
    <w:rsid w:val="00C133A0"/>
    <w:rsid w:val="00C14C3D"/>
    <w:rsid w:val="00C158FE"/>
    <w:rsid w:val="00C15E9A"/>
    <w:rsid w:val="00C164AC"/>
    <w:rsid w:val="00C166E3"/>
    <w:rsid w:val="00C22548"/>
    <w:rsid w:val="00C238B6"/>
    <w:rsid w:val="00C24ABF"/>
    <w:rsid w:val="00C26C2D"/>
    <w:rsid w:val="00C26E64"/>
    <w:rsid w:val="00C27333"/>
    <w:rsid w:val="00C27349"/>
    <w:rsid w:val="00C2774E"/>
    <w:rsid w:val="00C31A85"/>
    <w:rsid w:val="00C40542"/>
    <w:rsid w:val="00C41F81"/>
    <w:rsid w:val="00C426F4"/>
    <w:rsid w:val="00C4312B"/>
    <w:rsid w:val="00C4514F"/>
    <w:rsid w:val="00C45F97"/>
    <w:rsid w:val="00C460E7"/>
    <w:rsid w:val="00C50716"/>
    <w:rsid w:val="00C52587"/>
    <w:rsid w:val="00C53947"/>
    <w:rsid w:val="00C53A03"/>
    <w:rsid w:val="00C543EA"/>
    <w:rsid w:val="00C561B3"/>
    <w:rsid w:val="00C562D7"/>
    <w:rsid w:val="00C57974"/>
    <w:rsid w:val="00C6440E"/>
    <w:rsid w:val="00C64700"/>
    <w:rsid w:val="00C6471F"/>
    <w:rsid w:val="00C64829"/>
    <w:rsid w:val="00C7231F"/>
    <w:rsid w:val="00C72DB6"/>
    <w:rsid w:val="00C732E7"/>
    <w:rsid w:val="00C762B0"/>
    <w:rsid w:val="00C76397"/>
    <w:rsid w:val="00C7641C"/>
    <w:rsid w:val="00C76505"/>
    <w:rsid w:val="00C8237F"/>
    <w:rsid w:val="00C82A0A"/>
    <w:rsid w:val="00C82E72"/>
    <w:rsid w:val="00C83259"/>
    <w:rsid w:val="00C854B7"/>
    <w:rsid w:val="00C856BA"/>
    <w:rsid w:val="00C86E99"/>
    <w:rsid w:val="00C92DA8"/>
    <w:rsid w:val="00C94186"/>
    <w:rsid w:val="00C944BD"/>
    <w:rsid w:val="00C948F2"/>
    <w:rsid w:val="00C951CA"/>
    <w:rsid w:val="00C952B6"/>
    <w:rsid w:val="00C96294"/>
    <w:rsid w:val="00C9678D"/>
    <w:rsid w:val="00CA0F46"/>
    <w:rsid w:val="00CA435D"/>
    <w:rsid w:val="00CA4AB6"/>
    <w:rsid w:val="00CA5060"/>
    <w:rsid w:val="00CA723E"/>
    <w:rsid w:val="00CA7B8E"/>
    <w:rsid w:val="00CB0F78"/>
    <w:rsid w:val="00CB25B8"/>
    <w:rsid w:val="00CB3319"/>
    <w:rsid w:val="00CB52F6"/>
    <w:rsid w:val="00CB751D"/>
    <w:rsid w:val="00CC00E2"/>
    <w:rsid w:val="00CC0EA0"/>
    <w:rsid w:val="00CC3D93"/>
    <w:rsid w:val="00CC5192"/>
    <w:rsid w:val="00CC59BE"/>
    <w:rsid w:val="00CC6B80"/>
    <w:rsid w:val="00CC708E"/>
    <w:rsid w:val="00CD1564"/>
    <w:rsid w:val="00CD15B2"/>
    <w:rsid w:val="00CD383C"/>
    <w:rsid w:val="00CD3B74"/>
    <w:rsid w:val="00CD3CCA"/>
    <w:rsid w:val="00CD4379"/>
    <w:rsid w:val="00CD56CC"/>
    <w:rsid w:val="00CD5825"/>
    <w:rsid w:val="00CD6BC4"/>
    <w:rsid w:val="00CE2175"/>
    <w:rsid w:val="00CE389C"/>
    <w:rsid w:val="00CE52A6"/>
    <w:rsid w:val="00CE621C"/>
    <w:rsid w:val="00CEBDED"/>
    <w:rsid w:val="00CF0B0A"/>
    <w:rsid w:val="00CF10A1"/>
    <w:rsid w:val="00CF1CF3"/>
    <w:rsid w:val="00CF1D13"/>
    <w:rsid w:val="00CF26B0"/>
    <w:rsid w:val="00CF39B8"/>
    <w:rsid w:val="00CF59FC"/>
    <w:rsid w:val="00CF6930"/>
    <w:rsid w:val="00D0123F"/>
    <w:rsid w:val="00D01C85"/>
    <w:rsid w:val="00D03F13"/>
    <w:rsid w:val="00D071A9"/>
    <w:rsid w:val="00D07962"/>
    <w:rsid w:val="00D11C76"/>
    <w:rsid w:val="00D1278C"/>
    <w:rsid w:val="00D156DF"/>
    <w:rsid w:val="00D201B5"/>
    <w:rsid w:val="00D2072B"/>
    <w:rsid w:val="00D20983"/>
    <w:rsid w:val="00D209CD"/>
    <w:rsid w:val="00D21800"/>
    <w:rsid w:val="00D23843"/>
    <w:rsid w:val="00D266B9"/>
    <w:rsid w:val="00D26CC6"/>
    <w:rsid w:val="00D27B5F"/>
    <w:rsid w:val="00D27DAB"/>
    <w:rsid w:val="00D33569"/>
    <w:rsid w:val="00D35211"/>
    <w:rsid w:val="00D36D38"/>
    <w:rsid w:val="00D50C5D"/>
    <w:rsid w:val="00D5132B"/>
    <w:rsid w:val="00D530C7"/>
    <w:rsid w:val="00D576E2"/>
    <w:rsid w:val="00D60A58"/>
    <w:rsid w:val="00D61B8D"/>
    <w:rsid w:val="00D62038"/>
    <w:rsid w:val="00D63E6B"/>
    <w:rsid w:val="00D64BF8"/>
    <w:rsid w:val="00D66D26"/>
    <w:rsid w:val="00D71BFB"/>
    <w:rsid w:val="00D7213F"/>
    <w:rsid w:val="00D73581"/>
    <w:rsid w:val="00D74376"/>
    <w:rsid w:val="00D811A6"/>
    <w:rsid w:val="00D82976"/>
    <w:rsid w:val="00D83F61"/>
    <w:rsid w:val="00D84D54"/>
    <w:rsid w:val="00D940ED"/>
    <w:rsid w:val="00D95315"/>
    <w:rsid w:val="00D96044"/>
    <w:rsid w:val="00D96A80"/>
    <w:rsid w:val="00DA1A20"/>
    <w:rsid w:val="00DA1DFC"/>
    <w:rsid w:val="00DA2050"/>
    <w:rsid w:val="00DA278C"/>
    <w:rsid w:val="00DA4FCE"/>
    <w:rsid w:val="00DB0C02"/>
    <w:rsid w:val="00DB0FE0"/>
    <w:rsid w:val="00DB1B6D"/>
    <w:rsid w:val="00DB3FD3"/>
    <w:rsid w:val="00DB4B0F"/>
    <w:rsid w:val="00DC3D70"/>
    <w:rsid w:val="00DC7928"/>
    <w:rsid w:val="00DC7C2B"/>
    <w:rsid w:val="00DD1682"/>
    <w:rsid w:val="00DD3071"/>
    <w:rsid w:val="00DE2E8C"/>
    <w:rsid w:val="00DE3C48"/>
    <w:rsid w:val="00DE3CAE"/>
    <w:rsid w:val="00DE51A8"/>
    <w:rsid w:val="00DE53DE"/>
    <w:rsid w:val="00DE77CC"/>
    <w:rsid w:val="00DE7993"/>
    <w:rsid w:val="00DF0D4B"/>
    <w:rsid w:val="00DF1D95"/>
    <w:rsid w:val="00DF2D10"/>
    <w:rsid w:val="00DF416A"/>
    <w:rsid w:val="00DF58E4"/>
    <w:rsid w:val="00DF5BBE"/>
    <w:rsid w:val="00E00D94"/>
    <w:rsid w:val="00E06157"/>
    <w:rsid w:val="00E15C45"/>
    <w:rsid w:val="00E1C5FB"/>
    <w:rsid w:val="00E20071"/>
    <w:rsid w:val="00E20AE9"/>
    <w:rsid w:val="00E23AD0"/>
    <w:rsid w:val="00E24072"/>
    <w:rsid w:val="00E24908"/>
    <w:rsid w:val="00E25F65"/>
    <w:rsid w:val="00E31950"/>
    <w:rsid w:val="00E3225A"/>
    <w:rsid w:val="00E34E6D"/>
    <w:rsid w:val="00E40948"/>
    <w:rsid w:val="00E423D8"/>
    <w:rsid w:val="00E42795"/>
    <w:rsid w:val="00E46277"/>
    <w:rsid w:val="00E47C38"/>
    <w:rsid w:val="00E537B8"/>
    <w:rsid w:val="00E5450B"/>
    <w:rsid w:val="00E5529F"/>
    <w:rsid w:val="00E575B6"/>
    <w:rsid w:val="00E6015B"/>
    <w:rsid w:val="00E608C6"/>
    <w:rsid w:val="00E61767"/>
    <w:rsid w:val="00E62254"/>
    <w:rsid w:val="00E63DE4"/>
    <w:rsid w:val="00E679FC"/>
    <w:rsid w:val="00E704A1"/>
    <w:rsid w:val="00E73050"/>
    <w:rsid w:val="00E75B16"/>
    <w:rsid w:val="00E76A03"/>
    <w:rsid w:val="00E776B0"/>
    <w:rsid w:val="00E80060"/>
    <w:rsid w:val="00E8069B"/>
    <w:rsid w:val="00E82EB4"/>
    <w:rsid w:val="00E834AD"/>
    <w:rsid w:val="00E83DD1"/>
    <w:rsid w:val="00E842D3"/>
    <w:rsid w:val="00E853F4"/>
    <w:rsid w:val="00E85B80"/>
    <w:rsid w:val="00E87A34"/>
    <w:rsid w:val="00E87C26"/>
    <w:rsid w:val="00E90850"/>
    <w:rsid w:val="00E91471"/>
    <w:rsid w:val="00E934DE"/>
    <w:rsid w:val="00E96C8A"/>
    <w:rsid w:val="00E9757A"/>
    <w:rsid w:val="00EA0588"/>
    <w:rsid w:val="00EA20CE"/>
    <w:rsid w:val="00EA3487"/>
    <w:rsid w:val="00EA3E5B"/>
    <w:rsid w:val="00EA526B"/>
    <w:rsid w:val="00EA5D72"/>
    <w:rsid w:val="00EB0EBD"/>
    <w:rsid w:val="00EB3F36"/>
    <w:rsid w:val="00EB516F"/>
    <w:rsid w:val="00EB5660"/>
    <w:rsid w:val="00EB6ABA"/>
    <w:rsid w:val="00EC189E"/>
    <w:rsid w:val="00EC27A0"/>
    <w:rsid w:val="00EC5CD1"/>
    <w:rsid w:val="00ED065A"/>
    <w:rsid w:val="00ED1C67"/>
    <w:rsid w:val="00ED5B40"/>
    <w:rsid w:val="00ED734E"/>
    <w:rsid w:val="00ED74DB"/>
    <w:rsid w:val="00EE0207"/>
    <w:rsid w:val="00EE7907"/>
    <w:rsid w:val="00EF36DB"/>
    <w:rsid w:val="00EF5DD8"/>
    <w:rsid w:val="00EF7B0C"/>
    <w:rsid w:val="00F05883"/>
    <w:rsid w:val="00F07A98"/>
    <w:rsid w:val="00F12549"/>
    <w:rsid w:val="00F17E17"/>
    <w:rsid w:val="00F205D0"/>
    <w:rsid w:val="00F20E62"/>
    <w:rsid w:val="00F20F42"/>
    <w:rsid w:val="00F2303C"/>
    <w:rsid w:val="00F23435"/>
    <w:rsid w:val="00F2513C"/>
    <w:rsid w:val="00F25AAA"/>
    <w:rsid w:val="00F3134B"/>
    <w:rsid w:val="00F3575D"/>
    <w:rsid w:val="00F35C20"/>
    <w:rsid w:val="00F370B3"/>
    <w:rsid w:val="00F4083A"/>
    <w:rsid w:val="00F40D22"/>
    <w:rsid w:val="00F42E07"/>
    <w:rsid w:val="00F451E2"/>
    <w:rsid w:val="00F462A9"/>
    <w:rsid w:val="00F5030F"/>
    <w:rsid w:val="00F51DDF"/>
    <w:rsid w:val="00F52784"/>
    <w:rsid w:val="00F52D65"/>
    <w:rsid w:val="00F57D62"/>
    <w:rsid w:val="00F616CA"/>
    <w:rsid w:val="00F618EC"/>
    <w:rsid w:val="00F645E3"/>
    <w:rsid w:val="00F71C03"/>
    <w:rsid w:val="00F726B5"/>
    <w:rsid w:val="00F73310"/>
    <w:rsid w:val="00F73667"/>
    <w:rsid w:val="00F765A0"/>
    <w:rsid w:val="00F80053"/>
    <w:rsid w:val="00F83BAD"/>
    <w:rsid w:val="00F84FF6"/>
    <w:rsid w:val="00F86FA6"/>
    <w:rsid w:val="00F90308"/>
    <w:rsid w:val="00F908D6"/>
    <w:rsid w:val="00F90E6C"/>
    <w:rsid w:val="00F91E89"/>
    <w:rsid w:val="00F93D8E"/>
    <w:rsid w:val="00F96662"/>
    <w:rsid w:val="00F96A5C"/>
    <w:rsid w:val="00FA1BB0"/>
    <w:rsid w:val="00FA31E9"/>
    <w:rsid w:val="00FA3AC8"/>
    <w:rsid w:val="00FA4292"/>
    <w:rsid w:val="00FA60B7"/>
    <w:rsid w:val="00FA72FC"/>
    <w:rsid w:val="00FB3F56"/>
    <w:rsid w:val="00FB713A"/>
    <w:rsid w:val="00FB7F3D"/>
    <w:rsid w:val="00FC020E"/>
    <w:rsid w:val="00FC0A12"/>
    <w:rsid w:val="00FC4748"/>
    <w:rsid w:val="00FC58E1"/>
    <w:rsid w:val="00FC590A"/>
    <w:rsid w:val="00FC7FDF"/>
    <w:rsid w:val="00FD1A1C"/>
    <w:rsid w:val="00FD1BFD"/>
    <w:rsid w:val="00FD4710"/>
    <w:rsid w:val="00FD4CCC"/>
    <w:rsid w:val="00FD4CF1"/>
    <w:rsid w:val="00FD5932"/>
    <w:rsid w:val="00FD65AA"/>
    <w:rsid w:val="00FD733B"/>
    <w:rsid w:val="00FD7CDD"/>
    <w:rsid w:val="00FE38DB"/>
    <w:rsid w:val="00FE39A6"/>
    <w:rsid w:val="00FE44C3"/>
    <w:rsid w:val="00FE67C0"/>
    <w:rsid w:val="00FE713B"/>
    <w:rsid w:val="00FF08EB"/>
    <w:rsid w:val="00FF10C5"/>
    <w:rsid w:val="00FF1CCD"/>
    <w:rsid w:val="00FF2FFB"/>
    <w:rsid w:val="00FF5200"/>
    <w:rsid w:val="00FF58B1"/>
    <w:rsid w:val="00FF70B1"/>
    <w:rsid w:val="010BC246"/>
    <w:rsid w:val="0142036C"/>
    <w:rsid w:val="0147BF01"/>
    <w:rsid w:val="018A1010"/>
    <w:rsid w:val="01B5D7B1"/>
    <w:rsid w:val="026BF258"/>
    <w:rsid w:val="02824644"/>
    <w:rsid w:val="028459A7"/>
    <w:rsid w:val="02BDF894"/>
    <w:rsid w:val="02DF8DF3"/>
    <w:rsid w:val="02F92F32"/>
    <w:rsid w:val="03000D68"/>
    <w:rsid w:val="0351FF5A"/>
    <w:rsid w:val="037FEA5A"/>
    <w:rsid w:val="03BFF3AC"/>
    <w:rsid w:val="03F8793D"/>
    <w:rsid w:val="03FA8818"/>
    <w:rsid w:val="03FB1B4B"/>
    <w:rsid w:val="04084143"/>
    <w:rsid w:val="04366E6B"/>
    <w:rsid w:val="04AD4044"/>
    <w:rsid w:val="04E0B548"/>
    <w:rsid w:val="05094EED"/>
    <w:rsid w:val="0513FB1B"/>
    <w:rsid w:val="0550DD2F"/>
    <w:rsid w:val="058D6ED4"/>
    <w:rsid w:val="05933C3C"/>
    <w:rsid w:val="0669BC7F"/>
    <w:rsid w:val="069DB5BC"/>
    <w:rsid w:val="06A06D1A"/>
    <w:rsid w:val="06C7C982"/>
    <w:rsid w:val="06F6C67B"/>
    <w:rsid w:val="06FC4100"/>
    <w:rsid w:val="0717FCD0"/>
    <w:rsid w:val="0726CA5E"/>
    <w:rsid w:val="074A2B8F"/>
    <w:rsid w:val="0754AEC4"/>
    <w:rsid w:val="075C74E2"/>
    <w:rsid w:val="07BEA34A"/>
    <w:rsid w:val="080254F3"/>
    <w:rsid w:val="080C4C56"/>
    <w:rsid w:val="083D5DC4"/>
    <w:rsid w:val="0873ED72"/>
    <w:rsid w:val="08A90FFE"/>
    <w:rsid w:val="08EFAAA7"/>
    <w:rsid w:val="08FC6379"/>
    <w:rsid w:val="091839D7"/>
    <w:rsid w:val="095214AF"/>
    <w:rsid w:val="0966F0D0"/>
    <w:rsid w:val="0983E4B5"/>
    <w:rsid w:val="09B72D75"/>
    <w:rsid w:val="09DF1172"/>
    <w:rsid w:val="09DF8DE3"/>
    <w:rsid w:val="09E4EE5A"/>
    <w:rsid w:val="0A1827F7"/>
    <w:rsid w:val="0A2828E9"/>
    <w:rsid w:val="0A5EFFF8"/>
    <w:rsid w:val="0AAA38C3"/>
    <w:rsid w:val="0ADB1D87"/>
    <w:rsid w:val="0AE85CA0"/>
    <w:rsid w:val="0B01A5CB"/>
    <w:rsid w:val="0B476968"/>
    <w:rsid w:val="0B51CCE6"/>
    <w:rsid w:val="0B6844B8"/>
    <w:rsid w:val="0B7C2F7B"/>
    <w:rsid w:val="0B85F65C"/>
    <w:rsid w:val="0B8BF86E"/>
    <w:rsid w:val="0BA56721"/>
    <w:rsid w:val="0BF99281"/>
    <w:rsid w:val="0BFB4492"/>
    <w:rsid w:val="0C08F50F"/>
    <w:rsid w:val="0C0A43AC"/>
    <w:rsid w:val="0C50F276"/>
    <w:rsid w:val="0C7BCD01"/>
    <w:rsid w:val="0C9C1646"/>
    <w:rsid w:val="0CA5AC60"/>
    <w:rsid w:val="0CAD8041"/>
    <w:rsid w:val="0CB6BCFA"/>
    <w:rsid w:val="0CE989F5"/>
    <w:rsid w:val="0D015B42"/>
    <w:rsid w:val="0D0D2849"/>
    <w:rsid w:val="0D1EBEB2"/>
    <w:rsid w:val="0D48D75B"/>
    <w:rsid w:val="0D511812"/>
    <w:rsid w:val="0D59B5A6"/>
    <w:rsid w:val="0D90BE10"/>
    <w:rsid w:val="0DA79DB9"/>
    <w:rsid w:val="0DA86C0D"/>
    <w:rsid w:val="0DAAAEA4"/>
    <w:rsid w:val="0DDDCA8A"/>
    <w:rsid w:val="0DE44E13"/>
    <w:rsid w:val="0DF61715"/>
    <w:rsid w:val="0E1726CB"/>
    <w:rsid w:val="0E2ED6E3"/>
    <w:rsid w:val="0E534BA8"/>
    <w:rsid w:val="0E902406"/>
    <w:rsid w:val="0E9DD227"/>
    <w:rsid w:val="0EEDBBE3"/>
    <w:rsid w:val="0EF3C455"/>
    <w:rsid w:val="0EF66099"/>
    <w:rsid w:val="0F7D94E7"/>
    <w:rsid w:val="0F847FCF"/>
    <w:rsid w:val="0F9C063F"/>
    <w:rsid w:val="0FC32C10"/>
    <w:rsid w:val="0FCC5CB5"/>
    <w:rsid w:val="0FE889D4"/>
    <w:rsid w:val="10064663"/>
    <w:rsid w:val="10144013"/>
    <w:rsid w:val="108431DD"/>
    <w:rsid w:val="10A3A9C3"/>
    <w:rsid w:val="10AF7EC5"/>
    <w:rsid w:val="10C5610C"/>
    <w:rsid w:val="10E68C7E"/>
    <w:rsid w:val="110448E7"/>
    <w:rsid w:val="11081189"/>
    <w:rsid w:val="1166D721"/>
    <w:rsid w:val="11814C43"/>
    <w:rsid w:val="118E9304"/>
    <w:rsid w:val="11DD2D5F"/>
    <w:rsid w:val="11EFE9FE"/>
    <w:rsid w:val="12325C5F"/>
    <w:rsid w:val="126E283B"/>
    <w:rsid w:val="1274DCA7"/>
    <w:rsid w:val="12AB3C4C"/>
    <w:rsid w:val="135BAFAB"/>
    <w:rsid w:val="1380C5D4"/>
    <w:rsid w:val="138EB89C"/>
    <w:rsid w:val="141169BB"/>
    <w:rsid w:val="142A511E"/>
    <w:rsid w:val="1437ECF2"/>
    <w:rsid w:val="14414246"/>
    <w:rsid w:val="145AA66C"/>
    <w:rsid w:val="146D4742"/>
    <w:rsid w:val="147D448B"/>
    <w:rsid w:val="14951EA8"/>
    <w:rsid w:val="14F587CA"/>
    <w:rsid w:val="1547B6C7"/>
    <w:rsid w:val="1585049F"/>
    <w:rsid w:val="159F3FCB"/>
    <w:rsid w:val="15B2C11F"/>
    <w:rsid w:val="15DD12B7"/>
    <w:rsid w:val="15DEC997"/>
    <w:rsid w:val="160B3967"/>
    <w:rsid w:val="161A34F6"/>
    <w:rsid w:val="1631FAB3"/>
    <w:rsid w:val="1638B579"/>
    <w:rsid w:val="163D2A34"/>
    <w:rsid w:val="168465DC"/>
    <w:rsid w:val="168AA59D"/>
    <w:rsid w:val="16AA9083"/>
    <w:rsid w:val="16BFC2D1"/>
    <w:rsid w:val="16C7242F"/>
    <w:rsid w:val="16D981BB"/>
    <w:rsid w:val="16DE0CA5"/>
    <w:rsid w:val="17045F31"/>
    <w:rsid w:val="170D7517"/>
    <w:rsid w:val="170E67D1"/>
    <w:rsid w:val="17204131"/>
    <w:rsid w:val="17453B5A"/>
    <w:rsid w:val="1763B6D3"/>
    <w:rsid w:val="177A2564"/>
    <w:rsid w:val="17A7CEAF"/>
    <w:rsid w:val="18178ACB"/>
    <w:rsid w:val="186CAFE0"/>
    <w:rsid w:val="189DB8D5"/>
    <w:rsid w:val="18A7DDE4"/>
    <w:rsid w:val="18C24D4A"/>
    <w:rsid w:val="18D12ED6"/>
    <w:rsid w:val="18D65BFB"/>
    <w:rsid w:val="19001E1D"/>
    <w:rsid w:val="19092357"/>
    <w:rsid w:val="191C710E"/>
    <w:rsid w:val="192BFC20"/>
    <w:rsid w:val="19AAFA52"/>
    <w:rsid w:val="19FD06DD"/>
    <w:rsid w:val="1A6D6F67"/>
    <w:rsid w:val="1A722396"/>
    <w:rsid w:val="1A9EE3B4"/>
    <w:rsid w:val="1AA146E7"/>
    <w:rsid w:val="1ABCD7A3"/>
    <w:rsid w:val="1AD7C3D5"/>
    <w:rsid w:val="1AF74824"/>
    <w:rsid w:val="1B01F50A"/>
    <w:rsid w:val="1B6553D6"/>
    <w:rsid w:val="1BB642A1"/>
    <w:rsid w:val="1BC41B80"/>
    <w:rsid w:val="1BD6ED2C"/>
    <w:rsid w:val="1C0269A6"/>
    <w:rsid w:val="1C1AEA44"/>
    <w:rsid w:val="1C1C03EE"/>
    <w:rsid w:val="1C24498A"/>
    <w:rsid w:val="1C4E58D9"/>
    <w:rsid w:val="1C8920D5"/>
    <w:rsid w:val="1C9067CD"/>
    <w:rsid w:val="1CCC604A"/>
    <w:rsid w:val="1CEB33CE"/>
    <w:rsid w:val="1D23CCAE"/>
    <w:rsid w:val="1D50A4C2"/>
    <w:rsid w:val="1D90D2A4"/>
    <w:rsid w:val="1DAAB53C"/>
    <w:rsid w:val="1DC9D3C9"/>
    <w:rsid w:val="1E490E20"/>
    <w:rsid w:val="1E65A48D"/>
    <w:rsid w:val="1E6B1D36"/>
    <w:rsid w:val="1E6EFBB5"/>
    <w:rsid w:val="1E998589"/>
    <w:rsid w:val="1EA00677"/>
    <w:rsid w:val="1ED9B94C"/>
    <w:rsid w:val="1EDA9ECC"/>
    <w:rsid w:val="1EFCE46B"/>
    <w:rsid w:val="1F04BF05"/>
    <w:rsid w:val="1F072199"/>
    <w:rsid w:val="1FBE71EE"/>
    <w:rsid w:val="1FD415DB"/>
    <w:rsid w:val="1FDB314D"/>
    <w:rsid w:val="203C1284"/>
    <w:rsid w:val="205AAE3B"/>
    <w:rsid w:val="2083E6FB"/>
    <w:rsid w:val="20C93BB0"/>
    <w:rsid w:val="20E5093F"/>
    <w:rsid w:val="20E971E1"/>
    <w:rsid w:val="210972B7"/>
    <w:rsid w:val="211A6CC1"/>
    <w:rsid w:val="218709BD"/>
    <w:rsid w:val="2190CB23"/>
    <w:rsid w:val="219E9089"/>
    <w:rsid w:val="21ADAF3D"/>
    <w:rsid w:val="21BA0A31"/>
    <w:rsid w:val="21D56C71"/>
    <w:rsid w:val="21FE7662"/>
    <w:rsid w:val="2227C6CD"/>
    <w:rsid w:val="22392ADF"/>
    <w:rsid w:val="22E8E462"/>
    <w:rsid w:val="230C7D22"/>
    <w:rsid w:val="232EFB0C"/>
    <w:rsid w:val="235CAAA6"/>
    <w:rsid w:val="2362578B"/>
    <w:rsid w:val="23645C99"/>
    <w:rsid w:val="238E0C8D"/>
    <w:rsid w:val="23AD5C81"/>
    <w:rsid w:val="23B49470"/>
    <w:rsid w:val="23C8723E"/>
    <w:rsid w:val="23E8308A"/>
    <w:rsid w:val="2421AFBC"/>
    <w:rsid w:val="24315652"/>
    <w:rsid w:val="24560DFC"/>
    <w:rsid w:val="2478E146"/>
    <w:rsid w:val="249BE043"/>
    <w:rsid w:val="24C94C89"/>
    <w:rsid w:val="24CCDE6E"/>
    <w:rsid w:val="24CFC22B"/>
    <w:rsid w:val="24DE0A10"/>
    <w:rsid w:val="25228FF0"/>
    <w:rsid w:val="2530E3D0"/>
    <w:rsid w:val="25E15EF8"/>
    <w:rsid w:val="25E57A67"/>
    <w:rsid w:val="25EE0E75"/>
    <w:rsid w:val="25F15BEB"/>
    <w:rsid w:val="26146F90"/>
    <w:rsid w:val="263CE837"/>
    <w:rsid w:val="26C7A00A"/>
    <w:rsid w:val="26D0F24C"/>
    <w:rsid w:val="2707A912"/>
    <w:rsid w:val="271473C7"/>
    <w:rsid w:val="2761D6EB"/>
    <w:rsid w:val="27830A2F"/>
    <w:rsid w:val="27A14C9C"/>
    <w:rsid w:val="28034009"/>
    <w:rsid w:val="2805B024"/>
    <w:rsid w:val="281CE7A8"/>
    <w:rsid w:val="2831D95B"/>
    <w:rsid w:val="283D8938"/>
    <w:rsid w:val="289B4A1C"/>
    <w:rsid w:val="28E41CBE"/>
    <w:rsid w:val="28F3AB47"/>
    <w:rsid w:val="294C325E"/>
    <w:rsid w:val="29578364"/>
    <w:rsid w:val="29B06793"/>
    <w:rsid w:val="29BCD9FF"/>
    <w:rsid w:val="29F1244F"/>
    <w:rsid w:val="2A1D7F77"/>
    <w:rsid w:val="2A4A0557"/>
    <w:rsid w:val="2A4E2151"/>
    <w:rsid w:val="2A764946"/>
    <w:rsid w:val="2A7BB13C"/>
    <w:rsid w:val="2AA35014"/>
    <w:rsid w:val="2AA9EFA9"/>
    <w:rsid w:val="2AF373FA"/>
    <w:rsid w:val="2B1B0E7E"/>
    <w:rsid w:val="2B58C5D9"/>
    <w:rsid w:val="2B63489C"/>
    <w:rsid w:val="2B6CEAC6"/>
    <w:rsid w:val="2B871811"/>
    <w:rsid w:val="2B999E56"/>
    <w:rsid w:val="2BC60C4C"/>
    <w:rsid w:val="2BF45E27"/>
    <w:rsid w:val="2C09C945"/>
    <w:rsid w:val="2C210A1D"/>
    <w:rsid w:val="2C2D64A1"/>
    <w:rsid w:val="2C776E12"/>
    <w:rsid w:val="2C8F0CA0"/>
    <w:rsid w:val="2C9EBE38"/>
    <w:rsid w:val="2CA35505"/>
    <w:rsid w:val="2CF7A745"/>
    <w:rsid w:val="2CF9AE63"/>
    <w:rsid w:val="2CFBED57"/>
    <w:rsid w:val="2D14A3BF"/>
    <w:rsid w:val="2D21AE02"/>
    <w:rsid w:val="2D65D327"/>
    <w:rsid w:val="2D6829C8"/>
    <w:rsid w:val="2DB9D78A"/>
    <w:rsid w:val="2DBBD785"/>
    <w:rsid w:val="2DE49C6F"/>
    <w:rsid w:val="2E05457B"/>
    <w:rsid w:val="2E24C2E3"/>
    <w:rsid w:val="2E470681"/>
    <w:rsid w:val="2E808639"/>
    <w:rsid w:val="2E8330E2"/>
    <w:rsid w:val="2E865616"/>
    <w:rsid w:val="2E9E8382"/>
    <w:rsid w:val="2EE16E0C"/>
    <w:rsid w:val="2F0C3AA7"/>
    <w:rsid w:val="2F24B46A"/>
    <w:rsid w:val="2F28A110"/>
    <w:rsid w:val="2F2ECCF6"/>
    <w:rsid w:val="2F3591E8"/>
    <w:rsid w:val="2F3871F1"/>
    <w:rsid w:val="2F4CD3FC"/>
    <w:rsid w:val="2F500C0A"/>
    <w:rsid w:val="2F634F2B"/>
    <w:rsid w:val="2F99B20D"/>
    <w:rsid w:val="2F9F097C"/>
    <w:rsid w:val="2FB30ACF"/>
    <w:rsid w:val="2FCAEAA8"/>
    <w:rsid w:val="300DB1DE"/>
    <w:rsid w:val="3055329A"/>
    <w:rsid w:val="3085B730"/>
    <w:rsid w:val="31596CEF"/>
    <w:rsid w:val="317DABA5"/>
    <w:rsid w:val="318EF1AE"/>
    <w:rsid w:val="31E82662"/>
    <w:rsid w:val="31F7FF71"/>
    <w:rsid w:val="320A29F2"/>
    <w:rsid w:val="321252FC"/>
    <w:rsid w:val="32144294"/>
    <w:rsid w:val="3226CD3B"/>
    <w:rsid w:val="3234B905"/>
    <w:rsid w:val="3273795E"/>
    <w:rsid w:val="32AEBEDB"/>
    <w:rsid w:val="32CAB9A5"/>
    <w:rsid w:val="32DE9DD3"/>
    <w:rsid w:val="3325C3B2"/>
    <w:rsid w:val="33348C88"/>
    <w:rsid w:val="3345125C"/>
    <w:rsid w:val="33689E61"/>
    <w:rsid w:val="3371EEA3"/>
    <w:rsid w:val="33910872"/>
    <w:rsid w:val="33A6C45A"/>
    <w:rsid w:val="33AB83ED"/>
    <w:rsid w:val="33ABF720"/>
    <w:rsid w:val="34367433"/>
    <w:rsid w:val="343FDAFD"/>
    <w:rsid w:val="3449ADB7"/>
    <w:rsid w:val="34501FD3"/>
    <w:rsid w:val="3488EA2A"/>
    <w:rsid w:val="348B0B78"/>
    <w:rsid w:val="348D8E81"/>
    <w:rsid w:val="3499BDDE"/>
    <w:rsid w:val="349DFD14"/>
    <w:rsid w:val="34A57DDE"/>
    <w:rsid w:val="34C37298"/>
    <w:rsid w:val="34D62D2E"/>
    <w:rsid w:val="3529F0AB"/>
    <w:rsid w:val="3537A0EA"/>
    <w:rsid w:val="3562FC40"/>
    <w:rsid w:val="35CE913A"/>
    <w:rsid w:val="35E99C36"/>
    <w:rsid w:val="361578E5"/>
    <w:rsid w:val="3635D1CA"/>
    <w:rsid w:val="3717C452"/>
    <w:rsid w:val="375A8B53"/>
    <w:rsid w:val="3764BA13"/>
    <w:rsid w:val="3773A8FC"/>
    <w:rsid w:val="3782AA40"/>
    <w:rsid w:val="3788DEB7"/>
    <w:rsid w:val="3794FFCE"/>
    <w:rsid w:val="379B9FA5"/>
    <w:rsid w:val="37D2E08B"/>
    <w:rsid w:val="37D6691A"/>
    <w:rsid w:val="37EA2380"/>
    <w:rsid w:val="37F389AB"/>
    <w:rsid w:val="380913B8"/>
    <w:rsid w:val="383EF2D6"/>
    <w:rsid w:val="3843E191"/>
    <w:rsid w:val="38907CA6"/>
    <w:rsid w:val="38B2242D"/>
    <w:rsid w:val="38C2FAA8"/>
    <w:rsid w:val="38E1D132"/>
    <w:rsid w:val="38E5C862"/>
    <w:rsid w:val="39096370"/>
    <w:rsid w:val="390A697D"/>
    <w:rsid w:val="392DE01F"/>
    <w:rsid w:val="394C946A"/>
    <w:rsid w:val="3960183D"/>
    <w:rsid w:val="39A1EBB2"/>
    <w:rsid w:val="39AA4344"/>
    <w:rsid w:val="39B64A82"/>
    <w:rsid w:val="39BBC09E"/>
    <w:rsid w:val="39CDA458"/>
    <w:rsid w:val="39F3A238"/>
    <w:rsid w:val="3A093F40"/>
    <w:rsid w:val="3A0A001C"/>
    <w:rsid w:val="3A0E1847"/>
    <w:rsid w:val="3A0ED9CE"/>
    <w:rsid w:val="3A213A49"/>
    <w:rsid w:val="3A416E0F"/>
    <w:rsid w:val="3A46816D"/>
    <w:rsid w:val="3A8398A3"/>
    <w:rsid w:val="3A870A15"/>
    <w:rsid w:val="3A929323"/>
    <w:rsid w:val="3AB332D8"/>
    <w:rsid w:val="3AB43D1A"/>
    <w:rsid w:val="3AF99957"/>
    <w:rsid w:val="3B11BEE9"/>
    <w:rsid w:val="3B17C6F9"/>
    <w:rsid w:val="3B39C1C4"/>
    <w:rsid w:val="3B40C002"/>
    <w:rsid w:val="3B63A723"/>
    <w:rsid w:val="3B763086"/>
    <w:rsid w:val="3BBA37E4"/>
    <w:rsid w:val="3BC42FF4"/>
    <w:rsid w:val="3BC7D847"/>
    <w:rsid w:val="3BE336B7"/>
    <w:rsid w:val="3BE59032"/>
    <w:rsid w:val="3C81A74F"/>
    <w:rsid w:val="3C8D56BD"/>
    <w:rsid w:val="3CAC38EE"/>
    <w:rsid w:val="3CC049A4"/>
    <w:rsid w:val="3CC09056"/>
    <w:rsid w:val="3CC9D497"/>
    <w:rsid w:val="3CFD7987"/>
    <w:rsid w:val="3D3B844D"/>
    <w:rsid w:val="3DEA88AD"/>
    <w:rsid w:val="3E0EBB5C"/>
    <w:rsid w:val="3E188DF6"/>
    <w:rsid w:val="3E5B0254"/>
    <w:rsid w:val="3EA85359"/>
    <w:rsid w:val="3EB13D38"/>
    <w:rsid w:val="3EBD041A"/>
    <w:rsid w:val="3ECF58C7"/>
    <w:rsid w:val="3F24CFA6"/>
    <w:rsid w:val="3F257F2D"/>
    <w:rsid w:val="3F43CF4C"/>
    <w:rsid w:val="3F56C25D"/>
    <w:rsid w:val="3F6CE4CA"/>
    <w:rsid w:val="3F6D72BD"/>
    <w:rsid w:val="3FD59CF9"/>
    <w:rsid w:val="402D0BF9"/>
    <w:rsid w:val="404B3696"/>
    <w:rsid w:val="404F9FF0"/>
    <w:rsid w:val="40CAC2E4"/>
    <w:rsid w:val="40E82AEB"/>
    <w:rsid w:val="4139883B"/>
    <w:rsid w:val="413D266D"/>
    <w:rsid w:val="416DB009"/>
    <w:rsid w:val="4186B8A4"/>
    <w:rsid w:val="424CBBB6"/>
    <w:rsid w:val="424F4E8E"/>
    <w:rsid w:val="4251593B"/>
    <w:rsid w:val="4256F407"/>
    <w:rsid w:val="4283DCB5"/>
    <w:rsid w:val="429785AF"/>
    <w:rsid w:val="429D5356"/>
    <w:rsid w:val="42AC053C"/>
    <w:rsid w:val="42B8AD93"/>
    <w:rsid w:val="42C315FC"/>
    <w:rsid w:val="42D0A017"/>
    <w:rsid w:val="4311FD68"/>
    <w:rsid w:val="4317534E"/>
    <w:rsid w:val="4347C512"/>
    <w:rsid w:val="434EC9D3"/>
    <w:rsid w:val="4356B1BA"/>
    <w:rsid w:val="43963E9B"/>
    <w:rsid w:val="44132771"/>
    <w:rsid w:val="44150629"/>
    <w:rsid w:val="441D186A"/>
    <w:rsid w:val="448AE82B"/>
    <w:rsid w:val="449466F7"/>
    <w:rsid w:val="45444CEF"/>
    <w:rsid w:val="45575297"/>
    <w:rsid w:val="4589039B"/>
    <w:rsid w:val="45B4A398"/>
    <w:rsid w:val="460108F2"/>
    <w:rsid w:val="461A2D01"/>
    <w:rsid w:val="465197E2"/>
    <w:rsid w:val="46AB2807"/>
    <w:rsid w:val="46B23195"/>
    <w:rsid w:val="46F2DD64"/>
    <w:rsid w:val="470D05BC"/>
    <w:rsid w:val="474C79AA"/>
    <w:rsid w:val="47637043"/>
    <w:rsid w:val="47769F9E"/>
    <w:rsid w:val="478C97A9"/>
    <w:rsid w:val="47C4704E"/>
    <w:rsid w:val="47DBF21C"/>
    <w:rsid w:val="47F53DFC"/>
    <w:rsid w:val="47FB7ABE"/>
    <w:rsid w:val="481154AE"/>
    <w:rsid w:val="481C93FA"/>
    <w:rsid w:val="4822355C"/>
    <w:rsid w:val="48B35D57"/>
    <w:rsid w:val="493F2020"/>
    <w:rsid w:val="4958CB3C"/>
    <w:rsid w:val="496F2E6E"/>
    <w:rsid w:val="498049C7"/>
    <w:rsid w:val="49F64908"/>
    <w:rsid w:val="4A0E34C3"/>
    <w:rsid w:val="4A250DB0"/>
    <w:rsid w:val="4A3715BE"/>
    <w:rsid w:val="4A43A655"/>
    <w:rsid w:val="4A4F2677"/>
    <w:rsid w:val="4AA0AF5C"/>
    <w:rsid w:val="4ADC1671"/>
    <w:rsid w:val="4B3C01BD"/>
    <w:rsid w:val="4B585345"/>
    <w:rsid w:val="4BB3518F"/>
    <w:rsid w:val="4BC82727"/>
    <w:rsid w:val="4BE27668"/>
    <w:rsid w:val="4C81D5D9"/>
    <w:rsid w:val="4CB1D382"/>
    <w:rsid w:val="4CBB732D"/>
    <w:rsid w:val="4D0287D2"/>
    <w:rsid w:val="4D099D98"/>
    <w:rsid w:val="4D184CA6"/>
    <w:rsid w:val="4D21F7A7"/>
    <w:rsid w:val="4D3083B2"/>
    <w:rsid w:val="4D3ADAFC"/>
    <w:rsid w:val="4D55015D"/>
    <w:rsid w:val="4D573D90"/>
    <w:rsid w:val="4D5CE3A9"/>
    <w:rsid w:val="4D6B8F6B"/>
    <w:rsid w:val="4D89C7B9"/>
    <w:rsid w:val="4D901153"/>
    <w:rsid w:val="4D917134"/>
    <w:rsid w:val="4E347638"/>
    <w:rsid w:val="4E5DA1FB"/>
    <w:rsid w:val="4E6B324D"/>
    <w:rsid w:val="4E6BCF04"/>
    <w:rsid w:val="4E7C921E"/>
    <w:rsid w:val="4EB2D37B"/>
    <w:rsid w:val="4EBC371D"/>
    <w:rsid w:val="4F0B14AB"/>
    <w:rsid w:val="4F15C727"/>
    <w:rsid w:val="4F3B3EF1"/>
    <w:rsid w:val="4F3F231F"/>
    <w:rsid w:val="4F503BB9"/>
    <w:rsid w:val="4F88CFFD"/>
    <w:rsid w:val="4FF7E3CE"/>
    <w:rsid w:val="503BFC80"/>
    <w:rsid w:val="507EA27C"/>
    <w:rsid w:val="5084D973"/>
    <w:rsid w:val="50ABDBAE"/>
    <w:rsid w:val="50B2EA02"/>
    <w:rsid w:val="512A368D"/>
    <w:rsid w:val="51541801"/>
    <w:rsid w:val="515AE383"/>
    <w:rsid w:val="517092D0"/>
    <w:rsid w:val="51715168"/>
    <w:rsid w:val="5192A0B7"/>
    <w:rsid w:val="51A3ED22"/>
    <w:rsid w:val="51A9589A"/>
    <w:rsid w:val="51ABA7FB"/>
    <w:rsid w:val="51FC5427"/>
    <w:rsid w:val="521A332A"/>
    <w:rsid w:val="52823AE3"/>
    <w:rsid w:val="528BE9B0"/>
    <w:rsid w:val="52E00ABC"/>
    <w:rsid w:val="52EF27ED"/>
    <w:rsid w:val="532B0EB0"/>
    <w:rsid w:val="53784ECA"/>
    <w:rsid w:val="53B9061C"/>
    <w:rsid w:val="53CB1125"/>
    <w:rsid w:val="53D4AFBA"/>
    <w:rsid w:val="540F830B"/>
    <w:rsid w:val="5412B1B8"/>
    <w:rsid w:val="541DF117"/>
    <w:rsid w:val="543ABEEC"/>
    <w:rsid w:val="546C26BF"/>
    <w:rsid w:val="54A738F9"/>
    <w:rsid w:val="54EBB8B6"/>
    <w:rsid w:val="550BE590"/>
    <w:rsid w:val="551EC559"/>
    <w:rsid w:val="5540CE15"/>
    <w:rsid w:val="55471282"/>
    <w:rsid w:val="554DC093"/>
    <w:rsid w:val="5552AAFB"/>
    <w:rsid w:val="5556AFB0"/>
    <w:rsid w:val="557CD8BC"/>
    <w:rsid w:val="558C156F"/>
    <w:rsid w:val="55C08765"/>
    <w:rsid w:val="55EC4297"/>
    <w:rsid w:val="55F211FD"/>
    <w:rsid w:val="5602BE8C"/>
    <w:rsid w:val="5616D834"/>
    <w:rsid w:val="5656378F"/>
    <w:rsid w:val="56681D39"/>
    <w:rsid w:val="569ACACB"/>
    <w:rsid w:val="5701445B"/>
    <w:rsid w:val="5738DA17"/>
    <w:rsid w:val="575C10B9"/>
    <w:rsid w:val="5765FCE4"/>
    <w:rsid w:val="57AA6653"/>
    <w:rsid w:val="580CA413"/>
    <w:rsid w:val="581CFBFB"/>
    <w:rsid w:val="5827C657"/>
    <w:rsid w:val="5836A019"/>
    <w:rsid w:val="58452F31"/>
    <w:rsid w:val="585029A4"/>
    <w:rsid w:val="5852FAC2"/>
    <w:rsid w:val="58AFD278"/>
    <w:rsid w:val="58C617FA"/>
    <w:rsid w:val="58CB935A"/>
    <w:rsid w:val="5902D7F6"/>
    <w:rsid w:val="5934D6C5"/>
    <w:rsid w:val="5935EBAD"/>
    <w:rsid w:val="59DB9433"/>
    <w:rsid w:val="5A09777B"/>
    <w:rsid w:val="5A4467A5"/>
    <w:rsid w:val="5A48E4D6"/>
    <w:rsid w:val="5A4AED36"/>
    <w:rsid w:val="5A64ECBD"/>
    <w:rsid w:val="5A73C6B1"/>
    <w:rsid w:val="5A7501D4"/>
    <w:rsid w:val="5A98A1DA"/>
    <w:rsid w:val="5A9C8469"/>
    <w:rsid w:val="5AA9882F"/>
    <w:rsid w:val="5ABB244B"/>
    <w:rsid w:val="5B01A9D8"/>
    <w:rsid w:val="5B03C846"/>
    <w:rsid w:val="5B38E173"/>
    <w:rsid w:val="5B3EED17"/>
    <w:rsid w:val="5B46EF00"/>
    <w:rsid w:val="5B67BA48"/>
    <w:rsid w:val="5B757010"/>
    <w:rsid w:val="5B7ECD2A"/>
    <w:rsid w:val="5B9AA745"/>
    <w:rsid w:val="5BB82E23"/>
    <w:rsid w:val="5BB99E90"/>
    <w:rsid w:val="5BBF9E47"/>
    <w:rsid w:val="5BC2BFFA"/>
    <w:rsid w:val="5BC9C8E8"/>
    <w:rsid w:val="5C018C61"/>
    <w:rsid w:val="5C306897"/>
    <w:rsid w:val="5CA42873"/>
    <w:rsid w:val="5CB141A3"/>
    <w:rsid w:val="5CB56FD0"/>
    <w:rsid w:val="5CBDCF5C"/>
    <w:rsid w:val="5CCBACB1"/>
    <w:rsid w:val="5CD08D13"/>
    <w:rsid w:val="5CD98A3A"/>
    <w:rsid w:val="5D2186EC"/>
    <w:rsid w:val="5D4C8476"/>
    <w:rsid w:val="5D6D2890"/>
    <w:rsid w:val="5D856140"/>
    <w:rsid w:val="5D8CC63A"/>
    <w:rsid w:val="5DA5D0BD"/>
    <w:rsid w:val="5E2A3E46"/>
    <w:rsid w:val="5E65CE03"/>
    <w:rsid w:val="5E69E6A2"/>
    <w:rsid w:val="5E917144"/>
    <w:rsid w:val="5ED463AC"/>
    <w:rsid w:val="5ED707BC"/>
    <w:rsid w:val="5F329C2C"/>
    <w:rsid w:val="5FB68F9B"/>
    <w:rsid w:val="5FEDE732"/>
    <w:rsid w:val="5FFAE04A"/>
    <w:rsid w:val="6039647B"/>
    <w:rsid w:val="6083D247"/>
    <w:rsid w:val="60860920"/>
    <w:rsid w:val="608E723E"/>
    <w:rsid w:val="60B18755"/>
    <w:rsid w:val="60D37F63"/>
    <w:rsid w:val="60D7D70C"/>
    <w:rsid w:val="610FCB11"/>
    <w:rsid w:val="61534C17"/>
    <w:rsid w:val="61888DD1"/>
    <w:rsid w:val="6202664C"/>
    <w:rsid w:val="62192D91"/>
    <w:rsid w:val="626AFF81"/>
    <w:rsid w:val="62A7BC3A"/>
    <w:rsid w:val="62EA4299"/>
    <w:rsid w:val="62F5C8DE"/>
    <w:rsid w:val="63043F0A"/>
    <w:rsid w:val="6381BEAB"/>
    <w:rsid w:val="638DDBD2"/>
    <w:rsid w:val="63B136B8"/>
    <w:rsid w:val="63BA2B93"/>
    <w:rsid w:val="63FB35F7"/>
    <w:rsid w:val="641D93AF"/>
    <w:rsid w:val="64657846"/>
    <w:rsid w:val="64A60547"/>
    <w:rsid w:val="64D3095B"/>
    <w:rsid w:val="64D3C790"/>
    <w:rsid w:val="6549C817"/>
    <w:rsid w:val="65542C1F"/>
    <w:rsid w:val="65599828"/>
    <w:rsid w:val="657C57BF"/>
    <w:rsid w:val="65AF2EFD"/>
    <w:rsid w:val="6615FFE2"/>
    <w:rsid w:val="669AF98A"/>
    <w:rsid w:val="66B5A15F"/>
    <w:rsid w:val="66B9FD24"/>
    <w:rsid w:val="66D04A59"/>
    <w:rsid w:val="66E2EF3F"/>
    <w:rsid w:val="66E499C7"/>
    <w:rsid w:val="66EE4640"/>
    <w:rsid w:val="670F077F"/>
    <w:rsid w:val="672FCAEF"/>
    <w:rsid w:val="678BAE8B"/>
    <w:rsid w:val="67B27BC8"/>
    <w:rsid w:val="67BF6E09"/>
    <w:rsid w:val="67D3B70D"/>
    <w:rsid w:val="67D9D0E3"/>
    <w:rsid w:val="68019A6A"/>
    <w:rsid w:val="681E35EC"/>
    <w:rsid w:val="682A7E91"/>
    <w:rsid w:val="68A16B7A"/>
    <w:rsid w:val="68BA7BC9"/>
    <w:rsid w:val="68EE438F"/>
    <w:rsid w:val="69246D41"/>
    <w:rsid w:val="69330F92"/>
    <w:rsid w:val="6951C016"/>
    <w:rsid w:val="69790AD1"/>
    <w:rsid w:val="69BF4EAC"/>
    <w:rsid w:val="6A1064C0"/>
    <w:rsid w:val="6A8DB6FB"/>
    <w:rsid w:val="6AA90BF4"/>
    <w:rsid w:val="6AC49CA7"/>
    <w:rsid w:val="6AC55BAE"/>
    <w:rsid w:val="6AFB7462"/>
    <w:rsid w:val="6B46D852"/>
    <w:rsid w:val="6B5C554C"/>
    <w:rsid w:val="6BC84AA7"/>
    <w:rsid w:val="6BCB0401"/>
    <w:rsid w:val="6C16E6D1"/>
    <w:rsid w:val="6C3A1F72"/>
    <w:rsid w:val="6C5DC5A8"/>
    <w:rsid w:val="6C9001DD"/>
    <w:rsid w:val="6CA6FA20"/>
    <w:rsid w:val="6CEA64E7"/>
    <w:rsid w:val="6CFE1EBE"/>
    <w:rsid w:val="6D01E078"/>
    <w:rsid w:val="6D05CA55"/>
    <w:rsid w:val="6D1CCC82"/>
    <w:rsid w:val="6D40015C"/>
    <w:rsid w:val="6D4349E6"/>
    <w:rsid w:val="6D59EE0F"/>
    <w:rsid w:val="6D5F6DEC"/>
    <w:rsid w:val="6D6AD023"/>
    <w:rsid w:val="6D892185"/>
    <w:rsid w:val="6D8F4779"/>
    <w:rsid w:val="6DADA309"/>
    <w:rsid w:val="6E24DD9E"/>
    <w:rsid w:val="6E46334F"/>
    <w:rsid w:val="6E463F3E"/>
    <w:rsid w:val="6E81DB2B"/>
    <w:rsid w:val="6E8515C5"/>
    <w:rsid w:val="6EC27BB8"/>
    <w:rsid w:val="6EFB7522"/>
    <w:rsid w:val="6F0BDD0E"/>
    <w:rsid w:val="6F1E7E9E"/>
    <w:rsid w:val="6F2D72B5"/>
    <w:rsid w:val="6F6AD824"/>
    <w:rsid w:val="6F88A661"/>
    <w:rsid w:val="6FAE1D23"/>
    <w:rsid w:val="6FF77BA3"/>
    <w:rsid w:val="6FF93C02"/>
    <w:rsid w:val="70095210"/>
    <w:rsid w:val="701A604E"/>
    <w:rsid w:val="7020F553"/>
    <w:rsid w:val="70621CD2"/>
    <w:rsid w:val="7067144F"/>
    <w:rsid w:val="70C480A3"/>
    <w:rsid w:val="70D3BD15"/>
    <w:rsid w:val="70D53C57"/>
    <w:rsid w:val="7123564A"/>
    <w:rsid w:val="713F3572"/>
    <w:rsid w:val="71A96A7D"/>
    <w:rsid w:val="71B1B707"/>
    <w:rsid w:val="71D16310"/>
    <w:rsid w:val="71FB9229"/>
    <w:rsid w:val="7211C984"/>
    <w:rsid w:val="72648669"/>
    <w:rsid w:val="733BD9DA"/>
    <w:rsid w:val="73643240"/>
    <w:rsid w:val="73673291"/>
    <w:rsid w:val="7385D5CA"/>
    <w:rsid w:val="739F5B1F"/>
    <w:rsid w:val="73A1324C"/>
    <w:rsid w:val="73B1C879"/>
    <w:rsid w:val="73CB1BE4"/>
    <w:rsid w:val="73DA2C10"/>
    <w:rsid w:val="74383327"/>
    <w:rsid w:val="7442CBAE"/>
    <w:rsid w:val="7445B039"/>
    <w:rsid w:val="74AF9935"/>
    <w:rsid w:val="74BF3306"/>
    <w:rsid w:val="7500ED16"/>
    <w:rsid w:val="75053718"/>
    <w:rsid w:val="751F2DA9"/>
    <w:rsid w:val="75B40C0B"/>
    <w:rsid w:val="75CE8A98"/>
    <w:rsid w:val="75D1AC1D"/>
    <w:rsid w:val="75E55A24"/>
    <w:rsid w:val="75ECDB4D"/>
    <w:rsid w:val="761C07A4"/>
    <w:rsid w:val="761D9A0F"/>
    <w:rsid w:val="763B452D"/>
    <w:rsid w:val="764C7596"/>
    <w:rsid w:val="76ACB18B"/>
    <w:rsid w:val="77029C08"/>
    <w:rsid w:val="77236B61"/>
    <w:rsid w:val="7758DF7E"/>
    <w:rsid w:val="7759D9F4"/>
    <w:rsid w:val="7762A3B0"/>
    <w:rsid w:val="777B2487"/>
    <w:rsid w:val="77C44162"/>
    <w:rsid w:val="77E1B023"/>
    <w:rsid w:val="77EDD170"/>
    <w:rsid w:val="7809AA13"/>
    <w:rsid w:val="7854A071"/>
    <w:rsid w:val="787E02C5"/>
    <w:rsid w:val="78A38AC6"/>
    <w:rsid w:val="78C67139"/>
    <w:rsid w:val="78C7E004"/>
    <w:rsid w:val="78F12736"/>
    <w:rsid w:val="79002511"/>
    <w:rsid w:val="793D5991"/>
    <w:rsid w:val="7940953D"/>
    <w:rsid w:val="7967FCF7"/>
    <w:rsid w:val="79CDC7A6"/>
    <w:rsid w:val="79E867F6"/>
    <w:rsid w:val="79ED2C45"/>
    <w:rsid w:val="7A1D652B"/>
    <w:rsid w:val="7A3EB097"/>
    <w:rsid w:val="7A985846"/>
    <w:rsid w:val="7AC71A96"/>
    <w:rsid w:val="7ADCDD83"/>
    <w:rsid w:val="7AE8CAD3"/>
    <w:rsid w:val="7AEBE60E"/>
    <w:rsid w:val="7B2F5DE7"/>
    <w:rsid w:val="7B3321E4"/>
    <w:rsid w:val="7B3E7652"/>
    <w:rsid w:val="7B49D54B"/>
    <w:rsid w:val="7B4E51DB"/>
    <w:rsid w:val="7B8712E5"/>
    <w:rsid w:val="7B9765D5"/>
    <w:rsid w:val="7BBE9DEE"/>
    <w:rsid w:val="7BFB6BAC"/>
    <w:rsid w:val="7C4E53A3"/>
    <w:rsid w:val="7C64186D"/>
    <w:rsid w:val="7C7ABD77"/>
    <w:rsid w:val="7C80B55C"/>
    <w:rsid w:val="7C844758"/>
    <w:rsid w:val="7C8B1229"/>
    <w:rsid w:val="7CB36230"/>
    <w:rsid w:val="7D1452DB"/>
    <w:rsid w:val="7D3CD79C"/>
    <w:rsid w:val="7D4E7FEE"/>
    <w:rsid w:val="7D67FEF0"/>
    <w:rsid w:val="7D9DC706"/>
    <w:rsid w:val="7DC88E89"/>
    <w:rsid w:val="7DC93B40"/>
    <w:rsid w:val="7DCFA6B4"/>
    <w:rsid w:val="7E93534A"/>
    <w:rsid w:val="7EA554B5"/>
    <w:rsid w:val="7FAB5B4F"/>
    <w:rsid w:val="7FF989D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3520BA7"/>
  <w15:chartTrackingRefBased/>
  <w15:docId w15:val="{D6011854-DDDB-42EC-B09F-07DA0C4498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2B49"/>
    <w:pPr>
      <w:widowControl w:val="0"/>
      <w:autoSpaceDE w:val="0"/>
      <w:autoSpaceDN w:val="0"/>
      <w:spacing w:after="0" w:line="240" w:lineRule="auto"/>
    </w:pPr>
    <w:rPr>
      <w:rFonts w:ascii="Times New Roman" w:eastAsia="Times New Roman" w:hAnsi="Times New Roman" w:cs="Times New Roman"/>
    </w:rPr>
  </w:style>
  <w:style w:type="paragraph" w:styleId="Heading1">
    <w:name w:val="heading 1"/>
    <w:basedOn w:val="Normal"/>
    <w:next w:val="Normal"/>
    <w:link w:val="Heading1Char"/>
    <w:uiPriority w:val="9"/>
    <w:qFormat/>
    <w:rsid w:val="00810814"/>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810814"/>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810814"/>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810814"/>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810814"/>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81081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081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081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081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0814"/>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810814"/>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810814"/>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810814"/>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810814"/>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8108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08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08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0814"/>
    <w:rPr>
      <w:rFonts w:eastAsiaTheme="majorEastAsia" w:cstheme="majorBidi"/>
      <w:color w:val="272727" w:themeColor="text1" w:themeTint="D8"/>
    </w:rPr>
  </w:style>
  <w:style w:type="paragraph" w:styleId="Title">
    <w:name w:val="Title"/>
    <w:basedOn w:val="Normal"/>
    <w:next w:val="Normal"/>
    <w:link w:val="TitleChar"/>
    <w:uiPriority w:val="10"/>
    <w:qFormat/>
    <w:rsid w:val="0081081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08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0814"/>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08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081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10814"/>
    <w:rPr>
      <w:i/>
      <w:iCs/>
      <w:color w:val="404040" w:themeColor="text1" w:themeTint="BF"/>
    </w:rPr>
  </w:style>
  <w:style w:type="paragraph" w:styleId="ListParagraph">
    <w:name w:val="List Paragraph"/>
    <w:basedOn w:val="Normal"/>
    <w:uiPriority w:val="34"/>
    <w:qFormat/>
    <w:rsid w:val="00810814"/>
    <w:pPr>
      <w:ind w:left="720"/>
      <w:contextualSpacing/>
    </w:pPr>
  </w:style>
  <w:style w:type="character" w:styleId="IntenseEmphasis">
    <w:name w:val="Intense Emphasis"/>
    <w:basedOn w:val="DefaultParagraphFont"/>
    <w:uiPriority w:val="21"/>
    <w:qFormat/>
    <w:rsid w:val="00810814"/>
    <w:rPr>
      <w:i/>
      <w:iCs/>
      <w:color w:val="365F91" w:themeColor="accent1" w:themeShade="BF"/>
    </w:rPr>
  </w:style>
  <w:style w:type="paragraph" w:styleId="IntenseQuote">
    <w:name w:val="Intense Quote"/>
    <w:basedOn w:val="Normal"/>
    <w:next w:val="Normal"/>
    <w:link w:val="IntenseQuoteChar"/>
    <w:uiPriority w:val="30"/>
    <w:qFormat/>
    <w:rsid w:val="00810814"/>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810814"/>
    <w:rPr>
      <w:i/>
      <w:iCs/>
      <w:color w:val="365F91" w:themeColor="accent1" w:themeShade="BF"/>
    </w:rPr>
  </w:style>
  <w:style w:type="character" w:styleId="IntenseReference">
    <w:name w:val="Intense Reference"/>
    <w:basedOn w:val="DefaultParagraphFont"/>
    <w:uiPriority w:val="32"/>
    <w:qFormat/>
    <w:rsid w:val="00810814"/>
    <w:rPr>
      <w:b/>
      <w:bCs/>
      <w:smallCaps/>
      <w:color w:val="365F91" w:themeColor="accent1" w:themeShade="BF"/>
      <w:spacing w:val="5"/>
    </w:rPr>
  </w:style>
  <w:style w:type="paragraph" w:styleId="BodyText">
    <w:name w:val="Body Text"/>
    <w:basedOn w:val="Normal"/>
    <w:link w:val="BodyTextChar"/>
    <w:uiPriority w:val="1"/>
    <w:qFormat/>
    <w:rsid w:val="00722B49"/>
    <w:pPr>
      <w:ind w:left="991"/>
      <w:jc w:val="both"/>
    </w:pPr>
    <w:rPr>
      <w:sz w:val="24"/>
      <w:szCs w:val="24"/>
    </w:rPr>
  </w:style>
  <w:style w:type="character" w:customStyle="1" w:styleId="BodyTextChar">
    <w:name w:val="Body Text Char"/>
    <w:basedOn w:val="DefaultParagraphFont"/>
    <w:link w:val="BodyText"/>
    <w:uiPriority w:val="1"/>
    <w:rsid w:val="00722B49"/>
    <w:rPr>
      <w:rFonts w:ascii="Times New Roman" w:eastAsia="Times New Roman" w:hAnsi="Times New Roman" w:cs="Times New Roman"/>
      <w:sz w:val="24"/>
      <w:szCs w:val="24"/>
      <w:lang w:val="es-ES"/>
    </w:rPr>
  </w:style>
  <w:style w:type="paragraph" w:customStyle="1" w:styleId="paragraph">
    <w:name w:val="paragraph"/>
    <w:basedOn w:val="Normal"/>
    <w:rsid w:val="005E6AF1"/>
    <w:pPr>
      <w:widowControl/>
      <w:autoSpaceDE/>
      <w:autoSpaceDN/>
      <w:spacing w:before="100" w:beforeAutospacing="1" w:after="100" w:afterAutospacing="1"/>
    </w:pPr>
    <w:rPr>
      <w:sz w:val="24"/>
      <w:szCs w:val="24"/>
      <w:lang w:eastAsia="en-IE"/>
    </w:rPr>
  </w:style>
  <w:style w:type="character" w:customStyle="1" w:styleId="normaltextrun">
    <w:name w:val="normaltextrun"/>
    <w:basedOn w:val="DefaultParagraphFont"/>
    <w:rsid w:val="00F618EC"/>
  </w:style>
  <w:style w:type="character" w:styleId="CommentReference">
    <w:name w:val="annotation reference"/>
    <w:basedOn w:val="DefaultParagraphFont"/>
    <w:uiPriority w:val="99"/>
    <w:semiHidden/>
    <w:unhideWhenUsed/>
    <w:rsid w:val="006A359F"/>
    <w:rPr>
      <w:sz w:val="16"/>
      <w:szCs w:val="16"/>
    </w:rPr>
  </w:style>
  <w:style w:type="paragraph" w:styleId="CommentText">
    <w:name w:val="annotation text"/>
    <w:basedOn w:val="Normal"/>
    <w:link w:val="CommentTextChar"/>
    <w:uiPriority w:val="99"/>
    <w:unhideWhenUsed/>
    <w:rsid w:val="006A359F"/>
    <w:rPr>
      <w:sz w:val="20"/>
      <w:szCs w:val="20"/>
    </w:rPr>
  </w:style>
  <w:style w:type="character" w:customStyle="1" w:styleId="CommentTextChar">
    <w:name w:val="Comment Text Char"/>
    <w:basedOn w:val="DefaultParagraphFont"/>
    <w:link w:val="CommentText"/>
    <w:uiPriority w:val="99"/>
    <w:rsid w:val="006A359F"/>
    <w:rPr>
      <w:rFonts w:ascii="Times New Roman" w:eastAsia="Times New Roman" w:hAnsi="Times New Roman" w:cs="Times New Roman"/>
      <w:sz w:val="20"/>
      <w:szCs w:val="20"/>
      <w:lang w:val="es-ES"/>
    </w:rPr>
  </w:style>
  <w:style w:type="paragraph" w:styleId="CommentSubject">
    <w:name w:val="annotation subject"/>
    <w:basedOn w:val="CommentText"/>
    <w:next w:val="CommentText"/>
    <w:link w:val="CommentSubjectChar"/>
    <w:uiPriority w:val="99"/>
    <w:semiHidden/>
    <w:unhideWhenUsed/>
    <w:rsid w:val="006A359F"/>
    <w:rPr>
      <w:b/>
      <w:bCs/>
    </w:rPr>
  </w:style>
  <w:style w:type="character" w:customStyle="1" w:styleId="CommentSubjectChar">
    <w:name w:val="Comment Subject Char"/>
    <w:basedOn w:val="CommentTextChar"/>
    <w:link w:val="CommentSubject"/>
    <w:uiPriority w:val="99"/>
    <w:semiHidden/>
    <w:rsid w:val="006A359F"/>
    <w:rPr>
      <w:rFonts w:ascii="Times New Roman" w:eastAsia="Times New Roman" w:hAnsi="Times New Roman" w:cs="Times New Roman"/>
      <w:b/>
      <w:bCs/>
      <w:sz w:val="20"/>
      <w:szCs w:val="20"/>
      <w:lang w:val="es-ES"/>
    </w:rPr>
  </w:style>
  <w:style w:type="character" w:styleId="FootnoteReference">
    <w:name w:val="footnote reference"/>
    <w:aliases w:val="BVI fnr Char Char Char Char Char1 Char,BVI fnr Car Car Char Char Char Char Char1 Char,BVI fnr Car Char Char Char Char Char1 Char,BVI fnr Car Car Car Car Char Char Char Char Char Char1,BVI fnr Char Char Char Char,BVI fnr Char Char Char"/>
    <w:uiPriority w:val="99"/>
    <w:qFormat/>
    <w:rsid w:val="006E1DEC"/>
    <w:rPr>
      <w:rFonts w:cs="Times New Roman"/>
      <w:vertAlign w:val="superscript"/>
    </w:rPr>
  </w:style>
  <w:style w:type="paragraph" w:styleId="FootnoteText">
    <w:name w:val="footnote text"/>
    <w:basedOn w:val="Normal"/>
    <w:link w:val="FootnoteTextChar"/>
    <w:uiPriority w:val="99"/>
    <w:qFormat/>
    <w:rsid w:val="006E1DEC"/>
    <w:pPr>
      <w:widowControl/>
      <w:autoSpaceDE/>
      <w:autoSpaceDN/>
      <w:spacing w:line="276" w:lineRule="auto"/>
    </w:pPr>
    <w:rPr>
      <w:rFonts w:eastAsia="Calibri"/>
      <w:sz w:val="20"/>
      <w:szCs w:val="20"/>
    </w:rPr>
  </w:style>
  <w:style w:type="character" w:customStyle="1" w:styleId="FootnoteTextChar">
    <w:name w:val="Footnote Text Char"/>
    <w:basedOn w:val="DefaultParagraphFont"/>
    <w:link w:val="FootnoteText"/>
    <w:uiPriority w:val="99"/>
    <w:rsid w:val="006E1DEC"/>
    <w:rPr>
      <w:rFonts w:ascii="Times New Roman" w:eastAsia="Calibri" w:hAnsi="Times New Roman" w:cs="Times New Roman"/>
      <w:sz w:val="20"/>
      <w:szCs w:val="20"/>
      <w:lang w:val="es-ES"/>
    </w:rPr>
  </w:style>
  <w:style w:type="paragraph" w:styleId="NormalWeb">
    <w:name w:val="Normal (Web)"/>
    <w:basedOn w:val="Normal"/>
    <w:uiPriority w:val="99"/>
    <w:unhideWhenUsed/>
    <w:rsid w:val="00D83F61"/>
    <w:pPr>
      <w:widowControl/>
      <w:autoSpaceDE/>
      <w:autoSpaceDN/>
      <w:spacing w:beforeAutospacing="1" w:after="200" w:afterAutospacing="1" w:line="276" w:lineRule="auto"/>
    </w:pPr>
    <w:rPr>
      <w:sz w:val="24"/>
      <w:szCs w:val="24"/>
      <w:lang w:eastAsia="en-GB"/>
    </w:rPr>
  </w:style>
  <w:style w:type="character" w:styleId="Hyperlink">
    <w:name w:val="Hyperlink"/>
    <w:uiPriority w:val="99"/>
    <w:rsid w:val="00301E8C"/>
    <w:rPr>
      <w:rFonts w:cs="Times New Roman"/>
      <w:color w:val="0000FF"/>
      <w:u w:val="single"/>
    </w:rPr>
  </w:style>
  <w:style w:type="paragraph" w:styleId="Revision">
    <w:name w:val="Revision"/>
    <w:hidden/>
    <w:uiPriority w:val="99"/>
    <w:semiHidden/>
    <w:rsid w:val="00DC7928"/>
    <w:pPr>
      <w:spacing w:after="0" w:line="240" w:lineRule="auto"/>
    </w:pPr>
    <w:rPr>
      <w:rFonts w:ascii="Times New Roman" w:eastAsia="Times New Roman" w:hAnsi="Times New Roman" w:cs="Times New Roman"/>
    </w:rPr>
  </w:style>
  <w:style w:type="character" w:customStyle="1" w:styleId="Marker">
    <w:name w:val="Marker"/>
    <w:basedOn w:val="DefaultParagraphFont"/>
    <w:rsid w:val="00DB0FE0"/>
    <w:rPr>
      <w:color w:val="0000FF"/>
      <w:shd w:val="clear" w:color="auto" w:fill="auto"/>
    </w:rPr>
  </w:style>
  <w:style w:type="paragraph" w:styleId="Header">
    <w:name w:val="header"/>
    <w:basedOn w:val="Normal"/>
    <w:link w:val="HeaderChar"/>
    <w:uiPriority w:val="99"/>
    <w:unhideWhenUsed/>
    <w:rsid w:val="00DB0FE0"/>
    <w:pPr>
      <w:tabs>
        <w:tab w:val="center" w:pos="4513"/>
        <w:tab w:val="right" w:pos="9026"/>
      </w:tabs>
    </w:pPr>
  </w:style>
  <w:style w:type="character" w:customStyle="1" w:styleId="HeaderChar">
    <w:name w:val="Header Char"/>
    <w:basedOn w:val="DefaultParagraphFont"/>
    <w:link w:val="Header"/>
    <w:uiPriority w:val="99"/>
    <w:rsid w:val="00DB0FE0"/>
    <w:rPr>
      <w:rFonts w:ascii="Times New Roman" w:eastAsia="Times New Roman" w:hAnsi="Times New Roman" w:cs="Times New Roman"/>
    </w:rPr>
  </w:style>
  <w:style w:type="paragraph" w:styleId="Footer">
    <w:name w:val="footer"/>
    <w:basedOn w:val="Normal"/>
    <w:link w:val="FooterChar"/>
    <w:uiPriority w:val="99"/>
    <w:unhideWhenUsed/>
    <w:rsid w:val="00DB0FE0"/>
    <w:pPr>
      <w:tabs>
        <w:tab w:val="center" w:pos="4513"/>
        <w:tab w:val="right" w:pos="9026"/>
      </w:tabs>
    </w:pPr>
  </w:style>
  <w:style w:type="character" w:customStyle="1" w:styleId="FooterChar">
    <w:name w:val="Footer Char"/>
    <w:basedOn w:val="DefaultParagraphFont"/>
    <w:link w:val="Footer"/>
    <w:uiPriority w:val="99"/>
    <w:rsid w:val="00DB0FE0"/>
    <w:rPr>
      <w:rFonts w:ascii="Times New Roman" w:eastAsia="Times New Roman" w:hAnsi="Times New Roman" w:cs="Times New Roman"/>
    </w:rPr>
  </w:style>
  <w:style w:type="paragraph" w:customStyle="1" w:styleId="Pagedecouverture">
    <w:name w:val="Page de couverture"/>
    <w:basedOn w:val="Normal"/>
    <w:next w:val="Normal"/>
    <w:link w:val="PagedecouvertureChar"/>
    <w:rsid w:val="00DB0FE0"/>
    <w:pPr>
      <w:widowControl/>
      <w:autoSpaceDE/>
      <w:autoSpaceDN/>
      <w:jc w:val="both"/>
    </w:pPr>
    <w:rPr>
      <w:rFonts w:eastAsiaTheme="minorHAnsi"/>
      <w:sz w:val="24"/>
    </w:rPr>
  </w:style>
  <w:style w:type="paragraph" w:customStyle="1" w:styleId="FooterCoverPage">
    <w:name w:val="Footer Cover Page"/>
    <w:basedOn w:val="Normal"/>
    <w:link w:val="FooterCoverPageChar"/>
    <w:rsid w:val="00DB0FE0"/>
    <w:pPr>
      <w:tabs>
        <w:tab w:val="center" w:pos="4535"/>
        <w:tab w:val="right" w:pos="9071"/>
        <w:tab w:val="right" w:pos="9921"/>
      </w:tabs>
      <w:spacing w:before="360"/>
      <w:ind w:left="-850" w:right="-850"/>
    </w:pPr>
    <w:rPr>
      <w:sz w:val="24"/>
    </w:rPr>
  </w:style>
  <w:style w:type="character" w:customStyle="1" w:styleId="PagedecouvertureChar">
    <w:name w:val="Page de couverture Char"/>
    <w:basedOn w:val="DefaultParagraphFont"/>
    <w:link w:val="Pagedecouverture"/>
    <w:rsid w:val="00DB0FE0"/>
    <w:rPr>
      <w:rFonts w:ascii="Times New Roman" w:hAnsi="Times New Roman" w:cs="Times New Roman"/>
      <w:sz w:val="24"/>
    </w:rPr>
  </w:style>
  <w:style w:type="character" w:customStyle="1" w:styleId="FooterCoverPageChar">
    <w:name w:val="Footer Cover Page Char"/>
    <w:basedOn w:val="PagedecouvertureChar"/>
    <w:link w:val="FooterCoverPage"/>
    <w:rsid w:val="00DB0FE0"/>
    <w:rPr>
      <w:rFonts w:ascii="Times New Roman" w:eastAsia="Times New Roman" w:hAnsi="Times New Roman" w:cs="Times New Roman"/>
      <w:sz w:val="24"/>
    </w:rPr>
  </w:style>
  <w:style w:type="paragraph" w:customStyle="1" w:styleId="FooterSensitivity">
    <w:name w:val="Footer Sensitivity"/>
    <w:basedOn w:val="Normal"/>
    <w:link w:val="FooterSensitivityChar"/>
    <w:rsid w:val="00DB0FE0"/>
    <w:pPr>
      <w:pBdr>
        <w:top w:val="single" w:sz="4" w:space="1" w:color="auto"/>
        <w:left w:val="single" w:sz="4" w:space="4" w:color="auto"/>
        <w:bottom w:val="single" w:sz="4" w:space="1" w:color="auto"/>
        <w:right w:val="single" w:sz="4" w:space="4" w:color="auto"/>
      </w:pBdr>
      <w:spacing w:before="360"/>
      <w:ind w:left="113" w:right="113"/>
      <w:jc w:val="center"/>
    </w:pPr>
    <w:rPr>
      <w:b/>
      <w:sz w:val="32"/>
    </w:rPr>
  </w:style>
  <w:style w:type="character" w:customStyle="1" w:styleId="FooterSensitivityChar">
    <w:name w:val="Footer Sensitivity Char"/>
    <w:basedOn w:val="PagedecouvertureChar"/>
    <w:link w:val="FooterSensitivity"/>
    <w:rsid w:val="00DB0FE0"/>
    <w:rPr>
      <w:rFonts w:ascii="Times New Roman" w:eastAsia="Times New Roman" w:hAnsi="Times New Roman" w:cs="Times New Roman"/>
      <w:b/>
      <w:sz w:val="32"/>
    </w:rPr>
  </w:style>
  <w:style w:type="paragraph" w:customStyle="1" w:styleId="HeaderCoverPage">
    <w:name w:val="Header Cover Page"/>
    <w:basedOn w:val="Normal"/>
    <w:link w:val="HeaderCoverPageChar"/>
    <w:rsid w:val="00DB0FE0"/>
    <w:pPr>
      <w:tabs>
        <w:tab w:val="center" w:pos="4535"/>
        <w:tab w:val="right" w:pos="9071"/>
      </w:tabs>
      <w:spacing w:after="120"/>
      <w:jc w:val="both"/>
    </w:pPr>
    <w:rPr>
      <w:sz w:val="24"/>
    </w:rPr>
  </w:style>
  <w:style w:type="character" w:customStyle="1" w:styleId="HeaderCoverPageChar">
    <w:name w:val="Header Cover Page Char"/>
    <w:basedOn w:val="PagedecouvertureChar"/>
    <w:link w:val="HeaderCoverPage"/>
    <w:rsid w:val="00DB0FE0"/>
    <w:rPr>
      <w:rFonts w:ascii="Times New Roman" w:eastAsia="Times New Roman" w:hAnsi="Times New Roman" w:cs="Times New Roman"/>
      <w:sz w:val="24"/>
    </w:rPr>
  </w:style>
  <w:style w:type="paragraph" w:customStyle="1" w:styleId="HeaderSensitivity">
    <w:name w:val="Header Sensitivity"/>
    <w:basedOn w:val="Normal"/>
    <w:link w:val="HeaderSensitivityChar"/>
    <w:rsid w:val="00DB0FE0"/>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PagedecouvertureChar"/>
    <w:link w:val="HeaderSensitivity"/>
    <w:rsid w:val="00DB0FE0"/>
    <w:rPr>
      <w:rFonts w:ascii="Times New Roman" w:eastAsia="Times New Roman" w:hAnsi="Times New Roman" w:cs="Times New Roman"/>
      <w:b/>
      <w:sz w:val="32"/>
    </w:rPr>
  </w:style>
  <w:style w:type="paragraph" w:customStyle="1" w:styleId="HeaderSensitivityRight">
    <w:name w:val="Header Sensitivity Right"/>
    <w:basedOn w:val="Normal"/>
    <w:link w:val="HeaderSensitivityRightChar"/>
    <w:rsid w:val="00DB0FE0"/>
    <w:pPr>
      <w:spacing w:after="120"/>
      <w:jc w:val="right"/>
    </w:pPr>
    <w:rPr>
      <w:sz w:val="28"/>
    </w:rPr>
  </w:style>
  <w:style w:type="character" w:customStyle="1" w:styleId="HeaderSensitivityRightChar">
    <w:name w:val="Header Sensitivity Right Char"/>
    <w:basedOn w:val="PagedecouvertureChar"/>
    <w:link w:val="HeaderSensitivityRight"/>
    <w:rsid w:val="00DB0FE0"/>
    <w:rPr>
      <w:rFonts w:ascii="Times New Roman" w:eastAsia="Times New Roman" w:hAnsi="Times New Roman" w:cs="Times New Roman"/>
      <w:sz w:val="28"/>
    </w:rPr>
  </w:style>
  <w:style w:type="character" w:customStyle="1" w:styleId="Mention">
    <w:name w:val="Mention"/>
    <w:basedOn w:val="DefaultParagraphFont"/>
    <w:uiPriority w:val="99"/>
    <w:unhideWhenUsed/>
    <w:rsid w:val="008179B4"/>
    <w:rPr>
      <w:color w:val="2B579A"/>
      <w:shd w:val="clear" w:color="auto" w:fill="E1DFDD"/>
    </w:rPr>
  </w:style>
  <w:style w:type="character" w:customStyle="1" w:styleId="UnresolvedMention">
    <w:name w:val="Unresolved Mention"/>
    <w:basedOn w:val="DefaultParagraphFont"/>
    <w:uiPriority w:val="99"/>
    <w:semiHidden/>
    <w:unhideWhenUsed/>
    <w:rsid w:val="00775BDF"/>
    <w:rPr>
      <w:color w:val="605E5C"/>
      <w:shd w:val="clear" w:color="auto" w:fill="E1DFDD"/>
    </w:rPr>
  </w:style>
  <w:style w:type="character" w:styleId="FollowedHyperlink">
    <w:name w:val="FollowedHyperlink"/>
    <w:basedOn w:val="DefaultParagraphFont"/>
    <w:uiPriority w:val="99"/>
    <w:semiHidden/>
    <w:unhideWhenUsed/>
    <w:rsid w:val="00775BD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747359">
      <w:bodyDiv w:val="1"/>
      <w:marLeft w:val="0"/>
      <w:marRight w:val="0"/>
      <w:marTop w:val="0"/>
      <w:marBottom w:val="0"/>
      <w:divBdr>
        <w:top w:val="none" w:sz="0" w:space="0" w:color="auto"/>
        <w:left w:val="none" w:sz="0" w:space="0" w:color="auto"/>
        <w:bottom w:val="none" w:sz="0" w:space="0" w:color="auto"/>
        <w:right w:val="none" w:sz="0" w:space="0" w:color="auto"/>
      </w:divBdr>
    </w:div>
    <w:div w:id="595864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ES/TXT/?uri=CELEX:52026DC004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ED3D1FAE1C074CA2B5EE9164011BB9" ma:contentTypeVersion="13" ma:contentTypeDescription="Create a new document." ma:contentTypeScope="" ma:versionID="922b6c8af9b56aac223a796e7db8a4e0">
  <xsd:schema xmlns:xsd="http://www.w3.org/2001/XMLSchema" xmlns:xs="http://www.w3.org/2001/XMLSchema" xmlns:p="http://schemas.microsoft.com/office/2006/metadata/properties" xmlns:ns3="276a3fec-7058-4290-a439-fa404e7cd0bf" xmlns:ns4="0519401d-69ce-4a4e-9984-ed7d385d4642" targetNamespace="http://schemas.microsoft.com/office/2006/metadata/properties" ma:root="true" ma:fieldsID="a9cac14e677d4aab766856d52d783a2c" ns3:_="" ns4:_="">
    <xsd:import namespace="276a3fec-7058-4290-a439-fa404e7cd0bf"/>
    <xsd:import namespace="0519401d-69ce-4a4e-9984-ed7d385d4642"/>
    <xsd:element name="properties">
      <xsd:complexType>
        <xsd:sequence>
          <xsd:element name="documentManagement">
            <xsd:complexType>
              <xsd:all>
                <xsd:element ref="ns3:_activity" minOccurs="0"/>
                <xsd:element ref="ns3:MediaServiceMetadata" minOccurs="0"/>
                <xsd:element ref="ns3:MediaServiceFastMetadata" minOccurs="0"/>
                <xsd:element ref="ns4:SharedWithUsers" minOccurs="0"/>
                <xsd:element ref="ns4:SharedWithDetails" minOccurs="0"/>
                <xsd:element ref="ns4:SharingHintHash" minOccurs="0"/>
                <xsd:element ref="ns3:MediaServiceObjectDetectorVersions" minOccurs="0"/>
                <xsd:element ref="ns3:MediaServiceSearchProperties" minOccurs="0"/>
                <xsd:element ref="ns3:MediaServiceDateTaken"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6a3fec-7058-4290-a439-fa404e7cd0bf"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519401d-69ce-4a4e-9984-ed7d385d4642"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276a3fec-7058-4290-a439-fa404e7cd0bf" xsi:nil="true"/>
  </documentManagement>
</p:properties>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F4A6DA-9021-479E-8401-498B6ABD88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6a3fec-7058-4290-a439-fa404e7cd0bf"/>
    <ds:schemaRef ds:uri="0519401d-69ce-4a4e-9984-ed7d385d46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445CEBB-72D6-43B4-A2B7-5984F1876B00}">
  <ds:schemaRefs>
    <ds:schemaRef ds:uri="http://schemas.openxmlformats.org/package/2006/metadata/core-properties"/>
    <ds:schemaRef ds:uri="http://www.w3.org/XML/1998/namespace"/>
    <ds:schemaRef ds:uri="http://schemas.microsoft.com/office/2006/documentManagement/types"/>
    <ds:schemaRef ds:uri="http://purl.org/dc/elements/1.1/"/>
    <ds:schemaRef ds:uri="http://purl.org/dc/dcmitype/"/>
    <ds:schemaRef ds:uri="http://schemas.microsoft.com/office/infopath/2007/PartnerControls"/>
    <ds:schemaRef ds:uri="0519401d-69ce-4a4e-9984-ed7d385d4642"/>
    <ds:schemaRef ds:uri="276a3fec-7058-4290-a439-fa404e7cd0bf"/>
    <ds:schemaRef ds:uri="http://schemas.microsoft.com/office/2006/metadata/properties"/>
    <ds:schemaRef ds:uri="http://purl.org/dc/terms/"/>
  </ds:schemaRefs>
</ds:datastoreItem>
</file>

<file path=customXml/itemProps3.xml><?xml version="1.0" encoding="utf-8"?>
<ds:datastoreItem xmlns:ds="http://schemas.openxmlformats.org/officeDocument/2006/customXml" ds:itemID="{AF486ED4-2AEB-4C67-925A-47EB3DFBFD3B}">
  <ds:schemaRefs>
    <ds:schemaRef ds:uri="http://schemas.microsoft.com/sharepoint/v3/contenttype/forms"/>
  </ds:schemaRefs>
</ds:datastoreItem>
</file>

<file path=customXml/itemProps4.xml><?xml version="1.0" encoding="utf-8"?>
<ds:datastoreItem xmlns:ds="http://schemas.openxmlformats.org/officeDocument/2006/customXml" ds:itemID="{289D6FCD-1C45-4993-89B9-DB1B1AA6D2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17165</Words>
  <Characters>97845</Characters>
  <Application>Microsoft Office Word</Application>
  <DocSecurity>0</DocSecurity>
  <Lines>815</Lines>
  <Paragraphs>229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114781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10</cp:revision>
  <cp:lastPrinted>2026-03-02T13:08:00Z</cp:lastPrinted>
  <dcterms:created xsi:type="dcterms:W3CDTF">2026-03-31T12:44:00Z</dcterms:created>
  <dcterms:modified xsi:type="dcterms:W3CDTF">2026-06-01T07:48:00Z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2025-11-10T10:15:43Z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41906a78-92c7-4f95-b409-4bb5299c9e5a</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Part">
    <vt:lpwstr>1</vt:lpwstr>
  </property>
  <property fmtid="{D5CDD505-2E9C-101B-9397-08002B2CF9AE}" pid="12" name="Total parts">
    <vt:lpwstr>1</vt:lpwstr>
  </property>
  <property fmtid="{D5CDD505-2E9C-101B-9397-08002B2CF9AE}" pid="13" name="CPTemplateID">
    <vt:lpwstr>CP-006</vt:lpwstr>
  </property>
  <property fmtid="{D5CDD505-2E9C-101B-9397-08002B2CF9AE}" pid="14" name="Last edited using">
    <vt:lpwstr>LW 9.2, Build 20250828</vt:lpwstr>
  </property>
  <property fmtid="{D5CDD505-2E9C-101B-9397-08002B2CF9AE}" pid="15" name="Created using">
    <vt:lpwstr>LW 9.2, Build 20250828</vt:lpwstr>
  </property>
  <property fmtid="{D5CDD505-2E9C-101B-9397-08002B2CF9AE}" pid="16" name="DocStatus">
    <vt:lpwstr>Green</vt:lpwstr>
  </property>
  <property fmtid="{D5CDD505-2E9C-101B-9397-08002B2CF9AE}" pid="17" name="ContentTypeId">
    <vt:lpwstr>0x010100D1ED3D1FAE1C074CA2B5EE9164011BB9</vt:lpwstr>
  </property>
  <property name="OP_sanitized" fmtid="{D5CDD505-2E9C-101B-9397-08002B2CF9AE}" pid="18">
    <vt:lpwstr>True</vt:lpwstr>
  </property>
</Properties>
</file>