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922" w:rsidRPr="00267F0D" w:rsidRDefault="00FB3DE3" w:rsidP="00FB3DE3">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FF4B598-6F9A-4320-AE51-B4EF1DFB2DD3" style="width:455.25pt;height:383.25pt">
            <v:imagedata r:id="rId11" o:title=""/>
          </v:shape>
        </w:pict>
      </w:r>
    </w:p>
    <w:p w:rsidR="00157922" w:rsidRPr="00267F0D" w:rsidRDefault="00157922" w:rsidP="00157922">
      <w:pPr>
        <w:rPr>
          <w:noProof/>
        </w:rPr>
        <w:sectPr w:rsidR="00157922" w:rsidRPr="00267F0D" w:rsidSect="00FB3DE3">
          <w:footerReference w:type="even" r:id="rId12"/>
          <w:footerReference w:type="default" r:id="rId13"/>
          <w:footnotePr>
            <w:numRestart w:val="eachSect"/>
          </w:footnotePr>
          <w:pgSz w:w="11907" w:h="16839"/>
          <w:pgMar w:top="1134" w:right="1417" w:bottom="1134" w:left="1417" w:header="709" w:footer="709" w:gutter="0"/>
          <w:pgNumType w:start="0"/>
          <w:cols w:space="720"/>
          <w:docGrid w:linePitch="360"/>
        </w:sectPr>
      </w:pPr>
    </w:p>
    <w:p w:rsidR="00157922" w:rsidRPr="00267F0D" w:rsidRDefault="00157922">
      <w:pPr>
        <w:pStyle w:val="Exposdesmotifstitre"/>
        <w:rPr>
          <w:noProof/>
        </w:rPr>
      </w:pPr>
      <w:bookmarkStart w:id="0" w:name="_GoBack"/>
      <w:bookmarkEnd w:id="0"/>
      <w:r w:rsidRPr="00267F0D">
        <w:rPr>
          <w:noProof/>
        </w:rPr>
        <w:lastRenderedPageBreak/>
        <w:t>EXPOSICIÓN DE MOTIVOS</w:t>
      </w:r>
    </w:p>
    <w:p w:rsidR="00157922" w:rsidRPr="00267F0D" w:rsidRDefault="00157922" w:rsidP="00646779">
      <w:pPr>
        <w:pStyle w:val="ManualHeading1"/>
        <w:widowControl w:val="0"/>
        <w:shd w:val="clear" w:color="auto" w:fill="FFFFFF" w:themeFill="background1"/>
        <w:spacing w:before="230" w:after="0" w:line="269" w:lineRule="exact"/>
        <w:rPr>
          <w:noProof/>
        </w:rPr>
      </w:pPr>
      <w:r w:rsidRPr="00267F0D">
        <w:rPr>
          <w:noProof/>
        </w:rPr>
        <w:t>1.</w:t>
      </w:r>
      <w:r w:rsidRPr="00267F0D">
        <w:rPr>
          <w:noProof/>
        </w:rPr>
        <w:tab/>
        <w:t>CONTEXTO DE LA PROPUESTA</w:t>
      </w:r>
    </w:p>
    <w:p w:rsidR="00157922" w:rsidRPr="00267F0D" w:rsidRDefault="00157922">
      <w:pPr>
        <w:pStyle w:val="ManualHeading2"/>
        <w:rPr>
          <w:rFonts w:eastAsia="Arial Unicode MS"/>
          <w:noProof/>
        </w:rPr>
      </w:pPr>
      <w:r w:rsidRPr="00267F0D">
        <w:rPr>
          <w:noProof/>
          <w:u w:color="000000"/>
          <w:bdr w:val="nil"/>
        </w:rPr>
        <w:t>•</w:t>
      </w:r>
      <w:r w:rsidRPr="00267F0D">
        <w:rPr>
          <w:noProof/>
          <w:u w:color="000000"/>
          <w:bdr w:val="nil"/>
        </w:rPr>
        <w:tab/>
      </w:r>
      <w:r w:rsidRPr="00267F0D">
        <w:rPr>
          <w:noProof/>
        </w:rPr>
        <w:t>Razones y objetivos de la propuesta</w:t>
      </w:r>
    </w:p>
    <w:p w:rsidR="00157922" w:rsidRPr="00267F0D" w:rsidRDefault="50352DFD" w:rsidP="313CE62E">
      <w:pPr>
        <w:pBdr>
          <w:top w:val="nil"/>
          <w:left w:val="nil"/>
          <w:bottom w:val="nil"/>
          <w:right w:val="nil"/>
          <w:between w:val="nil"/>
          <w:bar w:val="nil"/>
        </w:pBdr>
        <w:spacing w:before="0" w:after="240"/>
        <w:rPr>
          <w:rFonts w:eastAsia="Arial Unicode MS"/>
          <w:noProof/>
        </w:rPr>
      </w:pPr>
      <w:r w:rsidRPr="00267F0D">
        <w:rPr>
          <w:noProof/>
        </w:rPr>
        <w:t>Como se ha visto en el reciente ciclón sin precedentes en Mayotte, las catástrofes naturales y los graves fenómenos meteorológicos en las regiones ultraperiféricas de la UE están teniendo un efecto devastador en las poblaciones que viven y trabajan en las citadas regiones. Gran parte del potencial de producción agrícola y forestal se destruye cada año, lo que provoca enormes pérdidas de ingresos y amenaza la disponibilidad de alimentos y la seguridad alimentaria de estas regiones, que ya se enfrentan a «factores cuya persistencia y combinación perjudican gravemente a su desarrollo», tal como se reconoce en el artículo 349 del Tratado de Funcionamiento de la Unión Europea. De hecho, si bien estas regiones difieren bastante entre sí, comparten algunas especificidades, como la lejanía, la insularidad</w:t>
      </w:r>
      <w:r w:rsidR="001912D5" w:rsidRPr="00267F0D">
        <w:rPr>
          <w:rStyle w:val="FootnoteReference"/>
          <w:rFonts w:eastAsia="Arial Unicode MS"/>
          <w:noProof/>
        </w:rPr>
        <w:footnoteReference w:id="2"/>
      </w:r>
      <w:r w:rsidRPr="00267F0D">
        <w:rPr>
          <w:noProof/>
        </w:rPr>
        <w:t>, ser, en su mayoría, de pequeño tamaño, su mayor vulnerabilidad al cambio climático y unas economías que dependen de unos pocos sectores con niveles de desempleo y producto interior bruto (PIB) significativamente peores que las medias nacionales y de la UE. Todas estas limitaciones dificultan aún más la recuperación de la producción agrícola destruida por catástrofes naturales graves y la gravedad de estas hace que la recuperación sea aún más larga.</w:t>
      </w:r>
    </w:p>
    <w:p w:rsidR="006B3572" w:rsidRPr="00267F0D" w:rsidRDefault="004113D6" w:rsidP="72D39022">
      <w:pPr>
        <w:pBdr>
          <w:top w:val="nil"/>
          <w:left w:val="nil"/>
          <w:bottom w:val="nil"/>
          <w:right w:val="nil"/>
          <w:between w:val="nil"/>
          <w:bar w:val="nil"/>
        </w:pBdr>
        <w:spacing w:before="0" w:after="240"/>
        <w:rPr>
          <w:rFonts w:eastAsia="Arial Unicode MS"/>
          <w:noProof/>
        </w:rPr>
      </w:pPr>
      <w:r w:rsidRPr="00267F0D">
        <w:rPr>
          <w:noProof/>
        </w:rPr>
        <w:t>En su Comunicación «Dar prioridad a las personas, asegurar el crecimiento sostenible e inclusivo y liberar el potencial de las regiones ultraperiféricas de la UE»</w:t>
      </w:r>
      <w:r w:rsidRPr="00267F0D">
        <w:rPr>
          <w:rStyle w:val="FootnoteReference"/>
          <w:rFonts w:eastAsia="Arial Unicode MS"/>
          <w:noProof/>
        </w:rPr>
        <w:footnoteReference w:id="3"/>
      </w:r>
      <w:r w:rsidRPr="00267F0D">
        <w:rPr>
          <w:noProof/>
        </w:rPr>
        <w:t>, la Comisión se comprometió a reflejar las especificidades de las regiones ultraperiféricas en todas las políticas de la UE, en particular en materia de agricultura</w:t>
      </w:r>
      <w:r w:rsidRPr="00267F0D">
        <w:rPr>
          <w:rStyle w:val="FootnoteReference"/>
          <w:rFonts w:eastAsia="Arial Unicode MS"/>
          <w:noProof/>
        </w:rPr>
        <w:footnoteReference w:id="4"/>
      </w:r>
      <w:r w:rsidRPr="00267F0D">
        <w:rPr>
          <w:noProof/>
        </w:rPr>
        <w:t>. Algunos de los retos del sector agrícola en las regiones ultraperiféricas ya se abordan de manera específica a través del Reglamento (UE) n.º 228/2013 del Parlamento Europeo y del Consejo</w:t>
      </w:r>
      <w:r w:rsidR="76023A47" w:rsidRPr="00267F0D">
        <w:rPr>
          <w:rStyle w:val="FootnoteReference"/>
          <w:rFonts w:eastAsia="Arial Unicode MS"/>
          <w:noProof/>
        </w:rPr>
        <w:footnoteReference w:id="5"/>
      </w:r>
      <w:r w:rsidRPr="00267F0D">
        <w:rPr>
          <w:noProof/>
        </w:rPr>
        <w:t>. Sin embargo, ante catástrofes naturales cada vez más graves en estas regiones, se constató la necesidad de una mayor flexibilidad. Para hacer frente a los problemas de liquidez durante la reconstrucción de la producción agrícola tras las frecuentes catástrofes naturales devastadoras en las regiones ultraperiféricas, Europa debe poder desplegar rápidamente un apoyo eficaz y otorgar una mayor flexibilidad a través de los programas POSEI a que se refiere dicho Reglamento. Se trata de programas de opciones específicas por la lejanía y la insularidad que establecen medidas específicas para la agricultura en las regiones ultraperiféricas de la Unión, garantizando la continuidad del apoyo de los programas POSEI a los beneficiarios durante el período de restauración, independientemente de su nivel de actividad, pero sujeto a compromisos formales para restablecer su capacidad. El 14 de diciembre de 2024, la región ultraperiférica de Mayotte se vio afectada por el letal ciclón Childo, que causó una destrucción generalizada y víctimas en todos los lugares por los que pasó, devastando miles de hogares y cortando el suministro de agua y electricidad. Las carreteras, las redes de comunicaciones y las infraestructuras sanitarias se vieron gravemente afectadas o dejaron de estar en servicio. El 11 de enero de 2025, Mayotte también fue golpeada por la tormenta tropical Dikeledi, con fuertes lluvias e inundaciones locales que agravaron los daños causados por Chido. Los efectos de Chido en la agricultura y la seguridad alimentaria fueron significativos: los fuertes vientos destruyeron cultivos en muchas zonas y las tierras agrícolas quedaron inundadas, perturbando los calendarios de plantación, lo que provocará una disminución de los rendimientos para la próxima temporada de crecimiento. Además, Chido destruyó infraestructuras, tales como carreteras, obstaculizando el transporte de mercancías agrícolas. Por primera vez, Francia declaró un estado de catástrofe natural excepcional.</w:t>
      </w:r>
    </w:p>
    <w:p w:rsidR="00157922" w:rsidRPr="00267F0D" w:rsidRDefault="063FF0FD" w:rsidP="1AE1A5ED">
      <w:pPr>
        <w:pBdr>
          <w:top w:val="nil"/>
          <w:left w:val="nil"/>
          <w:bottom w:val="nil"/>
          <w:right w:val="nil"/>
          <w:between w:val="nil"/>
          <w:bar w:val="nil"/>
        </w:pBdr>
        <w:spacing w:before="0" w:after="240"/>
        <w:rPr>
          <w:rFonts w:eastAsia="Arial Unicode MS"/>
          <w:noProof/>
        </w:rPr>
      </w:pPr>
      <w:r w:rsidRPr="00267F0D">
        <w:rPr>
          <w:noProof/>
        </w:rPr>
        <w:t xml:space="preserve">Por consiguiente, el último año de ejecución del programa de desarrollo rural de Mayotte para el período de programación 2014-2022 se vio gravemente afectado. Muchos proyectos, en particular las inversiones, se retrasarán o abandonarán. Además, los agricultores y otros agentes de la agricultura necesitan, antes que nada, apoyo a la liquidez para poder vivir hasta que se hayan podido recuperar sus explotaciones y su potencial de producción. </w:t>
      </w:r>
    </w:p>
    <w:p w:rsidR="00882CA8" w:rsidRPr="00267F0D" w:rsidRDefault="00882CA8" w:rsidP="00882CA8">
      <w:pPr>
        <w:pBdr>
          <w:top w:val="nil"/>
          <w:left w:val="nil"/>
          <w:bottom w:val="nil"/>
          <w:right w:val="nil"/>
          <w:between w:val="nil"/>
          <w:bar w:val="nil"/>
        </w:pBdr>
        <w:spacing w:before="0" w:after="240"/>
        <w:rPr>
          <w:rFonts w:eastAsia="Arial Unicode MS"/>
          <w:noProof/>
        </w:rPr>
      </w:pPr>
      <w:r w:rsidRPr="00267F0D">
        <w:rPr>
          <w:noProof/>
        </w:rPr>
        <w:t>El Reglamento (UE) 2024/3242 del Parlamento Europeo y del Consejo, de 19 de diciembre de 2024</w:t>
      </w:r>
      <w:r w:rsidR="004E04E6" w:rsidRPr="00267F0D">
        <w:rPr>
          <w:rStyle w:val="FootnoteReference"/>
          <w:rFonts w:eastAsia="Arial Unicode MS"/>
          <w:noProof/>
        </w:rPr>
        <w:footnoteReference w:id="6"/>
      </w:r>
      <w:r w:rsidRPr="00267F0D">
        <w:rPr>
          <w:noProof/>
        </w:rPr>
        <w:t>, por el que se modifica el Reglamento (UE) 2020/2220 del Parlamento Europeo y del Consejo</w:t>
      </w:r>
      <w:r w:rsidR="004E04E6" w:rsidRPr="00267F0D">
        <w:rPr>
          <w:rStyle w:val="FootnoteReference"/>
          <w:rFonts w:eastAsia="Arial Unicode MS"/>
          <w:noProof/>
        </w:rPr>
        <w:footnoteReference w:id="7"/>
      </w:r>
      <w:r w:rsidRPr="00267F0D">
        <w:rPr>
          <w:noProof/>
        </w:rPr>
        <w:t xml:space="preserve">, introdujo una nueva medida excepcional y temporal [insertada en el artículo 6 </w:t>
      </w:r>
      <w:r w:rsidRPr="00267F0D">
        <w:rPr>
          <w:i/>
          <w:iCs/>
          <w:noProof/>
        </w:rPr>
        <w:t>bis</w:t>
      </w:r>
      <w:r w:rsidRPr="00267F0D">
        <w:rPr>
          <w:noProof/>
        </w:rPr>
        <w:t xml:space="preserve"> del Reglamento (UE) 2020/2220] que permite a los Estados miembros proporcionar apoyo a los ingresos de los agricultores, los titulares forestales y las pymes dedicados a la transformación de productos agrícolas y forestales afectados por catástrofes naturales que se hayan producido a partir del 1 de enero de 2024. </w:t>
      </w:r>
    </w:p>
    <w:p w:rsidR="00882CA8" w:rsidRPr="00267F0D" w:rsidRDefault="008260A5" w:rsidP="00882CA8">
      <w:pPr>
        <w:pBdr>
          <w:top w:val="nil"/>
          <w:left w:val="nil"/>
          <w:bottom w:val="nil"/>
          <w:right w:val="nil"/>
          <w:between w:val="nil"/>
          <w:bar w:val="nil"/>
        </w:pBdr>
        <w:spacing w:before="0" w:after="240"/>
        <w:rPr>
          <w:rFonts w:eastAsia="Arial Unicode MS"/>
          <w:noProof/>
        </w:rPr>
      </w:pPr>
      <w:r w:rsidRPr="00267F0D">
        <w:rPr>
          <w:noProof/>
        </w:rPr>
        <w:t xml:space="preserve">De conformidad con las normas actuales, puede asignarse a esta medida un límite máximo del 10 % de los fondos del Feader para el período 2021-2022 (excluido el Instrumento de Recuperación de la Unión Europea) (1,5 millones EUR en el caso de Mayotte). Para dar una respuesta adecuada a las catástrofes naturales excepcionales ocurridas en Mayotte, se propone eliminar este límite máximo del 10 % y permitir a Mayotte reasignar fondos del Feader para el período 2021-2022 y destinarlos a la ayuda prevista en el marco de la medida, de conformidad con el artículo 6 </w:t>
      </w:r>
      <w:r w:rsidRPr="00267F0D">
        <w:rPr>
          <w:i/>
          <w:iCs/>
          <w:noProof/>
        </w:rPr>
        <w:t>bis</w:t>
      </w:r>
      <w:r w:rsidRPr="00267F0D">
        <w:rPr>
          <w:noProof/>
        </w:rPr>
        <w:t xml:space="preserve"> del Reglamento (UE) 2020/2220.</w:t>
      </w:r>
    </w:p>
    <w:p w:rsidR="00882CA8" w:rsidRPr="00267F0D" w:rsidRDefault="00882CA8" w:rsidP="1AE1A5ED">
      <w:pPr>
        <w:pBdr>
          <w:top w:val="nil"/>
          <w:left w:val="nil"/>
          <w:bottom w:val="nil"/>
          <w:right w:val="nil"/>
          <w:between w:val="nil"/>
          <w:bar w:val="nil"/>
        </w:pBdr>
        <w:spacing w:before="0" w:after="240"/>
        <w:rPr>
          <w:rFonts w:eastAsia="Arial Unicode MS"/>
          <w:noProof/>
        </w:rPr>
      </w:pPr>
      <w:r w:rsidRPr="00267F0D">
        <w:rPr>
          <w:noProof/>
        </w:rPr>
        <w:t>En el contexto de esta medida, el plazo para la aprobación de las solicitudes se fija en el 30 de junio de 2025</w:t>
      </w:r>
      <w:r w:rsidR="006A3939" w:rsidRPr="00267F0D">
        <w:rPr>
          <w:rStyle w:val="FootnoteReference"/>
          <w:rFonts w:eastAsia="Arial Unicode MS"/>
          <w:noProof/>
        </w:rPr>
        <w:footnoteReference w:id="8"/>
      </w:r>
      <w:r w:rsidRPr="00267F0D">
        <w:rPr>
          <w:noProof/>
        </w:rPr>
        <w:t>, con el fin de proporcionar rápidamente una respuesta a las catástrofes naturales y liquidez a las personas necesitadas. Sin embargo, dado que la presente propuesta modificará las condiciones de esta medida para Mayotte, es necesario conceder tiempo suficiente a la autoridad de gestión de Mayotte para seleccionar a los beneficiarios una vez que el presente Reglamento entre en vigor. Por este motivo, no debe aplicarse el plazo para la aprobación de las solicitudes. No obstante, la subvencionabilidad de los gastos (31 de diciembre de 2025), tal como se define en el Reglamento (UE) n.º 1303/2013</w:t>
      </w:r>
      <w:r w:rsidRPr="00267F0D">
        <w:rPr>
          <w:rStyle w:val="FootnoteReference"/>
          <w:rFonts w:eastAsia="Arial Unicode MS"/>
          <w:noProof/>
        </w:rPr>
        <w:footnoteReference w:id="9"/>
      </w:r>
      <w:r w:rsidRPr="00267F0D">
        <w:rPr>
          <w:noProof/>
        </w:rPr>
        <w:t>, se mantiene sin cambios. Esto significa que los pagos a los beneficiarios deben efectuarse a más tardar el 31 de diciembre de 2025.</w:t>
      </w:r>
    </w:p>
    <w:p w:rsidR="4E40363D" w:rsidRPr="00267F0D" w:rsidRDefault="006F7940" w:rsidP="72D39022">
      <w:pPr>
        <w:pBdr>
          <w:top w:val="nil"/>
          <w:left w:val="nil"/>
          <w:bottom w:val="nil"/>
          <w:right w:val="nil"/>
          <w:between w:val="nil"/>
          <w:bar w:val="nil"/>
        </w:pBdr>
        <w:spacing w:before="0" w:after="240"/>
        <w:rPr>
          <w:rFonts w:eastAsia="Arial Unicode MS"/>
          <w:noProof/>
        </w:rPr>
      </w:pPr>
      <w:r w:rsidRPr="00267F0D">
        <w:rPr>
          <w:noProof/>
        </w:rPr>
        <w:t xml:space="preserve">Además, la Comisión propone introducir una excepción a la limitación de la medida con arreglo al artículo 6 </w:t>
      </w:r>
      <w:r w:rsidRPr="00267F0D">
        <w:rPr>
          <w:i/>
          <w:iCs/>
          <w:noProof/>
        </w:rPr>
        <w:t>bis</w:t>
      </w:r>
      <w:r w:rsidRPr="00267F0D">
        <w:rPr>
          <w:noProof/>
        </w:rPr>
        <w:t xml:space="preserve"> del Reglamento (UE) 2020/2220 para Mayotte, lo que permitirá a la región ultraperiférica atender eficazmente las necesidades de liquidez de la población rural gravemente dañada como consecuencia de las catástrofes naturales descritas. Esta excepción debe hacerse mediante disposiciones específicas del Reglamento POSEI con el fin de que esta excepción se limite a las necesidades específicas de la región ultraperiférica de Mayotte.</w:t>
      </w:r>
    </w:p>
    <w:p w:rsidR="22596DB9" w:rsidRPr="00267F0D" w:rsidRDefault="712EFCF8" w:rsidP="22596DB9">
      <w:pPr>
        <w:pBdr>
          <w:top w:val="nil"/>
          <w:left w:val="nil"/>
          <w:bottom w:val="nil"/>
          <w:right w:val="nil"/>
          <w:between w:val="nil"/>
          <w:bar w:val="nil"/>
        </w:pBdr>
        <w:spacing w:before="0" w:after="240"/>
        <w:rPr>
          <w:rFonts w:eastAsia="Arial Unicode MS"/>
          <w:noProof/>
        </w:rPr>
      </w:pPr>
      <w:r w:rsidRPr="00267F0D">
        <w:rPr>
          <w:noProof/>
        </w:rPr>
        <w:t>Por lo tanto, con el fin de proporcionar la ayuda adicional antes descrita y una mayor flexibilidad a las regiones ultraperiféricas afectadas por catástrofes naturales, la Comisión propone una modificación específica del Reglamento POSEI, que establece medidas específicas para la agricultura en las regiones ultraperiféricas de la Unión.</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rPr>
        <w:t>Coherencia con las disposiciones existentes en la misma política sectorial</w:t>
      </w:r>
    </w:p>
    <w:p w:rsidR="00635FE1" w:rsidRPr="00267F0D" w:rsidRDefault="49FC6C1A" w:rsidP="1CFC2799">
      <w:pPr>
        <w:pBdr>
          <w:top w:val="nil"/>
          <w:left w:val="nil"/>
          <w:bottom w:val="nil"/>
          <w:right w:val="nil"/>
          <w:between w:val="nil"/>
          <w:bar w:val="nil"/>
        </w:pBdr>
        <w:spacing w:before="0" w:after="240"/>
        <w:rPr>
          <w:noProof/>
        </w:rPr>
      </w:pPr>
      <w:r w:rsidRPr="00267F0D">
        <w:rPr>
          <w:noProof/>
        </w:rPr>
        <w:t xml:space="preserve">La propuesta es coherente con el marco jurídico general establecido para la política agrícola común y los Fondos Estructurales y de Inversión Europeos (Fondos EIE) y se limita a una modificación específica del Reglamento (UE) n.º 228/2013. </w:t>
      </w:r>
    </w:p>
    <w:p w:rsidR="00157922" w:rsidRPr="00267F0D" w:rsidRDefault="00157922" w:rsidP="1CFC2799">
      <w:pPr>
        <w:pStyle w:val="ManualHeading2"/>
        <w:pBdr>
          <w:top w:val="nil"/>
          <w:left w:val="nil"/>
          <w:bottom w:val="nil"/>
          <w:right w:val="nil"/>
          <w:between w:val="nil"/>
          <w:bar w:val="nil"/>
        </w:pBdr>
        <w:spacing w:before="0" w:after="240"/>
        <w:rPr>
          <w:rFonts w:eastAsia="Arial Unicode MS"/>
          <w:noProof/>
        </w:rPr>
      </w:pPr>
      <w:r w:rsidRPr="00267F0D">
        <w:rPr>
          <w:noProof/>
          <w:bdr w:val="nil"/>
        </w:rPr>
        <w:t>•</w:t>
      </w:r>
      <w:r w:rsidRPr="00267F0D">
        <w:rPr>
          <w:noProof/>
          <w:u w:color="000000"/>
          <w:bdr w:val="nil"/>
        </w:rPr>
        <w:tab/>
      </w:r>
      <w:r w:rsidRPr="00267F0D">
        <w:rPr>
          <w:noProof/>
        </w:rPr>
        <w:t>Coherencia con otras políticas de la Unión</w:t>
      </w:r>
    </w:p>
    <w:p w:rsidR="00635FE1" w:rsidRPr="00267F0D" w:rsidRDefault="00635FE1" w:rsidP="1CFC2799">
      <w:pPr>
        <w:pBdr>
          <w:top w:val="nil"/>
          <w:left w:val="nil"/>
          <w:bottom w:val="nil"/>
          <w:right w:val="nil"/>
          <w:between w:val="nil"/>
          <w:bar w:val="nil"/>
        </w:pBdr>
        <w:spacing w:before="0" w:after="240"/>
        <w:rPr>
          <w:noProof/>
        </w:rPr>
      </w:pPr>
      <w:r w:rsidRPr="00267F0D">
        <w:rPr>
          <w:noProof/>
        </w:rPr>
        <w:t xml:space="preserve">La propuesta se limita a introducir modificaciones específicas en el Reglamento (UE) n.º 228/2013 y mantiene la coherencia con otras políticas de la Unión. </w:t>
      </w:r>
    </w:p>
    <w:p w:rsidR="00157922" w:rsidRPr="00267F0D" w:rsidRDefault="00157922" w:rsidP="7EB54849">
      <w:pPr>
        <w:pStyle w:val="ManualHeading1"/>
        <w:pBdr>
          <w:top w:val="nil"/>
          <w:left w:val="nil"/>
          <w:bottom w:val="nil"/>
          <w:right w:val="nil"/>
          <w:between w:val="nil"/>
          <w:bar w:val="nil"/>
        </w:pBdr>
        <w:spacing w:before="0" w:after="240"/>
        <w:rPr>
          <w:rFonts w:eastAsia="Arial Unicode MS"/>
          <w:noProof/>
        </w:rPr>
      </w:pPr>
      <w:r w:rsidRPr="00267F0D">
        <w:rPr>
          <w:noProof/>
        </w:rPr>
        <w:t>2.</w:t>
      </w:r>
      <w:r w:rsidRPr="00267F0D">
        <w:rPr>
          <w:noProof/>
        </w:rPr>
        <w:tab/>
        <w:t>BASE JURÍDICA, SUBSIDIARIEDAD Y PROPORCIONALIDAD</w:t>
      </w:r>
    </w:p>
    <w:p w:rsidR="00157922" w:rsidRPr="00267F0D" w:rsidRDefault="00157922">
      <w:pPr>
        <w:pStyle w:val="ManualHeading2"/>
        <w:rPr>
          <w:rFonts w:eastAsia="Arial Unicode MS"/>
          <w:noProof/>
          <w:u w:color="000000"/>
          <w:bdr w:val="nil"/>
        </w:rPr>
      </w:pPr>
      <w:r w:rsidRPr="00267F0D">
        <w:rPr>
          <w:noProof/>
          <w:u w:color="000000"/>
          <w:bdr w:val="nil"/>
        </w:rPr>
        <w:t>•</w:t>
      </w:r>
      <w:r w:rsidRPr="00267F0D">
        <w:rPr>
          <w:noProof/>
          <w:u w:color="000000"/>
          <w:bdr w:val="nil"/>
        </w:rPr>
        <w:tab/>
        <w:t>Base jurídica</w:t>
      </w:r>
    </w:p>
    <w:p w:rsidR="00635FE1" w:rsidRPr="00267F0D" w:rsidRDefault="00635FE1" w:rsidP="1CFC2799">
      <w:pPr>
        <w:pBdr>
          <w:top w:val="nil"/>
          <w:left w:val="nil"/>
          <w:bottom w:val="nil"/>
          <w:right w:val="nil"/>
          <w:between w:val="nil"/>
          <w:bar w:val="nil"/>
        </w:pBdr>
        <w:spacing w:before="0" w:after="240"/>
        <w:rPr>
          <w:noProof/>
        </w:rPr>
      </w:pPr>
      <w:r w:rsidRPr="00267F0D">
        <w:rPr>
          <w:noProof/>
        </w:rPr>
        <w:t xml:space="preserve">La propuesta se basa en el artículo 42, el artículo 43, apartado 2, y el artículo 349 del Tratado de Funcionamiento de la Unión Europea. </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 xml:space="preserve">Subsidiariedad (en el caso de competencia no exclusiva) </w:t>
      </w:r>
    </w:p>
    <w:p w:rsidR="00157922" w:rsidRPr="00267F0D" w:rsidRDefault="00635FE1" w:rsidP="203891E0">
      <w:pPr>
        <w:pBdr>
          <w:top w:val="nil"/>
          <w:left w:val="nil"/>
          <w:bottom w:val="nil"/>
          <w:right w:val="nil"/>
          <w:between w:val="nil"/>
          <w:bar w:val="nil"/>
        </w:pBdr>
        <w:spacing w:before="0" w:after="240"/>
        <w:rPr>
          <w:rFonts w:eastAsia="Arial Unicode MS"/>
          <w:noProof/>
        </w:rPr>
      </w:pPr>
      <w:r w:rsidRPr="00267F0D">
        <w:rPr>
          <w:noProof/>
        </w:rPr>
        <w:t>El Tratado de Funcionamiento de la Unión Europea establece que la competencia en materia de agricultura es compartida entre la Unión y los Estados miembros, y establece una política agrícola común con objetivos comunes y una aplicación común. La propuesta tiene por objeto garantizar una mayor flexibilidad a las regiones ultraperiféricas afectadas por catástrofes naturales o fenómenos meteorológicos graves.</w:t>
      </w:r>
    </w:p>
    <w:p w:rsidR="00157922" w:rsidRPr="00267F0D" w:rsidRDefault="00157922" w:rsidP="1CFC2799">
      <w:pPr>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b/>
          <w:noProof/>
          <w:bdr w:val="nil"/>
        </w:rPr>
        <w:tab/>
        <w:t>Proporcionalidad</w:t>
      </w:r>
    </w:p>
    <w:p w:rsidR="00635FE1" w:rsidRPr="00267F0D" w:rsidRDefault="49FC6C1A" w:rsidP="181B74C8">
      <w:pPr>
        <w:pBdr>
          <w:top w:val="nil"/>
          <w:left w:val="nil"/>
          <w:bottom w:val="nil"/>
          <w:right w:val="nil"/>
          <w:between w:val="nil"/>
          <w:bar w:val="nil"/>
        </w:pBdr>
        <w:spacing w:before="0" w:after="240"/>
        <w:rPr>
          <w:noProof/>
        </w:rPr>
      </w:pPr>
      <w:r w:rsidRPr="00267F0D">
        <w:rPr>
          <w:noProof/>
        </w:rPr>
        <w:t xml:space="preserve">La propuesta comprende modificaciones limitadas y específicas que no van más allá de lo necesario para alcanzar el objetivo de conceder una ayuda excepcional y temporal a los agricultores, los silvicultores, las pymes y las explotaciones que se dediquen a la transformación, comercialización o desarrollo de productos agrícolas o forestales o que emprendan actividades de restauración y se hayan visto especialmente afectados por catástrofes naturales. </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Elección del instrumento</w:t>
      </w:r>
    </w:p>
    <w:p w:rsidR="00635FE1" w:rsidRPr="00267F0D" w:rsidRDefault="00635FE1" w:rsidP="203891E0">
      <w:pPr>
        <w:pBdr>
          <w:top w:val="nil"/>
          <w:left w:val="nil"/>
          <w:bottom w:val="nil"/>
          <w:right w:val="nil"/>
          <w:between w:val="nil"/>
          <w:bar w:val="nil"/>
        </w:pBdr>
        <w:spacing w:before="0" w:after="240"/>
        <w:rPr>
          <w:rFonts w:eastAsia="Arial Unicode MS"/>
          <w:noProof/>
        </w:rPr>
      </w:pPr>
      <w:r w:rsidRPr="00267F0D">
        <w:rPr>
          <w:noProof/>
        </w:rPr>
        <w:t xml:space="preserve">Un Reglamento es el instrumento adecuado para introducir la flexibilidad necesaria para hacer frente a estas circunstancias sin precedentes. </w:t>
      </w:r>
    </w:p>
    <w:p w:rsidR="00157922" w:rsidRPr="00267F0D" w:rsidRDefault="00157922" w:rsidP="7EB54849">
      <w:pPr>
        <w:pStyle w:val="ManualHeading1"/>
        <w:pBdr>
          <w:top w:val="nil"/>
          <w:left w:val="nil"/>
          <w:bottom w:val="nil"/>
          <w:right w:val="nil"/>
          <w:between w:val="nil"/>
          <w:bar w:val="nil"/>
        </w:pBdr>
        <w:spacing w:before="0" w:after="240"/>
        <w:rPr>
          <w:rFonts w:eastAsia="Arial Unicode MS"/>
          <w:noProof/>
        </w:rPr>
      </w:pPr>
      <w:r w:rsidRPr="00267F0D">
        <w:rPr>
          <w:noProof/>
        </w:rPr>
        <w:t>3.</w:t>
      </w:r>
      <w:r w:rsidRPr="00267F0D">
        <w:rPr>
          <w:noProof/>
        </w:rPr>
        <w:tab/>
        <w:t xml:space="preserve">RESULTADOS DE LAS EVALUACIONES </w:t>
      </w:r>
      <w:r w:rsidRPr="00267F0D">
        <w:rPr>
          <w:i/>
          <w:iCs/>
          <w:noProof/>
        </w:rPr>
        <w:t>EX POST</w:t>
      </w:r>
      <w:r w:rsidRPr="00267F0D">
        <w:rPr>
          <w:noProof/>
        </w:rPr>
        <w:t>, DE LAS CONSULTAS CON LAS PARTES INTERESADAS Y DE LAS EVALUACIONES DE IMPACTO</w:t>
      </w:r>
    </w:p>
    <w:p w:rsidR="00157922" w:rsidRPr="00267F0D" w:rsidRDefault="00157922">
      <w:pPr>
        <w:pStyle w:val="ManualHeading2"/>
        <w:rPr>
          <w:rFonts w:eastAsia="Arial Unicode MS"/>
          <w:noProof/>
          <w:u w:color="000000"/>
          <w:bdr w:val="nil"/>
        </w:rPr>
      </w:pPr>
      <w:r w:rsidRPr="00267F0D">
        <w:rPr>
          <w:noProof/>
          <w:u w:color="000000"/>
          <w:bdr w:val="nil"/>
        </w:rPr>
        <w:t>•</w:t>
      </w:r>
      <w:r w:rsidRPr="00267F0D">
        <w:rPr>
          <w:noProof/>
          <w:u w:color="000000"/>
          <w:bdr w:val="nil"/>
        </w:rPr>
        <w:tab/>
        <w:t xml:space="preserve">Evaluaciones </w:t>
      </w:r>
      <w:r w:rsidRPr="00267F0D">
        <w:rPr>
          <w:i/>
          <w:iCs/>
          <w:noProof/>
          <w:u w:color="000000"/>
          <w:bdr w:val="nil"/>
        </w:rPr>
        <w:t>ex post</w:t>
      </w:r>
      <w:r w:rsidRPr="00267F0D">
        <w:rPr>
          <w:noProof/>
          <w:u w:color="000000"/>
          <w:bdr w:val="nil"/>
        </w:rPr>
        <w:t xml:space="preserve"> / controles de la adecuación de la legislación existente</w:t>
      </w:r>
    </w:p>
    <w:p w:rsidR="00157922" w:rsidRPr="00267F0D" w:rsidRDefault="00635FE1">
      <w:pPr>
        <w:pBdr>
          <w:top w:val="nil"/>
          <w:left w:val="nil"/>
          <w:bottom w:val="nil"/>
          <w:right w:val="nil"/>
          <w:between w:val="nil"/>
          <w:bar w:val="nil"/>
        </w:pBdr>
        <w:spacing w:before="0" w:after="240"/>
        <w:rPr>
          <w:rFonts w:eastAsia="Arial Unicode MS"/>
          <w:noProof/>
        </w:rPr>
      </w:pPr>
      <w:r w:rsidRPr="00267F0D">
        <w:rPr>
          <w:noProof/>
        </w:rPr>
        <w:t>No procede</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Consultas con las partes interesadas</w:t>
      </w:r>
    </w:p>
    <w:p w:rsidR="00635FE1" w:rsidRPr="00267F0D" w:rsidRDefault="00635FE1" w:rsidP="72D39022">
      <w:pPr>
        <w:pBdr>
          <w:top w:val="nil"/>
          <w:left w:val="nil"/>
          <w:bottom w:val="nil"/>
          <w:right w:val="nil"/>
          <w:between w:val="nil"/>
          <w:bar w:val="nil"/>
        </w:pBdr>
        <w:spacing w:before="0" w:after="240"/>
        <w:rPr>
          <w:rFonts w:eastAsia="Arial Unicode MS"/>
          <w:noProof/>
        </w:rPr>
      </w:pPr>
      <w:r w:rsidRPr="00267F0D">
        <w:rPr>
          <w:noProof/>
        </w:rPr>
        <w:t xml:space="preserve">Debido al carácter técnico, limitado y urgente de las modificaciones propuestas, no es necesaria una amplia consulta pública. </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Obtención y uso de asesoramiento especializado</w:t>
      </w:r>
    </w:p>
    <w:p w:rsidR="00157922" w:rsidRPr="00267F0D" w:rsidRDefault="00635FE1">
      <w:pPr>
        <w:pBdr>
          <w:top w:val="nil"/>
          <w:left w:val="nil"/>
          <w:bottom w:val="nil"/>
          <w:right w:val="nil"/>
          <w:between w:val="nil"/>
          <w:bar w:val="nil"/>
        </w:pBdr>
        <w:spacing w:before="0" w:after="240"/>
        <w:rPr>
          <w:rFonts w:eastAsia="Arial Unicode MS"/>
          <w:noProof/>
        </w:rPr>
      </w:pPr>
      <w:r w:rsidRPr="00267F0D">
        <w:rPr>
          <w:noProof/>
        </w:rPr>
        <w:t>No procede</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Evaluación de impacto</w:t>
      </w:r>
    </w:p>
    <w:p w:rsidR="4A722EC6" w:rsidRPr="00267F0D" w:rsidRDefault="00620FBD" w:rsidP="4A722EC6">
      <w:pPr>
        <w:pBdr>
          <w:top w:val="nil"/>
          <w:left w:val="nil"/>
          <w:bottom w:val="nil"/>
          <w:right w:val="nil"/>
          <w:between w:val="nil"/>
          <w:bar w:val="nil"/>
        </w:pBdr>
        <w:spacing w:before="0" w:after="240"/>
        <w:rPr>
          <w:rFonts w:eastAsia="Arial Unicode MS"/>
          <w:noProof/>
        </w:rPr>
      </w:pPr>
      <w:r w:rsidRPr="00267F0D">
        <w:rPr>
          <w:noProof/>
        </w:rPr>
        <w:t>Debido a la naturaleza técnica y al alcance específico de la iniciativa, no es necesaria la evaluación de impacto.</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Adecuación regulatoria y simplificación</w:t>
      </w:r>
    </w:p>
    <w:p w:rsidR="00157922" w:rsidRPr="00267F0D" w:rsidRDefault="00635FE1">
      <w:pPr>
        <w:pBdr>
          <w:top w:val="nil"/>
          <w:left w:val="nil"/>
          <w:bottom w:val="nil"/>
          <w:right w:val="nil"/>
          <w:between w:val="nil"/>
          <w:bar w:val="nil"/>
        </w:pBdr>
        <w:spacing w:before="0" w:after="240"/>
        <w:rPr>
          <w:rFonts w:eastAsia="Arial Unicode MS"/>
          <w:noProof/>
        </w:rPr>
      </w:pPr>
      <w:r w:rsidRPr="00267F0D">
        <w:rPr>
          <w:noProof/>
        </w:rPr>
        <w:t>No procede</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Derechos fundamentales</w:t>
      </w:r>
    </w:p>
    <w:p w:rsidR="00157922" w:rsidRPr="00267F0D" w:rsidRDefault="00635FE1">
      <w:pPr>
        <w:pBdr>
          <w:top w:val="nil"/>
          <w:left w:val="nil"/>
          <w:bottom w:val="nil"/>
          <w:right w:val="nil"/>
          <w:between w:val="nil"/>
          <w:bar w:val="nil"/>
        </w:pBdr>
        <w:spacing w:before="0" w:after="240"/>
        <w:rPr>
          <w:rFonts w:eastAsia="Arial Unicode MS"/>
          <w:noProof/>
        </w:rPr>
      </w:pPr>
      <w:r w:rsidRPr="00267F0D">
        <w:rPr>
          <w:noProof/>
        </w:rPr>
        <w:t>No procede</w:t>
      </w:r>
    </w:p>
    <w:p w:rsidR="00157922" w:rsidRPr="00267F0D" w:rsidRDefault="00157922" w:rsidP="7EB54849">
      <w:pPr>
        <w:pStyle w:val="ManualHeading1"/>
        <w:pBdr>
          <w:top w:val="nil"/>
          <w:left w:val="nil"/>
          <w:bottom w:val="nil"/>
          <w:right w:val="nil"/>
          <w:between w:val="nil"/>
          <w:bar w:val="nil"/>
        </w:pBdr>
        <w:spacing w:before="0" w:after="240"/>
        <w:rPr>
          <w:rFonts w:eastAsia="Arial Unicode MS"/>
          <w:noProof/>
        </w:rPr>
      </w:pPr>
      <w:r w:rsidRPr="00267F0D">
        <w:rPr>
          <w:noProof/>
        </w:rPr>
        <w:t>4.</w:t>
      </w:r>
      <w:r w:rsidRPr="00267F0D">
        <w:rPr>
          <w:noProof/>
        </w:rPr>
        <w:tab/>
        <w:t>REPERCUSIONES PRESUPUESTARIAS</w:t>
      </w:r>
    </w:p>
    <w:p w:rsidR="00460FBC" w:rsidRPr="00267F0D" w:rsidRDefault="2065176D" w:rsidP="1CFC2799">
      <w:pPr>
        <w:pBdr>
          <w:top w:val="single" w:sz="8" w:space="1" w:color="000000"/>
          <w:left w:val="single" w:sz="8" w:space="4" w:color="000000"/>
          <w:bottom w:val="single" w:sz="8" w:space="1" w:color="000000"/>
          <w:right w:val="single" w:sz="8" w:space="4" w:color="000000"/>
          <w:bar w:val="nil"/>
        </w:pBdr>
        <w:rPr>
          <w:rFonts w:eastAsia="Times New Roman"/>
          <w:noProof/>
        </w:rPr>
      </w:pPr>
      <w:r w:rsidRPr="00267F0D">
        <w:rPr>
          <w:noProof/>
        </w:rPr>
        <w:t>Esta nueva propuesta no supone cambio alguno en los límites máximos anuales del marco financiero plurianual en materia de créditos de compromiso y de pago tal como figuran en el anexo I del Reglamento (UE) n.º 2020/2093. El desglose anual de los créditos de compromiso destinados al Fondo Europeo Agrícola de Desarrollo Rural E.08030102 se mantiene sin cambios.</w:t>
      </w:r>
    </w:p>
    <w:p w:rsidR="00460FBC" w:rsidRPr="00267F0D" w:rsidRDefault="2065176D" w:rsidP="72D39022">
      <w:pPr>
        <w:pBdr>
          <w:top w:val="single" w:sz="8" w:space="1" w:color="000000"/>
          <w:left w:val="single" w:sz="8" w:space="4" w:color="000000"/>
          <w:bottom w:val="single" w:sz="8" w:space="1" w:color="000000"/>
          <w:right w:val="single" w:sz="8" w:space="4" w:color="000000"/>
        </w:pBdr>
        <w:rPr>
          <w:rFonts w:eastAsia="Times New Roman"/>
          <w:noProof/>
        </w:rPr>
      </w:pPr>
      <w:r w:rsidRPr="00267F0D">
        <w:rPr>
          <w:noProof/>
        </w:rPr>
        <w:t>En general, esta medida no entraña la necesidad de créditos de pago adicionales. Se prevé que los créditos de pago necesarios por valor de 13,5 millones EUR en 2025 y 2026 se compensen con liberaciones de créditos al cierre previstas para 2026. Los fondos asignados a otros programas de desarrollo rural que no se utilicen se liberarán y servirán para compensar los costes adicionales en el marco de esta modificación.</w:t>
      </w:r>
    </w:p>
    <w:p w:rsidR="00BD4F79" w:rsidRPr="00267F0D" w:rsidRDefault="00BD4F79" w:rsidP="72D39022">
      <w:pPr>
        <w:pBdr>
          <w:top w:val="single" w:sz="8" w:space="1" w:color="000000"/>
          <w:left w:val="single" w:sz="8" w:space="4" w:color="000000"/>
          <w:bottom w:val="single" w:sz="8" w:space="1" w:color="000000"/>
          <w:right w:val="single" w:sz="8" w:space="4" w:color="000000"/>
        </w:pBdr>
        <w:rPr>
          <w:rFonts w:eastAsia="Times New Roman"/>
          <w:noProof/>
        </w:rPr>
      </w:pPr>
      <w:r w:rsidRPr="00267F0D">
        <w:rPr>
          <w:noProof/>
        </w:rPr>
        <w:t>Por lo que se refiere al apoyo de los programas POSEI, la presente propuesta no tiene ningún impacto presupuestario cuantificable. Cualquier gasto relacionado se mantendrá dentro del límite la asignación financiera anual del Estado miembro para el programa POSEI.</w:t>
      </w:r>
    </w:p>
    <w:p w:rsidR="00157922" w:rsidRPr="00267F0D" w:rsidRDefault="00011567" w:rsidP="004F0801">
      <w:pPr>
        <w:pStyle w:val="ManualHeading1"/>
        <w:pBdr>
          <w:top w:val="nil"/>
          <w:left w:val="nil"/>
          <w:bottom w:val="nil"/>
          <w:right w:val="nil"/>
          <w:between w:val="nil"/>
          <w:bar w:val="nil"/>
        </w:pBdr>
        <w:spacing w:before="0" w:after="240"/>
        <w:rPr>
          <w:rFonts w:eastAsia="Arial Unicode MS"/>
          <w:noProof/>
        </w:rPr>
      </w:pPr>
      <w:r w:rsidRPr="00267F0D">
        <w:rPr>
          <w:noProof/>
        </w:rPr>
        <w:t>5.</w:t>
      </w:r>
      <w:r w:rsidRPr="00267F0D">
        <w:rPr>
          <w:noProof/>
        </w:rPr>
        <w:tab/>
        <w:t>OTROS ELEMENTOS</w:t>
      </w:r>
    </w:p>
    <w:p w:rsidR="00157922" w:rsidRPr="00267F0D" w:rsidRDefault="00157922">
      <w:pPr>
        <w:pStyle w:val="ManualHeading2"/>
        <w:rPr>
          <w:rFonts w:eastAsia="Arial Unicode MS"/>
          <w:noProof/>
          <w:bdr w:val="nil"/>
        </w:rPr>
      </w:pPr>
      <w:r w:rsidRPr="00267F0D">
        <w:rPr>
          <w:noProof/>
          <w:bdr w:val="nil"/>
        </w:rPr>
        <w:t>•</w:t>
      </w:r>
      <w:r w:rsidRPr="00267F0D">
        <w:rPr>
          <w:noProof/>
          <w:u w:color="000000"/>
          <w:bdr w:val="nil"/>
        </w:rPr>
        <w:tab/>
      </w:r>
      <w:r w:rsidRPr="00267F0D">
        <w:rPr>
          <w:noProof/>
          <w:bdr w:val="nil"/>
        </w:rPr>
        <w:t>Planes de ejecución y modalidades de seguimiento, evaluación e información</w:t>
      </w:r>
    </w:p>
    <w:p w:rsidR="00460FBC" w:rsidRPr="00267F0D" w:rsidRDefault="00460FBC" w:rsidP="203891E0">
      <w:pPr>
        <w:pBdr>
          <w:top w:val="nil"/>
          <w:left w:val="nil"/>
          <w:bottom w:val="nil"/>
          <w:right w:val="nil"/>
          <w:between w:val="nil"/>
          <w:bar w:val="nil"/>
        </w:pBdr>
        <w:spacing w:before="0" w:after="240"/>
        <w:rPr>
          <w:noProof/>
        </w:rPr>
      </w:pPr>
      <w:r w:rsidRPr="00267F0D">
        <w:rPr>
          <w:noProof/>
        </w:rPr>
        <w:t>La ejecución de las medidas será objeto de seguimiento y de informes en el marco de los mecanismos de presentación de informes establecidos en el Reglamento (UE) n.º 1303/2013, el Reglamento (EU) n.º 1305/2013</w:t>
      </w:r>
      <w:r w:rsidR="002E7AEE" w:rsidRPr="00267F0D">
        <w:rPr>
          <w:rStyle w:val="FootnoteReference"/>
          <w:noProof/>
        </w:rPr>
        <w:footnoteReference w:id="10"/>
      </w:r>
      <w:r w:rsidRPr="00267F0D">
        <w:rPr>
          <w:noProof/>
        </w:rPr>
        <w:t xml:space="preserve"> y el Reglamento (UE) n.º 228/2013.</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Documentos explicativos (para las Directivas)</w:t>
      </w:r>
    </w:p>
    <w:p w:rsidR="00157922" w:rsidRPr="00267F0D" w:rsidRDefault="00460FBC">
      <w:pPr>
        <w:pBdr>
          <w:top w:val="nil"/>
          <w:left w:val="nil"/>
          <w:bottom w:val="nil"/>
          <w:right w:val="nil"/>
          <w:between w:val="nil"/>
          <w:bar w:val="nil"/>
        </w:pBdr>
        <w:spacing w:before="0" w:after="240"/>
        <w:rPr>
          <w:rFonts w:eastAsia="Arial Unicode MS"/>
          <w:noProof/>
        </w:rPr>
      </w:pPr>
      <w:r w:rsidRPr="00267F0D">
        <w:rPr>
          <w:noProof/>
        </w:rPr>
        <w:t>No procede.</w:t>
      </w:r>
    </w:p>
    <w:p w:rsidR="00157922" w:rsidRPr="00267F0D" w:rsidRDefault="00157922" w:rsidP="7EB54849">
      <w:pPr>
        <w:pStyle w:val="ManualHeading2"/>
        <w:pBdr>
          <w:top w:val="nil"/>
          <w:left w:val="nil"/>
          <w:bottom w:val="nil"/>
          <w:right w:val="nil"/>
          <w:between w:val="nil"/>
          <w:bar w:val="nil"/>
        </w:pBdr>
        <w:spacing w:before="0" w:after="240"/>
        <w:rPr>
          <w:rFonts w:eastAsia="Arial Unicode MS"/>
          <w:noProof/>
          <w:bdr w:val="nil"/>
        </w:rPr>
      </w:pPr>
      <w:r w:rsidRPr="00267F0D">
        <w:rPr>
          <w:noProof/>
          <w:bdr w:val="nil"/>
        </w:rPr>
        <w:t>•</w:t>
      </w:r>
      <w:r w:rsidRPr="00267F0D">
        <w:rPr>
          <w:noProof/>
          <w:u w:color="000000"/>
          <w:bdr w:val="nil"/>
        </w:rPr>
        <w:tab/>
      </w:r>
      <w:r w:rsidRPr="00267F0D">
        <w:rPr>
          <w:noProof/>
          <w:bdr w:val="nil"/>
        </w:rPr>
        <w:t>Explicación detallada de las disposiciones específicas de la propuesta</w:t>
      </w:r>
    </w:p>
    <w:p w:rsidR="00460FBC" w:rsidRPr="00267F0D" w:rsidRDefault="2DB3722B" w:rsidP="1CFC2799">
      <w:pPr>
        <w:pBdr>
          <w:top w:val="nil"/>
          <w:left w:val="nil"/>
          <w:bottom w:val="nil"/>
          <w:right w:val="nil"/>
          <w:between w:val="nil"/>
          <w:bar w:val="nil"/>
        </w:pBdr>
        <w:spacing w:before="0" w:after="240"/>
        <w:rPr>
          <w:rFonts w:eastAsia="Arial Unicode MS"/>
          <w:noProof/>
        </w:rPr>
      </w:pPr>
      <w:r w:rsidRPr="00267F0D">
        <w:rPr>
          <w:noProof/>
        </w:rPr>
        <w:t xml:space="preserve">Con el fin de proporcionar más flexibilidad a las regiones ultraperiféricas afectadas por catástrofes naturales y fenómenos meteorológicos graves y dar una respuesta adecuada al impacto que la catástrofe natural sin precedentes Chido ha supuesto para los agricultores, otros beneficiarios del Feader y las administraciones de Mayotte, se propone modificar el Reglamento (UE) n.º 228/2013 como sigue: </w:t>
      </w:r>
    </w:p>
    <w:p w:rsidR="00460FBC" w:rsidRPr="00267F0D" w:rsidRDefault="5E72846D" w:rsidP="004A64DB">
      <w:pPr>
        <w:pStyle w:val="Bullet0"/>
        <w:numPr>
          <w:ilvl w:val="0"/>
          <w:numId w:val="17"/>
        </w:numPr>
        <w:rPr>
          <w:noProof/>
        </w:rPr>
      </w:pPr>
      <w:r w:rsidRPr="00267F0D">
        <w:rPr>
          <w:noProof/>
        </w:rPr>
        <w:t xml:space="preserve">Se permitiría a las autoridades nacionales competentes presentar una modificación excepcional de sus programas POSEI aplicando al mismo tiempo el principio de fuerza mayor o circunstancias excepcionales debido a las cuales, a raíz de un desastre natural grave e inesperado, la capacidad de producción agrícola ha quedado destruida en gran medida o totalmente y el restablecimiento de determinados sectores requiere un período más largo que el cubierto por la aplicación del principio de fuerza mayor o circunstancias excepcionales. Esto permitiría a los beneficiarios afectados seguir recibiendo ayudas con cargo a un programa POSEI durante el período de restauración, independientemente de su nivel de actividad, pero con sujeción a su compromiso formal de restablecer su capacidad de producción agrícola. La aplicación de esta modificación del programa estará sujeta a revisión y seguimiento anuales de los avances en estrecha cooperación entre la Comisión y el Estado miembro. </w:t>
      </w:r>
    </w:p>
    <w:p w:rsidR="00157922" w:rsidRPr="00267F0D" w:rsidRDefault="004E5086" w:rsidP="1CFC2799">
      <w:pPr>
        <w:pStyle w:val="Bullet0"/>
        <w:spacing w:before="0" w:after="240"/>
        <w:rPr>
          <w:rFonts w:eastAsia="Arial Unicode MS"/>
          <w:noProof/>
        </w:rPr>
      </w:pPr>
      <w:r w:rsidRPr="00267F0D">
        <w:rPr>
          <w:noProof/>
        </w:rPr>
        <w:t>En el caso del programa de desarrollo rural de Mayotte, se suprimiría el límite del 10 % de las asignaciones presupuestarias de 2021 y 2022 para la ayuda temporal en respuesta al impacto de las catástrofes naturales que debe financiarse con cargo al Fondo Europeo Agrícola de Desarrollo Rural (Feader) y se permitiría la selección de los beneficiarios más allá del plazo del 30 de junio de 2025.</w:t>
      </w:r>
    </w:p>
    <w:p w:rsidR="00157922" w:rsidRPr="00267F0D" w:rsidRDefault="001E6BBF" w:rsidP="001E6BBF">
      <w:pPr>
        <w:pStyle w:val="Bullet0"/>
        <w:rPr>
          <w:b/>
          <w:bCs/>
          <w:noProof/>
          <w:bdr w:val="nil"/>
        </w:rPr>
      </w:pPr>
      <w:r w:rsidRPr="00267F0D">
        <w:rPr>
          <w:b/>
          <w:noProof/>
          <w:bdr w:val="nil"/>
        </w:rPr>
        <w:t>Cumplimiento del principio de «digital por defecto»</w:t>
      </w:r>
    </w:p>
    <w:p w:rsidR="001E6BBF" w:rsidRPr="00267F0D" w:rsidRDefault="0FB89904" w:rsidP="00D826D3">
      <w:pPr>
        <w:pStyle w:val="Bullet0"/>
        <w:rPr>
          <w:noProof/>
        </w:rPr>
      </w:pPr>
      <w:r w:rsidRPr="00267F0D">
        <w:rPr>
          <w:noProof/>
        </w:rPr>
        <w:t>Según la evaluación digital realizada, la presente propuesta no tiene una dimensión digital, ya que carece de repercusión digital. Aspectos como los medios digitales o el intercambio de datos no entran en el ámbito de aplicación de la propuesta.</w:t>
      </w:r>
    </w:p>
    <w:p w:rsidR="003B0773" w:rsidRPr="00267F0D" w:rsidRDefault="003B0773">
      <w:pPr>
        <w:spacing w:before="0" w:after="200" w:line="276" w:lineRule="auto"/>
        <w:jc w:val="left"/>
        <w:rPr>
          <w:noProof/>
        </w:rPr>
        <w:sectPr w:rsidR="003B0773" w:rsidRPr="00267F0D" w:rsidSect="00FB3DE3">
          <w:headerReference w:type="even" r:id="rId14"/>
          <w:footerReference w:type="even" r:id="rId15"/>
          <w:footerReference w:type="default" r:id="rId16"/>
          <w:headerReference w:type="first" r:id="rId17"/>
          <w:footerReference w:type="first" r:id="rId18"/>
          <w:footnotePr>
            <w:numRestart w:val="eachSect"/>
          </w:footnotePr>
          <w:pgSz w:w="11907" w:h="16839"/>
          <w:pgMar w:top="1134" w:right="1417" w:bottom="1134" w:left="1417" w:header="709" w:footer="709" w:gutter="0"/>
          <w:cols w:space="720"/>
          <w:docGrid w:linePitch="360"/>
        </w:sectPr>
      </w:pPr>
    </w:p>
    <w:p w:rsidR="005A5D2F" w:rsidRDefault="00F303AE">
      <w:pPr>
        <w:pStyle w:val="Rfrenceinterinstitutionnelle"/>
        <w:rPr>
          <w:noProof/>
        </w:rPr>
      </w:pPr>
      <w:r>
        <w:rPr>
          <w:noProof/>
        </w:rPr>
        <w:t>2025/0104 (COD)</w:t>
      </w:r>
    </w:p>
    <w:p w:rsidR="00157922" w:rsidRPr="00267F0D" w:rsidRDefault="00267F0D" w:rsidP="00267F0D">
      <w:pPr>
        <w:pStyle w:val="Statut"/>
        <w:rPr>
          <w:noProof/>
        </w:rPr>
      </w:pPr>
      <w:r w:rsidRPr="00267F0D">
        <w:rPr>
          <w:noProof/>
        </w:rPr>
        <w:t>Propuesta de</w:t>
      </w:r>
    </w:p>
    <w:p w:rsidR="00157922" w:rsidRPr="00267F0D" w:rsidRDefault="00267F0D" w:rsidP="00267F0D">
      <w:pPr>
        <w:pStyle w:val="Typedudocument"/>
        <w:rPr>
          <w:noProof/>
        </w:rPr>
      </w:pPr>
      <w:r w:rsidRPr="00267F0D">
        <w:rPr>
          <w:noProof/>
        </w:rPr>
        <w:t>REGLAMENTO DEL PARLAMENTO EUROPEO Y DEL CONSEJO</w:t>
      </w:r>
    </w:p>
    <w:p w:rsidR="00157922" w:rsidRPr="00267F0D" w:rsidRDefault="00267F0D" w:rsidP="00267F0D">
      <w:pPr>
        <w:pStyle w:val="Titreobjet"/>
        <w:rPr>
          <w:noProof/>
        </w:rPr>
      </w:pPr>
      <w:r w:rsidRPr="00267F0D">
        <w:rPr>
          <w:noProof/>
        </w:rPr>
        <w:t xml:space="preserve">por el que se modifica el Reglamento (UE) n.º 228/2013 en lo que respecta a la ayuda suplementaria y una mayor flexibilidad en favor de las regiones ultraperiféricas afectadas por catástrofes naturales graves y en el contexto del ciclón Chido que ha devastado Mayotte </w:t>
      </w:r>
    </w:p>
    <w:p w:rsidR="00157922" w:rsidRPr="00267F0D" w:rsidRDefault="00157922">
      <w:pPr>
        <w:pStyle w:val="Institutionquiagit"/>
        <w:rPr>
          <w:noProof/>
        </w:rPr>
      </w:pPr>
      <w:r w:rsidRPr="00267F0D">
        <w:rPr>
          <w:noProof/>
        </w:rPr>
        <w:t>EL PARLAMENTO EUROPEO Y EL CONSEJO DE LA UNIÓN EUROPEA,</w:t>
      </w:r>
    </w:p>
    <w:p w:rsidR="00157922" w:rsidRPr="00267F0D" w:rsidRDefault="00157922">
      <w:pPr>
        <w:rPr>
          <w:noProof/>
        </w:rPr>
      </w:pPr>
      <w:r w:rsidRPr="00267F0D">
        <w:rPr>
          <w:noProof/>
        </w:rPr>
        <w:t>Visto el Tratado de Funcionamiento de la Unión Europea, y en particular su artículo 42, su artículo 43, apartado 2, y su artículo 349,</w:t>
      </w:r>
    </w:p>
    <w:p w:rsidR="00157922" w:rsidRPr="00267F0D" w:rsidRDefault="00157922">
      <w:pPr>
        <w:rPr>
          <w:noProof/>
        </w:rPr>
      </w:pPr>
      <w:r w:rsidRPr="00267F0D">
        <w:rPr>
          <w:noProof/>
        </w:rPr>
        <w:t>Vista la propuesta de la Comisión Europea,</w:t>
      </w:r>
    </w:p>
    <w:p w:rsidR="00157922" w:rsidRPr="00267F0D" w:rsidRDefault="00157922">
      <w:pPr>
        <w:rPr>
          <w:noProof/>
        </w:rPr>
      </w:pPr>
      <w:r w:rsidRPr="00267F0D">
        <w:rPr>
          <w:noProof/>
        </w:rPr>
        <w:t>Previa transmisión del proyecto de acto legislativo a los Parlamentos nacionales,</w:t>
      </w:r>
    </w:p>
    <w:p w:rsidR="00157922" w:rsidRPr="00267F0D" w:rsidRDefault="00157922" w:rsidP="22596DB9">
      <w:pPr>
        <w:rPr>
          <w:noProof/>
        </w:rPr>
      </w:pPr>
      <w:r w:rsidRPr="00267F0D">
        <w:rPr>
          <w:noProof/>
        </w:rPr>
        <w:t>Visto el dictamen del Comité Económico y Social Europeo</w:t>
      </w:r>
      <w:r w:rsidRPr="00267F0D">
        <w:rPr>
          <w:rStyle w:val="FootnoteReference"/>
          <w:noProof/>
        </w:rPr>
        <w:footnoteReference w:id="11"/>
      </w:r>
      <w:r w:rsidRPr="00267F0D">
        <w:rPr>
          <w:noProof/>
        </w:rPr>
        <w:t xml:space="preserve">, </w:t>
      </w:r>
    </w:p>
    <w:p w:rsidR="00157922" w:rsidRPr="00267F0D" w:rsidRDefault="00157922" w:rsidP="7EB54849">
      <w:pPr>
        <w:rPr>
          <w:noProof/>
        </w:rPr>
      </w:pPr>
      <w:r w:rsidRPr="00267F0D">
        <w:rPr>
          <w:noProof/>
        </w:rPr>
        <w:t>Visto el dictamen del Comité de las Regiones</w:t>
      </w:r>
      <w:r w:rsidRPr="00267F0D">
        <w:rPr>
          <w:rStyle w:val="FootnoteReference"/>
          <w:noProof/>
        </w:rPr>
        <w:footnoteReference w:id="12"/>
      </w:r>
      <w:r w:rsidRPr="00267F0D">
        <w:rPr>
          <w:noProof/>
        </w:rPr>
        <w:t xml:space="preserve">, </w:t>
      </w:r>
    </w:p>
    <w:p w:rsidR="00157922" w:rsidRPr="00267F0D" w:rsidRDefault="00157922">
      <w:pPr>
        <w:rPr>
          <w:noProof/>
        </w:rPr>
      </w:pPr>
      <w:r w:rsidRPr="00267F0D">
        <w:rPr>
          <w:noProof/>
        </w:rPr>
        <w:t>De conformidad con el procedimiento legislativo ordinario,</w:t>
      </w:r>
    </w:p>
    <w:p w:rsidR="00157922" w:rsidRPr="00267F0D" w:rsidRDefault="00157922">
      <w:pPr>
        <w:rPr>
          <w:noProof/>
        </w:rPr>
      </w:pPr>
      <w:r w:rsidRPr="00267F0D">
        <w:rPr>
          <w:noProof/>
        </w:rPr>
        <w:t>Considerando lo siguiente:</w:t>
      </w:r>
    </w:p>
    <w:p w:rsidR="6E977DA7" w:rsidRPr="00267F0D" w:rsidRDefault="00D53E61" w:rsidP="00D53E61">
      <w:pPr>
        <w:pStyle w:val="ManualConsidrant"/>
        <w:rPr>
          <w:noProof/>
        </w:rPr>
      </w:pPr>
      <w:r w:rsidRPr="00D53E61">
        <w:rPr>
          <w:noProof/>
        </w:rPr>
        <w:t>(1)</w:t>
      </w:r>
      <w:r w:rsidRPr="00D53E61">
        <w:rPr>
          <w:noProof/>
        </w:rPr>
        <w:tab/>
      </w:r>
      <w:r w:rsidR="255CCE0D" w:rsidRPr="00267F0D">
        <w:rPr>
          <w:noProof/>
        </w:rPr>
        <w:t>El 18 de diciembre de 2024, se declaró una «catástrofe natural excepcional» en la región ultraperiférica de Mayotte a raíz de las devastadoras consecuencias del ciclón Chido, que destruyó gran parte del potencial agrícola y forestal de la isla y amenazó la disponibilidad y la seguridad alimentarias. Este ciclón sin precedentes y otras catástrofes naturales recientes en las regiones ultraperiféricas de la Unión, tal como se describen en el artículo 349 del Tratado de Funcionamiento de la Unión Europea (TFUE), ponen de relieve la vulnerabilidad de estas regiones a los efectos del cambio climático, incluido el aumento del riesgo de catástrofes naturales excepcionales o fenómenos meteorológicos graves con consecuencias a largo plazo.</w:t>
      </w:r>
    </w:p>
    <w:p w:rsidR="3476F380" w:rsidRPr="00267F0D" w:rsidRDefault="00D53E61" w:rsidP="00D53E61">
      <w:pPr>
        <w:pStyle w:val="ManualConsidrant"/>
        <w:rPr>
          <w:noProof/>
        </w:rPr>
      </w:pPr>
      <w:r w:rsidRPr="00D53E61">
        <w:rPr>
          <w:noProof/>
        </w:rPr>
        <w:t>(2)</w:t>
      </w:r>
      <w:r w:rsidRPr="00D53E61">
        <w:rPr>
          <w:noProof/>
        </w:rPr>
        <w:tab/>
      </w:r>
      <w:r w:rsidR="1032A6D9" w:rsidRPr="00267F0D">
        <w:rPr>
          <w:noProof/>
        </w:rPr>
        <w:t>Con el fin de afrontar y mitigar el impacto de las catástrofes naturales excepcionales o los fenómenos meteorológicos graves en las regiones ultraperiféricas de la Unión, en particular en lo que respecta al apoyo a la producción local prestado a través del programa de opciones específicas por la lejanía y la insularidad (POSEI) a que se refiere el Reglamento (UE) n.º 228/2013 del Parlamento Europeo y del Consejo</w:t>
      </w:r>
      <w:r w:rsidR="00BF7D96" w:rsidRPr="00267F0D">
        <w:rPr>
          <w:rStyle w:val="FootnoteReference"/>
          <w:noProof/>
        </w:rPr>
        <w:footnoteReference w:id="13"/>
      </w:r>
      <w:r w:rsidR="1032A6D9" w:rsidRPr="00267F0D">
        <w:rPr>
          <w:noProof/>
        </w:rPr>
        <w:t>; conviene ofrecer la posibilidad de que los beneficiarios afectados sigan recibiendo pagos con cargo a los programas POSEI durante el período de restauración, independientemente de su nivel de actividad, con sujeción a su compromiso formal de restablecer su capacidad. Por consiguiente, debe preverse que las autoridades nacionales competentes puedan decidir sobre la aplicación de casos de fuerza mayor o circunstancias excepcionales sobre la base de pruebas pertinentes. Al mismo tiempo, en circunstancias debidamente justificadas, cuando el restablecimiento de determinados sectores requiera un período más largo, debe preverse que una modificación excepcional del programa, sujeta a una revisión anual y al seguimiento de los progresos realizados, pueda ampliar dicho período de recuperación más allá de lo que podría estar cubierto por la aplicación del principio de fuerza mayor o la concurrencia de circunstancias excepcionales. Para ello, es necesario modificar los artículos 6 y 19 del Reglamento (UE) n.º 228/2013.</w:t>
      </w:r>
    </w:p>
    <w:p w:rsidR="313CE62E" w:rsidRPr="00267F0D" w:rsidRDefault="00D53E61" w:rsidP="00D53E61">
      <w:pPr>
        <w:pStyle w:val="ManualConsidrant"/>
        <w:rPr>
          <w:noProof/>
        </w:rPr>
      </w:pPr>
      <w:r w:rsidRPr="00D53E61">
        <w:rPr>
          <w:noProof/>
        </w:rPr>
        <w:t>(3)</w:t>
      </w:r>
      <w:r w:rsidRPr="00D53E61">
        <w:rPr>
          <w:noProof/>
        </w:rPr>
        <w:tab/>
      </w:r>
      <w:r w:rsidR="64E3BFC0" w:rsidRPr="00267F0D">
        <w:rPr>
          <w:noProof/>
        </w:rPr>
        <w:t xml:space="preserve">Además, con el fin de subsanar rápidamente las vulnerabilidades del sistema alimentario de Mayotte y de las comunidades rurales derivadas de esta catástrofe natural sin precedentes causada por el ciclón Chido, conviene proporcionar rápidamente una ayuda excepcional y efectiva a través del Fondo Europeo Agrícola de Desarrollo Rural (Feader) y ofrecer una mayor flexibilidad por lo que se refiere a las normas existentes. El artículo 6 </w:t>
      </w:r>
      <w:r w:rsidR="64E3BFC0" w:rsidRPr="00267F0D">
        <w:rPr>
          <w:i/>
          <w:iCs/>
          <w:noProof/>
        </w:rPr>
        <w:t>bis</w:t>
      </w:r>
      <w:r w:rsidR="64E3BFC0" w:rsidRPr="00267F0D">
        <w:rPr>
          <w:noProof/>
        </w:rPr>
        <w:t xml:space="preserve"> del Reglamento (UE) 2020/2220 del Parlamento Europeo y del Consejo</w:t>
      </w:r>
      <w:r w:rsidR="00EE671D" w:rsidRPr="00267F0D">
        <w:rPr>
          <w:rStyle w:val="FootnoteReference"/>
          <w:noProof/>
        </w:rPr>
        <w:footnoteReference w:id="14"/>
      </w:r>
      <w:r w:rsidR="64E3BFC0" w:rsidRPr="00267F0D">
        <w:rPr>
          <w:noProof/>
        </w:rPr>
        <w:t xml:space="preserve"> introdujo una nueva medida de ayuda temporal excepcional en respuesta a los efectos de los desastres naturales, cuya financiación se efectuará a través del Feader y con arreglo al marco jurídico aplicable durante el período de programación 2014-2020, prorrogado por ese mismo Reglamento. Para que Mayotte pueda responder a las consecuencias del ciclón Chido y teniendo en cuenta las dificultades causadas por la situación específica de esta región ultraperiférica, debe preverse la aplicación de la medida introducida por el artículo 6 </w:t>
      </w:r>
      <w:r w:rsidR="64E3BFC0" w:rsidRPr="00267F0D">
        <w:rPr>
          <w:i/>
          <w:iCs/>
          <w:noProof/>
        </w:rPr>
        <w:t>bis</w:t>
      </w:r>
      <w:r w:rsidR="64E3BFC0" w:rsidRPr="00267F0D">
        <w:rPr>
          <w:noProof/>
        </w:rPr>
        <w:t xml:space="preserve"> del Reglamento (UE) 2020/2220 en Mayotte. Dado que las dificultades específicas para responder a la situación excepcional de Mayotte están relacionadas con su lejanía como región ultraperiférica, tal como se describe en el artículo 349 del TFUE, conviene prever la flexibilidad de la ayuda del Feader mediante el establecimiento de un marco jurídico específico para la ayuda suplementaria de las regiones ultraperiféricas. Para ello, es necesario modificar el artículo 22 del Reglamento (UE) n.º 228/2013. </w:t>
      </w:r>
    </w:p>
    <w:p w:rsidR="313CE62E" w:rsidRPr="00267F0D" w:rsidRDefault="00D53E61" w:rsidP="00D53E61">
      <w:pPr>
        <w:pStyle w:val="ManualConsidrant"/>
        <w:rPr>
          <w:noProof/>
        </w:rPr>
      </w:pPr>
      <w:r w:rsidRPr="00D53E61">
        <w:rPr>
          <w:noProof/>
        </w:rPr>
        <w:t>(4)</w:t>
      </w:r>
      <w:r w:rsidRPr="00D53E61">
        <w:rPr>
          <w:noProof/>
        </w:rPr>
        <w:tab/>
      </w:r>
      <w:r w:rsidR="405C9DD2" w:rsidRPr="00267F0D">
        <w:rPr>
          <w:noProof/>
        </w:rPr>
        <w:t xml:space="preserve">Dado que el objetivo del presente Reglamento, que consiste, entre otros aspectos, en afrontar y mitigar el impacto de las catástrofes naturales en los sectores agroalimentario y forestal de las regiones ultraperiféricas proporcionando flexibilidad adicional tras catástrofes naturales excepcionales o fenómenos meteorológicos graves y, en particular, tras el ciclón Chido en Mayotte, no puede ser alcanzado de manera suficiente por los Estados miembros, sino que puede lograrse mejor a escala de la Unión, esta está en condiciones de adoptar medidas, de acuerdo con el principio de subsidiariedad establecido en el artículo 5 del Tratado de la Unión Europea (TUE). De conformidad con el principio de proporcionalidad establecido en el mismo artículo, el presente Reglamento no excede de lo necesario para alcanzar dicho objetivo. </w:t>
      </w:r>
    </w:p>
    <w:p w:rsidR="00A609C7" w:rsidRPr="00267F0D" w:rsidRDefault="00D53E61" w:rsidP="00D53E61">
      <w:pPr>
        <w:pStyle w:val="ManualConsidrant"/>
        <w:rPr>
          <w:noProof/>
        </w:rPr>
      </w:pPr>
      <w:r w:rsidRPr="00D53E61">
        <w:rPr>
          <w:noProof/>
        </w:rPr>
        <w:t>(5)</w:t>
      </w:r>
      <w:r w:rsidRPr="00D53E61">
        <w:rPr>
          <w:noProof/>
        </w:rPr>
        <w:tab/>
      </w:r>
      <w:r w:rsidR="00A609C7" w:rsidRPr="00267F0D">
        <w:rPr>
          <w:noProof/>
        </w:rPr>
        <w:t>Procede, por tanto, modificar el Reglamento (UE) n.º 228/2013 en consecuencia.</w:t>
      </w:r>
    </w:p>
    <w:p w:rsidR="313CE62E" w:rsidRPr="00267F0D" w:rsidRDefault="00D53E61" w:rsidP="00D53E61">
      <w:pPr>
        <w:pStyle w:val="ManualConsidrant"/>
        <w:rPr>
          <w:noProof/>
        </w:rPr>
      </w:pPr>
      <w:r w:rsidRPr="00D53E61">
        <w:rPr>
          <w:noProof/>
        </w:rPr>
        <w:t>(6)</w:t>
      </w:r>
      <w:r w:rsidRPr="00D53E61">
        <w:rPr>
          <w:noProof/>
        </w:rPr>
        <w:tab/>
      </w:r>
      <w:r w:rsidR="727CAF49" w:rsidRPr="00267F0D">
        <w:rPr>
          <w:noProof/>
        </w:rPr>
        <w:t xml:space="preserve">Habida cuenta de los devastadores efectos de las catástrofes naturales actuales y de la urgencia de afrontar y mitigar su impacto en los sectores agroalimentario y forestal de las regiones ultraperiféricas, así como de la urgencia de aplicar la medida con arreglo al artículo 6 </w:t>
      </w:r>
      <w:r w:rsidR="727CAF49" w:rsidRPr="00267F0D">
        <w:rPr>
          <w:i/>
          <w:iCs/>
          <w:noProof/>
        </w:rPr>
        <w:t>bis</w:t>
      </w:r>
      <w:r w:rsidR="727CAF49" w:rsidRPr="00267F0D">
        <w:rPr>
          <w:noProof/>
        </w:rPr>
        <w:t xml:space="preserve"> del Reglamento (UE) 2020/2220 antes del final del período de programación 2014-2020, prorrogado por el mismo Reglamento, se considera adecuado acogerse a la excepción al período de ocho semanas prevista en el artículo 4 del Protocolo n.º 1 sobre el cometido de los Parlamentos nacionales en la Unión Europea, anejo al TUE, al TFUE y al Tratado constitutivo de la Comunidad Europea de la Energía Atómica.</w:t>
      </w:r>
    </w:p>
    <w:p w:rsidR="1A162280" w:rsidRPr="00267F0D" w:rsidRDefault="00D53E61" w:rsidP="00D53E61">
      <w:pPr>
        <w:pStyle w:val="ManualConsidrant"/>
        <w:rPr>
          <w:noProof/>
        </w:rPr>
      </w:pPr>
      <w:r w:rsidRPr="00D53E61">
        <w:rPr>
          <w:noProof/>
        </w:rPr>
        <w:t>(7)</w:t>
      </w:r>
      <w:r w:rsidRPr="00D53E61">
        <w:rPr>
          <w:noProof/>
        </w:rPr>
        <w:tab/>
      </w:r>
      <w:r w:rsidR="1A162280" w:rsidRPr="00267F0D">
        <w:rPr>
          <w:noProof/>
        </w:rPr>
        <w:t xml:space="preserve">A fin de garantizar una aplicación fluida de estas modificaciones y con carácter de urgencia habida cuenta de la perentoria necesidad de afrontar y mitigar el impacto de catástrofes naturales excepcionales o fenómenos meteorológicos graves en los territorios ultraperiféricos de la Unión, y en particular el del ciclón Chido en Mayotte, el presente Reglamento debe entrar en vigor el día de su publicación en el </w:t>
      </w:r>
      <w:r w:rsidR="1A162280" w:rsidRPr="00267F0D">
        <w:rPr>
          <w:i/>
          <w:noProof/>
        </w:rPr>
        <w:t>Diario Oficial de la Unión Europea</w:t>
      </w:r>
      <w:r w:rsidR="1A162280" w:rsidRPr="00267F0D">
        <w:rPr>
          <w:noProof/>
        </w:rPr>
        <w:t>.</w:t>
      </w:r>
    </w:p>
    <w:p w:rsidR="00157922" w:rsidRPr="00267F0D" w:rsidRDefault="00157922" w:rsidP="79E1B310">
      <w:pPr>
        <w:pStyle w:val="Formuledadoption"/>
        <w:rPr>
          <w:noProof/>
        </w:rPr>
      </w:pPr>
      <w:r w:rsidRPr="00267F0D">
        <w:rPr>
          <w:noProof/>
        </w:rPr>
        <w:t>HAN ADOPTADO EL PRESENTE REGLAMENTO:</w:t>
      </w:r>
    </w:p>
    <w:p w:rsidR="00157922" w:rsidRPr="00267F0D" w:rsidRDefault="00157922">
      <w:pPr>
        <w:pStyle w:val="Titrearticle"/>
        <w:rPr>
          <w:noProof/>
        </w:rPr>
      </w:pPr>
      <w:r w:rsidRPr="00267F0D">
        <w:rPr>
          <w:noProof/>
        </w:rPr>
        <w:t>Artículo 1</w:t>
      </w:r>
    </w:p>
    <w:p w:rsidR="001C3168" w:rsidRPr="00267F0D" w:rsidRDefault="001C3168" w:rsidP="00C61EE2">
      <w:pPr>
        <w:pStyle w:val="Titrearticle"/>
        <w:spacing w:before="0" w:after="160" w:line="257" w:lineRule="auto"/>
        <w:jc w:val="both"/>
        <w:rPr>
          <w:rFonts w:ascii="Aptos" w:eastAsia="Aptos" w:hAnsi="Aptos" w:cs="Aptos"/>
          <w:b/>
          <w:bCs/>
          <w:i w:val="0"/>
          <w:noProof/>
          <w:sz w:val="22"/>
        </w:rPr>
      </w:pPr>
      <w:r w:rsidRPr="00267F0D">
        <w:rPr>
          <w:i w:val="0"/>
          <w:noProof/>
        </w:rPr>
        <w:t xml:space="preserve">El Reglamento (UE) n.º 228/2013 se modifica como sigue: </w:t>
      </w:r>
    </w:p>
    <w:p w:rsidR="001C3168" w:rsidRPr="00267F0D" w:rsidRDefault="58DBE114" w:rsidP="3D8345F6">
      <w:pPr>
        <w:rPr>
          <w:rFonts w:eastAsia="Times New Roman"/>
          <w:noProof/>
        </w:rPr>
      </w:pPr>
      <w:r w:rsidRPr="00267F0D">
        <w:rPr>
          <w:noProof/>
        </w:rPr>
        <w:t>1) En el artículo 6 se añade el apartado 5 siguiente:</w:t>
      </w:r>
    </w:p>
    <w:p w:rsidR="47328ED1" w:rsidRPr="00267F0D" w:rsidRDefault="00A92E9B" w:rsidP="3BAFEC4C">
      <w:pPr>
        <w:rPr>
          <w:noProof/>
        </w:rPr>
      </w:pPr>
      <w:r w:rsidRPr="00267F0D">
        <w:rPr>
          <w:noProof/>
        </w:rPr>
        <w:t>«5. En caso de catástrofes naturales excepcionales o fenómenos meteorológicos graves que destruyan total o parcialmente la capacidad de producción agrícola de una región ultraperiférica, los Estados miembros podrán presentar una propuesta de modificación del programa, aplicando al mismo tiempo el principio de fuerza mayor o circunstancias excepcionales, a fin de que los beneficiarios afectados puedan seguir recibiendo ayuda de los programas POSEI durante todo el período de restauración en forma de medidas específicas de fomento de las producciones agrícolas locales previstas en el artículo 19. La aplicación de esta modificación del programa estará sujeta a revisión y seguimiento anuales de los avances en estrecha cooperación entre la Comisión y el Estado miembro.».</w:t>
      </w:r>
    </w:p>
    <w:p w:rsidR="1B1398EE" w:rsidRPr="00267F0D" w:rsidRDefault="7CEF5D86" w:rsidP="3F4AFCD7">
      <w:pPr>
        <w:rPr>
          <w:noProof/>
        </w:rPr>
      </w:pPr>
      <w:r w:rsidRPr="00267F0D">
        <w:rPr>
          <w:noProof/>
        </w:rPr>
        <w:t>2) En el artículo 19 se añade el apartado 5 siguiente:</w:t>
      </w:r>
    </w:p>
    <w:p w:rsidR="3CD311F6" w:rsidRPr="00267F0D" w:rsidRDefault="00A92E9B" w:rsidP="3CD311F6">
      <w:pPr>
        <w:rPr>
          <w:noProof/>
        </w:rPr>
      </w:pPr>
      <w:r w:rsidRPr="00267F0D">
        <w:rPr>
          <w:noProof/>
        </w:rPr>
        <w:t>«5. Cuando se modifique un programa de conformidad con el artículo 6, apartado 5, los beneficiarios afectados por la catástrofe natural excepcional o el acontecimiento meteorológico grave podrán seguir beneficiándose del apoyo en forma de medidas de ayuda a la producción, la transformación o la comercialización previstas en el apartado 4 del presente artículo, independientemente de su nivel de actividad durante todo el período de recuperación, pero con sujeción al compromiso formal de restablecer su capacidad de producción agrícola.».</w:t>
      </w:r>
    </w:p>
    <w:p w:rsidR="037DE817" w:rsidRPr="00267F0D" w:rsidRDefault="6017A628" w:rsidP="405E6C9A">
      <w:pPr>
        <w:rPr>
          <w:noProof/>
        </w:rPr>
      </w:pPr>
      <w:r w:rsidRPr="00267F0D">
        <w:rPr>
          <w:noProof/>
        </w:rPr>
        <w:t>3) En el artículo 22, se añaden los apartados 3 y 4 siguientes:</w:t>
      </w:r>
    </w:p>
    <w:p w:rsidR="1A82FCE0" w:rsidRPr="00267F0D" w:rsidRDefault="00A92E9B" w:rsidP="203891E0">
      <w:pPr>
        <w:rPr>
          <w:noProof/>
        </w:rPr>
      </w:pPr>
      <w:r w:rsidRPr="00267F0D">
        <w:rPr>
          <w:noProof/>
        </w:rPr>
        <w:t xml:space="preserve">«3. No obstante lo dispuesto en el artículo 6 </w:t>
      </w:r>
      <w:r w:rsidRPr="00267F0D">
        <w:rPr>
          <w:i/>
          <w:iCs/>
          <w:noProof/>
        </w:rPr>
        <w:t>bis</w:t>
      </w:r>
      <w:r w:rsidRPr="00267F0D">
        <w:rPr>
          <w:noProof/>
        </w:rPr>
        <w:t>, apartado 5, del Reglamento (UE) 2020/2220 del Parlamento Europeo y del Consejo*, Mayotte podrá aprobar solicitudes de ayuda después del 30 de junio de 2025.</w:t>
      </w:r>
    </w:p>
    <w:p w:rsidR="00D411CA" w:rsidRPr="00267F0D" w:rsidRDefault="23F8CB31" w:rsidP="203891E0">
      <w:pPr>
        <w:rPr>
          <w:noProof/>
        </w:rPr>
      </w:pPr>
      <w:r w:rsidRPr="00267F0D">
        <w:rPr>
          <w:noProof/>
        </w:rPr>
        <w:t xml:space="preserve">4. En el programa de desarrollo rural de Mayotte, la ayuda del Feader prevista para la medida contemplada en el artículo 6 </w:t>
      </w:r>
      <w:r w:rsidRPr="00267F0D">
        <w:rPr>
          <w:i/>
          <w:iCs/>
          <w:noProof/>
        </w:rPr>
        <w:t>bis</w:t>
      </w:r>
      <w:r w:rsidRPr="00267F0D">
        <w:rPr>
          <w:noProof/>
        </w:rPr>
        <w:t xml:space="preserve"> del Reglamento (UE) 2020/2220 no excederá de la contribución total del Feader a dicho programa de desarrollo rural para los años 2021-2022.</w:t>
      </w:r>
    </w:p>
    <w:p w:rsidR="53C8B4AB" w:rsidRPr="00267F0D" w:rsidRDefault="00E040F3" w:rsidP="203891E0">
      <w:pPr>
        <w:rPr>
          <w:noProof/>
        </w:rPr>
      </w:pPr>
      <w:r w:rsidRPr="00267F0D">
        <w:rPr>
          <w:noProof/>
        </w:rPr>
        <w:t>*</w:t>
      </w:r>
      <w:r w:rsidRPr="00267F0D">
        <w:rPr>
          <w:noProof/>
        </w:rPr>
        <w:tab/>
        <w:t xml:space="preserve">Reglamento (UE) 2020/2220 del Parlamento Europeo y del Consejo, de 23 de diciembre de 2020, por el que se establecen determinadas disposiciones transitorias para la ayuda del Fondo Europeo Agrícola de Desarrollo Rural (Feader) y del Fondo Europeo Agrícola de Garantía (FEAGA) en los años 2021 y 2022, y por el que se modifican los Reglamentos (UE) n.º 1305/2013, (UE) n.º 1306/2013 y (UE) n.º 1307/2013 en lo que respecta a sus recursos y a su aplicación en los años 2021 y 2022 y el Reglamento (UE) n.º 1308/2013 en lo que respecta a los recursos y la distribución de dicha ayuda en los años 2021 y 2022 (DO L 437 de 28.12.2020, p. 1, ELI: </w:t>
      </w:r>
      <w:hyperlink r:id="rId19" w:history="1">
        <w:r w:rsidRPr="00267F0D">
          <w:rPr>
            <w:rStyle w:val="Hyperlink"/>
            <w:noProof/>
          </w:rPr>
          <w:t>http://data.europa.eu/eli/reg/2020/2220/oj</w:t>
        </w:r>
      </w:hyperlink>
      <w:r w:rsidRPr="00267F0D">
        <w:rPr>
          <w:noProof/>
        </w:rPr>
        <w:t>).».</w:t>
      </w:r>
    </w:p>
    <w:p w:rsidR="00157922" w:rsidRPr="00267F0D" w:rsidRDefault="00157922" w:rsidP="001C3168">
      <w:pPr>
        <w:pStyle w:val="Titrearticle"/>
        <w:rPr>
          <w:noProof/>
        </w:rPr>
      </w:pPr>
      <w:r w:rsidRPr="00267F0D">
        <w:rPr>
          <w:noProof/>
        </w:rPr>
        <w:t>Artículo 2</w:t>
      </w:r>
    </w:p>
    <w:p w:rsidR="00157922" w:rsidRPr="00267F0D" w:rsidRDefault="00157922">
      <w:pPr>
        <w:rPr>
          <w:noProof/>
        </w:rPr>
      </w:pPr>
      <w:r w:rsidRPr="00267F0D">
        <w:rPr>
          <w:noProof/>
        </w:rPr>
        <w:t xml:space="preserve">El presente Reglamento entrará en vigor el día de su publicación en el </w:t>
      </w:r>
      <w:r w:rsidRPr="00267F0D">
        <w:rPr>
          <w:i/>
          <w:noProof/>
        </w:rPr>
        <w:t>Diario Oficial de la Unión Europea</w:t>
      </w:r>
      <w:r w:rsidRPr="00267F0D">
        <w:rPr>
          <w:noProof/>
        </w:rPr>
        <w:t>.</w:t>
      </w:r>
    </w:p>
    <w:p w:rsidR="00157922" w:rsidRPr="00267F0D" w:rsidRDefault="00157922" w:rsidP="7EB54849">
      <w:pPr>
        <w:pStyle w:val="Applicationdirecte"/>
        <w:rPr>
          <w:noProof/>
        </w:rPr>
      </w:pPr>
      <w:r w:rsidRPr="00267F0D">
        <w:rPr>
          <w:noProof/>
        </w:rPr>
        <w:t>El presente Reglamento será obligatorio en todos sus elementos y directamente aplicable en cada Estado miembro.</w:t>
      </w:r>
    </w:p>
    <w:p w:rsidR="00157922" w:rsidRPr="00267F0D" w:rsidRDefault="00267F0D" w:rsidP="005F7E01">
      <w:pPr>
        <w:pStyle w:val="Fait"/>
        <w:rPr>
          <w:noProof/>
        </w:rPr>
      </w:pPr>
      <w:r>
        <w:rPr>
          <w:noProof/>
        </w:rPr>
        <w:t>Hecho en Bruselas, el</w:t>
      </w:r>
    </w:p>
    <w:p w:rsidR="00157922" w:rsidRPr="00267F0D" w:rsidRDefault="00157922" w:rsidP="005F7E01">
      <w:pPr>
        <w:pStyle w:val="Institutionquisigne"/>
        <w:rPr>
          <w:noProof/>
        </w:rPr>
      </w:pPr>
      <w:r w:rsidRPr="00267F0D">
        <w:rPr>
          <w:noProof/>
        </w:rPr>
        <w:t>Por el Parlamento Europeo</w:t>
      </w:r>
      <w:r w:rsidRPr="00267F0D">
        <w:rPr>
          <w:noProof/>
        </w:rPr>
        <w:tab/>
        <w:t>Por el Consejo</w:t>
      </w:r>
    </w:p>
    <w:p w:rsidR="00157922" w:rsidRPr="00267F0D" w:rsidRDefault="00157922" w:rsidP="00060FA2">
      <w:pPr>
        <w:pStyle w:val="Personnequisigne"/>
        <w:rPr>
          <w:noProof/>
        </w:rPr>
      </w:pPr>
      <w:r w:rsidRPr="00267F0D">
        <w:rPr>
          <w:noProof/>
        </w:rPr>
        <w:t>El Presidente / La Presidenta</w:t>
      </w:r>
      <w:r w:rsidRPr="00267F0D">
        <w:rPr>
          <w:noProof/>
        </w:rPr>
        <w:tab/>
        <w:t>El Presidente / La Presidenta</w:t>
      </w:r>
    </w:p>
    <w:sectPr w:rsidR="00157922" w:rsidRPr="00267F0D" w:rsidSect="00FB3DE3">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0FA" w:rsidRDefault="00E970FA" w:rsidP="00157922">
      <w:pPr>
        <w:spacing w:before="0" w:after="0"/>
      </w:pPr>
      <w:r>
        <w:separator/>
      </w:r>
    </w:p>
  </w:endnote>
  <w:endnote w:type="continuationSeparator" w:id="0">
    <w:p w:rsidR="00E970FA" w:rsidRDefault="00E970FA" w:rsidP="00157922">
      <w:pPr>
        <w:spacing w:before="0" w:after="0"/>
      </w:pPr>
      <w:r>
        <w:continuationSeparator/>
      </w:r>
    </w:p>
  </w:endnote>
  <w:endnote w:type="continuationNotice" w:id="1">
    <w:p w:rsidR="00E970FA" w:rsidRDefault="00E970F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Pr="00FB3DE3" w:rsidRDefault="00FB3DE3" w:rsidP="00FB3DE3">
    <w:pPr>
      <w:pStyle w:val="Footer"/>
      <w:rPr>
        <w:rFonts w:ascii="Arial" w:hAnsi="Arial" w:cs="Arial"/>
        <w:b/>
        <w:sz w:val="48"/>
      </w:rPr>
    </w:pPr>
    <w:r w:rsidRPr="00FB3DE3">
      <w:rPr>
        <w:rFonts w:ascii="Arial" w:hAnsi="Arial" w:cs="Arial"/>
        <w:b/>
        <w:sz w:val="48"/>
      </w:rPr>
      <w:t>ES</w:t>
    </w:r>
    <w:r w:rsidRPr="00FB3DE3">
      <w:rPr>
        <w:rFonts w:ascii="Arial" w:hAnsi="Arial" w:cs="Arial"/>
        <w:b/>
        <w:sz w:val="48"/>
      </w:rPr>
      <w:tab/>
    </w:r>
    <w:r w:rsidRPr="00FB3DE3">
      <w:rPr>
        <w:rFonts w:ascii="Arial" w:hAnsi="Arial" w:cs="Arial"/>
        <w:b/>
        <w:sz w:val="48"/>
      </w:rPr>
      <w:tab/>
    </w:r>
    <w:r w:rsidRPr="00FB3DE3">
      <w:tab/>
    </w:r>
    <w:r w:rsidRPr="00FB3DE3">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Pr="00FB3DE3" w:rsidRDefault="00FB3DE3" w:rsidP="00FB3DE3">
    <w:pPr>
      <w:pStyle w:val="Footer"/>
      <w:rPr>
        <w:rFonts w:ascii="Arial" w:hAnsi="Arial" w:cs="Arial"/>
        <w:b/>
        <w:sz w:val="48"/>
      </w:rPr>
    </w:pPr>
    <w:r w:rsidRPr="00FB3DE3">
      <w:rPr>
        <w:rFonts w:ascii="Arial" w:hAnsi="Arial" w:cs="Arial"/>
        <w:b/>
        <w:sz w:val="48"/>
      </w:rPr>
      <w:t>ES</w:t>
    </w:r>
    <w:r w:rsidRPr="00FB3DE3">
      <w:rPr>
        <w:rFonts w:ascii="Arial" w:hAnsi="Arial" w:cs="Arial"/>
        <w:b/>
        <w:sz w:val="48"/>
      </w:rPr>
      <w:tab/>
    </w:r>
    <w:r w:rsidRPr="00FB3DE3">
      <w:rPr>
        <w:rFonts w:ascii="Arial" w:hAnsi="Arial" w:cs="Arial"/>
        <w:b/>
        <w:sz w:val="48"/>
      </w:rPr>
      <w:tab/>
    </w:r>
    <w:r w:rsidRPr="00FB3DE3">
      <w:tab/>
    </w:r>
    <w:r w:rsidRPr="00FB3DE3">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Default="00FB3D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Pr="00FB3DE3" w:rsidRDefault="00FB3DE3" w:rsidP="00FB3DE3">
    <w:pPr>
      <w:pStyle w:val="Footer"/>
      <w:rPr>
        <w:rFonts w:ascii="Arial" w:hAnsi="Arial" w:cs="Arial"/>
        <w:b/>
        <w:sz w:val="48"/>
      </w:rPr>
    </w:pPr>
    <w:r w:rsidRPr="00FB3DE3">
      <w:rPr>
        <w:rFonts w:ascii="Arial" w:hAnsi="Arial" w:cs="Arial"/>
        <w:b/>
        <w:sz w:val="48"/>
      </w:rPr>
      <w:t>ES</w:t>
    </w:r>
    <w:r w:rsidRPr="00FB3DE3">
      <w:rPr>
        <w:rFonts w:ascii="Arial" w:hAnsi="Arial" w:cs="Arial"/>
        <w:b/>
        <w:sz w:val="48"/>
      </w:rPr>
      <w:tab/>
    </w:r>
    <w:r>
      <w:fldChar w:fldCharType="begin"/>
    </w:r>
    <w:r>
      <w:instrText xml:space="preserve"> PAGE  \* MERGEFORMAT </w:instrText>
    </w:r>
    <w:r>
      <w:fldChar w:fldCharType="separate"/>
    </w:r>
    <w:r w:rsidR="005F7E01">
      <w:rPr>
        <w:noProof/>
      </w:rPr>
      <w:t>10</w:t>
    </w:r>
    <w:r>
      <w:fldChar w:fldCharType="end"/>
    </w:r>
    <w:r>
      <w:tab/>
    </w:r>
    <w:r w:rsidRPr="00FB3DE3">
      <w:tab/>
    </w:r>
    <w:r w:rsidRPr="00FB3DE3">
      <w:rPr>
        <w:rFonts w:ascii="Arial" w:hAnsi="Arial" w:cs="Arial"/>
        <w:b/>
        <w:sz w:val="48"/>
      </w:rPr>
      <w:t>ES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Default="00FB3DE3" w:rsidP="00FB3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0FA" w:rsidRDefault="00E970FA" w:rsidP="00157922">
      <w:pPr>
        <w:spacing w:before="0" w:after="0"/>
      </w:pPr>
      <w:r>
        <w:separator/>
      </w:r>
    </w:p>
  </w:footnote>
  <w:footnote w:type="continuationSeparator" w:id="0">
    <w:p w:rsidR="00E970FA" w:rsidRDefault="00E970FA" w:rsidP="00157922">
      <w:pPr>
        <w:spacing w:before="0" w:after="0"/>
      </w:pPr>
      <w:r>
        <w:continuationSeparator/>
      </w:r>
    </w:p>
  </w:footnote>
  <w:footnote w:type="continuationNotice" w:id="1">
    <w:p w:rsidR="00E970FA" w:rsidRDefault="00E970FA">
      <w:pPr>
        <w:spacing w:before="0" w:after="0"/>
      </w:pPr>
    </w:p>
  </w:footnote>
  <w:footnote w:id="2">
    <w:p w:rsidR="001912D5" w:rsidRPr="007F008E" w:rsidRDefault="001912D5">
      <w:pPr>
        <w:pStyle w:val="FootnoteText"/>
        <w:rPr>
          <w:lang w:val="es-ES"/>
        </w:rPr>
      </w:pPr>
      <w:r>
        <w:rPr>
          <w:rStyle w:val="FootnoteReference"/>
        </w:rPr>
        <w:footnoteRef/>
      </w:r>
      <w:r w:rsidRPr="007F008E">
        <w:rPr>
          <w:lang w:val="es-ES"/>
        </w:rPr>
        <w:tab/>
        <w:t>Todas las regiones ultraperiféricas son islas o archipiélagos excepto la Guayana Francesa, en América del Sur.</w:t>
      </w:r>
    </w:p>
  </w:footnote>
  <w:footnote w:id="3">
    <w:p w:rsidR="004113D6" w:rsidRPr="007F008E" w:rsidRDefault="004113D6">
      <w:pPr>
        <w:pStyle w:val="FootnoteText"/>
        <w:rPr>
          <w:lang w:val="es-ES"/>
        </w:rPr>
      </w:pPr>
      <w:r>
        <w:rPr>
          <w:rStyle w:val="FootnoteReference"/>
        </w:rPr>
        <w:footnoteRef/>
      </w:r>
      <w:r w:rsidRPr="007F008E">
        <w:rPr>
          <w:lang w:val="es-ES"/>
        </w:rPr>
        <w:tab/>
        <w:t>COM(2022) 198 final.</w:t>
      </w:r>
    </w:p>
  </w:footnote>
  <w:footnote w:id="4">
    <w:p w:rsidR="004113D6" w:rsidRPr="007F008E" w:rsidRDefault="004113D6">
      <w:pPr>
        <w:pStyle w:val="FootnoteText"/>
        <w:rPr>
          <w:lang w:val="es-ES"/>
        </w:rPr>
      </w:pPr>
      <w:r>
        <w:rPr>
          <w:rStyle w:val="FootnoteReference"/>
        </w:rPr>
        <w:footnoteRef/>
      </w:r>
      <w:r w:rsidRPr="007F008E">
        <w:rPr>
          <w:lang w:val="es-ES"/>
        </w:rPr>
        <w:tab/>
        <w:t>Véase también un reciente informe de ejecución sobre la implementación de esta Comunicación [COM(2024) 435 final].</w:t>
      </w:r>
    </w:p>
  </w:footnote>
  <w:footnote w:id="5">
    <w:p w:rsidR="313CE62E" w:rsidRPr="007F008E" w:rsidRDefault="313CE62E" w:rsidP="313CE62E">
      <w:pPr>
        <w:pStyle w:val="FootnoteText"/>
        <w:rPr>
          <w:lang w:val="es-ES"/>
        </w:rPr>
      </w:pPr>
      <w:r>
        <w:rPr>
          <w:rStyle w:val="FootnoteReference"/>
        </w:rPr>
        <w:footnoteRef/>
      </w:r>
      <w:r w:rsidRPr="007F008E">
        <w:rPr>
          <w:lang w:val="es-ES"/>
        </w:rPr>
        <w:tab/>
        <w:t xml:space="preserve">Reglamento (UE) n.º 228/2013 del Parlamento Europeo y del Consejo, de 13 de marzo de 2013, por el que se establecen medidas específicas en el sector agrícola en favor de las regiones ultraperiféricas de la Unión y por el que se deroga el Reglamento (CE) n.º 247/2006 del Consejo (DO L 78 de 20.3.2013, p. 23, ELI: </w:t>
      </w:r>
      <w:hyperlink r:id="rId1" w:history="1">
        <w:r w:rsidRPr="007F008E">
          <w:rPr>
            <w:rStyle w:val="Hyperlink"/>
            <w:lang w:val="es-ES"/>
          </w:rPr>
          <w:t>http://data.europa.eu/eli/reg/2013/228/oj</w:t>
        </w:r>
      </w:hyperlink>
      <w:r w:rsidRPr="007F008E">
        <w:rPr>
          <w:lang w:val="es-ES"/>
        </w:rPr>
        <w:t>).</w:t>
      </w:r>
    </w:p>
  </w:footnote>
  <w:footnote w:id="6">
    <w:p w:rsidR="004E04E6" w:rsidRPr="007F008E" w:rsidRDefault="004E04E6">
      <w:pPr>
        <w:pStyle w:val="FootnoteText"/>
        <w:rPr>
          <w:lang w:val="es-ES"/>
        </w:rPr>
      </w:pPr>
      <w:r>
        <w:rPr>
          <w:rStyle w:val="FootnoteReference"/>
        </w:rPr>
        <w:footnoteRef/>
      </w:r>
      <w:r w:rsidRPr="007F008E">
        <w:rPr>
          <w:lang w:val="es-ES"/>
        </w:rPr>
        <w:tab/>
        <w:t>Reglamento (UE) 2024/3242 del Parlamento Europeo y del Consejo, de 19 de diciembre de 2024, por el que se modifica el Reglamento (UE) 2020/2220 en lo que respecta a las medidas específicas adoptadas con cargo al Fondo Europeo Agrícola de Desarrollo Rural para proporcionar ayuda adicional a los Estados miembros afectados por desastres naturales (DO L 2024/3242 de 23.12.2024, ELI: </w:t>
      </w:r>
      <w:hyperlink r:id="rId2" w:tooltip="Da acceso a este documento a través de su ELI URI." w:history="1">
        <w:r w:rsidRPr="007F008E">
          <w:rPr>
            <w:rStyle w:val="Hyperlink"/>
            <w:lang w:val="es-ES"/>
          </w:rPr>
          <w:t>http://data.europa.eu/eli/reg/2024/3242/oj</w:t>
        </w:r>
      </w:hyperlink>
      <w:r w:rsidRPr="007F008E">
        <w:rPr>
          <w:rStyle w:val="Hyperlink"/>
          <w:color w:val="auto"/>
          <w:u w:val="none"/>
          <w:lang w:val="es-ES"/>
        </w:rPr>
        <w:t>)</w:t>
      </w:r>
      <w:r w:rsidRPr="007F008E">
        <w:rPr>
          <w:lang w:val="es-ES"/>
        </w:rPr>
        <w:t>.</w:t>
      </w:r>
    </w:p>
  </w:footnote>
  <w:footnote w:id="7">
    <w:p w:rsidR="004E04E6" w:rsidRPr="007F008E" w:rsidRDefault="004E04E6">
      <w:pPr>
        <w:pStyle w:val="FootnoteText"/>
        <w:rPr>
          <w:lang w:val="es-ES"/>
        </w:rPr>
      </w:pPr>
      <w:r>
        <w:rPr>
          <w:rStyle w:val="FootnoteReference"/>
        </w:rPr>
        <w:footnoteRef/>
      </w:r>
      <w:r w:rsidRPr="007F008E">
        <w:rPr>
          <w:lang w:val="es-ES"/>
        </w:rPr>
        <w:tab/>
        <w:t>Reglamento (UE) 2020/2220 del Parlamento Europeo y del Consejo, de 23 de diciembre de 2020, por el que se establecen determinadas disposiciones transitorias para la ayuda del Fondo Europeo Agrícola de Desarrollo Rural (Feader) y del Fondo Europeo Agrícola de Garantía (FEAGA) en los años 2021 y 2022, y por el que se modifican los Reglamentos (UE) n.º 1305/2013, (UE) n.º 1306/2013 y (UE) n.º 1307/2013 en lo que respecta a sus recursos y a su aplicación en los años 2021 y 2022 y el Reglamento (UE) n.º 1308/2013 en lo que respecta a los recursos y la distribución de dicha ayuda en los años 2021 y 2022 (DO L 437 de 28.12.2020, p. 1, ELI: </w:t>
      </w:r>
      <w:hyperlink r:id="rId3" w:tooltip="Da acceso a este documento a través de su ELI URI." w:history="1">
        <w:r w:rsidRPr="007F008E">
          <w:rPr>
            <w:rStyle w:val="Hyperlink"/>
            <w:lang w:val="es-ES"/>
          </w:rPr>
          <w:t>http://data.europa.eu/eli/reg/2020/2220/oj</w:t>
        </w:r>
      </w:hyperlink>
      <w:r w:rsidRPr="007F008E">
        <w:rPr>
          <w:lang w:val="es-ES"/>
        </w:rPr>
        <w:t xml:space="preserve">). </w:t>
      </w:r>
    </w:p>
  </w:footnote>
  <w:footnote w:id="8">
    <w:p w:rsidR="006A3939" w:rsidRPr="007F008E" w:rsidRDefault="006A3939">
      <w:pPr>
        <w:pStyle w:val="FootnoteText"/>
        <w:rPr>
          <w:lang w:val="es-ES"/>
        </w:rPr>
      </w:pPr>
      <w:r>
        <w:rPr>
          <w:rStyle w:val="FootnoteReference"/>
        </w:rPr>
        <w:footnoteRef/>
      </w:r>
      <w:r w:rsidRPr="007F008E">
        <w:rPr>
          <w:lang w:val="es-ES"/>
        </w:rPr>
        <w:tab/>
        <w:t xml:space="preserve">Artículo 6 </w:t>
      </w:r>
      <w:r w:rsidRPr="007F008E">
        <w:rPr>
          <w:i/>
          <w:iCs/>
          <w:lang w:val="es-ES"/>
        </w:rPr>
        <w:t>bis</w:t>
      </w:r>
      <w:r w:rsidRPr="007F008E">
        <w:rPr>
          <w:lang w:val="es-ES"/>
        </w:rPr>
        <w:t>, apartado 5, del Reglamento (UE) 2020/2220.</w:t>
      </w:r>
    </w:p>
  </w:footnote>
  <w:footnote w:id="9">
    <w:p w:rsidR="00882CA8" w:rsidRPr="007F008E" w:rsidRDefault="00882CA8" w:rsidP="00882CA8">
      <w:pPr>
        <w:pStyle w:val="FootnoteText"/>
        <w:rPr>
          <w:lang w:val="es-ES"/>
        </w:rPr>
      </w:pPr>
      <w:r>
        <w:rPr>
          <w:rStyle w:val="FootnoteReference"/>
        </w:rPr>
        <w:footnoteRef/>
      </w:r>
      <w:r w:rsidRPr="007F008E">
        <w:rPr>
          <w:lang w:val="es-ES"/>
        </w:rPr>
        <w:tab/>
        <w:t>Artículo 65, apartado 2, del Reglamento (UE) n.º 1303/2013 del Parlamento Europeo y del Consejo, de 17 de diciembre de 2013, por el que se establecen disposiciones comunes relativas al Fondo Europeo de Desarrollo Regional, al Fondo Social Europeo, al Fondo de Cohesión, al Fondo Europeo Agrícola de Desarrollo Rural y al Fondo Europeo Marítimo y de la Pesca, y por el que se establecen disposiciones generales relativas al Fondo Europeo de Desarrollo Regional, al Fondo Social Europeo, al Fondo de Cohesión y al Fondo Europeo Marítimo y de la Pesca, y se deroga el Reglamento (CE) n.º 1083/2006 del Consejo (DO L 347 de 20.12.2013, p. 320, ELI: </w:t>
      </w:r>
      <w:hyperlink r:id="rId4" w:tooltip="Da acceso a este documento a través de su ELI URI." w:history="1">
        <w:r w:rsidRPr="007F008E">
          <w:rPr>
            <w:rStyle w:val="Hyperlink"/>
            <w:lang w:val="es-ES"/>
          </w:rPr>
          <w:t>http://data.europa.eu/eli/reg/2013/1303/oj</w:t>
        </w:r>
      </w:hyperlink>
      <w:r w:rsidRPr="007F008E">
        <w:rPr>
          <w:lang w:val="es-ES"/>
        </w:rPr>
        <w:t>), ampliado por el artículo 2, apartado 2, del Reglamento (UE) 2020/2220.</w:t>
      </w:r>
    </w:p>
  </w:footnote>
  <w:footnote w:id="10">
    <w:p w:rsidR="002E7AEE" w:rsidRPr="007F008E" w:rsidRDefault="002E7AEE">
      <w:pPr>
        <w:pStyle w:val="FootnoteText"/>
        <w:rPr>
          <w:lang w:val="es-ES"/>
        </w:rPr>
      </w:pPr>
      <w:r>
        <w:rPr>
          <w:rStyle w:val="FootnoteReference"/>
        </w:rPr>
        <w:footnoteRef/>
      </w:r>
      <w:r w:rsidRPr="007F008E">
        <w:rPr>
          <w:lang w:val="es-ES"/>
        </w:rPr>
        <w:tab/>
        <w:t>Reglamento (UE) n.º 1305/2013 del Parlamento Europeo y del Consejo, de 17 de diciembre de 2013, relativo a la ayuda al desarrollo rural a través del Fondo Europeo Agrícola de Desarrollo Rural (Feader) y por el que se deroga el Reglamento (CE) n.º 1698/2005 del Consejo (DO L 347 de 20.12.2013, p. 487, ELI: </w:t>
      </w:r>
      <w:hyperlink r:id="rId5" w:tooltip="Da acceso a este documento a través de su ELI URI." w:history="1">
        <w:r w:rsidRPr="007F008E">
          <w:rPr>
            <w:rStyle w:val="Hyperlink"/>
            <w:lang w:val="es-ES"/>
          </w:rPr>
          <w:t>http://data.europa.eu/eli/reg/2013/1305/oj</w:t>
        </w:r>
      </w:hyperlink>
      <w:r w:rsidRPr="007F008E">
        <w:rPr>
          <w:lang w:val="es-ES"/>
        </w:rPr>
        <w:t>).</w:t>
      </w:r>
    </w:p>
  </w:footnote>
  <w:footnote w:id="11">
    <w:p w:rsidR="00157922" w:rsidRPr="007F008E" w:rsidRDefault="00157922">
      <w:pPr>
        <w:pStyle w:val="FootnoteText"/>
        <w:rPr>
          <w:lang w:val="es-ES"/>
        </w:rPr>
      </w:pPr>
      <w:r>
        <w:rPr>
          <w:rStyle w:val="FootnoteReference"/>
        </w:rPr>
        <w:footnoteRef/>
      </w:r>
      <w:r w:rsidRPr="007F008E">
        <w:rPr>
          <w:lang w:val="es-ES"/>
        </w:rPr>
        <w:tab/>
        <w:t>DO C , p. . .</w:t>
      </w:r>
    </w:p>
  </w:footnote>
  <w:footnote w:id="12">
    <w:p w:rsidR="00157922" w:rsidRPr="007F008E" w:rsidRDefault="00157922">
      <w:pPr>
        <w:pStyle w:val="FootnoteText"/>
        <w:rPr>
          <w:lang w:val="es-ES"/>
        </w:rPr>
      </w:pPr>
      <w:r>
        <w:rPr>
          <w:rStyle w:val="FootnoteReference"/>
          <w:lang w:val="en-IE"/>
        </w:rPr>
        <w:footnoteRef/>
      </w:r>
      <w:r w:rsidRPr="007F008E">
        <w:rPr>
          <w:lang w:val="es-ES"/>
        </w:rPr>
        <w:tab/>
        <w:t>DO C , p. . .</w:t>
      </w:r>
    </w:p>
  </w:footnote>
  <w:footnote w:id="13">
    <w:p w:rsidR="00BF7D96" w:rsidRPr="007F008E" w:rsidRDefault="00BF7D96" w:rsidP="00BF7D96">
      <w:pPr>
        <w:pStyle w:val="FootnoteText"/>
        <w:rPr>
          <w:lang w:val="es-ES"/>
        </w:rPr>
      </w:pPr>
      <w:r>
        <w:rPr>
          <w:rStyle w:val="FootnoteReference"/>
        </w:rPr>
        <w:footnoteRef/>
      </w:r>
      <w:r w:rsidRPr="007F008E">
        <w:rPr>
          <w:lang w:val="es-ES"/>
        </w:rPr>
        <w:tab/>
        <w:t xml:space="preserve">Reglamento (UE) n.º 228/2013 del Parlamento Europeo y del Consejo, de 13 de marzo de 2013, por el que se establecen medidas específicas en el sector agrícola en favor de las regiones ultraperiféricas de la Unión y por el que se deroga el Reglamento (CE) n.º 247/2006 del Consejo (DO L 78 de 20.3.2013, p. 23, ELI: </w:t>
      </w:r>
      <w:hyperlink r:id="rId6" w:history="1">
        <w:r w:rsidRPr="007F008E">
          <w:rPr>
            <w:rStyle w:val="Hyperlink"/>
            <w:lang w:val="es-ES"/>
          </w:rPr>
          <w:t>http://data.europa.eu/eli/reg/2013/228/oj</w:t>
        </w:r>
      </w:hyperlink>
      <w:r w:rsidRPr="007F008E">
        <w:rPr>
          <w:lang w:val="es-ES"/>
        </w:rPr>
        <w:t xml:space="preserve">). </w:t>
      </w:r>
    </w:p>
  </w:footnote>
  <w:footnote w:id="14">
    <w:p w:rsidR="00EE671D" w:rsidRPr="007F008E" w:rsidRDefault="00EE671D">
      <w:pPr>
        <w:pStyle w:val="FootnoteText"/>
        <w:rPr>
          <w:lang w:val="es-ES"/>
        </w:rPr>
      </w:pPr>
      <w:r>
        <w:rPr>
          <w:rStyle w:val="FootnoteReference"/>
        </w:rPr>
        <w:footnoteRef/>
      </w:r>
      <w:r w:rsidRPr="007F008E">
        <w:rPr>
          <w:lang w:val="es-ES"/>
        </w:rPr>
        <w:tab/>
        <w:t>Reglamento (UE) 2020/2220 del Parlamento Europeo y del Consejo, de 23 de diciembre de 2020, por el que se establecen determinadas disposiciones transitorias para la ayuda del Fondo Europeo Agrícola de Desarrollo Rural (Feader) y del Fondo Europeo Agrícola de Garantía (FEAGA) en los años 2021 y 2022, y por el que se modifican los Reglamentos (UE) n.º 1305/2013, (UE) n.º 1306/2013 y (UE) n.º 1307/2013 en lo que respecta a sus recursos y a su aplicación en los años 2021 y 2022 y el Reglamento (UE) n.º 1308/2013 en lo que respecta a los recursos y la distribución de dicha ayuda en los años 2021 y 2022 (DO L 437 de 28.12.2020, p. 1, ELI: </w:t>
      </w:r>
      <w:hyperlink r:id="rId7" w:tooltip="Da acceso a este documento a través de su ELI URI." w:history="1">
        <w:r w:rsidRPr="007F008E">
          <w:rPr>
            <w:rStyle w:val="Hyperlink"/>
            <w:lang w:val="es-ES"/>
          </w:rPr>
          <w:t>http://data.europa.eu/eli/reg/2020/2220/oj</w:t>
        </w:r>
      </w:hyperlink>
      <w:r w:rsidRPr="007F008E">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Default="00FB3D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E3" w:rsidRDefault="00FB3DE3">
    <w:pPr>
      <w:pStyle w:val="Header"/>
    </w:pPr>
  </w:p>
</w:hdr>
</file>

<file path=word/intelligence2.xml><?xml version="1.0" encoding="utf-8"?>
<int2:intelligence xmlns:int2="http://schemas.microsoft.com/office/intelligence/2020/intelligence" xmlns:oel="http://schemas.microsoft.com/office/2019/extlst">
  <int2:observations>
    <int2:textHash int2:hashCode="Z2SgdEmm5hn+gv" int2:id="MQfs5RbY">
      <int2:state int2:value="Rejected" int2:type="AugLoop_Text_Critique"/>
    </int2:textHash>
    <int2:textHash int2:hashCode="8yY0iOpaLchLcG" int2:id="NUqFhQ2P">
      <int2:state int2:value="Rejected" int2:type="AugLoop_Text_Critique"/>
    </int2:textHash>
    <int2:textHash int2:hashCode="CZyeKWAO6OPuKJ" int2:id="XBtYZASh">
      <int2:state int2:value="Rejected" int2:type="AugLoop_Text_Critique"/>
    </int2:textHash>
    <int2:textHash int2:hashCode="k8RClGY2dp5r65" int2:id="lPCzJQle">
      <int2:state int2:value="Rejected" int2:type="AugLoop_Text_Critique"/>
    </int2:textHash>
    <int2:textHash int2:hashCode="D3BtHvU6CVwSHH" int2:id="xN97oTm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0"/>
  </w:num>
  <w:num w:numId="3">
    <w:abstractNumId w:val="8"/>
  </w:num>
  <w:num w:numId="4">
    <w:abstractNumId w:val="17"/>
  </w:num>
  <w:num w:numId="5">
    <w:abstractNumId w:val="16"/>
  </w:num>
  <w:num w:numId="6">
    <w:abstractNumId w:val="27"/>
  </w:num>
  <w:num w:numId="7">
    <w:abstractNumId w:val="24"/>
  </w:num>
  <w:num w:numId="8">
    <w:abstractNumId w:val="28"/>
  </w:num>
  <w:num w:numId="9">
    <w:abstractNumId w:val="29"/>
  </w:num>
  <w:num w:numId="10">
    <w:abstractNumId w:val="1"/>
  </w:num>
  <w:num w:numId="11">
    <w:abstractNumId w:val="10"/>
  </w:num>
  <w:num w:numId="12">
    <w:abstractNumId w:val="2"/>
  </w:num>
  <w:num w:numId="13">
    <w:abstractNumId w:val="11"/>
  </w:num>
  <w:num w:numId="14">
    <w:abstractNumId w:val="9"/>
  </w:num>
  <w:num w:numId="15">
    <w:abstractNumId w:val="18"/>
  </w:num>
  <w:num w:numId="16">
    <w:abstractNumId w:val="7"/>
  </w:num>
  <w:num w:numId="17">
    <w:abstractNumId w:val="15"/>
    <w:lvlOverride w:ilvl="0">
      <w:startOverride w:val="1"/>
    </w:lvlOverride>
  </w:num>
  <w:num w:numId="18">
    <w:abstractNumId w:val="30"/>
    <w:lvlOverride w:ilvl="0">
      <w:startOverride w:val="1"/>
    </w:lvlOverride>
  </w:num>
  <w:num w:numId="19">
    <w:abstractNumId w:val="23"/>
  </w:num>
  <w:num w:numId="20">
    <w:abstractNumId w:val="12"/>
  </w:num>
  <w:num w:numId="21">
    <w:abstractNumId w:val="26"/>
  </w:num>
  <w:num w:numId="22">
    <w:abstractNumId w:val="6"/>
  </w:num>
  <w:num w:numId="23">
    <w:abstractNumId w:val="13"/>
  </w:num>
  <w:num w:numId="24">
    <w:abstractNumId w:val="14"/>
  </w:num>
  <w:num w:numId="25">
    <w:abstractNumId w:val="4"/>
  </w:num>
  <w:num w:numId="26">
    <w:abstractNumId w:val="25"/>
  </w:num>
  <w:num w:numId="27">
    <w:abstractNumId w:val="3"/>
  </w:num>
  <w:num w:numId="28">
    <w:abstractNumId w:val="15"/>
  </w:num>
  <w:num w:numId="29">
    <w:abstractNumId w:val="21"/>
  </w:num>
  <w:num w:numId="30">
    <w:abstractNumId w:val="22"/>
  </w:num>
  <w:num w:numId="31">
    <w:abstractNumId w:val="5"/>
  </w:num>
  <w:num w:numId="32">
    <w:abstractNumId w:val="19"/>
  </w:num>
  <w:num w:numId="33">
    <w:abstractNumId w:val="30"/>
  </w:num>
  <w:num w:numId="34">
    <w:abstractNumId w:val="23"/>
  </w:num>
  <w:num w:numId="35">
    <w:abstractNumId w:val="12"/>
  </w:num>
  <w:num w:numId="36">
    <w:abstractNumId w:val="26"/>
  </w:num>
  <w:num w:numId="37">
    <w:abstractNumId w:val="6"/>
  </w:num>
  <w:num w:numId="38">
    <w:abstractNumId w:val="13"/>
  </w:num>
  <w:num w:numId="39">
    <w:abstractNumId w:val="14"/>
  </w:num>
  <w:num w:numId="40">
    <w:abstractNumId w:val="4"/>
  </w:num>
  <w:num w:numId="41">
    <w:abstractNumId w:val="25"/>
  </w:num>
  <w:num w:numId="42">
    <w:abstractNumId w:val="3"/>
  </w:num>
  <w:num w:numId="43">
    <w:abstractNumId w:val="15"/>
  </w:num>
  <w:num w:numId="44">
    <w:abstractNumId w:val="21"/>
  </w:num>
  <w:num w:numId="45">
    <w:abstractNumId w:val="22"/>
  </w:num>
  <w:num w:numId="46">
    <w:abstractNumId w:val="5"/>
  </w:num>
  <w:num w:numId="47">
    <w:abstractNumId w:val="19"/>
  </w:num>
  <w:num w:numId="48">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5-04-24 20:55:5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6FF4B598-6F9A-4320-AE51-B4EF1DFB2DD3"/>
    <w:docVar w:name="LW_COVERPAGE_TYPE" w:val="1"/>
    <w:docVar w:name="LW_CreatedUtc" w:val="2025-03-03T14:49:36.6308421Z"/>
    <w:docVar w:name="LW_CROSSREFERENCE" w:val="&lt;UNUSED&gt;"/>
    <w:docVar w:name="LW_DocType" w:val="COM"/>
    <w:docVar w:name="LW_EMISSION" w:val="23.4.2025"/>
    <w:docVar w:name="LW_EMISSION_ISODATE" w:val="2025-04-23"/>
    <w:docVar w:name="LW_EMISSION_LOCATION" w:val="BRX"/>
    <w:docVar w:name="LW_EMISSION_PREFIX" w:val="Bruselas,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ES"/>
    <w:docVar w:name="LW_LEVEL_OF_SENSITIVITY" w:val="Standard treatment"/>
    <w:docVar w:name="LW_NOM.INST" w:val="COMISIÓN EUROPEA"/>
    <w:docVar w:name="LW_NOM.INST_JOINTDOC" w:val="&lt;EMPTY&gt;"/>
    <w:docVar w:name="LW_PART_NBR" w:val="1"/>
    <w:docVar w:name="LW_PART_NBR_TOTAL" w:val="1"/>
    <w:docVar w:name="LW_REF.II.NEW.CP" w:val="COD"/>
    <w:docVar w:name="LW_REF.II.NEW.CP_NUMBER" w:val="0104"/>
    <w:docVar w:name="LW_REF.II.NEW.CP_YEAR" w:val="2025"/>
    <w:docVar w:name="LW_REF.INST.NEW" w:val="COM"/>
    <w:docVar w:name="LW_REF.INST.NEW_ADOPTED" w:val="final"/>
    <w:docVar w:name="LW_REF.INST.NEW_TEXT" w:val="(2025) 19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uesta de"/>
    <w:docVar w:name="LW_SUPERTITRE" w:val="&lt;UNUSED&gt;"/>
    <w:docVar w:name="LW_TITRE.OBJ.CP" w:val="por el que se modifica el Reglamento (UE) n.º 228/2013 en lo que respecta a la ayuda suplementaria y una mayor flexibilidad en favor de las regiones ultraperiféricas afectadas por catástrofes naturales graves y en el contexto del ciclón Chido que ha devastado Mayotte "/>
    <w:docVar w:name="LW_TYPE.DOC.CP" w:val="REGLAMENTO DEL PARLAMENTO EUROPEO Y DEL CONSEJO"/>
    <w:docVar w:name="LwApiVersions" w:val="LW4CoDe 1.24.5.0; LW 9.0, Build 20240221"/>
  </w:docVars>
  <w:rsids>
    <w:rsidRoot w:val="00157922"/>
    <w:rsid w:val="00000729"/>
    <w:rsid w:val="00004D9E"/>
    <w:rsid w:val="0000681C"/>
    <w:rsid w:val="00006D13"/>
    <w:rsid w:val="000103B6"/>
    <w:rsid w:val="00011567"/>
    <w:rsid w:val="0001203A"/>
    <w:rsid w:val="00013135"/>
    <w:rsid w:val="000139F4"/>
    <w:rsid w:val="00013F5C"/>
    <w:rsid w:val="000204B7"/>
    <w:rsid w:val="00020721"/>
    <w:rsid w:val="0002102C"/>
    <w:rsid w:val="000210C2"/>
    <w:rsid w:val="0002296D"/>
    <w:rsid w:val="00023BB0"/>
    <w:rsid w:val="0002558F"/>
    <w:rsid w:val="00025DD5"/>
    <w:rsid w:val="00026B24"/>
    <w:rsid w:val="0003072B"/>
    <w:rsid w:val="0003120C"/>
    <w:rsid w:val="00031EA9"/>
    <w:rsid w:val="000348F5"/>
    <w:rsid w:val="00034D26"/>
    <w:rsid w:val="00036232"/>
    <w:rsid w:val="000364DB"/>
    <w:rsid w:val="0003667E"/>
    <w:rsid w:val="000376E6"/>
    <w:rsid w:val="0003780E"/>
    <w:rsid w:val="000407E7"/>
    <w:rsid w:val="00041452"/>
    <w:rsid w:val="000414B9"/>
    <w:rsid w:val="0004155A"/>
    <w:rsid w:val="0004209F"/>
    <w:rsid w:val="0004940C"/>
    <w:rsid w:val="0005065C"/>
    <w:rsid w:val="00050A0E"/>
    <w:rsid w:val="00050EFD"/>
    <w:rsid w:val="00051938"/>
    <w:rsid w:val="000529D2"/>
    <w:rsid w:val="00053AF4"/>
    <w:rsid w:val="00054421"/>
    <w:rsid w:val="0005575A"/>
    <w:rsid w:val="000575AC"/>
    <w:rsid w:val="00057A57"/>
    <w:rsid w:val="00057CE1"/>
    <w:rsid w:val="0006065D"/>
    <w:rsid w:val="00060897"/>
    <w:rsid w:val="00060FA2"/>
    <w:rsid w:val="0006482B"/>
    <w:rsid w:val="000671EC"/>
    <w:rsid w:val="0007078A"/>
    <w:rsid w:val="0007106E"/>
    <w:rsid w:val="0007370E"/>
    <w:rsid w:val="0007522E"/>
    <w:rsid w:val="00076B89"/>
    <w:rsid w:val="000802F8"/>
    <w:rsid w:val="0008075A"/>
    <w:rsid w:val="00080AC0"/>
    <w:rsid w:val="00081C04"/>
    <w:rsid w:val="000820E3"/>
    <w:rsid w:val="00082D54"/>
    <w:rsid w:val="00083683"/>
    <w:rsid w:val="00083CD5"/>
    <w:rsid w:val="000861E3"/>
    <w:rsid w:val="000877D1"/>
    <w:rsid w:val="00087E47"/>
    <w:rsid w:val="00090062"/>
    <w:rsid w:val="00091732"/>
    <w:rsid w:val="00093E23"/>
    <w:rsid w:val="00095DDA"/>
    <w:rsid w:val="000A10F9"/>
    <w:rsid w:val="000A14FC"/>
    <w:rsid w:val="000A1923"/>
    <w:rsid w:val="000A229C"/>
    <w:rsid w:val="000A3D4A"/>
    <w:rsid w:val="000A3EF7"/>
    <w:rsid w:val="000B1983"/>
    <w:rsid w:val="000B551F"/>
    <w:rsid w:val="000B5F51"/>
    <w:rsid w:val="000B6030"/>
    <w:rsid w:val="000B6516"/>
    <w:rsid w:val="000C0973"/>
    <w:rsid w:val="000C3C65"/>
    <w:rsid w:val="000C3E51"/>
    <w:rsid w:val="000C55E6"/>
    <w:rsid w:val="000C606C"/>
    <w:rsid w:val="000C6D8A"/>
    <w:rsid w:val="000D1D51"/>
    <w:rsid w:val="000D48A5"/>
    <w:rsid w:val="000D5421"/>
    <w:rsid w:val="000D5506"/>
    <w:rsid w:val="000D61C8"/>
    <w:rsid w:val="000E0081"/>
    <w:rsid w:val="000E11C7"/>
    <w:rsid w:val="000E1D4C"/>
    <w:rsid w:val="000E2506"/>
    <w:rsid w:val="000E2CDA"/>
    <w:rsid w:val="000E552B"/>
    <w:rsid w:val="000E5A77"/>
    <w:rsid w:val="000F000F"/>
    <w:rsid w:val="000F01C4"/>
    <w:rsid w:val="000F18D8"/>
    <w:rsid w:val="000F1A14"/>
    <w:rsid w:val="000F1F9D"/>
    <w:rsid w:val="000F748B"/>
    <w:rsid w:val="000F7724"/>
    <w:rsid w:val="000F7AC2"/>
    <w:rsid w:val="00104C1D"/>
    <w:rsid w:val="0010577B"/>
    <w:rsid w:val="00105E2D"/>
    <w:rsid w:val="00106466"/>
    <w:rsid w:val="001065F5"/>
    <w:rsid w:val="001072F2"/>
    <w:rsid w:val="00107985"/>
    <w:rsid w:val="00107B7B"/>
    <w:rsid w:val="00107D87"/>
    <w:rsid w:val="00107F78"/>
    <w:rsid w:val="0011001B"/>
    <w:rsid w:val="00111D1B"/>
    <w:rsid w:val="0011229D"/>
    <w:rsid w:val="001138C4"/>
    <w:rsid w:val="00113941"/>
    <w:rsid w:val="00113FDE"/>
    <w:rsid w:val="00114887"/>
    <w:rsid w:val="001158BD"/>
    <w:rsid w:val="001179BA"/>
    <w:rsid w:val="001223C9"/>
    <w:rsid w:val="001238EF"/>
    <w:rsid w:val="00124082"/>
    <w:rsid w:val="0012461F"/>
    <w:rsid w:val="001273FD"/>
    <w:rsid w:val="00131E9B"/>
    <w:rsid w:val="0013247C"/>
    <w:rsid w:val="0013337A"/>
    <w:rsid w:val="001413CC"/>
    <w:rsid w:val="001432D7"/>
    <w:rsid w:val="00146425"/>
    <w:rsid w:val="00147110"/>
    <w:rsid w:val="001502D9"/>
    <w:rsid w:val="00150E29"/>
    <w:rsid w:val="00151033"/>
    <w:rsid w:val="00151421"/>
    <w:rsid w:val="00151BD5"/>
    <w:rsid w:val="00152AA4"/>
    <w:rsid w:val="001532C2"/>
    <w:rsid w:val="00154DCD"/>
    <w:rsid w:val="00157922"/>
    <w:rsid w:val="001618FD"/>
    <w:rsid w:val="0016555E"/>
    <w:rsid w:val="001656E1"/>
    <w:rsid w:val="001658D5"/>
    <w:rsid w:val="001666FA"/>
    <w:rsid w:val="00167E95"/>
    <w:rsid w:val="001705E8"/>
    <w:rsid w:val="00172C9D"/>
    <w:rsid w:val="00177CCE"/>
    <w:rsid w:val="00180355"/>
    <w:rsid w:val="00181746"/>
    <w:rsid w:val="00181EF0"/>
    <w:rsid w:val="00182B64"/>
    <w:rsid w:val="001844D3"/>
    <w:rsid w:val="00184AC2"/>
    <w:rsid w:val="00185D78"/>
    <w:rsid w:val="00187B08"/>
    <w:rsid w:val="0019010D"/>
    <w:rsid w:val="00190700"/>
    <w:rsid w:val="001912D5"/>
    <w:rsid w:val="00191CA3"/>
    <w:rsid w:val="00191EBE"/>
    <w:rsid w:val="00193AAB"/>
    <w:rsid w:val="001962A3"/>
    <w:rsid w:val="001967AF"/>
    <w:rsid w:val="00197613"/>
    <w:rsid w:val="001977A1"/>
    <w:rsid w:val="00197E30"/>
    <w:rsid w:val="001A176B"/>
    <w:rsid w:val="001A1ED8"/>
    <w:rsid w:val="001A530C"/>
    <w:rsid w:val="001A5692"/>
    <w:rsid w:val="001A5962"/>
    <w:rsid w:val="001A5DE0"/>
    <w:rsid w:val="001A5E4A"/>
    <w:rsid w:val="001A651A"/>
    <w:rsid w:val="001A6910"/>
    <w:rsid w:val="001A6C51"/>
    <w:rsid w:val="001A7A76"/>
    <w:rsid w:val="001B0613"/>
    <w:rsid w:val="001B186A"/>
    <w:rsid w:val="001B22C9"/>
    <w:rsid w:val="001B2588"/>
    <w:rsid w:val="001B2785"/>
    <w:rsid w:val="001B2A84"/>
    <w:rsid w:val="001B4D8C"/>
    <w:rsid w:val="001B6193"/>
    <w:rsid w:val="001B680B"/>
    <w:rsid w:val="001C0E37"/>
    <w:rsid w:val="001C227C"/>
    <w:rsid w:val="001C2D32"/>
    <w:rsid w:val="001C3168"/>
    <w:rsid w:val="001C3BC3"/>
    <w:rsid w:val="001C4A97"/>
    <w:rsid w:val="001C5F59"/>
    <w:rsid w:val="001C6263"/>
    <w:rsid w:val="001D0F30"/>
    <w:rsid w:val="001D19D3"/>
    <w:rsid w:val="001D2896"/>
    <w:rsid w:val="001D38E6"/>
    <w:rsid w:val="001D5E93"/>
    <w:rsid w:val="001E1E3E"/>
    <w:rsid w:val="001E3EB8"/>
    <w:rsid w:val="001E4667"/>
    <w:rsid w:val="001E57F7"/>
    <w:rsid w:val="001E67A5"/>
    <w:rsid w:val="001E6BBF"/>
    <w:rsid w:val="001E6F40"/>
    <w:rsid w:val="001F0147"/>
    <w:rsid w:val="001F0C53"/>
    <w:rsid w:val="001F0FF8"/>
    <w:rsid w:val="001F1F25"/>
    <w:rsid w:val="001F238C"/>
    <w:rsid w:val="001F2785"/>
    <w:rsid w:val="001F5754"/>
    <w:rsid w:val="001F5C04"/>
    <w:rsid w:val="001F72F2"/>
    <w:rsid w:val="002003F3"/>
    <w:rsid w:val="00201318"/>
    <w:rsid w:val="00201F02"/>
    <w:rsid w:val="00201F5A"/>
    <w:rsid w:val="002022EA"/>
    <w:rsid w:val="0020463F"/>
    <w:rsid w:val="00207925"/>
    <w:rsid w:val="0021080A"/>
    <w:rsid w:val="00211E1C"/>
    <w:rsid w:val="0021503C"/>
    <w:rsid w:val="00215AF1"/>
    <w:rsid w:val="002244E3"/>
    <w:rsid w:val="0022720A"/>
    <w:rsid w:val="00233DC7"/>
    <w:rsid w:val="00234ABD"/>
    <w:rsid w:val="00236D8D"/>
    <w:rsid w:val="00240274"/>
    <w:rsid w:val="00242DA3"/>
    <w:rsid w:val="00244744"/>
    <w:rsid w:val="002453B0"/>
    <w:rsid w:val="00247779"/>
    <w:rsid w:val="00250576"/>
    <w:rsid w:val="0025180B"/>
    <w:rsid w:val="00251B85"/>
    <w:rsid w:val="00252055"/>
    <w:rsid w:val="00252204"/>
    <w:rsid w:val="002539C8"/>
    <w:rsid w:val="002542B4"/>
    <w:rsid w:val="00254840"/>
    <w:rsid w:val="00254AF3"/>
    <w:rsid w:val="00255935"/>
    <w:rsid w:val="00255BDB"/>
    <w:rsid w:val="00256782"/>
    <w:rsid w:val="00256CD9"/>
    <w:rsid w:val="002619F9"/>
    <w:rsid w:val="00262162"/>
    <w:rsid w:val="002621C8"/>
    <w:rsid w:val="00262AA5"/>
    <w:rsid w:val="00262BF5"/>
    <w:rsid w:val="00263AA3"/>
    <w:rsid w:val="00263F47"/>
    <w:rsid w:val="00265487"/>
    <w:rsid w:val="00266253"/>
    <w:rsid w:val="0026677A"/>
    <w:rsid w:val="002670F3"/>
    <w:rsid w:val="002677A8"/>
    <w:rsid w:val="00267D72"/>
    <w:rsid w:val="00267F0D"/>
    <w:rsid w:val="00271FB4"/>
    <w:rsid w:val="00274DC2"/>
    <w:rsid w:val="0027542B"/>
    <w:rsid w:val="00275B8B"/>
    <w:rsid w:val="00275C98"/>
    <w:rsid w:val="002820AD"/>
    <w:rsid w:val="002838FA"/>
    <w:rsid w:val="00283ABA"/>
    <w:rsid w:val="0028568C"/>
    <w:rsid w:val="00285BEE"/>
    <w:rsid w:val="00291292"/>
    <w:rsid w:val="00291F60"/>
    <w:rsid w:val="00293415"/>
    <w:rsid w:val="00294760"/>
    <w:rsid w:val="00294779"/>
    <w:rsid w:val="0029533F"/>
    <w:rsid w:val="00295672"/>
    <w:rsid w:val="00295CD5"/>
    <w:rsid w:val="00296519"/>
    <w:rsid w:val="002967D1"/>
    <w:rsid w:val="00297F32"/>
    <w:rsid w:val="002A187E"/>
    <w:rsid w:val="002A276B"/>
    <w:rsid w:val="002A4944"/>
    <w:rsid w:val="002A5C7E"/>
    <w:rsid w:val="002A6103"/>
    <w:rsid w:val="002A6992"/>
    <w:rsid w:val="002A6BB2"/>
    <w:rsid w:val="002B30AF"/>
    <w:rsid w:val="002B47E6"/>
    <w:rsid w:val="002B6212"/>
    <w:rsid w:val="002B6650"/>
    <w:rsid w:val="002B75C1"/>
    <w:rsid w:val="002C0AEB"/>
    <w:rsid w:val="002C0B3B"/>
    <w:rsid w:val="002C13FC"/>
    <w:rsid w:val="002C1B57"/>
    <w:rsid w:val="002C2212"/>
    <w:rsid w:val="002C4634"/>
    <w:rsid w:val="002C60C5"/>
    <w:rsid w:val="002C6B15"/>
    <w:rsid w:val="002C6F46"/>
    <w:rsid w:val="002C775D"/>
    <w:rsid w:val="002C7B4E"/>
    <w:rsid w:val="002D1FA3"/>
    <w:rsid w:val="002D26C0"/>
    <w:rsid w:val="002D2E2F"/>
    <w:rsid w:val="002D3601"/>
    <w:rsid w:val="002D42C0"/>
    <w:rsid w:val="002D4CD8"/>
    <w:rsid w:val="002D55D2"/>
    <w:rsid w:val="002D7CA1"/>
    <w:rsid w:val="002E218F"/>
    <w:rsid w:val="002E2640"/>
    <w:rsid w:val="002E4E69"/>
    <w:rsid w:val="002E7149"/>
    <w:rsid w:val="002E7AEE"/>
    <w:rsid w:val="002F012B"/>
    <w:rsid w:val="002F093A"/>
    <w:rsid w:val="002F2891"/>
    <w:rsid w:val="002F40A3"/>
    <w:rsid w:val="002F4587"/>
    <w:rsid w:val="002F5DF6"/>
    <w:rsid w:val="002F64A1"/>
    <w:rsid w:val="002F739A"/>
    <w:rsid w:val="00301307"/>
    <w:rsid w:val="00301E19"/>
    <w:rsid w:val="00302227"/>
    <w:rsid w:val="003026DC"/>
    <w:rsid w:val="0030688B"/>
    <w:rsid w:val="003135A2"/>
    <w:rsid w:val="0031362C"/>
    <w:rsid w:val="00314B6E"/>
    <w:rsid w:val="00314DD7"/>
    <w:rsid w:val="00314EC5"/>
    <w:rsid w:val="0031505C"/>
    <w:rsid w:val="003152CC"/>
    <w:rsid w:val="00320260"/>
    <w:rsid w:val="00326499"/>
    <w:rsid w:val="0033229A"/>
    <w:rsid w:val="0033344A"/>
    <w:rsid w:val="0033438E"/>
    <w:rsid w:val="003417CF"/>
    <w:rsid w:val="0034452C"/>
    <w:rsid w:val="00344BC6"/>
    <w:rsid w:val="003450B6"/>
    <w:rsid w:val="00346AC4"/>
    <w:rsid w:val="003470A0"/>
    <w:rsid w:val="003471ED"/>
    <w:rsid w:val="003473DC"/>
    <w:rsid w:val="00350171"/>
    <w:rsid w:val="00350A68"/>
    <w:rsid w:val="00351596"/>
    <w:rsid w:val="00351789"/>
    <w:rsid w:val="00355154"/>
    <w:rsid w:val="00355E6C"/>
    <w:rsid w:val="0035746D"/>
    <w:rsid w:val="00360BC0"/>
    <w:rsid w:val="003700AE"/>
    <w:rsid w:val="00370268"/>
    <w:rsid w:val="003703BC"/>
    <w:rsid w:val="0037087E"/>
    <w:rsid w:val="00370A5C"/>
    <w:rsid w:val="00371E79"/>
    <w:rsid w:val="003741EA"/>
    <w:rsid w:val="003746DD"/>
    <w:rsid w:val="003777E0"/>
    <w:rsid w:val="003812CE"/>
    <w:rsid w:val="00381E3E"/>
    <w:rsid w:val="00382847"/>
    <w:rsid w:val="00382B96"/>
    <w:rsid w:val="00382C5B"/>
    <w:rsid w:val="0038755A"/>
    <w:rsid w:val="003878B4"/>
    <w:rsid w:val="00387A8C"/>
    <w:rsid w:val="00390B98"/>
    <w:rsid w:val="0039407E"/>
    <w:rsid w:val="003940C1"/>
    <w:rsid w:val="0039526C"/>
    <w:rsid w:val="0039748F"/>
    <w:rsid w:val="003A10D3"/>
    <w:rsid w:val="003A194B"/>
    <w:rsid w:val="003A19B0"/>
    <w:rsid w:val="003A1AA9"/>
    <w:rsid w:val="003A3F0A"/>
    <w:rsid w:val="003A4EDE"/>
    <w:rsid w:val="003A580C"/>
    <w:rsid w:val="003A5EBC"/>
    <w:rsid w:val="003A6877"/>
    <w:rsid w:val="003A7309"/>
    <w:rsid w:val="003A7814"/>
    <w:rsid w:val="003A7FE6"/>
    <w:rsid w:val="003B0773"/>
    <w:rsid w:val="003B4595"/>
    <w:rsid w:val="003B55E7"/>
    <w:rsid w:val="003BDA30"/>
    <w:rsid w:val="003C0EAC"/>
    <w:rsid w:val="003C3113"/>
    <w:rsid w:val="003C3ED4"/>
    <w:rsid w:val="003C5FF2"/>
    <w:rsid w:val="003D0399"/>
    <w:rsid w:val="003D30ED"/>
    <w:rsid w:val="003D5485"/>
    <w:rsid w:val="003D57BC"/>
    <w:rsid w:val="003D696D"/>
    <w:rsid w:val="003E22C7"/>
    <w:rsid w:val="003E2D7B"/>
    <w:rsid w:val="003E2EF5"/>
    <w:rsid w:val="003E3B86"/>
    <w:rsid w:val="003E3BC4"/>
    <w:rsid w:val="003E4C80"/>
    <w:rsid w:val="003E6891"/>
    <w:rsid w:val="003E79B5"/>
    <w:rsid w:val="003F11E9"/>
    <w:rsid w:val="003F307F"/>
    <w:rsid w:val="003F33A9"/>
    <w:rsid w:val="003F42F6"/>
    <w:rsid w:val="00402E8B"/>
    <w:rsid w:val="00404CCA"/>
    <w:rsid w:val="00407072"/>
    <w:rsid w:val="004104E2"/>
    <w:rsid w:val="00410981"/>
    <w:rsid w:val="00410F35"/>
    <w:rsid w:val="004113D6"/>
    <w:rsid w:val="00411E5E"/>
    <w:rsid w:val="004124CA"/>
    <w:rsid w:val="00412AAC"/>
    <w:rsid w:val="00414182"/>
    <w:rsid w:val="00414C5F"/>
    <w:rsid w:val="00414E84"/>
    <w:rsid w:val="00415B9D"/>
    <w:rsid w:val="00416300"/>
    <w:rsid w:val="00416F04"/>
    <w:rsid w:val="0041708C"/>
    <w:rsid w:val="004206B1"/>
    <w:rsid w:val="00421164"/>
    <w:rsid w:val="00421B69"/>
    <w:rsid w:val="00421DFC"/>
    <w:rsid w:val="0042648E"/>
    <w:rsid w:val="0043173B"/>
    <w:rsid w:val="004332A3"/>
    <w:rsid w:val="004334E2"/>
    <w:rsid w:val="00433505"/>
    <w:rsid w:val="0043377A"/>
    <w:rsid w:val="00433B58"/>
    <w:rsid w:val="00436A7F"/>
    <w:rsid w:val="00437C9D"/>
    <w:rsid w:val="00440742"/>
    <w:rsid w:val="00441504"/>
    <w:rsid w:val="00442806"/>
    <w:rsid w:val="00444C23"/>
    <w:rsid w:val="00444F9C"/>
    <w:rsid w:val="00445212"/>
    <w:rsid w:val="004453C3"/>
    <w:rsid w:val="00446AF7"/>
    <w:rsid w:val="0045122E"/>
    <w:rsid w:val="00452987"/>
    <w:rsid w:val="00453F98"/>
    <w:rsid w:val="0045647E"/>
    <w:rsid w:val="00460CFE"/>
    <w:rsid w:val="00460FBC"/>
    <w:rsid w:val="0046304D"/>
    <w:rsid w:val="004649C2"/>
    <w:rsid w:val="00465CF0"/>
    <w:rsid w:val="00467556"/>
    <w:rsid w:val="0047190D"/>
    <w:rsid w:val="00473443"/>
    <w:rsid w:val="00473C47"/>
    <w:rsid w:val="00473D3D"/>
    <w:rsid w:val="004742D1"/>
    <w:rsid w:val="00474A30"/>
    <w:rsid w:val="00477A7A"/>
    <w:rsid w:val="00482735"/>
    <w:rsid w:val="0048478B"/>
    <w:rsid w:val="00486F5F"/>
    <w:rsid w:val="004900F1"/>
    <w:rsid w:val="004918B3"/>
    <w:rsid w:val="004936D2"/>
    <w:rsid w:val="00494356"/>
    <w:rsid w:val="004967F5"/>
    <w:rsid w:val="00496DFF"/>
    <w:rsid w:val="004978C0"/>
    <w:rsid w:val="00497DFD"/>
    <w:rsid w:val="004A0D01"/>
    <w:rsid w:val="004A1023"/>
    <w:rsid w:val="004A13DA"/>
    <w:rsid w:val="004A1A2D"/>
    <w:rsid w:val="004A21DD"/>
    <w:rsid w:val="004A33CA"/>
    <w:rsid w:val="004A3529"/>
    <w:rsid w:val="004A47D7"/>
    <w:rsid w:val="004A64DB"/>
    <w:rsid w:val="004A6815"/>
    <w:rsid w:val="004A7F21"/>
    <w:rsid w:val="004B17BC"/>
    <w:rsid w:val="004B470B"/>
    <w:rsid w:val="004B59AE"/>
    <w:rsid w:val="004B68DE"/>
    <w:rsid w:val="004B70A2"/>
    <w:rsid w:val="004C0A2C"/>
    <w:rsid w:val="004C2DB1"/>
    <w:rsid w:val="004C3CE8"/>
    <w:rsid w:val="004C40AD"/>
    <w:rsid w:val="004C4B26"/>
    <w:rsid w:val="004C5C03"/>
    <w:rsid w:val="004C5C53"/>
    <w:rsid w:val="004C5D46"/>
    <w:rsid w:val="004C70E1"/>
    <w:rsid w:val="004D0A69"/>
    <w:rsid w:val="004D0F09"/>
    <w:rsid w:val="004D11FC"/>
    <w:rsid w:val="004D6538"/>
    <w:rsid w:val="004D725E"/>
    <w:rsid w:val="004D736D"/>
    <w:rsid w:val="004E04E6"/>
    <w:rsid w:val="004E0D38"/>
    <w:rsid w:val="004E1929"/>
    <w:rsid w:val="004E1D89"/>
    <w:rsid w:val="004E1DC1"/>
    <w:rsid w:val="004E5086"/>
    <w:rsid w:val="004E55B0"/>
    <w:rsid w:val="004E7602"/>
    <w:rsid w:val="004F0801"/>
    <w:rsid w:val="004F32D7"/>
    <w:rsid w:val="004F5E4D"/>
    <w:rsid w:val="004F6DDE"/>
    <w:rsid w:val="004F7CD1"/>
    <w:rsid w:val="00504AEC"/>
    <w:rsid w:val="00507DAC"/>
    <w:rsid w:val="0051000E"/>
    <w:rsid w:val="0051332A"/>
    <w:rsid w:val="0051409A"/>
    <w:rsid w:val="00516660"/>
    <w:rsid w:val="0051759A"/>
    <w:rsid w:val="005219EB"/>
    <w:rsid w:val="00522BA4"/>
    <w:rsid w:val="005231E9"/>
    <w:rsid w:val="00530578"/>
    <w:rsid w:val="00532AAB"/>
    <w:rsid w:val="005348CB"/>
    <w:rsid w:val="005372A5"/>
    <w:rsid w:val="0053E90B"/>
    <w:rsid w:val="005409AB"/>
    <w:rsid w:val="00540BCE"/>
    <w:rsid w:val="00545A47"/>
    <w:rsid w:val="00545C08"/>
    <w:rsid w:val="005464F4"/>
    <w:rsid w:val="00547455"/>
    <w:rsid w:val="00550312"/>
    <w:rsid w:val="0055177C"/>
    <w:rsid w:val="0055237C"/>
    <w:rsid w:val="005526A0"/>
    <w:rsid w:val="005549B9"/>
    <w:rsid w:val="005610B0"/>
    <w:rsid w:val="0056126D"/>
    <w:rsid w:val="00561AEF"/>
    <w:rsid w:val="00562953"/>
    <w:rsid w:val="005643D2"/>
    <w:rsid w:val="00567A8B"/>
    <w:rsid w:val="005700D7"/>
    <w:rsid w:val="005709EC"/>
    <w:rsid w:val="00570FD2"/>
    <w:rsid w:val="00571316"/>
    <w:rsid w:val="0057261C"/>
    <w:rsid w:val="00572A7A"/>
    <w:rsid w:val="00572B79"/>
    <w:rsid w:val="0057478D"/>
    <w:rsid w:val="00580911"/>
    <w:rsid w:val="00581228"/>
    <w:rsid w:val="00581300"/>
    <w:rsid w:val="005816D4"/>
    <w:rsid w:val="00581EB1"/>
    <w:rsid w:val="00582082"/>
    <w:rsid w:val="00582F3E"/>
    <w:rsid w:val="00583B19"/>
    <w:rsid w:val="00585A34"/>
    <w:rsid w:val="005860FE"/>
    <w:rsid w:val="00586A58"/>
    <w:rsid w:val="005943F1"/>
    <w:rsid w:val="0059453A"/>
    <w:rsid w:val="0059719E"/>
    <w:rsid w:val="00597E26"/>
    <w:rsid w:val="00597E29"/>
    <w:rsid w:val="005A11F8"/>
    <w:rsid w:val="005A12AB"/>
    <w:rsid w:val="005A46E0"/>
    <w:rsid w:val="005A5D2F"/>
    <w:rsid w:val="005A790D"/>
    <w:rsid w:val="005A7AC6"/>
    <w:rsid w:val="005A7DB1"/>
    <w:rsid w:val="005B0818"/>
    <w:rsid w:val="005B1EB6"/>
    <w:rsid w:val="005B2314"/>
    <w:rsid w:val="005B460F"/>
    <w:rsid w:val="005B60F7"/>
    <w:rsid w:val="005B7556"/>
    <w:rsid w:val="005B7D53"/>
    <w:rsid w:val="005C1072"/>
    <w:rsid w:val="005C1F52"/>
    <w:rsid w:val="005C48A9"/>
    <w:rsid w:val="005C4E0A"/>
    <w:rsid w:val="005C5A78"/>
    <w:rsid w:val="005D153E"/>
    <w:rsid w:val="005D4DC8"/>
    <w:rsid w:val="005D594F"/>
    <w:rsid w:val="005D646B"/>
    <w:rsid w:val="005E622B"/>
    <w:rsid w:val="005E6AD5"/>
    <w:rsid w:val="005F20F9"/>
    <w:rsid w:val="005F2AE0"/>
    <w:rsid w:val="005F3685"/>
    <w:rsid w:val="005F63D9"/>
    <w:rsid w:val="005F74CD"/>
    <w:rsid w:val="005F7E01"/>
    <w:rsid w:val="00600035"/>
    <w:rsid w:val="00600EE7"/>
    <w:rsid w:val="00601823"/>
    <w:rsid w:val="00604F42"/>
    <w:rsid w:val="00605D7E"/>
    <w:rsid w:val="00607515"/>
    <w:rsid w:val="00610286"/>
    <w:rsid w:val="00611675"/>
    <w:rsid w:val="00611ABB"/>
    <w:rsid w:val="00611B0C"/>
    <w:rsid w:val="0061338C"/>
    <w:rsid w:val="0061462D"/>
    <w:rsid w:val="00620F04"/>
    <w:rsid w:val="00620FBD"/>
    <w:rsid w:val="00620FEC"/>
    <w:rsid w:val="00622CF7"/>
    <w:rsid w:val="00623219"/>
    <w:rsid w:val="00624EA3"/>
    <w:rsid w:val="0062664E"/>
    <w:rsid w:val="006319B3"/>
    <w:rsid w:val="00632E34"/>
    <w:rsid w:val="00633AA3"/>
    <w:rsid w:val="00633D64"/>
    <w:rsid w:val="00633D75"/>
    <w:rsid w:val="00634907"/>
    <w:rsid w:val="0063561E"/>
    <w:rsid w:val="00635FE1"/>
    <w:rsid w:val="0063712D"/>
    <w:rsid w:val="00637890"/>
    <w:rsid w:val="00640601"/>
    <w:rsid w:val="00642B69"/>
    <w:rsid w:val="00644188"/>
    <w:rsid w:val="006443E0"/>
    <w:rsid w:val="00646779"/>
    <w:rsid w:val="00646887"/>
    <w:rsid w:val="00646F00"/>
    <w:rsid w:val="0064729D"/>
    <w:rsid w:val="0064798E"/>
    <w:rsid w:val="006516D8"/>
    <w:rsid w:val="006537C1"/>
    <w:rsid w:val="00653EDF"/>
    <w:rsid w:val="00656857"/>
    <w:rsid w:val="00657323"/>
    <w:rsid w:val="0065783A"/>
    <w:rsid w:val="006578A7"/>
    <w:rsid w:val="00657A01"/>
    <w:rsid w:val="00660B5B"/>
    <w:rsid w:val="00660F0A"/>
    <w:rsid w:val="00662733"/>
    <w:rsid w:val="00664B5A"/>
    <w:rsid w:val="00666D57"/>
    <w:rsid w:val="00666E16"/>
    <w:rsid w:val="00670510"/>
    <w:rsid w:val="00670C02"/>
    <w:rsid w:val="00670D92"/>
    <w:rsid w:val="006714CE"/>
    <w:rsid w:val="00672D6F"/>
    <w:rsid w:val="00674A46"/>
    <w:rsid w:val="006770D2"/>
    <w:rsid w:val="0068624B"/>
    <w:rsid w:val="00686803"/>
    <w:rsid w:val="006868C9"/>
    <w:rsid w:val="006873B8"/>
    <w:rsid w:val="006901DF"/>
    <w:rsid w:val="00690914"/>
    <w:rsid w:val="00690FB6"/>
    <w:rsid w:val="00693D98"/>
    <w:rsid w:val="0069439C"/>
    <w:rsid w:val="00694C59"/>
    <w:rsid w:val="006969D9"/>
    <w:rsid w:val="006A03DE"/>
    <w:rsid w:val="006A0BC6"/>
    <w:rsid w:val="006A3939"/>
    <w:rsid w:val="006A6AF0"/>
    <w:rsid w:val="006A716B"/>
    <w:rsid w:val="006A7BB7"/>
    <w:rsid w:val="006B161D"/>
    <w:rsid w:val="006B1885"/>
    <w:rsid w:val="006B3572"/>
    <w:rsid w:val="006B6545"/>
    <w:rsid w:val="006B6F88"/>
    <w:rsid w:val="006C6362"/>
    <w:rsid w:val="006C6CAA"/>
    <w:rsid w:val="006C7845"/>
    <w:rsid w:val="006D0B7A"/>
    <w:rsid w:val="006D0C4F"/>
    <w:rsid w:val="006D3EF5"/>
    <w:rsid w:val="006D473E"/>
    <w:rsid w:val="006D4B1D"/>
    <w:rsid w:val="006D4C02"/>
    <w:rsid w:val="006D6310"/>
    <w:rsid w:val="006D6C4F"/>
    <w:rsid w:val="006E1C8C"/>
    <w:rsid w:val="006E2EDF"/>
    <w:rsid w:val="006E3E13"/>
    <w:rsid w:val="006F0800"/>
    <w:rsid w:val="006F270A"/>
    <w:rsid w:val="006F771F"/>
    <w:rsid w:val="006F77D8"/>
    <w:rsid w:val="006F7940"/>
    <w:rsid w:val="0070207C"/>
    <w:rsid w:val="00702A4A"/>
    <w:rsid w:val="00702EA9"/>
    <w:rsid w:val="0071007B"/>
    <w:rsid w:val="00712E8F"/>
    <w:rsid w:val="0071557A"/>
    <w:rsid w:val="00716CB2"/>
    <w:rsid w:val="00716E3C"/>
    <w:rsid w:val="007203DF"/>
    <w:rsid w:val="007212F9"/>
    <w:rsid w:val="0072517E"/>
    <w:rsid w:val="00725ED8"/>
    <w:rsid w:val="007277D5"/>
    <w:rsid w:val="00731075"/>
    <w:rsid w:val="00733C30"/>
    <w:rsid w:val="00733CC6"/>
    <w:rsid w:val="007376FB"/>
    <w:rsid w:val="00742B83"/>
    <w:rsid w:val="00743F05"/>
    <w:rsid w:val="007464F1"/>
    <w:rsid w:val="00750047"/>
    <w:rsid w:val="00751250"/>
    <w:rsid w:val="00751987"/>
    <w:rsid w:val="00755C91"/>
    <w:rsid w:val="00755F48"/>
    <w:rsid w:val="00755F54"/>
    <w:rsid w:val="0075683B"/>
    <w:rsid w:val="00760B81"/>
    <w:rsid w:val="00760BE3"/>
    <w:rsid w:val="00763C8E"/>
    <w:rsid w:val="0076447F"/>
    <w:rsid w:val="00764F29"/>
    <w:rsid w:val="007667CB"/>
    <w:rsid w:val="007713DB"/>
    <w:rsid w:val="00771581"/>
    <w:rsid w:val="00772DE2"/>
    <w:rsid w:val="00773331"/>
    <w:rsid w:val="007737CE"/>
    <w:rsid w:val="0077435E"/>
    <w:rsid w:val="00775659"/>
    <w:rsid w:val="00776888"/>
    <w:rsid w:val="007814C1"/>
    <w:rsid w:val="0078690E"/>
    <w:rsid w:val="0079098E"/>
    <w:rsid w:val="00790BA7"/>
    <w:rsid w:val="007911FE"/>
    <w:rsid w:val="00791C49"/>
    <w:rsid w:val="00792D2E"/>
    <w:rsid w:val="007932EF"/>
    <w:rsid w:val="00794CAA"/>
    <w:rsid w:val="00794E5A"/>
    <w:rsid w:val="0079657C"/>
    <w:rsid w:val="00796D72"/>
    <w:rsid w:val="007971BB"/>
    <w:rsid w:val="007977CA"/>
    <w:rsid w:val="007978D6"/>
    <w:rsid w:val="007A1196"/>
    <w:rsid w:val="007A19E8"/>
    <w:rsid w:val="007A574E"/>
    <w:rsid w:val="007A77BC"/>
    <w:rsid w:val="007B1B3E"/>
    <w:rsid w:val="007B538B"/>
    <w:rsid w:val="007B54EE"/>
    <w:rsid w:val="007B6051"/>
    <w:rsid w:val="007B67C1"/>
    <w:rsid w:val="007B6919"/>
    <w:rsid w:val="007C0FE7"/>
    <w:rsid w:val="007C1757"/>
    <w:rsid w:val="007C28EE"/>
    <w:rsid w:val="007C2E36"/>
    <w:rsid w:val="007C4AC4"/>
    <w:rsid w:val="007C56AC"/>
    <w:rsid w:val="007C6BE2"/>
    <w:rsid w:val="007C7363"/>
    <w:rsid w:val="007D09F9"/>
    <w:rsid w:val="007D1A16"/>
    <w:rsid w:val="007D1DF5"/>
    <w:rsid w:val="007D2132"/>
    <w:rsid w:val="007D23A5"/>
    <w:rsid w:val="007D3595"/>
    <w:rsid w:val="007D50CB"/>
    <w:rsid w:val="007D612A"/>
    <w:rsid w:val="007D79DF"/>
    <w:rsid w:val="007D7D9D"/>
    <w:rsid w:val="007D7DD3"/>
    <w:rsid w:val="007E033E"/>
    <w:rsid w:val="007E05B0"/>
    <w:rsid w:val="007E180D"/>
    <w:rsid w:val="007E2065"/>
    <w:rsid w:val="007E274E"/>
    <w:rsid w:val="007E2D43"/>
    <w:rsid w:val="007E3068"/>
    <w:rsid w:val="007E691B"/>
    <w:rsid w:val="007E6EC3"/>
    <w:rsid w:val="007E7A2A"/>
    <w:rsid w:val="007E7E5F"/>
    <w:rsid w:val="007F008E"/>
    <w:rsid w:val="007F02FC"/>
    <w:rsid w:val="007F229C"/>
    <w:rsid w:val="007F2E74"/>
    <w:rsid w:val="007F31B4"/>
    <w:rsid w:val="007F61FA"/>
    <w:rsid w:val="007F7696"/>
    <w:rsid w:val="007F7FB7"/>
    <w:rsid w:val="00801B40"/>
    <w:rsid w:val="0080200E"/>
    <w:rsid w:val="00802276"/>
    <w:rsid w:val="00803871"/>
    <w:rsid w:val="0080651F"/>
    <w:rsid w:val="008070F7"/>
    <w:rsid w:val="0080E02F"/>
    <w:rsid w:val="00810B2D"/>
    <w:rsid w:val="008113D2"/>
    <w:rsid w:val="00811AA0"/>
    <w:rsid w:val="00811EA5"/>
    <w:rsid w:val="00812B4D"/>
    <w:rsid w:val="00813812"/>
    <w:rsid w:val="00814076"/>
    <w:rsid w:val="0081541C"/>
    <w:rsid w:val="0081581A"/>
    <w:rsid w:val="00816EA3"/>
    <w:rsid w:val="00822024"/>
    <w:rsid w:val="00824820"/>
    <w:rsid w:val="00825571"/>
    <w:rsid w:val="008255F3"/>
    <w:rsid w:val="00825F44"/>
    <w:rsid w:val="00825F89"/>
    <w:rsid w:val="008260A5"/>
    <w:rsid w:val="00826C40"/>
    <w:rsid w:val="008319E3"/>
    <w:rsid w:val="00833C1B"/>
    <w:rsid w:val="008342E7"/>
    <w:rsid w:val="00835AFD"/>
    <w:rsid w:val="008361B8"/>
    <w:rsid w:val="00840E70"/>
    <w:rsid w:val="00842581"/>
    <w:rsid w:val="00842795"/>
    <w:rsid w:val="00843870"/>
    <w:rsid w:val="0084388E"/>
    <w:rsid w:val="00845268"/>
    <w:rsid w:val="00845660"/>
    <w:rsid w:val="0084736A"/>
    <w:rsid w:val="00850928"/>
    <w:rsid w:val="0085398E"/>
    <w:rsid w:val="00855043"/>
    <w:rsid w:val="00857845"/>
    <w:rsid w:val="008602EF"/>
    <w:rsid w:val="00861BFF"/>
    <w:rsid w:val="008634A1"/>
    <w:rsid w:val="0086499A"/>
    <w:rsid w:val="0086586B"/>
    <w:rsid w:val="00866CA9"/>
    <w:rsid w:val="00867192"/>
    <w:rsid w:val="00874D22"/>
    <w:rsid w:val="00876853"/>
    <w:rsid w:val="008806A6"/>
    <w:rsid w:val="00880F0F"/>
    <w:rsid w:val="00882CA8"/>
    <w:rsid w:val="008833AF"/>
    <w:rsid w:val="00883E57"/>
    <w:rsid w:val="0088659E"/>
    <w:rsid w:val="008878E0"/>
    <w:rsid w:val="00890A76"/>
    <w:rsid w:val="0089381F"/>
    <w:rsid w:val="00893C70"/>
    <w:rsid w:val="008950D3"/>
    <w:rsid w:val="008964E0"/>
    <w:rsid w:val="008A06B6"/>
    <w:rsid w:val="008A0FD8"/>
    <w:rsid w:val="008A2914"/>
    <w:rsid w:val="008A40F1"/>
    <w:rsid w:val="008A55B3"/>
    <w:rsid w:val="008A5AFC"/>
    <w:rsid w:val="008A5C23"/>
    <w:rsid w:val="008B37A3"/>
    <w:rsid w:val="008B4757"/>
    <w:rsid w:val="008B7114"/>
    <w:rsid w:val="008B72A2"/>
    <w:rsid w:val="008B73BB"/>
    <w:rsid w:val="008C01F4"/>
    <w:rsid w:val="008C1BFA"/>
    <w:rsid w:val="008C4908"/>
    <w:rsid w:val="008C5C9C"/>
    <w:rsid w:val="008D2359"/>
    <w:rsid w:val="008D42CB"/>
    <w:rsid w:val="008D4EFB"/>
    <w:rsid w:val="008D6024"/>
    <w:rsid w:val="008D6949"/>
    <w:rsid w:val="008E145B"/>
    <w:rsid w:val="008E1AEC"/>
    <w:rsid w:val="008E23E5"/>
    <w:rsid w:val="008E2AF9"/>
    <w:rsid w:val="008E4D8E"/>
    <w:rsid w:val="008E4F89"/>
    <w:rsid w:val="008E7C1B"/>
    <w:rsid w:val="008E7DA4"/>
    <w:rsid w:val="008F10F3"/>
    <w:rsid w:val="008F40D4"/>
    <w:rsid w:val="008F61AE"/>
    <w:rsid w:val="008F6A9B"/>
    <w:rsid w:val="008F742B"/>
    <w:rsid w:val="008F7732"/>
    <w:rsid w:val="009018C7"/>
    <w:rsid w:val="0090200D"/>
    <w:rsid w:val="00902338"/>
    <w:rsid w:val="00903597"/>
    <w:rsid w:val="0090564E"/>
    <w:rsid w:val="00910C65"/>
    <w:rsid w:val="00911793"/>
    <w:rsid w:val="00913593"/>
    <w:rsid w:val="0091616E"/>
    <w:rsid w:val="009168E5"/>
    <w:rsid w:val="00917688"/>
    <w:rsid w:val="00920804"/>
    <w:rsid w:val="00921BC6"/>
    <w:rsid w:val="009222AD"/>
    <w:rsid w:val="00923C74"/>
    <w:rsid w:val="0092469F"/>
    <w:rsid w:val="0092E123"/>
    <w:rsid w:val="00931657"/>
    <w:rsid w:val="00934527"/>
    <w:rsid w:val="00935398"/>
    <w:rsid w:val="009354F8"/>
    <w:rsid w:val="009360CE"/>
    <w:rsid w:val="00942A15"/>
    <w:rsid w:val="0094577F"/>
    <w:rsid w:val="00946184"/>
    <w:rsid w:val="00946782"/>
    <w:rsid w:val="00950C0F"/>
    <w:rsid w:val="00952D81"/>
    <w:rsid w:val="0095304B"/>
    <w:rsid w:val="00956496"/>
    <w:rsid w:val="00956B59"/>
    <w:rsid w:val="00957619"/>
    <w:rsid w:val="0096071D"/>
    <w:rsid w:val="00961441"/>
    <w:rsid w:val="009642AC"/>
    <w:rsid w:val="0096620E"/>
    <w:rsid w:val="009678EB"/>
    <w:rsid w:val="009710DC"/>
    <w:rsid w:val="009732DD"/>
    <w:rsid w:val="0097565A"/>
    <w:rsid w:val="00975BDA"/>
    <w:rsid w:val="00975FAB"/>
    <w:rsid w:val="00976224"/>
    <w:rsid w:val="00976769"/>
    <w:rsid w:val="009769F5"/>
    <w:rsid w:val="00976EEC"/>
    <w:rsid w:val="00980F01"/>
    <w:rsid w:val="009813FB"/>
    <w:rsid w:val="009825D4"/>
    <w:rsid w:val="009837CF"/>
    <w:rsid w:val="00992593"/>
    <w:rsid w:val="00995E6B"/>
    <w:rsid w:val="009971E6"/>
    <w:rsid w:val="009A18E5"/>
    <w:rsid w:val="009A1C7E"/>
    <w:rsid w:val="009A4779"/>
    <w:rsid w:val="009A4BD0"/>
    <w:rsid w:val="009A4FF8"/>
    <w:rsid w:val="009A6B71"/>
    <w:rsid w:val="009A7895"/>
    <w:rsid w:val="009B1A65"/>
    <w:rsid w:val="009B3D14"/>
    <w:rsid w:val="009B42F2"/>
    <w:rsid w:val="009B5954"/>
    <w:rsid w:val="009B635E"/>
    <w:rsid w:val="009C08B9"/>
    <w:rsid w:val="009C1EEB"/>
    <w:rsid w:val="009C304B"/>
    <w:rsid w:val="009C4131"/>
    <w:rsid w:val="009C4C4D"/>
    <w:rsid w:val="009C5013"/>
    <w:rsid w:val="009C649E"/>
    <w:rsid w:val="009C6656"/>
    <w:rsid w:val="009C6F4B"/>
    <w:rsid w:val="009D0B1F"/>
    <w:rsid w:val="009D105E"/>
    <w:rsid w:val="009D171F"/>
    <w:rsid w:val="009D2AD5"/>
    <w:rsid w:val="009D3D07"/>
    <w:rsid w:val="009D40A4"/>
    <w:rsid w:val="009D66D6"/>
    <w:rsid w:val="009D7950"/>
    <w:rsid w:val="009E0CBA"/>
    <w:rsid w:val="009E1285"/>
    <w:rsid w:val="009E1FCD"/>
    <w:rsid w:val="009E6C1F"/>
    <w:rsid w:val="009F0214"/>
    <w:rsid w:val="009F07BB"/>
    <w:rsid w:val="009F0813"/>
    <w:rsid w:val="009F0CC6"/>
    <w:rsid w:val="009F1688"/>
    <w:rsid w:val="009F2610"/>
    <w:rsid w:val="00A00F6A"/>
    <w:rsid w:val="00A01BF5"/>
    <w:rsid w:val="00A01E68"/>
    <w:rsid w:val="00A05C2E"/>
    <w:rsid w:val="00A100B1"/>
    <w:rsid w:val="00A10218"/>
    <w:rsid w:val="00A10DAF"/>
    <w:rsid w:val="00A11215"/>
    <w:rsid w:val="00A135F4"/>
    <w:rsid w:val="00A14A14"/>
    <w:rsid w:val="00A1513A"/>
    <w:rsid w:val="00A15378"/>
    <w:rsid w:val="00A1587D"/>
    <w:rsid w:val="00A201FF"/>
    <w:rsid w:val="00A20D90"/>
    <w:rsid w:val="00A21079"/>
    <w:rsid w:val="00A218DB"/>
    <w:rsid w:val="00A25B5A"/>
    <w:rsid w:val="00A260A9"/>
    <w:rsid w:val="00A26464"/>
    <w:rsid w:val="00A27732"/>
    <w:rsid w:val="00A3049C"/>
    <w:rsid w:val="00A3058E"/>
    <w:rsid w:val="00A30754"/>
    <w:rsid w:val="00A31E6E"/>
    <w:rsid w:val="00A341F7"/>
    <w:rsid w:val="00A368AA"/>
    <w:rsid w:val="00A404E0"/>
    <w:rsid w:val="00A40C48"/>
    <w:rsid w:val="00A4204E"/>
    <w:rsid w:val="00A42C9F"/>
    <w:rsid w:val="00A45249"/>
    <w:rsid w:val="00A478E2"/>
    <w:rsid w:val="00A50CFF"/>
    <w:rsid w:val="00A51954"/>
    <w:rsid w:val="00A54450"/>
    <w:rsid w:val="00A55AED"/>
    <w:rsid w:val="00A578A9"/>
    <w:rsid w:val="00A601E5"/>
    <w:rsid w:val="00A606C9"/>
    <w:rsid w:val="00A609C7"/>
    <w:rsid w:val="00A625E7"/>
    <w:rsid w:val="00A633BA"/>
    <w:rsid w:val="00A649FE"/>
    <w:rsid w:val="00A64A0B"/>
    <w:rsid w:val="00A65667"/>
    <w:rsid w:val="00A661A5"/>
    <w:rsid w:val="00A6634A"/>
    <w:rsid w:val="00A666D9"/>
    <w:rsid w:val="00A667D2"/>
    <w:rsid w:val="00A669F7"/>
    <w:rsid w:val="00A67DEB"/>
    <w:rsid w:val="00A724F7"/>
    <w:rsid w:val="00A72DC3"/>
    <w:rsid w:val="00A72E59"/>
    <w:rsid w:val="00A75ADE"/>
    <w:rsid w:val="00A764A7"/>
    <w:rsid w:val="00A77E19"/>
    <w:rsid w:val="00A8273F"/>
    <w:rsid w:val="00A830F3"/>
    <w:rsid w:val="00A8344F"/>
    <w:rsid w:val="00A83DD4"/>
    <w:rsid w:val="00A84882"/>
    <w:rsid w:val="00A8493C"/>
    <w:rsid w:val="00A8657A"/>
    <w:rsid w:val="00A92E9B"/>
    <w:rsid w:val="00A92EE1"/>
    <w:rsid w:val="00A9414E"/>
    <w:rsid w:val="00A948C9"/>
    <w:rsid w:val="00A94D2D"/>
    <w:rsid w:val="00AA1C5E"/>
    <w:rsid w:val="00AA1F75"/>
    <w:rsid w:val="00AA2CCF"/>
    <w:rsid w:val="00AA31A1"/>
    <w:rsid w:val="00AA3755"/>
    <w:rsid w:val="00AA4700"/>
    <w:rsid w:val="00AA496B"/>
    <w:rsid w:val="00AA636A"/>
    <w:rsid w:val="00AA6923"/>
    <w:rsid w:val="00AA6CFE"/>
    <w:rsid w:val="00AB2BA0"/>
    <w:rsid w:val="00AB4146"/>
    <w:rsid w:val="00AB6B81"/>
    <w:rsid w:val="00AB7A30"/>
    <w:rsid w:val="00AC037B"/>
    <w:rsid w:val="00AC1E93"/>
    <w:rsid w:val="00AC24AA"/>
    <w:rsid w:val="00AC2795"/>
    <w:rsid w:val="00AC40F9"/>
    <w:rsid w:val="00AD16D6"/>
    <w:rsid w:val="00AD21C9"/>
    <w:rsid w:val="00AD22F3"/>
    <w:rsid w:val="00AD53BF"/>
    <w:rsid w:val="00AD6039"/>
    <w:rsid w:val="00AE0231"/>
    <w:rsid w:val="00AE0F52"/>
    <w:rsid w:val="00AE2661"/>
    <w:rsid w:val="00AE33BF"/>
    <w:rsid w:val="00AE3ED9"/>
    <w:rsid w:val="00AE4500"/>
    <w:rsid w:val="00AE4E18"/>
    <w:rsid w:val="00AE60DE"/>
    <w:rsid w:val="00AE699F"/>
    <w:rsid w:val="00AE7939"/>
    <w:rsid w:val="00AE7BA3"/>
    <w:rsid w:val="00AF0EF7"/>
    <w:rsid w:val="00AF29C5"/>
    <w:rsid w:val="00AF3C14"/>
    <w:rsid w:val="00AF519A"/>
    <w:rsid w:val="00AF757C"/>
    <w:rsid w:val="00B0142A"/>
    <w:rsid w:val="00B04259"/>
    <w:rsid w:val="00B0533F"/>
    <w:rsid w:val="00B05C8B"/>
    <w:rsid w:val="00B06C43"/>
    <w:rsid w:val="00B06F80"/>
    <w:rsid w:val="00B07B77"/>
    <w:rsid w:val="00B07C6F"/>
    <w:rsid w:val="00B108B7"/>
    <w:rsid w:val="00B11A29"/>
    <w:rsid w:val="00B13D64"/>
    <w:rsid w:val="00B17329"/>
    <w:rsid w:val="00B24131"/>
    <w:rsid w:val="00B2608E"/>
    <w:rsid w:val="00B263C2"/>
    <w:rsid w:val="00B26649"/>
    <w:rsid w:val="00B30588"/>
    <w:rsid w:val="00B30AF3"/>
    <w:rsid w:val="00B30E5C"/>
    <w:rsid w:val="00B313AD"/>
    <w:rsid w:val="00B34562"/>
    <w:rsid w:val="00B347FD"/>
    <w:rsid w:val="00B36379"/>
    <w:rsid w:val="00B3725B"/>
    <w:rsid w:val="00B373B9"/>
    <w:rsid w:val="00B405A0"/>
    <w:rsid w:val="00B42F6C"/>
    <w:rsid w:val="00B47BC0"/>
    <w:rsid w:val="00B502C5"/>
    <w:rsid w:val="00B50394"/>
    <w:rsid w:val="00B506CB"/>
    <w:rsid w:val="00B50A56"/>
    <w:rsid w:val="00B50AF8"/>
    <w:rsid w:val="00B5121A"/>
    <w:rsid w:val="00B57A35"/>
    <w:rsid w:val="00B60CF2"/>
    <w:rsid w:val="00B61229"/>
    <w:rsid w:val="00B63E89"/>
    <w:rsid w:val="00B644F2"/>
    <w:rsid w:val="00B645E2"/>
    <w:rsid w:val="00B669AC"/>
    <w:rsid w:val="00B7481D"/>
    <w:rsid w:val="00B80547"/>
    <w:rsid w:val="00B80650"/>
    <w:rsid w:val="00B80ED2"/>
    <w:rsid w:val="00B814D2"/>
    <w:rsid w:val="00B850C5"/>
    <w:rsid w:val="00B9048C"/>
    <w:rsid w:val="00B906D0"/>
    <w:rsid w:val="00B90E0C"/>
    <w:rsid w:val="00B91922"/>
    <w:rsid w:val="00B92312"/>
    <w:rsid w:val="00B927B0"/>
    <w:rsid w:val="00B939C6"/>
    <w:rsid w:val="00B94347"/>
    <w:rsid w:val="00B95F86"/>
    <w:rsid w:val="00B96DA8"/>
    <w:rsid w:val="00BA1230"/>
    <w:rsid w:val="00BA1A88"/>
    <w:rsid w:val="00BA3A00"/>
    <w:rsid w:val="00BA5C65"/>
    <w:rsid w:val="00BA6675"/>
    <w:rsid w:val="00BB0D5A"/>
    <w:rsid w:val="00BB229D"/>
    <w:rsid w:val="00BB2F22"/>
    <w:rsid w:val="00BB411F"/>
    <w:rsid w:val="00BB4D3E"/>
    <w:rsid w:val="00BB5202"/>
    <w:rsid w:val="00BC154A"/>
    <w:rsid w:val="00BC2B68"/>
    <w:rsid w:val="00BC2F4A"/>
    <w:rsid w:val="00BC471E"/>
    <w:rsid w:val="00BD4F79"/>
    <w:rsid w:val="00BD7242"/>
    <w:rsid w:val="00BE0517"/>
    <w:rsid w:val="00BE2070"/>
    <w:rsid w:val="00BE54A0"/>
    <w:rsid w:val="00BE59CB"/>
    <w:rsid w:val="00BE6D09"/>
    <w:rsid w:val="00BF0488"/>
    <w:rsid w:val="00BF0E44"/>
    <w:rsid w:val="00BF12C3"/>
    <w:rsid w:val="00BF172C"/>
    <w:rsid w:val="00BF1F85"/>
    <w:rsid w:val="00BF3668"/>
    <w:rsid w:val="00BF3ED7"/>
    <w:rsid w:val="00BF53CE"/>
    <w:rsid w:val="00BF68EE"/>
    <w:rsid w:val="00BF74FC"/>
    <w:rsid w:val="00BF79D2"/>
    <w:rsid w:val="00BF7BBE"/>
    <w:rsid w:val="00BF7C28"/>
    <w:rsid w:val="00BF7D96"/>
    <w:rsid w:val="00C00DDD"/>
    <w:rsid w:val="00C0267F"/>
    <w:rsid w:val="00C02C38"/>
    <w:rsid w:val="00C05380"/>
    <w:rsid w:val="00C06332"/>
    <w:rsid w:val="00C07B44"/>
    <w:rsid w:val="00C12301"/>
    <w:rsid w:val="00C12491"/>
    <w:rsid w:val="00C12590"/>
    <w:rsid w:val="00C126DC"/>
    <w:rsid w:val="00C1440C"/>
    <w:rsid w:val="00C14A66"/>
    <w:rsid w:val="00C2092D"/>
    <w:rsid w:val="00C20E5F"/>
    <w:rsid w:val="00C21B2B"/>
    <w:rsid w:val="00C23EBF"/>
    <w:rsid w:val="00C24846"/>
    <w:rsid w:val="00C249BF"/>
    <w:rsid w:val="00C27334"/>
    <w:rsid w:val="00C27780"/>
    <w:rsid w:val="00C279BC"/>
    <w:rsid w:val="00C303F8"/>
    <w:rsid w:val="00C32AC5"/>
    <w:rsid w:val="00C334A5"/>
    <w:rsid w:val="00C34462"/>
    <w:rsid w:val="00C36699"/>
    <w:rsid w:val="00C36F37"/>
    <w:rsid w:val="00C411CE"/>
    <w:rsid w:val="00C4189A"/>
    <w:rsid w:val="00C41E78"/>
    <w:rsid w:val="00C435C8"/>
    <w:rsid w:val="00C43952"/>
    <w:rsid w:val="00C4602E"/>
    <w:rsid w:val="00C46A67"/>
    <w:rsid w:val="00C47F6B"/>
    <w:rsid w:val="00C504D9"/>
    <w:rsid w:val="00C52B2D"/>
    <w:rsid w:val="00C530EF"/>
    <w:rsid w:val="00C54245"/>
    <w:rsid w:val="00C55B4B"/>
    <w:rsid w:val="00C57252"/>
    <w:rsid w:val="00C57BA4"/>
    <w:rsid w:val="00C57BC4"/>
    <w:rsid w:val="00C5D521"/>
    <w:rsid w:val="00C61EE2"/>
    <w:rsid w:val="00C6202F"/>
    <w:rsid w:val="00C622B9"/>
    <w:rsid w:val="00C64949"/>
    <w:rsid w:val="00C6649E"/>
    <w:rsid w:val="00C67ED5"/>
    <w:rsid w:val="00C728BC"/>
    <w:rsid w:val="00C76D53"/>
    <w:rsid w:val="00C773B2"/>
    <w:rsid w:val="00C77991"/>
    <w:rsid w:val="00C84414"/>
    <w:rsid w:val="00C84DA5"/>
    <w:rsid w:val="00C87E93"/>
    <w:rsid w:val="00C91701"/>
    <w:rsid w:val="00C91F9D"/>
    <w:rsid w:val="00C92397"/>
    <w:rsid w:val="00C9281A"/>
    <w:rsid w:val="00C935AE"/>
    <w:rsid w:val="00C9515A"/>
    <w:rsid w:val="00C95CE7"/>
    <w:rsid w:val="00C96493"/>
    <w:rsid w:val="00C96CF2"/>
    <w:rsid w:val="00CA2139"/>
    <w:rsid w:val="00CA37C7"/>
    <w:rsid w:val="00CA5891"/>
    <w:rsid w:val="00CA70D5"/>
    <w:rsid w:val="00CB0C6F"/>
    <w:rsid w:val="00CB1599"/>
    <w:rsid w:val="00CB608B"/>
    <w:rsid w:val="00CC1959"/>
    <w:rsid w:val="00CC2A16"/>
    <w:rsid w:val="00CC7692"/>
    <w:rsid w:val="00CC7C81"/>
    <w:rsid w:val="00CD0C8E"/>
    <w:rsid w:val="00CD15BB"/>
    <w:rsid w:val="00CD1DC0"/>
    <w:rsid w:val="00CD287C"/>
    <w:rsid w:val="00CD489F"/>
    <w:rsid w:val="00CD61E4"/>
    <w:rsid w:val="00CD7C7C"/>
    <w:rsid w:val="00CE2DAD"/>
    <w:rsid w:val="00CE4616"/>
    <w:rsid w:val="00CE49E2"/>
    <w:rsid w:val="00CE55D5"/>
    <w:rsid w:val="00CE7B9A"/>
    <w:rsid w:val="00CF12B3"/>
    <w:rsid w:val="00CF1CD1"/>
    <w:rsid w:val="00CF2552"/>
    <w:rsid w:val="00CF2D4A"/>
    <w:rsid w:val="00CF337D"/>
    <w:rsid w:val="00CF4C46"/>
    <w:rsid w:val="00CF56C5"/>
    <w:rsid w:val="00CF74F8"/>
    <w:rsid w:val="00D006E2"/>
    <w:rsid w:val="00D019AC"/>
    <w:rsid w:val="00D02B84"/>
    <w:rsid w:val="00D02DB5"/>
    <w:rsid w:val="00D047FB"/>
    <w:rsid w:val="00D04DF1"/>
    <w:rsid w:val="00D113A4"/>
    <w:rsid w:val="00D12F68"/>
    <w:rsid w:val="00D13DFA"/>
    <w:rsid w:val="00D15176"/>
    <w:rsid w:val="00D155E4"/>
    <w:rsid w:val="00D20381"/>
    <w:rsid w:val="00D22D3F"/>
    <w:rsid w:val="00D23CEC"/>
    <w:rsid w:val="00D243E8"/>
    <w:rsid w:val="00D24CFD"/>
    <w:rsid w:val="00D273E1"/>
    <w:rsid w:val="00D27A20"/>
    <w:rsid w:val="00D312C5"/>
    <w:rsid w:val="00D331ED"/>
    <w:rsid w:val="00D338E1"/>
    <w:rsid w:val="00D33B6C"/>
    <w:rsid w:val="00D34CFF"/>
    <w:rsid w:val="00D35F21"/>
    <w:rsid w:val="00D37468"/>
    <w:rsid w:val="00D37B12"/>
    <w:rsid w:val="00D37F54"/>
    <w:rsid w:val="00D411CA"/>
    <w:rsid w:val="00D41FEE"/>
    <w:rsid w:val="00D421F3"/>
    <w:rsid w:val="00D424CA"/>
    <w:rsid w:val="00D427FD"/>
    <w:rsid w:val="00D4481D"/>
    <w:rsid w:val="00D456A6"/>
    <w:rsid w:val="00D45EEB"/>
    <w:rsid w:val="00D46DB3"/>
    <w:rsid w:val="00D511A0"/>
    <w:rsid w:val="00D532F1"/>
    <w:rsid w:val="00D53E61"/>
    <w:rsid w:val="00D57063"/>
    <w:rsid w:val="00D57439"/>
    <w:rsid w:val="00D602B2"/>
    <w:rsid w:val="00D60319"/>
    <w:rsid w:val="00D60BB4"/>
    <w:rsid w:val="00D628B9"/>
    <w:rsid w:val="00D65A16"/>
    <w:rsid w:val="00D70451"/>
    <w:rsid w:val="00D704B8"/>
    <w:rsid w:val="00D72706"/>
    <w:rsid w:val="00D7348F"/>
    <w:rsid w:val="00D74120"/>
    <w:rsid w:val="00D75E0D"/>
    <w:rsid w:val="00D767D4"/>
    <w:rsid w:val="00D7706E"/>
    <w:rsid w:val="00D80558"/>
    <w:rsid w:val="00D80AF8"/>
    <w:rsid w:val="00D81E2B"/>
    <w:rsid w:val="00D826D3"/>
    <w:rsid w:val="00D82A50"/>
    <w:rsid w:val="00D83C7A"/>
    <w:rsid w:val="00D842E1"/>
    <w:rsid w:val="00D85E5A"/>
    <w:rsid w:val="00D92179"/>
    <w:rsid w:val="00D948C2"/>
    <w:rsid w:val="00DA04E7"/>
    <w:rsid w:val="00DA08FE"/>
    <w:rsid w:val="00DA11F2"/>
    <w:rsid w:val="00DA15F5"/>
    <w:rsid w:val="00DA2511"/>
    <w:rsid w:val="00DA4358"/>
    <w:rsid w:val="00DA43BE"/>
    <w:rsid w:val="00DA4410"/>
    <w:rsid w:val="00DA46EC"/>
    <w:rsid w:val="00DA678B"/>
    <w:rsid w:val="00DA6DC9"/>
    <w:rsid w:val="00DA7A4B"/>
    <w:rsid w:val="00DA7F3D"/>
    <w:rsid w:val="00DB1A16"/>
    <w:rsid w:val="00DB2769"/>
    <w:rsid w:val="00DB2773"/>
    <w:rsid w:val="00DB2B58"/>
    <w:rsid w:val="00DB3929"/>
    <w:rsid w:val="00DB4B04"/>
    <w:rsid w:val="00DC15AA"/>
    <w:rsid w:val="00DC1748"/>
    <w:rsid w:val="00DC3EED"/>
    <w:rsid w:val="00DC5C55"/>
    <w:rsid w:val="00DC65A6"/>
    <w:rsid w:val="00DD1017"/>
    <w:rsid w:val="00DD2BC4"/>
    <w:rsid w:val="00DD4E9B"/>
    <w:rsid w:val="00DD4EEF"/>
    <w:rsid w:val="00DD5586"/>
    <w:rsid w:val="00DD764D"/>
    <w:rsid w:val="00DE0A1F"/>
    <w:rsid w:val="00DE25B8"/>
    <w:rsid w:val="00DE3293"/>
    <w:rsid w:val="00DE61DF"/>
    <w:rsid w:val="00DE760C"/>
    <w:rsid w:val="00DE774D"/>
    <w:rsid w:val="00DF040B"/>
    <w:rsid w:val="00DF0696"/>
    <w:rsid w:val="00DF436A"/>
    <w:rsid w:val="00DF4505"/>
    <w:rsid w:val="00DF47DD"/>
    <w:rsid w:val="00DF4DDF"/>
    <w:rsid w:val="00DF5238"/>
    <w:rsid w:val="00DF5DB9"/>
    <w:rsid w:val="00DF64E2"/>
    <w:rsid w:val="00DF6BB9"/>
    <w:rsid w:val="00E012E5"/>
    <w:rsid w:val="00E040F3"/>
    <w:rsid w:val="00E05328"/>
    <w:rsid w:val="00E05733"/>
    <w:rsid w:val="00E1177C"/>
    <w:rsid w:val="00E1360B"/>
    <w:rsid w:val="00E139DA"/>
    <w:rsid w:val="00E157ED"/>
    <w:rsid w:val="00E1664F"/>
    <w:rsid w:val="00E16FAA"/>
    <w:rsid w:val="00E17085"/>
    <w:rsid w:val="00E1716D"/>
    <w:rsid w:val="00E21C2D"/>
    <w:rsid w:val="00E24F94"/>
    <w:rsid w:val="00E25341"/>
    <w:rsid w:val="00E25A53"/>
    <w:rsid w:val="00E30CB8"/>
    <w:rsid w:val="00E316E4"/>
    <w:rsid w:val="00E31B1C"/>
    <w:rsid w:val="00E31BA2"/>
    <w:rsid w:val="00E3248A"/>
    <w:rsid w:val="00E34E02"/>
    <w:rsid w:val="00E358C8"/>
    <w:rsid w:val="00E35A90"/>
    <w:rsid w:val="00E362E4"/>
    <w:rsid w:val="00E365E2"/>
    <w:rsid w:val="00E425EA"/>
    <w:rsid w:val="00E43639"/>
    <w:rsid w:val="00E43F52"/>
    <w:rsid w:val="00E44095"/>
    <w:rsid w:val="00E450EC"/>
    <w:rsid w:val="00E45E66"/>
    <w:rsid w:val="00E475A1"/>
    <w:rsid w:val="00E4768F"/>
    <w:rsid w:val="00E476CA"/>
    <w:rsid w:val="00E47B26"/>
    <w:rsid w:val="00E61644"/>
    <w:rsid w:val="00E62488"/>
    <w:rsid w:val="00E62F84"/>
    <w:rsid w:val="00E6328C"/>
    <w:rsid w:val="00E642E2"/>
    <w:rsid w:val="00E65705"/>
    <w:rsid w:val="00E67FD0"/>
    <w:rsid w:val="00E7061E"/>
    <w:rsid w:val="00E70727"/>
    <w:rsid w:val="00E70F15"/>
    <w:rsid w:val="00E735DF"/>
    <w:rsid w:val="00E74CFB"/>
    <w:rsid w:val="00E80411"/>
    <w:rsid w:val="00E81766"/>
    <w:rsid w:val="00E84108"/>
    <w:rsid w:val="00E849EA"/>
    <w:rsid w:val="00E85330"/>
    <w:rsid w:val="00E86A71"/>
    <w:rsid w:val="00E91B70"/>
    <w:rsid w:val="00E91FDE"/>
    <w:rsid w:val="00E95091"/>
    <w:rsid w:val="00E954D0"/>
    <w:rsid w:val="00E957E6"/>
    <w:rsid w:val="00E970FA"/>
    <w:rsid w:val="00EA1D52"/>
    <w:rsid w:val="00EA24A9"/>
    <w:rsid w:val="00EA258C"/>
    <w:rsid w:val="00EA416D"/>
    <w:rsid w:val="00EA44C7"/>
    <w:rsid w:val="00EA5916"/>
    <w:rsid w:val="00EB1165"/>
    <w:rsid w:val="00EB4301"/>
    <w:rsid w:val="00EB5E8C"/>
    <w:rsid w:val="00EBFF68"/>
    <w:rsid w:val="00EC08D8"/>
    <w:rsid w:val="00EC0FC3"/>
    <w:rsid w:val="00EC21ED"/>
    <w:rsid w:val="00EC270F"/>
    <w:rsid w:val="00EC5986"/>
    <w:rsid w:val="00EC6F66"/>
    <w:rsid w:val="00EC730D"/>
    <w:rsid w:val="00ED01C1"/>
    <w:rsid w:val="00ED18D6"/>
    <w:rsid w:val="00ED5796"/>
    <w:rsid w:val="00ED6BAE"/>
    <w:rsid w:val="00ED7695"/>
    <w:rsid w:val="00EE09D8"/>
    <w:rsid w:val="00EE1558"/>
    <w:rsid w:val="00EE1C81"/>
    <w:rsid w:val="00EE4D79"/>
    <w:rsid w:val="00EE671D"/>
    <w:rsid w:val="00EE6835"/>
    <w:rsid w:val="00EF07EF"/>
    <w:rsid w:val="00EF0A7A"/>
    <w:rsid w:val="00EF3B7D"/>
    <w:rsid w:val="00EF42F3"/>
    <w:rsid w:val="00EF5293"/>
    <w:rsid w:val="00EF7036"/>
    <w:rsid w:val="00EF7810"/>
    <w:rsid w:val="00EF7D54"/>
    <w:rsid w:val="00F018B2"/>
    <w:rsid w:val="00F020DC"/>
    <w:rsid w:val="00F021EC"/>
    <w:rsid w:val="00F02DEF"/>
    <w:rsid w:val="00F03094"/>
    <w:rsid w:val="00F03AD9"/>
    <w:rsid w:val="00F0407D"/>
    <w:rsid w:val="00F06050"/>
    <w:rsid w:val="00F07916"/>
    <w:rsid w:val="00F07C96"/>
    <w:rsid w:val="00F10015"/>
    <w:rsid w:val="00F1004F"/>
    <w:rsid w:val="00F10702"/>
    <w:rsid w:val="00F111AB"/>
    <w:rsid w:val="00F11F72"/>
    <w:rsid w:val="00F12ED0"/>
    <w:rsid w:val="00F1631B"/>
    <w:rsid w:val="00F163D0"/>
    <w:rsid w:val="00F167E7"/>
    <w:rsid w:val="00F17AB5"/>
    <w:rsid w:val="00F20DB2"/>
    <w:rsid w:val="00F219ED"/>
    <w:rsid w:val="00F2360A"/>
    <w:rsid w:val="00F2384D"/>
    <w:rsid w:val="00F238B5"/>
    <w:rsid w:val="00F247D3"/>
    <w:rsid w:val="00F24BF1"/>
    <w:rsid w:val="00F2731D"/>
    <w:rsid w:val="00F307D2"/>
    <w:rsid w:val="00F33AB2"/>
    <w:rsid w:val="00F34012"/>
    <w:rsid w:val="00F35B22"/>
    <w:rsid w:val="00F37768"/>
    <w:rsid w:val="00F4049C"/>
    <w:rsid w:val="00F41962"/>
    <w:rsid w:val="00F42434"/>
    <w:rsid w:val="00F433DE"/>
    <w:rsid w:val="00F43816"/>
    <w:rsid w:val="00F44A2F"/>
    <w:rsid w:val="00F45DE4"/>
    <w:rsid w:val="00F50132"/>
    <w:rsid w:val="00F503BF"/>
    <w:rsid w:val="00F56178"/>
    <w:rsid w:val="00F5705B"/>
    <w:rsid w:val="00F57CFC"/>
    <w:rsid w:val="00F60E08"/>
    <w:rsid w:val="00F63B44"/>
    <w:rsid w:val="00F65BE5"/>
    <w:rsid w:val="00F66BF6"/>
    <w:rsid w:val="00F700C5"/>
    <w:rsid w:val="00F708AD"/>
    <w:rsid w:val="00F70B9C"/>
    <w:rsid w:val="00F723CE"/>
    <w:rsid w:val="00F741CE"/>
    <w:rsid w:val="00F7499F"/>
    <w:rsid w:val="00F764A0"/>
    <w:rsid w:val="00F81945"/>
    <w:rsid w:val="00F819FD"/>
    <w:rsid w:val="00F8217F"/>
    <w:rsid w:val="00F83EF3"/>
    <w:rsid w:val="00F8506C"/>
    <w:rsid w:val="00F854BD"/>
    <w:rsid w:val="00F8586A"/>
    <w:rsid w:val="00F86140"/>
    <w:rsid w:val="00F8652C"/>
    <w:rsid w:val="00F92AF6"/>
    <w:rsid w:val="00F93706"/>
    <w:rsid w:val="00F93E09"/>
    <w:rsid w:val="00F93E8A"/>
    <w:rsid w:val="00F9456E"/>
    <w:rsid w:val="00F94A35"/>
    <w:rsid w:val="00F9647A"/>
    <w:rsid w:val="00F97057"/>
    <w:rsid w:val="00F97543"/>
    <w:rsid w:val="00FA14DE"/>
    <w:rsid w:val="00FA2910"/>
    <w:rsid w:val="00FA346C"/>
    <w:rsid w:val="00FA3720"/>
    <w:rsid w:val="00FA6D43"/>
    <w:rsid w:val="00FB1D55"/>
    <w:rsid w:val="00FB20BA"/>
    <w:rsid w:val="00FB2851"/>
    <w:rsid w:val="00FB3DE3"/>
    <w:rsid w:val="00FB6633"/>
    <w:rsid w:val="00FB6B05"/>
    <w:rsid w:val="00FB7C73"/>
    <w:rsid w:val="00FC32E7"/>
    <w:rsid w:val="00FC38F8"/>
    <w:rsid w:val="00FC3BB7"/>
    <w:rsid w:val="00FC4CAA"/>
    <w:rsid w:val="00FC5E63"/>
    <w:rsid w:val="00FC6567"/>
    <w:rsid w:val="00FC68C3"/>
    <w:rsid w:val="00FC7AF5"/>
    <w:rsid w:val="00FC7B8E"/>
    <w:rsid w:val="00FD01E5"/>
    <w:rsid w:val="00FD2870"/>
    <w:rsid w:val="00FD294E"/>
    <w:rsid w:val="00FD3BDD"/>
    <w:rsid w:val="00FD405A"/>
    <w:rsid w:val="00FD443D"/>
    <w:rsid w:val="00FD5BEA"/>
    <w:rsid w:val="00FD5C65"/>
    <w:rsid w:val="00FD6004"/>
    <w:rsid w:val="00FD6822"/>
    <w:rsid w:val="00FD703E"/>
    <w:rsid w:val="00FD71E4"/>
    <w:rsid w:val="00FE0304"/>
    <w:rsid w:val="00FE0BB2"/>
    <w:rsid w:val="00FE4ECE"/>
    <w:rsid w:val="00FE6943"/>
    <w:rsid w:val="00FE740B"/>
    <w:rsid w:val="00FE777D"/>
    <w:rsid w:val="00FF4A2C"/>
    <w:rsid w:val="00FF4F7C"/>
    <w:rsid w:val="00FF5448"/>
    <w:rsid w:val="0117B6AD"/>
    <w:rsid w:val="0152D758"/>
    <w:rsid w:val="0184C8FC"/>
    <w:rsid w:val="018DD52F"/>
    <w:rsid w:val="019761A8"/>
    <w:rsid w:val="01A3F430"/>
    <w:rsid w:val="01AC29AE"/>
    <w:rsid w:val="01B15B72"/>
    <w:rsid w:val="01C570DF"/>
    <w:rsid w:val="01C64EE8"/>
    <w:rsid w:val="01CFE65D"/>
    <w:rsid w:val="01D31FE7"/>
    <w:rsid w:val="01E6BF0F"/>
    <w:rsid w:val="01EACA9E"/>
    <w:rsid w:val="01FBBF53"/>
    <w:rsid w:val="0207FA55"/>
    <w:rsid w:val="02114DCF"/>
    <w:rsid w:val="0215A9BD"/>
    <w:rsid w:val="02247BDE"/>
    <w:rsid w:val="02293CDB"/>
    <w:rsid w:val="024099D7"/>
    <w:rsid w:val="0240EB77"/>
    <w:rsid w:val="02417A73"/>
    <w:rsid w:val="024C5CA2"/>
    <w:rsid w:val="02527D48"/>
    <w:rsid w:val="026D941C"/>
    <w:rsid w:val="026EA04A"/>
    <w:rsid w:val="028960F9"/>
    <w:rsid w:val="029770E7"/>
    <w:rsid w:val="02D54C3F"/>
    <w:rsid w:val="02E4007B"/>
    <w:rsid w:val="02F1485F"/>
    <w:rsid w:val="02F407D6"/>
    <w:rsid w:val="033D90B2"/>
    <w:rsid w:val="0361C28E"/>
    <w:rsid w:val="0370372F"/>
    <w:rsid w:val="037B6ADB"/>
    <w:rsid w:val="037DE817"/>
    <w:rsid w:val="03A81747"/>
    <w:rsid w:val="03EE3B8C"/>
    <w:rsid w:val="03FE20F4"/>
    <w:rsid w:val="041288B1"/>
    <w:rsid w:val="0425BB1D"/>
    <w:rsid w:val="04347908"/>
    <w:rsid w:val="044D0005"/>
    <w:rsid w:val="0467EAB9"/>
    <w:rsid w:val="04730804"/>
    <w:rsid w:val="0474DF24"/>
    <w:rsid w:val="04BCF2C2"/>
    <w:rsid w:val="04C04401"/>
    <w:rsid w:val="04DF17EB"/>
    <w:rsid w:val="04E452F2"/>
    <w:rsid w:val="04EC1050"/>
    <w:rsid w:val="051155EF"/>
    <w:rsid w:val="051405F4"/>
    <w:rsid w:val="0530A496"/>
    <w:rsid w:val="05357887"/>
    <w:rsid w:val="054832EB"/>
    <w:rsid w:val="054CFF53"/>
    <w:rsid w:val="0577945A"/>
    <w:rsid w:val="057F23DA"/>
    <w:rsid w:val="059DDC00"/>
    <w:rsid w:val="05A8260D"/>
    <w:rsid w:val="05AA63D3"/>
    <w:rsid w:val="05C9F8A2"/>
    <w:rsid w:val="05D35BDB"/>
    <w:rsid w:val="05DA7029"/>
    <w:rsid w:val="05E4DF31"/>
    <w:rsid w:val="05F143A7"/>
    <w:rsid w:val="060564D1"/>
    <w:rsid w:val="060882E5"/>
    <w:rsid w:val="060D4354"/>
    <w:rsid w:val="063F2C29"/>
    <w:rsid w:val="063FF0FD"/>
    <w:rsid w:val="064E74E9"/>
    <w:rsid w:val="065A08BD"/>
    <w:rsid w:val="0687840F"/>
    <w:rsid w:val="0689B5EA"/>
    <w:rsid w:val="068CE620"/>
    <w:rsid w:val="068D7E56"/>
    <w:rsid w:val="0696CDD5"/>
    <w:rsid w:val="069FB857"/>
    <w:rsid w:val="06F7ADA8"/>
    <w:rsid w:val="06FC990F"/>
    <w:rsid w:val="07166EE8"/>
    <w:rsid w:val="0736B1C4"/>
    <w:rsid w:val="0737818C"/>
    <w:rsid w:val="07433697"/>
    <w:rsid w:val="075EC70D"/>
    <w:rsid w:val="0767F0F8"/>
    <w:rsid w:val="07839EA7"/>
    <w:rsid w:val="079499E9"/>
    <w:rsid w:val="079FFCE2"/>
    <w:rsid w:val="07A9823E"/>
    <w:rsid w:val="07B01A84"/>
    <w:rsid w:val="07BD8CDF"/>
    <w:rsid w:val="07E46884"/>
    <w:rsid w:val="07EB4147"/>
    <w:rsid w:val="07F270E9"/>
    <w:rsid w:val="08087134"/>
    <w:rsid w:val="080EA25C"/>
    <w:rsid w:val="083D821D"/>
    <w:rsid w:val="084B5A6D"/>
    <w:rsid w:val="085CB66B"/>
    <w:rsid w:val="08681268"/>
    <w:rsid w:val="0871ABE7"/>
    <w:rsid w:val="089A07F1"/>
    <w:rsid w:val="08A33ACF"/>
    <w:rsid w:val="08BD3AC4"/>
    <w:rsid w:val="08C53191"/>
    <w:rsid w:val="08D73B7B"/>
    <w:rsid w:val="08EAD4EB"/>
    <w:rsid w:val="08F87652"/>
    <w:rsid w:val="08FD6A5A"/>
    <w:rsid w:val="0921E773"/>
    <w:rsid w:val="0921F955"/>
    <w:rsid w:val="093E93CF"/>
    <w:rsid w:val="0940F025"/>
    <w:rsid w:val="094355AE"/>
    <w:rsid w:val="09549C72"/>
    <w:rsid w:val="097A39CA"/>
    <w:rsid w:val="098B5AC4"/>
    <w:rsid w:val="098D69BC"/>
    <w:rsid w:val="09A18DA6"/>
    <w:rsid w:val="09BCF1C3"/>
    <w:rsid w:val="09E54641"/>
    <w:rsid w:val="0A01EA7B"/>
    <w:rsid w:val="0A0DACFE"/>
    <w:rsid w:val="0A205433"/>
    <w:rsid w:val="0A3A91DE"/>
    <w:rsid w:val="0A563508"/>
    <w:rsid w:val="0A7E2102"/>
    <w:rsid w:val="0A8DC256"/>
    <w:rsid w:val="0AA7B44A"/>
    <w:rsid w:val="0AB67494"/>
    <w:rsid w:val="0ABFE33B"/>
    <w:rsid w:val="0AD02893"/>
    <w:rsid w:val="0ADC4133"/>
    <w:rsid w:val="0AE085A1"/>
    <w:rsid w:val="0AECBE2B"/>
    <w:rsid w:val="0AECE7E6"/>
    <w:rsid w:val="0B04AF6D"/>
    <w:rsid w:val="0B0CAC62"/>
    <w:rsid w:val="0B10CEB1"/>
    <w:rsid w:val="0B14F8F6"/>
    <w:rsid w:val="0B453EB8"/>
    <w:rsid w:val="0B4A0391"/>
    <w:rsid w:val="0B4AC267"/>
    <w:rsid w:val="0B525A53"/>
    <w:rsid w:val="0B65C75A"/>
    <w:rsid w:val="0B776873"/>
    <w:rsid w:val="0B85174E"/>
    <w:rsid w:val="0B9E0059"/>
    <w:rsid w:val="0BA0BE46"/>
    <w:rsid w:val="0BB2CE34"/>
    <w:rsid w:val="0BCD878B"/>
    <w:rsid w:val="0BDB9FE0"/>
    <w:rsid w:val="0BF35AD8"/>
    <w:rsid w:val="0C29FB7C"/>
    <w:rsid w:val="0C44BDA5"/>
    <w:rsid w:val="0C44E249"/>
    <w:rsid w:val="0C5F4FC5"/>
    <w:rsid w:val="0C8A7A72"/>
    <w:rsid w:val="0C9730BA"/>
    <w:rsid w:val="0CABAC37"/>
    <w:rsid w:val="0CB0E001"/>
    <w:rsid w:val="0CBFDE08"/>
    <w:rsid w:val="0D00A315"/>
    <w:rsid w:val="0D0BAFA3"/>
    <w:rsid w:val="0D0D8499"/>
    <w:rsid w:val="0D406D6A"/>
    <w:rsid w:val="0D4EBEAD"/>
    <w:rsid w:val="0D5133D2"/>
    <w:rsid w:val="0D777303"/>
    <w:rsid w:val="0D7FB752"/>
    <w:rsid w:val="0D8389FB"/>
    <w:rsid w:val="0D84D2CE"/>
    <w:rsid w:val="0DB3F22A"/>
    <w:rsid w:val="0DC8E305"/>
    <w:rsid w:val="0DF827F2"/>
    <w:rsid w:val="0DFBF4AE"/>
    <w:rsid w:val="0E085C45"/>
    <w:rsid w:val="0E18C393"/>
    <w:rsid w:val="0E37C0D4"/>
    <w:rsid w:val="0E5FE029"/>
    <w:rsid w:val="0E6277E2"/>
    <w:rsid w:val="0E93069D"/>
    <w:rsid w:val="0E974524"/>
    <w:rsid w:val="0EA34EA1"/>
    <w:rsid w:val="0ECCB1FE"/>
    <w:rsid w:val="0ECFC274"/>
    <w:rsid w:val="0ED73097"/>
    <w:rsid w:val="0EE0E8E1"/>
    <w:rsid w:val="0EE13B7B"/>
    <w:rsid w:val="0EF65B35"/>
    <w:rsid w:val="0EFB80CC"/>
    <w:rsid w:val="0F125820"/>
    <w:rsid w:val="0F36D185"/>
    <w:rsid w:val="0F4C721D"/>
    <w:rsid w:val="0F4FF6ED"/>
    <w:rsid w:val="0F54615B"/>
    <w:rsid w:val="0F5E5F9E"/>
    <w:rsid w:val="0F67295C"/>
    <w:rsid w:val="0F69398F"/>
    <w:rsid w:val="0F6AF50B"/>
    <w:rsid w:val="0F8CAF84"/>
    <w:rsid w:val="0F966ADB"/>
    <w:rsid w:val="0FB89904"/>
    <w:rsid w:val="0FB9E97A"/>
    <w:rsid w:val="0FBB63B5"/>
    <w:rsid w:val="0FBC2E8F"/>
    <w:rsid w:val="0FC848BA"/>
    <w:rsid w:val="0FCEAC00"/>
    <w:rsid w:val="0FE98C4B"/>
    <w:rsid w:val="0FF135D3"/>
    <w:rsid w:val="1032A6D9"/>
    <w:rsid w:val="103A1FF7"/>
    <w:rsid w:val="103BEF18"/>
    <w:rsid w:val="107F1991"/>
    <w:rsid w:val="10955AC4"/>
    <w:rsid w:val="1097C242"/>
    <w:rsid w:val="10A3C4F8"/>
    <w:rsid w:val="10D98B92"/>
    <w:rsid w:val="10EC509D"/>
    <w:rsid w:val="10F473F5"/>
    <w:rsid w:val="113C3331"/>
    <w:rsid w:val="114446D3"/>
    <w:rsid w:val="11493840"/>
    <w:rsid w:val="11837451"/>
    <w:rsid w:val="119136C6"/>
    <w:rsid w:val="119AC29C"/>
    <w:rsid w:val="11A4AC93"/>
    <w:rsid w:val="11CEBA07"/>
    <w:rsid w:val="11F7E305"/>
    <w:rsid w:val="120899EC"/>
    <w:rsid w:val="121FDDFD"/>
    <w:rsid w:val="1254C79F"/>
    <w:rsid w:val="1254DF4B"/>
    <w:rsid w:val="12663D72"/>
    <w:rsid w:val="127A8B8C"/>
    <w:rsid w:val="12A2C069"/>
    <w:rsid w:val="12CA0D55"/>
    <w:rsid w:val="12F00A9D"/>
    <w:rsid w:val="12F14909"/>
    <w:rsid w:val="12F29A20"/>
    <w:rsid w:val="12FA41B4"/>
    <w:rsid w:val="131ABA2F"/>
    <w:rsid w:val="132380F2"/>
    <w:rsid w:val="13469ADB"/>
    <w:rsid w:val="135DCADC"/>
    <w:rsid w:val="13607E3F"/>
    <w:rsid w:val="136FDB46"/>
    <w:rsid w:val="137F508F"/>
    <w:rsid w:val="13B06968"/>
    <w:rsid w:val="13B383BC"/>
    <w:rsid w:val="13BF0743"/>
    <w:rsid w:val="13C4DA58"/>
    <w:rsid w:val="13F45888"/>
    <w:rsid w:val="13FEF877"/>
    <w:rsid w:val="14238F28"/>
    <w:rsid w:val="144185A6"/>
    <w:rsid w:val="1451EB1C"/>
    <w:rsid w:val="14682BF4"/>
    <w:rsid w:val="146FBD9C"/>
    <w:rsid w:val="14B93CF6"/>
    <w:rsid w:val="14CF14B8"/>
    <w:rsid w:val="14D9CC0C"/>
    <w:rsid w:val="14E93B61"/>
    <w:rsid w:val="1515E566"/>
    <w:rsid w:val="154394FB"/>
    <w:rsid w:val="15458ACD"/>
    <w:rsid w:val="15640880"/>
    <w:rsid w:val="157EFE92"/>
    <w:rsid w:val="15879EAB"/>
    <w:rsid w:val="158D45A7"/>
    <w:rsid w:val="158FB4CF"/>
    <w:rsid w:val="15B2651C"/>
    <w:rsid w:val="15BC6AF6"/>
    <w:rsid w:val="15BFEE3B"/>
    <w:rsid w:val="15C64317"/>
    <w:rsid w:val="15C6EACF"/>
    <w:rsid w:val="15E2CB20"/>
    <w:rsid w:val="15EB9E28"/>
    <w:rsid w:val="15FC3D2D"/>
    <w:rsid w:val="160159C1"/>
    <w:rsid w:val="1613E971"/>
    <w:rsid w:val="162477D0"/>
    <w:rsid w:val="16438DB8"/>
    <w:rsid w:val="164DAA73"/>
    <w:rsid w:val="1650277D"/>
    <w:rsid w:val="1663C44D"/>
    <w:rsid w:val="166CE4ED"/>
    <w:rsid w:val="16774B5B"/>
    <w:rsid w:val="1685DB98"/>
    <w:rsid w:val="1687EA12"/>
    <w:rsid w:val="16AF5A86"/>
    <w:rsid w:val="16B8FEBB"/>
    <w:rsid w:val="16C034F6"/>
    <w:rsid w:val="1709949F"/>
    <w:rsid w:val="170B831D"/>
    <w:rsid w:val="1710FB8B"/>
    <w:rsid w:val="17133BE2"/>
    <w:rsid w:val="1726C6F9"/>
    <w:rsid w:val="172DEF00"/>
    <w:rsid w:val="174312E9"/>
    <w:rsid w:val="176AF010"/>
    <w:rsid w:val="177A60DC"/>
    <w:rsid w:val="178E1105"/>
    <w:rsid w:val="17CEA4D8"/>
    <w:rsid w:val="17DCC0F8"/>
    <w:rsid w:val="17E27314"/>
    <w:rsid w:val="17E39047"/>
    <w:rsid w:val="17F223DC"/>
    <w:rsid w:val="17F49057"/>
    <w:rsid w:val="18027504"/>
    <w:rsid w:val="180A1512"/>
    <w:rsid w:val="1816184F"/>
    <w:rsid w:val="181B74C8"/>
    <w:rsid w:val="18224436"/>
    <w:rsid w:val="18228700"/>
    <w:rsid w:val="1827F0D2"/>
    <w:rsid w:val="1833DA1F"/>
    <w:rsid w:val="18343B26"/>
    <w:rsid w:val="1856579E"/>
    <w:rsid w:val="186C7339"/>
    <w:rsid w:val="18807D21"/>
    <w:rsid w:val="18855113"/>
    <w:rsid w:val="1888EBD2"/>
    <w:rsid w:val="189A5540"/>
    <w:rsid w:val="18CCA9C7"/>
    <w:rsid w:val="18D0D835"/>
    <w:rsid w:val="18DBE8C9"/>
    <w:rsid w:val="18E6A49F"/>
    <w:rsid w:val="1901E9EE"/>
    <w:rsid w:val="1909C062"/>
    <w:rsid w:val="196511DE"/>
    <w:rsid w:val="1986D174"/>
    <w:rsid w:val="1994BC39"/>
    <w:rsid w:val="19C0C633"/>
    <w:rsid w:val="19C10348"/>
    <w:rsid w:val="19E2BBCF"/>
    <w:rsid w:val="1A0B3015"/>
    <w:rsid w:val="1A132F30"/>
    <w:rsid w:val="1A162280"/>
    <w:rsid w:val="1A219F96"/>
    <w:rsid w:val="1A266699"/>
    <w:rsid w:val="1A4C76D0"/>
    <w:rsid w:val="1A699B45"/>
    <w:rsid w:val="1A82FCE0"/>
    <w:rsid w:val="1A90950F"/>
    <w:rsid w:val="1A911053"/>
    <w:rsid w:val="1ACCC801"/>
    <w:rsid w:val="1AE1A5ED"/>
    <w:rsid w:val="1AEA9B4C"/>
    <w:rsid w:val="1AED96EA"/>
    <w:rsid w:val="1AFE630A"/>
    <w:rsid w:val="1B0BF244"/>
    <w:rsid w:val="1B0ECA92"/>
    <w:rsid w:val="1B0FB2A0"/>
    <w:rsid w:val="1B119325"/>
    <w:rsid w:val="1B1398EE"/>
    <w:rsid w:val="1B1E5821"/>
    <w:rsid w:val="1B27D8F0"/>
    <w:rsid w:val="1B3503F8"/>
    <w:rsid w:val="1B4138A7"/>
    <w:rsid w:val="1B445C9E"/>
    <w:rsid w:val="1B4B4D81"/>
    <w:rsid w:val="1B4BE554"/>
    <w:rsid w:val="1B5DF749"/>
    <w:rsid w:val="1BAC73FA"/>
    <w:rsid w:val="1BD4EFAA"/>
    <w:rsid w:val="1BE13BF7"/>
    <w:rsid w:val="1BF10514"/>
    <w:rsid w:val="1BF13AE3"/>
    <w:rsid w:val="1BF714E1"/>
    <w:rsid w:val="1C06F9C8"/>
    <w:rsid w:val="1C36193F"/>
    <w:rsid w:val="1C6632C9"/>
    <w:rsid w:val="1C66F0EC"/>
    <w:rsid w:val="1C6C99F0"/>
    <w:rsid w:val="1C734549"/>
    <w:rsid w:val="1CA568B9"/>
    <w:rsid w:val="1CB117B1"/>
    <w:rsid w:val="1CC9BA62"/>
    <w:rsid w:val="1CCAE588"/>
    <w:rsid w:val="1CD5633A"/>
    <w:rsid w:val="1CFC2799"/>
    <w:rsid w:val="1D076A1B"/>
    <w:rsid w:val="1D2471F4"/>
    <w:rsid w:val="1D33DF7C"/>
    <w:rsid w:val="1D384D1F"/>
    <w:rsid w:val="1D485E30"/>
    <w:rsid w:val="1D490252"/>
    <w:rsid w:val="1D530F12"/>
    <w:rsid w:val="1D5CF52F"/>
    <w:rsid w:val="1D890B55"/>
    <w:rsid w:val="1D97F83C"/>
    <w:rsid w:val="1D9C33BE"/>
    <w:rsid w:val="1DA771C5"/>
    <w:rsid w:val="1DA994FA"/>
    <w:rsid w:val="1DB633DD"/>
    <w:rsid w:val="1DDC4518"/>
    <w:rsid w:val="1DEF40C0"/>
    <w:rsid w:val="1DF601B1"/>
    <w:rsid w:val="1E1CA374"/>
    <w:rsid w:val="1E2662AB"/>
    <w:rsid w:val="1E2AF9B4"/>
    <w:rsid w:val="1E34D711"/>
    <w:rsid w:val="1E3F0A09"/>
    <w:rsid w:val="1E546CA3"/>
    <w:rsid w:val="1E6179E8"/>
    <w:rsid w:val="1E7F03C1"/>
    <w:rsid w:val="1E7FF5DE"/>
    <w:rsid w:val="1E99E500"/>
    <w:rsid w:val="1EA06F85"/>
    <w:rsid w:val="1EAEBD2D"/>
    <w:rsid w:val="1EBE251A"/>
    <w:rsid w:val="1EC1F985"/>
    <w:rsid w:val="1ECDAEF8"/>
    <w:rsid w:val="1EFE4E2A"/>
    <w:rsid w:val="1F03C2ED"/>
    <w:rsid w:val="1F0B0E9A"/>
    <w:rsid w:val="1F0DE590"/>
    <w:rsid w:val="1F0FE58D"/>
    <w:rsid w:val="1F203D65"/>
    <w:rsid w:val="1F266E90"/>
    <w:rsid w:val="1F907E03"/>
    <w:rsid w:val="1FBC2CDB"/>
    <w:rsid w:val="1FD27832"/>
    <w:rsid w:val="20287129"/>
    <w:rsid w:val="20356BF3"/>
    <w:rsid w:val="203891E0"/>
    <w:rsid w:val="20439AE7"/>
    <w:rsid w:val="20480596"/>
    <w:rsid w:val="205C9175"/>
    <w:rsid w:val="2065176D"/>
    <w:rsid w:val="20A11936"/>
    <w:rsid w:val="20AE64A7"/>
    <w:rsid w:val="20B60057"/>
    <w:rsid w:val="20CC2E48"/>
    <w:rsid w:val="20DCDF58"/>
    <w:rsid w:val="20F75459"/>
    <w:rsid w:val="2114A1BA"/>
    <w:rsid w:val="215A1291"/>
    <w:rsid w:val="215CBF1A"/>
    <w:rsid w:val="216D5316"/>
    <w:rsid w:val="2182A54F"/>
    <w:rsid w:val="219F7E2D"/>
    <w:rsid w:val="21A65ECB"/>
    <w:rsid w:val="21B004C4"/>
    <w:rsid w:val="21B1D1C7"/>
    <w:rsid w:val="21ECB6C4"/>
    <w:rsid w:val="21F66F8A"/>
    <w:rsid w:val="21F88854"/>
    <w:rsid w:val="22083A03"/>
    <w:rsid w:val="221956E0"/>
    <w:rsid w:val="2240C50D"/>
    <w:rsid w:val="22418048"/>
    <w:rsid w:val="2241EA26"/>
    <w:rsid w:val="2250D53D"/>
    <w:rsid w:val="22596DB9"/>
    <w:rsid w:val="226456CE"/>
    <w:rsid w:val="226D2ABC"/>
    <w:rsid w:val="227AC873"/>
    <w:rsid w:val="22E926F8"/>
    <w:rsid w:val="22EE20F8"/>
    <w:rsid w:val="22F53881"/>
    <w:rsid w:val="2303B9C6"/>
    <w:rsid w:val="231D224C"/>
    <w:rsid w:val="23229257"/>
    <w:rsid w:val="233BBB18"/>
    <w:rsid w:val="235C7801"/>
    <w:rsid w:val="239E0614"/>
    <w:rsid w:val="23BC3556"/>
    <w:rsid w:val="23C9BE12"/>
    <w:rsid w:val="23CFED98"/>
    <w:rsid w:val="23F8CB31"/>
    <w:rsid w:val="23F8F2FF"/>
    <w:rsid w:val="2412D580"/>
    <w:rsid w:val="241AA617"/>
    <w:rsid w:val="2430007A"/>
    <w:rsid w:val="244BC5EF"/>
    <w:rsid w:val="249059A9"/>
    <w:rsid w:val="24B82282"/>
    <w:rsid w:val="24BC8D23"/>
    <w:rsid w:val="24C9D79D"/>
    <w:rsid w:val="24D41D97"/>
    <w:rsid w:val="24F7FCE0"/>
    <w:rsid w:val="250EF587"/>
    <w:rsid w:val="25324698"/>
    <w:rsid w:val="2533803D"/>
    <w:rsid w:val="254D9723"/>
    <w:rsid w:val="2550086B"/>
    <w:rsid w:val="255CCE0D"/>
    <w:rsid w:val="25805767"/>
    <w:rsid w:val="2596C0A5"/>
    <w:rsid w:val="25B260E3"/>
    <w:rsid w:val="25C2FA56"/>
    <w:rsid w:val="25CA90F3"/>
    <w:rsid w:val="25D3B746"/>
    <w:rsid w:val="25DFF2B5"/>
    <w:rsid w:val="260D3B4E"/>
    <w:rsid w:val="2631603E"/>
    <w:rsid w:val="264E58C7"/>
    <w:rsid w:val="265F8053"/>
    <w:rsid w:val="267C7A89"/>
    <w:rsid w:val="26948217"/>
    <w:rsid w:val="26B2FB15"/>
    <w:rsid w:val="26C4F442"/>
    <w:rsid w:val="26E09FE7"/>
    <w:rsid w:val="26EFE4DC"/>
    <w:rsid w:val="270BE0D2"/>
    <w:rsid w:val="2735D9DC"/>
    <w:rsid w:val="2783064B"/>
    <w:rsid w:val="279B3E25"/>
    <w:rsid w:val="27A8E7D6"/>
    <w:rsid w:val="27BB6B3F"/>
    <w:rsid w:val="27CF20C5"/>
    <w:rsid w:val="27D5FF4C"/>
    <w:rsid w:val="27DE0654"/>
    <w:rsid w:val="27F28360"/>
    <w:rsid w:val="280BBE62"/>
    <w:rsid w:val="2824BCCE"/>
    <w:rsid w:val="2841343C"/>
    <w:rsid w:val="2845AC7A"/>
    <w:rsid w:val="28550C85"/>
    <w:rsid w:val="285A7E23"/>
    <w:rsid w:val="285CFDEE"/>
    <w:rsid w:val="2865A3A7"/>
    <w:rsid w:val="286FFE45"/>
    <w:rsid w:val="2884680E"/>
    <w:rsid w:val="288552F6"/>
    <w:rsid w:val="28B2CB7C"/>
    <w:rsid w:val="28D2A93A"/>
    <w:rsid w:val="28D3D997"/>
    <w:rsid w:val="28DF01C0"/>
    <w:rsid w:val="28E9F028"/>
    <w:rsid w:val="2904AA9A"/>
    <w:rsid w:val="290AB809"/>
    <w:rsid w:val="290CD54F"/>
    <w:rsid w:val="290DA638"/>
    <w:rsid w:val="291FC639"/>
    <w:rsid w:val="2924E2C4"/>
    <w:rsid w:val="2965383B"/>
    <w:rsid w:val="2965A30F"/>
    <w:rsid w:val="2989585C"/>
    <w:rsid w:val="298F6D74"/>
    <w:rsid w:val="29A0FA81"/>
    <w:rsid w:val="29D14FB6"/>
    <w:rsid w:val="29D37407"/>
    <w:rsid w:val="29ECCB68"/>
    <w:rsid w:val="29FB0B6C"/>
    <w:rsid w:val="29FC8802"/>
    <w:rsid w:val="2A042CA1"/>
    <w:rsid w:val="2A08FE74"/>
    <w:rsid w:val="2A0FD7C2"/>
    <w:rsid w:val="2A1033AB"/>
    <w:rsid w:val="2A2C0210"/>
    <w:rsid w:val="2A2F25C3"/>
    <w:rsid w:val="2A41F58F"/>
    <w:rsid w:val="2A50DD56"/>
    <w:rsid w:val="2A57044E"/>
    <w:rsid w:val="2A9AC248"/>
    <w:rsid w:val="2AAB1573"/>
    <w:rsid w:val="2AAD1887"/>
    <w:rsid w:val="2AAEEB66"/>
    <w:rsid w:val="2AB4234D"/>
    <w:rsid w:val="2ABC597E"/>
    <w:rsid w:val="2ACCDBF7"/>
    <w:rsid w:val="2AD48A3C"/>
    <w:rsid w:val="2ADD6051"/>
    <w:rsid w:val="2AE782C9"/>
    <w:rsid w:val="2AF8C5F3"/>
    <w:rsid w:val="2B11F924"/>
    <w:rsid w:val="2B2545E2"/>
    <w:rsid w:val="2B28B71C"/>
    <w:rsid w:val="2B335477"/>
    <w:rsid w:val="2B3B23A1"/>
    <w:rsid w:val="2B7A8F7A"/>
    <w:rsid w:val="2B7E1B30"/>
    <w:rsid w:val="2B7FAA20"/>
    <w:rsid w:val="2BA691A5"/>
    <w:rsid w:val="2BB6D3A5"/>
    <w:rsid w:val="2BCE9F21"/>
    <w:rsid w:val="2BDC786F"/>
    <w:rsid w:val="2BE18D1E"/>
    <w:rsid w:val="2BEF5C99"/>
    <w:rsid w:val="2BF043FA"/>
    <w:rsid w:val="2C104B0A"/>
    <w:rsid w:val="2C10E625"/>
    <w:rsid w:val="2C1F04D7"/>
    <w:rsid w:val="2C2D40FE"/>
    <w:rsid w:val="2C575621"/>
    <w:rsid w:val="2C5D0540"/>
    <w:rsid w:val="2CB41AE1"/>
    <w:rsid w:val="2CB6A7DA"/>
    <w:rsid w:val="2CCEDAEC"/>
    <w:rsid w:val="2D20F95A"/>
    <w:rsid w:val="2D2672A0"/>
    <w:rsid w:val="2D2A08C6"/>
    <w:rsid w:val="2D5022E5"/>
    <w:rsid w:val="2D6CADD4"/>
    <w:rsid w:val="2D730EAE"/>
    <w:rsid w:val="2D761AB6"/>
    <w:rsid w:val="2D7CA5B5"/>
    <w:rsid w:val="2DB28E4F"/>
    <w:rsid w:val="2DB3722B"/>
    <w:rsid w:val="2DC9527E"/>
    <w:rsid w:val="2DCF9347"/>
    <w:rsid w:val="2DE02D06"/>
    <w:rsid w:val="2DE1FC1E"/>
    <w:rsid w:val="2DE51D51"/>
    <w:rsid w:val="2DFA3AE3"/>
    <w:rsid w:val="2DFEC951"/>
    <w:rsid w:val="2DFF1FF1"/>
    <w:rsid w:val="2E25DE9D"/>
    <w:rsid w:val="2E3B4A62"/>
    <w:rsid w:val="2E47B216"/>
    <w:rsid w:val="2E4891D3"/>
    <w:rsid w:val="2E48C47C"/>
    <w:rsid w:val="2E6C6FCD"/>
    <w:rsid w:val="2E962B60"/>
    <w:rsid w:val="2E985487"/>
    <w:rsid w:val="2EAAA373"/>
    <w:rsid w:val="2EE438A2"/>
    <w:rsid w:val="2EF381EC"/>
    <w:rsid w:val="2EF8BFA1"/>
    <w:rsid w:val="2F040A62"/>
    <w:rsid w:val="2F04A139"/>
    <w:rsid w:val="2F1766AE"/>
    <w:rsid w:val="2F1F5CEA"/>
    <w:rsid w:val="2F234241"/>
    <w:rsid w:val="2F39AEED"/>
    <w:rsid w:val="2F3DEB59"/>
    <w:rsid w:val="2F40BEE3"/>
    <w:rsid w:val="2F5579B1"/>
    <w:rsid w:val="2FB89373"/>
    <w:rsid w:val="2FC91C46"/>
    <w:rsid w:val="2FF6AFDD"/>
    <w:rsid w:val="30048D70"/>
    <w:rsid w:val="30120374"/>
    <w:rsid w:val="301846DD"/>
    <w:rsid w:val="3024ADE0"/>
    <w:rsid w:val="306A1A7D"/>
    <w:rsid w:val="3074AA73"/>
    <w:rsid w:val="3087F467"/>
    <w:rsid w:val="3096B6AD"/>
    <w:rsid w:val="309B1308"/>
    <w:rsid w:val="30A042DB"/>
    <w:rsid w:val="30A75C2B"/>
    <w:rsid w:val="30B0CD30"/>
    <w:rsid w:val="30CB6F0F"/>
    <w:rsid w:val="30D827F1"/>
    <w:rsid w:val="31148445"/>
    <w:rsid w:val="312CE502"/>
    <w:rsid w:val="313CE62E"/>
    <w:rsid w:val="3143561C"/>
    <w:rsid w:val="31643348"/>
    <w:rsid w:val="3164A3DD"/>
    <w:rsid w:val="316DB01B"/>
    <w:rsid w:val="3187DA74"/>
    <w:rsid w:val="31BF9318"/>
    <w:rsid w:val="320D2D99"/>
    <w:rsid w:val="32622227"/>
    <w:rsid w:val="328365BD"/>
    <w:rsid w:val="32886BCB"/>
    <w:rsid w:val="32B369BC"/>
    <w:rsid w:val="32B71917"/>
    <w:rsid w:val="32E0C92D"/>
    <w:rsid w:val="32F6959B"/>
    <w:rsid w:val="33064C62"/>
    <w:rsid w:val="33121CC2"/>
    <w:rsid w:val="3315A157"/>
    <w:rsid w:val="332DA91D"/>
    <w:rsid w:val="33383309"/>
    <w:rsid w:val="3375DDE1"/>
    <w:rsid w:val="3378159D"/>
    <w:rsid w:val="33BA388D"/>
    <w:rsid w:val="33CCBFC3"/>
    <w:rsid w:val="33CE8E1C"/>
    <w:rsid w:val="33D2C4E1"/>
    <w:rsid w:val="33D314FB"/>
    <w:rsid w:val="33D6F2EB"/>
    <w:rsid w:val="33FC4401"/>
    <w:rsid w:val="340A7D55"/>
    <w:rsid w:val="342515EB"/>
    <w:rsid w:val="3433E845"/>
    <w:rsid w:val="345032C3"/>
    <w:rsid w:val="3476F380"/>
    <w:rsid w:val="34A4703A"/>
    <w:rsid w:val="34D540E7"/>
    <w:rsid w:val="34F42982"/>
    <w:rsid w:val="34F508D4"/>
    <w:rsid w:val="3533DF56"/>
    <w:rsid w:val="355ED967"/>
    <w:rsid w:val="3564C7A4"/>
    <w:rsid w:val="356EFC7B"/>
    <w:rsid w:val="35952E89"/>
    <w:rsid w:val="35959C5B"/>
    <w:rsid w:val="35A0DCA1"/>
    <w:rsid w:val="35D1A597"/>
    <w:rsid w:val="35E1298D"/>
    <w:rsid w:val="360C7BBC"/>
    <w:rsid w:val="361D6EE1"/>
    <w:rsid w:val="3654C1E2"/>
    <w:rsid w:val="368228B2"/>
    <w:rsid w:val="3684CF36"/>
    <w:rsid w:val="3688C948"/>
    <w:rsid w:val="36A33719"/>
    <w:rsid w:val="36CA6CBA"/>
    <w:rsid w:val="36CD0AE8"/>
    <w:rsid w:val="36CED1E8"/>
    <w:rsid w:val="36E6063F"/>
    <w:rsid w:val="36EA923D"/>
    <w:rsid w:val="370B9280"/>
    <w:rsid w:val="3754881B"/>
    <w:rsid w:val="3755309D"/>
    <w:rsid w:val="3756DFDF"/>
    <w:rsid w:val="3767D207"/>
    <w:rsid w:val="37767173"/>
    <w:rsid w:val="3779068E"/>
    <w:rsid w:val="378B38F0"/>
    <w:rsid w:val="379C7ED2"/>
    <w:rsid w:val="379F0DEC"/>
    <w:rsid w:val="37AC2A2E"/>
    <w:rsid w:val="37C15393"/>
    <w:rsid w:val="37E2CFB2"/>
    <w:rsid w:val="381D3D9A"/>
    <w:rsid w:val="384472A4"/>
    <w:rsid w:val="3846FCE2"/>
    <w:rsid w:val="384EEB4F"/>
    <w:rsid w:val="38623E9A"/>
    <w:rsid w:val="38AB4118"/>
    <w:rsid w:val="38B29549"/>
    <w:rsid w:val="38CE726E"/>
    <w:rsid w:val="38EA87E5"/>
    <w:rsid w:val="3902F962"/>
    <w:rsid w:val="391047F5"/>
    <w:rsid w:val="3917659C"/>
    <w:rsid w:val="391B1D8D"/>
    <w:rsid w:val="393A989A"/>
    <w:rsid w:val="394350BE"/>
    <w:rsid w:val="396E0C21"/>
    <w:rsid w:val="39792C13"/>
    <w:rsid w:val="397D376D"/>
    <w:rsid w:val="398CD49E"/>
    <w:rsid w:val="3995CC98"/>
    <w:rsid w:val="39A42AB7"/>
    <w:rsid w:val="39AC6F6A"/>
    <w:rsid w:val="39B10ECB"/>
    <w:rsid w:val="39DAAB31"/>
    <w:rsid w:val="3A25CC40"/>
    <w:rsid w:val="3A3FB7CC"/>
    <w:rsid w:val="3A4147DA"/>
    <w:rsid w:val="3A55C4D6"/>
    <w:rsid w:val="3A7BE18F"/>
    <w:rsid w:val="3A86CA27"/>
    <w:rsid w:val="3AB794AF"/>
    <w:rsid w:val="3AD1483A"/>
    <w:rsid w:val="3AD6094A"/>
    <w:rsid w:val="3ADEA3BE"/>
    <w:rsid w:val="3AE96635"/>
    <w:rsid w:val="3AEDF58F"/>
    <w:rsid w:val="3AEF59A9"/>
    <w:rsid w:val="3AF709ED"/>
    <w:rsid w:val="3B0BD499"/>
    <w:rsid w:val="3B124796"/>
    <w:rsid w:val="3B3A7F5A"/>
    <w:rsid w:val="3B4693E5"/>
    <w:rsid w:val="3B4D79FD"/>
    <w:rsid w:val="3B844038"/>
    <w:rsid w:val="3B8B84C2"/>
    <w:rsid w:val="3B8FB48D"/>
    <w:rsid w:val="3B9258CA"/>
    <w:rsid w:val="3BA0C833"/>
    <w:rsid w:val="3BA4B4F6"/>
    <w:rsid w:val="3BAFEC4C"/>
    <w:rsid w:val="3BB7066F"/>
    <w:rsid w:val="3BB7613C"/>
    <w:rsid w:val="3BC5C893"/>
    <w:rsid w:val="3BD99025"/>
    <w:rsid w:val="3BF297A4"/>
    <w:rsid w:val="3C1E5BDA"/>
    <w:rsid w:val="3C23001B"/>
    <w:rsid w:val="3CA89B8F"/>
    <w:rsid w:val="3CB44996"/>
    <w:rsid w:val="3CCAF20E"/>
    <w:rsid w:val="3CD311F6"/>
    <w:rsid w:val="3CD691F9"/>
    <w:rsid w:val="3CFBE472"/>
    <w:rsid w:val="3D495546"/>
    <w:rsid w:val="3D8345F6"/>
    <w:rsid w:val="3D9E4074"/>
    <w:rsid w:val="3DB67E16"/>
    <w:rsid w:val="3DD158E5"/>
    <w:rsid w:val="3DD63754"/>
    <w:rsid w:val="3DDFD67E"/>
    <w:rsid w:val="3DF4618B"/>
    <w:rsid w:val="3DF8C141"/>
    <w:rsid w:val="3E09BABA"/>
    <w:rsid w:val="3E0D4EBF"/>
    <w:rsid w:val="3E1C49E3"/>
    <w:rsid w:val="3E3BDF33"/>
    <w:rsid w:val="3E4502CD"/>
    <w:rsid w:val="3E5BB2A2"/>
    <w:rsid w:val="3E888C02"/>
    <w:rsid w:val="3E903413"/>
    <w:rsid w:val="3E93EB67"/>
    <w:rsid w:val="3EC80223"/>
    <w:rsid w:val="3EDEB248"/>
    <w:rsid w:val="3EE38F61"/>
    <w:rsid w:val="3EEC6021"/>
    <w:rsid w:val="3EEEB644"/>
    <w:rsid w:val="3F00F7D1"/>
    <w:rsid w:val="3F2CCD01"/>
    <w:rsid w:val="3F3341EF"/>
    <w:rsid w:val="3F432110"/>
    <w:rsid w:val="3F4AB525"/>
    <w:rsid w:val="3F4AFCD7"/>
    <w:rsid w:val="3F539241"/>
    <w:rsid w:val="3F5C58F0"/>
    <w:rsid w:val="3F702551"/>
    <w:rsid w:val="3F8C56AB"/>
    <w:rsid w:val="3FB9448E"/>
    <w:rsid w:val="3FCA890A"/>
    <w:rsid w:val="3FD170C3"/>
    <w:rsid w:val="3FD3CCA7"/>
    <w:rsid w:val="3FE16390"/>
    <w:rsid w:val="3FEA48D1"/>
    <w:rsid w:val="40075968"/>
    <w:rsid w:val="400C5A70"/>
    <w:rsid w:val="401958AD"/>
    <w:rsid w:val="401EE5C8"/>
    <w:rsid w:val="4028A96D"/>
    <w:rsid w:val="402AC9B8"/>
    <w:rsid w:val="4032B93A"/>
    <w:rsid w:val="405C9DD2"/>
    <w:rsid w:val="405E6C9A"/>
    <w:rsid w:val="4094EDF4"/>
    <w:rsid w:val="40A72721"/>
    <w:rsid w:val="40ADE934"/>
    <w:rsid w:val="40AEB7EE"/>
    <w:rsid w:val="40BA054D"/>
    <w:rsid w:val="411F43F4"/>
    <w:rsid w:val="4134A819"/>
    <w:rsid w:val="413509B7"/>
    <w:rsid w:val="4136EDD7"/>
    <w:rsid w:val="4141BD88"/>
    <w:rsid w:val="4158911D"/>
    <w:rsid w:val="41699DFC"/>
    <w:rsid w:val="41875775"/>
    <w:rsid w:val="41AA1A29"/>
    <w:rsid w:val="41B14E79"/>
    <w:rsid w:val="41B360C1"/>
    <w:rsid w:val="41CE42D1"/>
    <w:rsid w:val="41D3D5FA"/>
    <w:rsid w:val="41ED902A"/>
    <w:rsid w:val="41F6D914"/>
    <w:rsid w:val="4203C5F9"/>
    <w:rsid w:val="420B18B7"/>
    <w:rsid w:val="4220ED8D"/>
    <w:rsid w:val="422F5BF5"/>
    <w:rsid w:val="422F71C0"/>
    <w:rsid w:val="424C11F3"/>
    <w:rsid w:val="424F668C"/>
    <w:rsid w:val="429BE68F"/>
    <w:rsid w:val="42A69602"/>
    <w:rsid w:val="42BA7921"/>
    <w:rsid w:val="42C8806E"/>
    <w:rsid w:val="42E4B597"/>
    <w:rsid w:val="42E82ABA"/>
    <w:rsid w:val="4325B263"/>
    <w:rsid w:val="433DC66D"/>
    <w:rsid w:val="434D5DDE"/>
    <w:rsid w:val="43928548"/>
    <w:rsid w:val="43A25A44"/>
    <w:rsid w:val="43B09DE2"/>
    <w:rsid w:val="43B114CE"/>
    <w:rsid w:val="43B994AB"/>
    <w:rsid w:val="43BDBD17"/>
    <w:rsid w:val="43BF149A"/>
    <w:rsid w:val="43C147B8"/>
    <w:rsid w:val="43E0395E"/>
    <w:rsid w:val="43E61224"/>
    <w:rsid w:val="43FB9DB2"/>
    <w:rsid w:val="44178410"/>
    <w:rsid w:val="44187F4C"/>
    <w:rsid w:val="44222C2F"/>
    <w:rsid w:val="442CD196"/>
    <w:rsid w:val="442E3BD0"/>
    <w:rsid w:val="44300BE7"/>
    <w:rsid w:val="445A91F8"/>
    <w:rsid w:val="446CFB2B"/>
    <w:rsid w:val="4476B869"/>
    <w:rsid w:val="4479DD5B"/>
    <w:rsid w:val="44A405C3"/>
    <w:rsid w:val="44A96CA6"/>
    <w:rsid w:val="44AF9AF2"/>
    <w:rsid w:val="44E66049"/>
    <w:rsid w:val="452A45C8"/>
    <w:rsid w:val="452C5686"/>
    <w:rsid w:val="45378F62"/>
    <w:rsid w:val="458B498D"/>
    <w:rsid w:val="458F31BE"/>
    <w:rsid w:val="45C31D51"/>
    <w:rsid w:val="45C7101C"/>
    <w:rsid w:val="45D14433"/>
    <w:rsid w:val="45E8DE37"/>
    <w:rsid w:val="46118B43"/>
    <w:rsid w:val="46322621"/>
    <w:rsid w:val="46377121"/>
    <w:rsid w:val="464C1AB6"/>
    <w:rsid w:val="465E0995"/>
    <w:rsid w:val="4692E058"/>
    <w:rsid w:val="469303A6"/>
    <w:rsid w:val="46950A46"/>
    <w:rsid w:val="469BF366"/>
    <w:rsid w:val="46BB1F8A"/>
    <w:rsid w:val="46C6FE71"/>
    <w:rsid w:val="46DEA826"/>
    <w:rsid w:val="46E1351A"/>
    <w:rsid w:val="46E60FBE"/>
    <w:rsid w:val="46FB4B56"/>
    <w:rsid w:val="47175DAD"/>
    <w:rsid w:val="471ACF74"/>
    <w:rsid w:val="47239CFF"/>
    <w:rsid w:val="47328ED1"/>
    <w:rsid w:val="474104A5"/>
    <w:rsid w:val="4742D8AA"/>
    <w:rsid w:val="4750B08C"/>
    <w:rsid w:val="47555EF8"/>
    <w:rsid w:val="476F14E4"/>
    <w:rsid w:val="478848B2"/>
    <w:rsid w:val="4796297C"/>
    <w:rsid w:val="4796DD0E"/>
    <w:rsid w:val="479B280B"/>
    <w:rsid w:val="47B08E23"/>
    <w:rsid w:val="47E28945"/>
    <w:rsid w:val="47FC2F04"/>
    <w:rsid w:val="480B289D"/>
    <w:rsid w:val="4817954C"/>
    <w:rsid w:val="48201853"/>
    <w:rsid w:val="4847B7B8"/>
    <w:rsid w:val="48848896"/>
    <w:rsid w:val="489BBC43"/>
    <w:rsid w:val="48F458DB"/>
    <w:rsid w:val="490C26BC"/>
    <w:rsid w:val="490D2802"/>
    <w:rsid w:val="4961BBAD"/>
    <w:rsid w:val="496F51FC"/>
    <w:rsid w:val="4972909C"/>
    <w:rsid w:val="49D5B080"/>
    <w:rsid w:val="49D7FAB5"/>
    <w:rsid w:val="49F67A4F"/>
    <w:rsid w:val="49FC6C1A"/>
    <w:rsid w:val="49FDACEB"/>
    <w:rsid w:val="4A071BE1"/>
    <w:rsid w:val="4A113931"/>
    <w:rsid w:val="4A1CD1BC"/>
    <w:rsid w:val="4A2988DF"/>
    <w:rsid w:val="4A37028F"/>
    <w:rsid w:val="4A3E6817"/>
    <w:rsid w:val="4A41AC0A"/>
    <w:rsid w:val="4A722EC6"/>
    <w:rsid w:val="4A77A151"/>
    <w:rsid w:val="4A7A937A"/>
    <w:rsid w:val="4A8BDB5B"/>
    <w:rsid w:val="4A92331A"/>
    <w:rsid w:val="4AB52DFF"/>
    <w:rsid w:val="4AC4739A"/>
    <w:rsid w:val="4AFA269B"/>
    <w:rsid w:val="4B02773B"/>
    <w:rsid w:val="4B18928A"/>
    <w:rsid w:val="4B1BFC69"/>
    <w:rsid w:val="4B21A9D2"/>
    <w:rsid w:val="4B59CFF3"/>
    <w:rsid w:val="4B8B5606"/>
    <w:rsid w:val="4B9F6ECC"/>
    <w:rsid w:val="4BA2B5CD"/>
    <w:rsid w:val="4BAB9941"/>
    <w:rsid w:val="4BC0E10E"/>
    <w:rsid w:val="4BF0F080"/>
    <w:rsid w:val="4BFF4F92"/>
    <w:rsid w:val="4C01E040"/>
    <w:rsid w:val="4C0C4348"/>
    <w:rsid w:val="4C172AA3"/>
    <w:rsid w:val="4C1FF6BC"/>
    <w:rsid w:val="4C3719D6"/>
    <w:rsid w:val="4C3CDE74"/>
    <w:rsid w:val="4C6DBD9B"/>
    <w:rsid w:val="4C9D9619"/>
    <w:rsid w:val="4C9DCCA0"/>
    <w:rsid w:val="4CA0583D"/>
    <w:rsid w:val="4CAFCB4A"/>
    <w:rsid w:val="4CC5A8AA"/>
    <w:rsid w:val="4CD48379"/>
    <w:rsid w:val="4CE96927"/>
    <w:rsid w:val="4D092F04"/>
    <w:rsid w:val="4D433B31"/>
    <w:rsid w:val="4D438CC9"/>
    <w:rsid w:val="4D5E40B2"/>
    <w:rsid w:val="4D926E84"/>
    <w:rsid w:val="4DA80D53"/>
    <w:rsid w:val="4DBC2BB7"/>
    <w:rsid w:val="4DC97359"/>
    <w:rsid w:val="4DCBBDB5"/>
    <w:rsid w:val="4DFBBC13"/>
    <w:rsid w:val="4E018690"/>
    <w:rsid w:val="4E0B3526"/>
    <w:rsid w:val="4E236F80"/>
    <w:rsid w:val="4E40363D"/>
    <w:rsid w:val="4E587ECD"/>
    <w:rsid w:val="4E5F7210"/>
    <w:rsid w:val="4E83268D"/>
    <w:rsid w:val="4E9B82E6"/>
    <w:rsid w:val="4EAD329D"/>
    <w:rsid w:val="4EE93B22"/>
    <w:rsid w:val="4F03D636"/>
    <w:rsid w:val="4F3A7AB8"/>
    <w:rsid w:val="4F79C84C"/>
    <w:rsid w:val="4F7E84EE"/>
    <w:rsid w:val="4F85281E"/>
    <w:rsid w:val="4F9B0A47"/>
    <w:rsid w:val="4FC72F98"/>
    <w:rsid w:val="4FD93B2A"/>
    <w:rsid w:val="4FE51610"/>
    <w:rsid w:val="4FF2AB9C"/>
    <w:rsid w:val="500111E1"/>
    <w:rsid w:val="50103B6D"/>
    <w:rsid w:val="50352DFD"/>
    <w:rsid w:val="5064C9C8"/>
    <w:rsid w:val="5067E0BB"/>
    <w:rsid w:val="506EAB0C"/>
    <w:rsid w:val="508AB1FA"/>
    <w:rsid w:val="509A5CD4"/>
    <w:rsid w:val="50A32A26"/>
    <w:rsid w:val="50AB745D"/>
    <w:rsid w:val="50B6C679"/>
    <w:rsid w:val="50CBADF0"/>
    <w:rsid w:val="50E55DEA"/>
    <w:rsid w:val="50FEB47D"/>
    <w:rsid w:val="512240F6"/>
    <w:rsid w:val="513C007F"/>
    <w:rsid w:val="515D7A30"/>
    <w:rsid w:val="515D7B00"/>
    <w:rsid w:val="515DB269"/>
    <w:rsid w:val="515F898B"/>
    <w:rsid w:val="5163CA42"/>
    <w:rsid w:val="5174D260"/>
    <w:rsid w:val="5184776B"/>
    <w:rsid w:val="51A69001"/>
    <w:rsid w:val="51B26B3E"/>
    <w:rsid w:val="51B33703"/>
    <w:rsid w:val="51BAC85D"/>
    <w:rsid w:val="51C5B9C0"/>
    <w:rsid w:val="51CF0AA1"/>
    <w:rsid w:val="51E74158"/>
    <w:rsid w:val="52052BAB"/>
    <w:rsid w:val="521ACF4E"/>
    <w:rsid w:val="521CC7F2"/>
    <w:rsid w:val="522C4017"/>
    <w:rsid w:val="5234E68D"/>
    <w:rsid w:val="5242D580"/>
    <w:rsid w:val="5249E7E3"/>
    <w:rsid w:val="5269A632"/>
    <w:rsid w:val="529549F6"/>
    <w:rsid w:val="52A2599B"/>
    <w:rsid w:val="52B88884"/>
    <w:rsid w:val="52BB2C25"/>
    <w:rsid w:val="52C35CDF"/>
    <w:rsid w:val="52F2551A"/>
    <w:rsid w:val="52FC149F"/>
    <w:rsid w:val="53004F2E"/>
    <w:rsid w:val="5303CD43"/>
    <w:rsid w:val="53094A9F"/>
    <w:rsid w:val="530D44D5"/>
    <w:rsid w:val="53114010"/>
    <w:rsid w:val="5314C224"/>
    <w:rsid w:val="53233AF0"/>
    <w:rsid w:val="5324611C"/>
    <w:rsid w:val="534007B5"/>
    <w:rsid w:val="53429AB7"/>
    <w:rsid w:val="5368924D"/>
    <w:rsid w:val="537CBABA"/>
    <w:rsid w:val="53991B19"/>
    <w:rsid w:val="53BB9E25"/>
    <w:rsid w:val="53BFD08D"/>
    <w:rsid w:val="53C8B4AB"/>
    <w:rsid w:val="53E689FA"/>
    <w:rsid w:val="53F7FD2B"/>
    <w:rsid w:val="53F89334"/>
    <w:rsid w:val="53F981A4"/>
    <w:rsid w:val="540030CD"/>
    <w:rsid w:val="5401C173"/>
    <w:rsid w:val="5409A0B0"/>
    <w:rsid w:val="541925AF"/>
    <w:rsid w:val="542CE621"/>
    <w:rsid w:val="546DE0D5"/>
    <w:rsid w:val="54722702"/>
    <w:rsid w:val="5481B514"/>
    <w:rsid w:val="548A5274"/>
    <w:rsid w:val="54B5F917"/>
    <w:rsid w:val="54B6CE2B"/>
    <w:rsid w:val="54BB06ED"/>
    <w:rsid w:val="54BDF6F9"/>
    <w:rsid w:val="54C919F1"/>
    <w:rsid w:val="54C94EC0"/>
    <w:rsid w:val="54CC2875"/>
    <w:rsid w:val="552AD996"/>
    <w:rsid w:val="553EB647"/>
    <w:rsid w:val="556207E4"/>
    <w:rsid w:val="55635AB3"/>
    <w:rsid w:val="556F3D5B"/>
    <w:rsid w:val="557C3739"/>
    <w:rsid w:val="559E9D86"/>
    <w:rsid w:val="55A15D4C"/>
    <w:rsid w:val="55BBF37B"/>
    <w:rsid w:val="55C461A9"/>
    <w:rsid w:val="55E85D2D"/>
    <w:rsid w:val="55EF3232"/>
    <w:rsid w:val="55F720A9"/>
    <w:rsid w:val="56029C4F"/>
    <w:rsid w:val="5603807D"/>
    <w:rsid w:val="56105EF1"/>
    <w:rsid w:val="564ED4CF"/>
    <w:rsid w:val="566D1F97"/>
    <w:rsid w:val="5677BE66"/>
    <w:rsid w:val="5680FE00"/>
    <w:rsid w:val="56A1BA35"/>
    <w:rsid w:val="56B473B5"/>
    <w:rsid w:val="56D0FF56"/>
    <w:rsid w:val="56D1B48F"/>
    <w:rsid w:val="56E0EDE1"/>
    <w:rsid w:val="56E2186E"/>
    <w:rsid w:val="56F80CCA"/>
    <w:rsid w:val="572DFDE2"/>
    <w:rsid w:val="57303D32"/>
    <w:rsid w:val="574995BF"/>
    <w:rsid w:val="5760ABD3"/>
    <w:rsid w:val="5777C45E"/>
    <w:rsid w:val="57A345F9"/>
    <w:rsid w:val="57AEE1FF"/>
    <w:rsid w:val="57B93296"/>
    <w:rsid w:val="57C30FB0"/>
    <w:rsid w:val="57E78516"/>
    <w:rsid w:val="57FF81DF"/>
    <w:rsid w:val="5829C420"/>
    <w:rsid w:val="5854980B"/>
    <w:rsid w:val="589E3D0A"/>
    <w:rsid w:val="58DB01F6"/>
    <w:rsid w:val="58DBE114"/>
    <w:rsid w:val="58DD3BC1"/>
    <w:rsid w:val="59195BB6"/>
    <w:rsid w:val="593E2798"/>
    <w:rsid w:val="594E8FA1"/>
    <w:rsid w:val="59600DC8"/>
    <w:rsid w:val="596B72C6"/>
    <w:rsid w:val="59C02B29"/>
    <w:rsid w:val="59CFAC5A"/>
    <w:rsid w:val="59D35F70"/>
    <w:rsid w:val="59D3E516"/>
    <w:rsid w:val="5A05AA18"/>
    <w:rsid w:val="5A1FA312"/>
    <w:rsid w:val="5A2E9FFD"/>
    <w:rsid w:val="5A4BFD94"/>
    <w:rsid w:val="5A551446"/>
    <w:rsid w:val="5A948321"/>
    <w:rsid w:val="5AA246CE"/>
    <w:rsid w:val="5ABEBFBC"/>
    <w:rsid w:val="5AC4B584"/>
    <w:rsid w:val="5AD1AEF7"/>
    <w:rsid w:val="5ADD7BD9"/>
    <w:rsid w:val="5AEDC25C"/>
    <w:rsid w:val="5AF9791E"/>
    <w:rsid w:val="5B42CD12"/>
    <w:rsid w:val="5B686410"/>
    <w:rsid w:val="5B6BCA4E"/>
    <w:rsid w:val="5BB49C4F"/>
    <w:rsid w:val="5BE2BA52"/>
    <w:rsid w:val="5BF129EC"/>
    <w:rsid w:val="5BFAB99E"/>
    <w:rsid w:val="5C5B7F78"/>
    <w:rsid w:val="5C6EE0F0"/>
    <w:rsid w:val="5C99885D"/>
    <w:rsid w:val="5CB8CA2C"/>
    <w:rsid w:val="5CCFF37F"/>
    <w:rsid w:val="5CD9EE60"/>
    <w:rsid w:val="5CF17E21"/>
    <w:rsid w:val="5CF43A05"/>
    <w:rsid w:val="5D21D4D3"/>
    <w:rsid w:val="5D241092"/>
    <w:rsid w:val="5D3DD365"/>
    <w:rsid w:val="5D4D56A8"/>
    <w:rsid w:val="5D637D22"/>
    <w:rsid w:val="5D7180F7"/>
    <w:rsid w:val="5D8E9397"/>
    <w:rsid w:val="5D951D36"/>
    <w:rsid w:val="5DA526B2"/>
    <w:rsid w:val="5DAEC922"/>
    <w:rsid w:val="5DBC062B"/>
    <w:rsid w:val="5DFBA663"/>
    <w:rsid w:val="5DFE980B"/>
    <w:rsid w:val="5E121377"/>
    <w:rsid w:val="5E2DA451"/>
    <w:rsid w:val="5E3A2811"/>
    <w:rsid w:val="5E72846D"/>
    <w:rsid w:val="5E998068"/>
    <w:rsid w:val="5EC739F2"/>
    <w:rsid w:val="5ED97431"/>
    <w:rsid w:val="5EEABD1A"/>
    <w:rsid w:val="5F3B6293"/>
    <w:rsid w:val="5F52C75A"/>
    <w:rsid w:val="5F9A9D81"/>
    <w:rsid w:val="5F9C03A9"/>
    <w:rsid w:val="5F9C8F3F"/>
    <w:rsid w:val="5FC2F7C6"/>
    <w:rsid w:val="60142FEE"/>
    <w:rsid w:val="6017A628"/>
    <w:rsid w:val="602D83A4"/>
    <w:rsid w:val="602FED87"/>
    <w:rsid w:val="603013CF"/>
    <w:rsid w:val="60364C17"/>
    <w:rsid w:val="6037248F"/>
    <w:rsid w:val="60416D3A"/>
    <w:rsid w:val="604B32CF"/>
    <w:rsid w:val="606CA0D5"/>
    <w:rsid w:val="607736CC"/>
    <w:rsid w:val="60773ED4"/>
    <w:rsid w:val="6098F4DF"/>
    <w:rsid w:val="60E47A1F"/>
    <w:rsid w:val="60E5FD48"/>
    <w:rsid w:val="610739B6"/>
    <w:rsid w:val="61118298"/>
    <w:rsid w:val="611A9EC3"/>
    <w:rsid w:val="61228EB6"/>
    <w:rsid w:val="61544A80"/>
    <w:rsid w:val="6168EB4F"/>
    <w:rsid w:val="619E241F"/>
    <w:rsid w:val="61AF441F"/>
    <w:rsid w:val="61BE4E0B"/>
    <w:rsid w:val="61C8B7D6"/>
    <w:rsid w:val="61D32501"/>
    <w:rsid w:val="61D43B84"/>
    <w:rsid w:val="61EF43F3"/>
    <w:rsid w:val="61F000CD"/>
    <w:rsid w:val="61F08C34"/>
    <w:rsid w:val="621542A3"/>
    <w:rsid w:val="6217D1A9"/>
    <w:rsid w:val="621BD1DB"/>
    <w:rsid w:val="621E0EFB"/>
    <w:rsid w:val="622146A9"/>
    <w:rsid w:val="62306294"/>
    <w:rsid w:val="62336323"/>
    <w:rsid w:val="62485AD3"/>
    <w:rsid w:val="624CE9AD"/>
    <w:rsid w:val="625FDB47"/>
    <w:rsid w:val="62CDA8A5"/>
    <w:rsid w:val="62DF3D46"/>
    <w:rsid w:val="62E319AF"/>
    <w:rsid w:val="62F2919D"/>
    <w:rsid w:val="62FD829A"/>
    <w:rsid w:val="6300BE3C"/>
    <w:rsid w:val="6332A939"/>
    <w:rsid w:val="63487076"/>
    <w:rsid w:val="637045E6"/>
    <w:rsid w:val="637BF755"/>
    <w:rsid w:val="63B91272"/>
    <w:rsid w:val="63EBC6DF"/>
    <w:rsid w:val="646EFC3A"/>
    <w:rsid w:val="6487268D"/>
    <w:rsid w:val="6489AB15"/>
    <w:rsid w:val="649CF66A"/>
    <w:rsid w:val="64A5ABED"/>
    <w:rsid w:val="64C74F93"/>
    <w:rsid w:val="64DAF84C"/>
    <w:rsid w:val="64E3BFC0"/>
    <w:rsid w:val="64EC12A7"/>
    <w:rsid w:val="64FD1EE2"/>
    <w:rsid w:val="64FDDC8E"/>
    <w:rsid w:val="650F6DDA"/>
    <w:rsid w:val="651A2C08"/>
    <w:rsid w:val="65336F1F"/>
    <w:rsid w:val="6546A1C7"/>
    <w:rsid w:val="654A2CA4"/>
    <w:rsid w:val="655BA136"/>
    <w:rsid w:val="655EC1B8"/>
    <w:rsid w:val="6573E9C4"/>
    <w:rsid w:val="6578F13E"/>
    <w:rsid w:val="65956E1C"/>
    <w:rsid w:val="65A1B9C1"/>
    <w:rsid w:val="65A301FF"/>
    <w:rsid w:val="65D3FF94"/>
    <w:rsid w:val="65D9028D"/>
    <w:rsid w:val="65E941D2"/>
    <w:rsid w:val="65F49AA3"/>
    <w:rsid w:val="66005410"/>
    <w:rsid w:val="6620BDF4"/>
    <w:rsid w:val="6623818A"/>
    <w:rsid w:val="662B1EC4"/>
    <w:rsid w:val="663026AA"/>
    <w:rsid w:val="66427710"/>
    <w:rsid w:val="6659E45A"/>
    <w:rsid w:val="666C915F"/>
    <w:rsid w:val="66701F45"/>
    <w:rsid w:val="6671C190"/>
    <w:rsid w:val="6675B0DC"/>
    <w:rsid w:val="667D75AB"/>
    <w:rsid w:val="6699C72C"/>
    <w:rsid w:val="66A008B3"/>
    <w:rsid w:val="66B7638A"/>
    <w:rsid w:val="66BF262C"/>
    <w:rsid w:val="66C94D0B"/>
    <w:rsid w:val="66E44422"/>
    <w:rsid w:val="66F54D4B"/>
    <w:rsid w:val="66FE7CE2"/>
    <w:rsid w:val="6714ECA1"/>
    <w:rsid w:val="672373E5"/>
    <w:rsid w:val="672DCFC2"/>
    <w:rsid w:val="675B6799"/>
    <w:rsid w:val="676F1EF5"/>
    <w:rsid w:val="676F1FB7"/>
    <w:rsid w:val="6779FD1B"/>
    <w:rsid w:val="677F11FF"/>
    <w:rsid w:val="678E17C9"/>
    <w:rsid w:val="67A017B6"/>
    <w:rsid w:val="67A55846"/>
    <w:rsid w:val="67BF5E3E"/>
    <w:rsid w:val="67D361C9"/>
    <w:rsid w:val="67E9C990"/>
    <w:rsid w:val="67EC5EC7"/>
    <w:rsid w:val="67FE8F31"/>
    <w:rsid w:val="68062E49"/>
    <w:rsid w:val="6809330D"/>
    <w:rsid w:val="68127ADE"/>
    <w:rsid w:val="68148ADB"/>
    <w:rsid w:val="6814AF3C"/>
    <w:rsid w:val="6825B97A"/>
    <w:rsid w:val="687E045A"/>
    <w:rsid w:val="68854D05"/>
    <w:rsid w:val="6887EC13"/>
    <w:rsid w:val="688CBF47"/>
    <w:rsid w:val="68AA6FBB"/>
    <w:rsid w:val="68CC0E92"/>
    <w:rsid w:val="68D654C0"/>
    <w:rsid w:val="68F4D597"/>
    <w:rsid w:val="69147312"/>
    <w:rsid w:val="6923A469"/>
    <w:rsid w:val="692A6EE1"/>
    <w:rsid w:val="69324F26"/>
    <w:rsid w:val="695C8CFA"/>
    <w:rsid w:val="69640733"/>
    <w:rsid w:val="697F3573"/>
    <w:rsid w:val="69875936"/>
    <w:rsid w:val="699768E9"/>
    <w:rsid w:val="699CC0C0"/>
    <w:rsid w:val="69A3C7AD"/>
    <w:rsid w:val="69B8551E"/>
    <w:rsid w:val="6A00A144"/>
    <w:rsid w:val="6A16932B"/>
    <w:rsid w:val="6A2766FB"/>
    <w:rsid w:val="6A3B2D38"/>
    <w:rsid w:val="6A53B1F5"/>
    <w:rsid w:val="6A5D8612"/>
    <w:rsid w:val="6A64D3D4"/>
    <w:rsid w:val="6A7A096A"/>
    <w:rsid w:val="6A85BC24"/>
    <w:rsid w:val="6ABEEBF4"/>
    <w:rsid w:val="6ACAE42D"/>
    <w:rsid w:val="6AE34BDB"/>
    <w:rsid w:val="6AE5F3AB"/>
    <w:rsid w:val="6B29A1FA"/>
    <w:rsid w:val="6B4D8CF1"/>
    <w:rsid w:val="6B5DB213"/>
    <w:rsid w:val="6B6375C9"/>
    <w:rsid w:val="6B658E9A"/>
    <w:rsid w:val="6B85B691"/>
    <w:rsid w:val="6BBA023F"/>
    <w:rsid w:val="6BF10C0D"/>
    <w:rsid w:val="6BF97D7A"/>
    <w:rsid w:val="6BFA67F7"/>
    <w:rsid w:val="6C0EC1F2"/>
    <w:rsid w:val="6C2C4999"/>
    <w:rsid w:val="6C7A9027"/>
    <w:rsid w:val="6C884485"/>
    <w:rsid w:val="6C97B1F6"/>
    <w:rsid w:val="6C9C40F8"/>
    <w:rsid w:val="6CA1D216"/>
    <w:rsid w:val="6CA3936B"/>
    <w:rsid w:val="6CCEFD9A"/>
    <w:rsid w:val="6CD29C2B"/>
    <w:rsid w:val="6CD3D74E"/>
    <w:rsid w:val="6CF32B6D"/>
    <w:rsid w:val="6CF90AAE"/>
    <w:rsid w:val="6D7AAC5D"/>
    <w:rsid w:val="6D8404F9"/>
    <w:rsid w:val="6D8E6F51"/>
    <w:rsid w:val="6D919FAD"/>
    <w:rsid w:val="6DA2D5FD"/>
    <w:rsid w:val="6DA97413"/>
    <w:rsid w:val="6DACDF34"/>
    <w:rsid w:val="6DB10466"/>
    <w:rsid w:val="6DBE8E00"/>
    <w:rsid w:val="6DEACE84"/>
    <w:rsid w:val="6DECC773"/>
    <w:rsid w:val="6DEEC324"/>
    <w:rsid w:val="6E3B2986"/>
    <w:rsid w:val="6E46E988"/>
    <w:rsid w:val="6E534C20"/>
    <w:rsid w:val="6E53EAA7"/>
    <w:rsid w:val="6E607BC1"/>
    <w:rsid w:val="6E6D4059"/>
    <w:rsid w:val="6E7E5B22"/>
    <w:rsid w:val="6E977DA7"/>
    <w:rsid w:val="6EBA881C"/>
    <w:rsid w:val="6EBB0A02"/>
    <w:rsid w:val="6EC8C95A"/>
    <w:rsid w:val="6EE39118"/>
    <w:rsid w:val="6EF2C6C5"/>
    <w:rsid w:val="6EF2F84A"/>
    <w:rsid w:val="6EF5F78C"/>
    <w:rsid w:val="6F82EA65"/>
    <w:rsid w:val="6F8456B6"/>
    <w:rsid w:val="6F910324"/>
    <w:rsid w:val="6FA5A5C7"/>
    <w:rsid w:val="6FA5DD9B"/>
    <w:rsid w:val="6FAF8DD5"/>
    <w:rsid w:val="6FD573B5"/>
    <w:rsid w:val="6FE88F3C"/>
    <w:rsid w:val="70056229"/>
    <w:rsid w:val="70078127"/>
    <w:rsid w:val="700D3762"/>
    <w:rsid w:val="70207C5D"/>
    <w:rsid w:val="702992F7"/>
    <w:rsid w:val="7036BEB3"/>
    <w:rsid w:val="70562C05"/>
    <w:rsid w:val="705D32D2"/>
    <w:rsid w:val="706FB20C"/>
    <w:rsid w:val="7080ED74"/>
    <w:rsid w:val="70856EEB"/>
    <w:rsid w:val="709A3F77"/>
    <w:rsid w:val="70A4FFAF"/>
    <w:rsid w:val="70B0459A"/>
    <w:rsid w:val="70C00D8F"/>
    <w:rsid w:val="70E333DF"/>
    <w:rsid w:val="7123573D"/>
    <w:rsid w:val="7129758C"/>
    <w:rsid w:val="712EFCF8"/>
    <w:rsid w:val="7137F9CE"/>
    <w:rsid w:val="71948023"/>
    <w:rsid w:val="71A5B7C2"/>
    <w:rsid w:val="71BC0AC8"/>
    <w:rsid w:val="71C4363E"/>
    <w:rsid w:val="71CD6DEC"/>
    <w:rsid w:val="71D0989E"/>
    <w:rsid w:val="71E38CEF"/>
    <w:rsid w:val="7207D5AC"/>
    <w:rsid w:val="7218E4AC"/>
    <w:rsid w:val="7239A31F"/>
    <w:rsid w:val="723F8AB5"/>
    <w:rsid w:val="724667E1"/>
    <w:rsid w:val="7248582E"/>
    <w:rsid w:val="7253CC52"/>
    <w:rsid w:val="727C5C13"/>
    <w:rsid w:val="727CAF49"/>
    <w:rsid w:val="7288F573"/>
    <w:rsid w:val="7292175D"/>
    <w:rsid w:val="729500B4"/>
    <w:rsid w:val="72B74D6A"/>
    <w:rsid w:val="72C3E32B"/>
    <w:rsid w:val="72D39022"/>
    <w:rsid w:val="72E1D3D8"/>
    <w:rsid w:val="72E2B35D"/>
    <w:rsid w:val="72E43B27"/>
    <w:rsid w:val="7308942D"/>
    <w:rsid w:val="7322C543"/>
    <w:rsid w:val="735E473B"/>
    <w:rsid w:val="73628880"/>
    <w:rsid w:val="73682847"/>
    <w:rsid w:val="737094E3"/>
    <w:rsid w:val="738BA726"/>
    <w:rsid w:val="738C2CA9"/>
    <w:rsid w:val="7392887F"/>
    <w:rsid w:val="739590B9"/>
    <w:rsid w:val="739DFDE3"/>
    <w:rsid w:val="73A4AC7F"/>
    <w:rsid w:val="73ACEF77"/>
    <w:rsid w:val="73B00BA5"/>
    <w:rsid w:val="73BD8CD5"/>
    <w:rsid w:val="73E90024"/>
    <w:rsid w:val="74125BB5"/>
    <w:rsid w:val="74494B78"/>
    <w:rsid w:val="744A4E99"/>
    <w:rsid w:val="74534F6F"/>
    <w:rsid w:val="7458A447"/>
    <w:rsid w:val="7475ED27"/>
    <w:rsid w:val="747BF969"/>
    <w:rsid w:val="748E4D66"/>
    <w:rsid w:val="74929C6B"/>
    <w:rsid w:val="74A19FF4"/>
    <w:rsid w:val="74A8A9EE"/>
    <w:rsid w:val="74C1C682"/>
    <w:rsid w:val="74C421BF"/>
    <w:rsid w:val="74CEA899"/>
    <w:rsid w:val="74E7AF3C"/>
    <w:rsid w:val="74E965D9"/>
    <w:rsid w:val="75176FD3"/>
    <w:rsid w:val="751911A8"/>
    <w:rsid w:val="752528C8"/>
    <w:rsid w:val="752884D7"/>
    <w:rsid w:val="752903AA"/>
    <w:rsid w:val="753751FE"/>
    <w:rsid w:val="7538A63C"/>
    <w:rsid w:val="7543CB74"/>
    <w:rsid w:val="7548E5FC"/>
    <w:rsid w:val="755AFD5A"/>
    <w:rsid w:val="758FB23A"/>
    <w:rsid w:val="75CFE5AD"/>
    <w:rsid w:val="75D69074"/>
    <w:rsid w:val="75E342BE"/>
    <w:rsid w:val="75E69621"/>
    <w:rsid w:val="75FB12E7"/>
    <w:rsid w:val="76023A47"/>
    <w:rsid w:val="760B4E0A"/>
    <w:rsid w:val="7676F697"/>
    <w:rsid w:val="769BCC8A"/>
    <w:rsid w:val="76A0653A"/>
    <w:rsid w:val="77077A4E"/>
    <w:rsid w:val="771E1E59"/>
    <w:rsid w:val="77906B28"/>
    <w:rsid w:val="77C60C23"/>
    <w:rsid w:val="77FAE98B"/>
    <w:rsid w:val="780D7909"/>
    <w:rsid w:val="78442E70"/>
    <w:rsid w:val="784ADB6B"/>
    <w:rsid w:val="786CD013"/>
    <w:rsid w:val="786F7DFD"/>
    <w:rsid w:val="7887E470"/>
    <w:rsid w:val="7891A699"/>
    <w:rsid w:val="78B79488"/>
    <w:rsid w:val="78C5DB27"/>
    <w:rsid w:val="78E8DA36"/>
    <w:rsid w:val="79186FA6"/>
    <w:rsid w:val="792BF642"/>
    <w:rsid w:val="793ADEEA"/>
    <w:rsid w:val="796DF0AF"/>
    <w:rsid w:val="798223C0"/>
    <w:rsid w:val="798BE8FA"/>
    <w:rsid w:val="79B4873E"/>
    <w:rsid w:val="79B9F8B3"/>
    <w:rsid w:val="79E1B310"/>
    <w:rsid w:val="79E7202D"/>
    <w:rsid w:val="79FF6471"/>
    <w:rsid w:val="7A18E823"/>
    <w:rsid w:val="7A34200A"/>
    <w:rsid w:val="7A378751"/>
    <w:rsid w:val="7A55F53F"/>
    <w:rsid w:val="7A649F47"/>
    <w:rsid w:val="7A76CE22"/>
    <w:rsid w:val="7A8AF7D4"/>
    <w:rsid w:val="7AA38601"/>
    <w:rsid w:val="7AB66469"/>
    <w:rsid w:val="7AC8BCBC"/>
    <w:rsid w:val="7AFD1426"/>
    <w:rsid w:val="7B414F6D"/>
    <w:rsid w:val="7B41E1C0"/>
    <w:rsid w:val="7B45837E"/>
    <w:rsid w:val="7B71B659"/>
    <w:rsid w:val="7B789095"/>
    <w:rsid w:val="7B8E7BF0"/>
    <w:rsid w:val="7B9D61BD"/>
    <w:rsid w:val="7B9F1414"/>
    <w:rsid w:val="7BACC372"/>
    <w:rsid w:val="7BB3D45D"/>
    <w:rsid w:val="7BBAD0C1"/>
    <w:rsid w:val="7BDB0309"/>
    <w:rsid w:val="7BE887C2"/>
    <w:rsid w:val="7C0C6C00"/>
    <w:rsid w:val="7C173BDD"/>
    <w:rsid w:val="7C378F89"/>
    <w:rsid w:val="7C37A03F"/>
    <w:rsid w:val="7C3D6934"/>
    <w:rsid w:val="7C6E0AC7"/>
    <w:rsid w:val="7C917DD8"/>
    <w:rsid w:val="7C939867"/>
    <w:rsid w:val="7CA7732C"/>
    <w:rsid w:val="7CAF08BF"/>
    <w:rsid w:val="7CC1C7A1"/>
    <w:rsid w:val="7CE1B2A9"/>
    <w:rsid w:val="7CE5D5C3"/>
    <w:rsid w:val="7CEF5D86"/>
    <w:rsid w:val="7D13FA39"/>
    <w:rsid w:val="7D641B00"/>
    <w:rsid w:val="7D8E9106"/>
    <w:rsid w:val="7DB531A6"/>
    <w:rsid w:val="7DC37C85"/>
    <w:rsid w:val="7DCD7F4D"/>
    <w:rsid w:val="7DEEB934"/>
    <w:rsid w:val="7DF890DA"/>
    <w:rsid w:val="7E4C00D5"/>
    <w:rsid w:val="7E615E7E"/>
    <w:rsid w:val="7E8E461E"/>
    <w:rsid w:val="7EA6F555"/>
    <w:rsid w:val="7EB54849"/>
    <w:rsid w:val="7EDFCEE6"/>
    <w:rsid w:val="7F291781"/>
    <w:rsid w:val="7F74D35B"/>
    <w:rsid w:val="7F86F88E"/>
    <w:rsid w:val="7F87B989"/>
    <w:rsid w:val="7F8FD3C1"/>
    <w:rsid w:val="7F970EFE"/>
    <w:rsid w:val="7FAAC714"/>
    <w:rsid w:val="7FAAD3AA"/>
    <w:rsid w:val="7FB617A7"/>
    <w:rsid w:val="7FBB47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35C04B64-BBA6-4152-8507-265499DF1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4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157922"/>
    <w:pPr>
      <w:numPr>
        <w:numId w:val="2"/>
      </w:numPr>
      <w:tabs>
        <w:tab w:val="clear" w:pos="1134"/>
        <w:tab w:val="num" w:pos="360"/>
      </w:tabs>
      <w:ind w:left="0" w:firstLine="0"/>
    </w:pPr>
    <w:rPr>
      <w:rFonts w:eastAsia="Times New Roman"/>
      <w:lang w:eastAsia="de-DE"/>
    </w:rPr>
  </w:style>
  <w:style w:type="paragraph" w:styleId="ListNumber">
    <w:name w:val="List Number"/>
    <w:basedOn w:val="Normal"/>
    <w:rsid w:val="00157922"/>
    <w:pPr>
      <w:numPr>
        <w:numId w:val="6"/>
      </w:numPr>
    </w:pPr>
    <w:rPr>
      <w:rFonts w:eastAsia="Times New Roman"/>
      <w:lang w:eastAsia="de-DE"/>
    </w:rPr>
  </w:style>
  <w:style w:type="paragraph" w:customStyle="1" w:styleId="ListBullet1">
    <w:name w:val="List Bullet 1"/>
    <w:basedOn w:val="Normal"/>
    <w:rsid w:val="00157922"/>
    <w:pPr>
      <w:numPr>
        <w:numId w:val="1"/>
      </w:numPr>
    </w:pPr>
    <w:rPr>
      <w:rFonts w:eastAsia="Times New Roman"/>
      <w:lang w:eastAsia="de-DE"/>
    </w:rPr>
  </w:style>
  <w:style w:type="paragraph" w:customStyle="1" w:styleId="ListDash">
    <w:name w:val="List Dash"/>
    <w:basedOn w:val="Normal"/>
    <w:rsid w:val="00157922"/>
    <w:pPr>
      <w:numPr>
        <w:numId w:val="3"/>
      </w:numPr>
    </w:pPr>
    <w:rPr>
      <w:rFonts w:eastAsia="Times New Roman"/>
      <w:lang w:eastAsia="de-DE"/>
    </w:rPr>
  </w:style>
  <w:style w:type="paragraph" w:customStyle="1" w:styleId="ListDash1">
    <w:name w:val="List Dash 1"/>
    <w:basedOn w:val="Normal"/>
    <w:rsid w:val="00157922"/>
    <w:pPr>
      <w:numPr>
        <w:numId w:val="4"/>
      </w:numPr>
    </w:pPr>
    <w:rPr>
      <w:rFonts w:eastAsia="Times New Roman"/>
      <w:lang w:eastAsia="de-DE"/>
    </w:rPr>
  </w:style>
  <w:style w:type="paragraph" w:customStyle="1" w:styleId="ListDash2">
    <w:name w:val="List Dash 2"/>
    <w:basedOn w:val="Normal"/>
    <w:rsid w:val="00157922"/>
    <w:pPr>
      <w:numPr>
        <w:numId w:val="5"/>
      </w:numPr>
    </w:pPr>
    <w:rPr>
      <w:rFonts w:eastAsia="Times New Roman"/>
      <w:lang w:eastAsia="de-DE"/>
    </w:rPr>
  </w:style>
  <w:style w:type="paragraph" w:customStyle="1" w:styleId="ListNumberLevel2">
    <w:name w:val="List Number (Level 2)"/>
    <w:basedOn w:val="Normal"/>
    <w:rsid w:val="00157922"/>
    <w:pPr>
      <w:numPr>
        <w:ilvl w:val="1"/>
        <w:numId w:val="6"/>
      </w:numPr>
    </w:pPr>
    <w:rPr>
      <w:rFonts w:eastAsia="Times New Roman"/>
      <w:lang w:eastAsia="de-DE"/>
    </w:rPr>
  </w:style>
  <w:style w:type="paragraph" w:customStyle="1" w:styleId="ListNumberLevel3">
    <w:name w:val="List Number (Level 3)"/>
    <w:basedOn w:val="Normal"/>
    <w:rsid w:val="00157922"/>
    <w:pPr>
      <w:numPr>
        <w:ilvl w:val="2"/>
        <w:numId w:val="6"/>
      </w:numPr>
    </w:pPr>
    <w:rPr>
      <w:rFonts w:eastAsia="Times New Roman"/>
      <w:lang w:eastAsia="de-DE"/>
    </w:rPr>
  </w:style>
  <w:style w:type="paragraph" w:customStyle="1" w:styleId="ListNumberLevel4">
    <w:name w:val="List Number (Level 4)"/>
    <w:basedOn w:val="Normal"/>
    <w:rsid w:val="00157922"/>
    <w:pPr>
      <w:numPr>
        <w:ilvl w:val="3"/>
        <w:numId w:val="6"/>
      </w:numPr>
    </w:pPr>
    <w:rPr>
      <w:rFonts w:eastAsia="Times New Roman"/>
      <w:lang w:eastAsia="de-DE"/>
    </w:rPr>
  </w:style>
  <w:style w:type="table" w:styleId="TableGrid">
    <w:name w:val="Table Grid"/>
    <w:basedOn w:val="TableNormal"/>
    <w:rsid w:val="00157922"/>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57922"/>
    <w:rPr>
      <w:color w:val="0000FF"/>
      <w:u w:val="single"/>
    </w:rPr>
  </w:style>
  <w:style w:type="paragraph" w:styleId="ListBullet">
    <w:name w:val="List Bullet"/>
    <w:basedOn w:val="Normal"/>
    <w:rsid w:val="00157922"/>
    <w:pPr>
      <w:numPr>
        <w:numId w:val="7"/>
      </w:numPr>
    </w:pPr>
    <w:rPr>
      <w:rFonts w:eastAsia="Times New Roman"/>
      <w:lang w:val="es-ES" w:eastAsia="en-GB"/>
    </w:rPr>
  </w:style>
  <w:style w:type="paragraph" w:styleId="ListBullet2">
    <w:name w:val="List Bullet 2"/>
    <w:basedOn w:val="Normal"/>
    <w:rsid w:val="00157922"/>
    <w:pPr>
      <w:numPr>
        <w:numId w:val="8"/>
      </w:numPr>
    </w:pPr>
    <w:rPr>
      <w:rFonts w:eastAsia="Times New Roman"/>
      <w:lang w:val="es-ES" w:eastAsia="en-GB"/>
    </w:rPr>
  </w:style>
  <w:style w:type="paragraph" w:styleId="ListBullet3">
    <w:name w:val="List Bullet 3"/>
    <w:basedOn w:val="Normal"/>
    <w:rsid w:val="00157922"/>
    <w:pPr>
      <w:numPr>
        <w:numId w:val="9"/>
      </w:numPr>
    </w:pPr>
    <w:rPr>
      <w:rFonts w:eastAsia="Times New Roman"/>
      <w:lang w:val="es-ES" w:eastAsia="en-GB"/>
    </w:rPr>
  </w:style>
  <w:style w:type="paragraph" w:styleId="ListNumber2">
    <w:name w:val="List Number 2"/>
    <w:basedOn w:val="Normal"/>
    <w:rsid w:val="00157922"/>
    <w:pPr>
      <w:numPr>
        <w:numId w:val="13"/>
      </w:numPr>
    </w:pPr>
    <w:rPr>
      <w:rFonts w:eastAsia="Times New Roman"/>
      <w:lang w:val="es-ES" w:eastAsia="en-GB"/>
    </w:rPr>
  </w:style>
  <w:style w:type="paragraph" w:styleId="ListNumber3">
    <w:name w:val="List Number 3"/>
    <w:basedOn w:val="Normal"/>
    <w:rsid w:val="00157922"/>
    <w:pPr>
      <w:numPr>
        <w:numId w:val="14"/>
      </w:numPr>
    </w:pPr>
    <w:rPr>
      <w:rFonts w:eastAsia="Times New Roman"/>
      <w:lang w:val="es-ES" w:eastAsia="en-GB"/>
    </w:rPr>
  </w:style>
  <w:style w:type="paragraph" w:styleId="ListNumber4">
    <w:name w:val="List Number 4"/>
    <w:basedOn w:val="Normal"/>
    <w:rsid w:val="00157922"/>
    <w:pPr>
      <w:numPr>
        <w:numId w:val="15"/>
      </w:numPr>
    </w:pPr>
    <w:rPr>
      <w:rFonts w:eastAsia="Times New Roman"/>
      <w:lang w:val="es-ES" w:eastAsia="en-GB"/>
    </w:rPr>
  </w:style>
  <w:style w:type="paragraph" w:customStyle="1" w:styleId="ListDash3">
    <w:name w:val="List Dash 3"/>
    <w:basedOn w:val="Normal"/>
    <w:rsid w:val="00157922"/>
    <w:pPr>
      <w:numPr>
        <w:numId w:val="10"/>
      </w:numPr>
    </w:pPr>
    <w:rPr>
      <w:rFonts w:eastAsia="Times New Roman"/>
      <w:lang w:val="es-ES" w:eastAsia="en-GB"/>
    </w:rPr>
  </w:style>
  <w:style w:type="paragraph" w:customStyle="1" w:styleId="ListDash4">
    <w:name w:val="List Dash 4"/>
    <w:basedOn w:val="Normal"/>
    <w:rsid w:val="00157922"/>
    <w:pPr>
      <w:numPr>
        <w:numId w:val="11"/>
      </w:numPr>
    </w:pPr>
    <w:rPr>
      <w:rFonts w:eastAsia="Times New Roman"/>
      <w:lang w:val="es-ES" w:eastAsia="en-GB"/>
    </w:rPr>
  </w:style>
  <w:style w:type="paragraph" w:customStyle="1" w:styleId="ListNumber1">
    <w:name w:val="List Number 1"/>
    <w:basedOn w:val="Text1"/>
    <w:rsid w:val="00157922"/>
    <w:pPr>
      <w:numPr>
        <w:numId w:val="12"/>
      </w:numPr>
    </w:pPr>
    <w:rPr>
      <w:rFonts w:eastAsia="Times New Roman"/>
      <w:lang w:val="es-ES" w:eastAsia="en-GB"/>
    </w:rPr>
  </w:style>
  <w:style w:type="paragraph" w:customStyle="1" w:styleId="ListNumber1Level2">
    <w:name w:val="List Number 1 (Level 2)"/>
    <w:basedOn w:val="Text1"/>
    <w:rsid w:val="00157922"/>
    <w:pPr>
      <w:numPr>
        <w:ilvl w:val="1"/>
        <w:numId w:val="12"/>
      </w:numPr>
    </w:pPr>
    <w:rPr>
      <w:rFonts w:eastAsia="Times New Roman"/>
      <w:lang w:val="es-ES" w:eastAsia="en-GB"/>
    </w:rPr>
  </w:style>
  <w:style w:type="paragraph" w:customStyle="1" w:styleId="ListNumber2Level2">
    <w:name w:val="List Number 2 (Level 2)"/>
    <w:basedOn w:val="Text2"/>
    <w:rsid w:val="00157922"/>
    <w:pPr>
      <w:numPr>
        <w:ilvl w:val="1"/>
        <w:numId w:val="13"/>
      </w:numPr>
    </w:pPr>
    <w:rPr>
      <w:rFonts w:eastAsia="Times New Roman"/>
      <w:lang w:val="es-ES" w:eastAsia="en-GB"/>
    </w:rPr>
  </w:style>
  <w:style w:type="paragraph" w:customStyle="1" w:styleId="ListNumber3Level2">
    <w:name w:val="List Number 3 (Level 2)"/>
    <w:basedOn w:val="Text3"/>
    <w:rsid w:val="00157922"/>
    <w:pPr>
      <w:numPr>
        <w:ilvl w:val="1"/>
        <w:numId w:val="14"/>
      </w:numPr>
    </w:pPr>
    <w:rPr>
      <w:rFonts w:eastAsia="Times New Roman"/>
      <w:lang w:val="es-ES" w:eastAsia="en-GB"/>
    </w:rPr>
  </w:style>
  <w:style w:type="paragraph" w:customStyle="1" w:styleId="ListNumber4Level2">
    <w:name w:val="List Number 4 (Level 2)"/>
    <w:basedOn w:val="Text4"/>
    <w:rsid w:val="00157922"/>
    <w:pPr>
      <w:numPr>
        <w:ilvl w:val="1"/>
        <w:numId w:val="15"/>
      </w:numPr>
    </w:pPr>
    <w:rPr>
      <w:rFonts w:eastAsia="Times New Roman"/>
      <w:lang w:val="es-ES" w:eastAsia="en-GB"/>
    </w:rPr>
  </w:style>
  <w:style w:type="paragraph" w:customStyle="1" w:styleId="ListNumber1Level3">
    <w:name w:val="List Number 1 (Level 3)"/>
    <w:basedOn w:val="Text1"/>
    <w:rsid w:val="00157922"/>
    <w:pPr>
      <w:numPr>
        <w:ilvl w:val="2"/>
        <w:numId w:val="12"/>
      </w:numPr>
    </w:pPr>
    <w:rPr>
      <w:rFonts w:eastAsia="Times New Roman"/>
      <w:lang w:val="es-ES" w:eastAsia="en-GB"/>
    </w:rPr>
  </w:style>
  <w:style w:type="paragraph" w:customStyle="1" w:styleId="ListNumber2Level3">
    <w:name w:val="List Number 2 (Level 3)"/>
    <w:basedOn w:val="Text2"/>
    <w:rsid w:val="00157922"/>
    <w:pPr>
      <w:numPr>
        <w:ilvl w:val="2"/>
        <w:numId w:val="13"/>
      </w:numPr>
    </w:pPr>
    <w:rPr>
      <w:rFonts w:eastAsia="Times New Roman"/>
      <w:lang w:val="es-ES" w:eastAsia="en-GB"/>
    </w:rPr>
  </w:style>
  <w:style w:type="paragraph" w:customStyle="1" w:styleId="ListNumber3Level3">
    <w:name w:val="List Number 3 (Level 3)"/>
    <w:basedOn w:val="Text3"/>
    <w:rsid w:val="00157922"/>
    <w:pPr>
      <w:numPr>
        <w:ilvl w:val="2"/>
        <w:numId w:val="14"/>
      </w:numPr>
    </w:pPr>
    <w:rPr>
      <w:rFonts w:eastAsia="Times New Roman"/>
      <w:lang w:val="es-ES" w:eastAsia="en-GB"/>
    </w:rPr>
  </w:style>
  <w:style w:type="paragraph" w:customStyle="1" w:styleId="ListNumber4Level3">
    <w:name w:val="List Number 4 (Level 3)"/>
    <w:basedOn w:val="Text4"/>
    <w:rsid w:val="00157922"/>
    <w:pPr>
      <w:numPr>
        <w:ilvl w:val="2"/>
        <w:numId w:val="15"/>
      </w:numPr>
    </w:pPr>
    <w:rPr>
      <w:rFonts w:eastAsia="Times New Roman"/>
      <w:lang w:val="es-ES" w:eastAsia="en-GB"/>
    </w:rPr>
  </w:style>
  <w:style w:type="paragraph" w:customStyle="1" w:styleId="ListNumber1Level4">
    <w:name w:val="List Number 1 (Level 4)"/>
    <w:basedOn w:val="Text1"/>
    <w:rsid w:val="00157922"/>
    <w:pPr>
      <w:numPr>
        <w:ilvl w:val="3"/>
        <w:numId w:val="12"/>
      </w:numPr>
    </w:pPr>
    <w:rPr>
      <w:rFonts w:eastAsia="Times New Roman"/>
      <w:lang w:val="es-ES" w:eastAsia="en-GB"/>
    </w:rPr>
  </w:style>
  <w:style w:type="paragraph" w:customStyle="1" w:styleId="ListNumber2Level4">
    <w:name w:val="List Number 2 (Level 4)"/>
    <w:basedOn w:val="Text2"/>
    <w:rsid w:val="00157922"/>
    <w:pPr>
      <w:numPr>
        <w:ilvl w:val="3"/>
        <w:numId w:val="13"/>
      </w:numPr>
    </w:pPr>
    <w:rPr>
      <w:rFonts w:eastAsia="Times New Roman"/>
      <w:lang w:val="es-ES" w:eastAsia="en-GB"/>
    </w:rPr>
  </w:style>
  <w:style w:type="paragraph" w:customStyle="1" w:styleId="ListNumber3Level4">
    <w:name w:val="List Number 3 (Level 4)"/>
    <w:basedOn w:val="Text3"/>
    <w:rsid w:val="00157922"/>
    <w:pPr>
      <w:numPr>
        <w:ilvl w:val="3"/>
        <w:numId w:val="14"/>
      </w:numPr>
    </w:pPr>
    <w:rPr>
      <w:rFonts w:eastAsia="Times New Roman"/>
      <w:lang w:val="es-ES" w:eastAsia="en-GB"/>
    </w:rPr>
  </w:style>
  <w:style w:type="paragraph" w:customStyle="1" w:styleId="ListNumber4Level4">
    <w:name w:val="List Number 4 (Level 4)"/>
    <w:basedOn w:val="Text4"/>
    <w:rsid w:val="00157922"/>
    <w:pPr>
      <w:numPr>
        <w:ilvl w:val="3"/>
        <w:numId w:val="15"/>
      </w:numPr>
    </w:pPr>
    <w:rPr>
      <w:rFonts w:eastAsia="Times New Roman"/>
      <w:lang w:val="es-ES" w:eastAsia="en-GB"/>
    </w:rPr>
  </w:style>
  <w:style w:type="paragraph" w:customStyle="1" w:styleId="Annexetitreacte">
    <w:name w:val="Annexe titre (acte)"/>
    <w:basedOn w:val="Normal"/>
    <w:next w:val="Normal"/>
    <w:rsid w:val="00157922"/>
    <w:pPr>
      <w:jc w:val="center"/>
    </w:pPr>
    <w:rPr>
      <w:rFonts w:eastAsia="Times New Roman"/>
      <w:b/>
      <w:u w:val="single"/>
      <w:lang w:val="es-ES" w:eastAsia="en-GB"/>
    </w:rPr>
  </w:style>
  <w:style w:type="paragraph" w:customStyle="1" w:styleId="Annexetitreexposglobal">
    <w:name w:val="Annexe titre (exposé global)"/>
    <w:basedOn w:val="Normal"/>
    <w:next w:val="Normal"/>
    <w:rsid w:val="00157922"/>
    <w:pPr>
      <w:jc w:val="center"/>
    </w:pPr>
    <w:rPr>
      <w:rFonts w:eastAsia="Times New Roman"/>
      <w:b/>
      <w:u w:val="single"/>
      <w:lang w:val="es-ES" w:eastAsia="en-GB"/>
    </w:rPr>
  </w:style>
  <w:style w:type="paragraph" w:customStyle="1" w:styleId="Annexetitrefichefinacte">
    <w:name w:val="Annexe titre (fiche fin. acte)"/>
    <w:basedOn w:val="Normal"/>
    <w:next w:val="Normal"/>
    <w:rsid w:val="00157922"/>
    <w:pPr>
      <w:jc w:val="center"/>
    </w:pPr>
    <w:rPr>
      <w:rFonts w:eastAsia="Times New Roman"/>
      <w:b/>
      <w:u w:val="single"/>
      <w:lang w:val="es-ES" w:eastAsia="en-GB"/>
    </w:rPr>
  </w:style>
  <w:style w:type="paragraph" w:customStyle="1" w:styleId="Annexetitrefichefinglobale">
    <w:name w:val="Annexe titre (fiche fin. globale)"/>
    <w:basedOn w:val="Normal"/>
    <w:next w:val="Normal"/>
    <w:rsid w:val="00157922"/>
    <w:pPr>
      <w:jc w:val="center"/>
    </w:pPr>
    <w:rPr>
      <w:rFonts w:eastAsia="Times New Roman"/>
      <w:b/>
      <w:u w:val="single"/>
      <w:lang w:val="es-ES" w:eastAsia="en-GB"/>
    </w:rPr>
  </w:style>
  <w:style w:type="paragraph" w:customStyle="1" w:styleId="Annexetitreglobale">
    <w:name w:val="Annexe titre (globale)"/>
    <w:basedOn w:val="Normal"/>
    <w:next w:val="Normal"/>
    <w:rsid w:val="00157922"/>
    <w:pPr>
      <w:jc w:val="center"/>
    </w:pPr>
    <w:rPr>
      <w:rFonts w:eastAsia="Times New Roman"/>
      <w:b/>
      <w:u w:val="single"/>
      <w:lang w:val="es-ES" w:eastAsia="en-GB"/>
    </w:rPr>
  </w:style>
  <w:style w:type="paragraph" w:customStyle="1" w:styleId="Exposdesmotifstitreglobal">
    <w:name w:val="Exposé des motifs titre (global)"/>
    <w:basedOn w:val="Normal"/>
    <w:next w:val="Normal"/>
    <w:rsid w:val="00157922"/>
    <w:pPr>
      <w:jc w:val="center"/>
    </w:pPr>
    <w:rPr>
      <w:rFonts w:eastAsia="Times New Roman"/>
      <w:b/>
      <w:u w:val="single"/>
      <w:lang w:val="es-ES" w:eastAsia="en-GB"/>
    </w:rPr>
  </w:style>
  <w:style w:type="paragraph" w:customStyle="1" w:styleId="Langueoriginale">
    <w:name w:val="Langue originale"/>
    <w:basedOn w:val="Normal"/>
    <w:rsid w:val="00157922"/>
    <w:pPr>
      <w:spacing w:before="360"/>
      <w:jc w:val="center"/>
    </w:pPr>
    <w:rPr>
      <w:rFonts w:eastAsia="Times New Roman"/>
      <w:caps/>
      <w:lang w:val="es-ES" w:eastAsia="en-GB"/>
    </w:rPr>
  </w:style>
  <w:style w:type="paragraph" w:customStyle="1" w:styleId="Phrasefinale">
    <w:name w:val="Phrase finale"/>
    <w:basedOn w:val="Normal"/>
    <w:next w:val="Normal"/>
    <w:rsid w:val="00157922"/>
    <w:pPr>
      <w:spacing w:before="360" w:after="0"/>
      <w:jc w:val="center"/>
    </w:pPr>
    <w:rPr>
      <w:rFonts w:eastAsia="Times New Roman"/>
      <w:lang w:val="es-ES" w:eastAsia="en-GB"/>
    </w:rPr>
  </w:style>
  <w:style w:type="paragraph" w:customStyle="1" w:styleId="Prliminairetitre">
    <w:name w:val="Préliminaire titre"/>
    <w:basedOn w:val="Normal"/>
    <w:next w:val="Normal"/>
    <w:rsid w:val="00157922"/>
    <w:pPr>
      <w:spacing w:before="360" w:after="360"/>
      <w:jc w:val="center"/>
    </w:pPr>
    <w:rPr>
      <w:rFonts w:eastAsia="Times New Roman"/>
      <w:b/>
      <w:lang w:val="es-ES" w:eastAsia="en-GB"/>
    </w:rPr>
  </w:style>
  <w:style w:type="paragraph" w:customStyle="1" w:styleId="Prliminairetype">
    <w:name w:val="Préliminaire type"/>
    <w:basedOn w:val="Normal"/>
    <w:next w:val="Normal"/>
    <w:rsid w:val="00157922"/>
    <w:pPr>
      <w:spacing w:before="360" w:after="0"/>
      <w:jc w:val="center"/>
    </w:pPr>
    <w:rPr>
      <w:rFonts w:eastAsia="Times New Roman"/>
      <w:b/>
      <w:lang w:val="es-ES" w:eastAsia="en-GB"/>
    </w:rPr>
  </w:style>
  <w:style w:type="paragraph" w:customStyle="1" w:styleId="Rfrenceinstitutionelle">
    <w:name w:val="Référence institutionelle"/>
    <w:basedOn w:val="Normal"/>
    <w:next w:val="Statut"/>
    <w:rsid w:val="00157922"/>
    <w:pPr>
      <w:spacing w:before="0" w:after="240"/>
      <w:ind w:left="5103"/>
      <w:jc w:val="left"/>
    </w:pPr>
    <w:rPr>
      <w:rFonts w:eastAsia="Times New Roman"/>
      <w:lang w:val="es-ES" w:eastAsia="en-GB"/>
    </w:rPr>
  </w:style>
  <w:style w:type="paragraph" w:customStyle="1" w:styleId="Rfrenceinterinstitutionelle">
    <w:name w:val="Référence interinstitutionelle"/>
    <w:basedOn w:val="Normal"/>
    <w:next w:val="Statut"/>
    <w:rsid w:val="00157922"/>
    <w:pPr>
      <w:spacing w:before="0" w:after="0"/>
      <w:ind w:left="5103"/>
      <w:jc w:val="left"/>
    </w:pPr>
    <w:rPr>
      <w:rFonts w:eastAsia="Times New Roman"/>
      <w:lang w:val="es-ES" w:eastAsia="en-GB"/>
    </w:rPr>
  </w:style>
  <w:style w:type="paragraph" w:customStyle="1" w:styleId="Rfrenceinterinstitutionelleprliminaire">
    <w:name w:val="Référence interinstitutionelle (préliminaire)"/>
    <w:basedOn w:val="Normal"/>
    <w:next w:val="Normal"/>
    <w:rsid w:val="00157922"/>
    <w:pPr>
      <w:spacing w:before="0" w:after="0"/>
      <w:ind w:left="5103"/>
      <w:jc w:val="left"/>
    </w:pPr>
    <w:rPr>
      <w:rFonts w:eastAsia="Times New Roman"/>
      <w:lang w:val="es-ES" w:eastAsia="en-GB"/>
    </w:rPr>
  </w:style>
  <w:style w:type="paragraph" w:customStyle="1" w:styleId="Sous-titreobjetprliminaire">
    <w:name w:val="Sous-titre objet (préliminaire)"/>
    <w:basedOn w:val="Normal"/>
    <w:rsid w:val="00157922"/>
    <w:pPr>
      <w:spacing w:before="0" w:after="0"/>
      <w:jc w:val="center"/>
    </w:pPr>
    <w:rPr>
      <w:rFonts w:eastAsia="Times New Roman"/>
      <w:b/>
      <w:lang w:val="es-ES" w:eastAsia="en-GB"/>
    </w:rPr>
  </w:style>
  <w:style w:type="paragraph" w:customStyle="1" w:styleId="Statutprliminaire">
    <w:name w:val="Statut (préliminaire)"/>
    <w:basedOn w:val="Normal"/>
    <w:next w:val="Normal"/>
    <w:rsid w:val="00157922"/>
    <w:pPr>
      <w:spacing w:before="360" w:after="0"/>
      <w:jc w:val="center"/>
    </w:pPr>
    <w:rPr>
      <w:rFonts w:eastAsia="Times New Roman"/>
      <w:lang w:val="es-ES" w:eastAsia="en-GB"/>
    </w:rPr>
  </w:style>
  <w:style w:type="paragraph" w:customStyle="1" w:styleId="Titreobjetprliminaire">
    <w:name w:val="Titre objet (préliminaire)"/>
    <w:basedOn w:val="Normal"/>
    <w:next w:val="Normal"/>
    <w:rsid w:val="00157922"/>
    <w:pPr>
      <w:spacing w:before="360" w:after="360"/>
      <w:jc w:val="center"/>
    </w:pPr>
    <w:rPr>
      <w:rFonts w:eastAsia="Times New Roman"/>
      <w:b/>
      <w:lang w:val="es-ES" w:eastAsia="en-GB"/>
    </w:rPr>
  </w:style>
  <w:style w:type="paragraph" w:customStyle="1" w:styleId="Typedudocumentprliminaire">
    <w:name w:val="Type du document (préliminaire)"/>
    <w:basedOn w:val="Normal"/>
    <w:next w:val="Normal"/>
    <w:rsid w:val="00157922"/>
    <w:pPr>
      <w:spacing w:before="360" w:after="0"/>
      <w:jc w:val="center"/>
    </w:pPr>
    <w:rPr>
      <w:rFonts w:eastAsia="Times New Roman"/>
      <w:b/>
      <w:lang w:val="es-ES" w:eastAsia="en-GB"/>
    </w:rPr>
  </w:style>
  <w:style w:type="paragraph" w:customStyle="1" w:styleId="Fichefinancirestandardtitre">
    <w:name w:val="Fiche financière (standard) titre"/>
    <w:basedOn w:val="Normal"/>
    <w:next w:val="Normal"/>
    <w:rsid w:val="00157922"/>
    <w:pPr>
      <w:jc w:val="center"/>
    </w:pPr>
    <w:rPr>
      <w:rFonts w:eastAsia="Times New Roman"/>
      <w:b/>
      <w:u w:val="single"/>
      <w:lang w:val="es-ES" w:eastAsia="en-GB"/>
    </w:rPr>
  </w:style>
  <w:style w:type="paragraph" w:customStyle="1" w:styleId="Fichefinancirestandardtitreacte">
    <w:name w:val="Fiche financière (standard) titre (acte)"/>
    <w:basedOn w:val="Normal"/>
    <w:next w:val="Normal"/>
    <w:rsid w:val="00157922"/>
    <w:pPr>
      <w:jc w:val="center"/>
    </w:pPr>
    <w:rPr>
      <w:rFonts w:eastAsia="Times New Roman"/>
      <w:b/>
      <w:u w:val="single"/>
      <w:lang w:val="es-ES" w:eastAsia="en-GB"/>
    </w:rPr>
  </w:style>
  <w:style w:type="paragraph" w:customStyle="1" w:styleId="Fichefinanciretravailtitre">
    <w:name w:val="Fiche financière (travail) titre"/>
    <w:basedOn w:val="Normal"/>
    <w:next w:val="Normal"/>
    <w:rsid w:val="00157922"/>
    <w:pPr>
      <w:jc w:val="center"/>
    </w:pPr>
    <w:rPr>
      <w:rFonts w:eastAsia="Times New Roman"/>
      <w:b/>
      <w:u w:val="single"/>
      <w:lang w:val="es-ES" w:eastAsia="en-GB"/>
    </w:rPr>
  </w:style>
  <w:style w:type="paragraph" w:customStyle="1" w:styleId="Fichefinanciretravailtitreacte">
    <w:name w:val="Fiche financière (travail) titre (acte)"/>
    <w:basedOn w:val="Normal"/>
    <w:next w:val="Normal"/>
    <w:rsid w:val="00157922"/>
    <w:pPr>
      <w:jc w:val="center"/>
    </w:pPr>
    <w:rPr>
      <w:rFonts w:eastAsia="Times New Roman"/>
      <w:b/>
      <w:u w:val="single"/>
      <w:lang w:val="es-ES" w:eastAsia="en-GB"/>
    </w:rPr>
  </w:style>
  <w:style w:type="paragraph" w:customStyle="1" w:styleId="Fichefinancireattributiontitre">
    <w:name w:val="Fiche financière (attribution) titre"/>
    <w:basedOn w:val="Normal"/>
    <w:next w:val="Normal"/>
    <w:rsid w:val="00157922"/>
    <w:pPr>
      <w:jc w:val="center"/>
    </w:pPr>
    <w:rPr>
      <w:rFonts w:eastAsia="Times New Roman"/>
      <w:b/>
      <w:u w:val="single"/>
      <w:lang w:val="es-ES" w:eastAsia="en-GB"/>
    </w:rPr>
  </w:style>
  <w:style w:type="paragraph" w:customStyle="1" w:styleId="Fichefinancireattributiontitreacte">
    <w:name w:val="Fiche financière (attribution) titre (acte)"/>
    <w:basedOn w:val="Normal"/>
    <w:next w:val="Normal"/>
    <w:rsid w:val="00157922"/>
    <w:pPr>
      <w:jc w:val="center"/>
    </w:pPr>
    <w:rPr>
      <w:rFonts w:eastAsia="Times New Roman"/>
      <w:b/>
      <w:u w:val="single"/>
      <w:lang w:val="es-ES" w:eastAsia="en-GB"/>
    </w:rPr>
  </w:style>
  <w:style w:type="character" w:styleId="CommentReference">
    <w:name w:val="annotation reference"/>
    <w:rsid w:val="00157922"/>
    <w:rPr>
      <w:rFonts w:cs="Times New Roman"/>
      <w:sz w:val="16"/>
      <w:szCs w:val="16"/>
    </w:rPr>
  </w:style>
  <w:style w:type="paragraph" w:styleId="CommentText">
    <w:name w:val="annotation text"/>
    <w:basedOn w:val="Normal"/>
    <w:link w:val="CommentTextChar"/>
    <w:rsid w:val="00157922"/>
    <w:rPr>
      <w:rFonts w:eastAsia="Times New Roman"/>
      <w:sz w:val="20"/>
      <w:szCs w:val="20"/>
      <w:lang w:val="es-ES" w:eastAsia="en-GB"/>
    </w:rPr>
  </w:style>
  <w:style w:type="character" w:customStyle="1" w:styleId="CommentTextChar">
    <w:name w:val="Comment Text Char"/>
    <w:basedOn w:val="DefaultParagraphFont"/>
    <w:link w:val="CommentText"/>
    <w:rsid w:val="00157922"/>
    <w:rPr>
      <w:rFonts w:ascii="Times New Roman" w:eastAsia="Times New Roman" w:hAnsi="Times New Roman" w:cs="Times New Roman"/>
      <w:sz w:val="20"/>
      <w:szCs w:val="20"/>
      <w:lang w:val="es-ES" w:eastAsia="en-GB"/>
    </w:rPr>
  </w:style>
  <w:style w:type="paragraph" w:styleId="CommentSubject">
    <w:name w:val="annotation subject"/>
    <w:basedOn w:val="CommentText"/>
    <w:next w:val="CommentText"/>
    <w:link w:val="CommentSubjectChar"/>
    <w:rsid w:val="00157922"/>
    <w:rPr>
      <w:b/>
      <w:bCs/>
    </w:rPr>
  </w:style>
  <w:style w:type="character" w:customStyle="1" w:styleId="CommentSubjectChar">
    <w:name w:val="Comment Subject Char"/>
    <w:basedOn w:val="CommentTextChar"/>
    <w:link w:val="CommentSubject"/>
    <w:rsid w:val="00157922"/>
    <w:rPr>
      <w:rFonts w:ascii="Times New Roman" w:eastAsia="Times New Roman" w:hAnsi="Times New Roman" w:cs="Times New Roman"/>
      <w:b/>
      <w:bCs/>
      <w:sz w:val="20"/>
      <w:szCs w:val="20"/>
      <w:lang w:val="es-ES" w:eastAsia="en-GB"/>
    </w:rPr>
  </w:style>
  <w:style w:type="paragraph" w:styleId="BalloonText">
    <w:name w:val="Balloon Text"/>
    <w:basedOn w:val="Normal"/>
    <w:link w:val="BalloonTextChar"/>
    <w:rsid w:val="00157922"/>
    <w:rPr>
      <w:rFonts w:ascii="Tahoma" w:eastAsia="Times New Roman" w:hAnsi="Tahoma" w:cs="Tahoma"/>
      <w:sz w:val="16"/>
      <w:szCs w:val="16"/>
      <w:lang w:val="es-ES" w:eastAsia="en-GB"/>
    </w:rPr>
  </w:style>
  <w:style w:type="character" w:customStyle="1" w:styleId="BalloonTextChar">
    <w:name w:val="Balloon Text Char"/>
    <w:basedOn w:val="DefaultParagraphFont"/>
    <w:link w:val="BalloonText"/>
    <w:rsid w:val="00157922"/>
    <w:rPr>
      <w:rFonts w:ascii="Tahoma" w:eastAsia="Times New Roman" w:hAnsi="Tahoma" w:cs="Tahoma"/>
      <w:sz w:val="16"/>
      <w:szCs w:val="16"/>
      <w:lang w:val="es-ES" w:eastAsia="en-GB"/>
    </w:rPr>
  </w:style>
  <w:style w:type="paragraph" w:styleId="Caption">
    <w:name w:val="caption"/>
    <w:basedOn w:val="Normal"/>
    <w:next w:val="Normal"/>
    <w:qFormat/>
    <w:rsid w:val="00157922"/>
    <w:rPr>
      <w:rFonts w:eastAsia="Times New Roman"/>
      <w:b/>
      <w:bCs/>
      <w:sz w:val="20"/>
      <w:szCs w:val="20"/>
      <w:lang w:val="es-ES" w:eastAsia="en-GB"/>
    </w:rPr>
  </w:style>
  <w:style w:type="paragraph" w:styleId="TableofFigures">
    <w:name w:val="table of figures"/>
    <w:basedOn w:val="Normal"/>
    <w:next w:val="Normal"/>
    <w:rsid w:val="00157922"/>
    <w:rPr>
      <w:rFonts w:eastAsia="Times New Roman"/>
      <w:lang w:val="es-ES" w:eastAsia="en-GB"/>
    </w:rPr>
  </w:style>
  <w:style w:type="character" w:styleId="PageNumber">
    <w:name w:val="page number"/>
    <w:rsid w:val="00157922"/>
  </w:style>
  <w:style w:type="character" w:customStyle="1" w:styleId="tw4winMark">
    <w:name w:val="tw4winMark"/>
    <w:rsid w:val="00157922"/>
    <w:rPr>
      <w:vanish/>
      <w:color w:val="800080"/>
      <w:vertAlign w:val="subscript"/>
    </w:rPr>
  </w:style>
  <w:style w:type="character" w:styleId="FollowedHyperlink">
    <w:name w:val="FollowedHyperlink"/>
    <w:rsid w:val="00157922"/>
    <w:rPr>
      <w:color w:val="800080"/>
      <w:u w:val="single"/>
    </w:rPr>
  </w:style>
  <w:style w:type="paragraph" w:customStyle="1" w:styleId="Sous-titreobjet">
    <w:name w:val="Sous-titre objet"/>
    <w:basedOn w:val="Normal"/>
    <w:rsid w:val="00157922"/>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157922"/>
  </w:style>
  <w:style w:type="paragraph" w:styleId="Revision">
    <w:name w:val="Revision"/>
    <w:hidden/>
    <w:uiPriority w:val="99"/>
    <w:semiHidden/>
    <w:rsid w:val="00157922"/>
    <w:rPr>
      <w:rFonts w:ascii="Calibri" w:eastAsia="Calibri" w:hAnsi="Calibri" w:cs="Times New Roman"/>
      <w:sz w:val="24"/>
      <w:lang w:eastAsia="en-GB"/>
    </w:rPr>
  </w:style>
  <w:style w:type="paragraph" w:customStyle="1" w:styleId="FooterCoverPage">
    <w:name w:val="Footer Cover Page"/>
    <w:basedOn w:val="Normal"/>
    <w:link w:val="FooterCoverPageChar"/>
    <w:rsid w:val="00157922"/>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157922"/>
    <w:rPr>
      <w:rFonts w:ascii="Times New Roman" w:hAnsi="Times New Roman" w:cs="Times New Roman"/>
      <w:b/>
      <w:sz w:val="28"/>
      <w:lang w:val="es-ES"/>
    </w:rPr>
  </w:style>
  <w:style w:type="character" w:customStyle="1" w:styleId="FooterCoverPageChar">
    <w:name w:val="Footer Cover Page Char"/>
    <w:link w:val="FooterCoverPage"/>
    <w:rsid w:val="00157922"/>
    <w:rPr>
      <w:rFonts w:ascii="Times New Roman" w:eastAsia="Calibri" w:hAnsi="Times New Roman" w:cs="Times New Roman"/>
      <w:sz w:val="24"/>
      <w:lang w:val="es-ES" w:eastAsia="en-GB"/>
    </w:rPr>
  </w:style>
  <w:style w:type="paragraph" w:customStyle="1" w:styleId="HeaderCoverPage">
    <w:name w:val="Header Cover Page"/>
    <w:basedOn w:val="Normal"/>
    <w:link w:val="HeaderCoverPageChar"/>
    <w:rsid w:val="00157922"/>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157922"/>
    <w:rPr>
      <w:rFonts w:ascii="Times New Roman" w:eastAsia="Calibri" w:hAnsi="Times New Roman" w:cs="Times New Roman"/>
      <w:sz w:val="24"/>
      <w:lang w:val="es-ES" w:eastAsia="en-GB"/>
    </w:rPr>
  </w:style>
  <w:style w:type="character" w:customStyle="1" w:styleId="FooterSensitivityChar">
    <w:name w:val="Footer Sensitivity Char"/>
    <w:rsid w:val="00157922"/>
    <w:rPr>
      <w:rFonts w:ascii="Times New Roman" w:hAnsi="Times New Roman" w:cs="Times New Roman"/>
      <w:b/>
      <w:sz w:val="32"/>
      <w:lang w:val="es-ES"/>
    </w:rPr>
  </w:style>
  <w:style w:type="character" w:customStyle="1" w:styleId="HeaderSensitivityChar">
    <w:name w:val="Header Sensitivity Char"/>
    <w:rsid w:val="00157922"/>
    <w:rPr>
      <w:rFonts w:ascii="Times New Roman" w:hAnsi="Times New Roman" w:cs="Times New Roman"/>
      <w:b/>
      <w:sz w:val="32"/>
      <w:lang w:val="es-ES"/>
    </w:rPr>
  </w:style>
  <w:style w:type="character" w:customStyle="1" w:styleId="HeaderSensitivityRightChar">
    <w:name w:val="Header Sensitivity Right Char"/>
    <w:rsid w:val="00157922"/>
    <w:rPr>
      <w:rFonts w:ascii="Times New Roman" w:hAnsi="Times New Roman" w:cs="Times New Roman"/>
      <w:sz w:val="28"/>
      <w:lang w:val="es-ES"/>
    </w:rPr>
  </w:style>
  <w:style w:type="paragraph" w:customStyle="1" w:styleId="LegalNumPar">
    <w:name w:val="LegalNumPar"/>
    <w:basedOn w:val="Normal"/>
    <w:rsid w:val="00157922"/>
    <w:pPr>
      <w:numPr>
        <w:numId w:val="16"/>
      </w:numPr>
      <w:spacing w:line="360" w:lineRule="auto"/>
    </w:pPr>
    <w:rPr>
      <w:rFonts w:eastAsia="Times New Roman"/>
      <w:lang w:eastAsia="en-GB"/>
    </w:rPr>
  </w:style>
  <w:style w:type="paragraph" w:customStyle="1" w:styleId="LegalNumPar2">
    <w:name w:val="LegalNumPar2"/>
    <w:basedOn w:val="Normal"/>
    <w:rsid w:val="00157922"/>
    <w:pPr>
      <w:numPr>
        <w:ilvl w:val="1"/>
        <w:numId w:val="16"/>
      </w:numPr>
      <w:spacing w:line="360" w:lineRule="auto"/>
    </w:pPr>
    <w:rPr>
      <w:rFonts w:eastAsia="Times New Roman"/>
      <w:lang w:eastAsia="en-GB"/>
    </w:rPr>
  </w:style>
  <w:style w:type="paragraph" w:customStyle="1" w:styleId="LegalNumPar3">
    <w:name w:val="LegalNumPar3"/>
    <w:basedOn w:val="Normal"/>
    <w:rsid w:val="00157922"/>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157922"/>
    <w:pPr>
      <w:ind w:left="720"/>
      <w:contextualSpacing/>
    </w:pPr>
    <w:rPr>
      <w:rFonts w:eastAsia="Times New Roman"/>
      <w:lang w:eastAsia="en-GB"/>
    </w:rPr>
  </w:style>
  <w:style w:type="character" w:customStyle="1" w:styleId="UnresolvedMention">
    <w:name w:val="Unresolved Mention"/>
    <w:basedOn w:val="DefaultParagraphFont"/>
    <w:uiPriority w:val="99"/>
    <w:semiHidden/>
    <w:unhideWhenUsed/>
    <w:rsid w:val="00157922"/>
    <w:rPr>
      <w:color w:val="605E5C"/>
      <w:shd w:val="clear" w:color="auto" w:fill="E1DFDD"/>
    </w:rPr>
  </w:style>
  <w:style w:type="character" w:styleId="Strong">
    <w:name w:val="Strong"/>
    <w:basedOn w:val="DefaultParagraphFont"/>
    <w:qFormat/>
    <w:rsid w:val="00157922"/>
    <w:rPr>
      <w:b/>
      <w:bCs/>
    </w:rPr>
  </w:style>
  <w:style w:type="character" w:styleId="Emphasis">
    <w:name w:val="Emphasis"/>
    <w:basedOn w:val="DefaultParagraphFont"/>
    <w:qFormat/>
    <w:rsid w:val="00157922"/>
    <w:rPr>
      <w:i/>
      <w:iCs/>
    </w:rPr>
  </w:style>
  <w:style w:type="character" w:customStyle="1" w:styleId="Mention">
    <w:name w:val="Mention"/>
    <w:basedOn w:val="DefaultParagraphFont"/>
    <w:uiPriority w:val="99"/>
    <w:unhideWhenUsed/>
    <w:rsid w:val="00157922"/>
    <w:rPr>
      <w:color w:val="2B579A"/>
      <w:shd w:val="clear" w:color="auto" w:fill="E1DFDD"/>
    </w:rPr>
  </w:style>
  <w:style w:type="character" w:customStyle="1" w:styleId="normaltextrun">
    <w:name w:val="normaltextrun"/>
    <w:basedOn w:val="DefaultParagraphFont"/>
    <w:rsid w:val="00157922"/>
  </w:style>
  <w:style w:type="character" w:customStyle="1" w:styleId="eop">
    <w:name w:val="eop"/>
    <w:basedOn w:val="DefaultParagraphFont"/>
    <w:rsid w:val="00157922"/>
  </w:style>
  <w:style w:type="paragraph" w:customStyle="1" w:styleId="Default">
    <w:name w:val="Default"/>
    <w:rsid w:val="00460FB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erChar">
    <w:name w:val="Header Char"/>
    <w:basedOn w:val="DefaultParagraphFont"/>
    <w:link w:val="Header"/>
    <w:uiPriority w:val="99"/>
    <w:rsid w:val="00FB3DE3"/>
    <w:rPr>
      <w:rFonts w:ascii="Times New Roman" w:hAnsi="Times New Roman" w:cs="Times New Roman"/>
      <w:sz w:val="24"/>
      <w:lang w:val="es-ES_tradnl"/>
    </w:rPr>
  </w:style>
  <w:style w:type="character" w:customStyle="1" w:styleId="FooterChar">
    <w:name w:val="Footer Char"/>
    <w:basedOn w:val="DefaultParagraphFont"/>
    <w:link w:val="Footer"/>
    <w:uiPriority w:val="99"/>
    <w:rsid w:val="00FB3DE3"/>
    <w:rPr>
      <w:rFonts w:ascii="Times New Roman" w:hAnsi="Times New Roman" w:cs="Times New Roman"/>
      <w:sz w:val="24"/>
      <w:lang w:val="es-ES_tradn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FB3DE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FB3DE3"/>
    <w:pPr>
      <w:spacing w:before="0"/>
      <w:jc w:val="right"/>
    </w:pPr>
    <w:rPr>
      <w:sz w:val="28"/>
    </w:rPr>
  </w:style>
  <w:style w:type="paragraph" w:customStyle="1" w:styleId="FooterSensitivity">
    <w:name w:val="Footer Sensitivity"/>
    <w:basedOn w:val="Normal"/>
    <w:rsid w:val="00FB3DE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4"/>
      </w:numPr>
    </w:pPr>
  </w:style>
  <w:style w:type="paragraph" w:customStyle="1" w:styleId="Tiret1">
    <w:name w:val="Tiret 1"/>
    <w:basedOn w:val="Point1"/>
    <w:pPr>
      <w:numPr>
        <w:numId w:val="35"/>
      </w:numPr>
    </w:pPr>
  </w:style>
  <w:style w:type="paragraph" w:customStyle="1" w:styleId="Tiret2">
    <w:name w:val="Tiret 2"/>
    <w:basedOn w:val="Point2"/>
    <w:pPr>
      <w:numPr>
        <w:numId w:val="36"/>
      </w:numPr>
    </w:pPr>
  </w:style>
  <w:style w:type="paragraph" w:customStyle="1" w:styleId="Tiret3">
    <w:name w:val="Tiret 3"/>
    <w:basedOn w:val="Point3"/>
    <w:pPr>
      <w:numPr>
        <w:numId w:val="37"/>
      </w:numPr>
    </w:pPr>
  </w:style>
  <w:style w:type="paragraph" w:customStyle="1" w:styleId="Tiret4">
    <w:name w:val="Tiret 4"/>
    <w:basedOn w:val="Point4"/>
    <w:pPr>
      <w:numPr>
        <w:numId w:val="38"/>
      </w:numPr>
    </w:pPr>
  </w:style>
  <w:style w:type="paragraph" w:customStyle="1" w:styleId="Tiret5">
    <w:name w:val="Tiret 5"/>
    <w:basedOn w:val="Point5"/>
    <w:pPr>
      <w:numPr>
        <w:numId w:val="3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0"/>
      </w:numPr>
    </w:pPr>
  </w:style>
  <w:style w:type="paragraph" w:customStyle="1" w:styleId="NumPar2">
    <w:name w:val="NumPar 2"/>
    <w:basedOn w:val="Normal"/>
    <w:next w:val="Text1"/>
    <w:pPr>
      <w:numPr>
        <w:ilvl w:val="1"/>
        <w:numId w:val="40"/>
      </w:numPr>
    </w:pPr>
  </w:style>
  <w:style w:type="paragraph" w:customStyle="1" w:styleId="NumPar3">
    <w:name w:val="NumPar 3"/>
    <w:basedOn w:val="Normal"/>
    <w:next w:val="Text1"/>
    <w:pPr>
      <w:numPr>
        <w:ilvl w:val="2"/>
        <w:numId w:val="40"/>
      </w:numPr>
    </w:pPr>
  </w:style>
  <w:style w:type="paragraph" w:customStyle="1" w:styleId="NumPar4">
    <w:name w:val="NumPar 4"/>
    <w:basedOn w:val="Normal"/>
    <w:next w:val="Text1"/>
    <w:pPr>
      <w:numPr>
        <w:ilvl w:val="3"/>
        <w:numId w:val="40"/>
      </w:numPr>
    </w:pPr>
  </w:style>
  <w:style w:type="paragraph" w:customStyle="1" w:styleId="NumPar5">
    <w:name w:val="NumPar 5"/>
    <w:basedOn w:val="Normal"/>
    <w:next w:val="Text2"/>
    <w:pPr>
      <w:numPr>
        <w:ilvl w:val="4"/>
        <w:numId w:val="40"/>
      </w:numPr>
    </w:pPr>
  </w:style>
  <w:style w:type="paragraph" w:customStyle="1" w:styleId="NumPar6">
    <w:name w:val="NumPar 6"/>
    <w:basedOn w:val="Normal"/>
    <w:next w:val="Text2"/>
    <w:pPr>
      <w:numPr>
        <w:ilvl w:val="5"/>
        <w:numId w:val="40"/>
      </w:numPr>
    </w:pPr>
  </w:style>
  <w:style w:type="paragraph" w:customStyle="1" w:styleId="NumPar7">
    <w:name w:val="NumPar 7"/>
    <w:basedOn w:val="Normal"/>
    <w:next w:val="Text2"/>
    <w:pPr>
      <w:numPr>
        <w:ilvl w:val="6"/>
        <w:numId w:val="4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2"/>
      </w:numPr>
    </w:pPr>
  </w:style>
  <w:style w:type="paragraph" w:customStyle="1" w:styleId="Point1number">
    <w:name w:val="Point 1 (number)"/>
    <w:basedOn w:val="Normal"/>
    <w:pPr>
      <w:numPr>
        <w:ilvl w:val="2"/>
        <w:numId w:val="42"/>
      </w:numPr>
    </w:pPr>
  </w:style>
  <w:style w:type="paragraph" w:customStyle="1" w:styleId="Point2number">
    <w:name w:val="Point 2 (number)"/>
    <w:basedOn w:val="Normal"/>
    <w:pPr>
      <w:numPr>
        <w:ilvl w:val="4"/>
        <w:numId w:val="42"/>
      </w:numPr>
    </w:pPr>
  </w:style>
  <w:style w:type="paragraph" w:customStyle="1" w:styleId="Point3number">
    <w:name w:val="Point 3 (number)"/>
    <w:basedOn w:val="Normal"/>
    <w:pPr>
      <w:numPr>
        <w:ilvl w:val="6"/>
        <w:numId w:val="42"/>
      </w:numPr>
    </w:pPr>
  </w:style>
  <w:style w:type="paragraph" w:customStyle="1" w:styleId="Point0letter">
    <w:name w:val="Point 0 (letter)"/>
    <w:basedOn w:val="Normal"/>
    <w:pPr>
      <w:numPr>
        <w:ilvl w:val="1"/>
        <w:numId w:val="42"/>
      </w:numPr>
    </w:pPr>
  </w:style>
  <w:style w:type="paragraph" w:customStyle="1" w:styleId="Point1letter">
    <w:name w:val="Point 1 (letter)"/>
    <w:basedOn w:val="Normal"/>
    <w:pPr>
      <w:numPr>
        <w:ilvl w:val="3"/>
        <w:numId w:val="42"/>
      </w:numPr>
    </w:pPr>
  </w:style>
  <w:style w:type="paragraph" w:customStyle="1" w:styleId="Point2letter">
    <w:name w:val="Point 2 (letter)"/>
    <w:basedOn w:val="Normal"/>
    <w:pPr>
      <w:numPr>
        <w:ilvl w:val="5"/>
        <w:numId w:val="42"/>
      </w:numPr>
    </w:pPr>
  </w:style>
  <w:style w:type="paragraph" w:customStyle="1" w:styleId="Point3letter">
    <w:name w:val="Point 3 (letter)"/>
    <w:basedOn w:val="Normal"/>
    <w:pPr>
      <w:numPr>
        <w:ilvl w:val="7"/>
        <w:numId w:val="42"/>
      </w:numPr>
    </w:pPr>
  </w:style>
  <w:style w:type="paragraph" w:customStyle="1" w:styleId="Point4letter">
    <w:name w:val="Point 4 (letter)"/>
    <w:basedOn w:val="Normal"/>
    <w:pPr>
      <w:numPr>
        <w:ilvl w:val="8"/>
        <w:numId w:val="42"/>
      </w:numPr>
    </w:pPr>
  </w:style>
  <w:style w:type="paragraph" w:customStyle="1" w:styleId="Bullet0">
    <w:name w:val="Bullet 0"/>
    <w:basedOn w:val="Normal"/>
    <w:pPr>
      <w:numPr>
        <w:numId w:val="43"/>
      </w:numPr>
    </w:pPr>
  </w:style>
  <w:style w:type="paragraph" w:customStyle="1" w:styleId="Bullet1">
    <w:name w:val="Bullet 1"/>
    <w:basedOn w:val="Normal"/>
    <w:pPr>
      <w:numPr>
        <w:numId w:val="44"/>
      </w:numPr>
    </w:pPr>
  </w:style>
  <w:style w:type="paragraph" w:customStyle="1" w:styleId="Bullet2">
    <w:name w:val="Bullet 2"/>
    <w:basedOn w:val="Normal"/>
    <w:pPr>
      <w:numPr>
        <w:numId w:val="45"/>
      </w:numPr>
    </w:pPr>
  </w:style>
  <w:style w:type="paragraph" w:customStyle="1" w:styleId="Bullet3">
    <w:name w:val="Bullet 3"/>
    <w:basedOn w:val="Normal"/>
    <w:pPr>
      <w:numPr>
        <w:numId w:val="46"/>
      </w:numPr>
    </w:pPr>
  </w:style>
  <w:style w:type="paragraph" w:customStyle="1" w:styleId="Bullet4">
    <w:name w:val="Bullet 4"/>
    <w:basedOn w:val="Normal"/>
    <w:pPr>
      <w:numPr>
        <w:numId w:val="4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FB3DE3"/>
    <w:pPr>
      <w:tabs>
        <w:tab w:val="center" w:pos="4535"/>
        <w:tab w:val="right" w:pos="9071"/>
      </w:tabs>
      <w:spacing w:before="0"/>
    </w:pPr>
  </w:style>
  <w:style w:type="paragraph" w:customStyle="1" w:styleId="HeaderLandscape">
    <w:name w:val="HeaderLandscape"/>
    <w:basedOn w:val="Normal"/>
    <w:rsid w:val="00FB3DE3"/>
    <w:pPr>
      <w:tabs>
        <w:tab w:val="center" w:pos="7285"/>
        <w:tab w:val="right" w:pos="14003"/>
      </w:tabs>
      <w:spacing w:before="0"/>
    </w:pPr>
  </w:style>
  <w:style w:type="paragraph" w:styleId="Footer">
    <w:name w:val="footer"/>
    <w:basedOn w:val="Normal"/>
    <w:link w:val="FooterChar"/>
    <w:uiPriority w:val="99"/>
    <w:unhideWhenUsed/>
    <w:rsid w:val="00FB3DE3"/>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FB3DE3"/>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1468">
      <w:bodyDiv w:val="1"/>
      <w:marLeft w:val="0"/>
      <w:marRight w:val="0"/>
      <w:marTop w:val="0"/>
      <w:marBottom w:val="0"/>
      <w:divBdr>
        <w:top w:val="none" w:sz="0" w:space="0" w:color="auto"/>
        <w:left w:val="none" w:sz="0" w:space="0" w:color="auto"/>
        <w:bottom w:val="none" w:sz="0" w:space="0" w:color="auto"/>
        <w:right w:val="none" w:sz="0" w:space="0" w:color="auto"/>
      </w:divBdr>
    </w:div>
    <w:div w:id="185296125">
      <w:bodyDiv w:val="1"/>
      <w:marLeft w:val="0"/>
      <w:marRight w:val="0"/>
      <w:marTop w:val="0"/>
      <w:marBottom w:val="0"/>
      <w:divBdr>
        <w:top w:val="none" w:sz="0" w:space="0" w:color="auto"/>
        <w:left w:val="none" w:sz="0" w:space="0" w:color="auto"/>
        <w:bottom w:val="none" w:sz="0" w:space="0" w:color="auto"/>
        <w:right w:val="none" w:sz="0" w:space="0" w:color="auto"/>
      </w:divBdr>
    </w:div>
    <w:div w:id="218517133">
      <w:bodyDiv w:val="1"/>
      <w:marLeft w:val="0"/>
      <w:marRight w:val="0"/>
      <w:marTop w:val="0"/>
      <w:marBottom w:val="0"/>
      <w:divBdr>
        <w:top w:val="none" w:sz="0" w:space="0" w:color="auto"/>
        <w:left w:val="none" w:sz="0" w:space="0" w:color="auto"/>
        <w:bottom w:val="none" w:sz="0" w:space="0" w:color="auto"/>
        <w:right w:val="none" w:sz="0" w:space="0" w:color="auto"/>
      </w:divBdr>
    </w:div>
    <w:div w:id="385686683">
      <w:bodyDiv w:val="1"/>
      <w:marLeft w:val="0"/>
      <w:marRight w:val="0"/>
      <w:marTop w:val="0"/>
      <w:marBottom w:val="0"/>
      <w:divBdr>
        <w:top w:val="none" w:sz="0" w:space="0" w:color="auto"/>
        <w:left w:val="none" w:sz="0" w:space="0" w:color="auto"/>
        <w:bottom w:val="none" w:sz="0" w:space="0" w:color="auto"/>
        <w:right w:val="none" w:sz="0" w:space="0" w:color="auto"/>
      </w:divBdr>
      <w:divsChild>
        <w:div w:id="1288583222">
          <w:marLeft w:val="-75"/>
          <w:marRight w:val="0"/>
          <w:marTop w:val="30"/>
          <w:marBottom w:val="30"/>
          <w:divBdr>
            <w:top w:val="none" w:sz="0" w:space="0" w:color="auto"/>
            <w:left w:val="none" w:sz="0" w:space="0" w:color="auto"/>
            <w:bottom w:val="none" w:sz="0" w:space="0" w:color="auto"/>
            <w:right w:val="none" w:sz="0" w:space="0" w:color="auto"/>
          </w:divBdr>
          <w:divsChild>
            <w:div w:id="285501887">
              <w:marLeft w:val="0"/>
              <w:marRight w:val="0"/>
              <w:marTop w:val="0"/>
              <w:marBottom w:val="0"/>
              <w:divBdr>
                <w:top w:val="none" w:sz="0" w:space="0" w:color="auto"/>
                <w:left w:val="none" w:sz="0" w:space="0" w:color="auto"/>
                <w:bottom w:val="none" w:sz="0" w:space="0" w:color="auto"/>
                <w:right w:val="none" w:sz="0" w:space="0" w:color="auto"/>
              </w:divBdr>
              <w:divsChild>
                <w:div w:id="1315451774">
                  <w:marLeft w:val="0"/>
                  <w:marRight w:val="0"/>
                  <w:marTop w:val="0"/>
                  <w:marBottom w:val="0"/>
                  <w:divBdr>
                    <w:top w:val="none" w:sz="0" w:space="0" w:color="auto"/>
                    <w:left w:val="none" w:sz="0" w:space="0" w:color="auto"/>
                    <w:bottom w:val="none" w:sz="0" w:space="0" w:color="auto"/>
                    <w:right w:val="none" w:sz="0" w:space="0" w:color="auto"/>
                  </w:divBdr>
                </w:div>
              </w:divsChild>
            </w:div>
            <w:div w:id="301160620">
              <w:marLeft w:val="0"/>
              <w:marRight w:val="0"/>
              <w:marTop w:val="0"/>
              <w:marBottom w:val="0"/>
              <w:divBdr>
                <w:top w:val="none" w:sz="0" w:space="0" w:color="auto"/>
                <w:left w:val="none" w:sz="0" w:space="0" w:color="auto"/>
                <w:bottom w:val="none" w:sz="0" w:space="0" w:color="auto"/>
                <w:right w:val="none" w:sz="0" w:space="0" w:color="auto"/>
              </w:divBdr>
              <w:divsChild>
                <w:div w:id="1407070011">
                  <w:marLeft w:val="0"/>
                  <w:marRight w:val="0"/>
                  <w:marTop w:val="0"/>
                  <w:marBottom w:val="0"/>
                  <w:divBdr>
                    <w:top w:val="none" w:sz="0" w:space="0" w:color="auto"/>
                    <w:left w:val="none" w:sz="0" w:space="0" w:color="auto"/>
                    <w:bottom w:val="none" w:sz="0" w:space="0" w:color="auto"/>
                    <w:right w:val="none" w:sz="0" w:space="0" w:color="auto"/>
                  </w:divBdr>
                </w:div>
              </w:divsChild>
            </w:div>
            <w:div w:id="323246034">
              <w:marLeft w:val="0"/>
              <w:marRight w:val="0"/>
              <w:marTop w:val="0"/>
              <w:marBottom w:val="0"/>
              <w:divBdr>
                <w:top w:val="none" w:sz="0" w:space="0" w:color="auto"/>
                <w:left w:val="none" w:sz="0" w:space="0" w:color="auto"/>
                <w:bottom w:val="none" w:sz="0" w:space="0" w:color="auto"/>
                <w:right w:val="none" w:sz="0" w:space="0" w:color="auto"/>
              </w:divBdr>
              <w:divsChild>
                <w:div w:id="2069960990">
                  <w:marLeft w:val="0"/>
                  <w:marRight w:val="0"/>
                  <w:marTop w:val="0"/>
                  <w:marBottom w:val="0"/>
                  <w:divBdr>
                    <w:top w:val="none" w:sz="0" w:space="0" w:color="auto"/>
                    <w:left w:val="none" w:sz="0" w:space="0" w:color="auto"/>
                    <w:bottom w:val="none" w:sz="0" w:space="0" w:color="auto"/>
                    <w:right w:val="none" w:sz="0" w:space="0" w:color="auto"/>
                  </w:divBdr>
                </w:div>
              </w:divsChild>
            </w:div>
            <w:div w:id="396175445">
              <w:marLeft w:val="0"/>
              <w:marRight w:val="0"/>
              <w:marTop w:val="0"/>
              <w:marBottom w:val="0"/>
              <w:divBdr>
                <w:top w:val="none" w:sz="0" w:space="0" w:color="auto"/>
                <w:left w:val="none" w:sz="0" w:space="0" w:color="auto"/>
                <w:bottom w:val="none" w:sz="0" w:space="0" w:color="auto"/>
                <w:right w:val="none" w:sz="0" w:space="0" w:color="auto"/>
              </w:divBdr>
              <w:divsChild>
                <w:div w:id="786772239">
                  <w:marLeft w:val="0"/>
                  <w:marRight w:val="0"/>
                  <w:marTop w:val="0"/>
                  <w:marBottom w:val="0"/>
                  <w:divBdr>
                    <w:top w:val="none" w:sz="0" w:space="0" w:color="auto"/>
                    <w:left w:val="none" w:sz="0" w:space="0" w:color="auto"/>
                    <w:bottom w:val="none" w:sz="0" w:space="0" w:color="auto"/>
                    <w:right w:val="none" w:sz="0" w:space="0" w:color="auto"/>
                  </w:divBdr>
                </w:div>
              </w:divsChild>
            </w:div>
            <w:div w:id="436294598">
              <w:marLeft w:val="0"/>
              <w:marRight w:val="0"/>
              <w:marTop w:val="0"/>
              <w:marBottom w:val="0"/>
              <w:divBdr>
                <w:top w:val="none" w:sz="0" w:space="0" w:color="auto"/>
                <w:left w:val="none" w:sz="0" w:space="0" w:color="auto"/>
                <w:bottom w:val="none" w:sz="0" w:space="0" w:color="auto"/>
                <w:right w:val="none" w:sz="0" w:space="0" w:color="auto"/>
              </w:divBdr>
              <w:divsChild>
                <w:div w:id="436220752">
                  <w:marLeft w:val="0"/>
                  <w:marRight w:val="0"/>
                  <w:marTop w:val="0"/>
                  <w:marBottom w:val="0"/>
                  <w:divBdr>
                    <w:top w:val="none" w:sz="0" w:space="0" w:color="auto"/>
                    <w:left w:val="none" w:sz="0" w:space="0" w:color="auto"/>
                    <w:bottom w:val="none" w:sz="0" w:space="0" w:color="auto"/>
                    <w:right w:val="none" w:sz="0" w:space="0" w:color="auto"/>
                  </w:divBdr>
                </w:div>
              </w:divsChild>
            </w:div>
            <w:div w:id="460349654">
              <w:marLeft w:val="0"/>
              <w:marRight w:val="0"/>
              <w:marTop w:val="0"/>
              <w:marBottom w:val="0"/>
              <w:divBdr>
                <w:top w:val="none" w:sz="0" w:space="0" w:color="auto"/>
                <w:left w:val="none" w:sz="0" w:space="0" w:color="auto"/>
                <w:bottom w:val="none" w:sz="0" w:space="0" w:color="auto"/>
                <w:right w:val="none" w:sz="0" w:space="0" w:color="auto"/>
              </w:divBdr>
              <w:divsChild>
                <w:div w:id="32191199">
                  <w:marLeft w:val="0"/>
                  <w:marRight w:val="0"/>
                  <w:marTop w:val="0"/>
                  <w:marBottom w:val="0"/>
                  <w:divBdr>
                    <w:top w:val="none" w:sz="0" w:space="0" w:color="auto"/>
                    <w:left w:val="none" w:sz="0" w:space="0" w:color="auto"/>
                    <w:bottom w:val="none" w:sz="0" w:space="0" w:color="auto"/>
                    <w:right w:val="none" w:sz="0" w:space="0" w:color="auto"/>
                  </w:divBdr>
                </w:div>
              </w:divsChild>
            </w:div>
            <w:div w:id="470828856">
              <w:marLeft w:val="0"/>
              <w:marRight w:val="0"/>
              <w:marTop w:val="0"/>
              <w:marBottom w:val="0"/>
              <w:divBdr>
                <w:top w:val="none" w:sz="0" w:space="0" w:color="auto"/>
                <w:left w:val="none" w:sz="0" w:space="0" w:color="auto"/>
                <w:bottom w:val="none" w:sz="0" w:space="0" w:color="auto"/>
                <w:right w:val="none" w:sz="0" w:space="0" w:color="auto"/>
              </w:divBdr>
              <w:divsChild>
                <w:div w:id="1487820440">
                  <w:marLeft w:val="0"/>
                  <w:marRight w:val="0"/>
                  <w:marTop w:val="0"/>
                  <w:marBottom w:val="0"/>
                  <w:divBdr>
                    <w:top w:val="none" w:sz="0" w:space="0" w:color="auto"/>
                    <w:left w:val="none" w:sz="0" w:space="0" w:color="auto"/>
                    <w:bottom w:val="none" w:sz="0" w:space="0" w:color="auto"/>
                    <w:right w:val="none" w:sz="0" w:space="0" w:color="auto"/>
                  </w:divBdr>
                </w:div>
              </w:divsChild>
            </w:div>
            <w:div w:id="479350181">
              <w:marLeft w:val="0"/>
              <w:marRight w:val="0"/>
              <w:marTop w:val="0"/>
              <w:marBottom w:val="0"/>
              <w:divBdr>
                <w:top w:val="none" w:sz="0" w:space="0" w:color="auto"/>
                <w:left w:val="none" w:sz="0" w:space="0" w:color="auto"/>
                <w:bottom w:val="none" w:sz="0" w:space="0" w:color="auto"/>
                <w:right w:val="none" w:sz="0" w:space="0" w:color="auto"/>
              </w:divBdr>
              <w:divsChild>
                <w:div w:id="884030249">
                  <w:marLeft w:val="0"/>
                  <w:marRight w:val="0"/>
                  <w:marTop w:val="0"/>
                  <w:marBottom w:val="0"/>
                  <w:divBdr>
                    <w:top w:val="none" w:sz="0" w:space="0" w:color="auto"/>
                    <w:left w:val="none" w:sz="0" w:space="0" w:color="auto"/>
                    <w:bottom w:val="none" w:sz="0" w:space="0" w:color="auto"/>
                    <w:right w:val="none" w:sz="0" w:space="0" w:color="auto"/>
                  </w:divBdr>
                </w:div>
              </w:divsChild>
            </w:div>
            <w:div w:id="565065680">
              <w:marLeft w:val="0"/>
              <w:marRight w:val="0"/>
              <w:marTop w:val="0"/>
              <w:marBottom w:val="0"/>
              <w:divBdr>
                <w:top w:val="none" w:sz="0" w:space="0" w:color="auto"/>
                <w:left w:val="none" w:sz="0" w:space="0" w:color="auto"/>
                <w:bottom w:val="none" w:sz="0" w:space="0" w:color="auto"/>
                <w:right w:val="none" w:sz="0" w:space="0" w:color="auto"/>
              </w:divBdr>
              <w:divsChild>
                <w:div w:id="1233008304">
                  <w:marLeft w:val="0"/>
                  <w:marRight w:val="0"/>
                  <w:marTop w:val="0"/>
                  <w:marBottom w:val="0"/>
                  <w:divBdr>
                    <w:top w:val="none" w:sz="0" w:space="0" w:color="auto"/>
                    <w:left w:val="none" w:sz="0" w:space="0" w:color="auto"/>
                    <w:bottom w:val="none" w:sz="0" w:space="0" w:color="auto"/>
                    <w:right w:val="none" w:sz="0" w:space="0" w:color="auto"/>
                  </w:divBdr>
                </w:div>
              </w:divsChild>
            </w:div>
            <w:div w:id="610472691">
              <w:marLeft w:val="0"/>
              <w:marRight w:val="0"/>
              <w:marTop w:val="0"/>
              <w:marBottom w:val="0"/>
              <w:divBdr>
                <w:top w:val="none" w:sz="0" w:space="0" w:color="auto"/>
                <w:left w:val="none" w:sz="0" w:space="0" w:color="auto"/>
                <w:bottom w:val="none" w:sz="0" w:space="0" w:color="auto"/>
                <w:right w:val="none" w:sz="0" w:space="0" w:color="auto"/>
              </w:divBdr>
              <w:divsChild>
                <w:div w:id="207838402">
                  <w:marLeft w:val="0"/>
                  <w:marRight w:val="0"/>
                  <w:marTop w:val="0"/>
                  <w:marBottom w:val="0"/>
                  <w:divBdr>
                    <w:top w:val="none" w:sz="0" w:space="0" w:color="auto"/>
                    <w:left w:val="none" w:sz="0" w:space="0" w:color="auto"/>
                    <w:bottom w:val="none" w:sz="0" w:space="0" w:color="auto"/>
                    <w:right w:val="none" w:sz="0" w:space="0" w:color="auto"/>
                  </w:divBdr>
                </w:div>
              </w:divsChild>
            </w:div>
            <w:div w:id="633799356">
              <w:marLeft w:val="0"/>
              <w:marRight w:val="0"/>
              <w:marTop w:val="0"/>
              <w:marBottom w:val="0"/>
              <w:divBdr>
                <w:top w:val="none" w:sz="0" w:space="0" w:color="auto"/>
                <w:left w:val="none" w:sz="0" w:space="0" w:color="auto"/>
                <w:bottom w:val="none" w:sz="0" w:space="0" w:color="auto"/>
                <w:right w:val="none" w:sz="0" w:space="0" w:color="auto"/>
              </w:divBdr>
              <w:divsChild>
                <w:div w:id="1295722420">
                  <w:marLeft w:val="0"/>
                  <w:marRight w:val="0"/>
                  <w:marTop w:val="0"/>
                  <w:marBottom w:val="0"/>
                  <w:divBdr>
                    <w:top w:val="none" w:sz="0" w:space="0" w:color="auto"/>
                    <w:left w:val="none" w:sz="0" w:space="0" w:color="auto"/>
                    <w:bottom w:val="none" w:sz="0" w:space="0" w:color="auto"/>
                    <w:right w:val="none" w:sz="0" w:space="0" w:color="auto"/>
                  </w:divBdr>
                </w:div>
              </w:divsChild>
            </w:div>
            <w:div w:id="675032941">
              <w:marLeft w:val="0"/>
              <w:marRight w:val="0"/>
              <w:marTop w:val="0"/>
              <w:marBottom w:val="0"/>
              <w:divBdr>
                <w:top w:val="none" w:sz="0" w:space="0" w:color="auto"/>
                <w:left w:val="none" w:sz="0" w:space="0" w:color="auto"/>
                <w:bottom w:val="none" w:sz="0" w:space="0" w:color="auto"/>
                <w:right w:val="none" w:sz="0" w:space="0" w:color="auto"/>
              </w:divBdr>
              <w:divsChild>
                <w:div w:id="746656213">
                  <w:marLeft w:val="0"/>
                  <w:marRight w:val="0"/>
                  <w:marTop w:val="0"/>
                  <w:marBottom w:val="0"/>
                  <w:divBdr>
                    <w:top w:val="none" w:sz="0" w:space="0" w:color="auto"/>
                    <w:left w:val="none" w:sz="0" w:space="0" w:color="auto"/>
                    <w:bottom w:val="none" w:sz="0" w:space="0" w:color="auto"/>
                    <w:right w:val="none" w:sz="0" w:space="0" w:color="auto"/>
                  </w:divBdr>
                </w:div>
              </w:divsChild>
            </w:div>
            <w:div w:id="759528835">
              <w:marLeft w:val="0"/>
              <w:marRight w:val="0"/>
              <w:marTop w:val="0"/>
              <w:marBottom w:val="0"/>
              <w:divBdr>
                <w:top w:val="none" w:sz="0" w:space="0" w:color="auto"/>
                <w:left w:val="none" w:sz="0" w:space="0" w:color="auto"/>
                <w:bottom w:val="none" w:sz="0" w:space="0" w:color="auto"/>
                <w:right w:val="none" w:sz="0" w:space="0" w:color="auto"/>
              </w:divBdr>
              <w:divsChild>
                <w:div w:id="303045071">
                  <w:marLeft w:val="0"/>
                  <w:marRight w:val="0"/>
                  <w:marTop w:val="0"/>
                  <w:marBottom w:val="0"/>
                  <w:divBdr>
                    <w:top w:val="none" w:sz="0" w:space="0" w:color="auto"/>
                    <w:left w:val="none" w:sz="0" w:space="0" w:color="auto"/>
                    <w:bottom w:val="none" w:sz="0" w:space="0" w:color="auto"/>
                    <w:right w:val="none" w:sz="0" w:space="0" w:color="auto"/>
                  </w:divBdr>
                </w:div>
              </w:divsChild>
            </w:div>
            <w:div w:id="761336657">
              <w:marLeft w:val="0"/>
              <w:marRight w:val="0"/>
              <w:marTop w:val="0"/>
              <w:marBottom w:val="0"/>
              <w:divBdr>
                <w:top w:val="none" w:sz="0" w:space="0" w:color="auto"/>
                <w:left w:val="none" w:sz="0" w:space="0" w:color="auto"/>
                <w:bottom w:val="none" w:sz="0" w:space="0" w:color="auto"/>
                <w:right w:val="none" w:sz="0" w:space="0" w:color="auto"/>
              </w:divBdr>
              <w:divsChild>
                <w:div w:id="1138568206">
                  <w:marLeft w:val="0"/>
                  <w:marRight w:val="0"/>
                  <w:marTop w:val="0"/>
                  <w:marBottom w:val="0"/>
                  <w:divBdr>
                    <w:top w:val="none" w:sz="0" w:space="0" w:color="auto"/>
                    <w:left w:val="none" w:sz="0" w:space="0" w:color="auto"/>
                    <w:bottom w:val="none" w:sz="0" w:space="0" w:color="auto"/>
                    <w:right w:val="none" w:sz="0" w:space="0" w:color="auto"/>
                  </w:divBdr>
                </w:div>
              </w:divsChild>
            </w:div>
            <w:div w:id="790130654">
              <w:marLeft w:val="0"/>
              <w:marRight w:val="0"/>
              <w:marTop w:val="0"/>
              <w:marBottom w:val="0"/>
              <w:divBdr>
                <w:top w:val="none" w:sz="0" w:space="0" w:color="auto"/>
                <w:left w:val="none" w:sz="0" w:space="0" w:color="auto"/>
                <w:bottom w:val="none" w:sz="0" w:space="0" w:color="auto"/>
                <w:right w:val="none" w:sz="0" w:space="0" w:color="auto"/>
              </w:divBdr>
              <w:divsChild>
                <w:div w:id="1308046494">
                  <w:marLeft w:val="0"/>
                  <w:marRight w:val="0"/>
                  <w:marTop w:val="0"/>
                  <w:marBottom w:val="0"/>
                  <w:divBdr>
                    <w:top w:val="none" w:sz="0" w:space="0" w:color="auto"/>
                    <w:left w:val="none" w:sz="0" w:space="0" w:color="auto"/>
                    <w:bottom w:val="none" w:sz="0" w:space="0" w:color="auto"/>
                    <w:right w:val="none" w:sz="0" w:space="0" w:color="auto"/>
                  </w:divBdr>
                </w:div>
              </w:divsChild>
            </w:div>
            <w:div w:id="1030449708">
              <w:marLeft w:val="0"/>
              <w:marRight w:val="0"/>
              <w:marTop w:val="0"/>
              <w:marBottom w:val="0"/>
              <w:divBdr>
                <w:top w:val="none" w:sz="0" w:space="0" w:color="auto"/>
                <w:left w:val="none" w:sz="0" w:space="0" w:color="auto"/>
                <w:bottom w:val="none" w:sz="0" w:space="0" w:color="auto"/>
                <w:right w:val="none" w:sz="0" w:space="0" w:color="auto"/>
              </w:divBdr>
              <w:divsChild>
                <w:div w:id="178005193">
                  <w:marLeft w:val="0"/>
                  <w:marRight w:val="0"/>
                  <w:marTop w:val="0"/>
                  <w:marBottom w:val="0"/>
                  <w:divBdr>
                    <w:top w:val="none" w:sz="0" w:space="0" w:color="auto"/>
                    <w:left w:val="none" w:sz="0" w:space="0" w:color="auto"/>
                    <w:bottom w:val="none" w:sz="0" w:space="0" w:color="auto"/>
                    <w:right w:val="none" w:sz="0" w:space="0" w:color="auto"/>
                  </w:divBdr>
                </w:div>
              </w:divsChild>
            </w:div>
            <w:div w:id="1098797005">
              <w:marLeft w:val="0"/>
              <w:marRight w:val="0"/>
              <w:marTop w:val="0"/>
              <w:marBottom w:val="0"/>
              <w:divBdr>
                <w:top w:val="none" w:sz="0" w:space="0" w:color="auto"/>
                <w:left w:val="none" w:sz="0" w:space="0" w:color="auto"/>
                <w:bottom w:val="none" w:sz="0" w:space="0" w:color="auto"/>
                <w:right w:val="none" w:sz="0" w:space="0" w:color="auto"/>
              </w:divBdr>
              <w:divsChild>
                <w:div w:id="1654410677">
                  <w:marLeft w:val="0"/>
                  <w:marRight w:val="0"/>
                  <w:marTop w:val="0"/>
                  <w:marBottom w:val="0"/>
                  <w:divBdr>
                    <w:top w:val="none" w:sz="0" w:space="0" w:color="auto"/>
                    <w:left w:val="none" w:sz="0" w:space="0" w:color="auto"/>
                    <w:bottom w:val="none" w:sz="0" w:space="0" w:color="auto"/>
                    <w:right w:val="none" w:sz="0" w:space="0" w:color="auto"/>
                  </w:divBdr>
                </w:div>
              </w:divsChild>
            </w:div>
            <w:div w:id="1111702650">
              <w:marLeft w:val="0"/>
              <w:marRight w:val="0"/>
              <w:marTop w:val="0"/>
              <w:marBottom w:val="0"/>
              <w:divBdr>
                <w:top w:val="none" w:sz="0" w:space="0" w:color="auto"/>
                <w:left w:val="none" w:sz="0" w:space="0" w:color="auto"/>
                <w:bottom w:val="none" w:sz="0" w:space="0" w:color="auto"/>
                <w:right w:val="none" w:sz="0" w:space="0" w:color="auto"/>
              </w:divBdr>
              <w:divsChild>
                <w:div w:id="990403569">
                  <w:marLeft w:val="0"/>
                  <w:marRight w:val="0"/>
                  <w:marTop w:val="0"/>
                  <w:marBottom w:val="0"/>
                  <w:divBdr>
                    <w:top w:val="none" w:sz="0" w:space="0" w:color="auto"/>
                    <w:left w:val="none" w:sz="0" w:space="0" w:color="auto"/>
                    <w:bottom w:val="none" w:sz="0" w:space="0" w:color="auto"/>
                    <w:right w:val="none" w:sz="0" w:space="0" w:color="auto"/>
                  </w:divBdr>
                </w:div>
              </w:divsChild>
            </w:div>
            <w:div w:id="1167359958">
              <w:marLeft w:val="0"/>
              <w:marRight w:val="0"/>
              <w:marTop w:val="0"/>
              <w:marBottom w:val="0"/>
              <w:divBdr>
                <w:top w:val="none" w:sz="0" w:space="0" w:color="auto"/>
                <w:left w:val="none" w:sz="0" w:space="0" w:color="auto"/>
                <w:bottom w:val="none" w:sz="0" w:space="0" w:color="auto"/>
                <w:right w:val="none" w:sz="0" w:space="0" w:color="auto"/>
              </w:divBdr>
              <w:divsChild>
                <w:div w:id="444929077">
                  <w:marLeft w:val="0"/>
                  <w:marRight w:val="0"/>
                  <w:marTop w:val="0"/>
                  <w:marBottom w:val="0"/>
                  <w:divBdr>
                    <w:top w:val="none" w:sz="0" w:space="0" w:color="auto"/>
                    <w:left w:val="none" w:sz="0" w:space="0" w:color="auto"/>
                    <w:bottom w:val="none" w:sz="0" w:space="0" w:color="auto"/>
                    <w:right w:val="none" w:sz="0" w:space="0" w:color="auto"/>
                  </w:divBdr>
                </w:div>
              </w:divsChild>
            </w:div>
            <w:div w:id="1253465231">
              <w:marLeft w:val="0"/>
              <w:marRight w:val="0"/>
              <w:marTop w:val="0"/>
              <w:marBottom w:val="0"/>
              <w:divBdr>
                <w:top w:val="none" w:sz="0" w:space="0" w:color="auto"/>
                <w:left w:val="none" w:sz="0" w:space="0" w:color="auto"/>
                <w:bottom w:val="none" w:sz="0" w:space="0" w:color="auto"/>
                <w:right w:val="none" w:sz="0" w:space="0" w:color="auto"/>
              </w:divBdr>
              <w:divsChild>
                <w:div w:id="1146818546">
                  <w:marLeft w:val="0"/>
                  <w:marRight w:val="0"/>
                  <w:marTop w:val="0"/>
                  <w:marBottom w:val="0"/>
                  <w:divBdr>
                    <w:top w:val="none" w:sz="0" w:space="0" w:color="auto"/>
                    <w:left w:val="none" w:sz="0" w:space="0" w:color="auto"/>
                    <w:bottom w:val="none" w:sz="0" w:space="0" w:color="auto"/>
                    <w:right w:val="none" w:sz="0" w:space="0" w:color="auto"/>
                  </w:divBdr>
                </w:div>
              </w:divsChild>
            </w:div>
            <w:div w:id="1253901281">
              <w:marLeft w:val="0"/>
              <w:marRight w:val="0"/>
              <w:marTop w:val="0"/>
              <w:marBottom w:val="0"/>
              <w:divBdr>
                <w:top w:val="none" w:sz="0" w:space="0" w:color="auto"/>
                <w:left w:val="none" w:sz="0" w:space="0" w:color="auto"/>
                <w:bottom w:val="none" w:sz="0" w:space="0" w:color="auto"/>
                <w:right w:val="none" w:sz="0" w:space="0" w:color="auto"/>
              </w:divBdr>
              <w:divsChild>
                <w:div w:id="1850828646">
                  <w:marLeft w:val="0"/>
                  <w:marRight w:val="0"/>
                  <w:marTop w:val="0"/>
                  <w:marBottom w:val="0"/>
                  <w:divBdr>
                    <w:top w:val="none" w:sz="0" w:space="0" w:color="auto"/>
                    <w:left w:val="none" w:sz="0" w:space="0" w:color="auto"/>
                    <w:bottom w:val="none" w:sz="0" w:space="0" w:color="auto"/>
                    <w:right w:val="none" w:sz="0" w:space="0" w:color="auto"/>
                  </w:divBdr>
                </w:div>
              </w:divsChild>
            </w:div>
            <w:div w:id="1291671546">
              <w:marLeft w:val="0"/>
              <w:marRight w:val="0"/>
              <w:marTop w:val="0"/>
              <w:marBottom w:val="0"/>
              <w:divBdr>
                <w:top w:val="none" w:sz="0" w:space="0" w:color="auto"/>
                <w:left w:val="none" w:sz="0" w:space="0" w:color="auto"/>
                <w:bottom w:val="none" w:sz="0" w:space="0" w:color="auto"/>
                <w:right w:val="none" w:sz="0" w:space="0" w:color="auto"/>
              </w:divBdr>
              <w:divsChild>
                <w:div w:id="801851452">
                  <w:marLeft w:val="0"/>
                  <w:marRight w:val="0"/>
                  <w:marTop w:val="0"/>
                  <w:marBottom w:val="0"/>
                  <w:divBdr>
                    <w:top w:val="none" w:sz="0" w:space="0" w:color="auto"/>
                    <w:left w:val="none" w:sz="0" w:space="0" w:color="auto"/>
                    <w:bottom w:val="none" w:sz="0" w:space="0" w:color="auto"/>
                    <w:right w:val="none" w:sz="0" w:space="0" w:color="auto"/>
                  </w:divBdr>
                </w:div>
              </w:divsChild>
            </w:div>
            <w:div w:id="1431193325">
              <w:marLeft w:val="0"/>
              <w:marRight w:val="0"/>
              <w:marTop w:val="0"/>
              <w:marBottom w:val="0"/>
              <w:divBdr>
                <w:top w:val="none" w:sz="0" w:space="0" w:color="auto"/>
                <w:left w:val="none" w:sz="0" w:space="0" w:color="auto"/>
                <w:bottom w:val="none" w:sz="0" w:space="0" w:color="auto"/>
                <w:right w:val="none" w:sz="0" w:space="0" w:color="auto"/>
              </w:divBdr>
              <w:divsChild>
                <w:div w:id="1472674639">
                  <w:marLeft w:val="0"/>
                  <w:marRight w:val="0"/>
                  <w:marTop w:val="0"/>
                  <w:marBottom w:val="0"/>
                  <w:divBdr>
                    <w:top w:val="none" w:sz="0" w:space="0" w:color="auto"/>
                    <w:left w:val="none" w:sz="0" w:space="0" w:color="auto"/>
                    <w:bottom w:val="none" w:sz="0" w:space="0" w:color="auto"/>
                    <w:right w:val="none" w:sz="0" w:space="0" w:color="auto"/>
                  </w:divBdr>
                </w:div>
              </w:divsChild>
            </w:div>
            <w:div w:id="1493374082">
              <w:marLeft w:val="0"/>
              <w:marRight w:val="0"/>
              <w:marTop w:val="0"/>
              <w:marBottom w:val="0"/>
              <w:divBdr>
                <w:top w:val="none" w:sz="0" w:space="0" w:color="auto"/>
                <w:left w:val="none" w:sz="0" w:space="0" w:color="auto"/>
                <w:bottom w:val="none" w:sz="0" w:space="0" w:color="auto"/>
                <w:right w:val="none" w:sz="0" w:space="0" w:color="auto"/>
              </w:divBdr>
              <w:divsChild>
                <w:div w:id="707795799">
                  <w:marLeft w:val="0"/>
                  <w:marRight w:val="0"/>
                  <w:marTop w:val="0"/>
                  <w:marBottom w:val="0"/>
                  <w:divBdr>
                    <w:top w:val="none" w:sz="0" w:space="0" w:color="auto"/>
                    <w:left w:val="none" w:sz="0" w:space="0" w:color="auto"/>
                    <w:bottom w:val="none" w:sz="0" w:space="0" w:color="auto"/>
                    <w:right w:val="none" w:sz="0" w:space="0" w:color="auto"/>
                  </w:divBdr>
                </w:div>
              </w:divsChild>
            </w:div>
            <w:div w:id="1501041420">
              <w:marLeft w:val="0"/>
              <w:marRight w:val="0"/>
              <w:marTop w:val="0"/>
              <w:marBottom w:val="0"/>
              <w:divBdr>
                <w:top w:val="none" w:sz="0" w:space="0" w:color="auto"/>
                <w:left w:val="none" w:sz="0" w:space="0" w:color="auto"/>
                <w:bottom w:val="none" w:sz="0" w:space="0" w:color="auto"/>
                <w:right w:val="none" w:sz="0" w:space="0" w:color="auto"/>
              </w:divBdr>
              <w:divsChild>
                <w:div w:id="990913941">
                  <w:marLeft w:val="0"/>
                  <w:marRight w:val="0"/>
                  <w:marTop w:val="0"/>
                  <w:marBottom w:val="0"/>
                  <w:divBdr>
                    <w:top w:val="none" w:sz="0" w:space="0" w:color="auto"/>
                    <w:left w:val="none" w:sz="0" w:space="0" w:color="auto"/>
                    <w:bottom w:val="none" w:sz="0" w:space="0" w:color="auto"/>
                    <w:right w:val="none" w:sz="0" w:space="0" w:color="auto"/>
                  </w:divBdr>
                </w:div>
              </w:divsChild>
            </w:div>
            <w:div w:id="1537738186">
              <w:marLeft w:val="0"/>
              <w:marRight w:val="0"/>
              <w:marTop w:val="0"/>
              <w:marBottom w:val="0"/>
              <w:divBdr>
                <w:top w:val="none" w:sz="0" w:space="0" w:color="auto"/>
                <w:left w:val="none" w:sz="0" w:space="0" w:color="auto"/>
                <w:bottom w:val="none" w:sz="0" w:space="0" w:color="auto"/>
                <w:right w:val="none" w:sz="0" w:space="0" w:color="auto"/>
              </w:divBdr>
              <w:divsChild>
                <w:div w:id="567763196">
                  <w:marLeft w:val="0"/>
                  <w:marRight w:val="0"/>
                  <w:marTop w:val="0"/>
                  <w:marBottom w:val="0"/>
                  <w:divBdr>
                    <w:top w:val="none" w:sz="0" w:space="0" w:color="auto"/>
                    <w:left w:val="none" w:sz="0" w:space="0" w:color="auto"/>
                    <w:bottom w:val="none" w:sz="0" w:space="0" w:color="auto"/>
                    <w:right w:val="none" w:sz="0" w:space="0" w:color="auto"/>
                  </w:divBdr>
                </w:div>
                <w:div w:id="2126148076">
                  <w:marLeft w:val="0"/>
                  <w:marRight w:val="0"/>
                  <w:marTop w:val="0"/>
                  <w:marBottom w:val="0"/>
                  <w:divBdr>
                    <w:top w:val="none" w:sz="0" w:space="0" w:color="auto"/>
                    <w:left w:val="none" w:sz="0" w:space="0" w:color="auto"/>
                    <w:bottom w:val="none" w:sz="0" w:space="0" w:color="auto"/>
                    <w:right w:val="none" w:sz="0" w:space="0" w:color="auto"/>
                  </w:divBdr>
                </w:div>
              </w:divsChild>
            </w:div>
            <w:div w:id="1635257967">
              <w:marLeft w:val="0"/>
              <w:marRight w:val="0"/>
              <w:marTop w:val="0"/>
              <w:marBottom w:val="0"/>
              <w:divBdr>
                <w:top w:val="none" w:sz="0" w:space="0" w:color="auto"/>
                <w:left w:val="none" w:sz="0" w:space="0" w:color="auto"/>
                <w:bottom w:val="none" w:sz="0" w:space="0" w:color="auto"/>
                <w:right w:val="none" w:sz="0" w:space="0" w:color="auto"/>
              </w:divBdr>
              <w:divsChild>
                <w:div w:id="2039239018">
                  <w:marLeft w:val="0"/>
                  <w:marRight w:val="0"/>
                  <w:marTop w:val="0"/>
                  <w:marBottom w:val="0"/>
                  <w:divBdr>
                    <w:top w:val="none" w:sz="0" w:space="0" w:color="auto"/>
                    <w:left w:val="none" w:sz="0" w:space="0" w:color="auto"/>
                    <w:bottom w:val="none" w:sz="0" w:space="0" w:color="auto"/>
                    <w:right w:val="none" w:sz="0" w:space="0" w:color="auto"/>
                  </w:divBdr>
                </w:div>
              </w:divsChild>
            </w:div>
            <w:div w:id="1678846907">
              <w:marLeft w:val="0"/>
              <w:marRight w:val="0"/>
              <w:marTop w:val="0"/>
              <w:marBottom w:val="0"/>
              <w:divBdr>
                <w:top w:val="none" w:sz="0" w:space="0" w:color="auto"/>
                <w:left w:val="none" w:sz="0" w:space="0" w:color="auto"/>
                <w:bottom w:val="none" w:sz="0" w:space="0" w:color="auto"/>
                <w:right w:val="none" w:sz="0" w:space="0" w:color="auto"/>
              </w:divBdr>
              <w:divsChild>
                <w:div w:id="1534418906">
                  <w:marLeft w:val="0"/>
                  <w:marRight w:val="0"/>
                  <w:marTop w:val="0"/>
                  <w:marBottom w:val="0"/>
                  <w:divBdr>
                    <w:top w:val="none" w:sz="0" w:space="0" w:color="auto"/>
                    <w:left w:val="none" w:sz="0" w:space="0" w:color="auto"/>
                    <w:bottom w:val="none" w:sz="0" w:space="0" w:color="auto"/>
                    <w:right w:val="none" w:sz="0" w:space="0" w:color="auto"/>
                  </w:divBdr>
                </w:div>
              </w:divsChild>
            </w:div>
            <w:div w:id="1976791622">
              <w:marLeft w:val="0"/>
              <w:marRight w:val="0"/>
              <w:marTop w:val="0"/>
              <w:marBottom w:val="0"/>
              <w:divBdr>
                <w:top w:val="none" w:sz="0" w:space="0" w:color="auto"/>
                <w:left w:val="none" w:sz="0" w:space="0" w:color="auto"/>
                <w:bottom w:val="none" w:sz="0" w:space="0" w:color="auto"/>
                <w:right w:val="none" w:sz="0" w:space="0" w:color="auto"/>
              </w:divBdr>
              <w:divsChild>
                <w:div w:id="229770944">
                  <w:marLeft w:val="0"/>
                  <w:marRight w:val="0"/>
                  <w:marTop w:val="0"/>
                  <w:marBottom w:val="0"/>
                  <w:divBdr>
                    <w:top w:val="none" w:sz="0" w:space="0" w:color="auto"/>
                    <w:left w:val="none" w:sz="0" w:space="0" w:color="auto"/>
                    <w:bottom w:val="none" w:sz="0" w:space="0" w:color="auto"/>
                    <w:right w:val="none" w:sz="0" w:space="0" w:color="auto"/>
                  </w:divBdr>
                </w:div>
              </w:divsChild>
            </w:div>
            <w:div w:id="2039235810">
              <w:marLeft w:val="0"/>
              <w:marRight w:val="0"/>
              <w:marTop w:val="0"/>
              <w:marBottom w:val="0"/>
              <w:divBdr>
                <w:top w:val="none" w:sz="0" w:space="0" w:color="auto"/>
                <w:left w:val="none" w:sz="0" w:space="0" w:color="auto"/>
                <w:bottom w:val="none" w:sz="0" w:space="0" w:color="auto"/>
                <w:right w:val="none" w:sz="0" w:space="0" w:color="auto"/>
              </w:divBdr>
              <w:divsChild>
                <w:div w:id="1982424491">
                  <w:marLeft w:val="0"/>
                  <w:marRight w:val="0"/>
                  <w:marTop w:val="0"/>
                  <w:marBottom w:val="0"/>
                  <w:divBdr>
                    <w:top w:val="none" w:sz="0" w:space="0" w:color="auto"/>
                    <w:left w:val="none" w:sz="0" w:space="0" w:color="auto"/>
                    <w:bottom w:val="none" w:sz="0" w:space="0" w:color="auto"/>
                    <w:right w:val="none" w:sz="0" w:space="0" w:color="auto"/>
                  </w:divBdr>
                </w:div>
              </w:divsChild>
            </w:div>
            <w:div w:id="2081975628">
              <w:marLeft w:val="0"/>
              <w:marRight w:val="0"/>
              <w:marTop w:val="0"/>
              <w:marBottom w:val="0"/>
              <w:divBdr>
                <w:top w:val="none" w:sz="0" w:space="0" w:color="auto"/>
                <w:left w:val="none" w:sz="0" w:space="0" w:color="auto"/>
                <w:bottom w:val="none" w:sz="0" w:space="0" w:color="auto"/>
                <w:right w:val="none" w:sz="0" w:space="0" w:color="auto"/>
              </w:divBdr>
              <w:divsChild>
                <w:div w:id="10211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249">
          <w:marLeft w:val="0"/>
          <w:marRight w:val="0"/>
          <w:marTop w:val="0"/>
          <w:marBottom w:val="0"/>
          <w:divBdr>
            <w:top w:val="none" w:sz="0" w:space="0" w:color="auto"/>
            <w:left w:val="none" w:sz="0" w:space="0" w:color="auto"/>
            <w:bottom w:val="none" w:sz="0" w:space="0" w:color="auto"/>
            <w:right w:val="none" w:sz="0" w:space="0" w:color="auto"/>
          </w:divBdr>
        </w:div>
      </w:divsChild>
    </w:div>
    <w:div w:id="703408578">
      <w:bodyDiv w:val="1"/>
      <w:marLeft w:val="0"/>
      <w:marRight w:val="0"/>
      <w:marTop w:val="0"/>
      <w:marBottom w:val="0"/>
      <w:divBdr>
        <w:top w:val="none" w:sz="0" w:space="0" w:color="auto"/>
        <w:left w:val="none" w:sz="0" w:space="0" w:color="auto"/>
        <w:bottom w:val="none" w:sz="0" w:space="0" w:color="auto"/>
        <w:right w:val="none" w:sz="0" w:space="0" w:color="auto"/>
      </w:divBdr>
      <w:divsChild>
        <w:div w:id="828327188">
          <w:marLeft w:val="-75"/>
          <w:marRight w:val="0"/>
          <w:marTop w:val="30"/>
          <w:marBottom w:val="30"/>
          <w:divBdr>
            <w:top w:val="none" w:sz="0" w:space="0" w:color="auto"/>
            <w:left w:val="none" w:sz="0" w:space="0" w:color="auto"/>
            <w:bottom w:val="none" w:sz="0" w:space="0" w:color="auto"/>
            <w:right w:val="none" w:sz="0" w:space="0" w:color="auto"/>
          </w:divBdr>
          <w:divsChild>
            <w:div w:id="107706930">
              <w:marLeft w:val="0"/>
              <w:marRight w:val="0"/>
              <w:marTop w:val="0"/>
              <w:marBottom w:val="0"/>
              <w:divBdr>
                <w:top w:val="none" w:sz="0" w:space="0" w:color="auto"/>
                <w:left w:val="none" w:sz="0" w:space="0" w:color="auto"/>
                <w:bottom w:val="none" w:sz="0" w:space="0" w:color="auto"/>
                <w:right w:val="none" w:sz="0" w:space="0" w:color="auto"/>
              </w:divBdr>
              <w:divsChild>
                <w:div w:id="1770613341">
                  <w:marLeft w:val="0"/>
                  <w:marRight w:val="0"/>
                  <w:marTop w:val="0"/>
                  <w:marBottom w:val="0"/>
                  <w:divBdr>
                    <w:top w:val="none" w:sz="0" w:space="0" w:color="auto"/>
                    <w:left w:val="none" w:sz="0" w:space="0" w:color="auto"/>
                    <w:bottom w:val="none" w:sz="0" w:space="0" w:color="auto"/>
                    <w:right w:val="none" w:sz="0" w:space="0" w:color="auto"/>
                  </w:divBdr>
                </w:div>
              </w:divsChild>
            </w:div>
            <w:div w:id="114518660">
              <w:marLeft w:val="0"/>
              <w:marRight w:val="0"/>
              <w:marTop w:val="0"/>
              <w:marBottom w:val="0"/>
              <w:divBdr>
                <w:top w:val="none" w:sz="0" w:space="0" w:color="auto"/>
                <w:left w:val="none" w:sz="0" w:space="0" w:color="auto"/>
                <w:bottom w:val="none" w:sz="0" w:space="0" w:color="auto"/>
                <w:right w:val="none" w:sz="0" w:space="0" w:color="auto"/>
              </w:divBdr>
              <w:divsChild>
                <w:div w:id="1985232630">
                  <w:marLeft w:val="0"/>
                  <w:marRight w:val="0"/>
                  <w:marTop w:val="0"/>
                  <w:marBottom w:val="0"/>
                  <w:divBdr>
                    <w:top w:val="none" w:sz="0" w:space="0" w:color="auto"/>
                    <w:left w:val="none" w:sz="0" w:space="0" w:color="auto"/>
                    <w:bottom w:val="none" w:sz="0" w:space="0" w:color="auto"/>
                    <w:right w:val="none" w:sz="0" w:space="0" w:color="auto"/>
                  </w:divBdr>
                </w:div>
              </w:divsChild>
            </w:div>
            <w:div w:id="186872483">
              <w:marLeft w:val="0"/>
              <w:marRight w:val="0"/>
              <w:marTop w:val="0"/>
              <w:marBottom w:val="0"/>
              <w:divBdr>
                <w:top w:val="none" w:sz="0" w:space="0" w:color="auto"/>
                <w:left w:val="none" w:sz="0" w:space="0" w:color="auto"/>
                <w:bottom w:val="none" w:sz="0" w:space="0" w:color="auto"/>
                <w:right w:val="none" w:sz="0" w:space="0" w:color="auto"/>
              </w:divBdr>
              <w:divsChild>
                <w:div w:id="1280532714">
                  <w:marLeft w:val="0"/>
                  <w:marRight w:val="0"/>
                  <w:marTop w:val="0"/>
                  <w:marBottom w:val="0"/>
                  <w:divBdr>
                    <w:top w:val="none" w:sz="0" w:space="0" w:color="auto"/>
                    <w:left w:val="none" w:sz="0" w:space="0" w:color="auto"/>
                    <w:bottom w:val="none" w:sz="0" w:space="0" w:color="auto"/>
                    <w:right w:val="none" w:sz="0" w:space="0" w:color="auto"/>
                  </w:divBdr>
                </w:div>
              </w:divsChild>
            </w:div>
            <w:div w:id="254871382">
              <w:marLeft w:val="0"/>
              <w:marRight w:val="0"/>
              <w:marTop w:val="0"/>
              <w:marBottom w:val="0"/>
              <w:divBdr>
                <w:top w:val="none" w:sz="0" w:space="0" w:color="auto"/>
                <w:left w:val="none" w:sz="0" w:space="0" w:color="auto"/>
                <w:bottom w:val="none" w:sz="0" w:space="0" w:color="auto"/>
                <w:right w:val="none" w:sz="0" w:space="0" w:color="auto"/>
              </w:divBdr>
              <w:divsChild>
                <w:div w:id="1569460649">
                  <w:marLeft w:val="0"/>
                  <w:marRight w:val="0"/>
                  <w:marTop w:val="0"/>
                  <w:marBottom w:val="0"/>
                  <w:divBdr>
                    <w:top w:val="none" w:sz="0" w:space="0" w:color="auto"/>
                    <w:left w:val="none" w:sz="0" w:space="0" w:color="auto"/>
                    <w:bottom w:val="none" w:sz="0" w:space="0" w:color="auto"/>
                    <w:right w:val="none" w:sz="0" w:space="0" w:color="auto"/>
                  </w:divBdr>
                </w:div>
              </w:divsChild>
            </w:div>
            <w:div w:id="284195343">
              <w:marLeft w:val="0"/>
              <w:marRight w:val="0"/>
              <w:marTop w:val="0"/>
              <w:marBottom w:val="0"/>
              <w:divBdr>
                <w:top w:val="none" w:sz="0" w:space="0" w:color="auto"/>
                <w:left w:val="none" w:sz="0" w:space="0" w:color="auto"/>
                <w:bottom w:val="none" w:sz="0" w:space="0" w:color="auto"/>
                <w:right w:val="none" w:sz="0" w:space="0" w:color="auto"/>
              </w:divBdr>
              <w:divsChild>
                <w:div w:id="2016110800">
                  <w:marLeft w:val="0"/>
                  <w:marRight w:val="0"/>
                  <w:marTop w:val="0"/>
                  <w:marBottom w:val="0"/>
                  <w:divBdr>
                    <w:top w:val="none" w:sz="0" w:space="0" w:color="auto"/>
                    <w:left w:val="none" w:sz="0" w:space="0" w:color="auto"/>
                    <w:bottom w:val="none" w:sz="0" w:space="0" w:color="auto"/>
                    <w:right w:val="none" w:sz="0" w:space="0" w:color="auto"/>
                  </w:divBdr>
                </w:div>
              </w:divsChild>
            </w:div>
            <w:div w:id="303388114">
              <w:marLeft w:val="0"/>
              <w:marRight w:val="0"/>
              <w:marTop w:val="0"/>
              <w:marBottom w:val="0"/>
              <w:divBdr>
                <w:top w:val="none" w:sz="0" w:space="0" w:color="auto"/>
                <w:left w:val="none" w:sz="0" w:space="0" w:color="auto"/>
                <w:bottom w:val="none" w:sz="0" w:space="0" w:color="auto"/>
                <w:right w:val="none" w:sz="0" w:space="0" w:color="auto"/>
              </w:divBdr>
              <w:divsChild>
                <w:div w:id="1776364267">
                  <w:marLeft w:val="0"/>
                  <w:marRight w:val="0"/>
                  <w:marTop w:val="0"/>
                  <w:marBottom w:val="0"/>
                  <w:divBdr>
                    <w:top w:val="none" w:sz="0" w:space="0" w:color="auto"/>
                    <w:left w:val="none" w:sz="0" w:space="0" w:color="auto"/>
                    <w:bottom w:val="none" w:sz="0" w:space="0" w:color="auto"/>
                    <w:right w:val="none" w:sz="0" w:space="0" w:color="auto"/>
                  </w:divBdr>
                </w:div>
              </w:divsChild>
            </w:div>
            <w:div w:id="324208707">
              <w:marLeft w:val="0"/>
              <w:marRight w:val="0"/>
              <w:marTop w:val="0"/>
              <w:marBottom w:val="0"/>
              <w:divBdr>
                <w:top w:val="none" w:sz="0" w:space="0" w:color="auto"/>
                <w:left w:val="none" w:sz="0" w:space="0" w:color="auto"/>
                <w:bottom w:val="none" w:sz="0" w:space="0" w:color="auto"/>
                <w:right w:val="none" w:sz="0" w:space="0" w:color="auto"/>
              </w:divBdr>
              <w:divsChild>
                <w:div w:id="970480960">
                  <w:marLeft w:val="0"/>
                  <w:marRight w:val="0"/>
                  <w:marTop w:val="0"/>
                  <w:marBottom w:val="0"/>
                  <w:divBdr>
                    <w:top w:val="none" w:sz="0" w:space="0" w:color="auto"/>
                    <w:left w:val="none" w:sz="0" w:space="0" w:color="auto"/>
                    <w:bottom w:val="none" w:sz="0" w:space="0" w:color="auto"/>
                    <w:right w:val="none" w:sz="0" w:space="0" w:color="auto"/>
                  </w:divBdr>
                </w:div>
              </w:divsChild>
            </w:div>
            <w:div w:id="363987944">
              <w:marLeft w:val="0"/>
              <w:marRight w:val="0"/>
              <w:marTop w:val="0"/>
              <w:marBottom w:val="0"/>
              <w:divBdr>
                <w:top w:val="none" w:sz="0" w:space="0" w:color="auto"/>
                <w:left w:val="none" w:sz="0" w:space="0" w:color="auto"/>
                <w:bottom w:val="none" w:sz="0" w:space="0" w:color="auto"/>
                <w:right w:val="none" w:sz="0" w:space="0" w:color="auto"/>
              </w:divBdr>
              <w:divsChild>
                <w:div w:id="521087176">
                  <w:marLeft w:val="0"/>
                  <w:marRight w:val="0"/>
                  <w:marTop w:val="0"/>
                  <w:marBottom w:val="0"/>
                  <w:divBdr>
                    <w:top w:val="none" w:sz="0" w:space="0" w:color="auto"/>
                    <w:left w:val="none" w:sz="0" w:space="0" w:color="auto"/>
                    <w:bottom w:val="none" w:sz="0" w:space="0" w:color="auto"/>
                    <w:right w:val="none" w:sz="0" w:space="0" w:color="auto"/>
                  </w:divBdr>
                </w:div>
              </w:divsChild>
            </w:div>
            <w:div w:id="374278727">
              <w:marLeft w:val="0"/>
              <w:marRight w:val="0"/>
              <w:marTop w:val="0"/>
              <w:marBottom w:val="0"/>
              <w:divBdr>
                <w:top w:val="none" w:sz="0" w:space="0" w:color="auto"/>
                <w:left w:val="none" w:sz="0" w:space="0" w:color="auto"/>
                <w:bottom w:val="none" w:sz="0" w:space="0" w:color="auto"/>
                <w:right w:val="none" w:sz="0" w:space="0" w:color="auto"/>
              </w:divBdr>
              <w:divsChild>
                <w:div w:id="1870219837">
                  <w:marLeft w:val="0"/>
                  <w:marRight w:val="0"/>
                  <w:marTop w:val="0"/>
                  <w:marBottom w:val="0"/>
                  <w:divBdr>
                    <w:top w:val="none" w:sz="0" w:space="0" w:color="auto"/>
                    <w:left w:val="none" w:sz="0" w:space="0" w:color="auto"/>
                    <w:bottom w:val="none" w:sz="0" w:space="0" w:color="auto"/>
                    <w:right w:val="none" w:sz="0" w:space="0" w:color="auto"/>
                  </w:divBdr>
                </w:div>
              </w:divsChild>
            </w:div>
            <w:div w:id="408310262">
              <w:marLeft w:val="0"/>
              <w:marRight w:val="0"/>
              <w:marTop w:val="0"/>
              <w:marBottom w:val="0"/>
              <w:divBdr>
                <w:top w:val="none" w:sz="0" w:space="0" w:color="auto"/>
                <w:left w:val="none" w:sz="0" w:space="0" w:color="auto"/>
                <w:bottom w:val="none" w:sz="0" w:space="0" w:color="auto"/>
                <w:right w:val="none" w:sz="0" w:space="0" w:color="auto"/>
              </w:divBdr>
              <w:divsChild>
                <w:div w:id="1313291472">
                  <w:marLeft w:val="0"/>
                  <w:marRight w:val="0"/>
                  <w:marTop w:val="0"/>
                  <w:marBottom w:val="0"/>
                  <w:divBdr>
                    <w:top w:val="none" w:sz="0" w:space="0" w:color="auto"/>
                    <w:left w:val="none" w:sz="0" w:space="0" w:color="auto"/>
                    <w:bottom w:val="none" w:sz="0" w:space="0" w:color="auto"/>
                    <w:right w:val="none" w:sz="0" w:space="0" w:color="auto"/>
                  </w:divBdr>
                </w:div>
              </w:divsChild>
            </w:div>
            <w:div w:id="454569178">
              <w:marLeft w:val="0"/>
              <w:marRight w:val="0"/>
              <w:marTop w:val="0"/>
              <w:marBottom w:val="0"/>
              <w:divBdr>
                <w:top w:val="none" w:sz="0" w:space="0" w:color="auto"/>
                <w:left w:val="none" w:sz="0" w:space="0" w:color="auto"/>
                <w:bottom w:val="none" w:sz="0" w:space="0" w:color="auto"/>
                <w:right w:val="none" w:sz="0" w:space="0" w:color="auto"/>
              </w:divBdr>
              <w:divsChild>
                <w:div w:id="1742866660">
                  <w:marLeft w:val="0"/>
                  <w:marRight w:val="0"/>
                  <w:marTop w:val="0"/>
                  <w:marBottom w:val="0"/>
                  <w:divBdr>
                    <w:top w:val="none" w:sz="0" w:space="0" w:color="auto"/>
                    <w:left w:val="none" w:sz="0" w:space="0" w:color="auto"/>
                    <w:bottom w:val="none" w:sz="0" w:space="0" w:color="auto"/>
                    <w:right w:val="none" w:sz="0" w:space="0" w:color="auto"/>
                  </w:divBdr>
                </w:div>
              </w:divsChild>
            </w:div>
            <w:div w:id="496266802">
              <w:marLeft w:val="0"/>
              <w:marRight w:val="0"/>
              <w:marTop w:val="0"/>
              <w:marBottom w:val="0"/>
              <w:divBdr>
                <w:top w:val="none" w:sz="0" w:space="0" w:color="auto"/>
                <w:left w:val="none" w:sz="0" w:space="0" w:color="auto"/>
                <w:bottom w:val="none" w:sz="0" w:space="0" w:color="auto"/>
                <w:right w:val="none" w:sz="0" w:space="0" w:color="auto"/>
              </w:divBdr>
              <w:divsChild>
                <w:div w:id="621158763">
                  <w:marLeft w:val="0"/>
                  <w:marRight w:val="0"/>
                  <w:marTop w:val="0"/>
                  <w:marBottom w:val="0"/>
                  <w:divBdr>
                    <w:top w:val="none" w:sz="0" w:space="0" w:color="auto"/>
                    <w:left w:val="none" w:sz="0" w:space="0" w:color="auto"/>
                    <w:bottom w:val="none" w:sz="0" w:space="0" w:color="auto"/>
                    <w:right w:val="none" w:sz="0" w:space="0" w:color="auto"/>
                  </w:divBdr>
                </w:div>
              </w:divsChild>
            </w:div>
            <w:div w:id="530846403">
              <w:marLeft w:val="0"/>
              <w:marRight w:val="0"/>
              <w:marTop w:val="0"/>
              <w:marBottom w:val="0"/>
              <w:divBdr>
                <w:top w:val="none" w:sz="0" w:space="0" w:color="auto"/>
                <w:left w:val="none" w:sz="0" w:space="0" w:color="auto"/>
                <w:bottom w:val="none" w:sz="0" w:space="0" w:color="auto"/>
                <w:right w:val="none" w:sz="0" w:space="0" w:color="auto"/>
              </w:divBdr>
              <w:divsChild>
                <w:div w:id="1956252947">
                  <w:marLeft w:val="0"/>
                  <w:marRight w:val="0"/>
                  <w:marTop w:val="0"/>
                  <w:marBottom w:val="0"/>
                  <w:divBdr>
                    <w:top w:val="none" w:sz="0" w:space="0" w:color="auto"/>
                    <w:left w:val="none" w:sz="0" w:space="0" w:color="auto"/>
                    <w:bottom w:val="none" w:sz="0" w:space="0" w:color="auto"/>
                    <w:right w:val="none" w:sz="0" w:space="0" w:color="auto"/>
                  </w:divBdr>
                </w:div>
              </w:divsChild>
            </w:div>
            <w:div w:id="569654800">
              <w:marLeft w:val="0"/>
              <w:marRight w:val="0"/>
              <w:marTop w:val="0"/>
              <w:marBottom w:val="0"/>
              <w:divBdr>
                <w:top w:val="none" w:sz="0" w:space="0" w:color="auto"/>
                <w:left w:val="none" w:sz="0" w:space="0" w:color="auto"/>
                <w:bottom w:val="none" w:sz="0" w:space="0" w:color="auto"/>
                <w:right w:val="none" w:sz="0" w:space="0" w:color="auto"/>
              </w:divBdr>
              <w:divsChild>
                <w:div w:id="273946953">
                  <w:marLeft w:val="0"/>
                  <w:marRight w:val="0"/>
                  <w:marTop w:val="0"/>
                  <w:marBottom w:val="0"/>
                  <w:divBdr>
                    <w:top w:val="none" w:sz="0" w:space="0" w:color="auto"/>
                    <w:left w:val="none" w:sz="0" w:space="0" w:color="auto"/>
                    <w:bottom w:val="none" w:sz="0" w:space="0" w:color="auto"/>
                    <w:right w:val="none" w:sz="0" w:space="0" w:color="auto"/>
                  </w:divBdr>
                </w:div>
              </w:divsChild>
            </w:div>
            <w:div w:id="740373620">
              <w:marLeft w:val="0"/>
              <w:marRight w:val="0"/>
              <w:marTop w:val="0"/>
              <w:marBottom w:val="0"/>
              <w:divBdr>
                <w:top w:val="none" w:sz="0" w:space="0" w:color="auto"/>
                <w:left w:val="none" w:sz="0" w:space="0" w:color="auto"/>
                <w:bottom w:val="none" w:sz="0" w:space="0" w:color="auto"/>
                <w:right w:val="none" w:sz="0" w:space="0" w:color="auto"/>
              </w:divBdr>
              <w:divsChild>
                <w:div w:id="1804350145">
                  <w:marLeft w:val="0"/>
                  <w:marRight w:val="0"/>
                  <w:marTop w:val="0"/>
                  <w:marBottom w:val="0"/>
                  <w:divBdr>
                    <w:top w:val="none" w:sz="0" w:space="0" w:color="auto"/>
                    <w:left w:val="none" w:sz="0" w:space="0" w:color="auto"/>
                    <w:bottom w:val="none" w:sz="0" w:space="0" w:color="auto"/>
                    <w:right w:val="none" w:sz="0" w:space="0" w:color="auto"/>
                  </w:divBdr>
                </w:div>
              </w:divsChild>
            </w:div>
            <w:div w:id="815148905">
              <w:marLeft w:val="0"/>
              <w:marRight w:val="0"/>
              <w:marTop w:val="0"/>
              <w:marBottom w:val="0"/>
              <w:divBdr>
                <w:top w:val="none" w:sz="0" w:space="0" w:color="auto"/>
                <w:left w:val="none" w:sz="0" w:space="0" w:color="auto"/>
                <w:bottom w:val="none" w:sz="0" w:space="0" w:color="auto"/>
                <w:right w:val="none" w:sz="0" w:space="0" w:color="auto"/>
              </w:divBdr>
              <w:divsChild>
                <w:div w:id="1017191979">
                  <w:marLeft w:val="0"/>
                  <w:marRight w:val="0"/>
                  <w:marTop w:val="0"/>
                  <w:marBottom w:val="0"/>
                  <w:divBdr>
                    <w:top w:val="none" w:sz="0" w:space="0" w:color="auto"/>
                    <w:left w:val="none" w:sz="0" w:space="0" w:color="auto"/>
                    <w:bottom w:val="none" w:sz="0" w:space="0" w:color="auto"/>
                    <w:right w:val="none" w:sz="0" w:space="0" w:color="auto"/>
                  </w:divBdr>
                </w:div>
                <w:div w:id="1775323499">
                  <w:marLeft w:val="0"/>
                  <w:marRight w:val="0"/>
                  <w:marTop w:val="0"/>
                  <w:marBottom w:val="0"/>
                  <w:divBdr>
                    <w:top w:val="none" w:sz="0" w:space="0" w:color="auto"/>
                    <w:left w:val="none" w:sz="0" w:space="0" w:color="auto"/>
                    <w:bottom w:val="none" w:sz="0" w:space="0" w:color="auto"/>
                    <w:right w:val="none" w:sz="0" w:space="0" w:color="auto"/>
                  </w:divBdr>
                </w:div>
              </w:divsChild>
            </w:div>
            <w:div w:id="863710598">
              <w:marLeft w:val="0"/>
              <w:marRight w:val="0"/>
              <w:marTop w:val="0"/>
              <w:marBottom w:val="0"/>
              <w:divBdr>
                <w:top w:val="none" w:sz="0" w:space="0" w:color="auto"/>
                <w:left w:val="none" w:sz="0" w:space="0" w:color="auto"/>
                <w:bottom w:val="none" w:sz="0" w:space="0" w:color="auto"/>
                <w:right w:val="none" w:sz="0" w:space="0" w:color="auto"/>
              </w:divBdr>
              <w:divsChild>
                <w:div w:id="1833065249">
                  <w:marLeft w:val="0"/>
                  <w:marRight w:val="0"/>
                  <w:marTop w:val="0"/>
                  <w:marBottom w:val="0"/>
                  <w:divBdr>
                    <w:top w:val="none" w:sz="0" w:space="0" w:color="auto"/>
                    <w:left w:val="none" w:sz="0" w:space="0" w:color="auto"/>
                    <w:bottom w:val="none" w:sz="0" w:space="0" w:color="auto"/>
                    <w:right w:val="none" w:sz="0" w:space="0" w:color="auto"/>
                  </w:divBdr>
                </w:div>
              </w:divsChild>
            </w:div>
            <w:div w:id="955713763">
              <w:marLeft w:val="0"/>
              <w:marRight w:val="0"/>
              <w:marTop w:val="0"/>
              <w:marBottom w:val="0"/>
              <w:divBdr>
                <w:top w:val="none" w:sz="0" w:space="0" w:color="auto"/>
                <w:left w:val="none" w:sz="0" w:space="0" w:color="auto"/>
                <w:bottom w:val="none" w:sz="0" w:space="0" w:color="auto"/>
                <w:right w:val="none" w:sz="0" w:space="0" w:color="auto"/>
              </w:divBdr>
              <w:divsChild>
                <w:div w:id="1294753723">
                  <w:marLeft w:val="0"/>
                  <w:marRight w:val="0"/>
                  <w:marTop w:val="0"/>
                  <w:marBottom w:val="0"/>
                  <w:divBdr>
                    <w:top w:val="none" w:sz="0" w:space="0" w:color="auto"/>
                    <w:left w:val="none" w:sz="0" w:space="0" w:color="auto"/>
                    <w:bottom w:val="none" w:sz="0" w:space="0" w:color="auto"/>
                    <w:right w:val="none" w:sz="0" w:space="0" w:color="auto"/>
                  </w:divBdr>
                </w:div>
              </w:divsChild>
            </w:div>
            <w:div w:id="1098020997">
              <w:marLeft w:val="0"/>
              <w:marRight w:val="0"/>
              <w:marTop w:val="0"/>
              <w:marBottom w:val="0"/>
              <w:divBdr>
                <w:top w:val="none" w:sz="0" w:space="0" w:color="auto"/>
                <w:left w:val="none" w:sz="0" w:space="0" w:color="auto"/>
                <w:bottom w:val="none" w:sz="0" w:space="0" w:color="auto"/>
                <w:right w:val="none" w:sz="0" w:space="0" w:color="auto"/>
              </w:divBdr>
              <w:divsChild>
                <w:div w:id="223494687">
                  <w:marLeft w:val="0"/>
                  <w:marRight w:val="0"/>
                  <w:marTop w:val="0"/>
                  <w:marBottom w:val="0"/>
                  <w:divBdr>
                    <w:top w:val="none" w:sz="0" w:space="0" w:color="auto"/>
                    <w:left w:val="none" w:sz="0" w:space="0" w:color="auto"/>
                    <w:bottom w:val="none" w:sz="0" w:space="0" w:color="auto"/>
                    <w:right w:val="none" w:sz="0" w:space="0" w:color="auto"/>
                  </w:divBdr>
                </w:div>
              </w:divsChild>
            </w:div>
            <w:div w:id="1130436548">
              <w:marLeft w:val="0"/>
              <w:marRight w:val="0"/>
              <w:marTop w:val="0"/>
              <w:marBottom w:val="0"/>
              <w:divBdr>
                <w:top w:val="none" w:sz="0" w:space="0" w:color="auto"/>
                <w:left w:val="none" w:sz="0" w:space="0" w:color="auto"/>
                <w:bottom w:val="none" w:sz="0" w:space="0" w:color="auto"/>
                <w:right w:val="none" w:sz="0" w:space="0" w:color="auto"/>
              </w:divBdr>
              <w:divsChild>
                <w:div w:id="224148459">
                  <w:marLeft w:val="0"/>
                  <w:marRight w:val="0"/>
                  <w:marTop w:val="0"/>
                  <w:marBottom w:val="0"/>
                  <w:divBdr>
                    <w:top w:val="none" w:sz="0" w:space="0" w:color="auto"/>
                    <w:left w:val="none" w:sz="0" w:space="0" w:color="auto"/>
                    <w:bottom w:val="none" w:sz="0" w:space="0" w:color="auto"/>
                    <w:right w:val="none" w:sz="0" w:space="0" w:color="auto"/>
                  </w:divBdr>
                </w:div>
              </w:divsChild>
            </w:div>
            <w:div w:id="1151599315">
              <w:marLeft w:val="0"/>
              <w:marRight w:val="0"/>
              <w:marTop w:val="0"/>
              <w:marBottom w:val="0"/>
              <w:divBdr>
                <w:top w:val="none" w:sz="0" w:space="0" w:color="auto"/>
                <w:left w:val="none" w:sz="0" w:space="0" w:color="auto"/>
                <w:bottom w:val="none" w:sz="0" w:space="0" w:color="auto"/>
                <w:right w:val="none" w:sz="0" w:space="0" w:color="auto"/>
              </w:divBdr>
              <w:divsChild>
                <w:div w:id="661663966">
                  <w:marLeft w:val="0"/>
                  <w:marRight w:val="0"/>
                  <w:marTop w:val="0"/>
                  <w:marBottom w:val="0"/>
                  <w:divBdr>
                    <w:top w:val="none" w:sz="0" w:space="0" w:color="auto"/>
                    <w:left w:val="none" w:sz="0" w:space="0" w:color="auto"/>
                    <w:bottom w:val="none" w:sz="0" w:space="0" w:color="auto"/>
                    <w:right w:val="none" w:sz="0" w:space="0" w:color="auto"/>
                  </w:divBdr>
                </w:div>
              </w:divsChild>
            </w:div>
            <w:div w:id="1156260838">
              <w:marLeft w:val="0"/>
              <w:marRight w:val="0"/>
              <w:marTop w:val="0"/>
              <w:marBottom w:val="0"/>
              <w:divBdr>
                <w:top w:val="none" w:sz="0" w:space="0" w:color="auto"/>
                <w:left w:val="none" w:sz="0" w:space="0" w:color="auto"/>
                <w:bottom w:val="none" w:sz="0" w:space="0" w:color="auto"/>
                <w:right w:val="none" w:sz="0" w:space="0" w:color="auto"/>
              </w:divBdr>
              <w:divsChild>
                <w:div w:id="565183390">
                  <w:marLeft w:val="0"/>
                  <w:marRight w:val="0"/>
                  <w:marTop w:val="0"/>
                  <w:marBottom w:val="0"/>
                  <w:divBdr>
                    <w:top w:val="none" w:sz="0" w:space="0" w:color="auto"/>
                    <w:left w:val="none" w:sz="0" w:space="0" w:color="auto"/>
                    <w:bottom w:val="none" w:sz="0" w:space="0" w:color="auto"/>
                    <w:right w:val="none" w:sz="0" w:space="0" w:color="auto"/>
                  </w:divBdr>
                </w:div>
              </w:divsChild>
            </w:div>
            <w:div w:id="1268122396">
              <w:marLeft w:val="0"/>
              <w:marRight w:val="0"/>
              <w:marTop w:val="0"/>
              <w:marBottom w:val="0"/>
              <w:divBdr>
                <w:top w:val="none" w:sz="0" w:space="0" w:color="auto"/>
                <w:left w:val="none" w:sz="0" w:space="0" w:color="auto"/>
                <w:bottom w:val="none" w:sz="0" w:space="0" w:color="auto"/>
                <w:right w:val="none" w:sz="0" w:space="0" w:color="auto"/>
              </w:divBdr>
              <w:divsChild>
                <w:div w:id="2101637150">
                  <w:marLeft w:val="0"/>
                  <w:marRight w:val="0"/>
                  <w:marTop w:val="0"/>
                  <w:marBottom w:val="0"/>
                  <w:divBdr>
                    <w:top w:val="none" w:sz="0" w:space="0" w:color="auto"/>
                    <w:left w:val="none" w:sz="0" w:space="0" w:color="auto"/>
                    <w:bottom w:val="none" w:sz="0" w:space="0" w:color="auto"/>
                    <w:right w:val="none" w:sz="0" w:space="0" w:color="auto"/>
                  </w:divBdr>
                </w:div>
              </w:divsChild>
            </w:div>
            <w:div w:id="1378121406">
              <w:marLeft w:val="0"/>
              <w:marRight w:val="0"/>
              <w:marTop w:val="0"/>
              <w:marBottom w:val="0"/>
              <w:divBdr>
                <w:top w:val="none" w:sz="0" w:space="0" w:color="auto"/>
                <w:left w:val="none" w:sz="0" w:space="0" w:color="auto"/>
                <w:bottom w:val="none" w:sz="0" w:space="0" w:color="auto"/>
                <w:right w:val="none" w:sz="0" w:space="0" w:color="auto"/>
              </w:divBdr>
              <w:divsChild>
                <w:div w:id="794174495">
                  <w:marLeft w:val="0"/>
                  <w:marRight w:val="0"/>
                  <w:marTop w:val="0"/>
                  <w:marBottom w:val="0"/>
                  <w:divBdr>
                    <w:top w:val="none" w:sz="0" w:space="0" w:color="auto"/>
                    <w:left w:val="none" w:sz="0" w:space="0" w:color="auto"/>
                    <w:bottom w:val="none" w:sz="0" w:space="0" w:color="auto"/>
                    <w:right w:val="none" w:sz="0" w:space="0" w:color="auto"/>
                  </w:divBdr>
                </w:div>
              </w:divsChild>
            </w:div>
            <w:div w:id="1497498167">
              <w:marLeft w:val="0"/>
              <w:marRight w:val="0"/>
              <w:marTop w:val="0"/>
              <w:marBottom w:val="0"/>
              <w:divBdr>
                <w:top w:val="none" w:sz="0" w:space="0" w:color="auto"/>
                <w:left w:val="none" w:sz="0" w:space="0" w:color="auto"/>
                <w:bottom w:val="none" w:sz="0" w:space="0" w:color="auto"/>
                <w:right w:val="none" w:sz="0" w:space="0" w:color="auto"/>
              </w:divBdr>
              <w:divsChild>
                <w:div w:id="1092121734">
                  <w:marLeft w:val="0"/>
                  <w:marRight w:val="0"/>
                  <w:marTop w:val="0"/>
                  <w:marBottom w:val="0"/>
                  <w:divBdr>
                    <w:top w:val="none" w:sz="0" w:space="0" w:color="auto"/>
                    <w:left w:val="none" w:sz="0" w:space="0" w:color="auto"/>
                    <w:bottom w:val="none" w:sz="0" w:space="0" w:color="auto"/>
                    <w:right w:val="none" w:sz="0" w:space="0" w:color="auto"/>
                  </w:divBdr>
                </w:div>
              </w:divsChild>
            </w:div>
            <w:div w:id="1509129743">
              <w:marLeft w:val="0"/>
              <w:marRight w:val="0"/>
              <w:marTop w:val="0"/>
              <w:marBottom w:val="0"/>
              <w:divBdr>
                <w:top w:val="none" w:sz="0" w:space="0" w:color="auto"/>
                <w:left w:val="none" w:sz="0" w:space="0" w:color="auto"/>
                <w:bottom w:val="none" w:sz="0" w:space="0" w:color="auto"/>
                <w:right w:val="none" w:sz="0" w:space="0" w:color="auto"/>
              </w:divBdr>
              <w:divsChild>
                <w:div w:id="993676983">
                  <w:marLeft w:val="0"/>
                  <w:marRight w:val="0"/>
                  <w:marTop w:val="0"/>
                  <w:marBottom w:val="0"/>
                  <w:divBdr>
                    <w:top w:val="none" w:sz="0" w:space="0" w:color="auto"/>
                    <w:left w:val="none" w:sz="0" w:space="0" w:color="auto"/>
                    <w:bottom w:val="none" w:sz="0" w:space="0" w:color="auto"/>
                    <w:right w:val="none" w:sz="0" w:space="0" w:color="auto"/>
                  </w:divBdr>
                </w:div>
              </w:divsChild>
            </w:div>
            <w:div w:id="1623459712">
              <w:marLeft w:val="0"/>
              <w:marRight w:val="0"/>
              <w:marTop w:val="0"/>
              <w:marBottom w:val="0"/>
              <w:divBdr>
                <w:top w:val="none" w:sz="0" w:space="0" w:color="auto"/>
                <w:left w:val="none" w:sz="0" w:space="0" w:color="auto"/>
                <w:bottom w:val="none" w:sz="0" w:space="0" w:color="auto"/>
                <w:right w:val="none" w:sz="0" w:space="0" w:color="auto"/>
              </w:divBdr>
              <w:divsChild>
                <w:div w:id="205458922">
                  <w:marLeft w:val="0"/>
                  <w:marRight w:val="0"/>
                  <w:marTop w:val="0"/>
                  <w:marBottom w:val="0"/>
                  <w:divBdr>
                    <w:top w:val="none" w:sz="0" w:space="0" w:color="auto"/>
                    <w:left w:val="none" w:sz="0" w:space="0" w:color="auto"/>
                    <w:bottom w:val="none" w:sz="0" w:space="0" w:color="auto"/>
                    <w:right w:val="none" w:sz="0" w:space="0" w:color="auto"/>
                  </w:divBdr>
                </w:div>
              </w:divsChild>
            </w:div>
            <w:div w:id="1709722944">
              <w:marLeft w:val="0"/>
              <w:marRight w:val="0"/>
              <w:marTop w:val="0"/>
              <w:marBottom w:val="0"/>
              <w:divBdr>
                <w:top w:val="none" w:sz="0" w:space="0" w:color="auto"/>
                <w:left w:val="none" w:sz="0" w:space="0" w:color="auto"/>
                <w:bottom w:val="none" w:sz="0" w:space="0" w:color="auto"/>
                <w:right w:val="none" w:sz="0" w:space="0" w:color="auto"/>
              </w:divBdr>
              <w:divsChild>
                <w:div w:id="1991669517">
                  <w:marLeft w:val="0"/>
                  <w:marRight w:val="0"/>
                  <w:marTop w:val="0"/>
                  <w:marBottom w:val="0"/>
                  <w:divBdr>
                    <w:top w:val="none" w:sz="0" w:space="0" w:color="auto"/>
                    <w:left w:val="none" w:sz="0" w:space="0" w:color="auto"/>
                    <w:bottom w:val="none" w:sz="0" w:space="0" w:color="auto"/>
                    <w:right w:val="none" w:sz="0" w:space="0" w:color="auto"/>
                  </w:divBdr>
                </w:div>
              </w:divsChild>
            </w:div>
            <w:div w:id="1788424188">
              <w:marLeft w:val="0"/>
              <w:marRight w:val="0"/>
              <w:marTop w:val="0"/>
              <w:marBottom w:val="0"/>
              <w:divBdr>
                <w:top w:val="none" w:sz="0" w:space="0" w:color="auto"/>
                <w:left w:val="none" w:sz="0" w:space="0" w:color="auto"/>
                <w:bottom w:val="none" w:sz="0" w:space="0" w:color="auto"/>
                <w:right w:val="none" w:sz="0" w:space="0" w:color="auto"/>
              </w:divBdr>
              <w:divsChild>
                <w:div w:id="1164659530">
                  <w:marLeft w:val="0"/>
                  <w:marRight w:val="0"/>
                  <w:marTop w:val="0"/>
                  <w:marBottom w:val="0"/>
                  <w:divBdr>
                    <w:top w:val="none" w:sz="0" w:space="0" w:color="auto"/>
                    <w:left w:val="none" w:sz="0" w:space="0" w:color="auto"/>
                    <w:bottom w:val="none" w:sz="0" w:space="0" w:color="auto"/>
                    <w:right w:val="none" w:sz="0" w:space="0" w:color="auto"/>
                  </w:divBdr>
                </w:div>
              </w:divsChild>
            </w:div>
            <w:div w:id="2029328521">
              <w:marLeft w:val="0"/>
              <w:marRight w:val="0"/>
              <w:marTop w:val="0"/>
              <w:marBottom w:val="0"/>
              <w:divBdr>
                <w:top w:val="none" w:sz="0" w:space="0" w:color="auto"/>
                <w:left w:val="none" w:sz="0" w:space="0" w:color="auto"/>
                <w:bottom w:val="none" w:sz="0" w:space="0" w:color="auto"/>
                <w:right w:val="none" w:sz="0" w:space="0" w:color="auto"/>
              </w:divBdr>
              <w:divsChild>
                <w:div w:id="2109159878">
                  <w:marLeft w:val="0"/>
                  <w:marRight w:val="0"/>
                  <w:marTop w:val="0"/>
                  <w:marBottom w:val="0"/>
                  <w:divBdr>
                    <w:top w:val="none" w:sz="0" w:space="0" w:color="auto"/>
                    <w:left w:val="none" w:sz="0" w:space="0" w:color="auto"/>
                    <w:bottom w:val="none" w:sz="0" w:space="0" w:color="auto"/>
                    <w:right w:val="none" w:sz="0" w:space="0" w:color="auto"/>
                  </w:divBdr>
                </w:div>
              </w:divsChild>
            </w:div>
            <w:div w:id="2052343895">
              <w:marLeft w:val="0"/>
              <w:marRight w:val="0"/>
              <w:marTop w:val="0"/>
              <w:marBottom w:val="0"/>
              <w:divBdr>
                <w:top w:val="none" w:sz="0" w:space="0" w:color="auto"/>
                <w:left w:val="none" w:sz="0" w:space="0" w:color="auto"/>
                <w:bottom w:val="none" w:sz="0" w:space="0" w:color="auto"/>
                <w:right w:val="none" w:sz="0" w:space="0" w:color="auto"/>
              </w:divBdr>
              <w:divsChild>
                <w:div w:id="1142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37493">
          <w:marLeft w:val="0"/>
          <w:marRight w:val="0"/>
          <w:marTop w:val="0"/>
          <w:marBottom w:val="0"/>
          <w:divBdr>
            <w:top w:val="none" w:sz="0" w:space="0" w:color="auto"/>
            <w:left w:val="none" w:sz="0" w:space="0" w:color="auto"/>
            <w:bottom w:val="none" w:sz="0" w:space="0" w:color="auto"/>
            <w:right w:val="none" w:sz="0" w:space="0" w:color="auto"/>
          </w:divBdr>
        </w:div>
      </w:divsChild>
    </w:div>
    <w:div w:id="866216396">
      <w:bodyDiv w:val="1"/>
      <w:marLeft w:val="0"/>
      <w:marRight w:val="0"/>
      <w:marTop w:val="0"/>
      <w:marBottom w:val="0"/>
      <w:divBdr>
        <w:top w:val="none" w:sz="0" w:space="0" w:color="auto"/>
        <w:left w:val="none" w:sz="0" w:space="0" w:color="auto"/>
        <w:bottom w:val="none" w:sz="0" w:space="0" w:color="auto"/>
        <w:right w:val="none" w:sz="0" w:space="0" w:color="auto"/>
      </w:divBdr>
    </w:div>
    <w:div w:id="985858831">
      <w:bodyDiv w:val="1"/>
      <w:marLeft w:val="0"/>
      <w:marRight w:val="0"/>
      <w:marTop w:val="0"/>
      <w:marBottom w:val="0"/>
      <w:divBdr>
        <w:top w:val="none" w:sz="0" w:space="0" w:color="auto"/>
        <w:left w:val="none" w:sz="0" w:space="0" w:color="auto"/>
        <w:bottom w:val="none" w:sz="0" w:space="0" w:color="auto"/>
        <w:right w:val="none" w:sz="0" w:space="0" w:color="auto"/>
      </w:divBdr>
      <w:divsChild>
        <w:div w:id="51125660">
          <w:marLeft w:val="0"/>
          <w:marRight w:val="0"/>
          <w:marTop w:val="0"/>
          <w:marBottom w:val="0"/>
          <w:divBdr>
            <w:top w:val="none" w:sz="0" w:space="0" w:color="auto"/>
            <w:left w:val="none" w:sz="0" w:space="0" w:color="auto"/>
            <w:bottom w:val="none" w:sz="0" w:space="0" w:color="auto"/>
            <w:right w:val="none" w:sz="0" w:space="0" w:color="auto"/>
          </w:divBdr>
          <w:divsChild>
            <w:div w:id="390155806">
              <w:marLeft w:val="0"/>
              <w:marRight w:val="0"/>
              <w:marTop w:val="0"/>
              <w:marBottom w:val="0"/>
              <w:divBdr>
                <w:top w:val="none" w:sz="0" w:space="0" w:color="auto"/>
                <w:left w:val="none" w:sz="0" w:space="0" w:color="auto"/>
                <w:bottom w:val="none" w:sz="0" w:space="0" w:color="auto"/>
                <w:right w:val="none" w:sz="0" w:space="0" w:color="auto"/>
              </w:divBdr>
            </w:div>
          </w:divsChild>
        </w:div>
        <w:div w:id="60645202">
          <w:marLeft w:val="0"/>
          <w:marRight w:val="0"/>
          <w:marTop w:val="0"/>
          <w:marBottom w:val="0"/>
          <w:divBdr>
            <w:top w:val="none" w:sz="0" w:space="0" w:color="auto"/>
            <w:left w:val="none" w:sz="0" w:space="0" w:color="auto"/>
            <w:bottom w:val="none" w:sz="0" w:space="0" w:color="auto"/>
            <w:right w:val="none" w:sz="0" w:space="0" w:color="auto"/>
          </w:divBdr>
          <w:divsChild>
            <w:div w:id="2043287694">
              <w:marLeft w:val="0"/>
              <w:marRight w:val="0"/>
              <w:marTop w:val="0"/>
              <w:marBottom w:val="0"/>
              <w:divBdr>
                <w:top w:val="none" w:sz="0" w:space="0" w:color="auto"/>
                <w:left w:val="none" w:sz="0" w:space="0" w:color="auto"/>
                <w:bottom w:val="none" w:sz="0" w:space="0" w:color="auto"/>
                <w:right w:val="none" w:sz="0" w:space="0" w:color="auto"/>
              </w:divBdr>
            </w:div>
          </w:divsChild>
        </w:div>
        <w:div w:id="136998192">
          <w:marLeft w:val="0"/>
          <w:marRight w:val="0"/>
          <w:marTop w:val="0"/>
          <w:marBottom w:val="0"/>
          <w:divBdr>
            <w:top w:val="none" w:sz="0" w:space="0" w:color="auto"/>
            <w:left w:val="none" w:sz="0" w:space="0" w:color="auto"/>
            <w:bottom w:val="none" w:sz="0" w:space="0" w:color="auto"/>
            <w:right w:val="none" w:sz="0" w:space="0" w:color="auto"/>
          </w:divBdr>
          <w:divsChild>
            <w:div w:id="368838737">
              <w:marLeft w:val="0"/>
              <w:marRight w:val="0"/>
              <w:marTop w:val="0"/>
              <w:marBottom w:val="0"/>
              <w:divBdr>
                <w:top w:val="none" w:sz="0" w:space="0" w:color="auto"/>
                <w:left w:val="none" w:sz="0" w:space="0" w:color="auto"/>
                <w:bottom w:val="none" w:sz="0" w:space="0" w:color="auto"/>
                <w:right w:val="none" w:sz="0" w:space="0" w:color="auto"/>
              </w:divBdr>
            </w:div>
          </w:divsChild>
        </w:div>
        <w:div w:id="182283671">
          <w:marLeft w:val="0"/>
          <w:marRight w:val="0"/>
          <w:marTop w:val="0"/>
          <w:marBottom w:val="0"/>
          <w:divBdr>
            <w:top w:val="none" w:sz="0" w:space="0" w:color="auto"/>
            <w:left w:val="none" w:sz="0" w:space="0" w:color="auto"/>
            <w:bottom w:val="none" w:sz="0" w:space="0" w:color="auto"/>
            <w:right w:val="none" w:sz="0" w:space="0" w:color="auto"/>
          </w:divBdr>
          <w:divsChild>
            <w:div w:id="1667633911">
              <w:marLeft w:val="0"/>
              <w:marRight w:val="0"/>
              <w:marTop w:val="0"/>
              <w:marBottom w:val="0"/>
              <w:divBdr>
                <w:top w:val="none" w:sz="0" w:space="0" w:color="auto"/>
                <w:left w:val="none" w:sz="0" w:space="0" w:color="auto"/>
                <w:bottom w:val="none" w:sz="0" w:space="0" w:color="auto"/>
                <w:right w:val="none" w:sz="0" w:space="0" w:color="auto"/>
              </w:divBdr>
            </w:div>
          </w:divsChild>
        </w:div>
        <w:div w:id="323706650">
          <w:marLeft w:val="0"/>
          <w:marRight w:val="0"/>
          <w:marTop w:val="0"/>
          <w:marBottom w:val="0"/>
          <w:divBdr>
            <w:top w:val="none" w:sz="0" w:space="0" w:color="auto"/>
            <w:left w:val="none" w:sz="0" w:space="0" w:color="auto"/>
            <w:bottom w:val="none" w:sz="0" w:space="0" w:color="auto"/>
            <w:right w:val="none" w:sz="0" w:space="0" w:color="auto"/>
          </w:divBdr>
          <w:divsChild>
            <w:div w:id="668800602">
              <w:marLeft w:val="0"/>
              <w:marRight w:val="0"/>
              <w:marTop w:val="0"/>
              <w:marBottom w:val="0"/>
              <w:divBdr>
                <w:top w:val="none" w:sz="0" w:space="0" w:color="auto"/>
                <w:left w:val="none" w:sz="0" w:space="0" w:color="auto"/>
                <w:bottom w:val="none" w:sz="0" w:space="0" w:color="auto"/>
                <w:right w:val="none" w:sz="0" w:space="0" w:color="auto"/>
              </w:divBdr>
            </w:div>
          </w:divsChild>
        </w:div>
        <w:div w:id="331760271">
          <w:marLeft w:val="0"/>
          <w:marRight w:val="0"/>
          <w:marTop w:val="0"/>
          <w:marBottom w:val="0"/>
          <w:divBdr>
            <w:top w:val="none" w:sz="0" w:space="0" w:color="auto"/>
            <w:left w:val="none" w:sz="0" w:space="0" w:color="auto"/>
            <w:bottom w:val="none" w:sz="0" w:space="0" w:color="auto"/>
            <w:right w:val="none" w:sz="0" w:space="0" w:color="auto"/>
          </w:divBdr>
          <w:divsChild>
            <w:div w:id="651906437">
              <w:marLeft w:val="0"/>
              <w:marRight w:val="0"/>
              <w:marTop w:val="0"/>
              <w:marBottom w:val="0"/>
              <w:divBdr>
                <w:top w:val="none" w:sz="0" w:space="0" w:color="auto"/>
                <w:left w:val="none" w:sz="0" w:space="0" w:color="auto"/>
                <w:bottom w:val="none" w:sz="0" w:space="0" w:color="auto"/>
                <w:right w:val="none" w:sz="0" w:space="0" w:color="auto"/>
              </w:divBdr>
            </w:div>
          </w:divsChild>
        </w:div>
        <w:div w:id="368922634">
          <w:marLeft w:val="0"/>
          <w:marRight w:val="0"/>
          <w:marTop w:val="0"/>
          <w:marBottom w:val="0"/>
          <w:divBdr>
            <w:top w:val="none" w:sz="0" w:space="0" w:color="auto"/>
            <w:left w:val="none" w:sz="0" w:space="0" w:color="auto"/>
            <w:bottom w:val="none" w:sz="0" w:space="0" w:color="auto"/>
            <w:right w:val="none" w:sz="0" w:space="0" w:color="auto"/>
          </w:divBdr>
          <w:divsChild>
            <w:div w:id="1948417423">
              <w:marLeft w:val="0"/>
              <w:marRight w:val="0"/>
              <w:marTop w:val="0"/>
              <w:marBottom w:val="0"/>
              <w:divBdr>
                <w:top w:val="none" w:sz="0" w:space="0" w:color="auto"/>
                <w:left w:val="none" w:sz="0" w:space="0" w:color="auto"/>
                <w:bottom w:val="none" w:sz="0" w:space="0" w:color="auto"/>
                <w:right w:val="none" w:sz="0" w:space="0" w:color="auto"/>
              </w:divBdr>
            </w:div>
          </w:divsChild>
        </w:div>
        <w:div w:id="434400634">
          <w:marLeft w:val="0"/>
          <w:marRight w:val="0"/>
          <w:marTop w:val="0"/>
          <w:marBottom w:val="0"/>
          <w:divBdr>
            <w:top w:val="none" w:sz="0" w:space="0" w:color="auto"/>
            <w:left w:val="none" w:sz="0" w:space="0" w:color="auto"/>
            <w:bottom w:val="none" w:sz="0" w:space="0" w:color="auto"/>
            <w:right w:val="none" w:sz="0" w:space="0" w:color="auto"/>
          </w:divBdr>
          <w:divsChild>
            <w:div w:id="653878206">
              <w:marLeft w:val="0"/>
              <w:marRight w:val="0"/>
              <w:marTop w:val="0"/>
              <w:marBottom w:val="0"/>
              <w:divBdr>
                <w:top w:val="none" w:sz="0" w:space="0" w:color="auto"/>
                <w:left w:val="none" w:sz="0" w:space="0" w:color="auto"/>
                <w:bottom w:val="none" w:sz="0" w:space="0" w:color="auto"/>
                <w:right w:val="none" w:sz="0" w:space="0" w:color="auto"/>
              </w:divBdr>
            </w:div>
          </w:divsChild>
        </w:div>
        <w:div w:id="474370109">
          <w:marLeft w:val="0"/>
          <w:marRight w:val="0"/>
          <w:marTop w:val="0"/>
          <w:marBottom w:val="0"/>
          <w:divBdr>
            <w:top w:val="none" w:sz="0" w:space="0" w:color="auto"/>
            <w:left w:val="none" w:sz="0" w:space="0" w:color="auto"/>
            <w:bottom w:val="none" w:sz="0" w:space="0" w:color="auto"/>
            <w:right w:val="none" w:sz="0" w:space="0" w:color="auto"/>
          </w:divBdr>
          <w:divsChild>
            <w:div w:id="470687">
              <w:marLeft w:val="0"/>
              <w:marRight w:val="0"/>
              <w:marTop w:val="0"/>
              <w:marBottom w:val="0"/>
              <w:divBdr>
                <w:top w:val="none" w:sz="0" w:space="0" w:color="auto"/>
                <w:left w:val="none" w:sz="0" w:space="0" w:color="auto"/>
                <w:bottom w:val="none" w:sz="0" w:space="0" w:color="auto"/>
                <w:right w:val="none" w:sz="0" w:space="0" w:color="auto"/>
              </w:divBdr>
            </w:div>
          </w:divsChild>
        </w:div>
        <w:div w:id="525214000">
          <w:marLeft w:val="0"/>
          <w:marRight w:val="0"/>
          <w:marTop w:val="0"/>
          <w:marBottom w:val="0"/>
          <w:divBdr>
            <w:top w:val="none" w:sz="0" w:space="0" w:color="auto"/>
            <w:left w:val="none" w:sz="0" w:space="0" w:color="auto"/>
            <w:bottom w:val="none" w:sz="0" w:space="0" w:color="auto"/>
            <w:right w:val="none" w:sz="0" w:space="0" w:color="auto"/>
          </w:divBdr>
          <w:divsChild>
            <w:div w:id="42603502">
              <w:marLeft w:val="0"/>
              <w:marRight w:val="0"/>
              <w:marTop w:val="0"/>
              <w:marBottom w:val="0"/>
              <w:divBdr>
                <w:top w:val="none" w:sz="0" w:space="0" w:color="auto"/>
                <w:left w:val="none" w:sz="0" w:space="0" w:color="auto"/>
                <w:bottom w:val="none" w:sz="0" w:space="0" w:color="auto"/>
                <w:right w:val="none" w:sz="0" w:space="0" w:color="auto"/>
              </w:divBdr>
            </w:div>
          </w:divsChild>
        </w:div>
        <w:div w:id="553933386">
          <w:marLeft w:val="0"/>
          <w:marRight w:val="0"/>
          <w:marTop w:val="0"/>
          <w:marBottom w:val="0"/>
          <w:divBdr>
            <w:top w:val="none" w:sz="0" w:space="0" w:color="auto"/>
            <w:left w:val="none" w:sz="0" w:space="0" w:color="auto"/>
            <w:bottom w:val="none" w:sz="0" w:space="0" w:color="auto"/>
            <w:right w:val="none" w:sz="0" w:space="0" w:color="auto"/>
          </w:divBdr>
          <w:divsChild>
            <w:div w:id="1388260719">
              <w:marLeft w:val="0"/>
              <w:marRight w:val="0"/>
              <w:marTop w:val="0"/>
              <w:marBottom w:val="0"/>
              <w:divBdr>
                <w:top w:val="none" w:sz="0" w:space="0" w:color="auto"/>
                <w:left w:val="none" w:sz="0" w:space="0" w:color="auto"/>
                <w:bottom w:val="none" w:sz="0" w:space="0" w:color="auto"/>
                <w:right w:val="none" w:sz="0" w:space="0" w:color="auto"/>
              </w:divBdr>
            </w:div>
          </w:divsChild>
        </w:div>
        <w:div w:id="740448592">
          <w:marLeft w:val="0"/>
          <w:marRight w:val="0"/>
          <w:marTop w:val="0"/>
          <w:marBottom w:val="0"/>
          <w:divBdr>
            <w:top w:val="none" w:sz="0" w:space="0" w:color="auto"/>
            <w:left w:val="none" w:sz="0" w:space="0" w:color="auto"/>
            <w:bottom w:val="none" w:sz="0" w:space="0" w:color="auto"/>
            <w:right w:val="none" w:sz="0" w:space="0" w:color="auto"/>
          </w:divBdr>
          <w:divsChild>
            <w:div w:id="1883596018">
              <w:marLeft w:val="0"/>
              <w:marRight w:val="0"/>
              <w:marTop w:val="0"/>
              <w:marBottom w:val="0"/>
              <w:divBdr>
                <w:top w:val="none" w:sz="0" w:space="0" w:color="auto"/>
                <w:left w:val="none" w:sz="0" w:space="0" w:color="auto"/>
                <w:bottom w:val="none" w:sz="0" w:space="0" w:color="auto"/>
                <w:right w:val="none" w:sz="0" w:space="0" w:color="auto"/>
              </w:divBdr>
            </w:div>
          </w:divsChild>
        </w:div>
        <w:div w:id="753428865">
          <w:marLeft w:val="0"/>
          <w:marRight w:val="0"/>
          <w:marTop w:val="0"/>
          <w:marBottom w:val="0"/>
          <w:divBdr>
            <w:top w:val="none" w:sz="0" w:space="0" w:color="auto"/>
            <w:left w:val="none" w:sz="0" w:space="0" w:color="auto"/>
            <w:bottom w:val="none" w:sz="0" w:space="0" w:color="auto"/>
            <w:right w:val="none" w:sz="0" w:space="0" w:color="auto"/>
          </w:divBdr>
          <w:divsChild>
            <w:div w:id="84344910">
              <w:marLeft w:val="0"/>
              <w:marRight w:val="0"/>
              <w:marTop w:val="0"/>
              <w:marBottom w:val="0"/>
              <w:divBdr>
                <w:top w:val="none" w:sz="0" w:space="0" w:color="auto"/>
                <w:left w:val="none" w:sz="0" w:space="0" w:color="auto"/>
                <w:bottom w:val="none" w:sz="0" w:space="0" w:color="auto"/>
                <w:right w:val="none" w:sz="0" w:space="0" w:color="auto"/>
              </w:divBdr>
            </w:div>
          </w:divsChild>
        </w:div>
        <w:div w:id="761605476">
          <w:marLeft w:val="0"/>
          <w:marRight w:val="0"/>
          <w:marTop w:val="0"/>
          <w:marBottom w:val="0"/>
          <w:divBdr>
            <w:top w:val="none" w:sz="0" w:space="0" w:color="auto"/>
            <w:left w:val="none" w:sz="0" w:space="0" w:color="auto"/>
            <w:bottom w:val="none" w:sz="0" w:space="0" w:color="auto"/>
            <w:right w:val="none" w:sz="0" w:space="0" w:color="auto"/>
          </w:divBdr>
          <w:divsChild>
            <w:div w:id="1118376736">
              <w:marLeft w:val="0"/>
              <w:marRight w:val="0"/>
              <w:marTop w:val="0"/>
              <w:marBottom w:val="0"/>
              <w:divBdr>
                <w:top w:val="none" w:sz="0" w:space="0" w:color="auto"/>
                <w:left w:val="none" w:sz="0" w:space="0" w:color="auto"/>
                <w:bottom w:val="none" w:sz="0" w:space="0" w:color="auto"/>
                <w:right w:val="none" w:sz="0" w:space="0" w:color="auto"/>
              </w:divBdr>
            </w:div>
          </w:divsChild>
        </w:div>
        <w:div w:id="761608539">
          <w:marLeft w:val="0"/>
          <w:marRight w:val="0"/>
          <w:marTop w:val="0"/>
          <w:marBottom w:val="0"/>
          <w:divBdr>
            <w:top w:val="none" w:sz="0" w:space="0" w:color="auto"/>
            <w:left w:val="none" w:sz="0" w:space="0" w:color="auto"/>
            <w:bottom w:val="none" w:sz="0" w:space="0" w:color="auto"/>
            <w:right w:val="none" w:sz="0" w:space="0" w:color="auto"/>
          </w:divBdr>
          <w:divsChild>
            <w:div w:id="1490709739">
              <w:marLeft w:val="0"/>
              <w:marRight w:val="0"/>
              <w:marTop w:val="0"/>
              <w:marBottom w:val="0"/>
              <w:divBdr>
                <w:top w:val="none" w:sz="0" w:space="0" w:color="auto"/>
                <w:left w:val="none" w:sz="0" w:space="0" w:color="auto"/>
                <w:bottom w:val="none" w:sz="0" w:space="0" w:color="auto"/>
                <w:right w:val="none" w:sz="0" w:space="0" w:color="auto"/>
              </w:divBdr>
            </w:div>
          </w:divsChild>
        </w:div>
        <w:div w:id="834301023">
          <w:marLeft w:val="0"/>
          <w:marRight w:val="0"/>
          <w:marTop w:val="0"/>
          <w:marBottom w:val="0"/>
          <w:divBdr>
            <w:top w:val="none" w:sz="0" w:space="0" w:color="auto"/>
            <w:left w:val="none" w:sz="0" w:space="0" w:color="auto"/>
            <w:bottom w:val="none" w:sz="0" w:space="0" w:color="auto"/>
            <w:right w:val="none" w:sz="0" w:space="0" w:color="auto"/>
          </w:divBdr>
          <w:divsChild>
            <w:div w:id="307167754">
              <w:marLeft w:val="0"/>
              <w:marRight w:val="0"/>
              <w:marTop w:val="0"/>
              <w:marBottom w:val="0"/>
              <w:divBdr>
                <w:top w:val="none" w:sz="0" w:space="0" w:color="auto"/>
                <w:left w:val="none" w:sz="0" w:space="0" w:color="auto"/>
                <w:bottom w:val="none" w:sz="0" w:space="0" w:color="auto"/>
                <w:right w:val="none" w:sz="0" w:space="0" w:color="auto"/>
              </w:divBdr>
            </w:div>
          </w:divsChild>
        </w:div>
        <w:div w:id="1028332963">
          <w:marLeft w:val="0"/>
          <w:marRight w:val="0"/>
          <w:marTop w:val="0"/>
          <w:marBottom w:val="0"/>
          <w:divBdr>
            <w:top w:val="none" w:sz="0" w:space="0" w:color="auto"/>
            <w:left w:val="none" w:sz="0" w:space="0" w:color="auto"/>
            <w:bottom w:val="none" w:sz="0" w:space="0" w:color="auto"/>
            <w:right w:val="none" w:sz="0" w:space="0" w:color="auto"/>
          </w:divBdr>
          <w:divsChild>
            <w:div w:id="1698853097">
              <w:marLeft w:val="0"/>
              <w:marRight w:val="0"/>
              <w:marTop w:val="0"/>
              <w:marBottom w:val="0"/>
              <w:divBdr>
                <w:top w:val="none" w:sz="0" w:space="0" w:color="auto"/>
                <w:left w:val="none" w:sz="0" w:space="0" w:color="auto"/>
                <w:bottom w:val="none" w:sz="0" w:space="0" w:color="auto"/>
                <w:right w:val="none" w:sz="0" w:space="0" w:color="auto"/>
              </w:divBdr>
            </w:div>
          </w:divsChild>
        </w:div>
        <w:div w:id="1152331763">
          <w:marLeft w:val="0"/>
          <w:marRight w:val="0"/>
          <w:marTop w:val="0"/>
          <w:marBottom w:val="0"/>
          <w:divBdr>
            <w:top w:val="none" w:sz="0" w:space="0" w:color="auto"/>
            <w:left w:val="none" w:sz="0" w:space="0" w:color="auto"/>
            <w:bottom w:val="none" w:sz="0" w:space="0" w:color="auto"/>
            <w:right w:val="none" w:sz="0" w:space="0" w:color="auto"/>
          </w:divBdr>
          <w:divsChild>
            <w:div w:id="1893341244">
              <w:marLeft w:val="0"/>
              <w:marRight w:val="0"/>
              <w:marTop w:val="0"/>
              <w:marBottom w:val="0"/>
              <w:divBdr>
                <w:top w:val="none" w:sz="0" w:space="0" w:color="auto"/>
                <w:left w:val="none" w:sz="0" w:space="0" w:color="auto"/>
                <w:bottom w:val="none" w:sz="0" w:space="0" w:color="auto"/>
                <w:right w:val="none" w:sz="0" w:space="0" w:color="auto"/>
              </w:divBdr>
            </w:div>
          </w:divsChild>
        </w:div>
        <w:div w:id="1177114171">
          <w:marLeft w:val="0"/>
          <w:marRight w:val="0"/>
          <w:marTop w:val="0"/>
          <w:marBottom w:val="0"/>
          <w:divBdr>
            <w:top w:val="none" w:sz="0" w:space="0" w:color="auto"/>
            <w:left w:val="none" w:sz="0" w:space="0" w:color="auto"/>
            <w:bottom w:val="none" w:sz="0" w:space="0" w:color="auto"/>
            <w:right w:val="none" w:sz="0" w:space="0" w:color="auto"/>
          </w:divBdr>
          <w:divsChild>
            <w:div w:id="987785912">
              <w:marLeft w:val="0"/>
              <w:marRight w:val="0"/>
              <w:marTop w:val="0"/>
              <w:marBottom w:val="0"/>
              <w:divBdr>
                <w:top w:val="none" w:sz="0" w:space="0" w:color="auto"/>
                <w:left w:val="none" w:sz="0" w:space="0" w:color="auto"/>
                <w:bottom w:val="none" w:sz="0" w:space="0" w:color="auto"/>
                <w:right w:val="none" w:sz="0" w:space="0" w:color="auto"/>
              </w:divBdr>
            </w:div>
          </w:divsChild>
        </w:div>
        <w:div w:id="1183782117">
          <w:marLeft w:val="0"/>
          <w:marRight w:val="0"/>
          <w:marTop w:val="0"/>
          <w:marBottom w:val="0"/>
          <w:divBdr>
            <w:top w:val="none" w:sz="0" w:space="0" w:color="auto"/>
            <w:left w:val="none" w:sz="0" w:space="0" w:color="auto"/>
            <w:bottom w:val="none" w:sz="0" w:space="0" w:color="auto"/>
            <w:right w:val="none" w:sz="0" w:space="0" w:color="auto"/>
          </w:divBdr>
          <w:divsChild>
            <w:div w:id="1703361976">
              <w:marLeft w:val="0"/>
              <w:marRight w:val="0"/>
              <w:marTop w:val="0"/>
              <w:marBottom w:val="0"/>
              <w:divBdr>
                <w:top w:val="none" w:sz="0" w:space="0" w:color="auto"/>
                <w:left w:val="none" w:sz="0" w:space="0" w:color="auto"/>
                <w:bottom w:val="none" w:sz="0" w:space="0" w:color="auto"/>
                <w:right w:val="none" w:sz="0" w:space="0" w:color="auto"/>
              </w:divBdr>
            </w:div>
          </w:divsChild>
        </w:div>
        <w:div w:id="1185901231">
          <w:marLeft w:val="0"/>
          <w:marRight w:val="0"/>
          <w:marTop w:val="0"/>
          <w:marBottom w:val="0"/>
          <w:divBdr>
            <w:top w:val="none" w:sz="0" w:space="0" w:color="auto"/>
            <w:left w:val="none" w:sz="0" w:space="0" w:color="auto"/>
            <w:bottom w:val="none" w:sz="0" w:space="0" w:color="auto"/>
            <w:right w:val="none" w:sz="0" w:space="0" w:color="auto"/>
          </w:divBdr>
          <w:divsChild>
            <w:div w:id="1359697564">
              <w:marLeft w:val="0"/>
              <w:marRight w:val="0"/>
              <w:marTop w:val="0"/>
              <w:marBottom w:val="0"/>
              <w:divBdr>
                <w:top w:val="none" w:sz="0" w:space="0" w:color="auto"/>
                <w:left w:val="none" w:sz="0" w:space="0" w:color="auto"/>
                <w:bottom w:val="none" w:sz="0" w:space="0" w:color="auto"/>
                <w:right w:val="none" w:sz="0" w:space="0" w:color="auto"/>
              </w:divBdr>
            </w:div>
          </w:divsChild>
        </w:div>
        <w:div w:id="1391461579">
          <w:marLeft w:val="0"/>
          <w:marRight w:val="0"/>
          <w:marTop w:val="0"/>
          <w:marBottom w:val="0"/>
          <w:divBdr>
            <w:top w:val="none" w:sz="0" w:space="0" w:color="auto"/>
            <w:left w:val="none" w:sz="0" w:space="0" w:color="auto"/>
            <w:bottom w:val="none" w:sz="0" w:space="0" w:color="auto"/>
            <w:right w:val="none" w:sz="0" w:space="0" w:color="auto"/>
          </w:divBdr>
          <w:divsChild>
            <w:div w:id="596914195">
              <w:marLeft w:val="0"/>
              <w:marRight w:val="0"/>
              <w:marTop w:val="0"/>
              <w:marBottom w:val="0"/>
              <w:divBdr>
                <w:top w:val="none" w:sz="0" w:space="0" w:color="auto"/>
                <w:left w:val="none" w:sz="0" w:space="0" w:color="auto"/>
                <w:bottom w:val="none" w:sz="0" w:space="0" w:color="auto"/>
                <w:right w:val="none" w:sz="0" w:space="0" w:color="auto"/>
              </w:divBdr>
            </w:div>
          </w:divsChild>
        </w:div>
        <w:div w:id="1525510750">
          <w:marLeft w:val="0"/>
          <w:marRight w:val="0"/>
          <w:marTop w:val="0"/>
          <w:marBottom w:val="0"/>
          <w:divBdr>
            <w:top w:val="none" w:sz="0" w:space="0" w:color="auto"/>
            <w:left w:val="none" w:sz="0" w:space="0" w:color="auto"/>
            <w:bottom w:val="none" w:sz="0" w:space="0" w:color="auto"/>
            <w:right w:val="none" w:sz="0" w:space="0" w:color="auto"/>
          </w:divBdr>
          <w:divsChild>
            <w:div w:id="1624193408">
              <w:marLeft w:val="0"/>
              <w:marRight w:val="0"/>
              <w:marTop w:val="0"/>
              <w:marBottom w:val="0"/>
              <w:divBdr>
                <w:top w:val="none" w:sz="0" w:space="0" w:color="auto"/>
                <w:left w:val="none" w:sz="0" w:space="0" w:color="auto"/>
                <w:bottom w:val="none" w:sz="0" w:space="0" w:color="auto"/>
                <w:right w:val="none" w:sz="0" w:space="0" w:color="auto"/>
              </w:divBdr>
            </w:div>
            <w:div w:id="2109888554">
              <w:marLeft w:val="0"/>
              <w:marRight w:val="0"/>
              <w:marTop w:val="0"/>
              <w:marBottom w:val="0"/>
              <w:divBdr>
                <w:top w:val="none" w:sz="0" w:space="0" w:color="auto"/>
                <w:left w:val="none" w:sz="0" w:space="0" w:color="auto"/>
                <w:bottom w:val="none" w:sz="0" w:space="0" w:color="auto"/>
                <w:right w:val="none" w:sz="0" w:space="0" w:color="auto"/>
              </w:divBdr>
            </w:div>
          </w:divsChild>
        </w:div>
        <w:div w:id="1610165624">
          <w:marLeft w:val="0"/>
          <w:marRight w:val="0"/>
          <w:marTop w:val="0"/>
          <w:marBottom w:val="0"/>
          <w:divBdr>
            <w:top w:val="none" w:sz="0" w:space="0" w:color="auto"/>
            <w:left w:val="none" w:sz="0" w:space="0" w:color="auto"/>
            <w:bottom w:val="none" w:sz="0" w:space="0" w:color="auto"/>
            <w:right w:val="none" w:sz="0" w:space="0" w:color="auto"/>
          </w:divBdr>
          <w:divsChild>
            <w:div w:id="377708173">
              <w:marLeft w:val="0"/>
              <w:marRight w:val="0"/>
              <w:marTop w:val="0"/>
              <w:marBottom w:val="0"/>
              <w:divBdr>
                <w:top w:val="none" w:sz="0" w:space="0" w:color="auto"/>
                <w:left w:val="none" w:sz="0" w:space="0" w:color="auto"/>
                <w:bottom w:val="none" w:sz="0" w:space="0" w:color="auto"/>
                <w:right w:val="none" w:sz="0" w:space="0" w:color="auto"/>
              </w:divBdr>
            </w:div>
          </w:divsChild>
        </w:div>
        <w:div w:id="1674918556">
          <w:marLeft w:val="0"/>
          <w:marRight w:val="0"/>
          <w:marTop w:val="0"/>
          <w:marBottom w:val="0"/>
          <w:divBdr>
            <w:top w:val="none" w:sz="0" w:space="0" w:color="auto"/>
            <w:left w:val="none" w:sz="0" w:space="0" w:color="auto"/>
            <w:bottom w:val="none" w:sz="0" w:space="0" w:color="auto"/>
            <w:right w:val="none" w:sz="0" w:space="0" w:color="auto"/>
          </w:divBdr>
          <w:divsChild>
            <w:div w:id="1729378791">
              <w:marLeft w:val="0"/>
              <w:marRight w:val="0"/>
              <w:marTop w:val="0"/>
              <w:marBottom w:val="0"/>
              <w:divBdr>
                <w:top w:val="none" w:sz="0" w:space="0" w:color="auto"/>
                <w:left w:val="none" w:sz="0" w:space="0" w:color="auto"/>
                <w:bottom w:val="none" w:sz="0" w:space="0" w:color="auto"/>
                <w:right w:val="none" w:sz="0" w:space="0" w:color="auto"/>
              </w:divBdr>
            </w:div>
          </w:divsChild>
        </w:div>
        <w:div w:id="1690794638">
          <w:marLeft w:val="0"/>
          <w:marRight w:val="0"/>
          <w:marTop w:val="0"/>
          <w:marBottom w:val="0"/>
          <w:divBdr>
            <w:top w:val="none" w:sz="0" w:space="0" w:color="auto"/>
            <w:left w:val="none" w:sz="0" w:space="0" w:color="auto"/>
            <w:bottom w:val="none" w:sz="0" w:space="0" w:color="auto"/>
            <w:right w:val="none" w:sz="0" w:space="0" w:color="auto"/>
          </w:divBdr>
          <w:divsChild>
            <w:div w:id="1111976863">
              <w:marLeft w:val="0"/>
              <w:marRight w:val="0"/>
              <w:marTop w:val="0"/>
              <w:marBottom w:val="0"/>
              <w:divBdr>
                <w:top w:val="none" w:sz="0" w:space="0" w:color="auto"/>
                <w:left w:val="none" w:sz="0" w:space="0" w:color="auto"/>
                <w:bottom w:val="none" w:sz="0" w:space="0" w:color="auto"/>
                <w:right w:val="none" w:sz="0" w:space="0" w:color="auto"/>
              </w:divBdr>
            </w:div>
          </w:divsChild>
        </w:div>
        <w:div w:id="1783261427">
          <w:marLeft w:val="0"/>
          <w:marRight w:val="0"/>
          <w:marTop w:val="0"/>
          <w:marBottom w:val="0"/>
          <w:divBdr>
            <w:top w:val="none" w:sz="0" w:space="0" w:color="auto"/>
            <w:left w:val="none" w:sz="0" w:space="0" w:color="auto"/>
            <w:bottom w:val="none" w:sz="0" w:space="0" w:color="auto"/>
            <w:right w:val="none" w:sz="0" w:space="0" w:color="auto"/>
          </w:divBdr>
          <w:divsChild>
            <w:div w:id="1205605323">
              <w:marLeft w:val="0"/>
              <w:marRight w:val="0"/>
              <w:marTop w:val="0"/>
              <w:marBottom w:val="0"/>
              <w:divBdr>
                <w:top w:val="none" w:sz="0" w:space="0" w:color="auto"/>
                <w:left w:val="none" w:sz="0" w:space="0" w:color="auto"/>
                <w:bottom w:val="none" w:sz="0" w:space="0" w:color="auto"/>
                <w:right w:val="none" w:sz="0" w:space="0" w:color="auto"/>
              </w:divBdr>
            </w:div>
          </w:divsChild>
        </w:div>
        <w:div w:id="1918438877">
          <w:marLeft w:val="0"/>
          <w:marRight w:val="0"/>
          <w:marTop w:val="0"/>
          <w:marBottom w:val="0"/>
          <w:divBdr>
            <w:top w:val="none" w:sz="0" w:space="0" w:color="auto"/>
            <w:left w:val="none" w:sz="0" w:space="0" w:color="auto"/>
            <w:bottom w:val="none" w:sz="0" w:space="0" w:color="auto"/>
            <w:right w:val="none" w:sz="0" w:space="0" w:color="auto"/>
          </w:divBdr>
          <w:divsChild>
            <w:div w:id="387455114">
              <w:marLeft w:val="0"/>
              <w:marRight w:val="0"/>
              <w:marTop w:val="0"/>
              <w:marBottom w:val="0"/>
              <w:divBdr>
                <w:top w:val="none" w:sz="0" w:space="0" w:color="auto"/>
                <w:left w:val="none" w:sz="0" w:space="0" w:color="auto"/>
                <w:bottom w:val="none" w:sz="0" w:space="0" w:color="auto"/>
                <w:right w:val="none" w:sz="0" w:space="0" w:color="auto"/>
              </w:divBdr>
            </w:div>
          </w:divsChild>
        </w:div>
        <w:div w:id="1961297468">
          <w:marLeft w:val="0"/>
          <w:marRight w:val="0"/>
          <w:marTop w:val="0"/>
          <w:marBottom w:val="0"/>
          <w:divBdr>
            <w:top w:val="none" w:sz="0" w:space="0" w:color="auto"/>
            <w:left w:val="none" w:sz="0" w:space="0" w:color="auto"/>
            <w:bottom w:val="none" w:sz="0" w:space="0" w:color="auto"/>
            <w:right w:val="none" w:sz="0" w:space="0" w:color="auto"/>
          </w:divBdr>
          <w:divsChild>
            <w:div w:id="1466118017">
              <w:marLeft w:val="0"/>
              <w:marRight w:val="0"/>
              <w:marTop w:val="0"/>
              <w:marBottom w:val="0"/>
              <w:divBdr>
                <w:top w:val="none" w:sz="0" w:space="0" w:color="auto"/>
                <w:left w:val="none" w:sz="0" w:space="0" w:color="auto"/>
                <w:bottom w:val="none" w:sz="0" w:space="0" w:color="auto"/>
                <w:right w:val="none" w:sz="0" w:space="0" w:color="auto"/>
              </w:divBdr>
            </w:div>
          </w:divsChild>
        </w:div>
        <w:div w:id="2062706039">
          <w:marLeft w:val="0"/>
          <w:marRight w:val="0"/>
          <w:marTop w:val="0"/>
          <w:marBottom w:val="0"/>
          <w:divBdr>
            <w:top w:val="none" w:sz="0" w:space="0" w:color="auto"/>
            <w:left w:val="none" w:sz="0" w:space="0" w:color="auto"/>
            <w:bottom w:val="none" w:sz="0" w:space="0" w:color="auto"/>
            <w:right w:val="none" w:sz="0" w:space="0" w:color="auto"/>
          </w:divBdr>
          <w:divsChild>
            <w:div w:id="113184589">
              <w:marLeft w:val="0"/>
              <w:marRight w:val="0"/>
              <w:marTop w:val="0"/>
              <w:marBottom w:val="0"/>
              <w:divBdr>
                <w:top w:val="none" w:sz="0" w:space="0" w:color="auto"/>
                <w:left w:val="none" w:sz="0" w:space="0" w:color="auto"/>
                <w:bottom w:val="none" w:sz="0" w:space="0" w:color="auto"/>
                <w:right w:val="none" w:sz="0" w:space="0" w:color="auto"/>
              </w:divBdr>
            </w:div>
          </w:divsChild>
        </w:div>
        <w:div w:id="2130975468">
          <w:marLeft w:val="0"/>
          <w:marRight w:val="0"/>
          <w:marTop w:val="0"/>
          <w:marBottom w:val="0"/>
          <w:divBdr>
            <w:top w:val="none" w:sz="0" w:space="0" w:color="auto"/>
            <w:left w:val="none" w:sz="0" w:space="0" w:color="auto"/>
            <w:bottom w:val="none" w:sz="0" w:space="0" w:color="auto"/>
            <w:right w:val="none" w:sz="0" w:space="0" w:color="auto"/>
          </w:divBdr>
          <w:divsChild>
            <w:div w:id="7410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61113">
      <w:bodyDiv w:val="1"/>
      <w:marLeft w:val="0"/>
      <w:marRight w:val="0"/>
      <w:marTop w:val="0"/>
      <w:marBottom w:val="0"/>
      <w:divBdr>
        <w:top w:val="none" w:sz="0" w:space="0" w:color="auto"/>
        <w:left w:val="none" w:sz="0" w:space="0" w:color="auto"/>
        <w:bottom w:val="none" w:sz="0" w:space="0" w:color="auto"/>
        <w:right w:val="none" w:sz="0" w:space="0" w:color="auto"/>
      </w:divBdr>
      <w:divsChild>
        <w:div w:id="672299574">
          <w:marLeft w:val="-75"/>
          <w:marRight w:val="0"/>
          <w:marTop w:val="30"/>
          <w:marBottom w:val="30"/>
          <w:divBdr>
            <w:top w:val="none" w:sz="0" w:space="0" w:color="auto"/>
            <w:left w:val="none" w:sz="0" w:space="0" w:color="auto"/>
            <w:bottom w:val="none" w:sz="0" w:space="0" w:color="auto"/>
            <w:right w:val="none" w:sz="0" w:space="0" w:color="auto"/>
          </w:divBdr>
          <w:divsChild>
            <w:div w:id="18896171">
              <w:marLeft w:val="0"/>
              <w:marRight w:val="0"/>
              <w:marTop w:val="0"/>
              <w:marBottom w:val="0"/>
              <w:divBdr>
                <w:top w:val="none" w:sz="0" w:space="0" w:color="auto"/>
                <w:left w:val="none" w:sz="0" w:space="0" w:color="auto"/>
                <w:bottom w:val="none" w:sz="0" w:space="0" w:color="auto"/>
                <w:right w:val="none" w:sz="0" w:space="0" w:color="auto"/>
              </w:divBdr>
              <w:divsChild>
                <w:div w:id="35089792">
                  <w:marLeft w:val="0"/>
                  <w:marRight w:val="0"/>
                  <w:marTop w:val="0"/>
                  <w:marBottom w:val="0"/>
                  <w:divBdr>
                    <w:top w:val="none" w:sz="0" w:space="0" w:color="auto"/>
                    <w:left w:val="none" w:sz="0" w:space="0" w:color="auto"/>
                    <w:bottom w:val="none" w:sz="0" w:space="0" w:color="auto"/>
                    <w:right w:val="none" w:sz="0" w:space="0" w:color="auto"/>
                  </w:divBdr>
                </w:div>
              </w:divsChild>
            </w:div>
            <w:div w:id="168953267">
              <w:marLeft w:val="0"/>
              <w:marRight w:val="0"/>
              <w:marTop w:val="0"/>
              <w:marBottom w:val="0"/>
              <w:divBdr>
                <w:top w:val="none" w:sz="0" w:space="0" w:color="auto"/>
                <w:left w:val="none" w:sz="0" w:space="0" w:color="auto"/>
                <w:bottom w:val="none" w:sz="0" w:space="0" w:color="auto"/>
                <w:right w:val="none" w:sz="0" w:space="0" w:color="auto"/>
              </w:divBdr>
              <w:divsChild>
                <w:div w:id="807432410">
                  <w:marLeft w:val="0"/>
                  <w:marRight w:val="0"/>
                  <w:marTop w:val="0"/>
                  <w:marBottom w:val="0"/>
                  <w:divBdr>
                    <w:top w:val="none" w:sz="0" w:space="0" w:color="auto"/>
                    <w:left w:val="none" w:sz="0" w:space="0" w:color="auto"/>
                    <w:bottom w:val="none" w:sz="0" w:space="0" w:color="auto"/>
                    <w:right w:val="none" w:sz="0" w:space="0" w:color="auto"/>
                  </w:divBdr>
                </w:div>
              </w:divsChild>
            </w:div>
            <w:div w:id="387654641">
              <w:marLeft w:val="0"/>
              <w:marRight w:val="0"/>
              <w:marTop w:val="0"/>
              <w:marBottom w:val="0"/>
              <w:divBdr>
                <w:top w:val="none" w:sz="0" w:space="0" w:color="auto"/>
                <w:left w:val="none" w:sz="0" w:space="0" w:color="auto"/>
                <w:bottom w:val="none" w:sz="0" w:space="0" w:color="auto"/>
                <w:right w:val="none" w:sz="0" w:space="0" w:color="auto"/>
              </w:divBdr>
              <w:divsChild>
                <w:div w:id="931671270">
                  <w:marLeft w:val="0"/>
                  <w:marRight w:val="0"/>
                  <w:marTop w:val="0"/>
                  <w:marBottom w:val="0"/>
                  <w:divBdr>
                    <w:top w:val="none" w:sz="0" w:space="0" w:color="auto"/>
                    <w:left w:val="none" w:sz="0" w:space="0" w:color="auto"/>
                    <w:bottom w:val="none" w:sz="0" w:space="0" w:color="auto"/>
                    <w:right w:val="none" w:sz="0" w:space="0" w:color="auto"/>
                  </w:divBdr>
                </w:div>
              </w:divsChild>
            </w:div>
            <w:div w:id="398210241">
              <w:marLeft w:val="0"/>
              <w:marRight w:val="0"/>
              <w:marTop w:val="0"/>
              <w:marBottom w:val="0"/>
              <w:divBdr>
                <w:top w:val="none" w:sz="0" w:space="0" w:color="auto"/>
                <w:left w:val="none" w:sz="0" w:space="0" w:color="auto"/>
                <w:bottom w:val="none" w:sz="0" w:space="0" w:color="auto"/>
                <w:right w:val="none" w:sz="0" w:space="0" w:color="auto"/>
              </w:divBdr>
              <w:divsChild>
                <w:div w:id="313218788">
                  <w:marLeft w:val="0"/>
                  <w:marRight w:val="0"/>
                  <w:marTop w:val="0"/>
                  <w:marBottom w:val="0"/>
                  <w:divBdr>
                    <w:top w:val="none" w:sz="0" w:space="0" w:color="auto"/>
                    <w:left w:val="none" w:sz="0" w:space="0" w:color="auto"/>
                    <w:bottom w:val="none" w:sz="0" w:space="0" w:color="auto"/>
                    <w:right w:val="none" w:sz="0" w:space="0" w:color="auto"/>
                  </w:divBdr>
                </w:div>
                <w:div w:id="1711494087">
                  <w:marLeft w:val="0"/>
                  <w:marRight w:val="0"/>
                  <w:marTop w:val="0"/>
                  <w:marBottom w:val="0"/>
                  <w:divBdr>
                    <w:top w:val="none" w:sz="0" w:space="0" w:color="auto"/>
                    <w:left w:val="none" w:sz="0" w:space="0" w:color="auto"/>
                    <w:bottom w:val="none" w:sz="0" w:space="0" w:color="auto"/>
                    <w:right w:val="none" w:sz="0" w:space="0" w:color="auto"/>
                  </w:divBdr>
                </w:div>
              </w:divsChild>
            </w:div>
            <w:div w:id="492138099">
              <w:marLeft w:val="0"/>
              <w:marRight w:val="0"/>
              <w:marTop w:val="0"/>
              <w:marBottom w:val="0"/>
              <w:divBdr>
                <w:top w:val="none" w:sz="0" w:space="0" w:color="auto"/>
                <w:left w:val="none" w:sz="0" w:space="0" w:color="auto"/>
                <w:bottom w:val="none" w:sz="0" w:space="0" w:color="auto"/>
                <w:right w:val="none" w:sz="0" w:space="0" w:color="auto"/>
              </w:divBdr>
              <w:divsChild>
                <w:div w:id="1893879043">
                  <w:marLeft w:val="0"/>
                  <w:marRight w:val="0"/>
                  <w:marTop w:val="0"/>
                  <w:marBottom w:val="0"/>
                  <w:divBdr>
                    <w:top w:val="none" w:sz="0" w:space="0" w:color="auto"/>
                    <w:left w:val="none" w:sz="0" w:space="0" w:color="auto"/>
                    <w:bottom w:val="none" w:sz="0" w:space="0" w:color="auto"/>
                    <w:right w:val="none" w:sz="0" w:space="0" w:color="auto"/>
                  </w:divBdr>
                </w:div>
              </w:divsChild>
            </w:div>
            <w:div w:id="514537425">
              <w:marLeft w:val="0"/>
              <w:marRight w:val="0"/>
              <w:marTop w:val="0"/>
              <w:marBottom w:val="0"/>
              <w:divBdr>
                <w:top w:val="none" w:sz="0" w:space="0" w:color="auto"/>
                <w:left w:val="none" w:sz="0" w:space="0" w:color="auto"/>
                <w:bottom w:val="none" w:sz="0" w:space="0" w:color="auto"/>
                <w:right w:val="none" w:sz="0" w:space="0" w:color="auto"/>
              </w:divBdr>
              <w:divsChild>
                <w:div w:id="1172256662">
                  <w:marLeft w:val="0"/>
                  <w:marRight w:val="0"/>
                  <w:marTop w:val="0"/>
                  <w:marBottom w:val="0"/>
                  <w:divBdr>
                    <w:top w:val="none" w:sz="0" w:space="0" w:color="auto"/>
                    <w:left w:val="none" w:sz="0" w:space="0" w:color="auto"/>
                    <w:bottom w:val="none" w:sz="0" w:space="0" w:color="auto"/>
                    <w:right w:val="none" w:sz="0" w:space="0" w:color="auto"/>
                  </w:divBdr>
                </w:div>
              </w:divsChild>
            </w:div>
            <w:div w:id="612522827">
              <w:marLeft w:val="0"/>
              <w:marRight w:val="0"/>
              <w:marTop w:val="0"/>
              <w:marBottom w:val="0"/>
              <w:divBdr>
                <w:top w:val="none" w:sz="0" w:space="0" w:color="auto"/>
                <w:left w:val="none" w:sz="0" w:space="0" w:color="auto"/>
                <w:bottom w:val="none" w:sz="0" w:space="0" w:color="auto"/>
                <w:right w:val="none" w:sz="0" w:space="0" w:color="auto"/>
              </w:divBdr>
              <w:divsChild>
                <w:div w:id="1873105930">
                  <w:marLeft w:val="0"/>
                  <w:marRight w:val="0"/>
                  <w:marTop w:val="0"/>
                  <w:marBottom w:val="0"/>
                  <w:divBdr>
                    <w:top w:val="none" w:sz="0" w:space="0" w:color="auto"/>
                    <w:left w:val="none" w:sz="0" w:space="0" w:color="auto"/>
                    <w:bottom w:val="none" w:sz="0" w:space="0" w:color="auto"/>
                    <w:right w:val="none" w:sz="0" w:space="0" w:color="auto"/>
                  </w:divBdr>
                </w:div>
              </w:divsChild>
            </w:div>
            <w:div w:id="639655677">
              <w:marLeft w:val="0"/>
              <w:marRight w:val="0"/>
              <w:marTop w:val="0"/>
              <w:marBottom w:val="0"/>
              <w:divBdr>
                <w:top w:val="none" w:sz="0" w:space="0" w:color="auto"/>
                <w:left w:val="none" w:sz="0" w:space="0" w:color="auto"/>
                <w:bottom w:val="none" w:sz="0" w:space="0" w:color="auto"/>
                <w:right w:val="none" w:sz="0" w:space="0" w:color="auto"/>
              </w:divBdr>
              <w:divsChild>
                <w:div w:id="535502831">
                  <w:marLeft w:val="0"/>
                  <w:marRight w:val="0"/>
                  <w:marTop w:val="0"/>
                  <w:marBottom w:val="0"/>
                  <w:divBdr>
                    <w:top w:val="none" w:sz="0" w:space="0" w:color="auto"/>
                    <w:left w:val="none" w:sz="0" w:space="0" w:color="auto"/>
                    <w:bottom w:val="none" w:sz="0" w:space="0" w:color="auto"/>
                    <w:right w:val="none" w:sz="0" w:space="0" w:color="auto"/>
                  </w:divBdr>
                </w:div>
              </w:divsChild>
            </w:div>
            <w:div w:id="654840052">
              <w:marLeft w:val="0"/>
              <w:marRight w:val="0"/>
              <w:marTop w:val="0"/>
              <w:marBottom w:val="0"/>
              <w:divBdr>
                <w:top w:val="none" w:sz="0" w:space="0" w:color="auto"/>
                <w:left w:val="none" w:sz="0" w:space="0" w:color="auto"/>
                <w:bottom w:val="none" w:sz="0" w:space="0" w:color="auto"/>
                <w:right w:val="none" w:sz="0" w:space="0" w:color="auto"/>
              </w:divBdr>
              <w:divsChild>
                <w:div w:id="2056544127">
                  <w:marLeft w:val="0"/>
                  <w:marRight w:val="0"/>
                  <w:marTop w:val="0"/>
                  <w:marBottom w:val="0"/>
                  <w:divBdr>
                    <w:top w:val="none" w:sz="0" w:space="0" w:color="auto"/>
                    <w:left w:val="none" w:sz="0" w:space="0" w:color="auto"/>
                    <w:bottom w:val="none" w:sz="0" w:space="0" w:color="auto"/>
                    <w:right w:val="none" w:sz="0" w:space="0" w:color="auto"/>
                  </w:divBdr>
                </w:div>
              </w:divsChild>
            </w:div>
            <w:div w:id="708913720">
              <w:marLeft w:val="0"/>
              <w:marRight w:val="0"/>
              <w:marTop w:val="0"/>
              <w:marBottom w:val="0"/>
              <w:divBdr>
                <w:top w:val="none" w:sz="0" w:space="0" w:color="auto"/>
                <w:left w:val="none" w:sz="0" w:space="0" w:color="auto"/>
                <w:bottom w:val="none" w:sz="0" w:space="0" w:color="auto"/>
                <w:right w:val="none" w:sz="0" w:space="0" w:color="auto"/>
              </w:divBdr>
              <w:divsChild>
                <w:div w:id="1160659960">
                  <w:marLeft w:val="0"/>
                  <w:marRight w:val="0"/>
                  <w:marTop w:val="0"/>
                  <w:marBottom w:val="0"/>
                  <w:divBdr>
                    <w:top w:val="none" w:sz="0" w:space="0" w:color="auto"/>
                    <w:left w:val="none" w:sz="0" w:space="0" w:color="auto"/>
                    <w:bottom w:val="none" w:sz="0" w:space="0" w:color="auto"/>
                    <w:right w:val="none" w:sz="0" w:space="0" w:color="auto"/>
                  </w:divBdr>
                </w:div>
              </w:divsChild>
            </w:div>
            <w:div w:id="761804502">
              <w:marLeft w:val="0"/>
              <w:marRight w:val="0"/>
              <w:marTop w:val="0"/>
              <w:marBottom w:val="0"/>
              <w:divBdr>
                <w:top w:val="none" w:sz="0" w:space="0" w:color="auto"/>
                <w:left w:val="none" w:sz="0" w:space="0" w:color="auto"/>
                <w:bottom w:val="none" w:sz="0" w:space="0" w:color="auto"/>
                <w:right w:val="none" w:sz="0" w:space="0" w:color="auto"/>
              </w:divBdr>
              <w:divsChild>
                <w:div w:id="1584342166">
                  <w:marLeft w:val="0"/>
                  <w:marRight w:val="0"/>
                  <w:marTop w:val="0"/>
                  <w:marBottom w:val="0"/>
                  <w:divBdr>
                    <w:top w:val="none" w:sz="0" w:space="0" w:color="auto"/>
                    <w:left w:val="none" w:sz="0" w:space="0" w:color="auto"/>
                    <w:bottom w:val="none" w:sz="0" w:space="0" w:color="auto"/>
                    <w:right w:val="none" w:sz="0" w:space="0" w:color="auto"/>
                  </w:divBdr>
                </w:div>
              </w:divsChild>
            </w:div>
            <w:div w:id="774133827">
              <w:marLeft w:val="0"/>
              <w:marRight w:val="0"/>
              <w:marTop w:val="0"/>
              <w:marBottom w:val="0"/>
              <w:divBdr>
                <w:top w:val="none" w:sz="0" w:space="0" w:color="auto"/>
                <w:left w:val="none" w:sz="0" w:space="0" w:color="auto"/>
                <w:bottom w:val="none" w:sz="0" w:space="0" w:color="auto"/>
                <w:right w:val="none" w:sz="0" w:space="0" w:color="auto"/>
              </w:divBdr>
              <w:divsChild>
                <w:div w:id="1832866156">
                  <w:marLeft w:val="0"/>
                  <w:marRight w:val="0"/>
                  <w:marTop w:val="0"/>
                  <w:marBottom w:val="0"/>
                  <w:divBdr>
                    <w:top w:val="none" w:sz="0" w:space="0" w:color="auto"/>
                    <w:left w:val="none" w:sz="0" w:space="0" w:color="auto"/>
                    <w:bottom w:val="none" w:sz="0" w:space="0" w:color="auto"/>
                    <w:right w:val="none" w:sz="0" w:space="0" w:color="auto"/>
                  </w:divBdr>
                </w:div>
              </w:divsChild>
            </w:div>
            <w:div w:id="810289646">
              <w:marLeft w:val="0"/>
              <w:marRight w:val="0"/>
              <w:marTop w:val="0"/>
              <w:marBottom w:val="0"/>
              <w:divBdr>
                <w:top w:val="none" w:sz="0" w:space="0" w:color="auto"/>
                <w:left w:val="none" w:sz="0" w:space="0" w:color="auto"/>
                <w:bottom w:val="none" w:sz="0" w:space="0" w:color="auto"/>
                <w:right w:val="none" w:sz="0" w:space="0" w:color="auto"/>
              </w:divBdr>
              <w:divsChild>
                <w:div w:id="1369524537">
                  <w:marLeft w:val="0"/>
                  <w:marRight w:val="0"/>
                  <w:marTop w:val="0"/>
                  <w:marBottom w:val="0"/>
                  <w:divBdr>
                    <w:top w:val="none" w:sz="0" w:space="0" w:color="auto"/>
                    <w:left w:val="none" w:sz="0" w:space="0" w:color="auto"/>
                    <w:bottom w:val="none" w:sz="0" w:space="0" w:color="auto"/>
                    <w:right w:val="none" w:sz="0" w:space="0" w:color="auto"/>
                  </w:divBdr>
                </w:div>
              </w:divsChild>
            </w:div>
            <w:div w:id="910123039">
              <w:marLeft w:val="0"/>
              <w:marRight w:val="0"/>
              <w:marTop w:val="0"/>
              <w:marBottom w:val="0"/>
              <w:divBdr>
                <w:top w:val="none" w:sz="0" w:space="0" w:color="auto"/>
                <w:left w:val="none" w:sz="0" w:space="0" w:color="auto"/>
                <w:bottom w:val="none" w:sz="0" w:space="0" w:color="auto"/>
                <w:right w:val="none" w:sz="0" w:space="0" w:color="auto"/>
              </w:divBdr>
              <w:divsChild>
                <w:div w:id="1508669667">
                  <w:marLeft w:val="0"/>
                  <w:marRight w:val="0"/>
                  <w:marTop w:val="0"/>
                  <w:marBottom w:val="0"/>
                  <w:divBdr>
                    <w:top w:val="none" w:sz="0" w:space="0" w:color="auto"/>
                    <w:left w:val="none" w:sz="0" w:space="0" w:color="auto"/>
                    <w:bottom w:val="none" w:sz="0" w:space="0" w:color="auto"/>
                    <w:right w:val="none" w:sz="0" w:space="0" w:color="auto"/>
                  </w:divBdr>
                </w:div>
              </w:divsChild>
            </w:div>
            <w:div w:id="927036603">
              <w:marLeft w:val="0"/>
              <w:marRight w:val="0"/>
              <w:marTop w:val="0"/>
              <w:marBottom w:val="0"/>
              <w:divBdr>
                <w:top w:val="none" w:sz="0" w:space="0" w:color="auto"/>
                <w:left w:val="none" w:sz="0" w:space="0" w:color="auto"/>
                <w:bottom w:val="none" w:sz="0" w:space="0" w:color="auto"/>
                <w:right w:val="none" w:sz="0" w:space="0" w:color="auto"/>
              </w:divBdr>
              <w:divsChild>
                <w:div w:id="872230149">
                  <w:marLeft w:val="0"/>
                  <w:marRight w:val="0"/>
                  <w:marTop w:val="0"/>
                  <w:marBottom w:val="0"/>
                  <w:divBdr>
                    <w:top w:val="none" w:sz="0" w:space="0" w:color="auto"/>
                    <w:left w:val="none" w:sz="0" w:space="0" w:color="auto"/>
                    <w:bottom w:val="none" w:sz="0" w:space="0" w:color="auto"/>
                    <w:right w:val="none" w:sz="0" w:space="0" w:color="auto"/>
                  </w:divBdr>
                </w:div>
              </w:divsChild>
            </w:div>
            <w:div w:id="951014067">
              <w:marLeft w:val="0"/>
              <w:marRight w:val="0"/>
              <w:marTop w:val="0"/>
              <w:marBottom w:val="0"/>
              <w:divBdr>
                <w:top w:val="none" w:sz="0" w:space="0" w:color="auto"/>
                <w:left w:val="none" w:sz="0" w:space="0" w:color="auto"/>
                <w:bottom w:val="none" w:sz="0" w:space="0" w:color="auto"/>
                <w:right w:val="none" w:sz="0" w:space="0" w:color="auto"/>
              </w:divBdr>
              <w:divsChild>
                <w:div w:id="679894498">
                  <w:marLeft w:val="0"/>
                  <w:marRight w:val="0"/>
                  <w:marTop w:val="0"/>
                  <w:marBottom w:val="0"/>
                  <w:divBdr>
                    <w:top w:val="none" w:sz="0" w:space="0" w:color="auto"/>
                    <w:left w:val="none" w:sz="0" w:space="0" w:color="auto"/>
                    <w:bottom w:val="none" w:sz="0" w:space="0" w:color="auto"/>
                    <w:right w:val="none" w:sz="0" w:space="0" w:color="auto"/>
                  </w:divBdr>
                </w:div>
              </w:divsChild>
            </w:div>
            <w:div w:id="987396471">
              <w:marLeft w:val="0"/>
              <w:marRight w:val="0"/>
              <w:marTop w:val="0"/>
              <w:marBottom w:val="0"/>
              <w:divBdr>
                <w:top w:val="none" w:sz="0" w:space="0" w:color="auto"/>
                <w:left w:val="none" w:sz="0" w:space="0" w:color="auto"/>
                <w:bottom w:val="none" w:sz="0" w:space="0" w:color="auto"/>
                <w:right w:val="none" w:sz="0" w:space="0" w:color="auto"/>
              </w:divBdr>
              <w:divsChild>
                <w:div w:id="922640375">
                  <w:marLeft w:val="0"/>
                  <w:marRight w:val="0"/>
                  <w:marTop w:val="0"/>
                  <w:marBottom w:val="0"/>
                  <w:divBdr>
                    <w:top w:val="none" w:sz="0" w:space="0" w:color="auto"/>
                    <w:left w:val="none" w:sz="0" w:space="0" w:color="auto"/>
                    <w:bottom w:val="none" w:sz="0" w:space="0" w:color="auto"/>
                    <w:right w:val="none" w:sz="0" w:space="0" w:color="auto"/>
                  </w:divBdr>
                </w:div>
              </w:divsChild>
            </w:div>
            <w:div w:id="995836817">
              <w:marLeft w:val="0"/>
              <w:marRight w:val="0"/>
              <w:marTop w:val="0"/>
              <w:marBottom w:val="0"/>
              <w:divBdr>
                <w:top w:val="none" w:sz="0" w:space="0" w:color="auto"/>
                <w:left w:val="none" w:sz="0" w:space="0" w:color="auto"/>
                <w:bottom w:val="none" w:sz="0" w:space="0" w:color="auto"/>
                <w:right w:val="none" w:sz="0" w:space="0" w:color="auto"/>
              </w:divBdr>
              <w:divsChild>
                <w:div w:id="901982819">
                  <w:marLeft w:val="0"/>
                  <w:marRight w:val="0"/>
                  <w:marTop w:val="0"/>
                  <w:marBottom w:val="0"/>
                  <w:divBdr>
                    <w:top w:val="none" w:sz="0" w:space="0" w:color="auto"/>
                    <w:left w:val="none" w:sz="0" w:space="0" w:color="auto"/>
                    <w:bottom w:val="none" w:sz="0" w:space="0" w:color="auto"/>
                    <w:right w:val="none" w:sz="0" w:space="0" w:color="auto"/>
                  </w:divBdr>
                </w:div>
              </w:divsChild>
            </w:div>
            <w:div w:id="1063259795">
              <w:marLeft w:val="0"/>
              <w:marRight w:val="0"/>
              <w:marTop w:val="0"/>
              <w:marBottom w:val="0"/>
              <w:divBdr>
                <w:top w:val="none" w:sz="0" w:space="0" w:color="auto"/>
                <w:left w:val="none" w:sz="0" w:space="0" w:color="auto"/>
                <w:bottom w:val="none" w:sz="0" w:space="0" w:color="auto"/>
                <w:right w:val="none" w:sz="0" w:space="0" w:color="auto"/>
              </w:divBdr>
              <w:divsChild>
                <w:div w:id="779567657">
                  <w:marLeft w:val="0"/>
                  <w:marRight w:val="0"/>
                  <w:marTop w:val="0"/>
                  <w:marBottom w:val="0"/>
                  <w:divBdr>
                    <w:top w:val="none" w:sz="0" w:space="0" w:color="auto"/>
                    <w:left w:val="none" w:sz="0" w:space="0" w:color="auto"/>
                    <w:bottom w:val="none" w:sz="0" w:space="0" w:color="auto"/>
                    <w:right w:val="none" w:sz="0" w:space="0" w:color="auto"/>
                  </w:divBdr>
                </w:div>
              </w:divsChild>
            </w:div>
            <w:div w:id="1184898619">
              <w:marLeft w:val="0"/>
              <w:marRight w:val="0"/>
              <w:marTop w:val="0"/>
              <w:marBottom w:val="0"/>
              <w:divBdr>
                <w:top w:val="none" w:sz="0" w:space="0" w:color="auto"/>
                <w:left w:val="none" w:sz="0" w:space="0" w:color="auto"/>
                <w:bottom w:val="none" w:sz="0" w:space="0" w:color="auto"/>
                <w:right w:val="none" w:sz="0" w:space="0" w:color="auto"/>
              </w:divBdr>
              <w:divsChild>
                <w:div w:id="688533559">
                  <w:marLeft w:val="0"/>
                  <w:marRight w:val="0"/>
                  <w:marTop w:val="0"/>
                  <w:marBottom w:val="0"/>
                  <w:divBdr>
                    <w:top w:val="none" w:sz="0" w:space="0" w:color="auto"/>
                    <w:left w:val="none" w:sz="0" w:space="0" w:color="auto"/>
                    <w:bottom w:val="none" w:sz="0" w:space="0" w:color="auto"/>
                    <w:right w:val="none" w:sz="0" w:space="0" w:color="auto"/>
                  </w:divBdr>
                </w:div>
              </w:divsChild>
            </w:div>
            <w:div w:id="1285893651">
              <w:marLeft w:val="0"/>
              <w:marRight w:val="0"/>
              <w:marTop w:val="0"/>
              <w:marBottom w:val="0"/>
              <w:divBdr>
                <w:top w:val="none" w:sz="0" w:space="0" w:color="auto"/>
                <w:left w:val="none" w:sz="0" w:space="0" w:color="auto"/>
                <w:bottom w:val="none" w:sz="0" w:space="0" w:color="auto"/>
                <w:right w:val="none" w:sz="0" w:space="0" w:color="auto"/>
              </w:divBdr>
              <w:divsChild>
                <w:div w:id="997148332">
                  <w:marLeft w:val="0"/>
                  <w:marRight w:val="0"/>
                  <w:marTop w:val="0"/>
                  <w:marBottom w:val="0"/>
                  <w:divBdr>
                    <w:top w:val="none" w:sz="0" w:space="0" w:color="auto"/>
                    <w:left w:val="none" w:sz="0" w:space="0" w:color="auto"/>
                    <w:bottom w:val="none" w:sz="0" w:space="0" w:color="auto"/>
                    <w:right w:val="none" w:sz="0" w:space="0" w:color="auto"/>
                  </w:divBdr>
                </w:div>
              </w:divsChild>
            </w:div>
            <w:div w:id="1301377830">
              <w:marLeft w:val="0"/>
              <w:marRight w:val="0"/>
              <w:marTop w:val="0"/>
              <w:marBottom w:val="0"/>
              <w:divBdr>
                <w:top w:val="none" w:sz="0" w:space="0" w:color="auto"/>
                <w:left w:val="none" w:sz="0" w:space="0" w:color="auto"/>
                <w:bottom w:val="none" w:sz="0" w:space="0" w:color="auto"/>
                <w:right w:val="none" w:sz="0" w:space="0" w:color="auto"/>
              </w:divBdr>
              <w:divsChild>
                <w:div w:id="503785623">
                  <w:marLeft w:val="0"/>
                  <w:marRight w:val="0"/>
                  <w:marTop w:val="0"/>
                  <w:marBottom w:val="0"/>
                  <w:divBdr>
                    <w:top w:val="none" w:sz="0" w:space="0" w:color="auto"/>
                    <w:left w:val="none" w:sz="0" w:space="0" w:color="auto"/>
                    <w:bottom w:val="none" w:sz="0" w:space="0" w:color="auto"/>
                    <w:right w:val="none" w:sz="0" w:space="0" w:color="auto"/>
                  </w:divBdr>
                </w:div>
              </w:divsChild>
            </w:div>
            <w:div w:id="1311904371">
              <w:marLeft w:val="0"/>
              <w:marRight w:val="0"/>
              <w:marTop w:val="0"/>
              <w:marBottom w:val="0"/>
              <w:divBdr>
                <w:top w:val="none" w:sz="0" w:space="0" w:color="auto"/>
                <w:left w:val="none" w:sz="0" w:space="0" w:color="auto"/>
                <w:bottom w:val="none" w:sz="0" w:space="0" w:color="auto"/>
                <w:right w:val="none" w:sz="0" w:space="0" w:color="auto"/>
              </w:divBdr>
              <w:divsChild>
                <w:div w:id="497040984">
                  <w:marLeft w:val="0"/>
                  <w:marRight w:val="0"/>
                  <w:marTop w:val="0"/>
                  <w:marBottom w:val="0"/>
                  <w:divBdr>
                    <w:top w:val="none" w:sz="0" w:space="0" w:color="auto"/>
                    <w:left w:val="none" w:sz="0" w:space="0" w:color="auto"/>
                    <w:bottom w:val="none" w:sz="0" w:space="0" w:color="auto"/>
                    <w:right w:val="none" w:sz="0" w:space="0" w:color="auto"/>
                  </w:divBdr>
                </w:div>
              </w:divsChild>
            </w:div>
            <w:div w:id="1321351550">
              <w:marLeft w:val="0"/>
              <w:marRight w:val="0"/>
              <w:marTop w:val="0"/>
              <w:marBottom w:val="0"/>
              <w:divBdr>
                <w:top w:val="none" w:sz="0" w:space="0" w:color="auto"/>
                <w:left w:val="none" w:sz="0" w:space="0" w:color="auto"/>
                <w:bottom w:val="none" w:sz="0" w:space="0" w:color="auto"/>
                <w:right w:val="none" w:sz="0" w:space="0" w:color="auto"/>
              </w:divBdr>
              <w:divsChild>
                <w:div w:id="1680036021">
                  <w:marLeft w:val="0"/>
                  <w:marRight w:val="0"/>
                  <w:marTop w:val="0"/>
                  <w:marBottom w:val="0"/>
                  <w:divBdr>
                    <w:top w:val="none" w:sz="0" w:space="0" w:color="auto"/>
                    <w:left w:val="none" w:sz="0" w:space="0" w:color="auto"/>
                    <w:bottom w:val="none" w:sz="0" w:space="0" w:color="auto"/>
                    <w:right w:val="none" w:sz="0" w:space="0" w:color="auto"/>
                  </w:divBdr>
                </w:div>
              </w:divsChild>
            </w:div>
            <w:div w:id="1430931335">
              <w:marLeft w:val="0"/>
              <w:marRight w:val="0"/>
              <w:marTop w:val="0"/>
              <w:marBottom w:val="0"/>
              <w:divBdr>
                <w:top w:val="none" w:sz="0" w:space="0" w:color="auto"/>
                <w:left w:val="none" w:sz="0" w:space="0" w:color="auto"/>
                <w:bottom w:val="none" w:sz="0" w:space="0" w:color="auto"/>
                <w:right w:val="none" w:sz="0" w:space="0" w:color="auto"/>
              </w:divBdr>
              <w:divsChild>
                <w:div w:id="1064108288">
                  <w:marLeft w:val="0"/>
                  <w:marRight w:val="0"/>
                  <w:marTop w:val="0"/>
                  <w:marBottom w:val="0"/>
                  <w:divBdr>
                    <w:top w:val="none" w:sz="0" w:space="0" w:color="auto"/>
                    <w:left w:val="none" w:sz="0" w:space="0" w:color="auto"/>
                    <w:bottom w:val="none" w:sz="0" w:space="0" w:color="auto"/>
                    <w:right w:val="none" w:sz="0" w:space="0" w:color="auto"/>
                  </w:divBdr>
                </w:div>
              </w:divsChild>
            </w:div>
            <w:div w:id="1493835766">
              <w:marLeft w:val="0"/>
              <w:marRight w:val="0"/>
              <w:marTop w:val="0"/>
              <w:marBottom w:val="0"/>
              <w:divBdr>
                <w:top w:val="none" w:sz="0" w:space="0" w:color="auto"/>
                <w:left w:val="none" w:sz="0" w:space="0" w:color="auto"/>
                <w:bottom w:val="none" w:sz="0" w:space="0" w:color="auto"/>
                <w:right w:val="none" w:sz="0" w:space="0" w:color="auto"/>
              </w:divBdr>
              <w:divsChild>
                <w:div w:id="899907318">
                  <w:marLeft w:val="0"/>
                  <w:marRight w:val="0"/>
                  <w:marTop w:val="0"/>
                  <w:marBottom w:val="0"/>
                  <w:divBdr>
                    <w:top w:val="none" w:sz="0" w:space="0" w:color="auto"/>
                    <w:left w:val="none" w:sz="0" w:space="0" w:color="auto"/>
                    <w:bottom w:val="none" w:sz="0" w:space="0" w:color="auto"/>
                    <w:right w:val="none" w:sz="0" w:space="0" w:color="auto"/>
                  </w:divBdr>
                </w:div>
              </w:divsChild>
            </w:div>
            <w:div w:id="1506747279">
              <w:marLeft w:val="0"/>
              <w:marRight w:val="0"/>
              <w:marTop w:val="0"/>
              <w:marBottom w:val="0"/>
              <w:divBdr>
                <w:top w:val="none" w:sz="0" w:space="0" w:color="auto"/>
                <w:left w:val="none" w:sz="0" w:space="0" w:color="auto"/>
                <w:bottom w:val="none" w:sz="0" w:space="0" w:color="auto"/>
                <w:right w:val="none" w:sz="0" w:space="0" w:color="auto"/>
              </w:divBdr>
              <w:divsChild>
                <w:div w:id="1357123621">
                  <w:marLeft w:val="0"/>
                  <w:marRight w:val="0"/>
                  <w:marTop w:val="0"/>
                  <w:marBottom w:val="0"/>
                  <w:divBdr>
                    <w:top w:val="none" w:sz="0" w:space="0" w:color="auto"/>
                    <w:left w:val="none" w:sz="0" w:space="0" w:color="auto"/>
                    <w:bottom w:val="none" w:sz="0" w:space="0" w:color="auto"/>
                    <w:right w:val="none" w:sz="0" w:space="0" w:color="auto"/>
                  </w:divBdr>
                </w:div>
              </w:divsChild>
            </w:div>
            <w:div w:id="1528517682">
              <w:marLeft w:val="0"/>
              <w:marRight w:val="0"/>
              <w:marTop w:val="0"/>
              <w:marBottom w:val="0"/>
              <w:divBdr>
                <w:top w:val="none" w:sz="0" w:space="0" w:color="auto"/>
                <w:left w:val="none" w:sz="0" w:space="0" w:color="auto"/>
                <w:bottom w:val="none" w:sz="0" w:space="0" w:color="auto"/>
                <w:right w:val="none" w:sz="0" w:space="0" w:color="auto"/>
              </w:divBdr>
              <w:divsChild>
                <w:div w:id="1474056293">
                  <w:marLeft w:val="0"/>
                  <w:marRight w:val="0"/>
                  <w:marTop w:val="0"/>
                  <w:marBottom w:val="0"/>
                  <w:divBdr>
                    <w:top w:val="none" w:sz="0" w:space="0" w:color="auto"/>
                    <w:left w:val="none" w:sz="0" w:space="0" w:color="auto"/>
                    <w:bottom w:val="none" w:sz="0" w:space="0" w:color="auto"/>
                    <w:right w:val="none" w:sz="0" w:space="0" w:color="auto"/>
                  </w:divBdr>
                </w:div>
              </w:divsChild>
            </w:div>
            <w:div w:id="1537043926">
              <w:marLeft w:val="0"/>
              <w:marRight w:val="0"/>
              <w:marTop w:val="0"/>
              <w:marBottom w:val="0"/>
              <w:divBdr>
                <w:top w:val="none" w:sz="0" w:space="0" w:color="auto"/>
                <w:left w:val="none" w:sz="0" w:space="0" w:color="auto"/>
                <w:bottom w:val="none" w:sz="0" w:space="0" w:color="auto"/>
                <w:right w:val="none" w:sz="0" w:space="0" w:color="auto"/>
              </w:divBdr>
              <w:divsChild>
                <w:div w:id="1918129947">
                  <w:marLeft w:val="0"/>
                  <w:marRight w:val="0"/>
                  <w:marTop w:val="0"/>
                  <w:marBottom w:val="0"/>
                  <w:divBdr>
                    <w:top w:val="none" w:sz="0" w:space="0" w:color="auto"/>
                    <w:left w:val="none" w:sz="0" w:space="0" w:color="auto"/>
                    <w:bottom w:val="none" w:sz="0" w:space="0" w:color="auto"/>
                    <w:right w:val="none" w:sz="0" w:space="0" w:color="auto"/>
                  </w:divBdr>
                </w:div>
              </w:divsChild>
            </w:div>
            <w:div w:id="1665356454">
              <w:marLeft w:val="0"/>
              <w:marRight w:val="0"/>
              <w:marTop w:val="0"/>
              <w:marBottom w:val="0"/>
              <w:divBdr>
                <w:top w:val="none" w:sz="0" w:space="0" w:color="auto"/>
                <w:left w:val="none" w:sz="0" w:space="0" w:color="auto"/>
                <w:bottom w:val="none" w:sz="0" w:space="0" w:color="auto"/>
                <w:right w:val="none" w:sz="0" w:space="0" w:color="auto"/>
              </w:divBdr>
              <w:divsChild>
                <w:div w:id="943540061">
                  <w:marLeft w:val="0"/>
                  <w:marRight w:val="0"/>
                  <w:marTop w:val="0"/>
                  <w:marBottom w:val="0"/>
                  <w:divBdr>
                    <w:top w:val="none" w:sz="0" w:space="0" w:color="auto"/>
                    <w:left w:val="none" w:sz="0" w:space="0" w:color="auto"/>
                    <w:bottom w:val="none" w:sz="0" w:space="0" w:color="auto"/>
                    <w:right w:val="none" w:sz="0" w:space="0" w:color="auto"/>
                  </w:divBdr>
                </w:div>
              </w:divsChild>
            </w:div>
            <w:div w:id="2030637979">
              <w:marLeft w:val="0"/>
              <w:marRight w:val="0"/>
              <w:marTop w:val="0"/>
              <w:marBottom w:val="0"/>
              <w:divBdr>
                <w:top w:val="none" w:sz="0" w:space="0" w:color="auto"/>
                <w:left w:val="none" w:sz="0" w:space="0" w:color="auto"/>
                <w:bottom w:val="none" w:sz="0" w:space="0" w:color="auto"/>
                <w:right w:val="none" w:sz="0" w:space="0" w:color="auto"/>
              </w:divBdr>
              <w:divsChild>
                <w:div w:id="87951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09545">
          <w:marLeft w:val="0"/>
          <w:marRight w:val="0"/>
          <w:marTop w:val="0"/>
          <w:marBottom w:val="0"/>
          <w:divBdr>
            <w:top w:val="none" w:sz="0" w:space="0" w:color="auto"/>
            <w:left w:val="none" w:sz="0" w:space="0" w:color="auto"/>
            <w:bottom w:val="none" w:sz="0" w:space="0" w:color="auto"/>
            <w:right w:val="none" w:sz="0" w:space="0" w:color="auto"/>
          </w:divBdr>
        </w:div>
      </w:divsChild>
    </w:div>
    <w:div w:id="1217282627">
      <w:bodyDiv w:val="1"/>
      <w:marLeft w:val="0"/>
      <w:marRight w:val="0"/>
      <w:marTop w:val="0"/>
      <w:marBottom w:val="0"/>
      <w:divBdr>
        <w:top w:val="none" w:sz="0" w:space="0" w:color="auto"/>
        <w:left w:val="none" w:sz="0" w:space="0" w:color="auto"/>
        <w:bottom w:val="none" w:sz="0" w:space="0" w:color="auto"/>
        <w:right w:val="none" w:sz="0" w:space="0" w:color="auto"/>
      </w:divBdr>
    </w:div>
    <w:div w:id="1268733029">
      <w:bodyDiv w:val="1"/>
      <w:marLeft w:val="0"/>
      <w:marRight w:val="0"/>
      <w:marTop w:val="0"/>
      <w:marBottom w:val="0"/>
      <w:divBdr>
        <w:top w:val="none" w:sz="0" w:space="0" w:color="auto"/>
        <w:left w:val="none" w:sz="0" w:space="0" w:color="auto"/>
        <w:bottom w:val="none" w:sz="0" w:space="0" w:color="auto"/>
        <w:right w:val="none" w:sz="0" w:space="0" w:color="auto"/>
      </w:divBdr>
    </w:div>
    <w:div w:id="1447039536">
      <w:bodyDiv w:val="1"/>
      <w:marLeft w:val="0"/>
      <w:marRight w:val="0"/>
      <w:marTop w:val="0"/>
      <w:marBottom w:val="0"/>
      <w:divBdr>
        <w:top w:val="none" w:sz="0" w:space="0" w:color="auto"/>
        <w:left w:val="none" w:sz="0" w:space="0" w:color="auto"/>
        <w:bottom w:val="none" w:sz="0" w:space="0" w:color="auto"/>
        <w:right w:val="none" w:sz="0" w:space="0" w:color="auto"/>
      </w:divBdr>
    </w:div>
    <w:div w:id="1491600003">
      <w:bodyDiv w:val="1"/>
      <w:marLeft w:val="0"/>
      <w:marRight w:val="0"/>
      <w:marTop w:val="0"/>
      <w:marBottom w:val="0"/>
      <w:divBdr>
        <w:top w:val="none" w:sz="0" w:space="0" w:color="auto"/>
        <w:left w:val="none" w:sz="0" w:space="0" w:color="auto"/>
        <w:bottom w:val="none" w:sz="0" w:space="0" w:color="auto"/>
        <w:right w:val="none" w:sz="0" w:space="0" w:color="auto"/>
      </w:divBdr>
      <w:divsChild>
        <w:div w:id="9843939">
          <w:marLeft w:val="0"/>
          <w:marRight w:val="0"/>
          <w:marTop w:val="0"/>
          <w:marBottom w:val="0"/>
          <w:divBdr>
            <w:top w:val="none" w:sz="0" w:space="0" w:color="auto"/>
            <w:left w:val="none" w:sz="0" w:space="0" w:color="auto"/>
            <w:bottom w:val="none" w:sz="0" w:space="0" w:color="auto"/>
            <w:right w:val="none" w:sz="0" w:space="0" w:color="auto"/>
          </w:divBdr>
          <w:divsChild>
            <w:div w:id="1381245330">
              <w:marLeft w:val="0"/>
              <w:marRight w:val="0"/>
              <w:marTop w:val="0"/>
              <w:marBottom w:val="0"/>
              <w:divBdr>
                <w:top w:val="none" w:sz="0" w:space="0" w:color="auto"/>
                <w:left w:val="none" w:sz="0" w:space="0" w:color="auto"/>
                <w:bottom w:val="none" w:sz="0" w:space="0" w:color="auto"/>
                <w:right w:val="none" w:sz="0" w:space="0" w:color="auto"/>
              </w:divBdr>
            </w:div>
          </w:divsChild>
        </w:div>
        <w:div w:id="62021801">
          <w:marLeft w:val="0"/>
          <w:marRight w:val="0"/>
          <w:marTop w:val="0"/>
          <w:marBottom w:val="0"/>
          <w:divBdr>
            <w:top w:val="none" w:sz="0" w:space="0" w:color="auto"/>
            <w:left w:val="none" w:sz="0" w:space="0" w:color="auto"/>
            <w:bottom w:val="none" w:sz="0" w:space="0" w:color="auto"/>
            <w:right w:val="none" w:sz="0" w:space="0" w:color="auto"/>
          </w:divBdr>
          <w:divsChild>
            <w:div w:id="1829636053">
              <w:marLeft w:val="0"/>
              <w:marRight w:val="0"/>
              <w:marTop w:val="0"/>
              <w:marBottom w:val="0"/>
              <w:divBdr>
                <w:top w:val="none" w:sz="0" w:space="0" w:color="auto"/>
                <w:left w:val="none" w:sz="0" w:space="0" w:color="auto"/>
                <w:bottom w:val="none" w:sz="0" w:space="0" w:color="auto"/>
                <w:right w:val="none" w:sz="0" w:space="0" w:color="auto"/>
              </w:divBdr>
            </w:div>
          </w:divsChild>
        </w:div>
        <w:div w:id="84766890">
          <w:marLeft w:val="0"/>
          <w:marRight w:val="0"/>
          <w:marTop w:val="0"/>
          <w:marBottom w:val="0"/>
          <w:divBdr>
            <w:top w:val="none" w:sz="0" w:space="0" w:color="auto"/>
            <w:left w:val="none" w:sz="0" w:space="0" w:color="auto"/>
            <w:bottom w:val="none" w:sz="0" w:space="0" w:color="auto"/>
            <w:right w:val="none" w:sz="0" w:space="0" w:color="auto"/>
          </w:divBdr>
          <w:divsChild>
            <w:div w:id="546645315">
              <w:marLeft w:val="0"/>
              <w:marRight w:val="0"/>
              <w:marTop w:val="0"/>
              <w:marBottom w:val="0"/>
              <w:divBdr>
                <w:top w:val="none" w:sz="0" w:space="0" w:color="auto"/>
                <w:left w:val="none" w:sz="0" w:space="0" w:color="auto"/>
                <w:bottom w:val="none" w:sz="0" w:space="0" w:color="auto"/>
                <w:right w:val="none" w:sz="0" w:space="0" w:color="auto"/>
              </w:divBdr>
            </w:div>
          </w:divsChild>
        </w:div>
        <w:div w:id="108357806">
          <w:marLeft w:val="0"/>
          <w:marRight w:val="0"/>
          <w:marTop w:val="0"/>
          <w:marBottom w:val="0"/>
          <w:divBdr>
            <w:top w:val="none" w:sz="0" w:space="0" w:color="auto"/>
            <w:left w:val="none" w:sz="0" w:space="0" w:color="auto"/>
            <w:bottom w:val="none" w:sz="0" w:space="0" w:color="auto"/>
            <w:right w:val="none" w:sz="0" w:space="0" w:color="auto"/>
          </w:divBdr>
          <w:divsChild>
            <w:div w:id="924995723">
              <w:marLeft w:val="0"/>
              <w:marRight w:val="0"/>
              <w:marTop w:val="0"/>
              <w:marBottom w:val="0"/>
              <w:divBdr>
                <w:top w:val="none" w:sz="0" w:space="0" w:color="auto"/>
                <w:left w:val="none" w:sz="0" w:space="0" w:color="auto"/>
                <w:bottom w:val="none" w:sz="0" w:space="0" w:color="auto"/>
                <w:right w:val="none" w:sz="0" w:space="0" w:color="auto"/>
              </w:divBdr>
            </w:div>
          </w:divsChild>
        </w:div>
        <w:div w:id="150760436">
          <w:marLeft w:val="0"/>
          <w:marRight w:val="0"/>
          <w:marTop w:val="0"/>
          <w:marBottom w:val="0"/>
          <w:divBdr>
            <w:top w:val="none" w:sz="0" w:space="0" w:color="auto"/>
            <w:left w:val="none" w:sz="0" w:space="0" w:color="auto"/>
            <w:bottom w:val="none" w:sz="0" w:space="0" w:color="auto"/>
            <w:right w:val="none" w:sz="0" w:space="0" w:color="auto"/>
          </w:divBdr>
          <w:divsChild>
            <w:div w:id="311645360">
              <w:marLeft w:val="0"/>
              <w:marRight w:val="0"/>
              <w:marTop w:val="0"/>
              <w:marBottom w:val="0"/>
              <w:divBdr>
                <w:top w:val="none" w:sz="0" w:space="0" w:color="auto"/>
                <w:left w:val="none" w:sz="0" w:space="0" w:color="auto"/>
                <w:bottom w:val="none" w:sz="0" w:space="0" w:color="auto"/>
                <w:right w:val="none" w:sz="0" w:space="0" w:color="auto"/>
              </w:divBdr>
            </w:div>
          </w:divsChild>
        </w:div>
        <w:div w:id="237983633">
          <w:marLeft w:val="0"/>
          <w:marRight w:val="0"/>
          <w:marTop w:val="0"/>
          <w:marBottom w:val="0"/>
          <w:divBdr>
            <w:top w:val="none" w:sz="0" w:space="0" w:color="auto"/>
            <w:left w:val="none" w:sz="0" w:space="0" w:color="auto"/>
            <w:bottom w:val="none" w:sz="0" w:space="0" w:color="auto"/>
            <w:right w:val="none" w:sz="0" w:space="0" w:color="auto"/>
          </w:divBdr>
          <w:divsChild>
            <w:div w:id="376973512">
              <w:marLeft w:val="0"/>
              <w:marRight w:val="0"/>
              <w:marTop w:val="0"/>
              <w:marBottom w:val="0"/>
              <w:divBdr>
                <w:top w:val="none" w:sz="0" w:space="0" w:color="auto"/>
                <w:left w:val="none" w:sz="0" w:space="0" w:color="auto"/>
                <w:bottom w:val="none" w:sz="0" w:space="0" w:color="auto"/>
                <w:right w:val="none" w:sz="0" w:space="0" w:color="auto"/>
              </w:divBdr>
            </w:div>
          </w:divsChild>
        </w:div>
        <w:div w:id="278149933">
          <w:marLeft w:val="0"/>
          <w:marRight w:val="0"/>
          <w:marTop w:val="0"/>
          <w:marBottom w:val="0"/>
          <w:divBdr>
            <w:top w:val="none" w:sz="0" w:space="0" w:color="auto"/>
            <w:left w:val="none" w:sz="0" w:space="0" w:color="auto"/>
            <w:bottom w:val="none" w:sz="0" w:space="0" w:color="auto"/>
            <w:right w:val="none" w:sz="0" w:space="0" w:color="auto"/>
          </w:divBdr>
          <w:divsChild>
            <w:div w:id="1718161389">
              <w:marLeft w:val="0"/>
              <w:marRight w:val="0"/>
              <w:marTop w:val="0"/>
              <w:marBottom w:val="0"/>
              <w:divBdr>
                <w:top w:val="none" w:sz="0" w:space="0" w:color="auto"/>
                <w:left w:val="none" w:sz="0" w:space="0" w:color="auto"/>
                <w:bottom w:val="none" w:sz="0" w:space="0" w:color="auto"/>
                <w:right w:val="none" w:sz="0" w:space="0" w:color="auto"/>
              </w:divBdr>
            </w:div>
          </w:divsChild>
        </w:div>
        <w:div w:id="295840785">
          <w:marLeft w:val="0"/>
          <w:marRight w:val="0"/>
          <w:marTop w:val="0"/>
          <w:marBottom w:val="0"/>
          <w:divBdr>
            <w:top w:val="none" w:sz="0" w:space="0" w:color="auto"/>
            <w:left w:val="none" w:sz="0" w:space="0" w:color="auto"/>
            <w:bottom w:val="none" w:sz="0" w:space="0" w:color="auto"/>
            <w:right w:val="none" w:sz="0" w:space="0" w:color="auto"/>
          </w:divBdr>
          <w:divsChild>
            <w:div w:id="365906412">
              <w:marLeft w:val="0"/>
              <w:marRight w:val="0"/>
              <w:marTop w:val="0"/>
              <w:marBottom w:val="0"/>
              <w:divBdr>
                <w:top w:val="none" w:sz="0" w:space="0" w:color="auto"/>
                <w:left w:val="none" w:sz="0" w:space="0" w:color="auto"/>
                <w:bottom w:val="none" w:sz="0" w:space="0" w:color="auto"/>
                <w:right w:val="none" w:sz="0" w:space="0" w:color="auto"/>
              </w:divBdr>
            </w:div>
          </w:divsChild>
        </w:div>
        <w:div w:id="368335673">
          <w:marLeft w:val="0"/>
          <w:marRight w:val="0"/>
          <w:marTop w:val="0"/>
          <w:marBottom w:val="0"/>
          <w:divBdr>
            <w:top w:val="none" w:sz="0" w:space="0" w:color="auto"/>
            <w:left w:val="none" w:sz="0" w:space="0" w:color="auto"/>
            <w:bottom w:val="none" w:sz="0" w:space="0" w:color="auto"/>
            <w:right w:val="none" w:sz="0" w:space="0" w:color="auto"/>
          </w:divBdr>
          <w:divsChild>
            <w:div w:id="1329748045">
              <w:marLeft w:val="0"/>
              <w:marRight w:val="0"/>
              <w:marTop w:val="0"/>
              <w:marBottom w:val="0"/>
              <w:divBdr>
                <w:top w:val="none" w:sz="0" w:space="0" w:color="auto"/>
                <w:left w:val="none" w:sz="0" w:space="0" w:color="auto"/>
                <w:bottom w:val="none" w:sz="0" w:space="0" w:color="auto"/>
                <w:right w:val="none" w:sz="0" w:space="0" w:color="auto"/>
              </w:divBdr>
            </w:div>
          </w:divsChild>
        </w:div>
        <w:div w:id="393354421">
          <w:marLeft w:val="0"/>
          <w:marRight w:val="0"/>
          <w:marTop w:val="0"/>
          <w:marBottom w:val="0"/>
          <w:divBdr>
            <w:top w:val="none" w:sz="0" w:space="0" w:color="auto"/>
            <w:left w:val="none" w:sz="0" w:space="0" w:color="auto"/>
            <w:bottom w:val="none" w:sz="0" w:space="0" w:color="auto"/>
            <w:right w:val="none" w:sz="0" w:space="0" w:color="auto"/>
          </w:divBdr>
          <w:divsChild>
            <w:div w:id="1634943031">
              <w:marLeft w:val="0"/>
              <w:marRight w:val="0"/>
              <w:marTop w:val="0"/>
              <w:marBottom w:val="0"/>
              <w:divBdr>
                <w:top w:val="none" w:sz="0" w:space="0" w:color="auto"/>
                <w:left w:val="none" w:sz="0" w:space="0" w:color="auto"/>
                <w:bottom w:val="none" w:sz="0" w:space="0" w:color="auto"/>
                <w:right w:val="none" w:sz="0" w:space="0" w:color="auto"/>
              </w:divBdr>
            </w:div>
          </w:divsChild>
        </w:div>
        <w:div w:id="490219620">
          <w:marLeft w:val="0"/>
          <w:marRight w:val="0"/>
          <w:marTop w:val="0"/>
          <w:marBottom w:val="0"/>
          <w:divBdr>
            <w:top w:val="none" w:sz="0" w:space="0" w:color="auto"/>
            <w:left w:val="none" w:sz="0" w:space="0" w:color="auto"/>
            <w:bottom w:val="none" w:sz="0" w:space="0" w:color="auto"/>
            <w:right w:val="none" w:sz="0" w:space="0" w:color="auto"/>
          </w:divBdr>
          <w:divsChild>
            <w:div w:id="44914788">
              <w:marLeft w:val="0"/>
              <w:marRight w:val="0"/>
              <w:marTop w:val="0"/>
              <w:marBottom w:val="0"/>
              <w:divBdr>
                <w:top w:val="none" w:sz="0" w:space="0" w:color="auto"/>
                <w:left w:val="none" w:sz="0" w:space="0" w:color="auto"/>
                <w:bottom w:val="none" w:sz="0" w:space="0" w:color="auto"/>
                <w:right w:val="none" w:sz="0" w:space="0" w:color="auto"/>
              </w:divBdr>
            </w:div>
          </w:divsChild>
        </w:div>
        <w:div w:id="562528250">
          <w:marLeft w:val="0"/>
          <w:marRight w:val="0"/>
          <w:marTop w:val="0"/>
          <w:marBottom w:val="0"/>
          <w:divBdr>
            <w:top w:val="none" w:sz="0" w:space="0" w:color="auto"/>
            <w:left w:val="none" w:sz="0" w:space="0" w:color="auto"/>
            <w:bottom w:val="none" w:sz="0" w:space="0" w:color="auto"/>
            <w:right w:val="none" w:sz="0" w:space="0" w:color="auto"/>
          </w:divBdr>
          <w:divsChild>
            <w:div w:id="866719796">
              <w:marLeft w:val="0"/>
              <w:marRight w:val="0"/>
              <w:marTop w:val="0"/>
              <w:marBottom w:val="0"/>
              <w:divBdr>
                <w:top w:val="none" w:sz="0" w:space="0" w:color="auto"/>
                <w:left w:val="none" w:sz="0" w:space="0" w:color="auto"/>
                <w:bottom w:val="none" w:sz="0" w:space="0" w:color="auto"/>
                <w:right w:val="none" w:sz="0" w:space="0" w:color="auto"/>
              </w:divBdr>
            </w:div>
          </w:divsChild>
        </w:div>
        <w:div w:id="596598247">
          <w:marLeft w:val="0"/>
          <w:marRight w:val="0"/>
          <w:marTop w:val="0"/>
          <w:marBottom w:val="0"/>
          <w:divBdr>
            <w:top w:val="none" w:sz="0" w:space="0" w:color="auto"/>
            <w:left w:val="none" w:sz="0" w:space="0" w:color="auto"/>
            <w:bottom w:val="none" w:sz="0" w:space="0" w:color="auto"/>
            <w:right w:val="none" w:sz="0" w:space="0" w:color="auto"/>
          </w:divBdr>
          <w:divsChild>
            <w:div w:id="1341742244">
              <w:marLeft w:val="0"/>
              <w:marRight w:val="0"/>
              <w:marTop w:val="0"/>
              <w:marBottom w:val="0"/>
              <w:divBdr>
                <w:top w:val="none" w:sz="0" w:space="0" w:color="auto"/>
                <w:left w:val="none" w:sz="0" w:space="0" w:color="auto"/>
                <w:bottom w:val="none" w:sz="0" w:space="0" w:color="auto"/>
                <w:right w:val="none" w:sz="0" w:space="0" w:color="auto"/>
              </w:divBdr>
            </w:div>
          </w:divsChild>
        </w:div>
        <w:div w:id="634726017">
          <w:marLeft w:val="0"/>
          <w:marRight w:val="0"/>
          <w:marTop w:val="0"/>
          <w:marBottom w:val="0"/>
          <w:divBdr>
            <w:top w:val="none" w:sz="0" w:space="0" w:color="auto"/>
            <w:left w:val="none" w:sz="0" w:space="0" w:color="auto"/>
            <w:bottom w:val="none" w:sz="0" w:space="0" w:color="auto"/>
            <w:right w:val="none" w:sz="0" w:space="0" w:color="auto"/>
          </w:divBdr>
          <w:divsChild>
            <w:div w:id="1054431996">
              <w:marLeft w:val="0"/>
              <w:marRight w:val="0"/>
              <w:marTop w:val="0"/>
              <w:marBottom w:val="0"/>
              <w:divBdr>
                <w:top w:val="none" w:sz="0" w:space="0" w:color="auto"/>
                <w:left w:val="none" w:sz="0" w:space="0" w:color="auto"/>
                <w:bottom w:val="none" w:sz="0" w:space="0" w:color="auto"/>
                <w:right w:val="none" w:sz="0" w:space="0" w:color="auto"/>
              </w:divBdr>
            </w:div>
          </w:divsChild>
        </w:div>
        <w:div w:id="695349300">
          <w:marLeft w:val="0"/>
          <w:marRight w:val="0"/>
          <w:marTop w:val="0"/>
          <w:marBottom w:val="0"/>
          <w:divBdr>
            <w:top w:val="none" w:sz="0" w:space="0" w:color="auto"/>
            <w:left w:val="none" w:sz="0" w:space="0" w:color="auto"/>
            <w:bottom w:val="none" w:sz="0" w:space="0" w:color="auto"/>
            <w:right w:val="none" w:sz="0" w:space="0" w:color="auto"/>
          </w:divBdr>
          <w:divsChild>
            <w:div w:id="101608476">
              <w:marLeft w:val="0"/>
              <w:marRight w:val="0"/>
              <w:marTop w:val="0"/>
              <w:marBottom w:val="0"/>
              <w:divBdr>
                <w:top w:val="none" w:sz="0" w:space="0" w:color="auto"/>
                <w:left w:val="none" w:sz="0" w:space="0" w:color="auto"/>
                <w:bottom w:val="none" w:sz="0" w:space="0" w:color="auto"/>
                <w:right w:val="none" w:sz="0" w:space="0" w:color="auto"/>
              </w:divBdr>
            </w:div>
          </w:divsChild>
        </w:div>
        <w:div w:id="743572870">
          <w:marLeft w:val="0"/>
          <w:marRight w:val="0"/>
          <w:marTop w:val="0"/>
          <w:marBottom w:val="0"/>
          <w:divBdr>
            <w:top w:val="none" w:sz="0" w:space="0" w:color="auto"/>
            <w:left w:val="none" w:sz="0" w:space="0" w:color="auto"/>
            <w:bottom w:val="none" w:sz="0" w:space="0" w:color="auto"/>
            <w:right w:val="none" w:sz="0" w:space="0" w:color="auto"/>
          </w:divBdr>
          <w:divsChild>
            <w:div w:id="935209448">
              <w:marLeft w:val="0"/>
              <w:marRight w:val="0"/>
              <w:marTop w:val="0"/>
              <w:marBottom w:val="0"/>
              <w:divBdr>
                <w:top w:val="none" w:sz="0" w:space="0" w:color="auto"/>
                <w:left w:val="none" w:sz="0" w:space="0" w:color="auto"/>
                <w:bottom w:val="none" w:sz="0" w:space="0" w:color="auto"/>
                <w:right w:val="none" w:sz="0" w:space="0" w:color="auto"/>
              </w:divBdr>
            </w:div>
          </w:divsChild>
        </w:div>
        <w:div w:id="755252105">
          <w:marLeft w:val="0"/>
          <w:marRight w:val="0"/>
          <w:marTop w:val="0"/>
          <w:marBottom w:val="0"/>
          <w:divBdr>
            <w:top w:val="none" w:sz="0" w:space="0" w:color="auto"/>
            <w:left w:val="none" w:sz="0" w:space="0" w:color="auto"/>
            <w:bottom w:val="none" w:sz="0" w:space="0" w:color="auto"/>
            <w:right w:val="none" w:sz="0" w:space="0" w:color="auto"/>
          </w:divBdr>
          <w:divsChild>
            <w:div w:id="1637757163">
              <w:marLeft w:val="0"/>
              <w:marRight w:val="0"/>
              <w:marTop w:val="0"/>
              <w:marBottom w:val="0"/>
              <w:divBdr>
                <w:top w:val="none" w:sz="0" w:space="0" w:color="auto"/>
                <w:left w:val="none" w:sz="0" w:space="0" w:color="auto"/>
                <w:bottom w:val="none" w:sz="0" w:space="0" w:color="auto"/>
                <w:right w:val="none" w:sz="0" w:space="0" w:color="auto"/>
              </w:divBdr>
            </w:div>
          </w:divsChild>
        </w:div>
        <w:div w:id="756370756">
          <w:marLeft w:val="0"/>
          <w:marRight w:val="0"/>
          <w:marTop w:val="0"/>
          <w:marBottom w:val="0"/>
          <w:divBdr>
            <w:top w:val="none" w:sz="0" w:space="0" w:color="auto"/>
            <w:left w:val="none" w:sz="0" w:space="0" w:color="auto"/>
            <w:bottom w:val="none" w:sz="0" w:space="0" w:color="auto"/>
            <w:right w:val="none" w:sz="0" w:space="0" w:color="auto"/>
          </w:divBdr>
          <w:divsChild>
            <w:div w:id="1138376573">
              <w:marLeft w:val="0"/>
              <w:marRight w:val="0"/>
              <w:marTop w:val="0"/>
              <w:marBottom w:val="0"/>
              <w:divBdr>
                <w:top w:val="none" w:sz="0" w:space="0" w:color="auto"/>
                <w:left w:val="none" w:sz="0" w:space="0" w:color="auto"/>
                <w:bottom w:val="none" w:sz="0" w:space="0" w:color="auto"/>
                <w:right w:val="none" w:sz="0" w:space="0" w:color="auto"/>
              </w:divBdr>
            </w:div>
          </w:divsChild>
        </w:div>
        <w:div w:id="963384601">
          <w:marLeft w:val="0"/>
          <w:marRight w:val="0"/>
          <w:marTop w:val="0"/>
          <w:marBottom w:val="0"/>
          <w:divBdr>
            <w:top w:val="none" w:sz="0" w:space="0" w:color="auto"/>
            <w:left w:val="none" w:sz="0" w:space="0" w:color="auto"/>
            <w:bottom w:val="none" w:sz="0" w:space="0" w:color="auto"/>
            <w:right w:val="none" w:sz="0" w:space="0" w:color="auto"/>
          </w:divBdr>
          <w:divsChild>
            <w:div w:id="626476432">
              <w:marLeft w:val="0"/>
              <w:marRight w:val="0"/>
              <w:marTop w:val="0"/>
              <w:marBottom w:val="0"/>
              <w:divBdr>
                <w:top w:val="none" w:sz="0" w:space="0" w:color="auto"/>
                <w:left w:val="none" w:sz="0" w:space="0" w:color="auto"/>
                <w:bottom w:val="none" w:sz="0" w:space="0" w:color="auto"/>
                <w:right w:val="none" w:sz="0" w:space="0" w:color="auto"/>
              </w:divBdr>
            </w:div>
          </w:divsChild>
        </w:div>
        <w:div w:id="1051658383">
          <w:marLeft w:val="0"/>
          <w:marRight w:val="0"/>
          <w:marTop w:val="0"/>
          <w:marBottom w:val="0"/>
          <w:divBdr>
            <w:top w:val="none" w:sz="0" w:space="0" w:color="auto"/>
            <w:left w:val="none" w:sz="0" w:space="0" w:color="auto"/>
            <w:bottom w:val="none" w:sz="0" w:space="0" w:color="auto"/>
            <w:right w:val="none" w:sz="0" w:space="0" w:color="auto"/>
          </w:divBdr>
          <w:divsChild>
            <w:div w:id="549716">
              <w:marLeft w:val="0"/>
              <w:marRight w:val="0"/>
              <w:marTop w:val="0"/>
              <w:marBottom w:val="0"/>
              <w:divBdr>
                <w:top w:val="none" w:sz="0" w:space="0" w:color="auto"/>
                <w:left w:val="none" w:sz="0" w:space="0" w:color="auto"/>
                <w:bottom w:val="none" w:sz="0" w:space="0" w:color="auto"/>
                <w:right w:val="none" w:sz="0" w:space="0" w:color="auto"/>
              </w:divBdr>
            </w:div>
          </w:divsChild>
        </w:div>
        <w:div w:id="1088229946">
          <w:marLeft w:val="0"/>
          <w:marRight w:val="0"/>
          <w:marTop w:val="0"/>
          <w:marBottom w:val="0"/>
          <w:divBdr>
            <w:top w:val="none" w:sz="0" w:space="0" w:color="auto"/>
            <w:left w:val="none" w:sz="0" w:space="0" w:color="auto"/>
            <w:bottom w:val="none" w:sz="0" w:space="0" w:color="auto"/>
            <w:right w:val="none" w:sz="0" w:space="0" w:color="auto"/>
          </w:divBdr>
          <w:divsChild>
            <w:div w:id="120610394">
              <w:marLeft w:val="0"/>
              <w:marRight w:val="0"/>
              <w:marTop w:val="0"/>
              <w:marBottom w:val="0"/>
              <w:divBdr>
                <w:top w:val="none" w:sz="0" w:space="0" w:color="auto"/>
                <w:left w:val="none" w:sz="0" w:space="0" w:color="auto"/>
                <w:bottom w:val="none" w:sz="0" w:space="0" w:color="auto"/>
                <w:right w:val="none" w:sz="0" w:space="0" w:color="auto"/>
              </w:divBdr>
            </w:div>
          </w:divsChild>
        </w:div>
        <w:div w:id="1323849333">
          <w:marLeft w:val="0"/>
          <w:marRight w:val="0"/>
          <w:marTop w:val="0"/>
          <w:marBottom w:val="0"/>
          <w:divBdr>
            <w:top w:val="none" w:sz="0" w:space="0" w:color="auto"/>
            <w:left w:val="none" w:sz="0" w:space="0" w:color="auto"/>
            <w:bottom w:val="none" w:sz="0" w:space="0" w:color="auto"/>
            <w:right w:val="none" w:sz="0" w:space="0" w:color="auto"/>
          </w:divBdr>
          <w:divsChild>
            <w:div w:id="1808472421">
              <w:marLeft w:val="0"/>
              <w:marRight w:val="0"/>
              <w:marTop w:val="0"/>
              <w:marBottom w:val="0"/>
              <w:divBdr>
                <w:top w:val="none" w:sz="0" w:space="0" w:color="auto"/>
                <w:left w:val="none" w:sz="0" w:space="0" w:color="auto"/>
                <w:bottom w:val="none" w:sz="0" w:space="0" w:color="auto"/>
                <w:right w:val="none" w:sz="0" w:space="0" w:color="auto"/>
              </w:divBdr>
            </w:div>
          </w:divsChild>
        </w:div>
        <w:div w:id="1376926683">
          <w:marLeft w:val="0"/>
          <w:marRight w:val="0"/>
          <w:marTop w:val="0"/>
          <w:marBottom w:val="0"/>
          <w:divBdr>
            <w:top w:val="none" w:sz="0" w:space="0" w:color="auto"/>
            <w:left w:val="none" w:sz="0" w:space="0" w:color="auto"/>
            <w:bottom w:val="none" w:sz="0" w:space="0" w:color="auto"/>
            <w:right w:val="none" w:sz="0" w:space="0" w:color="auto"/>
          </w:divBdr>
          <w:divsChild>
            <w:div w:id="727073185">
              <w:marLeft w:val="0"/>
              <w:marRight w:val="0"/>
              <w:marTop w:val="0"/>
              <w:marBottom w:val="0"/>
              <w:divBdr>
                <w:top w:val="none" w:sz="0" w:space="0" w:color="auto"/>
                <w:left w:val="none" w:sz="0" w:space="0" w:color="auto"/>
                <w:bottom w:val="none" w:sz="0" w:space="0" w:color="auto"/>
                <w:right w:val="none" w:sz="0" w:space="0" w:color="auto"/>
              </w:divBdr>
            </w:div>
          </w:divsChild>
        </w:div>
        <w:div w:id="1393457397">
          <w:marLeft w:val="0"/>
          <w:marRight w:val="0"/>
          <w:marTop w:val="0"/>
          <w:marBottom w:val="0"/>
          <w:divBdr>
            <w:top w:val="none" w:sz="0" w:space="0" w:color="auto"/>
            <w:left w:val="none" w:sz="0" w:space="0" w:color="auto"/>
            <w:bottom w:val="none" w:sz="0" w:space="0" w:color="auto"/>
            <w:right w:val="none" w:sz="0" w:space="0" w:color="auto"/>
          </w:divBdr>
          <w:divsChild>
            <w:div w:id="2098943491">
              <w:marLeft w:val="0"/>
              <w:marRight w:val="0"/>
              <w:marTop w:val="0"/>
              <w:marBottom w:val="0"/>
              <w:divBdr>
                <w:top w:val="none" w:sz="0" w:space="0" w:color="auto"/>
                <w:left w:val="none" w:sz="0" w:space="0" w:color="auto"/>
                <w:bottom w:val="none" w:sz="0" w:space="0" w:color="auto"/>
                <w:right w:val="none" w:sz="0" w:space="0" w:color="auto"/>
              </w:divBdr>
            </w:div>
          </w:divsChild>
        </w:div>
        <w:div w:id="1497182213">
          <w:marLeft w:val="0"/>
          <w:marRight w:val="0"/>
          <w:marTop w:val="0"/>
          <w:marBottom w:val="0"/>
          <w:divBdr>
            <w:top w:val="none" w:sz="0" w:space="0" w:color="auto"/>
            <w:left w:val="none" w:sz="0" w:space="0" w:color="auto"/>
            <w:bottom w:val="none" w:sz="0" w:space="0" w:color="auto"/>
            <w:right w:val="none" w:sz="0" w:space="0" w:color="auto"/>
          </w:divBdr>
          <w:divsChild>
            <w:div w:id="1453204608">
              <w:marLeft w:val="0"/>
              <w:marRight w:val="0"/>
              <w:marTop w:val="0"/>
              <w:marBottom w:val="0"/>
              <w:divBdr>
                <w:top w:val="none" w:sz="0" w:space="0" w:color="auto"/>
                <w:left w:val="none" w:sz="0" w:space="0" w:color="auto"/>
                <w:bottom w:val="none" w:sz="0" w:space="0" w:color="auto"/>
                <w:right w:val="none" w:sz="0" w:space="0" w:color="auto"/>
              </w:divBdr>
            </w:div>
          </w:divsChild>
        </w:div>
        <w:div w:id="1517427178">
          <w:marLeft w:val="0"/>
          <w:marRight w:val="0"/>
          <w:marTop w:val="0"/>
          <w:marBottom w:val="0"/>
          <w:divBdr>
            <w:top w:val="none" w:sz="0" w:space="0" w:color="auto"/>
            <w:left w:val="none" w:sz="0" w:space="0" w:color="auto"/>
            <w:bottom w:val="none" w:sz="0" w:space="0" w:color="auto"/>
            <w:right w:val="none" w:sz="0" w:space="0" w:color="auto"/>
          </w:divBdr>
          <w:divsChild>
            <w:div w:id="1604146855">
              <w:marLeft w:val="0"/>
              <w:marRight w:val="0"/>
              <w:marTop w:val="0"/>
              <w:marBottom w:val="0"/>
              <w:divBdr>
                <w:top w:val="none" w:sz="0" w:space="0" w:color="auto"/>
                <w:left w:val="none" w:sz="0" w:space="0" w:color="auto"/>
                <w:bottom w:val="none" w:sz="0" w:space="0" w:color="auto"/>
                <w:right w:val="none" w:sz="0" w:space="0" w:color="auto"/>
              </w:divBdr>
            </w:div>
          </w:divsChild>
        </w:div>
        <w:div w:id="1658266965">
          <w:marLeft w:val="0"/>
          <w:marRight w:val="0"/>
          <w:marTop w:val="0"/>
          <w:marBottom w:val="0"/>
          <w:divBdr>
            <w:top w:val="none" w:sz="0" w:space="0" w:color="auto"/>
            <w:left w:val="none" w:sz="0" w:space="0" w:color="auto"/>
            <w:bottom w:val="none" w:sz="0" w:space="0" w:color="auto"/>
            <w:right w:val="none" w:sz="0" w:space="0" w:color="auto"/>
          </w:divBdr>
          <w:divsChild>
            <w:div w:id="1161241748">
              <w:marLeft w:val="0"/>
              <w:marRight w:val="0"/>
              <w:marTop w:val="0"/>
              <w:marBottom w:val="0"/>
              <w:divBdr>
                <w:top w:val="none" w:sz="0" w:space="0" w:color="auto"/>
                <w:left w:val="none" w:sz="0" w:space="0" w:color="auto"/>
                <w:bottom w:val="none" w:sz="0" w:space="0" w:color="auto"/>
                <w:right w:val="none" w:sz="0" w:space="0" w:color="auto"/>
              </w:divBdr>
            </w:div>
            <w:div w:id="1180699094">
              <w:marLeft w:val="0"/>
              <w:marRight w:val="0"/>
              <w:marTop w:val="0"/>
              <w:marBottom w:val="0"/>
              <w:divBdr>
                <w:top w:val="none" w:sz="0" w:space="0" w:color="auto"/>
                <w:left w:val="none" w:sz="0" w:space="0" w:color="auto"/>
                <w:bottom w:val="none" w:sz="0" w:space="0" w:color="auto"/>
                <w:right w:val="none" w:sz="0" w:space="0" w:color="auto"/>
              </w:divBdr>
            </w:div>
          </w:divsChild>
        </w:div>
        <w:div w:id="1857694187">
          <w:marLeft w:val="0"/>
          <w:marRight w:val="0"/>
          <w:marTop w:val="0"/>
          <w:marBottom w:val="0"/>
          <w:divBdr>
            <w:top w:val="none" w:sz="0" w:space="0" w:color="auto"/>
            <w:left w:val="none" w:sz="0" w:space="0" w:color="auto"/>
            <w:bottom w:val="none" w:sz="0" w:space="0" w:color="auto"/>
            <w:right w:val="none" w:sz="0" w:space="0" w:color="auto"/>
          </w:divBdr>
          <w:divsChild>
            <w:div w:id="1133250940">
              <w:marLeft w:val="0"/>
              <w:marRight w:val="0"/>
              <w:marTop w:val="0"/>
              <w:marBottom w:val="0"/>
              <w:divBdr>
                <w:top w:val="none" w:sz="0" w:space="0" w:color="auto"/>
                <w:left w:val="none" w:sz="0" w:space="0" w:color="auto"/>
                <w:bottom w:val="none" w:sz="0" w:space="0" w:color="auto"/>
                <w:right w:val="none" w:sz="0" w:space="0" w:color="auto"/>
              </w:divBdr>
            </w:div>
          </w:divsChild>
        </w:div>
        <w:div w:id="1918899035">
          <w:marLeft w:val="0"/>
          <w:marRight w:val="0"/>
          <w:marTop w:val="0"/>
          <w:marBottom w:val="0"/>
          <w:divBdr>
            <w:top w:val="none" w:sz="0" w:space="0" w:color="auto"/>
            <w:left w:val="none" w:sz="0" w:space="0" w:color="auto"/>
            <w:bottom w:val="none" w:sz="0" w:space="0" w:color="auto"/>
            <w:right w:val="none" w:sz="0" w:space="0" w:color="auto"/>
          </w:divBdr>
          <w:divsChild>
            <w:div w:id="1946225467">
              <w:marLeft w:val="0"/>
              <w:marRight w:val="0"/>
              <w:marTop w:val="0"/>
              <w:marBottom w:val="0"/>
              <w:divBdr>
                <w:top w:val="none" w:sz="0" w:space="0" w:color="auto"/>
                <w:left w:val="none" w:sz="0" w:space="0" w:color="auto"/>
                <w:bottom w:val="none" w:sz="0" w:space="0" w:color="auto"/>
                <w:right w:val="none" w:sz="0" w:space="0" w:color="auto"/>
              </w:divBdr>
            </w:div>
          </w:divsChild>
        </w:div>
        <w:div w:id="2004359446">
          <w:marLeft w:val="0"/>
          <w:marRight w:val="0"/>
          <w:marTop w:val="0"/>
          <w:marBottom w:val="0"/>
          <w:divBdr>
            <w:top w:val="none" w:sz="0" w:space="0" w:color="auto"/>
            <w:left w:val="none" w:sz="0" w:space="0" w:color="auto"/>
            <w:bottom w:val="none" w:sz="0" w:space="0" w:color="auto"/>
            <w:right w:val="none" w:sz="0" w:space="0" w:color="auto"/>
          </w:divBdr>
          <w:divsChild>
            <w:div w:id="522480150">
              <w:marLeft w:val="0"/>
              <w:marRight w:val="0"/>
              <w:marTop w:val="0"/>
              <w:marBottom w:val="0"/>
              <w:divBdr>
                <w:top w:val="none" w:sz="0" w:space="0" w:color="auto"/>
                <w:left w:val="none" w:sz="0" w:space="0" w:color="auto"/>
                <w:bottom w:val="none" w:sz="0" w:space="0" w:color="auto"/>
                <w:right w:val="none" w:sz="0" w:space="0" w:color="auto"/>
              </w:divBdr>
            </w:div>
          </w:divsChild>
        </w:div>
        <w:div w:id="2142109922">
          <w:marLeft w:val="0"/>
          <w:marRight w:val="0"/>
          <w:marTop w:val="0"/>
          <w:marBottom w:val="0"/>
          <w:divBdr>
            <w:top w:val="none" w:sz="0" w:space="0" w:color="auto"/>
            <w:left w:val="none" w:sz="0" w:space="0" w:color="auto"/>
            <w:bottom w:val="none" w:sz="0" w:space="0" w:color="auto"/>
            <w:right w:val="none" w:sz="0" w:space="0" w:color="auto"/>
          </w:divBdr>
          <w:divsChild>
            <w:div w:id="20999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54900">
      <w:bodyDiv w:val="1"/>
      <w:marLeft w:val="0"/>
      <w:marRight w:val="0"/>
      <w:marTop w:val="0"/>
      <w:marBottom w:val="0"/>
      <w:divBdr>
        <w:top w:val="none" w:sz="0" w:space="0" w:color="auto"/>
        <w:left w:val="none" w:sz="0" w:space="0" w:color="auto"/>
        <w:bottom w:val="none" w:sz="0" w:space="0" w:color="auto"/>
        <w:right w:val="none" w:sz="0" w:space="0" w:color="auto"/>
      </w:divBdr>
      <w:divsChild>
        <w:div w:id="1424452164">
          <w:marLeft w:val="0"/>
          <w:marRight w:val="0"/>
          <w:marTop w:val="0"/>
          <w:marBottom w:val="0"/>
          <w:divBdr>
            <w:top w:val="none" w:sz="0" w:space="0" w:color="auto"/>
            <w:left w:val="none" w:sz="0" w:space="0" w:color="auto"/>
            <w:bottom w:val="none" w:sz="0" w:space="0" w:color="auto"/>
            <w:right w:val="none" w:sz="0" w:space="0" w:color="auto"/>
          </w:divBdr>
        </w:div>
        <w:div w:id="1775006795">
          <w:marLeft w:val="-75"/>
          <w:marRight w:val="0"/>
          <w:marTop w:val="30"/>
          <w:marBottom w:val="30"/>
          <w:divBdr>
            <w:top w:val="none" w:sz="0" w:space="0" w:color="auto"/>
            <w:left w:val="none" w:sz="0" w:space="0" w:color="auto"/>
            <w:bottom w:val="none" w:sz="0" w:space="0" w:color="auto"/>
            <w:right w:val="none" w:sz="0" w:space="0" w:color="auto"/>
          </w:divBdr>
          <w:divsChild>
            <w:div w:id="62995981">
              <w:marLeft w:val="0"/>
              <w:marRight w:val="0"/>
              <w:marTop w:val="0"/>
              <w:marBottom w:val="0"/>
              <w:divBdr>
                <w:top w:val="none" w:sz="0" w:space="0" w:color="auto"/>
                <w:left w:val="none" w:sz="0" w:space="0" w:color="auto"/>
                <w:bottom w:val="none" w:sz="0" w:space="0" w:color="auto"/>
                <w:right w:val="none" w:sz="0" w:space="0" w:color="auto"/>
              </w:divBdr>
              <w:divsChild>
                <w:div w:id="794644599">
                  <w:marLeft w:val="0"/>
                  <w:marRight w:val="0"/>
                  <w:marTop w:val="0"/>
                  <w:marBottom w:val="0"/>
                  <w:divBdr>
                    <w:top w:val="none" w:sz="0" w:space="0" w:color="auto"/>
                    <w:left w:val="none" w:sz="0" w:space="0" w:color="auto"/>
                    <w:bottom w:val="none" w:sz="0" w:space="0" w:color="auto"/>
                    <w:right w:val="none" w:sz="0" w:space="0" w:color="auto"/>
                  </w:divBdr>
                </w:div>
              </w:divsChild>
            </w:div>
            <w:div w:id="96603188">
              <w:marLeft w:val="0"/>
              <w:marRight w:val="0"/>
              <w:marTop w:val="0"/>
              <w:marBottom w:val="0"/>
              <w:divBdr>
                <w:top w:val="none" w:sz="0" w:space="0" w:color="auto"/>
                <w:left w:val="none" w:sz="0" w:space="0" w:color="auto"/>
                <w:bottom w:val="none" w:sz="0" w:space="0" w:color="auto"/>
                <w:right w:val="none" w:sz="0" w:space="0" w:color="auto"/>
              </w:divBdr>
              <w:divsChild>
                <w:div w:id="1274171121">
                  <w:marLeft w:val="0"/>
                  <w:marRight w:val="0"/>
                  <w:marTop w:val="0"/>
                  <w:marBottom w:val="0"/>
                  <w:divBdr>
                    <w:top w:val="none" w:sz="0" w:space="0" w:color="auto"/>
                    <w:left w:val="none" w:sz="0" w:space="0" w:color="auto"/>
                    <w:bottom w:val="none" w:sz="0" w:space="0" w:color="auto"/>
                    <w:right w:val="none" w:sz="0" w:space="0" w:color="auto"/>
                  </w:divBdr>
                </w:div>
              </w:divsChild>
            </w:div>
            <w:div w:id="166873275">
              <w:marLeft w:val="0"/>
              <w:marRight w:val="0"/>
              <w:marTop w:val="0"/>
              <w:marBottom w:val="0"/>
              <w:divBdr>
                <w:top w:val="none" w:sz="0" w:space="0" w:color="auto"/>
                <w:left w:val="none" w:sz="0" w:space="0" w:color="auto"/>
                <w:bottom w:val="none" w:sz="0" w:space="0" w:color="auto"/>
                <w:right w:val="none" w:sz="0" w:space="0" w:color="auto"/>
              </w:divBdr>
              <w:divsChild>
                <w:div w:id="52431903">
                  <w:marLeft w:val="0"/>
                  <w:marRight w:val="0"/>
                  <w:marTop w:val="0"/>
                  <w:marBottom w:val="0"/>
                  <w:divBdr>
                    <w:top w:val="none" w:sz="0" w:space="0" w:color="auto"/>
                    <w:left w:val="none" w:sz="0" w:space="0" w:color="auto"/>
                    <w:bottom w:val="none" w:sz="0" w:space="0" w:color="auto"/>
                    <w:right w:val="none" w:sz="0" w:space="0" w:color="auto"/>
                  </w:divBdr>
                </w:div>
              </w:divsChild>
            </w:div>
            <w:div w:id="167597797">
              <w:marLeft w:val="0"/>
              <w:marRight w:val="0"/>
              <w:marTop w:val="0"/>
              <w:marBottom w:val="0"/>
              <w:divBdr>
                <w:top w:val="none" w:sz="0" w:space="0" w:color="auto"/>
                <w:left w:val="none" w:sz="0" w:space="0" w:color="auto"/>
                <w:bottom w:val="none" w:sz="0" w:space="0" w:color="auto"/>
                <w:right w:val="none" w:sz="0" w:space="0" w:color="auto"/>
              </w:divBdr>
              <w:divsChild>
                <w:div w:id="1107235184">
                  <w:marLeft w:val="0"/>
                  <w:marRight w:val="0"/>
                  <w:marTop w:val="0"/>
                  <w:marBottom w:val="0"/>
                  <w:divBdr>
                    <w:top w:val="none" w:sz="0" w:space="0" w:color="auto"/>
                    <w:left w:val="none" w:sz="0" w:space="0" w:color="auto"/>
                    <w:bottom w:val="none" w:sz="0" w:space="0" w:color="auto"/>
                    <w:right w:val="none" w:sz="0" w:space="0" w:color="auto"/>
                  </w:divBdr>
                </w:div>
              </w:divsChild>
            </w:div>
            <w:div w:id="360281202">
              <w:marLeft w:val="0"/>
              <w:marRight w:val="0"/>
              <w:marTop w:val="0"/>
              <w:marBottom w:val="0"/>
              <w:divBdr>
                <w:top w:val="none" w:sz="0" w:space="0" w:color="auto"/>
                <w:left w:val="none" w:sz="0" w:space="0" w:color="auto"/>
                <w:bottom w:val="none" w:sz="0" w:space="0" w:color="auto"/>
                <w:right w:val="none" w:sz="0" w:space="0" w:color="auto"/>
              </w:divBdr>
              <w:divsChild>
                <w:div w:id="2125923172">
                  <w:marLeft w:val="0"/>
                  <w:marRight w:val="0"/>
                  <w:marTop w:val="0"/>
                  <w:marBottom w:val="0"/>
                  <w:divBdr>
                    <w:top w:val="none" w:sz="0" w:space="0" w:color="auto"/>
                    <w:left w:val="none" w:sz="0" w:space="0" w:color="auto"/>
                    <w:bottom w:val="none" w:sz="0" w:space="0" w:color="auto"/>
                    <w:right w:val="none" w:sz="0" w:space="0" w:color="auto"/>
                  </w:divBdr>
                </w:div>
              </w:divsChild>
            </w:div>
            <w:div w:id="414866138">
              <w:marLeft w:val="0"/>
              <w:marRight w:val="0"/>
              <w:marTop w:val="0"/>
              <w:marBottom w:val="0"/>
              <w:divBdr>
                <w:top w:val="none" w:sz="0" w:space="0" w:color="auto"/>
                <w:left w:val="none" w:sz="0" w:space="0" w:color="auto"/>
                <w:bottom w:val="none" w:sz="0" w:space="0" w:color="auto"/>
                <w:right w:val="none" w:sz="0" w:space="0" w:color="auto"/>
              </w:divBdr>
              <w:divsChild>
                <w:div w:id="881675173">
                  <w:marLeft w:val="0"/>
                  <w:marRight w:val="0"/>
                  <w:marTop w:val="0"/>
                  <w:marBottom w:val="0"/>
                  <w:divBdr>
                    <w:top w:val="none" w:sz="0" w:space="0" w:color="auto"/>
                    <w:left w:val="none" w:sz="0" w:space="0" w:color="auto"/>
                    <w:bottom w:val="none" w:sz="0" w:space="0" w:color="auto"/>
                    <w:right w:val="none" w:sz="0" w:space="0" w:color="auto"/>
                  </w:divBdr>
                </w:div>
              </w:divsChild>
            </w:div>
            <w:div w:id="504514744">
              <w:marLeft w:val="0"/>
              <w:marRight w:val="0"/>
              <w:marTop w:val="0"/>
              <w:marBottom w:val="0"/>
              <w:divBdr>
                <w:top w:val="none" w:sz="0" w:space="0" w:color="auto"/>
                <w:left w:val="none" w:sz="0" w:space="0" w:color="auto"/>
                <w:bottom w:val="none" w:sz="0" w:space="0" w:color="auto"/>
                <w:right w:val="none" w:sz="0" w:space="0" w:color="auto"/>
              </w:divBdr>
              <w:divsChild>
                <w:div w:id="583687612">
                  <w:marLeft w:val="0"/>
                  <w:marRight w:val="0"/>
                  <w:marTop w:val="0"/>
                  <w:marBottom w:val="0"/>
                  <w:divBdr>
                    <w:top w:val="none" w:sz="0" w:space="0" w:color="auto"/>
                    <w:left w:val="none" w:sz="0" w:space="0" w:color="auto"/>
                    <w:bottom w:val="none" w:sz="0" w:space="0" w:color="auto"/>
                    <w:right w:val="none" w:sz="0" w:space="0" w:color="auto"/>
                  </w:divBdr>
                </w:div>
              </w:divsChild>
            </w:div>
            <w:div w:id="519320557">
              <w:marLeft w:val="0"/>
              <w:marRight w:val="0"/>
              <w:marTop w:val="0"/>
              <w:marBottom w:val="0"/>
              <w:divBdr>
                <w:top w:val="none" w:sz="0" w:space="0" w:color="auto"/>
                <w:left w:val="none" w:sz="0" w:space="0" w:color="auto"/>
                <w:bottom w:val="none" w:sz="0" w:space="0" w:color="auto"/>
                <w:right w:val="none" w:sz="0" w:space="0" w:color="auto"/>
              </w:divBdr>
              <w:divsChild>
                <w:div w:id="1711781">
                  <w:marLeft w:val="0"/>
                  <w:marRight w:val="0"/>
                  <w:marTop w:val="0"/>
                  <w:marBottom w:val="0"/>
                  <w:divBdr>
                    <w:top w:val="none" w:sz="0" w:space="0" w:color="auto"/>
                    <w:left w:val="none" w:sz="0" w:space="0" w:color="auto"/>
                    <w:bottom w:val="none" w:sz="0" w:space="0" w:color="auto"/>
                    <w:right w:val="none" w:sz="0" w:space="0" w:color="auto"/>
                  </w:divBdr>
                </w:div>
              </w:divsChild>
            </w:div>
            <w:div w:id="633561279">
              <w:marLeft w:val="0"/>
              <w:marRight w:val="0"/>
              <w:marTop w:val="0"/>
              <w:marBottom w:val="0"/>
              <w:divBdr>
                <w:top w:val="none" w:sz="0" w:space="0" w:color="auto"/>
                <w:left w:val="none" w:sz="0" w:space="0" w:color="auto"/>
                <w:bottom w:val="none" w:sz="0" w:space="0" w:color="auto"/>
                <w:right w:val="none" w:sz="0" w:space="0" w:color="auto"/>
              </w:divBdr>
              <w:divsChild>
                <w:div w:id="1770658602">
                  <w:marLeft w:val="0"/>
                  <w:marRight w:val="0"/>
                  <w:marTop w:val="0"/>
                  <w:marBottom w:val="0"/>
                  <w:divBdr>
                    <w:top w:val="none" w:sz="0" w:space="0" w:color="auto"/>
                    <w:left w:val="none" w:sz="0" w:space="0" w:color="auto"/>
                    <w:bottom w:val="none" w:sz="0" w:space="0" w:color="auto"/>
                    <w:right w:val="none" w:sz="0" w:space="0" w:color="auto"/>
                  </w:divBdr>
                </w:div>
              </w:divsChild>
            </w:div>
            <w:div w:id="791509695">
              <w:marLeft w:val="0"/>
              <w:marRight w:val="0"/>
              <w:marTop w:val="0"/>
              <w:marBottom w:val="0"/>
              <w:divBdr>
                <w:top w:val="none" w:sz="0" w:space="0" w:color="auto"/>
                <w:left w:val="none" w:sz="0" w:space="0" w:color="auto"/>
                <w:bottom w:val="none" w:sz="0" w:space="0" w:color="auto"/>
                <w:right w:val="none" w:sz="0" w:space="0" w:color="auto"/>
              </w:divBdr>
              <w:divsChild>
                <w:div w:id="567809800">
                  <w:marLeft w:val="0"/>
                  <w:marRight w:val="0"/>
                  <w:marTop w:val="0"/>
                  <w:marBottom w:val="0"/>
                  <w:divBdr>
                    <w:top w:val="none" w:sz="0" w:space="0" w:color="auto"/>
                    <w:left w:val="none" w:sz="0" w:space="0" w:color="auto"/>
                    <w:bottom w:val="none" w:sz="0" w:space="0" w:color="auto"/>
                    <w:right w:val="none" w:sz="0" w:space="0" w:color="auto"/>
                  </w:divBdr>
                </w:div>
              </w:divsChild>
            </w:div>
            <w:div w:id="809522260">
              <w:marLeft w:val="0"/>
              <w:marRight w:val="0"/>
              <w:marTop w:val="0"/>
              <w:marBottom w:val="0"/>
              <w:divBdr>
                <w:top w:val="none" w:sz="0" w:space="0" w:color="auto"/>
                <w:left w:val="none" w:sz="0" w:space="0" w:color="auto"/>
                <w:bottom w:val="none" w:sz="0" w:space="0" w:color="auto"/>
                <w:right w:val="none" w:sz="0" w:space="0" w:color="auto"/>
              </w:divBdr>
              <w:divsChild>
                <w:div w:id="1580670936">
                  <w:marLeft w:val="0"/>
                  <w:marRight w:val="0"/>
                  <w:marTop w:val="0"/>
                  <w:marBottom w:val="0"/>
                  <w:divBdr>
                    <w:top w:val="none" w:sz="0" w:space="0" w:color="auto"/>
                    <w:left w:val="none" w:sz="0" w:space="0" w:color="auto"/>
                    <w:bottom w:val="none" w:sz="0" w:space="0" w:color="auto"/>
                    <w:right w:val="none" w:sz="0" w:space="0" w:color="auto"/>
                  </w:divBdr>
                </w:div>
              </w:divsChild>
            </w:div>
            <w:div w:id="975374151">
              <w:marLeft w:val="0"/>
              <w:marRight w:val="0"/>
              <w:marTop w:val="0"/>
              <w:marBottom w:val="0"/>
              <w:divBdr>
                <w:top w:val="none" w:sz="0" w:space="0" w:color="auto"/>
                <w:left w:val="none" w:sz="0" w:space="0" w:color="auto"/>
                <w:bottom w:val="none" w:sz="0" w:space="0" w:color="auto"/>
                <w:right w:val="none" w:sz="0" w:space="0" w:color="auto"/>
              </w:divBdr>
              <w:divsChild>
                <w:div w:id="1316883972">
                  <w:marLeft w:val="0"/>
                  <w:marRight w:val="0"/>
                  <w:marTop w:val="0"/>
                  <w:marBottom w:val="0"/>
                  <w:divBdr>
                    <w:top w:val="none" w:sz="0" w:space="0" w:color="auto"/>
                    <w:left w:val="none" w:sz="0" w:space="0" w:color="auto"/>
                    <w:bottom w:val="none" w:sz="0" w:space="0" w:color="auto"/>
                    <w:right w:val="none" w:sz="0" w:space="0" w:color="auto"/>
                  </w:divBdr>
                </w:div>
              </w:divsChild>
            </w:div>
            <w:div w:id="1052581667">
              <w:marLeft w:val="0"/>
              <w:marRight w:val="0"/>
              <w:marTop w:val="0"/>
              <w:marBottom w:val="0"/>
              <w:divBdr>
                <w:top w:val="none" w:sz="0" w:space="0" w:color="auto"/>
                <w:left w:val="none" w:sz="0" w:space="0" w:color="auto"/>
                <w:bottom w:val="none" w:sz="0" w:space="0" w:color="auto"/>
                <w:right w:val="none" w:sz="0" w:space="0" w:color="auto"/>
              </w:divBdr>
              <w:divsChild>
                <w:div w:id="1263489642">
                  <w:marLeft w:val="0"/>
                  <w:marRight w:val="0"/>
                  <w:marTop w:val="0"/>
                  <w:marBottom w:val="0"/>
                  <w:divBdr>
                    <w:top w:val="none" w:sz="0" w:space="0" w:color="auto"/>
                    <w:left w:val="none" w:sz="0" w:space="0" w:color="auto"/>
                    <w:bottom w:val="none" w:sz="0" w:space="0" w:color="auto"/>
                    <w:right w:val="none" w:sz="0" w:space="0" w:color="auto"/>
                  </w:divBdr>
                </w:div>
              </w:divsChild>
            </w:div>
            <w:div w:id="1059089440">
              <w:marLeft w:val="0"/>
              <w:marRight w:val="0"/>
              <w:marTop w:val="0"/>
              <w:marBottom w:val="0"/>
              <w:divBdr>
                <w:top w:val="none" w:sz="0" w:space="0" w:color="auto"/>
                <w:left w:val="none" w:sz="0" w:space="0" w:color="auto"/>
                <w:bottom w:val="none" w:sz="0" w:space="0" w:color="auto"/>
                <w:right w:val="none" w:sz="0" w:space="0" w:color="auto"/>
              </w:divBdr>
              <w:divsChild>
                <w:div w:id="909735495">
                  <w:marLeft w:val="0"/>
                  <w:marRight w:val="0"/>
                  <w:marTop w:val="0"/>
                  <w:marBottom w:val="0"/>
                  <w:divBdr>
                    <w:top w:val="none" w:sz="0" w:space="0" w:color="auto"/>
                    <w:left w:val="none" w:sz="0" w:space="0" w:color="auto"/>
                    <w:bottom w:val="none" w:sz="0" w:space="0" w:color="auto"/>
                    <w:right w:val="none" w:sz="0" w:space="0" w:color="auto"/>
                  </w:divBdr>
                </w:div>
                <w:div w:id="1063210594">
                  <w:marLeft w:val="0"/>
                  <w:marRight w:val="0"/>
                  <w:marTop w:val="0"/>
                  <w:marBottom w:val="0"/>
                  <w:divBdr>
                    <w:top w:val="none" w:sz="0" w:space="0" w:color="auto"/>
                    <w:left w:val="none" w:sz="0" w:space="0" w:color="auto"/>
                    <w:bottom w:val="none" w:sz="0" w:space="0" w:color="auto"/>
                    <w:right w:val="none" w:sz="0" w:space="0" w:color="auto"/>
                  </w:divBdr>
                </w:div>
              </w:divsChild>
            </w:div>
            <w:div w:id="1061440091">
              <w:marLeft w:val="0"/>
              <w:marRight w:val="0"/>
              <w:marTop w:val="0"/>
              <w:marBottom w:val="0"/>
              <w:divBdr>
                <w:top w:val="none" w:sz="0" w:space="0" w:color="auto"/>
                <w:left w:val="none" w:sz="0" w:space="0" w:color="auto"/>
                <w:bottom w:val="none" w:sz="0" w:space="0" w:color="auto"/>
                <w:right w:val="none" w:sz="0" w:space="0" w:color="auto"/>
              </w:divBdr>
              <w:divsChild>
                <w:div w:id="406731361">
                  <w:marLeft w:val="0"/>
                  <w:marRight w:val="0"/>
                  <w:marTop w:val="0"/>
                  <w:marBottom w:val="0"/>
                  <w:divBdr>
                    <w:top w:val="none" w:sz="0" w:space="0" w:color="auto"/>
                    <w:left w:val="none" w:sz="0" w:space="0" w:color="auto"/>
                    <w:bottom w:val="none" w:sz="0" w:space="0" w:color="auto"/>
                    <w:right w:val="none" w:sz="0" w:space="0" w:color="auto"/>
                  </w:divBdr>
                </w:div>
              </w:divsChild>
            </w:div>
            <w:div w:id="1070081126">
              <w:marLeft w:val="0"/>
              <w:marRight w:val="0"/>
              <w:marTop w:val="0"/>
              <w:marBottom w:val="0"/>
              <w:divBdr>
                <w:top w:val="none" w:sz="0" w:space="0" w:color="auto"/>
                <w:left w:val="none" w:sz="0" w:space="0" w:color="auto"/>
                <w:bottom w:val="none" w:sz="0" w:space="0" w:color="auto"/>
                <w:right w:val="none" w:sz="0" w:space="0" w:color="auto"/>
              </w:divBdr>
              <w:divsChild>
                <w:div w:id="750009103">
                  <w:marLeft w:val="0"/>
                  <w:marRight w:val="0"/>
                  <w:marTop w:val="0"/>
                  <w:marBottom w:val="0"/>
                  <w:divBdr>
                    <w:top w:val="none" w:sz="0" w:space="0" w:color="auto"/>
                    <w:left w:val="none" w:sz="0" w:space="0" w:color="auto"/>
                    <w:bottom w:val="none" w:sz="0" w:space="0" w:color="auto"/>
                    <w:right w:val="none" w:sz="0" w:space="0" w:color="auto"/>
                  </w:divBdr>
                </w:div>
              </w:divsChild>
            </w:div>
            <w:div w:id="1169323613">
              <w:marLeft w:val="0"/>
              <w:marRight w:val="0"/>
              <w:marTop w:val="0"/>
              <w:marBottom w:val="0"/>
              <w:divBdr>
                <w:top w:val="none" w:sz="0" w:space="0" w:color="auto"/>
                <w:left w:val="none" w:sz="0" w:space="0" w:color="auto"/>
                <w:bottom w:val="none" w:sz="0" w:space="0" w:color="auto"/>
                <w:right w:val="none" w:sz="0" w:space="0" w:color="auto"/>
              </w:divBdr>
              <w:divsChild>
                <w:div w:id="196746067">
                  <w:marLeft w:val="0"/>
                  <w:marRight w:val="0"/>
                  <w:marTop w:val="0"/>
                  <w:marBottom w:val="0"/>
                  <w:divBdr>
                    <w:top w:val="none" w:sz="0" w:space="0" w:color="auto"/>
                    <w:left w:val="none" w:sz="0" w:space="0" w:color="auto"/>
                    <w:bottom w:val="none" w:sz="0" w:space="0" w:color="auto"/>
                    <w:right w:val="none" w:sz="0" w:space="0" w:color="auto"/>
                  </w:divBdr>
                </w:div>
              </w:divsChild>
            </w:div>
            <w:div w:id="1182207738">
              <w:marLeft w:val="0"/>
              <w:marRight w:val="0"/>
              <w:marTop w:val="0"/>
              <w:marBottom w:val="0"/>
              <w:divBdr>
                <w:top w:val="none" w:sz="0" w:space="0" w:color="auto"/>
                <w:left w:val="none" w:sz="0" w:space="0" w:color="auto"/>
                <w:bottom w:val="none" w:sz="0" w:space="0" w:color="auto"/>
                <w:right w:val="none" w:sz="0" w:space="0" w:color="auto"/>
              </w:divBdr>
              <w:divsChild>
                <w:div w:id="584917523">
                  <w:marLeft w:val="0"/>
                  <w:marRight w:val="0"/>
                  <w:marTop w:val="0"/>
                  <w:marBottom w:val="0"/>
                  <w:divBdr>
                    <w:top w:val="none" w:sz="0" w:space="0" w:color="auto"/>
                    <w:left w:val="none" w:sz="0" w:space="0" w:color="auto"/>
                    <w:bottom w:val="none" w:sz="0" w:space="0" w:color="auto"/>
                    <w:right w:val="none" w:sz="0" w:space="0" w:color="auto"/>
                  </w:divBdr>
                </w:div>
              </w:divsChild>
            </w:div>
            <w:div w:id="1254245904">
              <w:marLeft w:val="0"/>
              <w:marRight w:val="0"/>
              <w:marTop w:val="0"/>
              <w:marBottom w:val="0"/>
              <w:divBdr>
                <w:top w:val="none" w:sz="0" w:space="0" w:color="auto"/>
                <w:left w:val="none" w:sz="0" w:space="0" w:color="auto"/>
                <w:bottom w:val="none" w:sz="0" w:space="0" w:color="auto"/>
                <w:right w:val="none" w:sz="0" w:space="0" w:color="auto"/>
              </w:divBdr>
              <w:divsChild>
                <w:div w:id="302976300">
                  <w:marLeft w:val="0"/>
                  <w:marRight w:val="0"/>
                  <w:marTop w:val="0"/>
                  <w:marBottom w:val="0"/>
                  <w:divBdr>
                    <w:top w:val="none" w:sz="0" w:space="0" w:color="auto"/>
                    <w:left w:val="none" w:sz="0" w:space="0" w:color="auto"/>
                    <w:bottom w:val="none" w:sz="0" w:space="0" w:color="auto"/>
                    <w:right w:val="none" w:sz="0" w:space="0" w:color="auto"/>
                  </w:divBdr>
                </w:div>
              </w:divsChild>
            </w:div>
            <w:div w:id="1294214171">
              <w:marLeft w:val="0"/>
              <w:marRight w:val="0"/>
              <w:marTop w:val="0"/>
              <w:marBottom w:val="0"/>
              <w:divBdr>
                <w:top w:val="none" w:sz="0" w:space="0" w:color="auto"/>
                <w:left w:val="none" w:sz="0" w:space="0" w:color="auto"/>
                <w:bottom w:val="none" w:sz="0" w:space="0" w:color="auto"/>
                <w:right w:val="none" w:sz="0" w:space="0" w:color="auto"/>
              </w:divBdr>
              <w:divsChild>
                <w:div w:id="1393313439">
                  <w:marLeft w:val="0"/>
                  <w:marRight w:val="0"/>
                  <w:marTop w:val="0"/>
                  <w:marBottom w:val="0"/>
                  <w:divBdr>
                    <w:top w:val="none" w:sz="0" w:space="0" w:color="auto"/>
                    <w:left w:val="none" w:sz="0" w:space="0" w:color="auto"/>
                    <w:bottom w:val="none" w:sz="0" w:space="0" w:color="auto"/>
                    <w:right w:val="none" w:sz="0" w:space="0" w:color="auto"/>
                  </w:divBdr>
                </w:div>
              </w:divsChild>
            </w:div>
            <w:div w:id="1368260876">
              <w:marLeft w:val="0"/>
              <w:marRight w:val="0"/>
              <w:marTop w:val="0"/>
              <w:marBottom w:val="0"/>
              <w:divBdr>
                <w:top w:val="none" w:sz="0" w:space="0" w:color="auto"/>
                <w:left w:val="none" w:sz="0" w:space="0" w:color="auto"/>
                <w:bottom w:val="none" w:sz="0" w:space="0" w:color="auto"/>
                <w:right w:val="none" w:sz="0" w:space="0" w:color="auto"/>
              </w:divBdr>
              <w:divsChild>
                <w:div w:id="27219509">
                  <w:marLeft w:val="0"/>
                  <w:marRight w:val="0"/>
                  <w:marTop w:val="0"/>
                  <w:marBottom w:val="0"/>
                  <w:divBdr>
                    <w:top w:val="none" w:sz="0" w:space="0" w:color="auto"/>
                    <w:left w:val="none" w:sz="0" w:space="0" w:color="auto"/>
                    <w:bottom w:val="none" w:sz="0" w:space="0" w:color="auto"/>
                    <w:right w:val="none" w:sz="0" w:space="0" w:color="auto"/>
                  </w:divBdr>
                </w:div>
              </w:divsChild>
            </w:div>
            <w:div w:id="1389375126">
              <w:marLeft w:val="0"/>
              <w:marRight w:val="0"/>
              <w:marTop w:val="0"/>
              <w:marBottom w:val="0"/>
              <w:divBdr>
                <w:top w:val="none" w:sz="0" w:space="0" w:color="auto"/>
                <w:left w:val="none" w:sz="0" w:space="0" w:color="auto"/>
                <w:bottom w:val="none" w:sz="0" w:space="0" w:color="auto"/>
                <w:right w:val="none" w:sz="0" w:space="0" w:color="auto"/>
              </w:divBdr>
              <w:divsChild>
                <w:div w:id="1980762365">
                  <w:marLeft w:val="0"/>
                  <w:marRight w:val="0"/>
                  <w:marTop w:val="0"/>
                  <w:marBottom w:val="0"/>
                  <w:divBdr>
                    <w:top w:val="none" w:sz="0" w:space="0" w:color="auto"/>
                    <w:left w:val="none" w:sz="0" w:space="0" w:color="auto"/>
                    <w:bottom w:val="none" w:sz="0" w:space="0" w:color="auto"/>
                    <w:right w:val="none" w:sz="0" w:space="0" w:color="auto"/>
                  </w:divBdr>
                </w:div>
              </w:divsChild>
            </w:div>
            <w:div w:id="1444954924">
              <w:marLeft w:val="0"/>
              <w:marRight w:val="0"/>
              <w:marTop w:val="0"/>
              <w:marBottom w:val="0"/>
              <w:divBdr>
                <w:top w:val="none" w:sz="0" w:space="0" w:color="auto"/>
                <w:left w:val="none" w:sz="0" w:space="0" w:color="auto"/>
                <w:bottom w:val="none" w:sz="0" w:space="0" w:color="auto"/>
                <w:right w:val="none" w:sz="0" w:space="0" w:color="auto"/>
              </w:divBdr>
              <w:divsChild>
                <w:div w:id="1977180479">
                  <w:marLeft w:val="0"/>
                  <w:marRight w:val="0"/>
                  <w:marTop w:val="0"/>
                  <w:marBottom w:val="0"/>
                  <w:divBdr>
                    <w:top w:val="none" w:sz="0" w:space="0" w:color="auto"/>
                    <w:left w:val="none" w:sz="0" w:space="0" w:color="auto"/>
                    <w:bottom w:val="none" w:sz="0" w:space="0" w:color="auto"/>
                    <w:right w:val="none" w:sz="0" w:space="0" w:color="auto"/>
                  </w:divBdr>
                </w:div>
              </w:divsChild>
            </w:div>
            <w:div w:id="1551304909">
              <w:marLeft w:val="0"/>
              <w:marRight w:val="0"/>
              <w:marTop w:val="0"/>
              <w:marBottom w:val="0"/>
              <w:divBdr>
                <w:top w:val="none" w:sz="0" w:space="0" w:color="auto"/>
                <w:left w:val="none" w:sz="0" w:space="0" w:color="auto"/>
                <w:bottom w:val="none" w:sz="0" w:space="0" w:color="auto"/>
                <w:right w:val="none" w:sz="0" w:space="0" w:color="auto"/>
              </w:divBdr>
              <w:divsChild>
                <w:div w:id="1761635625">
                  <w:marLeft w:val="0"/>
                  <w:marRight w:val="0"/>
                  <w:marTop w:val="0"/>
                  <w:marBottom w:val="0"/>
                  <w:divBdr>
                    <w:top w:val="none" w:sz="0" w:space="0" w:color="auto"/>
                    <w:left w:val="none" w:sz="0" w:space="0" w:color="auto"/>
                    <w:bottom w:val="none" w:sz="0" w:space="0" w:color="auto"/>
                    <w:right w:val="none" w:sz="0" w:space="0" w:color="auto"/>
                  </w:divBdr>
                </w:div>
              </w:divsChild>
            </w:div>
            <w:div w:id="1609194247">
              <w:marLeft w:val="0"/>
              <w:marRight w:val="0"/>
              <w:marTop w:val="0"/>
              <w:marBottom w:val="0"/>
              <w:divBdr>
                <w:top w:val="none" w:sz="0" w:space="0" w:color="auto"/>
                <w:left w:val="none" w:sz="0" w:space="0" w:color="auto"/>
                <w:bottom w:val="none" w:sz="0" w:space="0" w:color="auto"/>
                <w:right w:val="none" w:sz="0" w:space="0" w:color="auto"/>
              </w:divBdr>
              <w:divsChild>
                <w:div w:id="319122142">
                  <w:marLeft w:val="0"/>
                  <w:marRight w:val="0"/>
                  <w:marTop w:val="0"/>
                  <w:marBottom w:val="0"/>
                  <w:divBdr>
                    <w:top w:val="none" w:sz="0" w:space="0" w:color="auto"/>
                    <w:left w:val="none" w:sz="0" w:space="0" w:color="auto"/>
                    <w:bottom w:val="none" w:sz="0" w:space="0" w:color="auto"/>
                    <w:right w:val="none" w:sz="0" w:space="0" w:color="auto"/>
                  </w:divBdr>
                </w:div>
              </w:divsChild>
            </w:div>
            <w:div w:id="1648247247">
              <w:marLeft w:val="0"/>
              <w:marRight w:val="0"/>
              <w:marTop w:val="0"/>
              <w:marBottom w:val="0"/>
              <w:divBdr>
                <w:top w:val="none" w:sz="0" w:space="0" w:color="auto"/>
                <w:left w:val="none" w:sz="0" w:space="0" w:color="auto"/>
                <w:bottom w:val="none" w:sz="0" w:space="0" w:color="auto"/>
                <w:right w:val="none" w:sz="0" w:space="0" w:color="auto"/>
              </w:divBdr>
              <w:divsChild>
                <w:div w:id="891355499">
                  <w:marLeft w:val="0"/>
                  <w:marRight w:val="0"/>
                  <w:marTop w:val="0"/>
                  <w:marBottom w:val="0"/>
                  <w:divBdr>
                    <w:top w:val="none" w:sz="0" w:space="0" w:color="auto"/>
                    <w:left w:val="none" w:sz="0" w:space="0" w:color="auto"/>
                    <w:bottom w:val="none" w:sz="0" w:space="0" w:color="auto"/>
                    <w:right w:val="none" w:sz="0" w:space="0" w:color="auto"/>
                  </w:divBdr>
                </w:div>
              </w:divsChild>
            </w:div>
            <w:div w:id="1735811208">
              <w:marLeft w:val="0"/>
              <w:marRight w:val="0"/>
              <w:marTop w:val="0"/>
              <w:marBottom w:val="0"/>
              <w:divBdr>
                <w:top w:val="none" w:sz="0" w:space="0" w:color="auto"/>
                <w:left w:val="none" w:sz="0" w:space="0" w:color="auto"/>
                <w:bottom w:val="none" w:sz="0" w:space="0" w:color="auto"/>
                <w:right w:val="none" w:sz="0" w:space="0" w:color="auto"/>
              </w:divBdr>
              <w:divsChild>
                <w:div w:id="1011569472">
                  <w:marLeft w:val="0"/>
                  <w:marRight w:val="0"/>
                  <w:marTop w:val="0"/>
                  <w:marBottom w:val="0"/>
                  <w:divBdr>
                    <w:top w:val="none" w:sz="0" w:space="0" w:color="auto"/>
                    <w:left w:val="none" w:sz="0" w:space="0" w:color="auto"/>
                    <w:bottom w:val="none" w:sz="0" w:space="0" w:color="auto"/>
                    <w:right w:val="none" w:sz="0" w:space="0" w:color="auto"/>
                  </w:divBdr>
                </w:div>
              </w:divsChild>
            </w:div>
            <w:div w:id="2021420722">
              <w:marLeft w:val="0"/>
              <w:marRight w:val="0"/>
              <w:marTop w:val="0"/>
              <w:marBottom w:val="0"/>
              <w:divBdr>
                <w:top w:val="none" w:sz="0" w:space="0" w:color="auto"/>
                <w:left w:val="none" w:sz="0" w:space="0" w:color="auto"/>
                <w:bottom w:val="none" w:sz="0" w:space="0" w:color="auto"/>
                <w:right w:val="none" w:sz="0" w:space="0" w:color="auto"/>
              </w:divBdr>
              <w:divsChild>
                <w:div w:id="767578791">
                  <w:marLeft w:val="0"/>
                  <w:marRight w:val="0"/>
                  <w:marTop w:val="0"/>
                  <w:marBottom w:val="0"/>
                  <w:divBdr>
                    <w:top w:val="none" w:sz="0" w:space="0" w:color="auto"/>
                    <w:left w:val="none" w:sz="0" w:space="0" w:color="auto"/>
                    <w:bottom w:val="none" w:sz="0" w:space="0" w:color="auto"/>
                    <w:right w:val="none" w:sz="0" w:space="0" w:color="auto"/>
                  </w:divBdr>
                </w:div>
              </w:divsChild>
            </w:div>
            <w:div w:id="2042126947">
              <w:marLeft w:val="0"/>
              <w:marRight w:val="0"/>
              <w:marTop w:val="0"/>
              <w:marBottom w:val="0"/>
              <w:divBdr>
                <w:top w:val="none" w:sz="0" w:space="0" w:color="auto"/>
                <w:left w:val="none" w:sz="0" w:space="0" w:color="auto"/>
                <w:bottom w:val="none" w:sz="0" w:space="0" w:color="auto"/>
                <w:right w:val="none" w:sz="0" w:space="0" w:color="auto"/>
              </w:divBdr>
              <w:divsChild>
                <w:div w:id="125054879">
                  <w:marLeft w:val="0"/>
                  <w:marRight w:val="0"/>
                  <w:marTop w:val="0"/>
                  <w:marBottom w:val="0"/>
                  <w:divBdr>
                    <w:top w:val="none" w:sz="0" w:space="0" w:color="auto"/>
                    <w:left w:val="none" w:sz="0" w:space="0" w:color="auto"/>
                    <w:bottom w:val="none" w:sz="0" w:space="0" w:color="auto"/>
                    <w:right w:val="none" w:sz="0" w:space="0" w:color="auto"/>
                  </w:divBdr>
                </w:div>
              </w:divsChild>
            </w:div>
            <w:div w:id="2140411239">
              <w:marLeft w:val="0"/>
              <w:marRight w:val="0"/>
              <w:marTop w:val="0"/>
              <w:marBottom w:val="0"/>
              <w:divBdr>
                <w:top w:val="none" w:sz="0" w:space="0" w:color="auto"/>
                <w:left w:val="none" w:sz="0" w:space="0" w:color="auto"/>
                <w:bottom w:val="none" w:sz="0" w:space="0" w:color="auto"/>
                <w:right w:val="none" w:sz="0" w:space="0" w:color="auto"/>
              </w:divBdr>
              <w:divsChild>
                <w:div w:id="1139570409">
                  <w:marLeft w:val="0"/>
                  <w:marRight w:val="0"/>
                  <w:marTop w:val="0"/>
                  <w:marBottom w:val="0"/>
                  <w:divBdr>
                    <w:top w:val="none" w:sz="0" w:space="0" w:color="auto"/>
                    <w:left w:val="none" w:sz="0" w:space="0" w:color="auto"/>
                    <w:bottom w:val="none" w:sz="0" w:space="0" w:color="auto"/>
                    <w:right w:val="none" w:sz="0" w:space="0" w:color="auto"/>
                  </w:divBdr>
                </w:div>
              </w:divsChild>
            </w:div>
            <w:div w:id="2145803519">
              <w:marLeft w:val="0"/>
              <w:marRight w:val="0"/>
              <w:marTop w:val="0"/>
              <w:marBottom w:val="0"/>
              <w:divBdr>
                <w:top w:val="none" w:sz="0" w:space="0" w:color="auto"/>
                <w:left w:val="none" w:sz="0" w:space="0" w:color="auto"/>
                <w:bottom w:val="none" w:sz="0" w:space="0" w:color="auto"/>
                <w:right w:val="none" w:sz="0" w:space="0" w:color="auto"/>
              </w:divBdr>
              <w:divsChild>
                <w:div w:id="2056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748277">
      <w:bodyDiv w:val="1"/>
      <w:marLeft w:val="0"/>
      <w:marRight w:val="0"/>
      <w:marTop w:val="0"/>
      <w:marBottom w:val="0"/>
      <w:divBdr>
        <w:top w:val="none" w:sz="0" w:space="0" w:color="auto"/>
        <w:left w:val="none" w:sz="0" w:space="0" w:color="auto"/>
        <w:bottom w:val="none" w:sz="0" w:space="0" w:color="auto"/>
        <w:right w:val="none" w:sz="0" w:space="0" w:color="auto"/>
      </w:divBdr>
      <w:divsChild>
        <w:div w:id="835000107">
          <w:marLeft w:val="0"/>
          <w:marRight w:val="0"/>
          <w:marTop w:val="0"/>
          <w:marBottom w:val="0"/>
          <w:divBdr>
            <w:top w:val="none" w:sz="0" w:space="0" w:color="auto"/>
            <w:left w:val="none" w:sz="0" w:space="0" w:color="auto"/>
            <w:bottom w:val="none" w:sz="0" w:space="0" w:color="auto"/>
            <w:right w:val="none" w:sz="0" w:space="0" w:color="auto"/>
          </w:divBdr>
        </w:div>
        <w:div w:id="2026129935">
          <w:marLeft w:val="-75"/>
          <w:marRight w:val="0"/>
          <w:marTop w:val="30"/>
          <w:marBottom w:val="30"/>
          <w:divBdr>
            <w:top w:val="none" w:sz="0" w:space="0" w:color="auto"/>
            <w:left w:val="none" w:sz="0" w:space="0" w:color="auto"/>
            <w:bottom w:val="none" w:sz="0" w:space="0" w:color="auto"/>
            <w:right w:val="none" w:sz="0" w:space="0" w:color="auto"/>
          </w:divBdr>
          <w:divsChild>
            <w:div w:id="196436183">
              <w:marLeft w:val="0"/>
              <w:marRight w:val="0"/>
              <w:marTop w:val="0"/>
              <w:marBottom w:val="0"/>
              <w:divBdr>
                <w:top w:val="none" w:sz="0" w:space="0" w:color="auto"/>
                <w:left w:val="none" w:sz="0" w:space="0" w:color="auto"/>
                <w:bottom w:val="none" w:sz="0" w:space="0" w:color="auto"/>
                <w:right w:val="none" w:sz="0" w:space="0" w:color="auto"/>
              </w:divBdr>
              <w:divsChild>
                <w:div w:id="1874540238">
                  <w:marLeft w:val="0"/>
                  <w:marRight w:val="0"/>
                  <w:marTop w:val="0"/>
                  <w:marBottom w:val="0"/>
                  <w:divBdr>
                    <w:top w:val="none" w:sz="0" w:space="0" w:color="auto"/>
                    <w:left w:val="none" w:sz="0" w:space="0" w:color="auto"/>
                    <w:bottom w:val="none" w:sz="0" w:space="0" w:color="auto"/>
                    <w:right w:val="none" w:sz="0" w:space="0" w:color="auto"/>
                  </w:divBdr>
                </w:div>
              </w:divsChild>
            </w:div>
            <w:div w:id="263655949">
              <w:marLeft w:val="0"/>
              <w:marRight w:val="0"/>
              <w:marTop w:val="0"/>
              <w:marBottom w:val="0"/>
              <w:divBdr>
                <w:top w:val="none" w:sz="0" w:space="0" w:color="auto"/>
                <w:left w:val="none" w:sz="0" w:space="0" w:color="auto"/>
                <w:bottom w:val="none" w:sz="0" w:space="0" w:color="auto"/>
                <w:right w:val="none" w:sz="0" w:space="0" w:color="auto"/>
              </w:divBdr>
              <w:divsChild>
                <w:div w:id="629745570">
                  <w:marLeft w:val="0"/>
                  <w:marRight w:val="0"/>
                  <w:marTop w:val="0"/>
                  <w:marBottom w:val="0"/>
                  <w:divBdr>
                    <w:top w:val="none" w:sz="0" w:space="0" w:color="auto"/>
                    <w:left w:val="none" w:sz="0" w:space="0" w:color="auto"/>
                    <w:bottom w:val="none" w:sz="0" w:space="0" w:color="auto"/>
                    <w:right w:val="none" w:sz="0" w:space="0" w:color="auto"/>
                  </w:divBdr>
                </w:div>
              </w:divsChild>
            </w:div>
            <w:div w:id="305359031">
              <w:marLeft w:val="0"/>
              <w:marRight w:val="0"/>
              <w:marTop w:val="0"/>
              <w:marBottom w:val="0"/>
              <w:divBdr>
                <w:top w:val="none" w:sz="0" w:space="0" w:color="auto"/>
                <w:left w:val="none" w:sz="0" w:space="0" w:color="auto"/>
                <w:bottom w:val="none" w:sz="0" w:space="0" w:color="auto"/>
                <w:right w:val="none" w:sz="0" w:space="0" w:color="auto"/>
              </w:divBdr>
              <w:divsChild>
                <w:div w:id="1994486062">
                  <w:marLeft w:val="0"/>
                  <w:marRight w:val="0"/>
                  <w:marTop w:val="0"/>
                  <w:marBottom w:val="0"/>
                  <w:divBdr>
                    <w:top w:val="none" w:sz="0" w:space="0" w:color="auto"/>
                    <w:left w:val="none" w:sz="0" w:space="0" w:color="auto"/>
                    <w:bottom w:val="none" w:sz="0" w:space="0" w:color="auto"/>
                    <w:right w:val="none" w:sz="0" w:space="0" w:color="auto"/>
                  </w:divBdr>
                </w:div>
              </w:divsChild>
            </w:div>
            <w:div w:id="506748462">
              <w:marLeft w:val="0"/>
              <w:marRight w:val="0"/>
              <w:marTop w:val="0"/>
              <w:marBottom w:val="0"/>
              <w:divBdr>
                <w:top w:val="none" w:sz="0" w:space="0" w:color="auto"/>
                <w:left w:val="none" w:sz="0" w:space="0" w:color="auto"/>
                <w:bottom w:val="none" w:sz="0" w:space="0" w:color="auto"/>
                <w:right w:val="none" w:sz="0" w:space="0" w:color="auto"/>
              </w:divBdr>
              <w:divsChild>
                <w:div w:id="1598633575">
                  <w:marLeft w:val="0"/>
                  <w:marRight w:val="0"/>
                  <w:marTop w:val="0"/>
                  <w:marBottom w:val="0"/>
                  <w:divBdr>
                    <w:top w:val="none" w:sz="0" w:space="0" w:color="auto"/>
                    <w:left w:val="none" w:sz="0" w:space="0" w:color="auto"/>
                    <w:bottom w:val="none" w:sz="0" w:space="0" w:color="auto"/>
                    <w:right w:val="none" w:sz="0" w:space="0" w:color="auto"/>
                  </w:divBdr>
                </w:div>
              </w:divsChild>
            </w:div>
            <w:div w:id="516164928">
              <w:marLeft w:val="0"/>
              <w:marRight w:val="0"/>
              <w:marTop w:val="0"/>
              <w:marBottom w:val="0"/>
              <w:divBdr>
                <w:top w:val="none" w:sz="0" w:space="0" w:color="auto"/>
                <w:left w:val="none" w:sz="0" w:space="0" w:color="auto"/>
                <w:bottom w:val="none" w:sz="0" w:space="0" w:color="auto"/>
                <w:right w:val="none" w:sz="0" w:space="0" w:color="auto"/>
              </w:divBdr>
              <w:divsChild>
                <w:div w:id="2094400426">
                  <w:marLeft w:val="0"/>
                  <w:marRight w:val="0"/>
                  <w:marTop w:val="0"/>
                  <w:marBottom w:val="0"/>
                  <w:divBdr>
                    <w:top w:val="none" w:sz="0" w:space="0" w:color="auto"/>
                    <w:left w:val="none" w:sz="0" w:space="0" w:color="auto"/>
                    <w:bottom w:val="none" w:sz="0" w:space="0" w:color="auto"/>
                    <w:right w:val="none" w:sz="0" w:space="0" w:color="auto"/>
                  </w:divBdr>
                </w:div>
              </w:divsChild>
            </w:div>
            <w:div w:id="636301821">
              <w:marLeft w:val="0"/>
              <w:marRight w:val="0"/>
              <w:marTop w:val="0"/>
              <w:marBottom w:val="0"/>
              <w:divBdr>
                <w:top w:val="none" w:sz="0" w:space="0" w:color="auto"/>
                <w:left w:val="none" w:sz="0" w:space="0" w:color="auto"/>
                <w:bottom w:val="none" w:sz="0" w:space="0" w:color="auto"/>
                <w:right w:val="none" w:sz="0" w:space="0" w:color="auto"/>
              </w:divBdr>
              <w:divsChild>
                <w:div w:id="514154534">
                  <w:marLeft w:val="0"/>
                  <w:marRight w:val="0"/>
                  <w:marTop w:val="0"/>
                  <w:marBottom w:val="0"/>
                  <w:divBdr>
                    <w:top w:val="none" w:sz="0" w:space="0" w:color="auto"/>
                    <w:left w:val="none" w:sz="0" w:space="0" w:color="auto"/>
                    <w:bottom w:val="none" w:sz="0" w:space="0" w:color="auto"/>
                    <w:right w:val="none" w:sz="0" w:space="0" w:color="auto"/>
                  </w:divBdr>
                </w:div>
              </w:divsChild>
            </w:div>
            <w:div w:id="768965736">
              <w:marLeft w:val="0"/>
              <w:marRight w:val="0"/>
              <w:marTop w:val="0"/>
              <w:marBottom w:val="0"/>
              <w:divBdr>
                <w:top w:val="none" w:sz="0" w:space="0" w:color="auto"/>
                <w:left w:val="none" w:sz="0" w:space="0" w:color="auto"/>
                <w:bottom w:val="none" w:sz="0" w:space="0" w:color="auto"/>
                <w:right w:val="none" w:sz="0" w:space="0" w:color="auto"/>
              </w:divBdr>
              <w:divsChild>
                <w:div w:id="177280119">
                  <w:marLeft w:val="0"/>
                  <w:marRight w:val="0"/>
                  <w:marTop w:val="0"/>
                  <w:marBottom w:val="0"/>
                  <w:divBdr>
                    <w:top w:val="none" w:sz="0" w:space="0" w:color="auto"/>
                    <w:left w:val="none" w:sz="0" w:space="0" w:color="auto"/>
                    <w:bottom w:val="none" w:sz="0" w:space="0" w:color="auto"/>
                    <w:right w:val="none" w:sz="0" w:space="0" w:color="auto"/>
                  </w:divBdr>
                </w:div>
              </w:divsChild>
            </w:div>
            <w:div w:id="848953694">
              <w:marLeft w:val="0"/>
              <w:marRight w:val="0"/>
              <w:marTop w:val="0"/>
              <w:marBottom w:val="0"/>
              <w:divBdr>
                <w:top w:val="none" w:sz="0" w:space="0" w:color="auto"/>
                <w:left w:val="none" w:sz="0" w:space="0" w:color="auto"/>
                <w:bottom w:val="none" w:sz="0" w:space="0" w:color="auto"/>
                <w:right w:val="none" w:sz="0" w:space="0" w:color="auto"/>
              </w:divBdr>
              <w:divsChild>
                <w:div w:id="1218052514">
                  <w:marLeft w:val="0"/>
                  <w:marRight w:val="0"/>
                  <w:marTop w:val="0"/>
                  <w:marBottom w:val="0"/>
                  <w:divBdr>
                    <w:top w:val="none" w:sz="0" w:space="0" w:color="auto"/>
                    <w:left w:val="none" w:sz="0" w:space="0" w:color="auto"/>
                    <w:bottom w:val="none" w:sz="0" w:space="0" w:color="auto"/>
                    <w:right w:val="none" w:sz="0" w:space="0" w:color="auto"/>
                  </w:divBdr>
                </w:div>
              </w:divsChild>
            </w:div>
            <w:div w:id="869418371">
              <w:marLeft w:val="0"/>
              <w:marRight w:val="0"/>
              <w:marTop w:val="0"/>
              <w:marBottom w:val="0"/>
              <w:divBdr>
                <w:top w:val="none" w:sz="0" w:space="0" w:color="auto"/>
                <w:left w:val="none" w:sz="0" w:space="0" w:color="auto"/>
                <w:bottom w:val="none" w:sz="0" w:space="0" w:color="auto"/>
                <w:right w:val="none" w:sz="0" w:space="0" w:color="auto"/>
              </w:divBdr>
              <w:divsChild>
                <w:div w:id="1376078417">
                  <w:marLeft w:val="0"/>
                  <w:marRight w:val="0"/>
                  <w:marTop w:val="0"/>
                  <w:marBottom w:val="0"/>
                  <w:divBdr>
                    <w:top w:val="none" w:sz="0" w:space="0" w:color="auto"/>
                    <w:left w:val="none" w:sz="0" w:space="0" w:color="auto"/>
                    <w:bottom w:val="none" w:sz="0" w:space="0" w:color="auto"/>
                    <w:right w:val="none" w:sz="0" w:space="0" w:color="auto"/>
                  </w:divBdr>
                </w:div>
              </w:divsChild>
            </w:div>
            <w:div w:id="879053631">
              <w:marLeft w:val="0"/>
              <w:marRight w:val="0"/>
              <w:marTop w:val="0"/>
              <w:marBottom w:val="0"/>
              <w:divBdr>
                <w:top w:val="none" w:sz="0" w:space="0" w:color="auto"/>
                <w:left w:val="none" w:sz="0" w:space="0" w:color="auto"/>
                <w:bottom w:val="none" w:sz="0" w:space="0" w:color="auto"/>
                <w:right w:val="none" w:sz="0" w:space="0" w:color="auto"/>
              </w:divBdr>
              <w:divsChild>
                <w:div w:id="1025593257">
                  <w:marLeft w:val="0"/>
                  <w:marRight w:val="0"/>
                  <w:marTop w:val="0"/>
                  <w:marBottom w:val="0"/>
                  <w:divBdr>
                    <w:top w:val="none" w:sz="0" w:space="0" w:color="auto"/>
                    <w:left w:val="none" w:sz="0" w:space="0" w:color="auto"/>
                    <w:bottom w:val="none" w:sz="0" w:space="0" w:color="auto"/>
                    <w:right w:val="none" w:sz="0" w:space="0" w:color="auto"/>
                  </w:divBdr>
                </w:div>
              </w:divsChild>
            </w:div>
            <w:div w:id="891118908">
              <w:marLeft w:val="0"/>
              <w:marRight w:val="0"/>
              <w:marTop w:val="0"/>
              <w:marBottom w:val="0"/>
              <w:divBdr>
                <w:top w:val="none" w:sz="0" w:space="0" w:color="auto"/>
                <w:left w:val="none" w:sz="0" w:space="0" w:color="auto"/>
                <w:bottom w:val="none" w:sz="0" w:space="0" w:color="auto"/>
                <w:right w:val="none" w:sz="0" w:space="0" w:color="auto"/>
              </w:divBdr>
              <w:divsChild>
                <w:div w:id="1254969144">
                  <w:marLeft w:val="0"/>
                  <w:marRight w:val="0"/>
                  <w:marTop w:val="0"/>
                  <w:marBottom w:val="0"/>
                  <w:divBdr>
                    <w:top w:val="none" w:sz="0" w:space="0" w:color="auto"/>
                    <w:left w:val="none" w:sz="0" w:space="0" w:color="auto"/>
                    <w:bottom w:val="none" w:sz="0" w:space="0" w:color="auto"/>
                    <w:right w:val="none" w:sz="0" w:space="0" w:color="auto"/>
                  </w:divBdr>
                </w:div>
              </w:divsChild>
            </w:div>
            <w:div w:id="921724644">
              <w:marLeft w:val="0"/>
              <w:marRight w:val="0"/>
              <w:marTop w:val="0"/>
              <w:marBottom w:val="0"/>
              <w:divBdr>
                <w:top w:val="none" w:sz="0" w:space="0" w:color="auto"/>
                <w:left w:val="none" w:sz="0" w:space="0" w:color="auto"/>
                <w:bottom w:val="none" w:sz="0" w:space="0" w:color="auto"/>
                <w:right w:val="none" w:sz="0" w:space="0" w:color="auto"/>
              </w:divBdr>
              <w:divsChild>
                <w:div w:id="2120296976">
                  <w:marLeft w:val="0"/>
                  <w:marRight w:val="0"/>
                  <w:marTop w:val="0"/>
                  <w:marBottom w:val="0"/>
                  <w:divBdr>
                    <w:top w:val="none" w:sz="0" w:space="0" w:color="auto"/>
                    <w:left w:val="none" w:sz="0" w:space="0" w:color="auto"/>
                    <w:bottom w:val="none" w:sz="0" w:space="0" w:color="auto"/>
                    <w:right w:val="none" w:sz="0" w:space="0" w:color="auto"/>
                  </w:divBdr>
                </w:div>
              </w:divsChild>
            </w:div>
            <w:div w:id="978462065">
              <w:marLeft w:val="0"/>
              <w:marRight w:val="0"/>
              <w:marTop w:val="0"/>
              <w:marBottom w:val="0"/>
              <w:divBdr>
                <w:top w:val="none" w:sz="0" w:space="0" w:color="auto"/>
                <w:left w:val="none" w:sz="0" w:space="0" w:color="auto"/>
                <w:bottom w:val="none" w:sz="0" w:space="0" w:color="auto"/>
                <w:right w:val="none" w:sz="0" w:space="0" w:color="auto"/>
              </w:divBdr>
              <w:divsChild>
                <w:div w:id="892694427">
                  <w:marLeft w:val="0"/>
                  <w:marRight w:val="0"/>
                  <w:marTop w:val="0"/>
                  <w:marBottom w:val="0"/>
                  <w:divBdr>
                    <w:top w:val="none" w:sz="0" w:space="0" w:color="auto"/>
                    <w:left w:val="none" w:sz="0" w:space="0" w:color="auto"/>
                    <w:bottom w:val="none" w:sz="0" w:space="0" w:color="auto"/>
                    <w:right w:val="none" w:sz="0" w:space="0" w:color="auto"/>
                  </w:divBdr>
                </w:div>
              </w:divsChild>
            </w:div>
            <w:div w:id="982153221">
              <w:marLeft w:val="0"/>
              <w:marRight w:val="0"/>
              <w:marTop w:val="0"/>
              <w:marBottom w:val="0"/>
              <w:divBdr>
                <w:top w:val="none" w:sz="0" w:space="0" w:color="auto"/>
                <w:left w:val="none" w:sz="0" w:space="0" w:color="auto"/>
                <w:bottom w:val="none" w:sz="0" w:space="0" w:color="auto"/>
                <w:right w:val="none" w:sz="0" w:space="0" w:color="auto"/>
              </w:divBdr>
              <w:divsChild>
                <w:div w:id="1477995085">
                  <w:marLeft w:val="0"/>
                  <w:marRight w:val="0"/>
                  <w:marTop w:val="0"/>
                  <w:marBottom w:val="0"/>
                  <w:divBdr>
                    <w:top w:val="none" w:sz="0" w:space="0" w:color="auto"/>
                    <w:left w:val="none" w:sz="0" w:space="0" w:color="auto"/>
                    <w:bottom w:val="none" w:sz="0" w:space="0" w:color="auto"/>
                    <w:right w:val="none" w:sz="0" w:space="0" w:color="auto"/>
                  </w:divBdr>
                </w:div>
              </w:divsChild>
            </w:div>
            <w:div w:id="1014185253">
              <w:marLeft w:val="0"/>
              <w:marRight w:val="0"/>
              <w:marTop w:val="0"/>
              <w:marBottom w:val="0"/>
              <w:divBdr>
                <w:top w:val="none" w:sz="0" w:space="0" w:color="auto"/>
                <w:left w:val="none" w:sz="0" w:space="0" w:color="auto"/>
                <w:bottom w:val="none" w:sz="0" w:space="0" w:color="auto"/>
                <w:right w:val="none" w:sz="0" w:space="0" w:color="auto"/>
              </w:divBdr>
              <w:divsChild>
                <w:div w:id="63187489">
                  <w:marLeft w:val="0"/>
                  <w:marRight w:val="0"/>
                  <w:marTop w:val="0"/>
                  <w:marBottom w:val="0"/>
                  <w:divBdr>
                    <w:top w:val="none" w:sz="0" w:space="0" w:color="auto"/>
                    <w:left w:val="none" w:sz="0" w:space="0" w:color="auto"/>
                    <w:bottom w:val="none" w:sz="0" w:space="0" w:color="auto"/>
                    <w:right w:val="none" w:sz="0" w:space="0" w:color="auto"/>
                  </w:divBdr>
                </w:div>
              </w:divsChild>
            </w:div>
            <w:div w:id="1022245728">
              <w:marLeft w:val="0"/>
              <w:marRight w:val="0"/>
              <w:marTop w:val="0"/>
              <w:marBottom w:val="0"/>
              <w:divBdr>
                <w:top w:val="none" w:sz="0" w:space="0" w:color="auto"/>
                <w:left w:val="none" w:sz="0" w:space="0" w:color="auto"/>
                <w:bottom w:val="none" w:sz="0" w:space="0" w:color="auto"/>
                <w:right w:val="none" w:sz="0" w:space="0" w:color="auto"/>
              </w:divBdr>
              <w:divsChild>
                <w:div w:id="1088112873">
                  <w:marLeft w:val="0"/>
                  <w:marRight w:val="0"/>
                  <w:marTop w:val="0"/>
                  <w:marBottom w:val="0"/>
                  <w:divBdr>
                    <w:top w:val="none" w:sz="0" w:space="0" w:color="auto"/>
                    <w:left w:val="none" w:sz="0" w:space="0" w:color="auto"/>
                    <w:bottom w:val="none" w:sz="0" w:space="0" w:color="auto"/>
                    <w:right w:val="none" w:sz="0" w:space="0" w:color="auto"/>
                  </w:divBdr>
                </w:div>
              </w:divsChild>
            </w:div>
            <w:div w:id="1067387362">
              <w:marLeft w:val="0"/>
              <w:marRight w:val="0"/>
              <w:marTop w:val="0"/>
              <w:marBottom w:val="0"/>
              <w:divBdr>
                <w:top w:val="none" w:sz="0" w:space="0" w:color="auto"/>
                <w:left w:val="none" w:sz="0" w:space="0" w:color="auto"/>
                <w:bottom w:val="none" w:sz="0" w:space="0" w:color="auto"/>
                <w:right w:val="none" w:sz="0" w:space="0" w:color="auto"/>
              </w:divBdr>
              <w:divsChild>
                <w:div w:id="1025058457">
                  <w:marLeft w:val="0"/>
                  <w:marRight w:val="0"/>
                  <w:marTop w:val="0"/>
                  <w:marBottom w:val="0"/>
                  <w:divBdr>
                    <w:top w:val="none" w:sz="0" w:space="0" w:color="auto"/>
                    <w:left w:val="none" w:sz="0" w:space="0" w:color="auto"/>
                    <w:bottom w:val="none" w:sz="0" w:space="0" w:color="auto"/>
                    <w:right w:val="none" w:sz="0" w:space="0" w:color="auto"/>
                  </w:divBdr>
                </w:div>
              </w:divsChild>
            </w:div>
            <w:div w:id="1083063289">
              <w:marLeft w:val="0"/>
              <w:marRight w:val="0"/>
              <w:marTop w:val="0"/>
              <w:marBottom w:val="0"/>
              <w:divBdr>
                <w:top w:val="none" w:sz="0" w:space="0" w:color="auto"/>
                <w:left w:val="none" w:sz="0" w:space="0" w:color="auto"/>
                <w:bottom w:val="none" w:sz="0" w:space="0" w:color="auto"/>
                <w:right w:val="none" w:sz="0" w:space="0" w:color="auto"/>
              </w:divBdr>
              <w:divsChild>
                <w:div w:id="1738624938">
                  <w:marLeft w:val="0"/>
                  <w:marRight w:val="0"/>
                  <w:marTop w:val="0"/>
                  <w:marBottom w:val="0"/>
                  <w:divBdr>
                    <w:top w:val="none" w:sz="0" w:space="0" w:color="auto"/>
                    <w:left w:val="none" w:sz="0" w:space="0" w:color="auto"/>
                    <w:bottom w:val="none" w:sz="0" w:space="0" w:color="auto"/>
                    <w:right w:val="none" w:sz="0" w:space="0" w:color="auto"/>
                  </w:divBdr>
                </w:div>
                <w:div w:id="1804695726">
                  <w:marLeft w:val="0"/>
                  <w:marRight w:val="0"/>
                  <w:marTop w:val="0"/>
                  <w:marBottom w:val="0"/>
                  <w:divBdr>
                    <w:top w:val="none" w:sz="0" w:space="0" w:color="auto"/>
                    <w:left w:val="none" w:sz="0" w:space="0" w:color="auto"/>
                    <w:bottom w:val="none" w:sz="0" w:space="0" w:color="auto"/>
                    <w:right w:val="none" w:sz="0" w:space="0" w:color="auto"/>
                  </w:divBdr>
                </w:div>
              </w:divsChild>
            </w:div>
            <w:div w:id="1145322019">
              <w:marLeft w:val="0"/>
              <w:marRight w:val="0"/>
              <w:marTop w:val="0"/>
              <w:marBottom w:val="0"/>
              <w:divBdr>
                <w:top w:val="none" w:sz="0" w:space="0" w:color="auto"/>
                <w:left w:val="none" w:sz="0" w:space="0" w:color="auto"/>
                <w:bottom w:val="none" w:sz="0" w:space="0" w:color="auto"/>
                <w:right w:val="none" w:sz="0" w:space="0" w:color="auto"/>
              </w:divBdr>
              <w:divsChild>
                <w:div w:id="1228758641">
                  <w:marLeft w:val="0"/>
                  <w:marRight w:val="0"/>
                  <w:marTop w:val="0"/>
                  <w:marBottom w:val="0"/>
                  <w:divBdr>
                    <w:top w:val="none" w:sz="0" w:space="0" w:color="auto"/>
                    <w:left w:val="none" w:sz="0" w:space="0" w:color="auto"/>
                    <w:bottom w:val="none" w:sz="0" w:space="0" w:color="auto"/>
                    <w:right w:val="none" w:sz="0" w:space="0" w:color="auto"/>
                  </w:divBdr>
                </w:div>
              </w:divsChild>
            </w:div>
            <w:div w:id="1275861736">
              <w:marLeft w:val="0"/>
              <w:marRight w:val="0"/>
              <w:marTop w:val="0"/>
              <w:marBottom w:val="0"/>
              <w:divBdr>
                <w:top w:val="none" w:sz="0" w:space="0" w:color="auto"/>
                <w:left w:val="none" w:sz="0" w:space="0" w:color="auto"/>
                <w:bottom w:val="none" w:sz="0" w:space="0" w:color="auto"/>
                <w:right w:val="none" w:sz="0" w:space="0" w:color="auto"/>
              </w:divBdr>
              <w:divsChild>
                <w:div w:id="1809854119">
                  <w:marLeft w:val="0"/>
                  <w:marRight w:val="0"/>
                  <w:marTop w:val="0"/>
                  <w:marBottom w:val="0"/>
                  <w:divBdr>
                    <w:top w:val="none" w:sz="0" w:space="0" w:color="auto"/>
                    <w:left w:val="none" w:sz="0" w:space="0" w:color="auto"/>
                    <w:bottom w:val="none" w:sz="0" w:space="0" w:color="auto"/>
                    <w:right w:val="none" w:sz="0" w:space="0" w:color="auto"/>
                  </w:divBdr>
                </w:div>
              </w:divsChild>
            </w:div>
            <w:div w:id="1386564728">
              <w:marLeft w:val="0"/>
              <w:marRight w:val="0"/>
              <w:marTop w:val="0"/>
              <w:marBottom w:val="0"/>
              <w:divBdr>
                <w:top w:val="none" w:sz="0" w:space="0" w:color="auto"/>
                <w:left w:val="none" w:sz="0" w:space="0" w:color="auto"/>
                <w:bottom w:val="none" w:sz="0" w:space="0" w:color="auto"/>
                <w:right w:val="none" w:sz="0" w:space="0" w:color="auto"/>
              </w:divBdr>
              <w:divsChild>
                <w:div w:id="1637492037">
                  <w:marLeft w:val="0"/>
                  <w:marRight w:val="0"/>
                  <w:marTop w:val="0"/>
                  <w:marBottom w:val="0"/>
                  <w:divBdr>
                    <w:top w:val="none" w:sz="0" w:space="0" w:color="auto"/>
                    <w:left w:val="none" w:sz="0" w:space="0" w:color="auto"/>
                    <w:bottom w:val="none" w:sz="0" w:space="0" w:color="auto"/>
                    <w:right w:val="none" w:sz="0" w:space="0" w:color="auto"/>
                  </w:divBdr>
                </w:div>
              </w:divsChild>
            </w:div>
            <w:div w:id="1430587889">
              <w:marLeft w:val="0"/>
              <w:marRight w:val="0"/>
              <w:marTop w:val="0"/>
              <w:marBottom w:val="0"/>
              <w:divBdr>
                <w:top w:val="none" w:sz="0" w:space="0" w:color="auto"/>
                <w:left w:val="none" w:sz="0" w:space="0" w:color="auto"/>
                <w:bottom w:val="none" w:sz="0" w:space="0" w:color="auto"/>
                <w:right w:val="none" w:sz="0" w:space="0" w:color="auto"/>
              </w:divBdr>
              <w:divsChild>
                <w:div w:id="1380938649">
                  <w:marLeft w:val="0"/>
                  <w:marRight w:val="0"/>
                  <w:marTop w:val="0"/>
                  <w:marBottom w:val="0"/>
                  <w:divBdr>
                    <w:top w:val="none" w:sz="0" w:space="0" w:color="auto"/>
                    <w:left w:val="none" w:sz="0" w:space="0" w:color="auto"/>
                    <w:bottom w:val="none" w:sz="0" w:space="0" w:color="auto"/>
                    <w:right w:val="none" w:sz="0" w:space="0" w:color="auto"/>
                  </w:divBdr>
                </w:div>
              </w:divsChild>
            </w:div>
            <w:div w:id="1624458716">
              <w:marLeft w:val="0"/>
              <w:marRight w:val="0"/>
              <w:marTop w:val="0"/>
              <w:marBottom w:val="0"/>
              <w:divBdr>
                <w:top w:val="none" w:sz="0" w:space="0" w:color="auto"/>
                <w:left w:val="none" w:sz="0" w:space="0" w:color="auto"/>
                <w:bottom w:val="none" w:sz="0" w:space="0" w:color="auto"/>
                <w:right w:val="none" w:sz="0" w:space="0" w:color="auto"/>
              </w:divBdr>
              <w:divsChild>
                <w:div w:id="1295403709">
                  <w:marLeft w:val="0"/>
                  <w:marRight w:val="0"/>
                  <w:marTop w:val="0"/>
                  <w:marBottom w:val="0"/>
                  <w:divBdr>
                    <w:top w:val="none" w:sz="0" w:space="0" w:color="auto"/>
                    <w:left w:val="none" w:sz="0" w:space="0" w:color="auto"/>
                    <w:bottom w:val="none" w:sz="0" w:space="0" w:color="auto"/>
                    <w:right w:val="none" w:sz="0" w:space="0" w:color="auto"/>
                  </w:divBdr>
                </w:div>
              </w:divsChild>
            </w:div>
            <w:div w:id="1689333693">
              <w:marLeft w:val="0"/>
              <w:marRight w:val="0"/>
              <w:marTop w:val="0"/>
              <w:marBottom w:val="0"/>
              <w:divBdr>
                <w:top w:val="none" w:sz="0" w:space="0" w:color="auto"/>
                <w:left w:val="none" w:sz="0" w:space="0" w:color="auto"/>
                <w:bottom w:val="none" w:sz="0" w:space="0" w:color="auto"/>
                <w:right w:val="none" w:sz="0" w:space="0" w:color="auto"/>
              </w:divBdr>
              <w:divsChild>
                <w:div w:id="1645233449">
                  <w:marLeft w:val="0"/>
                  <w:marRight w:val="0"/>
                  <w:marTop w:val="0"/>
                  <w:marBottom w:val="0"/>
                  <w:divBdr>
                    <w:top w:val="none" w:sz="0" w:space="0" w:color="auto"/>
                    <w:left w:val="none" w:sz="0" w:space="0" w:color="auto"/>
                    <w:bottom w:val="none" w:sz="0" w:space="0" w:color="auto"/>
                    <w:right w:val="none" w:sz="0" w:space="0" w:color="auto"/>
                  </w:divBdr>
                </w:div>
              </w:divsChild>
            </w:div>
            <w:div w:id="1786537365">
              <w:marLeft w:val="0"/>
              <w:marRight w:val="0"/>
              <w:marTop w:val="0"/>
              <w:marBottom w:val="0"/>
              <w:divBdr>
                <w:top w:val="none" w:sz="0" w:space="0" w:color="auto"/>
                <w:left w:val="none" w:sz="0" w:space="0" w:color="auto"/>
                <w:bottom w:val="none" w:sz="0" w:space="0" w:color="auto"/>
                <w:right w:val="none" w:sz="0" w:space="0" w:color="auto"/>
              </w:divBdr>
              <w:divsChild>
                <w:div w:id="2064256941">
                  <w:marLeft w:val="0"/>
                  <w:marRight w:val="0"/>
                  <w:marTop w:val="0"/>
                  <w:marBottom w:val="0"/>
                  <w:divBdr>
                    <w:top w:val="none" w:sz="0" w:space="0" w:color="auto"/>
                    <w:left w:val="none" w:sz="0" w:space="0" w:color="auto"/>
                    <w:bottom w:val="none" w:sz="0" w:space="0" w:color="auto"/>
                    <w:right w:val="none" w:sz="0" w:space="0" w:color="auto"/>
                  </w:divBdr>
                </w:div>
              </w:divsChild>
            </w:div>
            <w:div w:id="1840851929">
              <w:marLeft w:val="0"/>
              <w:marRight w:val="0"/>
              <w:marTop w:val="0"/>
              <w:marBottom w:val="0"/>
              <w:divBdr>
                <w:top w:val="none" w:sz="0" w:space="0" w:color="auto"/>
                <w:left w:val="none" w:sz="0" w:space="0" w:color="auto"/>
                <w:bottom w:val="none" w:sz="0" w:space="0" w:color="auto"/>
                <w:right w:val="none" w:sz="0" w:space="0" w:color="auto"/>
              </w:divBdr>
              <w:divsChild>
                <w:div w:id="815807001">
                  <w:marLeft w:val="0"/>
                  <w:marRight w:val="0"/>
                  <w:marTop w:val="0"/>
                  <w:marBottom w:val="0"/>
                  <w:divBdr>
                    <w:top w:val="none" w:sz="0" w:space="0" w:color="auto"/>
                    <w:left w:val="none" w:sz="0" w:space="0" w:color="auto"/>
                    <w:bottom w:val="none" w:sz="0" w:space="0" w:color="auto"/>
                    <w:right w:val="none" w:sz="0" w:space="0" w:color="auto"/>
                  </w:divBdr>
                </w:div>
              </w:divsChild>
            </w:div>
            <w:div w:id="1913078079">
              <w:marLeft w:val="0"/>
              <w:marRight w:val="0"/>
              <w:marTop w:val="0"/>
              <w:marBottom w:val="0"/>
              <w:divBdr>
                <w:top w:val="none" w:sz="0" w:space="0" w:color="auto"/>
                <w:left w:val="none" w:sz="0" w:space="0" w:color="auto"/>
                <w:bottom w:val="none" w:sz="0" w:space="0" w:color="auto"/>
                <w:right w:val="none" w:sz="0" w:space="0" w:color="auto"/>
              </w:divBdr>
              <w:divsChild>
                <w:div w:id="1692992378">
                  <w:marLeft w:val="0"/>
                  <w:marRight w:val="0"/>
                  <w:marTop w:val="0"/>
                  <w:marBottom w:val="0"/>
                  <w:divBdr>
                    <w:top w:val="none" w:sz="0" w:space="0" w:color="auto"/>
                    <w:left w:val="none" w:sz="0" w:space="0" w:color="auto"/>
                    <w:bottom w:val="none" w:sz="0" w:space="0" w:color="auto"/>
                    <w:right w:val="none" w:sz="0" w:space="0" w:color="auto"/>
                  </w:divBdr>
                </w:div>
              </w:divsChild>
            </w:div>
            <w:div w:id="2006010188">
              <w:marLeft w:val="0"/>
              <w:marRight w:val="0"/>
              <w:marTop w:val="0"/>
              <w:marBottom w:val="0"/>
              <w:divBdr>
                <w:top w:val="none" w:sz="0" w:space="0" w:color="auto"/>
                <w:left w:val="none" w:sz="0" w:space="0" w:color="auto"/>
                <w:bottom w:val="none" w:sz="0" w:space="0" w:color="auto"/>
                <w:right w:val="none" w:sz="0" w:space="0" w:color="auto"/>
              </w:divBdr>
              <w:divsChild>
                <w:div w:id="1647248214">
                  <w:marLeft w:val="0"/>
                  <w:marRight w:val="0"/>
                  <w:marTop w:val="0"/>
                  <w:marBottom w:val="0"/>
                  <w:divBdr>
                    <w:top w:val="none" w:sz="0" w:space="0" w:color="auto"/>
                    <w:left w:val="none" w:sz="0" w:space="0" w:color="auto"/>
                    <w:bottom w:val="none" w:sz="0" w:space="0" w:color="auto"/>
                    <w:right w:val="none" w:sz="0" w:space="0" w:color="auto"/>
                  </w:divBdr>
                </w:div>
              </w:divsChild>
            </w:div>
            <w:div w:id="2061903197">
              <w:marLeft w:val="0"/>
              <w:marRight w:val="0"/>
              <w:marTop w:val="0"/>
              <w:marBottom w:val="0"/>
              <w:divBdr>
                <w:top w:val="none" w:sz="0" w:space="0" w:color="auto"/>
                <w:left w:val="none" w:sz="0" w:space="0" w:color="auto"/>
                <w:bottom w:val="none" w:sz="0" w:space="0" w:color="auto"/>
                <w:right w:val="none" w:sz="0" w:space="0" w:color="auto"/>
              </w:divBdr>
              <w:divsChild>
                <w:div w:id="394162824">
                  <w:marLeft w:val="0"/>
                  <w:marRight w:val="0"/>
                  <w:marTop w:val="0"/>
                  <w:marBottom w:val="0"/>
                  <w:divBdr>
                    <w:top w:val="none" w:sz="0" w:space="0" w:color="auto"/>
                    <w:left w:val="none" w:sz="0" w:space="0" w:color="auto"/>
                    <w:bottom w:val="none" w:sz="0" w:space="0" w:color="auto"/>
                    <w:right w:val="none" w:sz="0" w:space="0" w:color="auto"/>
                  </w:divBdr>
                </w:div>
              </w:divsChild>
            </w:div>
            <w:div w:id="2087996918">
              <w:marLeft w:val="0"/>
              <w:marRight w:val="0"/>
              <w:marTop w:val="0"/>
              <w:marBottom w:val="0"/>
              <w:divBdr>
                <w:top w:val="none" w:sz="0" w:space="0" w:color="auto"/>
                <w:left w:val="none" w:sz="0" w:space="0" w:color="auto"/>
                <w:bottom w:val="none" w:sz="0" w:space="0" w:color="auto"/>
                <w:right w:val="none" w:sz="0" w:space="0" w:color="auto"/>
              </w:divBdr>
              <w:divsChild>
                <w:div w:id="1255044471">
                  <w:marLeft w:val="0"/>
                  <w:marRight w:val="0"/>
                  <w:marTop w:val="0"/>
                  <w:marBottom w:val="0"/>
                  <w:divBdr>
                    <w:top w:val="none" w:sz="0" w:space="0" w:color="auto"/>
                    <w:left w:val="none" w:sz="0" w:space="0" w:color="auto"/>
                    <w:bottom w:val="none" w:sz="0" w:space="0" w:color="auto"/>
                    <w:right w:val="none" w:sz="0" w:space="0" w:color="auto"/>
                  </w:divBdr>
                </w:div>
              </w:divsChild>
            </w:div>
            <w:div w:id="2094811213">
              <w:marLeft w:val="0"/>
              <w:marRight w:val="0"/>
              <w:marTop w:val="0"/>
              <w:marBottom w:val="0"/>
              <w:divBdr>
                <w:top w:val="none" w:sz="0" w:space="0" w:color="auto"/>
                <w:left w:val="none" w:sz="0" w:space="0" w:color="auto"/>
                <w:bottom w:val="none" w:sz="0" w:space="0" w:color="auto"/>
                <w:right w:val="none" w:sz="0" w:space="0" w:color="auto"/>
              </w:divBdr>
              <w:divsChild>
                <w:div w:id="7673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5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data.europa.eu/eli/reg/2020/2220/oj"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0/2220/oj" TargetMode="External"/><Relationship Id="rId7" Type="http://schemas.openxmlformats.org/officeDocument/2006/relationships/hyperlink" Target="http://data.europa.eu/eli/reg/2020/2220/oj" TargetMode="External"/><Relationship Id="rId2" Type="http://schemas.openxmlformats.org/officeDocument/2006/relationships/hyperlink" Target="http://data.europa.eu/eli/reg/2024/3242/oj" TargetMode="External"/><Relationship Id="rId1" Type="http://schemas.openxmlformats.org/officeDocument/2006/relationships/hyperlink" Target="http://data.europa.eu/eli/reg/2013/228/oj" TargetMode="External"/><Relationship Id="rId6" Type="http://schemas.openxmlformats.org/officeDocument/2006/relationships/hyperlink" Target="http://data.europa.eu/eli/reg/2013/228/oj" TargetMode="External"/><Relationship Id="rId5" Type="http://schemas.openxmlformats.org/officeDocument/2006/relationships/hyperlink" Target="http://data.europa.eu/eli/reg/2013/1305/oj" TargetMode="External"/><Relationship Id="rId4" Type="http://schemas.openxmlformats.org/officeDocument/2006/relationships/hyperlink" Target="http://data.europa.eu/eli/reg/2013/1303/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e7e27166b6ddd379314dbc4ffb647a9d">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6ba0d890b3d934a84d947fa41105d8de"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44c03d0-0f03-451f-9d46-5279004462a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6D48E-B924-418D-A443-9D67D4FCC78C}">
  <ds:schemaRefs>
    <ds:schemaRef ds:uri="http://schemas.microsoft.com/sharepoint/v3/contenttype/forms"/>
  </ds:schemaRefs>
</ds:datastoreItem>
</file>

<file path=customXml/itemProps2.xml><?xml version="1.0" encoding="utf-8"?>
<ds:datastoreItem xmlns:ds="http://schemas.openxmlformats.org/officeDocument/2006/customXml" ds:itemID="{62496B3F-B044-42DD-9926-B84B2BDE7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2F1EEF-FD81-4B2F-888E-E6E9C11AF07A}">
  <ds:schemaRefs>
    <ds:schemaRef ds:uri="http://schemas.microsoft.com/office/2006/metadata/properties"/>
    <ds:schemaRef ds:uri="http://schemas.microsoft.com/office/infopath/2007/PartnerControls"/>
    <ds:schemaRef ds:uri="144c03d0-0f03-451f-9d46-5279004462a4"/>
    <ds:schemaRef ds:uri="http://schemas.microsoft.com/sharepoint/v3/fields"/>
    <ds:schemaRef ds:uri="f7bb8512-91eb-4bfd-be42-d6f021407e9a"/>
  </ds:schemaRefs>
</ds:datastoreItem>
</file>

<file path=customXml/itemProps4.xml><?xml version="1.0" encoding="utf-8"?>
<ds:datastoreItem xmlns:ds="http://schemas.openxmlformats.org/officeDocument/2006/customXml" ds:itemID="{DBCB7C63-FA8C-4FAC-9327-71D0A8AD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42</TotalTime>
  <Pages>10</Pages>
  <Words>3462</Words>
  <Characters>19738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23154</CharactersWithSpaces>
  <SharedDoc>false</SharedDoc>
  <HLinks>
    <vt:vector size="24" baseType="variant">
      <vt:variant>
        <vt:i4>6815854</vt:i4>
      </vt:variant>
      <vt:variant>
        <vt:i4>9</vt:i4>
      </vt:variant>
      <vt:variant>
        <vt:i4>0</vt:i4>
      </vt:variant>
      <vt:variant>
        <vt:i4>5</vt:i4>
      </vt:variant>
      <vt:variant>
        <vt:lpwstr>http://data.europa.eu/eli/reg/2020/2220/oj</vt:lpwstr>
      </vt:variant>
      <vt:variant>
        <vt:lpwstr/>
      </vt:variant>
      <vt:variant>
        <vt:i4>4915229</vt:i4>
      </vt:variant>
      <vt:variant>
        <vt:i4>6</vt:i4>
      </vt:variant>
      <vt:variant>
        <vt:i4>0</vt:i4>
      </vt:variant>
      <vt:variant>
        <vt:i4>5</vt:i4>
      </vt:variant>
      <vt:variant>
        <vt:lpwstr>http://data.europa.eu/eli/reg/2013/228/oj</vt:lpwstr>
      </vt:variant>
      <vt:variant>
        <vt:lpwstr/>
      </vt:variant>
      <vt:variant>
        <vt:i4>6815854</vt:i4>
      </vt:variant>
      <vt:variant>
        <vt:i4>2</vt:i4>
      </vt:variant>
      <vt:variant>
        <vt:i4>0</vt:i4>
      </vt:variant>
      <vt:variant>
        <vt:i4>5</vt:i4>
      </vt:variant>
      <vt:variant>
        <vt:lpwstr>http://data.europa.eu/eli/reg/2020/2220/oj</vt:lpwstr>
      </vt:variant>
      <vt:variant>
        <vt:lpwstr/>
      </vt:variant>
      <vt:variant>
        <vt:i4>6815854</vt:i4>
      </vt:variant>
      <vt:variant>
        <vt:i4>0</vt:i4>
      </vt:variant>
      <vt:variant>
        <vt:i4>0</vt:i4>
      </vt:variant>
      <vt:variant>
        <vt:i4>5</vt:i4>
      </vt:variant>
      <vt:variant>
        <vt:lpwstr>http://data.europa.eu/eli/reg/2020/2220/oj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28</cp:revision>
  <cp:lastPrinted>2025-03-09T07:31:00Z</cp:lastPrinted>
  <dcterms:created xsi:type="dcterms:W3CDTF">2025-04-07T09:58:00Z</dcterms:created>
  <dcterms:modified xsi:type="dcterms:W3CDTF">2025-04-24T18:55:00Z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2025-03-03T14:50:13Z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bd446a3e-12ab-4eda-aad3-ca03e2de4751</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MediaServiceImageTags">
    <vt:lpwstr/>
  </property>
  <property fmtid="{D5CDD505-2E9C-101B-9397-08002B2CF9AE}" pid="19" name="DQCStatus">
    <vt:lpwstr>Green (DQC version 03)</vt:lpwstr>
  </property>
</Properties>
</file>