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25D1B" w14:textId="5BFF0DFB" w:rsidR="009D65C7" w:rsidRDefault="002A0201" w:rsidP="002A0201">
      <w:pPr>
        <w:pStyle w:val="Pagedecouverture"/>
        <w:rPr>
          <w:noProof/>
        </w:rPr>
      </w:pPr>
      <w:bookmarkStart w:id="0" w:name="LW_BM_COVERPAGE"/>
      <w:r>
        <w:rPr>
          <w:noProof/>
        </w:rPr>
        <w:pict w14:anchorId="2F5B6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2701492-4468-419C-B731-4FD68D3BE62B" style="width:455.25pt;height:420.75pt">
            <v:imagedata r:id="rId8" o:title=""/>
          </v:shape>
        </w:pict>
      </w:r>
    </w:p>
    <w:bookmarkEnd w:id="0"/>
    <w:p w14:paraId="2FCAB8FD" w14:textId="77777777" w:rsidR="009D65C7" w:rsidRDefault="009D65C7" w:rsidP="009D65C7">
      <w:pPr>
        <w:rPr>
          <w:noProof/>
        </w:rPr>
        <w:sectPr w:rsidR="009D65C7" w:rsidSect="002A0201">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F279622" w14:textId="77777777" w:rsidR="00A0127E" w:rsidRPr="00613163" w:rsidRDefault="00A0127E" w:rsidP="00A0127E">
      <w:pPr>
        <w:pStyle w:val="Heading1"/>
        <w:rPr>
          <w:noProof/>
        </w:rPr>
      </w:pPr>
      <w:bookmarkStart w:id="1" w:name="_GoBack"/>
      <w:bookmarkEnd w:id="1"/>
      <w:r>
        <w:rPr>
          <w:noProof/>
        </w:rPr>
        <w:lastRenderedPageBreak/>
        <w:t>Prólogo</w:t>
      </w:r>
      <w:r>
        <w:rPr>
          <w:rStyle w:val="FootnoteReference"/>
          <w:noProof/>
        </w:rPr>
        <w:footnoteReference w:id="1"/>
      </w:r>
    </w:p>
    <w:p w14:paraId="7CB7501E" w14:textId="2D535E54" w:rsidR="00A0127E" w:rsidRPr="00613163" w:rsidRDefault="00A0127E" w:rsidP="00A0127E">
      <w:pPr>
        <w:pStyle w:val="Text1"/>
        <w:rPr>
          <w:noProof/>
        </w:rPr>
      </w:pPr>
      <w:r>
        <w:rPr>
          <w:noProof/>
        </w:rPr>
        <w:t>De conformidad con el artículo 19, apartado 4, del Reglamento (UE) 2018/1877 del Consejo</w:t>
      </w:r>
      <w:r w:rsidRPr="00613163">
        <w:rPr>
          <w:rStyle w:val="FootnoteReference"/>
          <w:noProof/>
        </w:rPr>
        <w:footnoteReference w:id="2"/>
      </w:r>
      <w:r>
        <w:rPr>
          <w:noProof/>
        </w:rPr>
        <w:t xml:space="preserve">, por el que se aprueba el Reglamento Financiero aplicable al undécimo Fondo Europeo de Desarrollo (en lo sucesivo, el «Reglamento Financiero del 11.º FED»), la Comisión presenta en este documento los pagos y las contribuciones efectuados en 2024 y que deben efectuarse en los años 2025 y 2026, teniendo en cuenta las previsiones del Banco Europeo de Inversiones (BEI). </w:t>
      </w:r>
    </w:p>
    <w:p w14:paraId="1F8990D4" w14:textId="4C9F5A3B" w:rsidR="00A0127E" w:rsidRPr="00613163" w:rsidRDefault="00A0127E" w:rsidP="00A0127E">
      <w:pPr>
        <w:pStyle w:val="Text1"/>
        <w:rPr>
          <w:noProof/>
        </w:rPr>
      </w:pPr>
      <w:r>
        <w:rPr>
          <w:noProof/>
        </w:rPr>
        <w:t>El presente documento establece la ejecución financiera de los FED (del 9.º al 11.º FED) para 2024 y las previsiones de ejecución para 2025 y 2026.</w:t>
      </w:r>
    </w:p>
    <w:p w14:paraId="7B85C74A" w14:textId="38532717" w:rsidR="00A0127E" w:rsidRDefault="00A0127E" w:rsidP="00A0127E">
      <w:pPr>
        <w:pStyle w:val="Text1"/>
        <w:rPr>
          <w:noProof/>
        </w:rPr>
      </w:pPr>
      <w:r>
        <w:rPr>
          <w:noProof/>
        </w:rPr>
        <w:t xml:space="preserve">Las partes en el Fondo Europeo de Desarrollo aportan fondos directamente al BEI para los instrumentos que este gestiona en el marco del 9.º, del 10.º y del 11.º FED (Instrumento de Ayuda a la Inversión y bonificaciones de intereses). </w:t>
      </w:r>
    </w:p>
    <w:p w14:paraId="563B5D83" w14:textId="199564F7" w:rsidR="00A0127E" w:rsidRDefault="00A0127E" w:rsidP="00A0127E">
      <w:pPr>
        <w:pStyle w:val="Text1"/>
        <w:rPr>
          <w:noProof/>
        </w:rPr>
      </w:pPr>
    </w:p>
    <w:p w14:paraId="3E7F5FB4" w14:textId="465AD694" w:rsidR="00A0127E" w:rsidRPr="00613163" w:rsidRDefault="00A0127E" w:rsidP="00A0127E">
      <w:pPr>
        <w:pStyle w:val="Heading1"/>
        <w:rPr>
          <w:noProof/>
        </w:rPr>
      </w:pPr>
      <w:r>
        <w:rPr>
          <w:noProof/>
        </w:rPr>
        <w:t>Introducción</w:t>
      </w:r>
    </w:p>
    <w:p w14:paraId="3787528F" w14:textId="4A137C1F" w:rsidR="00A0127E" w:rsidRPr="00613163" w:rsidRDefault="00A0127E" w:rsidP="00A0127E">
      <w:pPr>
        <w:pStyle w:val="Text1"/>
        <w:rPr>
          <w:noProof/>
        </w:rPr>
      </w:pPr>
      <w:r>
        <w:rPr>
          <w:noProof/>
        </w:rPr>
        <w:t>La Comisión y el BEI han actualizado sus previsiones para 2025 y 2026 correspondientes a los países de África, del Caribe y del Pacífico (ACP) y los países y territorios de ultramar (PTU). Las previsiones de pago, en particular, se han elaborado con el fin de ayudar a las Partes en el Fondo Europeo de Desarrollo a evaluar con la mayor precisión posible los importes que necesitan destinar en sus presupuestos nacionales, garantizando al mismo tiempo que el FED disponga de recursos financieros suficientes para evitar problemas de liquidez.</w:t>
      </w:r>
    </w:p>
    <w:p w14:paraId="5D770D71" w14:textId="14D646F9" w:rsidR="00A0127E" w:rsidRPr="00613163" w:rsidRDefault="00A0127E" w:rsidP="00A0127E">
      <w:pPr>
        <w:pStyle w:val="Text1"/>
        <w:rPr>
          <w:noProof/>
        </w:rPr>
      </w:pPr>
      <w:r>
        <w:rPr>
          <w:noProof/>
        </w:rPr>
        <w:t>De conformidad con el artículo 19, apartado 4, del Reglamento Financiero del 11.º FED, las estimaciones de los compromisos y los pagos se han actualizado con arreglo a las últimas previsiones.</w:t>
      </w:r>
    </w:p>
    <w:p w14:paraId="3B4B8B8E" w14:textId="2E41D244" w:rsidR="00A0127E" w:rsidRDefault="00A0127E" w:rsidP="00A0127E">
      <w:pPr>
        <w:pStyle w:val="Text1"/>
        <w:rPr>
          <w:noProof/>
        </w:rPr>
      </w:pPr>
      <w:r>
        <w:rPr>
          <w:noProof/>
        </w:rPr>
        <w:t>En el gráfico que figura a continuación se muestran la evolución general de los compromisos y pagos brutos desde 1999 hasta 2024 y las previsiones para el período 2025-2026 (importes acumulados de la Comisión y el BEI).</w:t>
      </w:r>
    </w:p>
    <w:p w14:paraId="0F2A0D98" w14:textId="77777777" w:rsidR="00110FC7" w:rsidRDefault="00110FC7" w:rsidP="00A0127E">
      <w:pPr>
        <w:rPr>
          <w:rFonts w:ascii="Times New Roman" w:hAnsi="Times New Roman" w:cs="Times New Roman"/>
          <w:b/>
          <w:noProof/>
          <w:sz w:val="24"/>
          <w:szCs w:val="24"/>
        </w:rPr>
      </w:pPr>
    </w:p>
    <w:p w14:paraId="667B8123" w14:textId="77777777" w:rsidR="00110FC7" w:rsidRDefault="00110FC7" w:rsidP="00A0127E">
      <w:pPr>
        <w:rPr>
          <w:rFonts w:ascii="Times New Roman" w:hAnsi="Times New Roman" w:cs="Times New Roman"/>
          <w:b/>
          <w:noProof/>
          <w:sz w:val="24"/>
          <w:szCs w:val="24"/>
        </w:rPr>
      </w:pPr>
    </w:p>
    <w:p w14:paraId="6411E8FC" w14:textId="77777777" w:rsidR="00110FC7" w:rsidRDefault="00110FC7" w:rsidP="00A0127E">
      <w:pPr>
        <w:rPr>
          <w:rFonts w:ascii="Times New Roman" w:hAnsi="Times New Roman" w:cs="Times New Roman"/>
          <w:b/>
          <w:noProof/>
          <w:sz w:val="24"/>
          <w:szCs w:val="24"/>
        </w:rPr>
      </w:pPr>
    </w:p>
    <w:p w14:paraId="0590FDF1" w14:textId="77777777" w:rsidR="00110FC7" w:rsidRDefault="00110FC7" w:rsidP="00A0127E">
      <w:pPr>
        <w:rPr>
          <w:rFonts w:ascii="Times New Roman" w:hAnsi="Times New Roman" w:cs="Times New Roman"/>
          <w:b/>
          <w:noProof/>
          <w:sz w:val="24"/>
          <w:szCs w:val="24"/>
        </w:rPr>
      </w:pPr>
    </w:p>
    <w:p w14:paraId="73CD0D20" w14:textId="77777777" w:rsidR="00110FC7" w:rsidRDefault="00110FC7" w:rsidP="00A0127E">
      <w:pPr>
        <w:rPr>
          <w:rFonts w:ascii="Times New Roman" w:hAnsi="Times New Roman" w:cs="Times New Roman"/>
          <w:b/>
          <w:noProof/>
          <w:sz w:val="24"/>
          <w:szCs w:val="24"/>
        </w:rPr>
      </w:pPr>
    </w:p>
    <w:p w14:paraId="5ECF0433" w14:textId="77777777" w:rsidR="00110FC7" w:rsidRDefault="00110FC7" w:rsidP="00A0127E">
      <w:pPr>
        <w:rPr>
          <w:rFonts w:ascii="Times New Roman" w:hAnsi="Times New Roman" w:cs="Times New Roman"/>
          <w:b/>
          <w:noProof/>
          <w:sz w:val="24"/>
          <w:szCs w:val="24"/>
        </w:rPr>
      </w:pPr>
    </w:p>
    <w:p w14:paraId="11C85C96" w14:textId="77777777" w:rsidR="00410660" w:rsidRDefault="00410660" w:rsidP="00A0127E">
      <w:pPr>
        <w:rPr>
          <w:rFonts w:ascii="Times New Roman" w:hAnsi="Times New Roman" w:cs="Times New Roman"/>
          <w:b/>
          <w:noProof/>
          <w:sz w:val="24"/>
          <w:szCs w:val="24"/>
        </w:rPr>
      </w:pPr>
    </w:p>
    <w:p w14:paraId="7933A0BC" w14:textId="4E94A8CE" w:rsidR="00A0127E" w:rsidRDefault="00A0127E" w:rsidP="00A0127E">
      <w:pPr>
        <w:rPr>
          <w:rFonts w:ascii="Times New Roman" w:hAnsi="Times New Roman" w:cs="Times New Roman"/>
          <w:b/>
          <w:noProof/>
          <w:sz w:val="24"/>
          <w:szCs w:val="24"/>
        </w:rPr>
      </w:pPr>
      <w:r>
        <w:rPr>
          <w:rFonts w:ascii="Times New Roman" w:hAnsi="Times New Roman"/>
          <w:b/>
          <w:noProof/>
          <w:sz w:val="24"/>
        </w:rPr>
        <w:t>Compromisos y pagos brutos: tendencia del período 1999-2026 (en millones EUR)</w:t>
      </w:r>
    </w:p>
    <w:p w14:paraId="4CAA35CC" w14:textId="0EDCD5B8" w:rsidR="00A0127E" w:rsidRPr="00613163" w:rsidRDefault="00047221" w:rsidP="008F1ADD">
      <w:pPr>
        <w:tabs>
          <w:tab w:val="left" w:pos="4253"/>
        </w:tabs>
        <w:ind w:left="-426"/>
        <w:rPr>
          <w:rFonts w:ascii="Times New Roman" w:hAnsi="Times New Roman" w:cs="Times New Roman"/>
          <w:b/>
          <w:noProof/>
          <w:sz w:val="24"/>
          <w:szCs w:val="24"/>
        </w:rPr>
      </w:pPr>
      <w:r>
        <w:rPr>
          <w:noProof/>
          <w:lang w:val="en-GB" w:eastAsia="en-GB"/>
        </w:rPr>
        <w:drawing>
          <wp:inline distT="0" distB="0" distL="0" distR="0" wp14:anchorId="48FFBF12" wp14:editId="248443DB">
            <wp:extent cx="6257925" cy="2858303"/>
            <wp:effectExtent l="0" t="0" r="0" b="0"/>
            <wp:docPr id="169541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16744" name=""/>
                    <pic:cNvPicPr/>
                  </pic:nvPicPr>
                  <pic:blipFill rotWithShape="1">
                    <a:blip r:embed="rId15"/>
                    <a:srcRect l="2659"/>
                    <a:stretch/>
                  </pic:blipFill>
                  <pic:spPr bwMode="auto">
                    <a:xfrm>
                      <a:off x="0" y="0"/>
                      <a:ext cx="6273440" cy="2865389"/>
                    </a:xfrm>
                    <a:prstGeom prst="rect">
                      <a:avLst/>
                    </a:prstGeom>
                    <a:ln>
                      <a:noFill/>
                    </a:ln>
                    <a:extLst>
                      <a:ext uri="{53640926-AAD7-44D8-BBD7-CCE9431645EC}">
                        <a14:shadowObscured xmlns:a14="http://schemas.microsoft.com/office/drawing/2010/main"/>
                      </a:ext>
                    </a:extLst>
                  </pic:spPr>
                </pic:pic>
              </a:graphicData>
            </a:graphic>
          </wp:inline>
        </w:drawing>
      </w:r>
    </w:p>
    <w:p w14:paraId="38DEA35C" w14:textId="720A5E67" w:rsidR="00A0127E" w:rsidRDefault="00A0127E" w:rsidP="00A0127E">
      <w:pPr>
        <w:pStyle w:val="Text1"/>
        <w:ind w:left="0"/>
        <w:rPr>
          <w:noProof/>
          <w:sz w:val="14"/>
          <w:szCs w:val="14"/>
        </w:rPr>
      </w:pPr>
      <w:r>
        <w:rPr>
          <w:noProof/>
          <w:sz w:val="14"/>
        </w:rPr>
        <w:t>Nota: cifras de la ejecución de los Fondos Europeos de Desarrollo hasta el 31 de diciembre de 2024 (compromisos y pagos) y previsiones para el período 2025-2026.</w:t>
      </w:r>
      <w:r>
        <w:rPr>
          <w:noProof/>
        </w:rPr>
        <w:t xml:space="preserve"> </w:t>
      </w:r>
      <w:r>
        <w:rPr>
          <w:noProof/>
          <w:sz w:val="14"/>
        </w:rPr>
        <w:t>Dado que la cláusula de extinción del 11.º FED expiró el 31.12.2020, no hay nuevos compromisos a excepción de:</w:t>
      </w:r>
    </w:p>
    <w:p w14:paraId="502DC881" w14:textId="34414BFD" w:rsidR="00A0127E" w:rsidRDefault="00A0127E" w:rsidP="008824E3">
      <w:pPr>
        <w:pStyle w:val="Text1"/>
        <w:ind w:left="0"/>
        <w:rPr>
          <w:noProof/>
          <w:sz w:val="14"/>
          <w:szCs w:val="14"/>
        </w:rPr>
      </w:pPr>
      <w:r>
        <w:rPr>
          <w:noProof/>
          <w:sz w:val="14"/>
        </w:rPr>
        <w:t xml:space="preserve">1) los fondos procedentes de reflujos en el marco del Instrumento de Ayuda a la Inversión ACP derivados de operaciones con cargo al 9.º, al 10.º y al 11.º FED (prórroga del Instrumento de Ayuda a la Inversión hasta 2021 mediante la Decisión 2020/2233 del Consejo), y </w:t>
      </w:r>
    </w:p>
    <w:p w14:paraId="0771CCAA" w14:textId="25E6B858" w:rsidR="00A0127E" w:rsidRPr="003E6879" w:rsidRDefault="00574C19" w:rsidP="008824E3">
      <w:pPr>
        <w:pStyle w:val="Text1"/>
        <w:ind w:left="0"/>
        <w:rPr>
          <w:noProof/>
          <w:sz w:val="14"/>
          <w:szCs w:val="14"/>
        </w:rPr>
      </w:pPr>
      <w:r>
        <w:rPr>
          <w:noProof/>
          <w:sz w:val="14"/>
        </w:rPr>
        <w:t xml:space="preserve"> 2) los compromisos de los fondos procedentes de la reutilización de la reserva del 10.º y del 11.º FED en virtud de la Decisión 2022/1223 del Consejo (página 147), en relación con las medidas especiales para la respuesta de la UE a la crisis de seguridad alimentaria y la perturbación económica en los países de África, del Caribe y del Pacífico (ACP) a raíz de la guerra de agresión de Rusia contra Ucrania.</w:t>
      </w:r>
    </w:p>
    <w:p w14:paraId="33C55A65" w14:textId="13CB6A19" w:rsidR="00A0127E" w:rsidRDefault="00A0127E">
      <w:pPr>
        <w:rPr>
          <w:noProof/>
        </w:rPr>
      </w:pPr>
    </w:p>
    <w:p w14:paraId="352996DB" w14:textId="0E668B0D" w:rsidR="00B80A74" w:rsidRPr="00613163" w:rsidRDefault="00B80A74" w:rsidP="00B80A74">
      <w:pPr>
        <w:pStyle w:val="Heading1"/>
        <w:tabs>
          <w:tab w:val="num" w:pos="0"/>
        </w:tabs>
        <w:ind w:left="0" w:firstLine="0"/>
        <w:rPr>
          <w:noProof/>
        </w:rPr>
      </w:pPr>
      <w:bookmarkStart w:id="2" w:name="_Hlk133867905"/>
      <w:r>
        <w:rPr>
          <w:noProof/>
        </w:rPr>
        <w:t>Valores financieros reales de 2024 y previsiones para el período 2025-2026</w:t>
      </w:r>
      <w:bookmarkEnd w:id="2"/>
      <w:r>
        <w:rPr>
          <w:noProof/>
        </w:rPr>
        <w:t xml:space="preserve"> (en millones EUR)</w:t>
      </w:r>
    </w:p>
    <w:p w14:paraId="178D11F3" w14:textId="77777777" w:rsidR="00A0127E" w:rsidRDefault="00A0127E" w:rsidP="00A0127E">
      <w:pPr>
        <w:pStyle w:val="Text1"/>
        <w:rPr>
          <w:noProof/>
        </w:rPr>
      </w:pPr>
      <w:r>
        <w:rPr>
          <w:noProof/>
        </w:rPr>
        <w:t>El siguiente cuadro actualiza los compromisos, los pagos y las contribuciones sobre la base de las últimas previsiones de la Comisión.</w:t>
      </w:r>
    </w:p>
    <w:tbl>
      <w:tblPr>
        <w:tblW w:w="7680" w:type="dxa"/>
        <w:tblLook w:val="04A0" w:firstRow="1" w:lastRow="0" w:firstColumn="1" w:lastColumn="0" w:noHBand="0" w:noVBand="1"/>
      </w:tblPr>
      <w:tblGrid>
        <w:gridCol w:w="1683"/>
        <w:gridCol w:w="2918"/>
        <w:gridCol w:w="1134"/>
        <w:gridCol w:w="895"/>
        <w:gridCol w:w="1120"/>
      </w:tblGrid>
      <w:tr w:rsidR="00174BF6" w:rsidRPr="00174BF6" w14:paraId="1D927FEB" w14:textId="77777777" w:rsidTr="00F87700">
        <w:trPr>
          <w:trHeight w:val="480"/>
        </w:trPr>
        <w:tc>
          <w:tcPr>
            <w:tcW w:w="45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1EF626" w14:textId="32B538CC" w:rsidR="00F87700" w:rsidRPr="00174BF6" w:rsidRDefault="00174BF6" w:rsidP="00F87700">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Valores reales 2024 y previsiones 2025-2026*</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3AD5D676"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2024</w:t>
            </w:r>
          </w:p>
        </w:tc>
        <w:tc>
          <w:tcPr>
            <w:tcW w:w="89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89151B9"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EC6A"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2026</w:t>
            </w:r>
          </w:p>
        </w:tc>
      </w:tr>
      <w:tr w:rsidR="00174BF6" w:rsidRPr="00174BF6" w14:paraId="1255FF8B" w14:textId="77777777" w:rsidTr="00F87700">
        <w:trPr>
          <w:trHeight w:val="360"/>
        </w:trPr>
        <w:tc>
          <w:tcPr>
            <w:tcW w:w="1613" w:type="dxa"/>
            <w:tcBorders>
              <w:top w:val="nil"/>
              <w:left w:val="single" w:sz="8" w:space="0" w:color="auto"/>
              <w:bottom w:val="nil"/>
              <w:right w:val="single" w:sz="4" w:space="0" w:color="auto"/>
            </w:tcBorders>
            <w:shd w:val="clear" w:color="auto" w:fill="auto"/>
            <w:noWrap/>
            <w:vAlign w:val="bottom"/>
            <w:hideMark/>
          </w:tcPr>
          <w:p w14:paraId="184212F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Compromisos</w:t>
            </w:r>
          </w:p>
        </w:tc>
        <w:tc>
          <w:tcPr>
            <w:tcW w:w="2918" w:type="dxa"/>
            <w:tcBorders>
              <w:top w:val="nil"/>
              <w:left w:val="nil"/>
              <w:bottom w:val="nil"/>
              <w:right w:val="nil"/>
            </w:tcBorders>
            <w:shd w:val="clear" w:color="auto" w:fill="auto"/>
            <w:noWrap/>
            <w:vAlign w:val="bottom"/>
            <w:hideMark/>
          </w:tcPr>
          <w:p w14:paraId="39DD86B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Comisión</w:t>
            </w:r>
          </w:p>
        </w:tc>
        <w:tc>
          <w:tcPr>
            <w:tcW w:w="1134" w:type="dxa"/>
            <w:tcBorders>
              <w:top w:val="nil"/>
              <w:left w:val="single" w:sz="8" w:space="0" w:color="auto"/>
              <w:bottom w:val="nil"/>
              <w:right w:val="single" w:sz="8" w:space="0" w:color="auto"/>
            </w:tcBorders>
            <w:shd w:val="clear" w:color="auto" w:fill="auto"/>
            <w:noWrap/>
            <w:vAlign w:val="bottom"/>
            <w:hideMark/>
          </w:tcPr>
          <w:p w14:paraId="0285C1D2"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nil"/>
              <w:right w:val="single" w:sz="8" w:space="0" w:color="auto"/>
            </w:tcBorders>
            <w:shd w:val="clear" w:color="auto" w:fill="auto"/>
            <w:noWrap/>
            <w:vAlign w:val="bottom"/>
            <w:hideMark/>
          </w:tcPr>
          <w:p w14:paraId="606956A0"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nil"/>
              <w:right w:val="single" w:sz="4" w:space="0" w:color="auto"/>
            </w:tcBorders>
            <w:shd w:val="clear" w:color="auto" w:fill="auto"/>
            <w:noWrap/>
            <w:vAlign w:val="bottom"/>
            <w:hideMark/>
          </w:tcPr>
          <w:p w14:paraId="442D20F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22D24794"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0839353E"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15BC326A"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BEI</w:t>
            </w:r>
          </w:p>
        </w:tc>
        <w:tc>
          <w:tcPr>
            <w:tcW w:w="1134" w:type="dxa"/>
            <w:tcBorders>
              <w:top w:val="nil"/>
              <w:left w:val="single" w:sz="8" w:space="0" w:color="auto"/>
              <w:bottom w:val="nil"/>
              <w:right w:val="single" w:sz="8" w:space="0" w:color="auto"/>
            </w:tcBorders>
            <w:shd w:val="clear" w:color="auto" w:fill="auto"/>
            <w:noWrap/>
            <w:vAlign w:val="bottom"/>
            <w:hideMark/>
          </w:tcPr>
          <w:p w14:paraId="6FE6CA65"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nil"/>
              <w:right w:val="single" w:sz="8" w:space="0" w:color="auto"/>
            </w:tcBorders>
            <w:shd w:val="clear" w:color="auto" w:fill="auto"/>
            <w:noWrap/>
            <w:vAlign w:val="bottom"/>
            <w:hideMark/>
          </w:tcPr>
          <w:p w14:paraId="03EF863F"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nil"/>
              <w:right w:val="single" w:sz="4" w:space="0" w:color="auto"/>
            </w:tcBorders>
            <w:shd w:val="clear" w:color="auto" w:fill="auto"/>
            <w:noWrap/>
            <w:vAlign w:val="bottom"/>
            <w:hideMark/>
          </w:tcPr>
          <w:p w14:paraId="16FDD49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76A1C5DF" w14:textId="77777777" w:rsidTr="00F87700">
        <w:trPr>
          <w:trHeight w:val="300"/>
        </w:trPr>
        <w:tc>
          <w:tcPr>
            <w:tcW w:w="1613" w:type="dxa"/>
            <w:tcBorders>
              <w:top w:val="nil"/>
              <w:left w:val="single" w:sz="8" w:space="0" w:color="auto"/>
              <w:bottom w:val="single" w:sz="8" w:space="0" w:color="auto"/>
              <w:right w:val="single" w:sz="4" w:space="0" w:color="auto"/>
            </w:tcBorders>
            <w:shd w:val="clear" w:color="auto" w:fill="auto"/>
            <w:noWrap/>
            <w:vAlign w:val="bottom"/>
            <w:hideMark/>
          </w:tcPr>
          <w:p w14:paraId="7810C99C"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8" w:space="0" w:color="auto"/>
              <w:right w:val="nil"/>
            </w:tcBorders>
            <w:shd w:val="clear" w:color="auto" w:fill="auto"/>
            <w:noWrap/>
            <w:vAlign w:val="bottom"/>
            <w:hideMark/>
          </w:tcPr>
          <w:p w14:paraId="37136580"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Total</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7E29B4D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895" w:type="dxa"/>
            <w:tcBorders>
              <w:top w:val="nil"/>
              <w:left w:val="nil"/>
              <w:bottom w:val="single" w:sz="8" w:space="0" w:color="auto"/>
              <w:right w:val="single" w:sz="8" w:space="0" w:color="auto"/>
            </w:tcBorders>
            <w:shd w:val="clear" w:color="auto" w:fill="auto"/>
            <w:noWrap/>
            <w:vAlign w:val="bottom"/>
            <w:hideMark/>
          </w:tcPr>
          <w:p w14:paraId="210B980A"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c>
          <w:tcPr>
            <w:tcW w:w="1120" w:type="dxa"/>
            <w:tcBorders>
              <w:top w:val="nil"/>
              <w:left w:val="nil"/>
              <w:bottom w:val="single" w:sz="8" w:space="0" w:color="auto"/>
              <w:right w:val="single" w:sz="4" w:space="0" w:color="auto"/>
            </w:tcBorders>
            <w:shd w:val="clear" w:color="auto" w:fill="auto"/>
            <w:noWrap/>
            <w:vAlign w:val="bottom"/>
            <w:hideMark/>
          </w:tcPr>
          <w:p w14:paraId="54D47BE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0 </w:t>
            </w:r>
          </w:p>
        </w:tc>
      </w:tr>
      <w:tr w:rsidR="00174BF6" w:rsidRPr="00174BF6" w14:paraId="1AC2C0D9"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730F95E"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6CDB60A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34" w:type="dxa"/>
            <w:tcBorders>
              <w:top w:val="nil"/>
              <w:left w:val="single" w:sz="8" w:space="0" w:color="auto"/>
              <w:bottom w:val="nil"/>
              <w:right w:val="single" w:sz="8" w:space="0" w:color="auto"/>
            </w:tcBorders>
            <w:shd w:val="clear" w:color="auto" w:fill="auto"/>
            <w:noWrap/>
            <w:vAlign w:val="bottom"/>
            <w:hideMark/>
          </w:tcPr>
          <w:p w14:paraId="37175715"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895" w:type="dxa"/>
            <w:tcBorders>
              <w:top w:val="nil"/>
              <w:left w:val="nil"/>
              <w:bottom w:val="nil"/>
              <w:right w:val="single" w:sz="8" w:space="0" w:color="auto"/>
            </w:tcBorders>
            <w:shd w:val="clear" w:color="auto" w:fill="auto"/>
            <w:noWrap/>
            <w:vAlign w:val="bottom"/>
            <w:hideMark/>
          </w:tcPr>
          <w:p w14:paraId="1574A2D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20" w:type="dxa"/>
            <w:tcBorders>
              <w:top w:val="nil"/>
              <w:left w:val="nil"/>
              <w:bottom w:val="nil"/>
              <w:right w:val="single" w:sz="4" w:space="0" w:color="auto"/>
            </w:tcBorders>
            <w:shd w:val="clear" w:color="auto" w:fill="auto"/>
            <w:noWrap/>
            <w:vAlign w:val="bottom"/>
            <w:hideMark/>
          </w:tcPr>
          <w:p w14:paraId="3698B0C8"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r>
      <w:tr w:rsidR="00174BF6" w:rsidRPr="00174BF6" w14:paraId="3314931F"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C6D16A7"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Pagos</w:t>
            </w:r>
          </w:p>
        </w:tc>
        <w:tc>
          <w:tcPr>
            <w:tcW w:w="2918" w:type="dxa"/>
            <w:tcBorders>
              <w:top w:val="nil"/>
              <w:left w:val="nil"/>
              <w:bottom w:val="nil"/>
              <w:right w:val="nil"/>
            </w:tcBorders>
            <w:shd w:val="clear" w:color="auto" w:fill="auto"/>
            <w:noWrap/>
            <w:vAlign w:val="bottom"/>
            <w:hideMark/>
          </w:tcPr>
          <w:p w14:paraId="400AEBFF"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Comisión</w:t>
            </w:r>
          </w:p>
        </w:tc>
        <w:tc>
          <w:tcPr>
            <w:tcW w:w="1134" w:type="dxa"/>
            <w:tcBorders>
              <w:top w:val="nil"/>
              <w:left w:val="single" w:sz="8" w:space="0" w:color="auto"/>
              <w:bottom w:val="nil"/>
              <w:right w:val="single" w:sz="8" w:space="0" w:color="auto"/>
            </w:tcBorders>
            <w:shd w:val="clear" w:color="auto" w:fill="auto"/>
            <w:noWrap/>
            <w:vAlign w:val="bottom"/>
            <w:hideMark/>
          </w:tcPr>
          <w:p w14:paraId="7E0C5B9E"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1 405</w:t>
            </w:r>
          </w:p>
        </w:tc>
        <w:tc>
          <w:tcPr>
            <w:tcW w:w="895" w:type="dxa"/>
            <w:tcBorders>
              <w:top w:val="nil"/>
              <w:left w:val="nil"/>
              <w:bottom w:val="nil"/>
              <w:right w:val="single" w:sz="8" w:space="0" w:color="auto"/>
            </w:tcBorders>
            <w:shd w:val="clear" w:color="auto" w:fill="auto"/>
            <w:noWrap/>
            <w:vAlign w:val="bottom"/>
            <w:hideMark/>
          </w:tcPr>
          <w:p w14:paraId="3B23AF4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1 000</w:t>
            </w:r>
          </w:p>
        </w:tc>
        <w:tc>
          <w:tcPr>
            <w:tcW w:w="1120" w:type="dxa"/>
            <w:tcBorders>
              <w:top w:val="nil"/>
              <w:left w:val="nil"/>
              <w:bottom w:val="nil"/>
              <w:right w:val="single" w:sz="4" w:space="0" w:color="auto"/>
            </w:tcBorders>
            <w:shd w:val="clear" w:color="auto" w:fill="auto"/>
            <w:noWrap/>
            <w:vAlign w:val="bottom"/>
            <w:hideMark/>
          </w:tcPr>
          <w:p w14:paraId="630788B6"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750</w:t>
            </w:r>
          </w:p>
        </w:tc>
      </w:tr>
      <w:tr w:rsidR="00174BF6" w:rsidRPr="00174BF6" w14:paraId="5A600266"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75CE068"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0119CEF3"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BEI</w:t>
            </w:r>
          </w:p>
        </w:tc>
        <w:tc>
          <w:tcPr>
            <w:tcW w:w="1134" w:type="dxa"/>
            <w:tcBorders>
              <w:top w:val="nil"/>
              <w:left w:val="single" w:sz="8" w:space="0" w:color="auto"/>
              <w:bottom w:val="nil"/>
              <w:right w:val="single" w:sz="8" w:space="0" w:color="auto"/>
            </w:tcBorders>
            <w:shd w:val="clear" w:color="auto" w:fill="auto"/>
            <w:noWrap/>
            <w:vAlign w:val="bottom"/>
            <w:hideMark/>
          </w:tcPr>
          <w:p w14:paraId="5624F999" w14:textId="498C46E8"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780</w:t>
            </w:r>
          </w:p>
        </w:tc>
        <w:tc>
          <w:tcPr>
            <w:tcW w:w="895" w:type="dxa"/>
            <w:tcBorders>
              <w:top w:val="nil"/>
              <w:left w:val="nil"/>
              <w:bottom w:val="nil"/>
              <w:right w:val="single" w:sz="8" w:space="0" w:color="auto"/>
            </w:tcBorders>
            <w:shd w:val="clear" w:color="auto" w:fill="auto"/>
            <w:noWrap/>
            <w:vAlign w:val="bottom"/>
            <w:hideMark/>
          </w:tcPr>
          <w:p w14:paraId="63883AB2" w14:textId="7BD68BBC"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417</w:t>
            </w:r>
          </w:p>
        </w:tc>
        <w:tc>
          <w:tcPr>
            <w:tcW w:w="1120" w:type="dxa"/>
            <w:tcBorders>
              <w:top w:val="nil"/>
              <w:left w:val="nil"/>
              <w:bottom w:val="nil"/>
              <w:right w:val="single" w:sz="4" w:space="0" w:color="auto"/>
            </w:tcBorders>
            <w:shd w:val="clear" w:color="auto" w:fill="auto"/>
            <w:noWrap/>
            <w:vAlign w:val="bottom"/>
            <w:hideMark/>
          </w:tcPr>
          <w:p w14:paraId="7C40BB57" w14:textId="7567161A"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74</w:t>
            </w:r>
          </w:p>
        </w:tc>
      </w:tr>
      <w:tr w:rsidR="00174BF6" w:rsidRPr="00174BF6" w14:paraId="71F524E5" w14:textId="77777777" w:rsidTr="00F87700">
        <w:trPr>
          <w:trHeight w:val="285"/>
        </w:trPr>
        <w:tc>
          <w:tcPr>
            <w:tcW w:w="1613" w:type="dxa"/>
            <w:tcBorders>
              <w:top w:val="nil"/>
              <w:left w:val="single" w:sz="8" w:space="0" w:color="auto"/>
              <w:bottom w:val="single" w:sz="8" w:space="0" w:color="auto"/>
              <w:right w:val="single" w:sz="4" w:space="0" w:color="auto"/>
            </w:tcBorders>
            <w:shd w:val="clear" w:color="auto" w:fill="auto"/>
            <w:noWrap/>
            <w:vAlign w:val="bottom"/>
            <w:hideMark/>
          </w:tcPr>
          <w:p w14:paraId="3048DE65"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8" w:space="0" w:color="auto"/>
              <w:right w:val="nil"/>
            </w:tcBorders>
            <w:shd w:val="clear" w:color="auto" w:fill="auto"/>
            <w:noWrap/>
            <w:vAlign w:val="bottom"/>
            <w:hideMark/>
          </w:tcPr>
          <w:p w14:paraId="76888C4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Total</w:t>
            </w:r>
          </w:p>
        </w:tc>
        <w:tc>
          <w:tcPr>
            <w:tcW w:w="1134" w:type="dxa"/>
            <w:tcBorders>
              <w:top w:val="nil"/>
              <w:left w:val="single" w:sz="8" w:space="0" w:color="auto"/>
              <w:bottom w:val="single" w:sz="8" w:space="0" w:color="auto"/>
              <w:right w:val="single" w:sz="8" w:space="0" w:color="auto"/>
            </w:tcBorders>
            <w:shd w:val="clear" w:color="000000" w:fill="FFFFFF"/>
            <w:noWrap/>
            <w:vAlign w:val="bottom"/>
            <w:hideMark/>
          </w:tcPr>
          <w:p w14:paraId="6F7A537C" w14:textId="0EC40AF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2 185</w:t>
            </w:r>
          </w:p>
        </w:tc>
        <w:tc>
          <w:tcPr>
            <w:tcW w:w="895" w:type="dxa"/>
            <w:tcBorders>
              <w:top w:val="nil"/>
              <w:left w:val="nil"/>
              <w:bottom w:val="single" w:sz="8" w:space="0" w:color="auto"/>
              <w:right w:val="single" w:sz="8" w:space="0" w:color="auto"/>
            </w:tcBorders>
            <w:shd w:val="clear" w:color="auto" w:fill="auto"/>
            <w:noWrap/>
            <w:vAlign w:val="bottom"/>
            <w:hideMark/>
          </w:tcPr>
          <w:p w14:paraId="42E1B834" w14:textId="0B51FF9A"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1 417</w:t>
            </w:r>
          </w:p>
        </w:tc>
        <w:tc>
          <w:tcPr>
            <w:tcW w:w="1120" w:type="dxa"/>
            <w:tcBorders>
              <w:top w:val="nil"/>
              <w:left w:val="nil"/>
              <w:bottom w:val="single" w:sz="8" w:space="0" w:color="auto"/>
              <w:right w:val="single" w:sz="4" w:space="0" w:color="auto"/>
            </w:tcBorders>
            <w:shd w:val="clear" w:color="auto" w:fill="auto"/>
            <w:noWrap/>
            <w:vAlign w:val="bottom"/>
            <w:hideMark/>
          </w:tcPr>
          <w:p w14:paraId="68647BFA" w14:textId="1C331BA8"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824</w:t>
            </w:r>
          </w:p>
        </w:tc>
      </w:tr>
      <w:tr w:rsidR="00174BF6" w:rsidRPr="00174BF6" w14:paraId="55304AE3"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649567CA"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52BBA14D"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34" w:type="dxa"/>
            <w:tcBorders>
              <w:top w:val="nil"/>
              <w:left w:val="single" w:sz="8" w:space="0" w:color="auto"/>
              <w:bottom w:val="nil"/>
              <w:right w:val="single" w:sz="8" w:space="0" w:color="auto"/>
            </w:tcBorders>
            <w:shd w:val="clear" w:color="000000" w:fill="FFFFFF"/>
            <w:noWrap/>
            <w:vAlign w:val="bottom"/>
            <w:hideMark/>
          </w:tcPr>
          <w:p w14:paraId="0327D68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895" w:type="dxa"/>
            <w:tcBorders>
              <w:top w:val="nil"/>
              <w:left w:val="nil"/>
              <w:bottom w:val="nil"/>
              <w:right w:val="single" w:sz="8" w:space="0" w:color="auto"/>
            </w:tcBorders>
            <w:shd w:val="clear" w:color="auto" w:fill="auto"/>
            <w:noWrap/>
            <w:vAlign w:val="bottom"/>
            <w:hideMark/>
          </w:tcPr>
          <w:p w14:paraId="2A5E8EF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1120" w:type="dxa"/>
            <w:tcBorders>
              <w:top w:val="nil"/>
              <w:left w:val="nil"/>
              <w:bottom w:val="nil"/>
              <w:right w:val="single" w:sz="4" w:space="0" w:color="auto"/>
            </w:tcBorders>
            <w:shd w:val="clear" w:color="auto" w:fill="auto"/>
            <w:noWrap/>
            <w:vAlign w:val="bottom"/>
            <w:hideMark/>
          </w:tcPr>
          <w:p w14:paraId="089EF52C"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r>
      <w:tr w:rsidR="00174BF6" w:rsidRPr="00174BF6" w14:paraId="64449C86" w14:textId="77777777" w:rsidTr="00F87700">
        <w:trPr>
          <w:trHeight w:val="240"/>
        </w:trPr>
        <w:tc>
          <w:tcPr>
            <w:tcW w:w="1613" w:type="dxa"/>
            <w:tcBorders>
              <w:top w:val="nil"/>
              <w:left w:val="single" w:sz="8" w:space="0" w:color="auto"/>
              <w:bottom w:val="nil"/>
              <w:right w:val="single" w:sz="4" w:space="0" w:color="auto"/>
            </w:tcBorders>
            <w:shd w:val="clear" w:color="auto" w:fill="auto"/>
            <w:noWrap/>
            <w:vAlign w:val="bottom"/>
            <w:hideMark/>
          </w:tcPr>
          <w:p w14:paraId="38B5BF41"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Contribuciones</w:t>
            </w:r>
          </w:p>
        </w:tc>
        <w:tc>
          <w:tcPr>
            <w:tcW w:w="2918" w:type="dxa"/>
            <w:tcBorders>
              <w:top w:val="nil"/>
              <w:left w:val="nil"/>
              <w:bottom w:val="nil"/>
              <w:right w:val="nil"/>
            </w:tcBorders>
            <w:shd w:val="clear" w:color="auto" w:fill="auto"/>
            <w:noWrap/>
            <w:vAlign w:val="bottom"/>
            <w:hideMark/>
          </w:tcPr>
          <w:p w14:paraId="2F7703D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Comisión (11.º FED)</w:t>
            </w:r>
          </w:p>
        </w:tc>
        <w:tc>
          <w:tcPr>
            <w:tcW w:w="1134" w:type="dxa"/>
            <w:tcBorders>
              <w:top w:val="nil"/>
              <w:left w:val="single" w:sz="8" w:space="0" w:color="auto"/>
              <w:bottom w:val="nil"/>
              <w:right w:val="single" w:sz="8" w:space="0" w:color="auto"/>
            </w:tcBorders>
            <w:shd w:val="clear" w:color="000000" w:fill="FFFFFF"/>
            <w:noWrap/>
            <w:vAlign w:val="bottom"/>
            <w:hideMark/>
          </w:tcPr>
          <w:p w14:paraId="03DA55A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1 200</w:t>
            </w:r>
          </w:p>
        </w:tc>
        <w:tc>
          <w:tcPr>
            <w:tcW w:w="895" w:type="dxa"/>
            <w:tcBorders>
              <w:top w:val="nil"/>
              <w:left w:val="nil"/>
              <w:bottom w:val="nil"/>
              <w:right w:val="single" w:sz="8" w:space="0" w:color="auto"/>
            </w:tcBorders>
            <w:shd w:val="clear" w:color="auto" w:fill="auto"/>
            <w:noWrap/>
            <w:vAlign w:val="bottom"/>
            <w:hideMark/>
          </w:tcPr>
          <w:p w14:paraId="6A148A48"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800</w:t>
            </w:r>
          </w:p>
        </w:tc>
        <w:tc>
          <w:tcPr>
            <w:tcW w:w="1120" w:type="dxa"/>
            <w:tcBorders>
              <w:top w:val="nil"/>
              <w:left w:val="nil"/>
              <w:bottom w:val="nil"/>
              <w:right w:val="single" w:sz="4" w:space="0" w:color="auto"/>
            </w:tcBorders>
            <w:shd w:val="clear" w:color="auto" w:fill="auto"/>
            <w:noWrap/>
            <w:vAlign w:val="bottom"/>
            <w:hideMark/>
          </w:tcPr>
          <w:p w14:paraId="3109E936"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700</w:t>
            </w:r>
          </w:p>
        </w:tc>
      </w:tr>
      <w:tr w:rsidR="00174BF6" w:rsidRPr="00174BF6" w14:paraId="091E9630" w14:textId="77777777" w:rsidTr="00F87700">
        <w:trPr>
          <w:trHeight w:val="342"/>
        </w:trPr>
        <w:tc>
          <w:tcPr>
            <w:tcW w:w="1613" w:type="dxa"/>
            <w:tcBorders>
              <w:top w:val="nil"/>
              <w:left w:val="single" w:sz="8" w:space="0" w:color="auto"/>
              <w:bottom w:val="nil"/>
              <w:right w:val="single" w:sz="4" w:space="0" w:color="auto"/>
            </w:tcBorders>
            <w:shd w:val="clear" w:color="auto" w:fill="auto"/>
            <w:noWrap/>
            <w:vAlign w:val="bottom"/>
            <w:hideMark/>
          </w:tcPr>
          <w:p w14:paraId="3735ADB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nil"/>
              <w:right w:val="nil"/>
            </w:tcBorders>
            <w:shd w:val="clear" w:color="auto" w:fill="auto"/>
            <w:noWrap/>
            <w:vAlign w:val="bottom"/>
            <w:hideMark/>
          </w:tcPr>
          <w:p w14:paraId="215590E2"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BEI (11.º FED)**</w:t>
            </w:r>
          </w:p>
        </w:tc>
        <w:tc>
          <w:tcPr>
            <w:tcW w:w="1134" w:type="dxa"/>
            <w:tcBorders>
              <w:top w:val="nil"/>
              <w:left w:val="single" w:sz="8" w:space="0" w:color="auto"/>
              <w:bottom w:val="nil"/>
              <w:right w:val="single" w:sz="8" w:space="0" w:color="auto"/>
            </w:tcBorders>
            <w:shd w:val="clear" w:color="000000" w:fill="FFFFFF"/>
            <w:noWrap/>
            <w:vAlign w:val="bottom"/>
            <w:hideMark/>
          </w:tcPr>
          <w:p w14:paraId="6AA3F44F"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300</w:t>
            </w:r>
          </w:p>
        </w:tc>
        <w:tc>
          <w:tcPr>
            <w:tcW w:w="895" w:type="dxa"/>
            <w:tcBorders>
              <w:top w:val="nil"/>
              <w:left w:val="nil"/>
              <w:bottom w:val="nil"/>
              <w:right w:val="single" w:sz="8" w:space="0" w:color="auto"/>
            </w:tcBorders>
            <w:shd w:val="clear" w:color="auto" w:fill="auto"/>
            <w:noWrap/>
            <w:vAlign w:val="bottom"/>
            <w:hideMark/>
          </w:tcPr>
          <w:p w14:paraId="2EE05C1B"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9</w:t>
            </w:r>
          </w:p>
        </w:tc>
        <w:tc>
          <w:tcPr>
            <w:tcW w:w="1120" w:type="dxa"/>
            <w:tcBorders>
              <w:top w:val="nil"/>
              <w:left w:val="nil"/>
              <w:bottom w:val="nil"/>
              <w:right w:val="single" w:sz="4" w:space="0" w:color="auto"/>
            </w:tcBorders>
            <w:shd w:val="clear" w:color="auto" w:fill="auto"/>
            <w:noWrap/>
            <w:vAlign w:val="bottom"/>
            <w:hideMark/>
          </w:tcPr>
          <w:p w14:paraId="703A56BD"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tc>
      </w:tr>
      <w:tr w:rsidR="00174BF6" w:rsidRPr="00174BF6" w14:paraId="7E7FEED3" w14:textId="77777777" w:rsidTr="00F87700">
        <w:trPr>
          <w:trHeight w:val="330"/>
        </w:trPr>
        <w:tc>
          <w:tcPr>
            <w:tcW w:w="1613" w:type="dxa"/>
            <w:tcBorders>
              <w:top w:val="nil"/>
              <w:left w:val="single" w:sz="8" w:space="0" w:color="auto"/>
              <w:bottom w:val="single" w:sz="4" w:space="0" w:color="auto"/>
              <w:right w:val="single" w:sz="4" w:space="0" w:color="auto"/>
            </w:tcBorders>
            <w:shd w:val="clear" w:color="auto" w:fill="auto"/>
            <w:noWrap/>
            <w:vAlign w:val="bottom"/>
            <w:hideMark/>
          </w:tcPr>
          <w:p w14:paraId="757456EC"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2918" w:type="dxa"/>
            <w:tcBorders>
              <w:top w:val="nil"/>
              <w:left w:val="nil"/>
              <w:bottom w:val="single" w:sz="4" w:space="0" w:color="auto"/>
              <w:right w:val="nil"/>
            </w:tcBorders>
            <w:shd w:val="clear" w:color="auto" w:fill="auto"/>
            <w:noWrap/>
            <w:vAlign w:val="bottom"/>
            <w:hideMark/>
          </w:tcPr>
          <w:p w14:paraId="0B379160"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Total</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6DD0CA3E"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1 500</w:t>
            </w:r>
          </w:p>
        </w:tc>
        <w:tc>
          <w:tcPr>
            <w:tcW w:w="895" w:type="dxa"/>
            <w:tcBorders>
              <w:top w:val="nil"/>
              <w:left w:val="nil"/>
              <w:bottom w:val="single" w:sz="4" w:space="0" w:color="auto"/>
              <w:right w:val="single" w:sz="8" w:space="0" w:color="auto"/>
            </w:tcBorders>
            <w:shd w:val="clear" w:color="auto" w:fill="auto"/>
            <w:noWrap/>
            <w:vAlign w:val="bottom"/>
            <w:hideMark/>
          </w:tcPr>
          <w:p w14:paraId="7DEB997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809</w:t>
            </w:r>
          </w:p>
        </w:tc>
        <w:tc>
          <w:tcPr>
            <w:tcW w:w="1120" w:type="dxa"/>
            <w:tcBorders>
              <w:top w:val="nil"/>
              <w:left w:val="nil"/>
              <w:bottom w:val="single" w:sz="4" w:space="0" w:color="auto"/>
              <w:right w:val="single" w:sz="4" w:space="0" w:color="auto"/>
            </w:tcBorders>
            <w:shd w:val="clear" w:color="auto" w:fill="auto"/>
            <w:noWrap/>
            <w:vAlign w:val="bottom"/>
            <w:hideMark/>
          </w:tcPr>
          <w:p w14:paraId="526B6EA1"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700</w:t>
            </w:r>
          </w:p>
        </w:tc>
      </w:tr>
    </w:tbl>
    <w:p w14:paraId="1D3A9576" w14:textId="36708498" w:rsidR="009035E0" w:rsidRPr="005D582C" w:rsidRDefault="009035E0" w:rsidP="009035E0">
      <w:pPr>
        <w:pStyle w:val="Text1"/>
        <w:ind w:left="0"/>
        <w:rPr>
          <w:noProof/>
          <w:sz w:val="16"/>
          <w:szCs w:val="16"/>
        </w:rPr>
      </w:pPr>
      <w:r>
        <w:rPr>
          <w:noProof/>
          <w:sz w:val="16"/>
        </w:rPr>
        <w:t>* Importes brutos, esto es, sin deducir las liberaciones de créditos ni los cobros/reflujos. Este enfoque es coherente con el que se aplica para el presupuesto general de la Unión Europea.</w:t>
      </w:r>
    </w:p>
    <w:p w14:paraId="74C59D7C" w14:textId="18FE9F8C" w:rsidR="005E61CF" w:rsidRDefault="005E61CF" w:rsidP="005E61CF">
      <w:pPr>
        <w:pStyle w:val="Text1"/>
        <w:ind w:left="0"/>
        <w:rPr>
          <w:noProof/>
          <w:sz w:val="16"/>
          <w:szCs w:val="16"/>
        </w:rPr>
      </w:pPr>
      <w:r>
        <w:rPr>
          <w:noProof/>
          <w:sz w:val="16"/>
        </w:rPr>
        <w:t>** De acuerdo con las previsiones actuales, el BEI habrá solicitado la totalidad de su cuota del 11.º FED de aquí a finales de 2025.</w:t>
      </w:r>
    </w:p>
    <w:p w14:paraId="6B848D62" w14:textId="5C379375" w:rsidR="009035E0" w:rsidRDefault="009035E0" w:rsidP="009035E0">
      <w:pPr>
        <w:pStyle w:val="Text1"/>
        <w:ind w:left="0"/>
        <w:rPr>
          <w:noProof/>
          <w:sz w:val="16"/>
          <w:szCs w:val="16"/>
        </w:rPr>
      </w:pPr>
    </w:p>
    <w:p w14:paraId="227AAA4A" w14:textId="77777777" w:rsidR="005E61CF" w:rsidRDefault="005E61CF" w:rsidP="009035E0">
      <w:pPr>
        <w:pStyle w:val="Text1"/>
        <w:ind w:left="0"/>
        <w:rPr>
          <w:noProof/>
          <w:sz w:val="16"/>
          <w:szCs w:val="16"/>
        </w:rPr>
      </w:pPr>
    </w:p>
    <w:p w14:paraId="5730C74F" w14:textId="107AEDF8" w:rsidR="009035E0" w:rsidRDefault="009035E0" w:rsidP="000073F5">
      <w:pPr>
        <w:pStyle w:val="Heading1"/>
        <w:rPr>
          <w:noProof/>
        </w:rPr>
      </w:pPr>
      <w:r>
        <w:rPr>
          <w:noProof/>
        </w:rPr>
        <w:t xml:space="preserve">  Estimaciones no vinculantes de las contribuciones para el período 2027-2028 (en millones EUR)</w:t>
      </w:r>
    </w:p>
    <w:tbl>
      <w:tblPr>
        <w:tblW w:w="7650" w:type="dxa"/>
        <w:tblLook w:val="04A0" w:firstRow="1" w:lastRow="0" w:firstColumn="1" w:lastColumn="0" w:noHBand="0" w:noVBand="1"/>
      </w:tblPr>
      <w:tblGrid>
        <w:gridCol w:w="1683"/>
        <w:gridCol w:w="3136"/>
        <w:gridCol w:w="1276"/>
        <w:gridCol w:w="1701"/>
      </w:tblGrid>
      <w:tr w:rsidR="00174BF6" w:rsidRPr="00174BF6" w14:paraId="45F0C840" w14:textId="77777777" w:rsidTr="00174BF6">
        <w:trPr>
          <w:trHeight w:val="405"/>
        </w:trPr>
        <w:tc>
          <w:tcPr>
            <w:tcW w:w="467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22DA9B"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Previsiones para 2027-2028*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4295847"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12C922F" w14:textId="77777777" w:rsidR="00174BF6" w:rsidRPr="00174BF6" w:rsidRDefault="00174BF6" w:rsidP="00174BF6">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2028</w:t>
            </w:r>
          </w:p>
        </w:tc>
      </w:tr>
      <w:tr w:rsidR="00174BF6" w:rsidRPr="00174BF6" w14:paraId="6BCA1FE9" w14:textId="77777777" w:rsidTr="00174BF6">
        <w:trPr>
          <w:trHeight w:val="405"/>
        </w:trPr>
        <w:tc>
          <w:tcPr>
            <w:tcW w:w="1537" w:type="dxa"/>
            <w:tcBorders>
              <w:top w:val="nil"/>
              <w:left w:val="single" w:sz="8" w:space="0" w:color="auto"/>
              <w:bottom w:val="nil"/>
              <w:right w:val="single" w:sz="4" w:space="0" w:color="auto"/>
            </w:tcBorders>
            <w:shd w:val="clear" w:color="auto" w:fill="auto"/>
            <w:noWrap/>
            <w:vAlign w:val="bottom"/>
            <w:hideMark/>
          </w:tcPr>
          <w:p w14:paraId="413F1B69"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Contribuciones</w:t>
            </w:r>
          </w:p>
        </w:tc>
        <w:tc>
          <w:tcPr>
            <w:tcW w:w="3136" w:type="dxa"/>
            <w:tcBorders>
              <w:top w:val="nil"/>
              <w:left w:val="nil"/>
              <w:bottom w:val="nil"/>
              <w:right w:val="single" w:sz="4" w:space="0" w:color="auto"/>
            </w:tcBorders>
            <w:shd w:val="clear" w:color="auto" w:fill="auto"/>
            <w:noWrap/>
            <w:vAlign w:val="bottom"/>
            <w:hideMark/>
          </w:tcPr>
          <w:p w14:paraId="2D0B7505"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Comisión (11.º FED)</w:t>
            </w:r>
          </w:p>
        </w:tc>
        <w:tc>
          <w:tcPr>
            <w:tcW w:w="1276" w:type="dxa"/>
            <w:tcBorders>
              <w:top w:val="nil"/>
              <w:left w:val="nil"/>
              <w:bottom w:val="nil"/>
              <w:right w:val="single" w:sz="8" w:space="0" w:color="auto"/>
            </w:tcBorders>
            <w:shd w:val="clear" w:color="auto" w:fill="auto"/>
            <w:noWrap/>
            <w:vAlign w:val="bottom"/>
            <w:hideMark/>
          </w:tcPr>
          <w:p w14:paraId="2B950D8B" w14:textId="3D082B05" w:rsidR="00174BF6" w:rsidRPr="00174BF6" w:rsidRDefault="00047221"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460</w:t>
            </w:r>
          </w:p>
        </w:tc>
        <w:tc>
          <w:tcPr>
            <w:tcW w:w="1701" w:type="dxa"/>
            <w:tcBorders>
              <w:top w:val="nil"/>
              <w:left w:val="nil"/>
              <w:bottom w:val="nil"/>
              <w:right w:val="single" w:sz="8" w:space="0" w:color="auto"/>
            </w:tcBorders>
            <w:shd w:val="clear" w:color="auto" w:fill="auto"/>
            <w:noWrap/>
            <w:vAlign w:val="bottom"/>
            <w:hideMark/>
          </w:tcPr>
          <w:p w14:paraId="1035675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400</w:t>
            </w:r>
          </w:p>
        </w:tc>
      </w:tr>
      <w:tr w:rsidR="00174BF6" w:rsidRPr="00174BF6" w14:paraId="5FFA4FEC" w14:textId="77777777" w:rsidTr="00174BF6">
        <w:trPr>
          <w:trHeight w:val="390"/>
        </w:trPr>
        <w:tc>
          <w:tcPr>
            <w:tcW w:w="1537" w:type="dxa"/>
            <w:tcBorders>
              <w:top w:val="nil"/>
              <w:left w:val="single" w:sz="8" w:space="0" w:color="auto"/>
              <w:bottom w:val="nil"/>
              <w:right w:val="single" w:sz="4" w:space="0" w:color="auto"/>
            </w:tcBorders>
            <w:shd w:val="clear" w:color="auto" w:fill="auto"/>
            <w:noWrap/>
            <w:vAlign w:val="bottom"/>
            <w:hideMark/>
          </w:tcPr>
          <w:p w14:paraId="44372D66"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3136" w:type="dxa"/>
            <w:tcBorders>
              <w:top w:val="nil"/>
              <w:left w:val="nil"/>
              <w:bottom w:val="nil"/>
              <w:right w:val="single" w:sz="4" w:space="0" w:color="auto"/>
            </w:tcBorders>
            <w:shd w:val="clear" w:color="auto" w:fill="auto"/>
            <w:noWrap/>
            <w:vAlign w:val="bottom"/>
            <w:hideMark/>
          </w:tcPr>
          <w:p w14:paraId="13D5705C" w14:textId="6B9B9E3D"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BEI (11.º FED)**</w:t>
            </w:r>
          </w:p>
        </w:tc>
        <w:tc>
          <w:tcPr>
            <w:tcW w:w="1276" w:type="dxa"/>
            <w:tcBorders>
              <w:top w:val="nil"/>
              <w:left w:val="nil"/>
              <w:bottom w:val="nil"/>
              <w:right w:val="single" w:sz="8" w:space="0" w:color="auto"/>
            </w:tcBorders>
            <w:shd w:val="clear" w:color="auto" w:fill="auto"/>
            <w:noWrap/>
            <w:vAlign w:val="bottom"/>
            <w:hideMark/>
          </w:tcPr>
          <w:p w14:paraId="7E4425C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c>
          <w:tcPr>
            <w:tcW w:w="1701" w:type="dxa"/>
            <w:tcBorders>
              <w:top w:val="nil"/>
              <w:left w:val="nil"/>
              <w:bottom w:val="nil"/>
              <w:right w:val="single" w:sz="8" w:space="0" w:color="auto"/>
            </w:tcBorders>
            <w:shd w:val="clear" w:color="auto" w:fill="auto"/>
            <w:noWrap/>
            <w:vAlign w:val="bottom"/>
            <w:hideMark/>
          </w:tcPr>
          <w:p w14:paraId="176A3184"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0</w:t>
            </w:r>
          </w:p>
        </w:tc>
      </w:tr>
      <w:tr w:rsidR="00174BF6" w:rsidRPr="00174BF6" w14:paraId="75F7ED7B" w14:textId="77777777" w:rsidTr="00174BF6">
        <w:trPr>
          <w:trHeight w:val="345"/>
        </w:trPr>
        <w:tc>
          <w:tcPr>
            <w:tcW w:w="1537" w:type="dxa"/>
            <w:tcBorders>
              <w:top w:val="nil"/>
              <w:left w:val="single" w:sz="8" w:space="0" w:color="auto"/>
              <w:bottom w:val="single" w:sz="8" w:space="0" w:color="auto"/>
              <w:right w:val="single" w:sz="4" w:space="0" w:color="auto"/>
            </w:tcBorders>
            <w:shd w:val="clear" w:color="auto" w:fill="auto"/>
            <w:noWrap/>
            <w:vAlign w:val="bottom"/>
            <w:hideMark/>
          </w:tcPr>
          <w:p w14:paraId="20D8E8B4"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 </w:t>
            </w:r>
          </w:p>
        </w:tc>
        <w:tc>
          <w:tcPr>
            <w:tcW w:w="3136" w:type="dxa"/>
            <w:tcBorders>
              <w:top w:val="single" w:sz="4" w:space="0" w:color="auto"/>
              <w:left w:val="nil"/>
              <w:bottom w:val="single" w:sz="8" w:space="0" w:color="auto"/>
              <w:right w:val="single" w:sz="4" w:space="0" w:color="auto"/>
            </w:tcBorders>
            <w:shd w:val="clear" w:color="auto" w:fill="auto"/>
            <w:noWrap/>
            <w:vAlign w:val="bottom"/>
            <w:hideMark/>
          </w:tcPr>
          <w:p w14:paraId="3C63FE4F" w14:textId="77777777" w:rsidR="00174BF6" w:rsidRPr="00174BF6" w:rsidRDefault="00174BF6" w:rsidP="00174BF6">
            <w:pPr>
              <w:spacing w:after="0" w:line="240" w:lineRule="auto"/>
              <w:rPr>
                <w:rFonts w:ascii="Times New Roman" w:eastAsia="Times New Roman" w:hAnsi="Times New Roman" w:cs="Times New Roman"/>
                <w:noProof/>
                <w:color w:val="000000"/>
                <w:sz w:val="24"/>
                <w:szCs w:val="24"/>
              </w:rPr>
            </w:pPr>
            <w:r>
              <w:rPr>
                <w:rFonts w:ascii="Times New Roman" w:hAnsi="Times New Roman"/>
                <w:noProof/>
                <w:color w:val="000000"/>
                <w:sz w:val="24"/>
              </w:rPr>
              <w:t>Total</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14:paraId="631FEA06" w14:textId="1CCF43FD" w:rsidR="00174BF6" w:rsidRPr="00174BF6" w:rsidRDefault="00047221"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460</w:t>
            </w:r>
          </w:p>
        </w:tc>
        <w:tc>
          <w:tcPr>
            <w:tcW w:w="1701" w:type="dxa"/>
            <w:tcBorders>
              <w:top w:val="single" w:sz="4" w:space="0" w:color="auto"/>
              <w:left w:val="nil"/>
              <w:bottom w:val="single" w:sz="8" w:space="0" w:color="auto"/>
              <w:right w:val="single" w:sz="8" w:space="0" w:color="auto"/>
            </w:tcBorders>
            <w:shd w:val="clear" w:color="auto" w:fill="auto"/>
            <w:noWrap/>
            <w:vAlign w:val="bottom"/>
            <w:hideMark/>
          </w:tcPr>
          <w:p w14:paraId="5A61D367" w14:textId="77777777" w:rsidR="00174BF6" w:rsidRPr="00174BF6" w:rsidRDefault="00174BF6" w:rsidP="00174BF6">
            <w:pPr>
              <w:spacing w:after="0" w:line="240" w:lineRule="auto"/>
              <w:jc w:val="center"/>
              <w:rPr>
                <w:rFonts w:ascii="Times New Roman" w:eastAsia="Times New Roman" w:hAnsi="Times New Roman" w:cs="Times New Roman"/>
                <w:noProof/>
                <w:color w:val="000000"/>
                <w:sz w:val="24"/>
                <w:szCs w:val="24"/>
              </w:rPr>
            </w:pPr>
            <w:r>
              <w:rPr>
                <w:rFonts w:ascii="Times New Roman" w:hAnsi="Times New Roman"/>
                <w:noProof/>
                <w:color w:val="000000"/>
                <w:sz w:val="24"/>
              </w:rPr>
              <w:t>400</w:t>
            </w:r>
          </w:p>
        </w:tc>
      </w:tr>
    </w:tbl>
    <w:p w14:paraId="27108DCA" w14:textId="7B47E680" w:rsidR="009035E0" w:rsidRDefault="009035E0" w:rsidP="009035E0">
      <w:pPr>
        <w:pStyle w:val="Text1"/>
        <w:ind w:left="142"/>
        <w:rPr>
          <w:noProof/>
          <w:sz w:val="16"/>
          <w:szCs w:val="16"/>
        </w:rPr>
      </w:pPr>
      <w:r>
        <w:rPr>
          <w:noProof/>
          <w:sz w:val="16"/>
        </w:rPr>
        <w:t>* Artículo 19, apartado 2, del Reglamento Financiero del 11.º FED (UE 2018/1877): previsión indicativa y no vinculante, basada en un enfoque estadístico, de los importes anuales de las contribuciones previstos.</w:t>
      </w:r>
    </w:p>
    <w:p w14:paraId="5F04725E" w14:textId="77777777" w:rsidR="005661E2" w:rsidRDefault="005661E2" w:rsidP="005661E2">
      <w:pPr>
        <w:pStyle w:val="Text1"/>
        <w:ind w:left="0"/>
        <w:rPr>
          <w:noProof/>
          <w:sz w:val="16"/>
          <w:szCs w:val="16"/>
        </w:rPr>
      </w:pPr>
      <w:r>
        <w:rPr>
          <w:noProof/>
          <w:sz w:val="16"/>
        </w:rPr>
        <w:t>** De acuerdo con las previsiones actuales, el BEI habrá solicitado la totalidad de su cuota del 11.º FED de aquí a finales de 2025.</w:t>
      </w:r>
    </w:p>
    <w:p w14:paraId="3780B09E" w14:textId="77777777" w:rsidR="005661E2" w:rsidRDefault="005661E2" w:rsidP="009035E0">
      <w:pPr>
        <w:pStyle w:val="Text1"/>
        <w:ind w:left="142"/>
        <w:rPr>
          <w:noProof/>
          <w:sz w:val="16"/>
          <w:szCs w:val="16"/>
        </w:rPr>
      </w:pPr>
    </w:p>
    <w:p w14:paraId="72A8CB78" w14:textId="573042CB" w:rsidR="009035E0" w:rsidRDefault="009035E0" w:rsidP="009035E0">
      <w:pPr>
        <w:pStyle w:val="Heading1"/>
        <w:rPr>
          <w:noProof/>
        </w:rPr>
      </w:pPr>
      <w:r>
        <w:rPr>
          <w:noProof/>
          <w:sz w:val="16"/>
        </w:rPr>
        <w:t xml:space="preserve">  </w:t>
      </w:r>
      <w:r>
        <w:rPr>
          <w:noProof/>
        </w:rPr>
        <w:t>Ejecución financiera para 2024, previsiones para 2025 y 2026</w:t>
      </w:r>
      <w:r w:rsidR="00C9556F">
        <w:rPr>
          <w:rStyle w:val="FootnoteReference"/>
          <w:noProof/>
        </w:rPr>
        <w:footnoteReference w:id="3"/>
      </w:r>
    </w:p>
    <w:p w14:paraId="0E5B9F3F" w14:textId="63E0E8C1" w:rsidR="008F10FE" w:rsidRPr="00867793" w:rsidRDefault="008F10FE">
      <w:pPr>
        <w:pStyle w:val="Heading2"/>
        <w:numPr>
          <w:ilvl w:val="0"/>
          <w:numId w:val="0"/>
        </w:numPr>
        <w:rPr>
          <w:i/>
          <w:iCs/>
          <w:noProof/>
          <w:highlight w:val="yellow"/>
        </w:rPr>
      </w:pPr>
      <w:r>
        <w:rPr>
          <w:rStyle w:val="Strong"/>
          <w:b/>
          <w:i/>
          <w:noProof/>
        </w:rPr>
        <w:t>Ejecución</w:t>
      </w:r>
      <w:r>
        <w:rPr>
          <w:i/>
          <w:noProof/>
        </w:rPr>
        <w:t xml:space="preserve"> financiera para 2024</w:t>
      </w:r>
    </w:p>
    <w:p w14:paraId="5BE46A02" w14:textId="3FCB7BFD" w:rsidR="000D044E" w:rsidRDefault="00A81E2F" w:rsidP="000D044E">
      <w:pPr>
        <w:spacing w:after="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En 2024, los pagos brutos del FED ascendieron a un importe total de 1 405,47 millones EUR. Esto representa el 99,68 % del objetivo de 1 410 millones EUR que se había comunicado al Consejo.  En 2022, el Consejo decidió por unanimidad reutilizar 600 millones EUR procedentes de fondos liberados del 10.º y del 11.º FED para financiar acciones destinadas a atajar la crisis de seguridad alimentaria y la perturbación económica en los países ACP como consecuencia de la guerra de agresión de Rusia contra Ucrania</w:t>
      </w:r>
      <w:r w:rsidRPr="00396DF6">
        <w:rPr>
          <w:rFonts w:ascii="Times New Roman" w:hAnsi="Times New Roman" w:cs="Times New Roman"/>
          <w:noProof/>
          <w:color w:val="000000" w:themeColor="text1"/>
          <w:sz w:val="24"/>
          <w:szCs w:val="24"/>
          <w:vertAlign w:val="superscript"/>
        </w:rPr>
        <w:footnoteReference w:id="4"/>
      </w:r>
      <w:r>
        <w:rPr>
          <w:rFonts w:ascii="Times New Roman" w:hAnsi="Times New Roman"/>
          <w:noProof/>
          <w:color w:val="000000" w:themeColor="text1"/>
          <w:sz w:val="24"/>
        </w:rPr>
        <w:t>. La Comisión comprometió estos 600 millones EUR y desembolsó 392 millones EUR hasta 2024.</w:t>
      </w:r>
    </w:p>
    <w:p w14:paraId="4179F099" w14:textId="77777777" w:rsidR="000D044E" w:rsidRDefault="000D044E" w:rsidP="000D044E">
      <w:pPr>
        <w:spacing w:after="0" w:line="240" w:lineRule="auto"/>
        <w:jc w:val="both"/>
        <w:rPr>
          <w:rFonts w:ascii="Times New Roman" w:hAnsi="Times New Roman" w:cs="Times New Roman"/>
          <w:noProof/>
          <w:color w:val="000000" w:themeColor="text1"/>
          <w:sz w:val="24"/>
          <w:szCs w:val="24"/>
        </w:rPr>
      </w:pPr>
    </w:p>
    <w:p w14:paraId="3DEAC613" w14:textId="64C3AABD" w:rsidR="00AB3821" w:rsidRPr="000D044E" w:rsidRDefault="008F10FE" w:rsidP="000D044E">
      <w:pPr>
        <w:pStyle w:val="Heading2"/>
        <w:numPr>
          <w:ilvl w:val="0"/>
          <w:numId w:val="0"/>
        </w:numPr>
        <w:rPr>
          <w:i/>
          <w:iCs/>
          <w:noProof/>
        </w:rPr>
      </w:pPr>
      <w:r>
        <w:rPr>
          <w:i/>
          <w:noProof/>
        </w:rPr>
        <w:t>Previsiones para 2025 y 2026</w:t>
      </w:r>
    </w:p>
    <w:p w14:paraId="786019B1" w14:textId="26ECE4FE" w:rsidR="005B7C09" w:rsidRPr="00FE3A8E" w:rsidRDefault="005B7C09" w:rsidP="005B7C09">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En cuanto a la estimación de los </w:t>
      </w:r>
      <w:r>
        <w:rPr>
          <w:rFonts w:ascii="Times New Roman" w:hAnsi="Times New Roman"/>
          <w:b/>
          <w:noProof/>
          <w:sz w:val="24"/>
        </w:rPr>
        <w:t>pagos para 2025 y 2026</w:t>
      </w:r>
      <w:r>
        <w:rPr>
          <w:rFonts w:ascii="Times New Roman" w:hAnsi="Times New Roman"/>
          <w:noProof/>
          <w:sz w:val="24"/>
        </w:rPr>
        <w:t>, mantenemos las previsiones de 1 000 millones EUR y 750 millones EUR, respectivamente.</w:t>
      </w:r>
    </w:p>
    <w:p w14:paraId="5475798F" w14:textId="29D761CC" w:rsidR="005B7C09" w:rsidRPr="00C756B2" w:rsidRDefault="005B7C09" w:rsidP="005B7C09">
      <w:pPr>
        <w:spacing w:after="0" w:line="240" w:lineRule="auto"/>
        <w:rPr>
          <w:rFonts w:ascii="Times New Roman" w:eastAsia="Calibri" w:hAnsi="Times New Roman" w:cs="Times New Roman"/>
          <w:noProof/>
          <w:sz w:val="24"/>
          <w:szCs w:val="24"/>
        </w:rPr>
      </w:pPr>
    </w:p>
    <w:p w14:paraId="55CE5A26" w14:textId="5BF5451A" w:rsidR="0027214A" w:rsidRPr="00265E72" w:rsidRDefault="00265E72" w:rsidP="002C2813">
      <w:pPr>
        <w:spacing w:after="0" w:line="240" w:lineRule="auto"/>
        <w:jc w:val="both"/>
        <w:rPr>
          <w:rFonts w:ascii="Times New Roman" w:hAnsi="Times New Roman" w:cs="Times New Roman"/>
          <w:noProof/>
          <w:sz w:val="24"/>
          <w:szCs w:val="24"/>
        </w:rPr>
      </w:pPr>
      <w:r>
        <w:rPr>
          <w:rFonts w:ascii="Times New Roman" w:hAnsi="Times New Roman"/>
          <w:b/>
          <w:noProof/>
          <w:sz w:val="24"/>
        </w:rPr>
        <w:t>Las contribuciones anuales de las Partes del FED</w:t>
      </w:r>
      <w:r>
        <w:rPr>
          <w:rFonts w:ascii="Times New Roman" w:hAnsi="Times New Roman"/>
          <w:noProof/>
          <w:sz w:val="24"/>
        </w:rPr>
        <w:t xml:space="preserve"> se mantendrán fijas en 800 millones EUR para 2025 y 700 millones EUR para 2026, como se señala en la Comunicación de octubre de 2024.</w:t>
      </w:r>
    </w:p>
    <w:p w14:paraId="65C21CFB" w14:textId="77777777" w:rsidR="00265E72" w:rsidRPr="00C756B2" w:rsidRDefault="00265E72" w:rsidP="002C2813">
      <w:pPr>
        <w:spacing w:after="0" w:line="240" w:lineRule="auto"/>
        <w:jc w:val="both"/>
        <w:rPr>
          <w:rFonts w:ascii="Times New Roman" w:eastAsia="Calibri" w:hAnsi="Times New Roman" w:cs="Times New Roman"/>
          <w:b/>
          <w:noProof/>
          <w:sz w:val="24"/>
          <w:szCs w:val="24"/>
          <w:highlight w:val="yellow"/>
        </w:rPr>
      </w:pPr>
    </w:p>
    <w:p w14:paraId="598CDFE1" w14:textId="375FA0D6" w:rsidR="005223F5" w:rsidRPr="00DA729B" w:rsidRDefault="00DA729B" w:rsidP="00DA729B">
      <w:pPr>
        <w:spacing w:after="0"/>
        <w:rPr>
          <w:rFonts w:ascii="Times New Roman" w:hAnsi="Times New Roman" w:cs="Times New Roman"/>
          <w:noProof/>
          <w:sz w:val="24"/>
          <w:szCs w:val="24"/>
        </w:rPr>
      </w:pPr>
      <w:r>
        <w:rPr>
          <w:rFonts w:ascii="Times New Roman" w:hAnsi="Times New Roman"/>
          <w:noProof/>
          <w:sz w:val="24"/>
        </w:rPr>
        <w:t xml:space="preserve">Como consecuencia de ello, se espera que la </w:t>
      </w:r>
      <w:r>
        <w:rPr>
          <w:rFonts w:ascii="Times New Roman" w:hAnsi="Times New Roman"/>
          <w:b/>
          <w:noProof/>
          <w:sz w:val="24"/>
        </w:rPr>
        <w:t>tesorería del FED</w:t>
      </w:r>
      <w:r>
        <w:rPr>
          <w:rFonts w:ascii="Times New Roman" w:hAnsi="Times New Roman"/>
          <w:noProof/>
          <w:sz w:val="24"/>
        </w:rPr>
        <w:t xml:space="preserve"> se mantenga en un nivel satisfactorio y alcance un importe aproximado de 141 millones EUR a finales de 2026</w:t>
      </w:r>
      <w:r w:rsidR="00AB3821" w:rsidRPr="00DA729B">
        <w:rPr>
          <w:rStyle w:val="FootnoteReference"/>
          <w:rFonts w:ascii="Times New Roman" w:eastAsia="Calibri" w:hAnsi="Times New Roman" w:cs="Times New Roman"/>
          <w:noProof/>
          <w:sz w:val="24"/>
          <w:szCs w:val="24"/>
          <w:lang w:val="en-US"/>
        </w:rPr>
        <w:footnoteReference w:id="5"/>
      </w:r>
      <w:r>
        <w:rPr>
          <w:rFonts w:ascii="Times New Roman" w:hAnsi="Times New Roman"/>
          <w:noProof/>
          <w:sz w:val="24"/>
        </w:rPr>
        <w:t>.</w:t>
      </w:r>
    </w:p>
    <w:p w14:paraId="74314D4A" w14:textId="77777777" w:rsidR="005223F5" w:rsidRPr="00C756B2" w:rsidRDefault="005223F5" w:rsidP="002C2813">
      <w:pPr>
        <w:spacing w:after="0" w:line="240" w:lineRule="auto"/>
        <w:jc w:val="both"/>
        <w:rPr>
          <w:rFonts w:ascii="Times New Roman" w:eastAsia="Calibri" w:hAnsi="Times New Roman" w:cs="Times New Roman"/>
          <w:noProof/>
          <w:sz w:val="24"/>
          <w:szCs w:val="24"/>
          <w:highlight w:val="yellow"/>
        </w:rPr>
      </w:pPr>
    </w:p>
    <w:p w14:paraId="68B57FED" w14:textId="32A770E0" w:rsidR="002C2813" w:rsidRPr="00957322" w:rsidRDefault="002C2813" w:rsidP="002C2813">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En lo que se refiere a la </w:t>
      </w:r>
      <w:r>
        <w:rPr>
          <w:rFonts w:ascii="Times New Roman" w:hAnsi="Times New Roman"/>
          <w:b/>
          <w:noProof/>
          <w:sz w:val="24"/>
        </w:rPr>
        <w:t>reserva del 8.º y del 9.º FED</w:t>
      </w:r>
      <w:r>
        <w:rPr>
          <w:rFonts w:ascii="Times New Roman" w:hAnsi="Times New Roman"/>
          <w:noProof/>
          <w:sz w:val="24"/>
        </w:rPr>
        <w:t>, se han realizado hasta la fecha siete</w:t>
      </w:r>
      <w:r w:rsidR="005955C8" w:rsidRPr="00957322">
        <w:rPr>
          <w:rStyle w:val="FootnoteReference"/>
          <w:rFonts w:ascii="Times New Roman" w:eastAsia="Calibri" w:hAnsi="Times New Roman" w:cs="Times New Roman"/>
          <w:noProof/>
          <w:sz w:val="24"/>
          <w:szCs w:val="24"/>
          <w:lang w:val="en-US"/>
        </w:rPr>
        <w:footnoteReference w:id="6"/>
      </w:r>
      <w:r>
        <w:rPr>
          <w:rFonts w:ascii="Times New Roman" w:hAnsi="Times New Roman"/>
          <w:noProof/>
          <w:sz w:val="24"/>
        </w:rPr>
        <w:t xml:space="preserve"> reembolsos a los «Estados miembros de la EU-15» por un importe total de 1 925 millones EUR. El 8.º FED se cerró en 2021. La Comisión seguirá reembolsando los saldos remanentes del 9.º FED una vez al año hasta el cierre del 9.º FED y la restitución completa de los fondos no comprometidos o liberados.</w:t>
      </w:r>
    </w:p>
    <w:p w14:paraId="173F1D74" w14:textId="77777777" w:rsidR="002C2813" w:rsidRPr="00C756B2" w:rsidRDefault="002C2813" w:rsidP="002C2813">
      <w:pPr>
        <w:spacing w:after="0" w:line="240" w:lineRule="auto"/>
        <w:jc w:val="both"/>
        <w:rPr>
          <w:rFonts w:ascii="Times New Roman" w:eastAsia="Calibri" w:hAnsi="Times New Roman" w:cs="Times New Roman"/>
          <w:noProof/>
          <w:sz w:val="24"/>
          <w:szCs w:val="24"/>
          <w:highlight w:val="yellow"/>
        </w:rPr>
      </w:pPr>
    </w:p>
    <w:p w14:paraId="08E639DD" w14:textId="70DF7F48" w:rsidR="005B7C09" w:rsidRPr="005B7C09" w:rsidRDefault="002C2813" w:rsidP="005144C1">
      <w:pPr>
        <w:spacing w:after="0" w:line="240" w:lineRule="auto"/>
        <w:jc w:val="both"/>
        <w:rPr>
          <w:rFonts w:ascii="Times New Roman" w:eastAsia="Calibri" w:hAnsi="Times New Roman" w:cs="Times New Roman"/>
          <w:noProof/>
          <w:sz w:val="24"/>
          <w:szCs w:val="24"/>
        </w:rPr>
      </w:pPr>
      <w:bookmarkStart w:id="4" w:name="_Hlk193810964"/>
      <w:r>
        <w:rPr>
          <w:rFonts w:ascii="Times New Roman" w:hAnsi="Times New Roman"/>
          <w:noProof/>
          <w:sz w:val="24"/>
        </w:rPr>
        <w:t xml:space="preserve">En lo que se refiere a la </w:t>
      </w:r>
      <w:r>
        <w:rPr>
          <w:rFonts w:ascii="Times New Roman" w:hAnsi="Times New Roman"/>
          <w:b/>
          <w:noProof/>
          <w:sz w:val="24"/>
        </w:rPr>
        <w:t>reserva del 10.º y del 11.º FED</w:t>
      </w:r>
      <w:r>
        <w:rPr>
          <w:rFonts w:ascii="Times New Roman" w:hAnsi="Times New Roman"/>
          <w:noProof/>
          <w:sz w:val="24"/>
        </w:rPr>
        <w:t>, en marzo de 2023</w:t>
      </w:r>
      <w:bookmarkStart w:id="5" w:name="_Hlk193809701"/>
      <w:r>
        <w:rPr>
          <w:rFonts w:ascii="Times New Roman" w:hAnsi="Times New Roman"/>
          <w:noProof/>
          <w:sz w:val="24"/>
        </w:rPr>
        <w:t>, el Reino Unido solicitó formalmente a la Comisión el reembolso de su cuota pendiente de las reservas del 10.º y del 11.º FED mediante la compensación de sus contribuciones pendientes al FED. Esta solicitud se hizo en consonancia con el artículo 153 del Acuerdo de Retirada, que establece que la cuota del Reino Unido de las reservas del FED no puede reutilizarse. Hasta la fecha, se ha reembolsado al Reino Unido un importe total de 218 millones EUR</w:t>
      </w:r>
      <w:r w:rsidR="00913AA8" w:rsidRPr="0027214A">
        <w:rPr>
          <w:rFonts w:ascii="Times New Roman" w:eastAsia="Calibri" w:hAnsi="Times New Roman" w:cs="Times New Roman"/>
          <w:noProof/>
          <w:sz w:val="24"/>
          <w:szCs w:val="24"/>
          <w:vertAlign w:val="superscript"/>
          <w:lang w:val="en-US"/>
        </w:rPr>
        <w:footnoteReference w:id="7"/>
      </w:r>
      <w:r>
        <w:rPr>
          <w:rFonts w:ascii="Times New Roman" w:hAnsi="Times New Roman"/>
          <w:noProof/>
          <w:sz w:val="24"/>
        </w:rPr>
        <w:t xml:space="preserve"> (incluido el importe compensado con el primer tramo de 2025). Mantendremos una compensación periódica para los fondos que sigan liberándose en el futuro. </w:t>
      </w:r>
    </w:p>
    <w:bookmarkEnd w:id="4"/>
    <w:bookmarkEnd w:id="5"/>
    <w:p w14:paraId="3E280AF7" w14:textId="77777777" w:rsidR="008F10FE" w:rsidRPr="005144C1" w:rsidRDefault="008F10FE" w:rsidP="005144C1">
      <w:pPr>
        <w:pStyle w:val="Heading2"/>
        <w:numPr>
          <w:ilvl w:val="0"/>
          <w:numId w:val="0"/>
        </w:numPr>
        <w:ind w:left="850" w:hanging="850"/>
        <w:rPr>
          <w:i/>
          <w:iCs/>
          <w:noProof/>
        </w:rPr>
      </w:pPr>
      <w:r>
        <w:rPr>
          <w:i/>
          <w:noProof/>
        </w:rPr>
        <w:t>Archivos adjuntos</w:t>
      </w:r>
    </w:p>
    <w:p w14:paraId="7B07FF1A" w14:textId="353A3710"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 xml:space="preserve">Los anexos 1, 2 y 3 muestran los valores reales de 2024 y las previsiones de pagos para el período 2025-2026.La situación financiera de cada ejercicio se compara con las previsiones previamente comunicadas. </w:t>
      </w:r>
    </w:p>
    <w:p w14:paraId="7CD28B91" w14:textId="21E22540"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Los anexos 4 y 5 recogen, respectivamente, las contribuciones para 2025 y 2026 por tramo y Estado miembro y para el Reino Unido.</w:t>
      </w:r>
    </w:p>
    <w:p w14:paraId="34413515" w14:textId="0E8CDFD8"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El anexo 6 recoge las contribuciones anuales para el período 2025-2028 por Estado miembro y para el Reino Unido.</w:t>
      </w:r>
    </w:p>
    <w:p w14:paraId="449E46C3" w14:textId="7768CFB3" w:rsidR="00972ABE" w:rsidRPr="00AB3821" w:rsidRDefault="00972ABE" w:rsidP="00AB3821">
      <w:pPr>
        <w:rPr>
          <w:rFonts w:ascii="Times New Roman" w:hAnsi="Times New Roman" w:cs="Times New Roman"/>
          <w:noProof/>
          <w:sz w:val="24"/>
          <w:szCs w:val="24"/>
        </w:rPr>
      </w:pPr>
      <w:r>
        <w:rPr>
          <w:rFonts w:ascii="Times New Roman" w:hAnsi="Times New Roman"/>
          <w:noProof/>
          <w:sz w:val="24"/>
        </w:rPr>
        <w:t>El anexo 7 muestra la situación de las reservas liberadas para cada FED a fecha de 31.12.24.</w:t>
      </w:r>
    </w:p>
    <w:p w14:paraId="4B89A83D" w14:textId="2EDEEBED" w:rsidR="00972ABE" w:rsidRDefault="00972ABE" w:rsidP="00972ABE">
      <w:pPr>
        <w:rPr>
          <w:rFonts w:ascii="Times New Roman" w:hAnsi="Times New Roman" w:cs="Times New Roman"/>
          <w:noProof/>
          <w:color w:val="000000" w:themeColor="text1"/>
          <w:sz w:val="24"/>
          <w:szCs w:val="24"/>
        </w:rPr>
      </w:pPr>
    </w:p>
    <w:p w14:paraId="7EE51475" w14:textId="39625060" w:rsidR="002601C4" w:rsidRDefault="002601C4" w:rsidP="00972ABE">
      <w:pPr>
        <w:rPr>
          <w:rFonts w:ascii="Times New Roman" w:hAnsi="Times New Roman" w:cs="Times New Roman"/>
          <w:noProof/>
          <w:color w:val="000000" w:themeColor="text1"/>
          <w:sz w:val="24"/>
          <w:szCs w:val="24"/>
        </w:rPr>
      </w:pPr>
    </w:p>
    <w:p w14:paraId="282A6EDE" w14:textId="3A95996E" w:rsidR="002601C4" w:rsidRDefault="002601C4" w:rsidP="00972ABE">
      <w:pPr>
        <w:rPr>
          <w:rFonts w:ascii="Times New Roman" w:hAnsi="Times New Roman" w:cs="Times New Roman"/>
          <w:noProof/>
          <w:color w:val="000000" w:themeColor="text1"/>
          <w:sz w:val="24"/>
          <w:szCs w:val="24"/>
        </w:rPr>
      </w:pPr>
    </w:p>
    <w:p w14:paraId="413138B6" w14:textId="1859848C" w:rsidR="002601C4" w:rsidRDefault="002601C4" w:rsidP="00972ABE">
      <w:pPr>
        <w:rPr>
          <w:rFonts w:ascii="Times New Roman" w:hAnsi="Times New Roman" w:cs="Times New Roman"/>
          <w:noProof/>
          <w:color w:val="000000" w:themeColor="text1"/>
          <w:sz w:val="24"/>
          <w:szCs w:val="24"/>
        </w:rPr>
      </w:pPr>
    </w:p>
    <w:p w14:paraId="3D3EADF3" w14:textId="28A41ADF" w:rsidR="002601C4" w:rsidRDefault="002601C4" w:rsidP="00972ABE">
      <w:pPr>
        <w:rPr>
          <w:rFonts w:ascii="Times New Roman" w:hAnsi="Times New Roman" w:cs="Times New Roman"/>
          <w:noProof/>
          <w:color w:val="000000" w:themeColor="text1"/>
          <w:sz w:val="24"/>
          <w:szCs w:val="24"/>
        </w:rPr>
      </w:pPr>
    </w:p>
    <w:p w14:paraId="3AA79D73" w14:textId="4B5026B5" w:rsidR="002601C4" w:rsidRDefault="002601C4" w:rsidP="00972ABE">
      <w:pPr>
        <w:rPr>
          <w:rFonts w:ascii="Times New Roman" w:hAnsi="Times New Roman" w:cs="Times New Roman"/>
          <w:noProof/>
          <w:color w:val="000000" w:themeColor="text1"/>
          <w:sz w:val="24"/>
          <w:szCs w:val="24"/>
        </w:rPr>
      </w:pPr>
    </w:p>
    <w:p w14:paraId="5CE9D71A" w14:textId="11EDE920" w:rsidR="002601C4" w:rsidRDefault="002601C4" w:rsidP="00972ABE">
      <w:pPr>
        <w:rPr>
          <w:rFonts w:ascii="Times New Roman" w:hAnsi="Times New Roman" w:cs="Times New Roman"/>
          <w:noProof/>
          <w:color w:val="000000" w:themeColor="text1"/>
          <w:sz w:val="24"/>
          <w:szCs w:val="24"/>
        </w:rPr>
      </w:pPr>
    </w:p>
    <w:p w14:paraId="6F151A95" w14:textId="17A9BB8B" w:rsidR="002601C4" w:rsidRDefault="002601C4" w:rsidP="00972ABE">
      <w:pPr>
        <w:rPr>
          <w:rFonts w:ascii="Times New Roman" w:hAnsi="Times New Roman" w:cs="Times New Roman"/>
          <w:noProof/>
          <w:color w:val="000000" w:themeColor="text1"/>
          <w:sz w:val="24"/>
          <w:szCs w:val="24"/>
        </w:rPr>
      </w:pPr>
    </w:p>
    <w:p w14:paraId="658C8F3F" w14:textId="5C60563A" w:rsidR="002601C4" w:rsidRDefault="002601C4" w:rsidP="00972ABE">
      <w:pPr>
        <w:rPr>
          <w:rFonts w:ascii="Times New Roman" w:hAnsi="Times New Roman" w:cs="Times New Roman"/>
          <w:noProof/>
          <w:color w:val="000000" w:themeColor="text1"/>
          <w:sz w:val="24"/>
          <w:szCs w:val="24"/>
        </w:rPr>
      </w:pPr>
    </w:p>
    <w:p w14:paraId="76D8CFF3" w14:textId="76AE9828" w:rsidR="002601C4" w:rsidRDefault="002601C4" w:rsidP="00972ABE">
      <w:pPr>
        <w:rPr>
          <w:rFonts w:ascii="Times New Roman" w:hAnsi="Times New Roman" w:cs="Times New Roman"/>
          <w:noProof/>
          <w:color w:val="000000" w:themeColor="text1"/>
          <w:sz w:val="24"/>
          <w:szCs w:val="24"/>
        </w:rPr>
      </w:pPr>
    </w:p>
    <w:p w14:paraId="2310328A" w14:textId="3F6FA349" w:rsidR="002601C4" w:rsidRDefault="002601C4" w:rsidP="00972ABE">
      <w:pPr>
        <w:rPr>
          <w:rFonts w:ascii="Times New Roman" w:hAnsi="Times New Roman" w:cs="Times New Roman"/>
          <w:noProof/>
          <w:color w:val="000000" w:themeColor="text1"/>
          <w:sz w:val="24"/>
          <w:szCs w:val="24"/>
        </w:rPr>
      </w:pPr>
    </w:p>
    <w:p w14:paraId="38D8087A" w14:textId="52CA0BCF" w:rsidR="002601C4" w:rsidRDefault="002601C4" w:rsidP="00972ABE">
      <w:pPr>
        <w:rPr>
          <w:rFonts w:ascii="Times New Roman" w:hAnsi="Times New Roman" w:cs="Times New Roman"/>
          <w:noProof/>
          <w:color w:val="000000" w:themeColor="text1"/>
          <w:sz w:val="24"/>
          <w:szCs w:val="24"/>
        </w:rPr>
      </w:pPr>
    </w:p>
    <w:p w14:paraId="2C33D5B9" w14:textId="5B9AE5A9" w:rsidR="002601C4" w:rsidRDefault="002601C4" w:rsidP="00972ABE">
      <w:pPr>
        <w:rPr>
          <w:rFonts w:ascii="Times New Roman" w:hAnsi="Times New Roman" w:cs="Times New Roman"/>
          <w:noProof/>
          <w:color w:val="000000" w:themeColor="text1"/>
          <w:sz w:val="24"/>
          <w:szCs w:val="24"/>
        </w:rPr>
      </w:pPr>
    </w:p>
    <w:p w14:paraId="60695ADC" w14:textId="44CF9B4A" w:rsidR="002601C4" w:rsidRDefault="002601C4" w:rsidP="00972ABE">
      <w:pPr>
        <w:rPr>
          <w:rFonts w:ascii="Times New Roman" w:hAnsi="Times New Roman" w:cs="Times New Roman"/>
          <w:noProof/>
          <w:color w:val="000000" w:themeColor="text1"/>
          <w:sz w:val="24"/>
          <w:szCs w:val="24"/>
        </w:rPr>
      </w:pPr>
    </w:p>
    <w:p w14:paraId="6B8538E7" w14:textId="70E4D9A5" w:rsidR="002601C4" w:rsidRDefault="002601C4" w:rsidP="00972ABE">
      <w:pPr>
        <w:rPr>
          <w:rFonts w:ascii="Times New Roman" w:hAnsi="Times New Roman" w:cs="Times New Roman"/>
          <w:noProof/>
          <w:color w:val="000000" w:themeColor="text1"/>
          <w:sz w:val="24"/>
          <w:szCs w:val="24"/>
        </w:rPr>
      </w:pPr>
    </w:p>
    <w:p w14:paraId="519C11C6" w14:textId="77777777" w:rsidR="006B678C" w:rsidRDefault="006B678C" w:rsidP="009035E0">
      <w:pPr>
        <w:pStyle w:val="Heading2"/>
        <w:rPr>
          <w:noProof/>
        </w:rPr>
        <w:sectPr w:rsidR="006B678C" w:rsidSect="006B678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cols w:space="720"/>
          <w:docGrid w:linePitch="360"/>
        </w:sectPr>
      </w:pPr>
    </w:p>
    <w:p w14:paraId="1BEF354E" w14:textId="4AE3AF14" w:rsidR="009035E0" w:rsidRDefault="009035E0" w:rsidP="009035E0">
      <w:pPr>
        <w:pStyle w:val="Heading2"/>
        <w:rPr>
          <w:noProof/>
        </w:rPr>
      </w:pPr>
      <w:r>
        <w:rPr>
          <w:noProof/>
        </w:rPr>
        <w:t>Anexo 1: Compromisos reales</w:t>
      </w:r>
      <w:r w:rsidR="00967B74">
        <w:rPr>
          <w:rStyle w:val="FootnoteReference"/>
          <w:noProof/>
        </w:rPr>
        <w:footnoteReference w:id="8"/>
      </w:r>
      <w:r>
        <w:rPr>
          <w:noProof/>
        </w:rPr>
        <w:t xml:space="preserve"> para 2024 y previsiones para 2025-2026 (en millones EUR)</w:t>
      </w:r>
    </w:p>
    <w:tbl>
      <w:tblPr>
        <w:tblW w:w="13608" w:type="dxa"/>
        <w:tblLook w:val="04A0" w:firstRow="1" w:lastRow="0" w:firstColumn="1" w:lastColumn="0" w:noHBand="0" w:noVBand="1"/>
      </w:tblPr>
      <w:tblGrid>
        <w:gridCol w:w="3544"/>
        <w:gridCol w:w="1701"/>
        <w:gridCol w:w="1594"/>
        <w:gridCol w:w="1666"/>
        <w:gridCol w:w="1594"/>
        <w:gridCol w:w="1667"/>
        <w:gridCol w:w="1842"/>
      </w:tblGrid>
      <w:tr w:rsidR="00804505" w:rsidRPr="00804505" w14:paraId="1DD9CE0A" w14:textId="77777777" w:rsidTr="00B0150F">
        <w:trPr>
          <w:trHeight w:val="298"/>
        </w:trPr>
        <w:tc>
          <w:tcPr>
            <w:tcW w:w="3544" w:type="dxa"/>
            <w:tcBorders>
              <w:top w:val="nil"/>
              <w:left w:val="nil"/>
              <w:bottom w:val="nil"/>
              <w:right w:val="nil"/>
            </w:tcBorders>
            <w:shd w:val="clear" w:color="auto" w:fill="auto"/>
            <w:noWrap/>
            <w:vAlign w:val="bottom"/>
            <w:hideMark/>
          </w:tcPr>
          <w:p w14:paraId="6994FB22" w14:textId="77777777" w:rsidR="00804505" w:rsidRPr="00C756B2" w:rsidRDefault="00804505" w:rsidP="00804505">
            <w:pPr>
              <w:spacing w:after="0" w:line="240" w:lineRule="auto"/>
              <w:rPr>
                <w:rFonts w:ascii="Times New Roman" w:eastAsia="Times New Roman" w:hAnsi="Times New Roman" w:cs="Times New Roman"/>
                <w:noProof/>
                <w:sz w:val="24"/>
                <w:szCs w:val="24"/>
                <w:lang w:eastAsia="en-IE"/>
              </w:rPr>
            </w:pPr>
          </w:p>
        </w:tc>
        <w:tc>
          <w:tcPr>
            <w:tcW w:w="3295"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37328C3" w14:textId="77777777" w:rsidR="00804505" w:rsidRPr="00B0150F" w:rsidRDefault="00804505" w:rsidP="001A3720">
            <w:pPr>
              <w:spacing w:after="0"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2024</w:t>
            </w:r>
          </w:p>
        </w:tc>
        <w:tc>
          <w:tcPr>
            <w:tcW w:w="326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3EF7969" w14:textId="77777777" w:rsidR="00804505" w:rsidRPr="00B0150F" w:rsidRDefault="00804505" w:rsidP="001A3720">
            <w:pPr>
              <w:spacing w:after="0"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2025</w:t>
            </w:r>
          </w:p>
        </w:tc>
        <w:tc>
          <w:tcPr>
            <w:tcW w:w="350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511904D" w14:textId="77777777" w:rsidR="00804505" w:rsidRPr="00B0150F" w:rsidRDefault="00804505" w:rsidP="001A3720">
            <w:pPr>
              <w:spacing w:after="0"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2026</w:t>
            </w:r>
          </w:p>
        </w:tc>
      </w:tr>
      <w:tr w:rsidR="00804505" w:rsidRPr="00804505" w14:paraId="768C866A" w14:textId="77777777" w:rsidTr="00804505">
        <w:trPr>
          <w:trHeight w:val="510"/>
        </w:trPr>
        <w:tc>
          <w:tcPr>
            <w:tcW w:w="3544" w:type="dxa"/>
            <w:tcBorders>
              <w:top w:val="nil"/>
              <w:left w:val="nil"/>
              <w:bottom w:val="nil"/>
              <w:right w:val="nil"/>
            </w:tcBorders>
            <w:shd w:val="clear" w:color="auto" w:fill="auto"/>
            <w:noWrap/>
            <w:hideMark/>
          </w:tcPr>
          <w:p w14:paraId="47C216F8" w14:textId="77777777" w:rsidR="00804505" w:rsidRPr="00804505" w:rsidRDefault="00804505" w:rsidP="00804505">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701" w:type="dxa"/>
            <w:tcBorders>
              <w:top w:val="nil"/>
              <w:left w:val="single" w:sz="8" w:space="0" w:color="auto"/>
              <w:bottom w:val="single" w:sz="4" w:space="0" w:color="auto"/>
              <w:right w:val="single" w:sz="4" w:space="0" w:color="auto"/>
            </w:tcBorders>
            <w:shd w:val="clear" w:color="auto" w:fill="auto"/>
            <w:vAlign w:val="center"/>
            <w:hideMark/>
          </w:tcPr>
          <w:p w14:paraId="7BF810EA" w14:textId="77777777" w:rsidR="00804505" w:rsidRPr="00B0150F" w:rsidRDefault="00804505" w:rsidP="001A3720">
            <w:pPr>
              <w:spacing w:before="100" w:beforeAutospacing="1" w:after="100" w:afterAutospacing="1"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76ADE5A1" w14:textId="77777777" w:rsidR="00804505" w:rsidRPr="00B0150F" w:rsidRDefault="00804505" w:rsidP="001A3720">
            <w:pPr>
              <w:spacing w:before="100" w:beforeAutospacing="1" w:after="100" w:afterAutospacing="1"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c>
          <w:tcPr>
            <w:tcW w:w="1666" w:type="dxa"/>
            <w:tcBorders>
              <w:top w:val="nil"/>
              <w:left w:val="nil"/>
              <w:bottom w:val="single" w:sz="4" w:space="0" w:color="auto"/>
              <w:right w:val="single" w:sz="4" w:space="0" w:color="auto"/>
            </w:tcBorders>
            <w:shd w:val="clear" w:color="auto" w:fill="auto"/>
            <w:vAlign w:val="center"/>
            <w:hideMark/>
          </w:tcPr>
          <w:p w14:paraId="084F3ED0" w14:textId="77777777" w:rsidR="00804505" w:rsidRPr="00B0150F" w:rsidRDefault="00804505" w:rsidP="001A3720">
            <w:pPr>
              <w:spacing w:before="100" w:beforeAutospacing="1" w:after="100" w:afterAutospacing="1" w:line="240" w:lineRule="auto"/>
              <w:ind w:left="-57" w:right="-57"/>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Comunicación de octubre de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632965A3" w14:textId="77777777" w:rsidR="00804505" w:rsidRPr="00B0150F" w:rsidRDefault="00804505" w:rsidP="001A3720">
            <w:pPr>
              <w:spacing w:before="100" w:beforeAutospacing="1" w:after="100" w:afterAutospacing="1"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c>
          <w:tcPr>
            <w:tcW w:w="1667" w:type="dxa"/>
            <w:tcBorders>
              <w:top w:val="nil"/>
              <w:left w:val="nil"/>
              <w:bottom w:val="single" w:sz="4" w:space="0" w:color="auto"/>
              <w:right w:val="single" w:sz="4" w:space="0" w:color="auto"/>
            </w:tcBorders>
            <w:shd w:val="clear" w:color="auto" w:fill="auto"/>
            <w:vAlign w:val="center"/>
            <w:hideMark/>
          </w:tcPr>
          <w:p w14:paraId="462D0145" w14:textId="77777777" w:rsidR="00804505" w:rsidRPr="00B0150F" w:rsidRDefault="00804505" w:rsidP="001A3720">
            <w:pPr>
              <w:spacing w:before="100" w:beforeAutospacing="1" w:after="100" w:afterAutospacing="1" w:line="240" w:lineRule="auto"/>
              <w:ind w:left="-57" w:right="-57"/>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Comunicación de octubre de 2024</w:t>
            </w:r>
          </w:p>
        </w:tc>
        <w:tc>
          <w:tcPr>
            <w:tcW w:w="1842" w:type="dxa"/>
            <w:tcBorders>
              <w:top w:val="nil"/>
              <w:left w:val="nil"/>
              <w:bottom w:val="single" w:sz="4" w:space="0" w:color="auto"/>
              <w:right w:val="single" w:sz="8" w:space="0" w:color="auto"/>
            </w:tcBorders>
            <w:shd w:val="clear" w:color="auto" w:fill="BFBFBF" w:themeFill="background1" w:themeFillShade="BF"/>
            <w:vAlign w:val="center"/>
            <w:hideMark/>
          </w:tcPr>
          <w:p w14:paraId="479692DA" w14:textId="77777777" w:rsidR="00804505" w:rsidRPr="00B0150F" w:rsidRDefault="00804505" w:rsidP="001A3720">
            <w:pPr>
              <w:spacing w:before="100" w:beforeAutospacing="1" w:after="100" w:afterAutospacing="1" w:line="240" w:lineRule="auto"/>
              <w:ind w:left="-57" w:right="-57"/>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r>
      <w:tr w:rsidR="00804505" w:rsidRPr="00804505" w14:paraId="6F9AD67C" w14:textId="77777777" w:rsidTr="00804505">
        <w:trPr>
          <w:trHeight w:val="255"/>
        </w:trPr>
        <w:tc>
          <w:tcPr>
            <w:tcW w:w="3544" w:type="dxa"/>
            <w:tcBorders>
              <w:top w:val="single" w:sz="4" w:space="0" w:color="auto"/>
              <w:left w:val="single" w:sz="4" w:space="0" w:color="auto"/>
              <w:bottom w:val="nil"/>
              <w:right w:val="nil"/>
            </w:tcBorders>
            <w:shd w:val="clear" w:color="auto" w:fill="auto"/>
            <w:noWrap/>
            <w:vAlign w:val="center"/>
            <w:hideMark/>
          </w:tcPr>
          <w:p w14:paraId="080D8CD1" w14:textId="77777777" w:rsidR="00804505" w:rsidRPr="00B0150F" w:rsidRDefault="00804505" w:rsidP="00804505">
            <w:pPr>
              <w:spacing w:after="0" w:line="240" w:lineRule="auto"/>
              <w:ind w:firstLineChars="100" w:firstLine="190"/>
              <w:rPr>
                <w:rFonts w:ascii="Times New Roman" w:eastAsia="Times New Roman" w:hAnsi="Times New Roman" w:cs="Times New Roman"/>
                <w:noProof/>
                <w:sz w:val="19"/>
                <w:szCs w:val="19"/>
              </w:rPr>
            </w:pPr>
            <w:r w:rsidRPr="00B0150F">
              <w:rPr>
                <w:rFonts w:ascii="Times New Roman" w:hAnsi="Times New Roman"/>
                <w:noProof/>
                <w:sz w:val="19"/>
                <w:szCs w:val="19"/>
              </w:rPr>
              <w:t>Regiones</w:t>
            </w:r>
          </w:p>
        </w:tc>
        <w:tc>
          <w:tcPr>
            <w:tcW w:w="1701" w:type="dxa"/>
            <w:tcBorders>
              <w:top w:val="nil"/>
              <w:left w:val="single" w:sz="8" w:space="0" w:color="auto"/>
              <w:bottom w:val="nil"/>
              <w:right w:val="single" w:sz="4" w:space="0" w:color="auto"/>
            </w:tcBorders>
            <w:shd w:val="clear" w:color="auto" w:fill="auto"/>
            <w:noWrap/>
            <w:vAlign w:val="bottom"/>
            <w:hideMark/>
          </w:tcPr>
          <w:p w14:paraId="0ADFEE98"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BD0E75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28475E81"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5013E4C"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2BBFD5BC"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97744E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392DE095" w14:textId="77777777" w:rsidTr="00804505">
        <w:trPr>
          <w:trHeight w:val="255"/>
        </w:trPr>
        <w:tc>
          <w:tcPr>
            <w:tcW w:w="3544" w:type="dxa"/>
            <w:tcBorders>
              <w:top w:val="nil"/>
              <w:left w:val="single" w:sz="4" w:space="0" w:color="auto"/>
              <w:bottom w:val="nil"/>
              <w:right w:val="nil"/>
            </w:tcBorders>
            <w:shd w:val="clear" w:color="000000" w:fill="FFFFFF"/>
            <w:noWrap/>
            <w:vAlign w:val="center"/>
            <w:hideMark/>
          </w:tcPr>
          <w:p w14:paraId="22235666"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África Oriental y Central</w:t>
            </w:r>
          </w:p>
        </w:tc>
        <w:tc>
          <w:tcPr>
            <w:tcW w:w="1701" w:type="dxa"/>
            <w:tcBorders>
              <w:top w:val="nil"/>
              <w:left w:val="single" w:sz="8" w:space="0" w:color="auto"/>
              <w:bottom w:val="nil"/>
              <w:right w:val="single" w:sz="4" w:space="0" w:color="auto"/>
            </w:tcBorders>
            <w:shd w:val="clear" w:color="auto" w:fill="auto"/>
            <w:noWrap/>
            <w:vAlign w:val="bottom"/>
            <w:hideMark/>
          </w:tcPr>
          <w:p w14:paraId="40B64A91"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2C576967"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30736E42"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759ABA6"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261AD8B2"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EF7F2E3"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3A9810E6" w14:textId="77777777" w:rsidTr="00804505">
        <w:trPr>
          <w:trHeight w:val="255"/>
        </w:trPr>
        <w:tc>
          <w:tcPr>
            <w:tcW w:w="3544" w:type="dxa"/>
            <w:tcBorders>
              <w:top w:val="nil"/>
              <w:left w:val="single" w:sz="4" w:space="0" w:color="auto"/>
              <w:bottom w:val="nil"/>
              <w:right w:val="nil"/>
            </w:tcBorders>
            <w:shd w:val="clear" w:color="000000" w:fill="FFFFFF"/>
            <w:noWrap/>
            <w:vAlign w:val="center"/>
            <w:hideMark/>
          </w:tcPr>
          <w:p w14:paraId="300D802F"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África Occidental y Meridional</w:t>
            </w:r>
          </w:p>
        </w:tc>
        <w:tc>
          <w:tcPr>
            <w:tcW w:w="1701" w:type="dxa"/>
            <w:tcBorders>
              <w:top w:val="nil"/>
              <w:left w:val="single" w:sz="8" w:space="0" w:color="auto"/>
              <w:bottom w:val="nil"/>
              <w:right w:val="single" w:sz="4" w:space="0" w:color="auto"/>
            </w:tcBorders>
            <w:shd w:val="clear" w:color="auto" w:fill="auto"/>
            <w:noWrap/>
            <w:vAlign w:val="bottom"/>
            <w:hideMark/>
          </w:tcPr>
          <w:p w14:paraId="10FB4C91"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13B500B7"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21E91C23"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6E93246"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3B3A6CD0"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4B6D490B"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07596A47"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6CD2297"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Caribe</w:t>
            </w:r>
          </w:p>
        </w:tc>
        <w:tc>
          <w:tcPr>
            <w:tcW w:w="1701" w:type="dxa"/>
            <w:tcBorders>
              <w:top w:val="nil"/>
              <w:left w:val="single" w:sz="8" w:space="0" w:color="auto"/>
              <w:bottom w:val="nil"/>
              <w:right w:val="single" w:sz="4" w:space="0" w:color="auto"/>
            </w:tcBorders>
            <w:shd w:val="clear" w:color="auto" w:fill="auto"/>
            <w:noWrap/>
            <w:vAlign w:val="bottom"/>
            <w:hideMark/>
          </w:tcPr>
          <w:p w14:paraId="36B4EF4C"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4CF493"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614F8D8F"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3F67ED7"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626CDA6A"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5040C52"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562F6C71"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0C4EDA05"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Océano Pacífico</w:t>
            </w:r>
          </w:p>
        </w:tc>
        <w:tc>
          <w:tcPr>
            <w:tcW w:w="1701" w:type="dxa"/>
            <w:tcBorders>
              <w:top w:val="nil"/>
              <w:left w:val="single" w:sz="8" w:space="0" w:color="auto"/>
              <w:bottom w:val="nil"/>
              <w:right w:val="single" w:sz="4" w:space="0" w:color="auto"/>
            </w:tcBorders>
            <w:shd w:val="clear" w:color="auto" w:fill="auto"/>
            <w:noWrap/>
            <w:vAlign w:val="bottom"/>
            <w:hideMark/>
          </w:tcPr>
          <w:p w14:paraId="480EBC72"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86037F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1E4F83FA"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B86DCDE"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2FD422B1"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843A575"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40CDA51B"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4601D77" w14:textId="77777777" w:rsidR="00804505" w:rsidRPr="00B0150F" w:rsidRDefault="00804505" w:rsidP="00804505">
            <w:pPr>
              <w:spacing w:after="0" w:line="240" w:lineRule="auto"/>
              <w:ind w:firstLineChars="200" w:firstLine="380"/>
              <w:rPr>
                <w:rFonts w:ascii="Times New Roman" w:eastAsia="Times New Roman" w:hAnsi="Times New Roman" w:cs="Times New Roman"/>
                <w:b/>
                <w:bCs/>
                <w:noProof/>
                <w:sz w:val="19"/>
                <w:szCs w:val="19"/>
              </w:rPr>
            </w:pPr>
            <w:r w:rsidRPr="00B0150F">
              <w:rPr>
                <w:rFonts w:ascii="Times New Roman" w:hAnsi="Times New Roman"/>
                <w:b/>
                <w:noProof/>
                <w:sz w:val="19"/>
                <w:szCs w:val="19"/>
              </w:rPr>
              <w:t>Subtotal</w:t>
            </w:r>
          </w:p>
        </w:tc>
        <w:tc>
          <w:tcPr>
            <w:tcW w:w="1701" w:type="dxa"/>
            <w:tcBorders>
              <w:top w:val="nil"/>
              <w:left w:val="single" w:sz="8" w:space="0" w:color="auto"/>
              <w:bottom w:val="nil"/>
              <w:right w:val="single" w:sz="4" w:space="0" w:color="auto"/>
            </w:tcBorders>
            <w:shd w:val="clear" w:color="auto" w:fill="auto"/>
            <w:noWrap/>
            <w:vAlign w:val="bottom"/>
            <w:hideMark/>
          </w:tcPr>
          <w:p w14:paraId="26574615"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D28642C"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1197F64E"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DD0CDCE"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1E74058B"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40577B1"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r>
      <w:tr w:rsidR="00804505" w:rsidRPr="00804505" w14:paraId="3D3F976E"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2C43D48D" w14:textId="77777777" w:rsidR="00804505" w:rsidRPr="00B0150F" w:rsidRDefault="00804505" w:rsidP="00804505">
            <w:pPr>
              <w:spacing w:after="0" w:line="240" w:lineRule="auto"/>
              <w:ind w:firstLineChars="100" w:firstLine="190"/>
              <w:rPr>
                <w:rFonts w:ascii="Times New Roman" w:eastAsia="Times New Roman" w:hAnsi="Times New Roman" w:cs="Times New Roman"/>
                <w:noProof/>
                <w:sz w:val="19"/>
                <w:szCs w:val="19"/>
              </w:rPr>
            </w:pPr>
            <w:r w:rsidRPr="00B0150F">
              <w:rPr>
                <w:rFonts w:ascii="Times New Roman" w:hAnsi="Times New Roman"/>
                <w:noProof/>
                <w:sz w:val="19"/>
                <w:szCs w:val="19"/>
              </w:rPr>
              <w:t>Otros</w:t>
            </w:r>
          </w:p>
        </w:tc>
        <w:tc>
          <w:tcPr>
            <w:tcW w:w="1701" w:type="dxa"/>
            <w:tcBorders>
              <w:top w:val="nil"/>
              <w:left w:val="single" w:sz="8" w:space="0" w:color="auto"/>
              <w:bottom w:val="nil"/>
              <w:right w:val="single" w:sz="4" w:space="0" w:color="auto"/>
            </w:tcBorders>
            <w:shd w:val="clear" w:color="auto" w:fill="auto"/>
            <w:noWrap/>
            <w:vAlign w:val="bottom"/>
            <w:hideMark/>
          </w:tcPr>
          <w:p w14:paraId="413DF399"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0B70E46"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09AB572B"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D3BC7E5"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49704ECE"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748C1647"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75DEC465" w14:textId="77777777" w:rsidTr="00804505">
        <w:trPr>
          <w:trHeight w:val="255"/>
        </w:trPr>
        <w:tc>
          <w:tcPr>
            <w:tcW w:w="3544" w:type="dxa"/>
            <w:tcBorders>
              <w:top w:val="nil"/>
              <w:left w:val="single" w:sz="8" w:space="0" w:color="auto"/>
              <w:bottom w:val="nil"/>
              <w:right w:val="nil"/>
            </w:tcBorders>
            <w:shd w:val="clear" w:color="auto" w:fill="auto"/>
            <w:noWrap/>
            <w:vAlign w:val="center"/>
            <w:hideMark/>
          </w:tcPr>
          <w:p w14:paraId="4BA137B1"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 xml:space="preserve">Medidas especiales para la seguridad alimentaria </w:t>
            </w:r>
          </w:p>
        </w:tc>
        <w:tc>
          <w:tcPr>
            <w:tcW w:w="1701" w:type="dxa"/>
            <w:tcBorders>
              <w:top w:val="nil"/>
              <w:left w:val="single" w:sz="8" w:space="0" w:color="auto"/>
              <w:bottom w:val="nil"/>
              <w:right w:val="single" w:sz="4" w:space="0" w:color="auto"/>
            </w:tcBorders>
            <w:shd w:val="clear" w:color="auto" w:fill="auto"/>
            <w:noWrap/>
            <w:vAlign w:val="bottom"/>
            <w:hideMark/>
          </w:tcPr>
          <w:p w14:paraId="02E26E40"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3AC44C6"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42D72A43"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37D1E03"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01F5327C"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369E66E9"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r>
      <w:tr w:rsidR="00804505" w:rsidRPr="00804505" w14:paraId="24F064DF"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7E216008"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Desarrollo humano, derechos humanos</w:t>
            </w:r>
          </w:p>
        </w:tc>
        <w:tc>
          <w:tcPr>
            <w:tcW w:w="1701" w:type="dxa"/>
            <w:tcBorders>
              <w:top w:val="nil"/>
              <w:left w:val="single" w:sz="8" w:space="0" w:color="auto"/>
              <w:bottom w:val="nil"/>
              <w:right w:val="single" w:sz="4" w:space="0" w:color="auto"/>
            </w:tcBorders>
            <w:shd w:val="clear" w:color="auto" w:fill="auto"/>
            <w:noWrap/>
            <w:vAlign w:val="bottom"/>
            <w:hideMark/>
          </w:tcPr>
          <w:p w14:paraId="616E1129"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952E48"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341D5893"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4DBBFC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5D589D2A"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2B9241BB"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1B911B04"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355A92DC"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UE-África, Fondo de Apoyo a la Paz para África</w:t>
            </w:r>
          </w:p>
        </w:tc>
        <w:tc>
          <w:tcPr>
            <w:tcW w:w="1701" w:type="dxa"/>
            <w:tcBorders>
              <w:top w:val="nil"/>
              <w:left w:val="single" w:sz="8" w:space="0" w:color="auto"/>
              <w:bottom w:val="nil"/>
              <w:right w:val="single" w:sz="4" w:space="0" w:color="auto"/>
            </w:tcBorders>
            <w:shd w:val="clear" w:color="auto" w:fill="auto"/>
            <w:noWrap/>
            <w:vAlign w:val="bottom"/>
            <w:hideMark/>
          </w:tcPr>
          <w:p w14:paraId="6EC0BF36"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3746AC8"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543177B6"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8CA611B"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56FBF012"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1A35C346"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3F1D63C7" w14:textId="77777777" w:rsidTr="00804505">
        <w:trPr>
          <w:trHeight w:val="255"/>
        </w:trPr>
        <w:tc>
          <w:tcPr>
            <w:tcW w:w="3544" w:type="dxa"/>
            <w:tcBorders>
              <w:top w:val="nil"/>
              <w:left w:val="single" w:sz="4" w:space="0" w:color="auto"/>
              <w:bottom w:val="nil"/>
              <w:right w:val="nil"/>
            </w:tcBorders>
            <w:shd w:val="clear" w:color="000000" w:fill="FFFFFF"/>
            <w:noWrap/>
            <w:vAlign w:val="bottom"/>
            <w:hideMark/>
          </w:tcPr>
          <w:p w14:paraId="28C61FFA"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FFUE para África</w:t>
            </w:r>
          </w:p>
        </w:tc>
        <w:tc>
          <w:tcPr>
            <w:tcW w:w="1701" w:type="dxa"/>
            <w:tcBorders>
              <w:top w:val="nil"/>
              <w:left w:val="single" w:sz="8" w:space="0" w:color="auto"/>
              <w:bottom w:val="nil"/>
              <w:right w:val="single" w:sz="4" w:space="0" w:color="auto"/>
            </w:tcBorders>
            <w:shd w:val="clear" w:color="auto" w:fill="auto"/>
            <w:noWrap/>
            <w:vAlign w:val="bottom"/>
            <w:hideMark/>
          </w:tcPr>
          <w:p w14:paraId="53C58426"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B6B86D6"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4720A233"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49FB4BEE"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489CB54A"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3EE3AAD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57284FA3"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65899E2F"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Planeta y prosperidad</w:t>
            </w:r>
          </w:p>
        </w:tc>
        <w:tc>
          <w:tcPr>
            <w:tcW w:w="1701" w:type="dxa"/>
            <w:tcBorders>
              <w:top w:val="nil"/>
              <w:left w:val="single" w:sz="8" w:space="0" w:color="auto"/>
              <w:bottom w:val="nil"/>
              <w:right w:val="single" w:sz="4" w:space="0" w:color="auto"/>
            </w:tcBorders>
            <w:shd w:val="clear" w:color="auto" w:fill="auto"/>
            <w:noWrap/>
            <w:vAlign w:val="bottom"/>
            <w:hideMark/>
          </w:tcPr>
          <w:p w14:paraId="6B86698E"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1E8C6FCA"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0CA94DF6"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562084F9"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389A1D8C"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B6C5C9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804505" w14:paraId="662B5E61"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4084110F"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Recursos, evaluación, proceso</w:t>
            </w:r>
          </w:p>
        </w:tc>
        <w:tc>
          <w:tcPr>
            <w:tcW w:w="1701" w:type="dxa"/>
            <w:tcBorders>
              <w:top w:val="nil"/>
              <w:left w:val="single" w:sz="8" w:space="0" w:color="auto"/>
              <w:bottom w:val="nil"/>
              <w:right w:val="single" w:sz="4" w:space="0" w:color="auto"/>
            </w:tcBorders>
            <w:shd w:val="clear" w:color="auto" w:fill="auto"/>
            <w:noWrap/>
            <w:vAlign w:val="bottom"/>
            <w:hideMark/>
          </w:tcPr>
          <w:p w14:paraId="258F350F"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1F3344E"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6" w:type="dxa"/>
            <w:tcBorders>
              <w:top w:val="nil"/>
              <w:left w:val="nil"/>
              <w:bottom w:val="nil"/>
              <w:right w:val="single" w:sz="4" w:space="0" w:color="auto"/>
            </w:tcBorders>
            <w:shd w:val="clear" w:color="auto" w:fill="auto"/>
            <w:noWrap/>
            <w:vAlign w:val="bottom"/>
            <w:hideMark/>
          </w:tcPr>
          <w:p w14:paraId="6A2A3C1F"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71515C69"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667" w:type="dxa"/>
            <w:tcBorders>
              <w:top w:val="nil"/>
              <w:left w:val="nil"/>
              <w:bottom w:val="nil"/>
              <w:right w:val="single" w:sz="4" w:space="0" w:color="auto"/>
            </w:tcBorders>
            <w:shd w:val="clear" w:color="auto" w:fill="auto"/>
            <w:noWrap/>
            <w:vAlign w:val="bottom"/>
            <w:hideMark/>
          </w:tcPr>
          <w:p w14:paraId="59530F3F"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627CBB54"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804505" w:rsidRPr="001A3720" w14:paraId="36B1D949" w14:textId="77777777" w:rsidTr="00804505">
        <w:trPr>
          <w:trHeight w:val="255"/>
        </w:trPr>
        <w:tc>
          <w:tcPr>
            <w:tcW w:w="3544" w:type="dxa"/>
            <w:tcBorders>
              <w:top w:val="nil"/>
              <w:left w:val="single" w:sz="4" w:space="0" w:color="auto"/>
              <w:bottom w:val="nil"/>
              <w:right w:val="nil"/>
            </w:tcBorders>
            <w:shd w:val="clear" w:color="auto" w:fill="auto"/>
            <w:noWrap/>
            <w:vAlign w:val="bottom"/>
            <w:hideMark/>
          </w:tcPr>
          <w:p w14:paraId="28D0996A" w14:textId="77777777" w:rsidR="00804505" w:rsidRPr="00B0150F" w:rsidRDefault="00804505" w:rsidP="00804505">
            <w:pPr>
              <w:spacing w:after="0" w:line="240" w:lineRule="auto"/>
              <w:ind w:firstLineChars="200" w:firstLine="380"/>
              <w:rPr>
                <w:rFonts w:ascii="Times New Roman" w:eastAsia="Times New Roman" w:hAnsi="Times New Roman" w:cs="Times New Roman"/>
                <w:noProof/>
                <w:sz w:val="19"/>
                <w:szCs w:val="19"/>
                <w:lang w:val="en-IE"/>
              </w:rPr>
            </w:pPr>
            <w:r w:rsidRPr="00B0150F">
              <w:rPr>
                <w:rFonts w:ascii="Times New Roman" w:hAnsi="Times New Roman"/>
                <w:noProof/>
                <w:sz w:val="19"/>
                <w:szCs w:val="19"/>
                <w:lang w:val="en-IE"/>
              </w:rPr>
              <w:t>DG ECHO, EACEA, DG EAC</w:t>
            </w:r>
          </w:p>
        </w:tc>
        <w:tc>
          <w:tcPr>
            <w:tcW w:w="1701" w:type="dxa"/>
            <w:tcBorders>
              <w:top w:val="nil"/>
              <w:left w:val="single" w:sz="8" w:space="0" w:color="auto"/>
              <w:bottom w:val="nil"/>
              <w:right w:val="single" w:sz="4" w:space="0" w:color="auto"/>
            </w:tcBorders>
            <w:shd w:val="clear" w:color="auto" w:fill="auto"/>
            <w:noWrap/>
            <w:vAlign w:val="bottom"/>
            <w:hideMark/>
          </w:tcPr>
          <w:p w14:paraId="659A39BE" w14:textId="77777777" w:rsidR="00804505" w:rsidRPr="00B0150F" w:rsidRDefault="00804505" w:rsidP="00804505">
            <w:pPr>
              <w:spacing w:after="0" w:line="240" w:lineRule="auto"/>
              <w:jc w:val="center"/>
              <w:rPr>
                <w:rFonts w:ascii="Times New Roman" w:eastAsia="Times New Roman" w:hAnsi="Times New Roman" w:cs="Times New Roman"/>
                <w:noProof/>
                <w:color w:val="808080"/>
                <w:sz w:val="19"/>
                <w:szCs w:val="19"/>
                <w:lang w:val="en-IE"/>
              </w:rPr>
            </w:pPr>
            <w:r w:rsidRPr="00B0150F">
              <w:rPr>
                <w:rFonts w:ascii="Times New Roman" w:hAnsi="Times New Roman"/>
                <w:noProof/>
                <w:color w:val="808080"/>
                <w:sz w:val="19"/>
                <w:szCs w:val="19"/>
                <w:lang w:val="en-IE"/>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68A61DBD"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lang w:val="en-IE"/>
              </w:rPr>
            </w:pPr>
            <w:r w:rsidRPr="00B0150F">
              <w:rPr>
                <w:rFonts w:asciiTheme="majorBidi" w:hAnsiTheme="majorBidi" w:cstheme="majorBidi"/>
                <w:noProof/>
                <w:color w:val="000000"/>
                <w:sz w:val="19"/>
                <w:szCs w:val="19"/>
                <w:lang w:val="en-IE"/>
              </w:rPr>
              <w:t> </w:t>
            </w:r>
          </w:p>
        </w:tc>
        <w:tc>
          <w:tcPr>
            <w:tcW w:w="1666" w:type="dxa"/>
            <w:tcBorders>
              <w:top w:val="nil"/>
              <w:left w:val="nil"/>
              <w:bottom w:val="nil"/>
              <w:right w:val="single" w:sz="4" w:space="0" w:color="auto"/>
            </w:tcBorders>
            <w:shd w:val="clear" w:color="auto" w:fill="auto"/>
            <w:noWrap/>
            <w:vAlign w:val="bottom"/>
            <w:hideMark/>
          </w:tcPr>
          <w:p w14:paraId="47CFD532"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lang w:val="en-IE"/>
              </w:rPr>
            </w:pPr>
            <w:r w:rsidRPr="00B0150F">
              <w:rPr>
                <w:rFonts w:asciiTheme="majorBidi" w:hAnsiTheme="majorBidi" w:cstheme="majorBidi"/>
                <w:noProof/>
                <w:color w:val="808080"/>
                <w:sz w:val="19"/>
                <w:szCs w:val="19"/>
                <w:lang w:val="en-IE"/>
              </w:rPr>
              <w:t> </w:t>
            </w:r>
          </w:p>
        </w:tc>
        <w:tc>
          <w:tcPr>
            <w:tcW w:w="1594" w:type="dxa"/>
            <w:tcBorders>
              <w:top w:val="nil"/>
              <w:left w:val="nil"/>
              <w:bottom w:val="nil"/>
              <w:right w:val="single" w:sz="8" w:space="0" w:color="auto"/>
            </w:tcBorders>
            <w:shd w:val="clear" w:color="auto" w:fill="BFBFBF" w:themeFill="background1" w:themeFillShade="BF"/>
            <w:noWrap/>
            <w:vAlign w:val="bottom"/>
            <w:hideMark/>
          </w:tcPr>
          <w:p w14:paraId="0B32AA78"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lang w:val="en-IE"/>
              </w:rPr>
            </w:pPr>
            <w:r w:rsidRPr="00B0150F">
              <w:rPr>
                <w:rFonts w:asciiTheme="majorBidi" w:hAnsiTheme="majorBidi" w:cstheme="majorBidi"/>
                <w:noProof/>
                <w:color w:val="000000"/>
                <w:sz w:val="19"/>
                <w:szCs w:val="19"/>
                <w:lang w:val="en-IE"/>
              </w:rPr>
              <w:t> </w:t>
            </w:r>
          </w:p>
        </w:tc>
        <w:tc>
          <w:tcPr>
            <w:tcW w:w="1667" w:type="dxa"/>
            <w:tcBorders>
              <w:top w:val="nil"/>
              <w:left w:val="nil"/>
              <w:bottom w:val="nil"/>
              <w:right w:val="single" w:sz="4" w:space="0" w:color="auto"/>
            </w:tcBorders>
            <w:shd w:val="clear" w:color="auto" w:fill="auto"/>
            <w:noWrap/>
            <w:vAlign w:val="bottom"/>
            <w:hideMark/>
          </w:tcPr>
          <w:p w14:paraId="31C28620" w14:textId="77777777" w:rsidR="00804505" w:rsidRPr="00B0150F" w:rsidRDefault="00804505" w:rsidP="00804505">
            <w:pPr>
              <w:spacing w:after="0" w:line="240" w:lineRule="auto"/>
              <w:jc w:val="center"/>
              <w:rPr>
                <w:rFonts w:asciiTheme="majorBidi" w:eastAsia="Times New Roman" w:hAnsiTheme="majorBidi" w:cstheme="majorBidi"/>
                <w:noProof/>
                <w:color w:val="808080"/>
                <w:sz w:val="19"/>
                <w:szCs w:val="19"/>
                <w:lang w:val="en-IE"/>
              </w:rPr>
            </w:pPr>
            <w:r w:rsidRPr="00B0150F">
              <w:rPr>
                <w:rFonts w:asciiTheme="majorBidi" w:hAnsiTheme="majorBidi" w:cstheme="majorBidi"/>
                <w:noProof/>
                <w:color w:val="808080"/>
                <w:sz w:val="19"/>
                <w:szCs w:val="19"/>
                <w:lang w:val="en-IE"/>
              </w:rPr>
              <w:t> </w:t>
            </w:r>
          </w:p>
        </w:tc>
        <w:tc>
          <w:tcPr>
            <w:tcW w:w="1842" w:type="dxa"/>
            <w:tcBorders>
              <w:top w:val="nil"/>
              <w:left w:val="nil"/>
              <w:bottom w:val="nil"/>
              <w:right w:val="single" w:sz="8" w:space="0" w:color="auto"/>
            </w:tcBorders>
            <w:shd w:val="clear" w:color="auto" w:fill="BFBFBF" w:themeFill="background1" w:themeFillShade="BF"/>
            <w:noWrap/>
            <w:vAlign w:val="bottom"/>
            <w:hideMark/>
          </w:tcPr>
          <w:p w14:paraId="0EA04CE0" w14:textId="77777777" w:rsidR="00804505" w:rsidRPr="00B0150F" w:rsidRDefault="00804505" w:rsidP="00804505">
            <w:pPr>
              <w:spacing w:after="0" w:line="240" w:lineRule="auto"/>
              <w:jc w:val="center"/>
              <w:rPr>
                <w:rFonts w:asciiTheme="majorBidi" w:eastAsia="Times New Roman" w:hAnsiTheme="majorBidi" w:cstheme="majorBidi"/>
                <w:noProof/>
                <w:color w:val="000000"/>
                <w:sz w:val="19"/>
                <w:szCs w:val="19"/>
                <w:lang w:val="en-IE"/>
              </w:rPr>
            </w:pPr>
            <w:r w:rsidRPr="00B0150F">
              <w:rPr>
                <w:rFonts w:asciiTheme="majorBidi" w:hAnsiTheme="majorBidi" w:cstheme="majorBidi"/>
                <w:noProof/>
                <w:color w:val="000000"/>
                <w:sz w:val="19"/>
                <w:szCs w:val="19"/>
                <w:lang w:val="en-IE"/>
              </w:rPr>
              <w:t> </w:t>
            </w:r>
          </w:p>
        </w:tc>
      </w:tr>
      <w:tr w:rsidR="00804505" w:rsidRPr="00804505" w14:paraId="5EC473F2" w14:textId="77777777" w:rsidTr="00804505">
        <w:trPr>
          <w:trHeight w:val="255"/>
        </w:trPr>
        <w:tc>
          <w:tcPr>
            <w:tcW w:w="3544" w:type="dxa"/>
            <w:tcBorders>
              <w:top w:val="nil"/>
              <w:left w:val="single" w:sz="4" w:space="0" w:color="auto"/>
              <w:bottom w:val="nil"/>
              <w:right w:val="nil"/>
            </w:tcBorders>
            <w:shd w:val="clear" w:color="auto" w:fill="auto"/>
            <w:noWrap/>
            <w:vAlign w:val="center"/>
            <w:hideMark/>
          </w:tcPr>
          <w:p w14:paraId="5FE989ED" w14:textId="77777777" w:rsidR="00804505" w:rsidRPr="00B0150F" w:rsidRDefault="00804505" w:rsidP="00804505">
            <w:pPr>
              <w:spacing w:after="0" w:line="240" w:lineRule="auto"/>
              <w:ind w:firstLineChars="200" w:firstLine="380"/>
              <w:rPr>
                <w:rFonts w:ascii="Times New Roman" w:eastAsia="Times New Roman" w:hAnsi="Times New Roman" w:cs="Times New Roman"/>
                <w:b/>
                <w:bCs/>
                <w:noProof/>
                <w:sz w:val="19"/>
                <w:szCs w:val="19"/>
              </w:rPr>
            </w:pPr>
            <w:r w:rsidRPr="00B0150F">
              <w:rPr>
                <w:rFonts w:ascii="Times New Roman" w:hAnsi="Times New Roman"/>
                <w:b/>
                <w:noProof/>
                <w:sz w:val="19"/>
                <w:szCs w:val="19"/>
              </w:rPr>
              <w:t>Subtotal</w:t>
            </w:r>
          </w:p>
        </w:tc>
        <w:tc>
          <w:tcPr>
            <w:tcW w:w="1701" w:type="dxa"/>
            <w:tcBorders>
              <w:top w:val="nil"/>
              <w:left w:val="single" w:sz="8" w:space="0" w:color="auto"/>
              <w:bottom w:val="dotted" w:sz="4" w:space="0" w:color="auto"/>
              <w:right w:val="single" w:sz="4" w:space="0" w:color="auto"/>
            </w:tcBorders>
            <w:shd w:val="clear" w:color="auto" w:fill="auto"/>
            <w:noWrap/>
            <w:vAlign w:val="bottom"/>
            <w:hideMark/>
          </w:tcPr>
          <w:p w14:paraId="1D5D4315"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w:t>
            </w:r>
          </w:p>
        </w:tc>
        <w:tc>
          <w:tcPr>
            <w:tcW w:w="1594" w:type="dxa"/>
            <w:tcBorders>
              <w:top w:val="nil"/>
              <w:left w:val="nil"/>
              <w:bottom w:val="dotted" w:sz="4" w:space="0" w:color="auto"/>
              <w:right w:val="single" w:sz="8" w:space="0" w:color="auto"/>
            </w:tcBorders>
            <w:shd w:val="clear" w:color="auto" w:fill="BFBFBF" w:themeFill="background1" w:themeFillShade="BF"/>
            <w:noWrap/>
            <w:vAlign w:val="bottom"/>
            <w:hideMark/>
          </w:tcPr>
          <w:p w14:paraId="1DE34B62"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6" w:type="dxa"/>
            <w:tcBorders>
              <w:top w:val="nil"/>
              <w:left w:val="nil"/>
              <w:bottom w:val="dotted" w:sz="4" w:space="0" w:color="auto"/>
              <w:right w:val="single" w:sz="4" w:space="0" w:color="auto"/>
            </w:tcBorders>
            <w:shd w:val="clear" w:color="auto" w:fill="auto"/>
            <w:noWrap/>
            <w:vAlign w:val="bottom"/>
            <w:hideMark/>
          </w:tcPr>
          <w:p w14:paraId="33CF9E68"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w:t>
            </w:r>
          </w:p>
        </w:tc>
        <w:tc>
          <w:tcPr>
            <w:tcW w:w="1594" w:type="dxa"/>
            <w:tcBorders>
              <w:top w:val="nil"/>
              <w:left w:val="nil"/>
              <w:bottom w:val="dotted" w:sz="4" w:space="0" w:color="auto"/>
              <w:right w:val="single" w:sz="8" w:space="0" w:color="auto"/>
            </w:tcBorders>
            <w:shd w:val="clear" w:color="auto" w:fill="BFBFBF" w:themeFill="background1" w:themeFillShade="BF"/>
            <w:noWrap/>
            <w:vAlign w:val="bottom"/>
            <w:hideMark/>
          </w:tcPr>
          <w:p w14:paraId="3EFCD146"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7" w:type="dxa"/>
            <w:tcBorders>
              <w:top w:val="nil"/>
              <w:left w:val="nil"/>
              <w:bottom w:val="dotted" w:sz="4" w:space="0" w:color="auto"/>
              <w:right w:val="single" w:sz="4" w:space="0" w:color="auto"/>
            </w:tcBorders>
            <w:shd w:val="clear" w:color="auto" w:fill="auto"/>
            <w:noWrap/>
            <w:vAlign w:val="bottom"/>
            <w:hideMark/>
          </w:tcPr>
          <w:p w14:paraId="03F54DF0"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w:t>
            </w:r>
          </w:p>
        </w:tc>
        <w:tc>
          <w:tcPr>
            <w:tcW w:w="1842" w:type="dxa"/>
            <w:tcBorders>
              <w:top w:val="nil"/>
              <w:left w:val="nil"/>
              <w:bottom w:val="dotted" w:sz="4" w:space="0" w:color="auto"/>
              <w:right w:val="single" w:sz="8" w:space="0" w:color="auto"/>
            </w:tcBorders>
            <w:shd w:val="clear" w:color="auto" w:fill="BFBFBF" w:themeFill="background1" w:themeFillShade="BF"/>
            <w:noWrap/>
            <w:vAlign w:val="bottom"/>
            <w:hideMark/>
          </w:tcPr>
          <w:p w14:paraId="74BBAC0D"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r>
      <w:tr w:rsidR="00804505" w:rsidRPr="00804505" w14:paraId="7F06BD83" w14:textId="77777777" w:rsidTr="00804505">
        <w:trPr>
          <w:trHeight w:val="255"/>
        </w:trPr>
        <w:tc>
          <w:tcPr>
            <w:tcW w:w="3544" w:type="dxa"/>
            <w:tcBorders>
              <w:top w:val="nil"/>
              <w:left w:val="single" w:sz="4" w:space="0" w:color="auto"/>
              <w:bottom w:val="single" w:sz="4" w:space="0" w:color="auto"/>
              <w:right w:val="nil"/>
            </w:tcBorders>
            <w:shd w:val="clear" w:color="auto" w:fill="auto"/>
            <w:noWrap/>
            <w:vAlign w:val="bottom"/>
            <w:hideMark/>
          </w:tcPr>
          <w:p w14:paraId="31A0E341" w14:textId="77777777" w:rsidR="00804505" w:rsidRPr="00B0150F" w:rsidRDefault="00804505" w:rsidP="00804505">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Total Comisión Europea</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043B1460"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69895F98"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56253750"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6CC7E3E2"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4B7E3D8D"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450C2C27"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r>
      <w:tr w:rsidR="00804505" w:rsidRPr="00804505" w14:paraId="5EF473FC" w14:textId="77777777" w:rsidTr="00B0150F">
        <w:trPr>
          <w:trHeight w:val="428"/>
        </w:trPr>
        <w:tc>
          <w:tcPr>
            <w:tcW w:w="3544" w:type="dxa"/>
            <w:tcBorders>
              <w:top w:val="nil"/>
              <w:left w:val="single" w:sz="4" w:space="0" w:color="auto"/>
              <w:bottom w:val="nil"/>
              <w:right w:val="nil"/>
            </w:tcBorders>
            <w:shd w:val="clear" w:color="auto" w:fill="auto"/>
            <w:noWrap/>
            <w:vAlign w:val="bottom"/>
            <w:hideMark/>
          </w:tcPr>
          <w:p w14:paraId="40A159A1" w14:textId="77777777" w:rsidR="00804505" w:rsidRPr="00B0150F" w:rsidRDefault="00804505" w:rsidP="00B0150F">
            <w:pPr>
              <w:spacing w:after="0" w:line="240" w:lineRule="auto"/>
              <w:ind w:left="-57" w:right="-57"/>
              <w:rPr>
                <w:rFonts w:ascii="Times New Roman" w:hAnsi="Times New Roman"/>
                <w:noProof/>
                <w:sz w:val="19"/>
                <w:szCs w:val="19"/>
              </w:rPr>
            </w:pPr>
            <w:r w:rsidRPr="00B0150F">
              <w:rPr>
                <w:rFonts w:ascii="Times New Roman" w:hAnsi="Times New Roman"/>
                <w:noProof/>
                <w:sz w:val="19"/>
                <w:szCs w:val="19"/>
              </w:rPr>
              <w:t>Subvenciones del Instrumento de Ayuda a la Inversión (*)</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08F845E4"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79DEB7C"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6" w:type="dxa"/>
            <w:tcBorders>
              <w:top w:val="nil"/>
              <w:left w:val="nil"/>
              <w:bottom w:val="single" w:sz="4" w:space="0" w:color="auto"/>
              <w:right w:val="single" w:sz="4" w:space="0" w:color="auto"/>
            </w:tcBorders>
            <w:shd w:val="clear" w:color="auto" w:fill="auto"/>
            <w:noWrap/>
            <w:vAlign w:val="bottom"/>
            <w:hideMark/>
          </w:tcPr>
          <w:p w14:paraId="405FBB9B"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3ACEEB1"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c>
          <w:tcPr>
            <w:tcW w:w="1667" w:type="dxa"/>
            <w:tcBorders>
              <w:top w:val="nil"/>
              <w:left w:val="nil"/>
              <w:bottom w:val="single" w:sz="4" w:space="0" w:color="auto"/>
              <w:right w:val="single" w:sz="4" w:space="0" w:color="auto"/>
            </w:tcBorders>
            <w:shd w:val="clear" w:color="auto" w:fill="auto"/>
            <w:noWrap/>
            <w:vAlign w:val="bottom"/>
            <w:hideMark/>
          </w:tcPr>
          <w:p w14:paraId="0C4DDDC9"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22422790"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w:t>
            </w:r>
          </w:p>
        </w:tc>
      </w:tr>
      <w:tr w:rsidR="00804505" w:rsidRPr="00804505" w14:paraId="4DF6126E" w14:textId="77777777" w:rsidTr="00804505">
        <w:trPr>
          <w:trHeight w:val="255"/>
        </w:trPr>
        <w:tc>
          <w:tcPr>
            <w:tcW w:w="3544" w:type="dxa"/>
            <w:tcBorders>
              <w:top w:val="nil"/>
              <w:left w:val="single" w:sz="4" w:space="0" w:color="auto"/>
              <w:bottom w:val="single" w:sz="4" w:space="0" w:color="auto"/>
              <w:right w:val="nil"/>
            </w:tcBorders>
            <w:shd w:val="clear" w:color="auto" w:fill="auto"/>
            <w:noWrap/>
            <w:vAlign w:val="bottom"/>
            <w:hideMark/>
          </w:tcPr>
          <w:p w14:paraId="63127EFC" w14:textId="77777777" w:rsidR="00804505" w:rsidRPr="00B0150F" w:rsidRDefault="00804505" w:rsidP="00804505">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Total BEI</w:t>
            </w:r>
          </w:p>
        </w:tc>
        <w:tc>
          <w:tcPr>
            <w:tcW w:w="1701" w:type="dxa"/>
            <w:tcBorders>
              <w:top w:val="nil"/>
              <w:left w:val="single" w:sz="8" w:space="0" w:color="auto"/>
              <w:bottom w:val="single" w:sz="4" w:space="0" w:color="auto"/>
              <w:right w:val="single" w:sz="4" w:space="0" w:color="auto"/>
            </w:tcBorders>
            <w:shd w:val="clear" w:color="auto" w:fill="auto"/>
            <w:noWrap/>
            <w:vAlign w:val="bottom"/>
            <w:hideMark/>
          </w:tcPr>
          <w:p w14:paraId="579E6DBA"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73E44CC9"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1862C185"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1FA6C098"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5B374050"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71AB26A2"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r>
      <w:tr w:rsidR="00804505" w:rsidRPr="00804505" w14:paraId="5788ED1E" w14:textId="77777777" w:rsidTr="00804505">
        <w:trPr>
          <w:trHeight w:val="270"/>
        </w:trPr>
        <w:tc>
          <w:tcPr>
            <w:tcW w:w="3544" w:type="dxa"/>
            <w:tcBorders>
              <w:top w:val="nil"/>
              <w:left w:val="single" w:sz="4" w:space="0" w:color="auto"/>
              <w:bottom w:val="single" w:sz="4" w:space="0" w:color="auto"/>
              <w:right w:val="nil"/>
            </w:tcBorders>
            <w:shd w:val="clear" w:color="auto" w:fill="auto"/>
            <w:noWrap/>
            <w:vAlign w:val="center"/>
            <w:hideMark/>
          </w:tcPr>
          <w:p w14:paraId="742DF048" w14:textId="77777777" w:rsidR="00804505" w:rsidRPr="00B0150F" w:rsidRDefault="00804505" w:rsidP="00804505">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TOTAL CE + BEI</w:t>
            </w:r>
          </w:p>
        </w:tc>
        <w:tc>
          <w:tcPr>
            <w:tcW w:w="1701" w:type="dxa"/>
            <w:tcBorders>
              <w:top w:val="nil"/>
              <w:left w:val="single" w:sz="8" w:space="0" w:color="auto"/>
              <w:bottom w:val="single" w:sz="8" w:space="0" w:color="auto"/>
              <w:right w:val="single" w:sz="4" w:space="0" w:color="auto"/>
            </w:tcBorders>
            <w:shd w:val="clear" w:color="auto" w:fill="auto"/>
            <w:noWrap/>
            <w:vAlign w:val="bottom"/>
            <w:hideMark/>
          </w:tcPr>
          <w:p w14:paraId="2167F0B2"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xml:space="preserve">   0</w:t>
            </w:r>
          </w:p>
        </w:tc>
        <w:tc>
          <w:tcPr>
            <w:tcW w:w="1594" w:type="dxa"/>
            <w:tcBorders>
              <w:top w:val="nil"/>
              <w:left w:val="nil"/>
              <w:bottom w:val="single" w:sz="8" w:space="0" w:color="auto"/>
              <w:right w:val="single" w:sz="8" w:space="0" w:color="auto"/>
            </w:tcBorders>
            <w:shd w:val="clear" w:color="auto" w:fill="BFBFBF" w:themeFill="background1" w:themeFillShade="BF"/>
            <w:noWrap/>
            <w:vAlign w:val="bottom"/>
            <w:hideMark/>
          </w:tcPr>
          <w:p w14:paraId="2B899DEE"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6" w:type="dxa"/>
            <w:tcBorders>
              <w:top w:val="nil"/>
              <w:left w:val="nil"/>
              <w:bottom w:val="single" w:sz="8" w:space="0" w:color="auto"/>
              <w:right w:val="single" w:sz="4" w:space="0" w:color="auto"/>
            </w:tcBorders>
            <w:shd w:val="clear" w:color="auto" w:fill="auto"/>
            <w:noWrap/>
            <w:vAlign w:val="bottom"/>
            <w:hideMark/>
          </w:tcPr>
          <w:p w14:paraId="597C6EF4"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594" w:type="dxa"/>
            <w:tcBorders>
              <w:top w:val="nil"/>
              <w:left w:val="nil"/>
              <w:bottom w:val="single" w:sz="8" w:space="0" w:color="auto"/>
              <w:right w:val="single" w:sz="8" w:space="0" w:color="auto"/>
            </w:tcBorders>
            <w:shd w:val="clear" w:color="auto" w:fill="BFBFBF" w:themeFill="background1" w:themeFillShade="BF"/>
            <w:noWrap/>
            <w:vAlign w:val="bottom"/>
            <w:hideMark/>
          </w:tcPr>
          <w:p w14:paraId="15B96906"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c>
          <w:tcPr>
            <w:tcW w:w="1667" w:type="dxa"/>
            <w:tcBorders>
              <w:top w:val="nil"/>
              <w:left w:val="nil"/>
              <w:bottom w:val="single" w:sz="8" w:space="0" w:color="auto"/>
              <w:right w:val="single" w:sz="4" w:space="0" w:color="auto"/>
            </w:tcBorders>
            <w:shd w:val="clear" w:color="auto" w:fill="auto"/>
            <w:noWrap/>
            <w:vAlign w:val="bottom"/>
            <w:hideMark/>
          </w:tcPr>
          <w:p w14:paraId="04FED19E" w14:textId="77777777" w:rsidR="00804505" w:rsidRPr="00B0150F" w:rsidRDefault="00804505" w:rsidP="00804505">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0</w:t>
            </w:r>
          </w:p>
        </w:tc>
        <w:tc>
          <w:tcPr>
            <w:tcW w:w="1842" w:type="dxa"/>
            <w:tcBorders>
              <w:top w:val="nil"/>
              <w:left w:val="nil"/>
              <w:bottom w:val="single" w:sz="8" w:space="0" w:color="auto"/>
              <w:right w:val="single" w:sz="8" w:space="0" w:color="auto"/>
            </w:tcBorders>
            <w:shd w:val="clear" w:color="auto" w:fill="BFBFBF" w:themeFill="background1" w:themeFillShade="BF"/>
            <w:noWrap/>
            <w:vAlign w:val="bottom"/>
            <w:hideMark/>
          </w:tcPr>
          <w:p w14:paraId="3EBC43FC" w14:textId="77777777" w:rsidR="00804505" w:rsidRPr="00B0150F" w:rsidRDefault="00804505" w:rsidP="00804505">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0</w:t>
            </w:r>
          </w:p>
        </w:tc>
      </w:tr>
    </w:tbl>
    <w:p w14:paraId="59A32DA9" w14:textId="718346D2" w:rsidR="00967B74" w:rsidRDefault="00C0113F" w:rsidP="00967B74">
      <w:pPr>
        <w:rPr>
          <w:noProof/>
          <w:sz w:val="16"/>
          <w:szCs w:val="16"/>
        </w:rPr>
      </w:pPr>
      <w:r>
        <w:rPr>
          <w:noProof/>
          <w:sz w:val="16"/>
        </w:rPr>
        <w:t xml:space="preserve"> * Incluida la subvención para asistencia técnica y bonificaciones de intereses del FED actual y los desembolsos del IRS en el marco de FED anteriores.</w:t>
      </w:r>
    </w:p>
    <w:tbl>
      <w:tblPr>
        <w:tblW w:w="13608" w:type="dxa"/>
        <w:tblLook w:val="04A0" w:firstRow="1" w:lastRow="0" w:firstColumn="1" w:lastColumn="0" w:noHBand="0" w:noVBand="1"/>
      </w:tblPr>
      <w:tblGrid>
        <w:gridCol w:w="3580"/>
        <w:gridCol w:w="1665"/>
        <w:gridCol w:w="1594"/>
        <w:gridCol w:w="1666"/>
        <w:gridCol w:w="1594"/>
        <w:gridCol w:w="1667"/>
        <w:gridCol w:w="1842"/>
      </w:tblGrid>
      <w:tr w:rsidR="00804505" w:rsidRPr="00804505" w14:paraId="698D6D20" w14:textId="77777777" w:rsidTr="00804505">
        <w:trPr>
          <w:trHeight w:val="255"/>
        </w:trPr>
        <w:tc>
          <w:tcPr>
            <w:tcW w:w="3580" w:type="dxa"/>
            <w:tcBorders>
              <w:top w:val="nil"/>
              <w:left w:val="nil"/>
              <w:bottom w:val="nil"/>
              <w:right w:val="nil"/>
            </w:tcBorders>
            <w:shd w:val="clear" w:color="auto" w:fill="auto"/>
            <w:noWrap/>
            <w:vAlign w:val="bottom"/>
            <w:hideMark/>
          </w:tcPr>
          <w:p w14:paraId="10714B64" w14:textId="77777777" w:rsidR="00804505" w:rsidRPr="00B0150F" w:rsidRDefault="00804505" w:rsidP="00804505">
            <w:pPr>
              <w:spacing w:after="0" w:line="240" w:lineRule="auto"/>
              <w:rPr>
                <w:rFonts w:ascii="Times New Roman" w:eastAsia="Times New Roman" w:hAnsi="Times New Roman" w:cs="Times New Roman"/>
                <w:noProof/>
                <w:sz w:val="19"/>
                <w:szCs w:val="19"/>
                <w:lang w:eastAsia="en-IE"/>
              </w:rPr>
            </w:pPr>
          </w:p>
        </w:tc>
        <w:tc>
          <w:tcPr>
            <w:tcW w:w="3259"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565F193" w14:textId="77777777" w:rsidR="00804505" w:rsidRPr="00B0150F" w:rsidRDefault="00804505" w:rsidP="00804505">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2024</w:t>
            </w:r>
          </w:p>
        </w:tc>
        <w:tc>
          <w:tcPr>
            <w:tcW w:w="326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12F181BA" w14:textId="77777777" w:rsidR="00804505" w:rsidRPr="00B0150F" w:rsidRDefault="00804505" w:rsidP="00804505">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2025</w:t>
            </w:r>
          </w:p>
        </w:tc>
        <w:tc>
          <w:tcPr>
            <w:tcW w:w="350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560A7092" w14:textId="77777777" w:rsidR="00804505" w:rsidRPr="00B0150F" w:rsidRDefault="00804505" w:rsidP="00804505">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2026</w:t>
            </w:r>
          </w:p>
        </w:tc>
      </w:tr>
      <w:tr w:rsidR="00804505" w:rsidRPr="00804505" w14:paraId="2CAB04C5" w14:textId="77777777" w:rsidTr="00804505">
        <w:trPr>
          <w:trHeight w:val="510"/>
        </w:trPr>
        <w:tc>
          <w:tcPr>
            <w:tcW w:w="3580" w:type="dxa"/>
            <w:tcBorders>
              <w:top w:val="nil"/>
              <w:left w:val="nil"/>
              <w:bottom w:val="nil"/>
              <w:right w:val="nil"/>
            </w:tcBorders>
            <w:shd w:val="clear" w:color="auto" w:fill="auto"/>
            <w:noWrap/>
            <w:hideMark/>
          </w:tcPr>
          <w:p w14:paraId="71A04787" w14:textId="77777777" w:rsidR="00804505" w:rsidRPr="00B0150F" w:rsidRDefault="00804505" w:rsidP="00804505">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w:t>
            </w:r>
          </w:p>
        </w:tc>
        <w:tc>
          <w:tcPr>
            <w:tcW w:w="1665" w:type="dxa"/>
            <w:tcBorders>
              <w:top w:val="nil"/>
              <w:left w:val="single" w:sz="8" w:space="0" w:color="auto"/>
              <w:bottom w:val="single" w:sz="4" w:space="0" w:color="auto"/>
              <w:right w:val="single" w:sz="4" w:space="0" w:color="auto"/>
            </w:tcBorders>
            <w:shd w:val="clear" w:color="auto" w:fill="auto"/>
            <w:vAlign w:val="center"/>
            <w:hideMark/>
          </w:tcPr>
          <w:p w14:paraId="2CE4FD41"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67D48027"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c>
          <w:tcPr>
            <w:tcW w:w="1666" w:type="dxa"/>
            <w:tcBorders>
              <w:top w:val="nil"/>
              <w:left w:val="nil"/>
              <w:bottom w:val="single" w:sz="4" w:space="0" w:color="auto"/>
              <w:right w:val="single" w:sz="4" w:space="0" w:color="auto"/>
            </w:tcBorders>
            <w:shd w:val="clear" w:color="auto" w:fill="auto"/>
            <w:vAlign w:val="center"/>
            <w:hideMark/>
          </w:tcPr>
          <w:p w14:paraId="5E453454"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594" w:type="dxa"/>
            <w:tcBorders>
              <w:top w:val="nil"/>
              <w:left w:val="nil"/>
              <w:bottom w:val="single" w:sz="4" w:space="0" w:color="auto"/>
              <w:right w:val="single" w:sz="8" w:space="0" w:color="auto"/>
            </w:tcBorders>
            <w:shd w:val="clear" w:color="auto" w:fill="BFBFBF" w:themeFill="background1" w:themeFillShade="BF"/>
            <w:vAlign w:val="center"/>
            <w:hideMark/>
          </w:tcPr>
          <w:p w14:paraId="1FF56464"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c>
          <w:tcPr>
            <w:tcW w:w="1667" w:type="dxa"/>
            <w:tcBorders>
              <w:top w:val="nil"/>
              <w:left w:val="nil"/>
              <w:bottom w:val="single" w:sz="4" w:space="0" w:color="auto"/>
              <w:right w:val="single" w:sz="4" w:space="0" w:color="auto"/>
            </w:tcBorders>
            <w:shd w:val="clear" w:color="auto" w:fill="auto"/>
            <w:vAlign w:val="center"/>
            <w:hideMark/>
          </w:tcPr>
          <w:p w14:paraId="24191D0F"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842" w:type="dxa"/>
            <w:tcBorders>
              <w:top w:val="nil"/>
              <w:left w:val="nil"/>
              <w:bottom w:val="single" w:sz="4" w:space="0" w:color="auto"/>
              <w:right w:val="single" w:sz="8" w:space="0" w:color="auto"/>
            </w:tcBorders>
            <w:shd w:val="clear" w:color="auto" w:fill="BFBFBF" w:themeFill="background1" w:themeFillShade="BF"/>
            <w:vAlign w:val="center"/>
            <w:hideMark/>
          </w:tcPr>
          <w:p w14:paraId="727C7BEC" w14:textId="77777777" w:rsidR="00804505" w:rsidRPr="00B0150F" w:rsidRDefault="00804505" w:rsidP="001A3720">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r>
      <w:tr w:rsidR="00804505" w:rsidRPr="00804505" w14:paraId="1E89E93F" w14:textId="77777777" w:rsidTr="00804505">
        <w:trPr>
          <w:trHeight w:val="255"/>
        </w:trPr>
        <w:tc>
          <w:tcPr>
            <w:tcW w:w="3580" w:type="dxa"/>
            <w:tcBorders>
              <w:top w:val="single" w:sz="4" w:space="0" w:color="auto"/>
              <w:left w:val="single" w:sz="4" w:space="0" w:color="auto"/>
              <w:bottom w:val="single" w:sz="4" w:space="0" w:color="auto"/>
              <w:right w:val="nil"/>
            </w:tcBorders>
            <w:shd w:val="clear" w:color="auto" w:fill="auto"/>
            <w:noWrap/>
            <w:vAlign w:val="bottom"/>
            <w:hideMark/>
          </w:tcPr>
          <w:p w14:paraId="37E2D31B" w14:textId="77777777" w:rsidR="00804505" w:rsidRPr="00B0150F" w:rsidRDefault="00804505" w:rsidP="00B0150F">
            <w:pPr>
              <w:spacing w:after="0" w:line="240" w:lineRule="auto"/>
              <w:ind w:left="-57" w:right="-57"/>
              <w:rPr>
                <w:rFonts w:ascii="Times New Roman" w:eastAsia="Times New Roman" w:hAnsi="Times New Roman" w:cs="Times New Roman"/>
                <w:noProof/>
                <w:sz w:val="19"/>
                <w:szCs w:val="19"/>
              </w:rPr>
            </w:pPr>
            <w:r w:rsidRPr="00B0150F">
              <w:rPr>
                <w:rFonts w:ascii="Times New Roman" w:hAnsi="Times New Roman"/>
                <w:noProof/>
                <w:sz w:val="19"/>
                <w:szCs w:val="19"/>
              </w:rPr>
              <w:t>Fondo rotatorio del Instrumento de Ayuda a la Inversión**</w:t>
            </w:r>
          </w:p>
        </w:tc>
        <w:tc>
          <w:tcPr>
            <w:tcW w:w="1665" w:type="dxa"/>
            <w:tcBorders>
              <w:top w:val="nil"/>
              <w:left w:val="single" w:sz="8" w:space="0" w:color="auto"/>
              <w:bottom w:val="single" w:sz="4" w:space="0" w:color="auto"/>
              <w:right w:val="single" w:sz="4" w:space="0" w:color="auto"/>
            </w:tcBorders>
            <w:shd w:val="clear" w:color="auto" w:fill="auto"/>
            <w:noWrap/>
            <w:vAlign w:val="bottom"/>
            <w:hideMark/>
          </w:tcPr>
          <w:p w14:paraId="13C98EF9"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xml:space="preserve">   0</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367EA9F8" w14:textId="77777777" w:rsidR="00804505" w:rsidRPr="00B0150F" w:rsidRDefault="00804505" w:rsidP="00804505">
            <w:pPr>
              <w:spacing w:after="0" w:line="240" w:lineRule="auto"/>
              <w:jc w:val="center"/>
              <w:rPr>
                <w:rFonts w:ascii="Times New Roman" w:eastAsia="Times New Roman" w:hAnsi="Times New Roman" w:cs="Times New Roman"/>
                <w:b/>
                <w:bCs/>
                <w:noProof/>
                <w:color w:val="000000"/>
                <w:sz w:val="19"/>
                <w:szCs w:val="19"/>
              </w:rPr>
            </w:pPr>
            <w:r w:rsidRPr="00B0150F">
              <w:rPr>
                <w:rFonts w:ascii="Times New Roman" w:hAnsi="Times New Roman"/>
                <w:b/>
                <w:noProof/>
                <w:color w:val="000000"/>
                <w:sz w:val="19"/>
                <w:szCs w:val="19"/>
              </w:rPr>
              <w:t xml:space="preserve">   0</w:t>
            </w:r>
          </w:p>
        </w:tc>
        <w:tc>
          <w:tcPr>
            <w:tcW w:w="1666" w:type="dxa"/>
            <w:tcBorders>
              <w:top w:val="nil"/>
              <w:left w:val="nil"/>
              <w:bottom w:val="single" w:sz="4" w:space="0" w:color="auto"/>
              <w:right w:val="single" w:sz="4" w:space="0" w:color="auto"/>
            </w:tcBorders>
            <w:shd w:val="clear" w:color="auto" w:fill="auto"/>
            <w:noWrap/>
            <w:vAlign w:val="bottom"/>
            <w:hideMark/>
          </w:tcPr>
          <w:p w14:paraId="344B5BD2"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w:t>
            </w:r>
          </w:p>
        </w:tc>
        <w:tc>
          <w:tcPr>
            <w:tcW w:w="1594" w:type="dxa"/>
            <w:tcBorders>
              <w:top w:val="nil"/>
              <w:left w:val="nil"/>
              <w:bottom w:val="single" w:sz="4" w:space="0" w:color="auto"/>
              <w:right w:val="single" w:sz="8" w:space="0" w:color="auto"/>
            </w:tcBorders>
            <w:shd w:val="clear" w:color="auto" w:fill="BFBFBF" w:themeFill="background1" w:themeFillShade="BF"/>
            <w:noWrap/>
            <w:vAlign w:val="bottom"/>
            <w:hideMark/>
          </w:tcPr>
          <w:p w14:paraId="4A0E6121" w14:textId="77777777" w:rsidR="00804505" w:rsidRPr="00B0150F" w:rsidRDefault="00804505" w:rsidP="00804505">
            <w:pPr>
              <w:spacing w:after="0" w:line="240" w:lineRule="auto"/>
              <w:jc w:val="center"/>
              <w:rPr>
                <w:rFonts w:ascii="Times New Roman" w:eastAsia="Times New Roman" w:hAnsi="Times New Roman" w:cs="Times New Roman"/>
                <w:b/>
                <w:bCs/>
                <w:noProof/>
                <w:color w:val="000000"/>
                <w:sz w:val="19"/>
                <w:szCs w:val="19"/>
              </w:rPr>
            </w:pPr>
            <w:r w:rsidRPr="00B0150F">
              <w:rPr>
                <w:rFonts w:ascii="Times New Roman" w:hAnsi="Times New Roman"/>
                <w:b/>
                <w:noProof/>
                <w:color w:val="000000"/>
                <w:sz w:val="19"/>
                <w:szCs w:val="19"/>
              </w:rPr>
              <w:t xml:space="preserve">   0</w:t>
            </w:r>
          </w:p>
        </w:tc>
        <w:tc>
          <w:tcPr>
            <w:tcW w:w="1667" w:type="dxa"/>
            <w:tcBorders>
              <w:top w:val="nil"/>
              <w:left w:val="nil"/>
              <w:bottom w:val="single" w:sz="4" w:space="0" w:color="auto"/>
              <w:right w:val="single" w:sz="4" w:space="0" w:color="auto"/>
            </w:tcBorders>
            <w:shd w:val="clear" w:color="auto" w:fill="auto"/>
            <w:noWrap/>
            <w:vAlign w:val="bottom"/>
            <w:hideMark/>
          </w:tcPr>
          <w:p w14:paraId="24B100AA" w14:textId="77777777" w:rsidR="00804505" w:rsidRPr="00B0150F" w:rsidRDefault="00804505" w:rsidP="00804505">
            <w:pPr>
              <w:spacing w:after="0" w:line="240" w:lineRule="auto"/>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 </w:t>
            </w:r>
          </w:p>
        </w:tc>
        <w:tc>
          <w:tcPr>
            <w:tcW w:w="1842" w:type="dxa"/>
            <w:tcBorders>
              <w:top w:val="nil"/>
              <w:left w:val="nil"/>
              <w:bottom w:val="single" w:sz="4" w:space="0" w:color="auto"/>
              <w:right w:val="single" w:sz="8" w:space="0" w:color="auto"/>
            </w:tcBorders>
            <w:shd w:val="clear" w:color="auto" w:fill="BFBFBF" w:themeFill="background1" w:themeFillShade="BF"/>
            <w:noWrap/>
            <w:vAlign w:val="bottom"/>
            <w:hideMark/>
          </w:tcPr>
          <w:p w14:paraId="35732CC9" w14:textId="77777777" w:rsidR="00804505" w:rsidRPr="00B0150F" w:rsidRDefault="00804505" w:rsidP="00804505">
            <w:pPr>
              <w:spacing w:after="0" w:line="240" w:lineRule="auto"/>
              <w:jc w:val="center"/>
              <w:rPr>
                <w:rFonts w:ascii="Times New Roman" w:eastAsia="Times New Roman" w:hAnsi="Times New Roman" w:cs="Times New Roman"/>
                <w:b/>
                <w:bCs/>
                <w:noProof/>
                <w:color w:val="000000"/>
                <w:sz w:val="19"/>
                <w:szCs w:val="19"/>
              </w:rPr>
            </w:pPr>
            <w:r w:rsidRPr="00B0150F">
              <w:rPr>
                <w:rFonts w:ascii="Times New Roman" w:hAnsi="Times New Roman"/>
                <w:b/>
                <w:noProof/>
                <w:color w:val="000000"/>
                <w:sz w:val="19"/>
                <w:szCs w:val="19"/>
              </w:rPr>
              <w:t xml:space="preserve">   0</w:t>
            </w:r>
          </w:p>
        </w:tc>
      </w:tr>
    </w:tbl>
    <w:p w14:paraId="0BF3EE2D" w14:textId="7B3CEEF2" w:rsidR="00C0113F" w:rsidRDefault="00C0113F" w:rsidP="00967B74">
      <w:pPr>
        <w:rPr>
          <w:noProof/>
          <w:sz w:val="16"/>
          <w:szCs w:val="16"/>
        </w:rPr>
      </w:pPr>
      <w:r>
        <w:rPr>
          <w:noProof/>
          <w:sz w:val="16"/>
        </w:rPr>
        <w:t>** Los compromisos en virtud del fondo rotatorio no pueden asimilarse a compromisos presupuestarios. Por tanto, deben presentarse por separado.</w:t>
      </w:r>
    </w:p>
    <w:p w14:paraId="29772586" w14:textId="7D688873" w:rsidR="009035E0" w:rsidRDefault="009035E0" w:rsidP="009035E0">
      <w:pPr>
        <w:pStyle w:val="Heading2"/>
        <w:rPr>
          <w:noProof/>
        </w:rPr>
      </w:pPr>
      <w:r>
        <w:rPr>
          <w:noProof/>
        </w:rPr>
        <w:t>Anexo 2: Pagos reales</w:t>
      </w:r>
      <w:r w:rsidRPr="00613163">
        <w:rPr>
          <w:rStyle w:val="FootnoteReference"/>
          <w:noProof/>
        </w:rPr>
        <w:footnoteReference w:id="9"/>
      </w:r>
      <w:r>
        <w:rPr>
          <w:noProof/>
        </w:rPr>
        <w:t xml:space="preserve"> para 2024 y previsiones para 2025 y 2026 (en millones EUR)</w:t>
      </w:r>
    </w:p>
    <w:tbl>
      <w:tblPr>
        <w:tblW w:w="13327" w:type="dxa"/>
        <w:tblLook w:val="04A0" w:firstRow="1" w:lastRow="0" w:firstColumn="1" w:lastColumn="0" w:noHBand="0" w:noVBand="1"/>
      </w:tblPr>
      <w:tblGrid>
        <w:gridCol w:w="3671"/>
        <w:gridCol w:w="1640"/>
        <w:gridCol w:w="1640"/>
        <w:gridCol w:w="1594"/>
        <w:gridCol w:w="1594"/>
        <w:gridCol w:w="1594"/>
        <w:gridCol w:w="1594"/>
      </w:tblGrid>
      <w:tr w:rsidR="003442FF" w:rsidRPr="003442FF" w14:paraId="0AEAFD4A" w14:textId="77777777" w:rsidTr="00047221">
        <w:trPr>
          <w:trHeight w:val="270"/>
        </w:trPr>
        <w:tc>
          <w:tcPr>
            <w:tcW w:w="3671" w:type="dxa"/>
            <w:tcBorders>
              <w:top w:val="nil"/>
              <w:left w:val="nil"/>
              <w:bottom w:val="nil"/>
              <w:right w:val="single" w:sz="8" w:space="0" w:color="auto"/>
            </w:tcBorders>
            <w:shd w:val="clear" w:color="auto" w:fill="auto"/>
            <w:noWrap/>
            <w:vAlign w:val="center"/>
            <w:hideMark/>
          </w:tcPr>
          <w:p w14:paraId="57952CB7" w14:textId="77777777" w:rsidR="003442FF" w:rsidRPr="00C756B2" w:rsidRDefault="003442FF" w:rsidP="003442FF">
            <w:pPr>
              <w:spacing w:after="0" w:line="240" w:lineRule="auto"/>
              <w:rPr>
                <w:rFonts w:ascii="Times New Roman" w:eastAsia="Times New Roman" w:hAnsi="Times New Roman" w:cs="Times New Roman"/>
                <w:noProof/>
                <w:sz w:val="24"/>
                <w:szCs w:val="24"/>
                <w:lang w:eastAsia="en-IE"/>
              </w:rPr>
            </w:pPr>
          </w:p>
        </w:tc>
        <w:tc>
          <w:tcPr>
            <w:tcW w:w="3280" w:type="dxa"/>
            <w:gridSpan w:val="2"/>
            <w:tcBorders>
              <w:top w:val="single" w:sz="8" w:space="0" w:color="auto"/>
              <w:left w:val="single" w:sz="8" w:space="0" w:color="auto"/>
              <w:bottom w:val="single" w:sz="8" w:space="0" w:color="auto"/>
            </w:tcBorders>
            <w:shd w:val="clear" w:color="auto" w:fill="auto"/>
            <w:noWrap/>
            <w:vAlign w:val="center"/>
            <w:hideMark/>
          </w:tcPr>
          <w:p w14:paraId="10E14492"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2024</w:t>
            </w:r>
          </w:p>
        </w:tc>
        <w:tc>
          <w:tcPr>
            <w:tcW w:w="3188" w:type="dxa"/>
            <w:gridSpan w:val="2"/>
            <w:tcBorders>
              <w:top w:val="single" w:sz="8" w:space="0" w:color="auto"/>
              <w:bottom w:val="single" w:sz="8" w:space="0" w:color="auto"/>
            </w:tcBorders>
            <w:shd w:val="clear" w:color="auto" w:fill="auto"/>
            <w:noWrap/>
            <w:vAlign w:val="center"/>
            <w:hideMark/>
          </w:tcPr>
          <w:p w14:paraId="2D105195"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2025</w:t>
            </w:r>
          </w:p>
        </w:tc>
        <w:tc>
          <w:tcPr>
            <w:tcW w:w="3188" w:type="dxa"/>
            <w:gridSpan w:val="2"/>
            <w:tcBorders>
              <w:top w:val="single" w:sz="8" w:space="0" w:color="auto"/>
              <w:bottom w:val="single" w:sz="8" w:space="0" w:color="auto"/>
              <w:right w:val="single" w:sz="8" w:space="0" w:color="auto"/>
            </w:tcBorders>
            <w:shd w:val="clear" w:color="auto" w:fill="auto"/>
            <w:noWrap/>
            <w:vAlign w:val="center"/>
            <w:hideMark/>
          </w:tcPr>
          <w:p w14:paraId="661691F9"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 xml:space="preserve"> Cifras de 2026</w:t>
            </w:r>
          </w:p>
        </w:tc>
      </w:tr>
      <w:tr w:rsidR="003442FF" w:rsidRPr="003442FF" w14:paraId="3ECB66B8" w14:textId="77777777" w:rsidTr="00047221">
        <w:trPr>
          <w:trHeight w:val="571"/>
        </w:trPr>
        <w:tc>
          <w:tcPr>
            <w:tcW w:w="3671" w:type="dxa"/>
            <w:tcBorders>
              <w:top w:val="nil"/>
              <w:left w:val="nil"/>
              <w:bottom w:val="single" w:sz="8" w:space="0" w:color="auto"/>
              <w:right w:val="single" w:sz="8" w:space="0" w:color="auto"/>
            </w:tcBorders>
            <w:shd w:val="clear" w:color="auto" w:fill="auto"/>
            <w:vAlign w:val="center"/>
            <w:hideMark/>
          </w:tcPr>
          <w:p w14:paraId="7403AEB6" w14:textId="77777777" w:rsidR="003442FF" w:rsidRPr="003442FF" w:rsidRDefault="003442FF" w:rsidP="003442FF">
            <w:pPr>
              <w:spacing w:after="0" w:line="240" w:lineRule="auto"/>
              <w:jc w:val="center"/>
              <w:rPr>
                <w:rFonts w:ascii="Times New Roman" w:eastAsia="Times New Roman" w:hAnsi="Times New Roman" w:cs="Times New Roman"/>
                <w:b/>
                <w:bCs/>
                <w:noProof/>
                <w:sz w:val="20"/>
                <w:szCs w:val="20"/>
                <w:lang w:val="en-IE" w:eastAsia="en-IE"/>
              </w:rPr>
            </w:pPr>
          </w:p>
        </w:tc>
        <w:tc>
          <w:tcPr>
            <w:tcW w:w="16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C526A1D" w14:textId="77777777" w:rsidR="003442FF" w:rsidRPr="00B0150F" w:rsidRDefault="003442FF" w:rsidP="003442FF">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Comunicación de octubre de 2024</w:t>
            </w:r>
          </w:p>
        </w:tc>
        <w:tc>
          <w:tcPr>
            <w:tcW w:w="1640"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10BDA6E4"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c>
          <w:tcPr>
            <w:tcW w:w="1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6B82FD3" w14:textId="77777777" w:rsidR="003442FF" w:rsidRPr="00B0150F" w:rsidRDefault="003442FF" w:rsidP="003442FF">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Comunicación de octubre de 2024</w:t>
            </w:r>
          </w:p>
        </w:tc>
        <w:tc>
          <w:tcPr>
            <w:tcW w:w="1594"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730F97ED"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c>
          <w:tcPr>
            <w:tcW w:w="1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8445CFA" w14:textId="77777777" w:rsidR="003442FF" w:rsidRPr="00B0150F" w:rsidRDefault="003442FF" w:rsidP="003442FF">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Comunicación de octubre de 2024</w:t>
            </w:r>
          </w:p>
        </w:tc>
        <w:tc>
          <w:tcPr>
            <w:tcW w:w="1594" w:type="dxa"/>
            <w:tcBorders>
              <w:top w:val="single" w:sz="8" w:space="0" w:color="auto"/>
              <w:left w:val="nil"/>
              <w:bottom w:val="single" w:sz="4" w:space="0" w:color="auto"/>
              <w:right w:val="single" w:sz="8" w:space="0" w:color="auto"/>
            </w:tcBorders>
            <w:shd w:val="clear" w:color="auto" w:fill="BFBFBF" w:themeFill="background1" w:themeFillShade="BF"/>
            <w:vAlign w:val="center"/>
            <w:hideMark/>
          </w:tcPr>
          <w:p w14:paraId="31AFC2A8" w14:textId="77777777" w:rsidR="003442FF" w:rsidRPr="00B0150F" w:rsidRDefault="003442FF" w:rsidP="003442FF">
            <w:pPr>
              <w:spacing w:after="0" w:line="240" w:lineRule="auto"/>
              <w:jc w:val="center"/>
              <w:rPr>
                <w:rFonts w:asciiTheme="majorBidi" w:eastAsia="Times New Roman" w:hAnsiTheme="majorBidi" w:cstheme="majorBidi"/>
                <w:b/>
                <w:bCs/>
                <w:noProof/>
                <w:sz w:val="19"/>
                <w:szCs w:val="19"/>
              </w:rPr>
            </w:pPr>
            <w:r w:rsidRPr="00B0150F">
              <w:rPr>
                <w:rFonts w:asciiTheme="majorBidi" w:hAnsiTheme="majorBidi" w:cstheme="majorBidi"/>
                <w:b/>
                <w:noProof/>
                <w:sz w:val="19"/>
                <w:szCs w:val="19"/>
              </w:rPr>
              <w:t>Comunicación de junio de 2025</w:t>
            </w:r>
          </w:p>
        </w:tc>
      </w:tr>
      <w:tr w:rsidR="003442FF" w:rsidRPr="003442FF" w14:paraId="38A4B13B" w14:textId="77777777" w:rsidTr="00047221">
        <w:trPr>
          <w:trHeight w:val="255"/>
        </w:trPr>
        <w:tc>
          <w:tcPr>
            <w:tcW w:w="3671" w:type="dxa"/>
            <w:tcBorders>
              <w:top w:val="single" w:sz="8" w:space="0" w:color="auto"/>
              <w:left w:val="single" w:sz="8" w:space="0" w:color="auto"/>
              <w:bottom w:val="nil"/>
              <w:right w:val="single" w:sz="8" w:space="0" w:color="auto"/>
            </w:tcBorders>
            <w:shd w:val="clear" w:color="auto" w:fill="auto"/>
            <w:noWrap/>
            <w:vAlign w:val="center"/>
            <w:hideMark/>
          </w:tcPr>
          <w:p w14:paraId="1C3089D2" w14:textId="77777777" w:rsidR="003442FF" w:rsidRPr="00B0150F" w:rsidRDefault="003442FF" w:rsidP="003442FF">
            <w:pPr>
              <w:spacing w:after="0" w:line="240" w:lineRule="auto"/>
              <w:ind w:firstLineChars="100" w:firstLine="190"/>
              <w:rPr>
                <w:rFonts w:ascii="Times New Roman" w:eastAsia="Times New Roman" w:hAnsi="Times New Roman" w:cs="Times New Roman"/>
                <w:noProof/>
                <w:sz w:val="19"/>
                <w:szCs w:val="19"/>
              </w:rPr>
            </w:pPr>
            <w:r w:rsidRPr="00B0150F">
              <w:rPr>
                <w:rFonts w:ascii="Times New Roman" w:hAnsi="Times New Roman"/>
                <w:noProof/>
                <w:sz w:val="19"/>
                <w:szCs w:val="19"/>
              </w:rPr>
              <w:t>Regiones</w:t>
            </w:r>
          </w:p>
        </w:tc>
        <w:tc>
          <w:tcPr>
            <w:tcW w:w="1640" w:type="dxa"/>
            <w:tcBorders>
              <w:top w:val="single" w:sz="4" w:space="0" w:color="auto"/>
              <w:left w:val="single" w:sz="8" w:space="0" w:color="auto"/>
              <w:bottom w:val="nil"/>
              <w:right w:val="single" w:sz="4" w:space="0" w:color="auto"/>
            </w:tcBorders>
            <w:shd w:val="clear" w:color="000000" w:fill="FFFFFF"/>
            <w:noWrap/>
            <w:vAlign w:val="bottom"/>
            <w:hideMark/>
          </w:tcPr>
          <w:p w14:paraId="0D240320"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640" w:type="dxa"/>
            <w:tcBorders>
              <w:top w:val="single" w:sz="4" w:space="0" w:color="auto"/>
              <w:left w:val="nil"/>
              <w:bottom w:val="nil"/>
              <w:right w:val="single" w:sz="4" w:space="0" w:color="auto"/>
            </w:tcBorders>
            <w:shd w:val="clear" w:color="auto" w:fill="BFBFBF" w:themeFill="background1" w:themeFillShade="BF"/>
            <w:noWrap/>
            <w:vAlign w:val="bottom"/>
            <w:hideMark/>
          </w:tcPr>
          <w:p w14:paraId="3998A131"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594" w:type="dxa"/>
            <w:tcBorders>
              <w:top w:val="single" w:sz="4" w:space="0" w:color="auto"/>
              <w:left w:val="single" w:sz="4" w:space="0" w:color="auto"/>
              <w:bottom w:val="nil"/>
              <w:right w:val="single" w:sz="4" w:space="0" w:color="auto"/>
            </w:tcBorders>
            <w:shd w:val="clear" w:color="auto" w:fill="auto"/>
            <w:noWrap/>
            <w:vAlign w:val="bottom"/>
            <w:hideMark/>
          </w:tcPr>
          <w:p w14:paraId="2F6CA1FA"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single" w:sz="4" w:space="0" w:color="auto"/>
              <w:left w:val="nil"/>
              <w:bottom w:val="nil"/>
              <w:right w:val="single" w:sz="4" w:space="0" w:color="auto"/>
            </w:tcBorders>
            <w:shd w:val="clear" w:color="auto" w:fill="BFBFBF" w:themeFill="background1" w:themeFillShade="BF"/>
            <w:noWrap/>
            <w:vAlign w:val="bottom"/>
            <w:hideMark/>
          </w:tcPr>
          <w:p w14:paraId="758ED11A"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single" w:sz="4" w:space="0" w:color="auto"/>
              <w:left w:val="nil"/>
              <w:bottom w:val="nil"/>
              <w:right w:val="nil"/>
            </w:tcBorders>
            <w:shd w:val="clear" w:color="auto" w:fill="auto"/>
            <w:noWrap/>
            <w:vAlign w:val="bottom"/>
            <w:hideMark/>
          </w:tcPr>
          <w:p w14:paraId="02F8D81F"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1F87D28A"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32A603C4" w14:textId="77777777" w:rsidTr="00047221">
        <w:trPr>
          <w:trHeight w:val="300"/>
        </w:trPr>
        <w:tc>
          <w:tcPr>
            <w:tcW w:w="3671" w:type="dxa"/>
            <w:tcBorders>
              <w:top w:val="nil"/>
              <w:left w:val="single" w:sz="8" w:space="0" w:color="auto"/>
              <w:bottom w:val="nil"/>
              <w:right w:val="single" w:sz="8" w:space="0" w:color="auto"/>
            </w:tcBorders>
            <w:shd w:val="clear" w:color="000000" w:fill="FFFFFF"/>
            <w:noWrap/>
            <w:vAlign w:val="center"/>
            <w:hideMark/>
          </w:tcPr>
          <w:p w14:paraId="212FFEA6"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África Oriental y Central</w:t>
            </w:r>
          </w:p>
        </w:tc>
        <w:tc>
          <w:tcPr>
            <w:tcW w:w="1640" w:type="dxa"/>
            <w:tcBorders>
              <w:top w:val="nil"/>
              <w:left w:val="single" w:sz="8" w:space="0" w:color="auto"/>
              <w:bottom w:val="nil"/>
              <w:right w:val="single" w:sz="4" w:space="0" w:color="auto"/>
            </w:tcBorders>
            <w:shd w:val="clear" w:color="000000" w:fill="FFFFFF"/>
            <w:noWrap/>
            <w:vAlign w:val="bottom"/>
            <w:hideMark/>
          </w:tcPr>
          <w:p w14:paraId="4948F474"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243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ED6F14B"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237</w:t>
            </w:r>
          </w:p>
        </w:tc>
        <w:tc>
          <w:tcPr>
            <w:tcW w:w="1594" w:type="dxa"/>
            <w:tcBorders>
              <w:top w:val="nil"/>
              <w:left w:val="single" w:sz="4" w:space="0" w:color="auto"/>
              <w:bottom w:val="nil"/>
              <w:right w:val="single" w:sz="4" w:space="0" w:color="auto"/>
            </w:tcBorders>
            <w:shd w:val="clear" w:color="auto" w:fill="auto"/>
            <w:noWrap/>
            <w:vAlign w:val="bottom"/>
            <w:hideMark/>
          </w:tcPr>
          <w:p w14:paraId="66F373FB"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24B544B1" w14:textId="7DA5A6CB"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220</w:t>
            </w:r>
          </w:p>
        </w:tc>
        <w:tc>
          <w:tcPr>
            <w:tcW w:w="1594" w:type="dxa"/>
            <w:tcBorders>
              <w:top w:val="nil"/>
              <w:left w:val="nil"/>
              <w:bottom w:val="nil"/>
              <w:right w:val="nil"/>
            </w:tcBorders>
            <w:shd w:val="clear" w:color="auto" w:fill="auto"/>
            <w:noWrap/>
            <w:vAlign w:val="bottom"/>
            <w:hideMark/>
          </w:tcPr>
          <w:p w14:paraId="59191257"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1E17DDB"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3A9A6175" w14:textId="77777777" w:rsidTr="00047221">
        <w:trPr>
          <w:trHeight w:val="255"/>
        </w:trPr>
        <w:tc>
          <w:tcPr>
            <w:tcW w:w="3671" w:type="dxa"/>
            <w:tcBorders>
              <w:top w:val="nil"/>
              <w:left w:val="single" w:sz="8" w:space="0" w:color="auto"/>
              <w:bottom w:val="nil"/>
              <w:right w:val="single" w:sz="8" w:space="0" w:color="auto"/>
            </w:tcBorders>
            <w:shd w:val="clear" w:color="000000" w:fill="FFFFFF"/>
            <w:noWrap/>
            <w:vAlign w:val="center"/>
            <w:hideMark/>
          </w:tcPr>
          <w:p w14:paraId="25EB3B70"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África Occidental y Meridional</w:t>
            </w:r>
          </w:p>
        </w:tc>
        <w:tc>
          <w:tcPr>
            <w:tcW w:w="1640" w:type="dxa"/>
            <w:tcBorders>
              <w:top w:val="nil"/>
              <w:left w:val="single" w:sz="8" w:space="0" w:color="auto"/>
              <w:bottom w:val="nil"/>
              <w:right w:val="single" w:sz="4" w:space="0" w:color="auto"/>
            </w:tcBorders>
            <w:shd w:val="clear" w:color="000000" w:fill="FFFFFF"/>
            <w:noWrap/>
            <w:vAlign w:val="bottom"/>
            <w:hideMark/>
          </w:tcPr>
          <w:p w14:paraId="4C540B3B"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640</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F3FC494"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634</w:t>
            </w:r>
          </w:p>
        </w:tc>
        <w:tc>
          <w:tcPr>
            <w:tcW w:w="1594" w:type="dxa"/>
            <w:tcBorders>
              <w:top w:val="nil"/>
              <w:left w:val="single" w:sz="4" w:space="0" w:color="auto"/>
              <w:bottom w:val="nil"/>
              <w:right w:val="single" w:sz="4" w:space="0" w:color="auto"/>
            </w:tcBorders>
            <w:shd w:val="clear" w:color="auto" w:fill="auto"/>
            <w:noWrap/>
            <w:vAlign w:val="bottom"/>
            <w:hideMark/>
          </w:tcPr>
          <w:p w14:paraId="5C653C0E"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32BDBA35" w14:textId="377E10AA"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415</w:t>
            </w:r>
          </w:p>
        </w:tc>
        <w:tc>
          <w:tcPr>
            <w:tcW w:w="1594" w:type="dxa"/>
            <w:tcBorders>
              <w:top w:val="nil"/>
              <w:left w:val="nil"/>
              <w:bottom w:val="nil"/>
              <w:right w:val="nil"/>
            </w:tcBorders>
            <w:shd w:val="clear" w:color="auto" w:fill="auto"/>
            <w:noWrap/>
            <w:vAlign w:val="bottom"/>
            <w:hideMark/>
          </w:tcPr>
          <w:p w14:paraId="339D43EB"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3435ED8"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62676FC4"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F9988F0"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Caribe</w:t>
            </w:r>
          </w:p>
        </w:tc>
        <w:tc>
          <w:tcPr>
            <w:tcW w:w="1640" w:type="dxa"/>
            <w:tcBorders>
              <w:top w:val="nil"/>
              <w:left w:val="single" w:sz="8" w:space="0" w:color="auto"/>
              <w:bottom w:val="nil"/>
              <w:right w:val="single" w:sz="4" w:space="0" w:color="auto"/>
            </w:tcBorders>
            <w:shd w:val="clear" w:color="000000" w:fill="FFFFFF"/>
            <w:noWrap/>
            <w:vAlign w:val="bottom"/>
            <w:hideMark/>
          </w:tcPr>
          <w:p w14:paraId="50274B4F"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133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E80F3AA"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85</w:t>
            </w:r>
          </w:p>
        </w:tc>
        <w:tc>
          <w:tcPr>
            <w:tcW w:w="1594" w:type="dxa"/>
            <w:tcBorders>
              <w:top w:val="nil"/>
              <w:left w:val="single" w:sz="4" w:space="0" w:color="auto"/>
              <w:bottom w:val="nil"/>
              <w:right w:val="single" w:sz="4" w:space="0" w:color="auto"/>
            </w:tcBorders>
            <w:shd w:val="clear" w:color="auto" w:fill="auto"/>
            <w:noWrap/>
            <w:vAlign w:val="bottom"/>
            <w:hideMark/>
          </w:tcPr>
          <w:p w14:paraId="04106BB2"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05004237" w14:textId="55B6E4D0"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80</w:t>
            </w:r>
          </w:p>
        </w:tc>
        <w:tc>
          <w:tcPr>
            <w:tcW w:w="1594" w:type="dxa"/>
            <w:tcBorders>
              <w:top w:val="nil"/>
              <w:left w:val="nil"/>
              <w:bottom w:val="nil"/>
              <w:right w:val="nil"/>
            </w:tcBorders>
            <w:shd w:val="clear" w:color="auto" w:fill="auto"/>
            <w:noWrap/>
            <w:vAlign w:val="bottom"/>
            <w:hideMark/>
          </w:tcPr>
          <w:p w14:paraId="75F8F472"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6AC6A9A8"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538F1E14" w14:textId="77777777" w:rsidTr="00047221">
        <w:trPr>
          <w:trHeight w:val="255"/>
        </w:trPr>
        <w:tc>
          <w:tcPr>
            <w:tcW w:w="3671" w:type="dxa"/>
            <w:tcBorders>
              <w:top w:val="nil"/>
              <w:left w:val="single" w:sz="8" w:space="0" w:color="auto"/>
              <w:bottom w:val="single" w:sz="4" w:space="0" w:color="auto"/>
              <w:right w:val="single" w:sz="8" w:space="0" w:color="auto"/>
            </w:tcBorders>
            <w:shd w:val="clear" w:color="auto" w:fill="auto"/>
            <w:noWrap/>
            <w:vAlign w:val="center"/>
            <w:hideMark/>
          </w:tcPr>
          <w:p w14:paraId="35379509"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Océano Pacífico</w:t>
            </w:r>
          </w:p>
        </w:tc>
        <w:tc>
          <w:tcPr>
            <w:tcW w:w="1640" w:type="dxa"/>
            <w:tcBorders>
              <w:top w:val="nil"/>
              <w:left w:val="single" w:sz="8" w:space="0" w:color="auto"/>
              <w:bottom w:val="single" w:sz="4" w:space="0" w:color="auto"/>
              <w:right w:val="single" w:sz="4" w:space="0" w:color="auto"/>
            </w:tcBorders>
            <w:shd w:val="clear" w:color="000000" w:fill="FFFFFF"/>
            <w:noWrap/>
            <w:vAlign w:val="bottom"/>
            <w:hideMark/>
          </w:tcPr>
          <w:p w14:paraId="305D442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56</w:t>
            </w:r>
          </w:p>
        </w:tc>
        <w:tc>
          <w:tcPr>
            <w:tcW w:w="1640" w:type="dxa"/>
            <w:tcBorders>
              <w:top w:val="nil"/>
              <w:left w:val="nil"/>
              <w:bottom w:val="single" w:sz="4" w:space="0" w:color="auto"/>
              <w:right w:val="single" w:sz="4" w:space="0" w:color="auto"/>
            </w:tcBorders>
            <w:shd w:val="clear" w:color="auto" w:fill="BFBFBF" w:themeFill="background1" w:themeFillShade="BF"/>
            <w:noWrap/>
            <w:vAlign w:val="bottom"/>
            <w:hideMark/>
          </w:tcPr>
          <w:p w14:paraId="050C4365" w14:textId="321E628A"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50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4282282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single" w:sz="4" w:space="0" w:color="auto"/>
              <w:right w:val="single" w:sz="4" w:space="0" w:color="auto"/>
            </w:tcBorders>
            <w:shd w:val="clear" w:color="auto" w:fill="BFBFBF" w:themeFill="background1" w:themeFillShade="BF"/>
            <w:noWrap/>
            <w:vAlign w:val="bottom"/>
            <w:hideMark/>
          </w:tcPr>
          <w:p w14:paraId="164B04F6"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35</w:t>
            </w:r>
          </w:p>
        </w:tc>
        <w:tc>
          <w:tcPr>
            <w:tcW w:w="1594" w:type="dxa"/>
            <w:tcBorders>
              <w:top w:val="nil"/>
              <w:left w:val="nil"/>
              <w:bottom w:val="single" w:sz="4" w:space="0" w:color="auto"/>
              <w:right w:val="nil"/>
            </w:tcBorders>
            <w:shd w:val="clear" w:color="auto" w:fill="auto"/>
            <w:noWrap/>
            <w:vAlign w:val="bottom"/>
            <w:hideMark/>
          </w:tcPr>
          <w:p w14:paraId="570A0BF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3779B7DB"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6D4A0E5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3481D715"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Subtotal*</w:t>
            </w:r>
          </w:p>
        </w:tc>
        <w:tc>
          <w:tcPr>
            <w:tcW w:w="1640" w:type="dxa"/>
            <w:tcBorders>
              <w:top w:val="nil"/>
              <w:left w:val="single" w:sz="8" w:space="0" w:color="auto"/>
              <w:bottom w:val="nil"/>
              <w:right w:val="single" w:sz="4" w:space="0" w:color="auto"/>
            </w:tcBorders>
            <w:shd w:val="clear" w:color="000000" w:fill="FFFFFF"/>
            <w:noWrap/>
            <w:vAlign w:val="bottom"/>
            <w:hideMark/>
          </w:tcPr>
          <w:p w14:paraId="74251718"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1 073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DF3E516" w14:textId="6DA302A9" w:rsidR="003442FF" w:rsidRPr="00B0150F" w:rsidRDefault="008C1BB8"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1006</w:t>
            </w:r>
          </w:p>
        </w:tc>
        <w:tc>
          <w:tcPr>
            <w:tcW w:w="1594" w:type="dxa"/>
            <w:tcBorders>
              <w:top w:val="nil"/>
              <w:left w:val="single" w:sz="4" w:space="0" w:color="auto"/>
              <w:bottom w:val="nil"/>
              <w:right w:val="single" w:sz="4" w:space="0" w:color="auto"/>
            </w:tcBorders>
            <w:shd w:val="clear" w:color="auto" w:fill="auto"/>
            <w:noWrap/>
            <w:vAlign w:val="bottom"/>
            <w:hideMark/>
          </w:tcPr>
          <w:p w14:paraId="20A85017"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41546B0" w14:textId="23CB7749"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750</w:t>
            </w:r>
          </w:p>
        </w:tc>
        <w:tc>
          <w:tcPr>
            <w:tcW w:w="1594" w:type="dxa"/>
            <w:tcBorders>
              <w:top w:val="nil"/>
              <w:left w:val="single" w:sz="4" w:space="0" w:color="auto"/>
              <w:bottom w:val="nil"/>
              <w:right w:val="nil"/>
            </w:tcBorders>
            <w:shd w:val="clear" w:color="auto" w:fill="auto"/>
            <w:noWrap/>
            <w:vAlign w:val="bottom"/>
            <w:hideMark/>
          </w:tcPr>
          <w:p w14:paraId="6F45C0F3"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62082396"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2366051B"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D148861" w14:textId="77777777" w:rsidR="003442FF" w:rsidRPr="00B0150F" w:rsidRDefault="003442FF" w:rsidP="003442FF">
            <w:pPr>
              <w:spacing w:after="0" w:line="240" w:lineRule="auto"/>
              <w:ind w:firstLineChars="100" w:firstLine="190"/>
              <w:rPr>
                <w:rFonts w:ascii="Times New Roman" w:eastAsia="Times New Roman" w:hAnsi="Times New Roman" w:cs="Times New Roman"/>
                <w:noProof/>
                <w:sz w:val="19"/>
                <w:szCs w:val="19"/>
              </w:rPr>
            </w:pPr>
            <w:r w:rsidRPr="00B0150F">
              <w:rPr>
                <w:rFonts w:ascii="Times New Roman" w:hAnsi="Times New Roman"/>
                <w:noProof/>
                <w:sz w:val="19"/>
                <w:szCs w:val="19"/>
              </w:rPr>
              <w:t xml:space="preserve">Otros </w:t>
            </w:r>
          </w:p>
        </w:tc>
        <w:tc>
          <w:tcPr>
            <w:tcW w:w="1640" w:type="dxa"/>
            <w:tcBorders>
              <w:top w:val="nil"/>
              <w:left w:val="single" w:sz="8" w:space="0" w:color="auto"/>
              <w:bottom w:val="nil"/>
              <w:right w:val="single" w:sz="4" w:space="0" w:color="auto"/>
            </w:tcBorders>
            <w:shd w:val="clear" w:color="000000" w:fill="FFFFFF"/>
            <w:noWrap/>
            <w:vAlign w:val="bottom"/>
            <w:hideMark/>
          </w:tcPr>
          <w:p w14:paraId="27C0BF64"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287B241D"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594" w:type="dxa"/>
            <w:tcBorders>
              <w:top w:val="nil"/>
              <w:left w:val="single" w:sz="4" w:space="0" w:color="auto"/>
              <w:bottom w:val="nil"/>
              <w:right w:val="single" w:sz="4" w:space="0" w:color="auto"/>
            </w:tcBorders>
            <w:shd w:val="clear" w:color="auto" w:fill="auto"/>
            <w:noWrap/>
            <w:vAlign w:val="bottom"/>
            <w:hideMark/>
          </w:tcPr>
          <w:p w14:paraId="17253CA3"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0A93F35D"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c>
          <w:tcPr>
            <w:tcW w:w="1594" w:type="dxa"/>
            <w:tcBorders>
              <w:top w:val="nil"/>
              <w:left w:val="nil"/>
              <w:bottom w:val="nil"/>
              <w:right w:val="nil"/>
            </w:tcBorders>
            <w:shd w:val="clear" w:color="auto" w:fill="auto"/>
            <w:noWrap/>
            <w:vAlign w:val="bottom"/>
            <w:hideMark/>
          </w:tcPr>
          <w:p w14:paraId="68EBE876"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3D41E11E"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24BBA12C"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1BDEA20B"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 xml:space="preserve">Medidas especiales para la seguridad alimentaria </w:t>
            </w:r>
          </w:p>
        </w:tc>
        <w:tc>
          <w:tcPr>
            <w:tcW w:w="1640" w:type="dxa"/>
            <w:tcBorders>
              <w:top w:val="nil"/>
              <w:left w:val="single" w:sz="8" w:space="0" w:color="auto"/>
              <w:bottom w:val="nil"/>
              <w:right w:val="single" w:sz="4" w:space="0" w:color="auto"/>
            </w:tcBorders>
            <w:shd w:val="clear" w:color="000000" w:fill="FFFFFF"/>
            <w:noWrap/>
            <w:vAlign w:val="bottom"/>
            <w:hideMark/>
          </w:tcPr>
          <w:p w14:paraId="46FB538B"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46</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32C0C347"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35</w:t>
            </w:r>
          </w:p>
        </w:tc>
        <w:tc>
          <w:tcPr>
            <w:tcW w:w="1594" w:type="dxa"/>
            <w:tcBorders>
              <w:top w:val="nil"/>
              <w:left w:val="single" w:sz="4" w:space="0" w:color="auto"/>
              <w:bottom w:val="nil"/>
              <w:right w:val="single" w:sz="4" w:space="0" w:color="auto"/>
            </w:tcBorders>
            <w:shd w:val="clear" w:color="auto" w:fill="auto"/>
            <w:noWrap/>
            <w:vAlign w:val="bottom"/>
            <w:hideMark/>
          </w:tcPr>
          <w:p w14:paraId="28105515"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159CDBC0" w14:textId="15A25DF6"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40</w:t>
            </w:r>
          </w:p>
        </w:tc>
        <w:tc>
          <w:tcPr>
            <w:tcW w:w="1594" w:type="dxa"/>
            <w:tcBorders>
              <w:top w:val="nil"/>
              <w:left w:val="nil"/>
              <w:bottom w:val="nil"/>
              <w:right w:val="nil"/>
            </w:tcBorders>
            <w:shd w:val="clear" w:color="auto" w:fill="auto"/>
            <w:noWrap/>
            <w:vAlign w:val="bottom"/>
            <w:hideMark/>
          </w:tcPr>
          <w:p w14:paraId="3DA7156A"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4DED53FB"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7EB4C99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4D22D86B"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Desarrollo humano, derechos humanos</w:t>
            </w:r>
          </w:p>
        </w:tc>
        <w:tc>
          <w:tcPr>
            <w:tcW w:w="1640" w:type="dxa"/>
            <w:tcBorders>
              <w:top w:val="nil"/>
              <w:left w:val="single" w:sz="8" w:space="0" w:color="auto"/>
              <w:bottom w:val="nil"/>
              <w:right w:val="single" w:sz="4" w:space="0" w:color="auto"/>
            </w:tcBorders>
            <w:shd w:val="clear" w:color="000000" w:fill="FFFFFF"/>
            <w:noWrap/>
            <w:vAlign w:val="bottom"/>
            <w:hideMark/>
          </w:tcPr>
          <w:p w14:paraId="4CD56CFE"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43</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32C32A3C"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54</w:t>
            </w:r>
          </w:p>
        </w:tc>
        <w:tc>
          <w:tcPr>
            <w:tcW w:w="1594" w:type="dxa"/>
            <w:tcBorders>
              <w:top w:val="nil"/>
              <w:left w:val="single" w:sz="4" w:space="0" w:color="auto"/>
              <w:bottom w:val="nil"/>
              <w:right w:val="single" w:sz="4" w:space="0" w:color="auto"/>
            </w:tcBorders>
            <w:shd w:val="clear" w:color="auto" w:fill="auto"/>
            <w:noWrap/>
            <w:vAlign w:val="bottom"/>
            <w:hideMark/>
          </w:tcPr>
          <w:p w14:paraId="04381119"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5F4A2A0" w14:textId="1CB3D252"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10</w:t>
            </w:r>
          </w:p>
        </w:tc>
        <w:tc>
          <w:tcPr>
            <w:tcW w:w="1594" w:type="dxa"/>
            <w:tcBorders>
              <w:top w:val="nil"/>
              <w:left w:val="nil"/>
              <w:bottom w:val="nil"/>
              <w:right w:val="nil"/>
            </w:tcBorders>
            <w:shd w:val="clear" w:color="auto" w:fill="auto"/>
            <w:noWrap/>
            <w:vAlign w:val="bottom"/>
            <w:hideMark/>
          </w:tcPr>
          <w:p w14:paraId="450FDD52"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0CAA5CBF"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0A3C0F9B"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center"/>
            <w:hideMark/>
          </w:tcPr>
          <w:p w14:paraId="78A60376"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UE-África, Fondo de Apoyo a la Paz para África</w:t>
            </w:r>
          </w:p>
        </w:tc>
        <w:tc>
          <w:tcPr>
            <w:tcW w:w="1640" w:type="dxa"/>
            <w:tcBorders>
              <w:top w:val="nil"/>
              <w:left w:val="single" w:sz="8" w:space="0" w:color="auto"/>
              <w:bottom w:val="nil"/>
              <w:right w:val="single" w:sz="4" w:space="0" w:color="auto"/>
            </w:tcBorders>
            <w:shd w:val="clear" w:color="000000" w:fill="FFFFFF"/>
            <w:noWrap/>
            <w:vAlign w:val="bottom"/>
            <w:hideMark/>
          </w:tcPr>
          <w:p w14:paraId="13DFB7D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66</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089C4ADD"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65</w:t>
            </w:r>
          </w:p>
        </w:tc>
        <w:tc>
          <w:tcPr>
            <w:tcW w:w="1594" w:type="dxa"/>
            <w:tcBorders>
              <w:top w:val="nil"/>
              <w:left w:val="single" w:sz="4" w:space="0" w:color="auto"/>
              <w:bottom w:val="nil"/>
              <w:right w:val="single" w:sz="4" w:space="0" w:color="auto"/>
            </w:tcBorders>
            <w:shd w:val="clear" w:color="auto" w:fill="auto"/>
            <w:noWrap/>
            <w:vAlign w:val="bottom"/>
            <w:hideMark/>
          </w:tcPr>
          <w:p w14:paraId="6EF0A3A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20C30D52" w14:textId="1D4B033B"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35</w:t>
            </w:r>
          </w:p>
        </w:tc>
        <w:tc>
          <w:tcPr>
            <w:tcW w:w="1594" w:type="dxa"/>
            <w:tcBorders>
              <w:top w:val="nil"/>
              <w:left w:val="nil"/>
              <w:bottom w:val="nil"/>
              <w:right w:val="nil"/>
            </w:tcBorders>
            <w:shd w:val="clear" w:color="auto" w:fill="auto"/>
            <w:noWrap/>
            <w:vAlign w:val="bottom"/>
            <w:hideMark/>
          </w:tcPr>
          <w:p w14:paraId="75E2B98F"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15F59AB0"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081F6440"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3D2F7398"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FFUE para África</w:t>
            </w:r>
          </w:p>
        </w:tc>
        <w:tc>
          <w:tcPr>
            <w:tcW w:w="1640" w:type="dxa"/>
            <w:tcBorders>
              <w:top w:val="nil"/>
              <w:left w:val="single" w:sz="8" w:space="0" w:color="auto"/>
              <w:bottom w:val="nil"/>
              <w:right w:val="single" w:sz="4" w:space="0" w:color="auto"/>
            </w:tcBorders>
            <w:shd w:val="clear" w:color="000000" w:fill="FFFFFF"/>
            <w:noWrap/>
            <w:vAlign w:val="bottom"/>
            <w:hideMark/>
          </w:tcPr>
          <w:p w14:paraId="6072503B"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70</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1C7CC240"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90</w:t>
            </w:r>
          </w:p>
        </w:tc>
        <w:tc>
          <w:tcPr>
            <w:tcW w:w="1594" w:type="dxa"/>
            <w:tcBorders>
              <w:top w:val="nil"/>
              <w:left w:val="single" w:sz="4" w:space="0" w:color="auto"/>
              <w:bottom w:val="nil"/>
              <w:right w:val="single" w:sz="4" w:space="0" w:color="auto"/>
            </w:tcBorders>
            <w:shd w:val="clear" w:color="auto" w:fill="auto"/>
            <w:noWrap/>
            <w:vAlign w:val="bottom"/>
            <w:hideMark/>
          </w:tcPr>
          <w:p w14:paraId="7934CA6B"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79465B69" w14:textId="493637BB"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30</w:t>
            </w:r>
          </w:p>
        </w:tc>
        <w:tc>
          <w:tcPr>
            <w:tcW w:w="1594" w:type="dxa"/>
            <w:tcBorders>
              <w:top w:val="nil"/>
              <w:left w:val="nil"/>
              <w:bottom w:val="nil"/>
              <w:right w:val="nil"/>
            </w:tcBorders>
            <w:shd w:val="clear" w:color="auto" w:fill="auto"/>
            <w:noWrap/>
            <w:vAlign w:val="bottom"/>
            <w:hideMark/>
          </w:tcPr>
          <w:p w14:paraId="1B2DC4C1"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45E1F276"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007E6148"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37559463"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Planeta y prosperidad</w:t>
            </w:r>
          </w:p>
        </w:tc>
        <w:tc>
          <w:tcPr>
            <w:tcW w:w="1640" w:type="dxa"/>
            <w:tcBorders>
              <w:top w:val="nil"/>
              <w:left w:val="single" w:sz="8" w:space="0" w:color="auto"/>
              <w:bottom w:val="nil"/>
              <w:right w:val="single" w:sz="4" w:space="0" w:color="auto"/>
            </w:tcBorders>
            <w:shd w:val="clear" w:color="000000" w:fill="FFFFFF"/>
            <w:noWrap/>
            <w:vAlign w:val="bottom"/>
            <w:hideMark/>
          </w:tcPr>
          <w:p w14:paraId="692A6916"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111</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1B0E6A01"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137</w:t>
            </w:r>
          </w:p>
        </w:tc>
        <w:tc>
          <w:tcPr>
            <w:tcW w:w="1594" w:type="dxa"/>
            <w:tcBorders>
              <w:top w:val="nil"/>
              <w:left w:val="single" w:sz="4" w:space="0" w:color="auto"/>
              <w:bottom w:val="nil"/>
              <w:right w:val="single" w:sz="4" w:space="0" w:color="auto"/>
            </w:tcBorders>
            <w:shd w:val="clear" w:color="auto" w:fill="auto"/>
            <w:noWrap/>
            <w:vAlign w:val="bottom"/>
            <w:hideMark/>
          </w:tcPr>
          <w:p w14:paraId="13056941"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51A3A1A1" w14:textId="592A8692"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90</w:t>
            </w:r>
          </w:p>
        </w:tc>
        <w:tc>
          <w:tcPr>
            <w:tcW w:w="1594" w:type="dxa"/>
            <w:tcBorders>
              <w:top w:val="nil"/>
              <w:left w:val="nil"/>
              <w:bottom w:val="nil"/>
              <w:right w:val="nil"/>
            </w:tcBorders>
            <w:shd w:val="clear" w:color="auto" w:fill="auto"/>
            <w:noWrap/>
            <w:vAlign w:val="bottom"/>
            <w:hideMark/>
          </w:tcPr>
          <w:p w14:paraId="0D7C6E1D"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79991317"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238AEF93" w14:textId="77777777" w:rsidTr="00047221">
        <w:trPr>
          <w:trHeight w:val="255"/>
        </w:trPr>
        <w:tc>
          <w:tcPr>
            <w:tcW w:w="3671" w:type="dxa"/>
            <w:tcBorders>
              <w:top w:val="nil"/>
              <w:left w:val="single" w:sz="8" w:space="0" w:color="auto"/>
              <w:bottom w:val="nil"/>
              <w:right w:val="single" w:sz="8" w:space="0" w:color="auto"/>
            </w:tcBorders>
            <w:shd w:val="clear" w:color="auto" w:fill="auto"/>
            <w:noWrap/>
            <w:vAlign w:val="bottom"/>
            <w:hideMark/>
          </w:tcPr>
          <w:p w14:paraId="0B66A774"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Recursos, evaluación, proceso</w:t>
            </w:r>
          </w:p>
        </w:tc>
        <w:tc>
          <w:tcPr>
            <w:tcW w:w="1640" w:type="dxa"/>
            <w:tcBorders>
              <w:top w:val="nil"/>
              <w:left w:val="single" w:sz="8" w:space="0" w:color="auto"/>
              <w:bottom w:val="nil"/>
              <w:right w:val="single" w:sz="4" w:space="0" w:color="auto"/>
            </w:tcBorders>
            <w:shd w:val="clear" w:color="000000" w:fill="FFFFFF"/>
            <w:noWrap/>
            <w:vAlign w:val="bottom"/>
            <w:hideMark/>
          </w:tcPr>
          <w:p w14:paraId="7C32CBA1"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2</w:t>
            </w:r>
          </w:p>
        </w:tc>
        <w:tc>
          <w:tcPr>
            <w:tcW w:w="1640" w:type="dxa"/>
            <w:tcBorders>
              <w:top w:val="nil"/>
              <w:left w:val="nil"/>
              <w:bottom w:val="nil"/>
              <w:right w:val="single" w:sz="4" w:space="0" w:color="auto"/>
            </w:tcBorders>
            <w:shd w:val="clear" w:color="auto" w:fill="BFBFBF" w:themeFill="background1" w:themeFillShade="BF"/>
            <w:noWrap/>
            <w:vAlign w:val="bottom"/>
            <w:hideMark/>
          </w:tcPr>
          <w:p w14:paraId="43BAD790"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2</w:t>
            </w:r>
          </w:p>
        </w:tc>
        <w:tc>
          <w:tcPr>
            <w:tcW w:w="1594" w:type="dxa"/>
            <w:tcBorders>
              <w:top w:val="nil"/>
              <w:left w:val="single" w:sz="4" w:space="0" w:color="auto"/>
              <w:bottom w:val="nil"/>
              <w:right w:val="single" w:sz="4" w:space="0" w:color="auto"/>
            </w:tcBorders>
            <w:shd w:val="clear" w:color="auto" w:fill="auto"/>
            <w:noWrap/>
            <w:vAlign w:val="bottom"/>
            <w:hideMark/>
          </w:tcPr>
          <w:p w14:paraId="71EC791D"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nil"/>
              <w:right w:val="single" w:sz="4" w:space="0" w:color="auto"/>
            </w:tcBorders>
            <w:shd w:val="clear" w:color="auto" w:fill="BFBFBF" w:themeFill="background1" w:themeFillShade="BF"/>
            <w:noWrap/>
            <w:vAlign w:val="bottom"/>
            <w:hideMark/>
          </w:tcPr>
          <w:p w14:paraId="17EF4A85" w14:textId="100EFD5D"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40</w:t>
            </w:r>
          </w:p>
        </w:tc>
        <w:tc>
          <w:tcPr>
            <w:tcW w:w="1594" w:type="dxa"/>
            <w:tcBorders>
              <w:top w:val="nil"/>
              <w:left w:val="nil"/>
              <w:bottom w:val="nil"/>
              <w:right w:val="nil"/>
            </w:tcBorders>
            <w:shd w:val="clear" w:color="auto" w:fill="auto"/>
            <w:noWrap/>
            <w:vAlign w:val="bottom"/>
            <w:hideMark/>
          </w:tcPr>
          <w:p w14:paraId="520A82E4"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nil"/>
              <w:right w:val="single" w:sz="8" w:space="0" w:color="auto"/>
            </w:tcBorders>
            <w:shd w:val="clear" w:color="auto" w:fill="BFBFBF" w:themeFill="background1" w:themeFillShade="BF"/>
            <w:noWrap/>
            <w:vAlign w:val="bottom"/>
            <w:hideMark/>
          </w:tcPr>
          <w:p w14:paraId="784C55F7"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56DD6251" w14:textId="77777777" w:rsidTr="00047221">
        <w:trPr>
          <w:trHeight w:val="255"/>
        </w:trPr>
        <w:tc>
          <w:tcPr>
            <w:tcW w:w="3671" w:type="dxa"/>
            <w:tcBorders>
              <w:top w:val="nil"/>
              <w:left w:val="single" w:sz="8" w:space="0" w:color="auto"/>
              <w:bottom w:val="single" w:sz="4" w:space="0" w:color="auto"/>
              <w:right w:val="single" w:sz="8" w:space="0" w:color="auto"/>
            </w:tcBorders>
            <w:shd w:val="clear" w:color="auto" w:fill="auto"/>
            <w:noWrap/>
            <w:vAlign w:val="bottom"/>
            <w:hideMark/>
          </w:tcPr>
          <w:p w14:paraId="2415A435"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lang w:val="en-IE"/>
              </w:rPr>
            </w:pPr>
            <w:r w:rsidRPr="00B0150F">
              <w:rPr>
                <w:rFonts w:ascii="Times New Roman" w:hAnsi="Times New Roman"/>
                <w:noProof/>
                <w:sz w:val="19"/>
                <w:szCs w:val="19"/>
                <w:lang w:val="en-IE"/>
              </w:rPr>
              <w:t>DG ECHO, EACEA, DG EAC</w:t>
            </w:r>
          </w:p>
        </w:tc>
        <w:tc>
          <w:tcPr>
            <w:tcW w:w="1640" w:type="dxa"/>
            <w:tcBorders>
              <w:top w:val="nil"/>
              <w:left w:val="single" w:sz="8" w:space="0" w:color="auto"/>
              <w:bottom w:val="single" w:sz="4" w:space="0" w:color="auto"/>
              <w:right w:val="single" w:sz="4" w:space="0" w:color="auto"/>
            </w:tcBorders>
            <w:shd w:val="clear" w:color="000000" w:fill="FFFFFF"/>
            <w:noWrap/>
            <w:vAlign w:val="bottom"/>
            <w:hideMark/>
          </w:tcPr>
          <w:p w14:paraId="6D495BDE"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lang w:val="en-IE"/>
              </w:rPr>
              <w:t xml:space="preserve">   </w:t>
            </w:r>
            <w:r w:rsidRPr="00B0150F">
              <w:rPr>
                <w:rFonts w:asciiTheme="majorBidi" w:hAnsiTheme="majorBidi" w:cstheme="majorBidi"/>
                <w:noProof/>
                <w:color w:val="808080"/>
                <w:sz w:val="19"/>
                <w:szCs w:val="19"/>
              </w:rPr>
              <w:t>0</w:t>
            </w:r>
          </w:p>
        </w:tc>
        <w:tc>
          <w:tcPr>
            <w:tcW w:w="1640" w:type="dxa"/>
            <w:tcBorders>
              <w:top w:val="nil"/>
              <w:left w:val="nil"/>
              <w:bottom w:val="single" w:sz="4" w:space="0" w:color="auto"/>
              <w:right w:val="single" w:sz="4" w:space="0" w:color="auto"/>
            </w:tcBorders>
            <w:shd w:val="clear" w:color="auto" w:fill="BFBFBF" w:themeFill="background1" w:themeFillShade="BF"/>
            <w:noWrap/>
            <w:vAlign w:val="bottom"/>
            <w:hideMark/>
          </w:tcPr>
          <w:p w14:paraId="325652F4"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17</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14:paraId="34B9257F"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nil"/>
              <w:left w:val="nil"/>
              <w:bottom w:val="single" w:sz="4" w:space="0" w:color="auto"/>
              <w:right w:val="single" w:sz="4" w:space="0" w:color="auto"/>
            </w:tcBorders>
            <w:shd w:val="clear" w:color="auto" w:fill="BFBFBF" w:themeFill="background1" w:themeFillShade="BF"/>
            <w:noWrap/>
            <w:vAlign w:val="bottom"/>
            <w:hideMark/>
          </w:tcPr>
          <w:p w14:paraId="3DE03E39" w14:textId="1754D811"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5</w:t>
            </w:r>
          </w:p>
        </w:tc>
        <w:tc>
          <w:tcPr>
            <w:tcW w:w="1594" w:type="dxa"/>
            <w:tcBorders>
              <w:top w:val="nil"/>
              <w:left w:val="nil"/>
              <w:bottom w:val="single" w:sz="4" w:space="0" w:color="auto"/>
              <w:right w:val="nil"/>
            </w:tcBorders>
            <w:shd w:val="clear" w:color="auto" w:fill="auto"/>
            <w:noWrap/>
            <w:vAlign w:val="bottom"/>
            <w:hideMark/>
          </w:tcPr>
          <w:p w14:paraId="5EBFD650"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lang w:val="en-IE" w:eastAsia="en-IE"/>
              </w:rPr>
            </w:pPr>
          </w:p>
        </w:tc>
        <w:tc>
          <w:tcPr>
            <w:tcW w:w="1594" w:type="dxa"/>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14:paraId="008DB174" w14:textId="77777777"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w:t>
            </w:r>
          </w:p>
        </w:tc>
      </w:tr>
      <w:tr w:rsidR="003442FF" w:rsidRPr="003442FF" w14:paraId="79FD3199" w14:textId="77777777" w:rsidTr="00047221">
        <w:trPr>
          <w:trHeight w:val="255"/>
        </w:trPr>
        <w:tc>
          <w:tcPr>
            <w:tcW w:w="367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6119998" w14:textId="77777777" w:rsidR="003442FF" w:rsidRPr="00B0150F" w:rsidRDefault="003442FF" w:rsidP="003442FF">
            <w:pPr>
              <w:spacing w:after="0" w:line="240" w:lineRule="auto"/>
              <w:ind w:firstLineChars="200" w:firstLine="380"/>
              <w:rPr>
                <w:rFonts w:ascii="Times New Roman" w:eastAsia="Times New Roman" w:hAnsi="Times New Roman" w:cs="Times New Roman"/>
                <w:noProof/>
                <w:sz w:val="19"/>
                <w:szCs w:val="19"/>
              </w:rPr>
            </w:pPr>
            <w:r w:rsidRPr="00B0150F">
              <w:rPr>
                <w:rFonts w:ascii="Times New Roman" w:hAnsi="Times New Roman"/>
                <w:noProof/>
                <w:sz w:val="19"/>
                <w:szCs w:val="19"/>
              </w:rPr>
              <w:t>Subtotal*</w:t>
            </w:r>
          </w:p>
        </w:tc>
        <w:tc>
          <w:tcPr>
            <w:tcW w:w="1640"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C3E04D4"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338</w:t>
            </w:r>
          </w:p>
        </w:tc>
        <w:tc>
          <w:tcPr>
            <w:tcW w:w="1640" w:type="dxa"/>
            <w:tcBorders>
              <w:top w:val="single" w:sz="4" w:space="0" w:color="auto"/>
              <w:left w:val="nil"/>
              <w:bottom w:val="single" w:sz="8" w:space="0" w:color="auto"/>
              <w:right w:val="single" w:sz="4" w:space="0" w:color="auto"/>
            </w:tcBorders>
            <w:shd w:val="clear" w:color="auto" w:fill="BFBFBF" w:themeFill="background1" w:themeFillShade="BF"/>
            <w:noWrap/>
            <w:vAlign w:val="bottom"/>
            <w:hideMark/>
          </w:tcPr>
          <w:p w14:paraId="224C2417" w14:textId="77777777" w:rsidR="003442FF" w:rsidRPr="00B0150F" w:rsidRDefault="003442FF" w:rsidP="003442FF">
            <w:pPr>
              <w:spacing w:after="0" w:line="240" w:lineRule="auto"/>
              <w:jc w:val="center"/>
              <w:rPr>
                <w:rFonts w:asciiTheme="majorBidi" w:eastAsia="Times New Roman" w:hAnsiTheme="majorBidi" w:cstheme="majorBidi"/>
                <w:noProof/>
                <w:sz w:val="19"/>
                <w:szCs w:val="19"/>
              </w:rPr>
            </w:pPr>
            <w:r w:rsidRPr="00B0150F">
              <w:rPr>
                <w:rFonts w:asciiTheme="majorBidi" w:hAnsiTheme="majorBidi" w:cstheme="majorBidi"/>
                <w:noProof/>
                <w:sz w:val="19"/>
                <w:szCs w:val="19"/>
              </w:rPr>
              <w:t xml:space="preserve">   399</w:t>
            </w:r>
          </w:p>
        </w:tc>
        <w:tc>
          <w:tcPr>
            <w:tcW w:w="159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E114F8F"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single" w:sz="4" w:space="0" w:color="auto"/>
              <w:left w:val="nil"/>
              <w:bottom w:val="single" w:sz="8" w:space="0" w:color="auto"/>
              <w:right w:val="single" w:sz="4" w:space="0" w:color="auto"/>
            </w:tcBorders>
            <w:shd w:val="clear" w:color="auto" w:fill="BFBFBF" w:themeFill="background1" w:themeFillShade="BF"/>
            <w:noWrap/>
            <w:vAlign w:val="bottom"/>
            <w:hideMark/>
          </w:tcPr>
          <w:p w14:paraId="59260C8C" w14:textId="52A3365F" w:rsidR="003442FF" w:rsidRPr="00B0150F" w:rsidRDefault="003442FF" w:rsidP="003442FF">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xml:space="preserve">   250</w:t>
            </w:r>
          </w:p>
        </w:tc>
        <w:tc>
          <w:tcPr>
            <w:tcW w:w="1594" w:type="dxa"/>
            <w:tcBorders>
              <w:top w:val="single" w:sz="4" w:space="0" w:color="auto"/>
              <w:left w:val="single" w:sz="4" w:space="0" w:color="auto"/>
              <w:bottom w:val="single" w:sz="8" w:space="0" w:color="auto"/>
              <w:right w:val="nil"/>
            </w:tcBorders>
            <w:shd w:val="clear" w:color="auto" w:fill="auto"/>
            <w:noWrap/>
            <w:vAlign w:val="bottom"/>
            <w:hideMark/>
          </w:tcPr>
          <w:p w14:paraId="23BC2A68" w14:textId="77777777" w:rsidR="003442FF" w:rsidRPr="00B0150F" w:rsidRDefault="003442FF" w:rsidP="003442FF">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w:t>
            </w:r>
          </w:p>
        </w:tc>
        <w:tc>
          <w:tcPr>
            <w:tcW w:w="1594" w:type="dxa"/>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04B39F91" w14:textId="77777777" w:rsidR="003442FF" w:rsidRPr="00B0150F" w:rsidRDefault="003442FF" w:rsidP="003442FF">
            <w:pPr>
              <w:spacing w:after="0" w:line="240" w:lineRule="auto"/>
              <w:jc w:val="center"/>
              <w:rPr>
                <w:rFonts w:asciiTheme="majorBidi" w:eastAsia="Times New Roman" w:hAnsiTheme="majorBidi" w:cstheme="majorBidi"/>
                <w:noProof/>
                <w:sz w:val="19"/>
                <w:szCs w:val="19"/>
              </w:rPr>
            </w:pPr>
            <w:r w:rsidRPr="00B0150F">
              <w:rPr>
                <w:rFonts w:asciiTheme="majorBidi" w:hAnsiTheme="majorBidi" w:cstheme="majorBidi"/>
                <w:noProof/>
                <w:sz w:val="19"/>
                <w:szCs w:val="19"/>
              </w:rPr>
              <w:t> </w:t>
            </w:r>
          </w:p>
        </w:tc>
      </w:tr>
      <w:tr w:rsidR="00047221" w:rsidRPr="003442FF" w14:paraId="67DF9442"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64B611" w14:textId="77777777" w:rsidR="00047221" w:rsidRPr="00B0150F" w:rsidRDefault="00047221" w:rsidP="00047221">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Total Comisión Europea*</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FA96AD8"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1 410</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71748A94" w14:textId="77777777"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1 405</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1EF53841"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1 000</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407BE7CF" w14:textId="77777777"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xml:space="preserve">  1 000</w:t>
            </w:r>
          </w:p>
        </w:tc>
        <w:tc>
          <w:tcPr>
            <w:tcW w:w="1594" w:type="dxa"/>
            <w:tcBorders>
              <w:top w:val="single" w:sz="8" w:space="0" w:color="auto"/>
              <w:left w:val="single" w:sz="4" w:space="0" w:color="auto"/>
              <w:bottom w:val="single" w:sz="8" w:space="0" w:color="auto"/>
              <w:right w:val="nil"/>
            </w:tcBorders>
            <w:shd w:val="clear" w:color="auto" w:fill="auto"/>
            <w:noWrap/>
            <w:vAlign w:val="bottom"/>
            <w:hideMark/>
          </w:tcPr>
          <w:p w14:paraId="6C78D400"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750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726A021A" w14:textId="08F31510" w:rsidR="00047221" w:rsidRPr="00B0150F" w:rsidRDefault="00047221" w:rsidP="00047221">
            <w:pPr>
              <w:spacing w:after="0" w:line="240" w:lineRule="auto"/>
              <w:jc w:val="center"/>
              <w:rPr>
                <w:rFonts w:asciiTheme="majorBidi" w:eastAsia="Times New Roman" w:hAnsiTheme="majorBidi" w:cstheme="majorBidi"/>
                <w:b/>
                <w:bCs/>
                <w:noProof/>
                <w:color w:val="000000" w:themeColor="text1"/>
                <w:sz w:val="19"/>
                <w:szCs w:val="19"/>
              </w:rPr>
            </w:pPr>
            <w:r w:rsidRPr="00B0150F">
              <w:rPr>
                <w:rFonts w:asciiTheme="majorBidi" w:hAnsiTheme="majorBidi" w:cstheme="majorBidi"/>
                <w:b/>
                <w:noProof/>
                <w:color w:val="000000" w:themeColor="text1"/>
                <w:sz w:val="19"/>
                <w:szCs w:val="19"/>
              </w:rPr>
              <w:t xml:space="preserve">   750</w:t>
            </w:r>
          </w:p>
        </w:tc>
      </w:tr>
      <w:tr w:rsidR="00047221" w:rsidRPr="003442FF" w14:paraId="5F05374A"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4788B6" w14:textId="77777777" w:rsidR="00047221" w:rsidRPr="00B0150F" w:rsidRDefault="00047221" w:rsidP="00B0150F">
            <w:pPr>
              <w:spacing w:after="0" w:line="240" w:lineRule="auto"/>
              <w:rPr>
                <w:rFonts w:ascii="Times New Roman" w:eastAsia="Times New Roman" w:hAnsi="Times New Roman" w:cs="Times New Roman"/>
                <w:noProof/>
                <w:sz w:val="19"/>
                <w:szCs w:val="19"/>
              </w:rPr>
            </w:pPr>
            <w:r w:rsidRPr="00B0150F">
              <w:rPr>
                <w:rFonts w:ascii="Times New Roman" w:hAnsi="Times New Roman"/>
                <w:noProof/>
                <w:sz w:val="19"/>
                <w:szCs w:val="19"/>
              </w:rPr>
              <w:t>Subvenciones del Instrumento de Ayuda a la Inversión (**)</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5E5474B3" w14:textId="77777777" w:rsidR="00047221" w:rsidRPr="00B0150F" w:rsidRDefault="00047221" w:rsidP="00047221">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151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690DD4E9" w14:textId="4BFB8BA7" w:rsidR="00047221" w:rsidRPr="00B0150F" w:rsidRDefault="00047221" w:rsidP="00047221">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151</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52ADDF56" w14:textId="77777777" w:rsidR="00047221" w:rsidRPr="00B0150F" w:rsidRDefault="00047221" w:rsidP="00047221">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735DC746" w14:textId="7843CBDF" w:rsidR="00047221" w:rsidRPr="00B0150F" w:rsidRDefault="00047221" w:rsidP="00047221">
            <w:pPr>
              <w:spacing w:after="0" w:line="240" w:lineRule="auto"/>
              <w:jc w:val="center"/>
              <w:rPr>
                <w:rFonts w:asciiTheme="majorBidi" w:eastAsia="Times New Roman" w:hAnsiTheme="majorBidi" w:cstheme="majorBidi"/>
                <w:noProof/>
                <w:color w:val="000000"/>
                <w:sz w:val="19"/>
                <w:szCs w:val="19"/>
              </w:rPr>
            </w:pPr>
            <w:r w:rsidRPr="00B0150F">
              <w:rPr>
                <w:rFonts w:asciiTheme="majorBidi" w:hAnsiTheme="majorBidi" w:cstheme="majorBidi"/>
                <w:noProof/>
                <w:color w:val="000000"/>
                <w:sz w:val="19"/>
                <w:szCs w:val="19"/>
              </w:rPr>
              <w:t> 68</w:t>
            </w:r>
          </w:p>
        </w:tc>
        <w:tc>
          <w:tcPr>
            <w:tcW w:w="1594" w:type="dxa"/>
            <w:tcBorders>
              <w:top w:val="single" w:sz="8" w:space="0" w:color="auto"/>
              <w:left w:val="single" w:sz="4" w:space="0" w:color="auto"/>
              <w:bottom w:val="single" w:sz="8" w:space="0" w:color="auto"/>
              <w:right w:val="nil"/>
            </w:tcBorders>
            <w:shd w:val="clear" w:color="auto" w:fill="auto"/>
            <w:noWrap/>
            <w:vAlign w:val="bottom"/>
            <w:hideMark/>
          </w:tcPr>
          <w:p w14:paraId="6FB2AAE2" w14:textId="77777777" w:rsidR="00047221" w:rsidRPr="00B0150F" w:rsidRDefault="00047221" w:rsidP="00047221">
            <w:pPr>
              <w:spacing w:after="0" w:line="240" w:lineRule="auto"/>
              <w:jc w:val="center"/>
              <w:rPr>
                <w:rFonts w:asciiTheme="majorBidi" w:eastAsia="Times New Roman" w:hAnsiTheme="majorBidi" w:cstheme="majorBidi"/>
                <w:noProof/>
                <w:color w:val="808080"/>
                <w:sz w:val="19"/>
                <w:szCs w:val="19"/>
              </w:rPr>
            </w:pPr>
            <w:r w:rsidRPr="00B0150F">
              <w:rPr>
                <w:rFonts w:asciiTheme="majorBidi" w:hAnsiTheme="majorBidi" w:cstheme="majorBidi"/>
                <w:noProof/>
                <w:color w:val="808080"/>
                <w:sz w:val="19"/>
                <w:szCs w:val="19"/>
              </w:rPr>
              <w:t xml:space="preserve">   10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34529404" w14:textId="531CD7C8" w:rsidR="00047221" w:rsidRPr="00B0150F" w:rsidRDefault="00047221" w:rsidP="00047221">
            <w:pPr>
              <w:spacing w:after="0" w:line="240" w:lineRule="auto"/>
              <w:jc w:val="center"/>
              <w:rPr>
                <w:rFonts w:asciiTheme="majorBidi" w:eastAsia="Times New Roman" w:hAnsiTheme="majorBidi" w:cstheme="majorBidi"/>
                <w:noProof/>
                <w:color w:val="000000" w:themeColor="text1"/>
                <w:sz w:val="19"/>
                <w:szCs w:val="19"/>
              </w:rPr>
            </w:pPr>
            <w:r w:rsidRPr="00B0150F">
              <w:rPr>
                <w:rFonts w:asciiTheme="majorBidi" w:hAnsiTheme="majorBidi" w:cstheme="majorBidi"/>
                <w:noProof/>
                <w:color w:val="000000" w:themeColor="text1"/>
                <w:sz w:val="19"/>
                <w:szCs w:val="19"/>
              </w:rPr>
              <w:t xml:space="preserve">   10</w:t>
            </w:r>
          </w:p>
        </w:tc>
      </w:tr>
      <w:tr w:rsidR="00047221" w:rsidRPr="003442FF" w14:paraId="599100D7" w14:textId="77777777" w:rsidTr="00047221">
        <w:trPr>
          <w:trHeight w:val="255"/>
        </w:trPr>
        <w:tc>
          <w:tcPr>
            <w:tcW w:w="36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2709EA" w14:textId="77777777" w:rsidR="00047221" w:rsidRPr="00B0150F" w:rsidRDefault="00047221" w:rsidP="00047221">
            <w:pPr>
              <w:spacing w:after="0" w:line="240" w:lineRule="auto"/>
              <w:rPr>
                <w:rFonts w:ascii="Times New Roman" w:eastAsia="Times New Roman" w:hAnsi="Times New Roman" w:cs="Times New Roman"/>
                <w:b/>
                <w:bCs/>
                <w:noProof/>
                <w:sz w:val="19"/>
                <w:szCs w:val="19"/>
              </w:rPr>
            </w:pPr>
            <w:r w:rsidRPr="00B0150F">
              <w:rPr>
                <w:rFonts w:ascii="Times New Roman" w:hAnsi="Times New Roman"/>
                <w:b/>
                <w:noProof/>
                <w:sz w:val="19"/>
                <w:szCs w:val="19"/>
              </w:rPr>
              <w:t>Total BEI***</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2B455C4"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151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bottom"/>
            <w:hideMark/>
          </w:tcPr>
          <w:p w14:paraId="5B4AE810" w14:textId="050218F1"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151 </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63B59FEE"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bottom"/>
            <w:hideMark/>
          </w:tcPr>
          <w:p w14:paraId="49C55071" w14:textId="4BCB2A4C"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68</w:t>
            </w:r>
          </w:p>
        </w:tc>
        <w:tc>
          <w:tcPr>
            <w:tcW w:w="1594"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14:paraId="31ABD6DE"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14:paraId="285ED7FE" w14:textId="4BC0E138" w:rsidR="00047221" w:rsidRPr="00B0150F" w:rsidRDefault="00047221" w:rsidP="00047221">
            <w:pPr>
              <w:spacing w:after="0" w:line="240" w:lineRule="auto"/>
              <w:jc w:val="center"/>
              <w:rPr>
                <w:rFonts w:asciiTheme="majorBidi" w:eastAsia="Times New Roman" w:hAnsiTheme="majorBidi" w:cstheme="majorBidi"/>
                <w:b/>
                <w:bCs/>
                <w:noProof/>
                <w:color w:val="000000" w:themeColor="text1"/>
                <w:sz w:val="19"/>
                <w:szCs w:val="19"/>
              </w:rPr>
            </w:pPr>
            <w:r w:rsidRPr="00B0150F">
              <w:rPr>
                <w:rFonts w:asciiTheme="majorBidi" w:hAnsiTheme="majorBidi" w:cstheme="majorBidi"/>
                <w:b/>
                <w:noProof/>
                <w:color w:val="000000" w:themeColor="text1"/>
                <w:sz w:val="19"/>
                <w:szCs w:val="19"/>
              </w:rPr>
              <w:t xml:space="preserve">   10</w:t>
            </w:r>
          </w:p>
        </w:tc>
      </w:tr>
      <w:tr w:rsidR="00047221" w:rsidRPr="003442FF" w14:paraId="7BF55792" w14:textId="77777777" w:rsidTr="00047221">
        <w:trPr>
          <w:trHeight w:val="270"/>
        </w:trPr>
        <w:tc>
          <w:tcPr>
            <w:tcW w:w="36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DA2295" w14:textId="77777777" w:rsidR="00047221" w:rsidRPr="00B0150F" w:rsidRDefault="00047221" w:rsidP="00047221">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TOTAL Comisión Europea + BEI*</w:t>
            </w:r>
          </w:p>
        </w:tc>
        <w:tc>
          <w:tcPr>
            <w:tcW w:w="1640"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D6D65E1"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1 561</w:t>
            </w:r>
          </w:p>
        </w:tc>
        <w:tc>
          <w:tcPr>
            <w:tcW w:w="1640" w:type="dxa"/>
            <w:tcBorders>
              <w:top w:val="single" w:sz="8" w:space="0" w:color="auto"/>
              <w:left w:val="nil"/>
              <w:bottom w:val="single" w:sz="8" w:space="0" w:color="auto"/>
              <w:right w:val="single" w:sz="4" w:space="0" w:color="auto"/>
            </w:tcBorders>
            <w:shd w:val="clear" w:color="auto" w:fill="BFBFBF" w:themeFill="background1" w:themeFillShade="BF"/>
            <w:noWrap/>
            <w:vAlign w:val="center"/>
            <w:hideMark/>
          </w:tcPr>
          <w:p w14:paraId="38EA219C" w14:textId="650C6FD5"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1 556</w:t>
            </w:r>
          </w:p>
        </w:tc>
        <w:tc>
          <w:tcPr>
            <w:tcW w:w="1594"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09183258"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1 068</w:t>
            </w:r>
          </w:p>
        </w:tc>
        <w:tc>
          <w:tcPr>
            <w:tcW w:w="1594" w:type="dxa"/>
            <w:tcBorders>
              <w:top w:val="single" w:sz="8" w:space="0" w:color="auto"/>
              <w:left w:val="single" w:sz="4" w:space="0" w:color="auto"/>
              <w:bottom w:val="single" w:sz="8" w:space="0" w:color="auto"/>
              <w:right w:val="single" w:sz="4" w:space="0" w:color="auto"/>
            </w:tcBorders>
            <w:shd w:val="clear" w:color="auto" w:fill="BFBFBF" w:themeFill="background1" w:themeFillShade="BF"/>
            <w:noWrap/>
            <w:vAlign w:val="center"/>
            <w:hideMark/>
          </w:tcPr>
          <w:p w14:paraId="00501730" w14:textId="09BD9D12" w:rsidR="00047221" w:rsidRPr="00B0150F" w:rsidRDefault="00047221" w:rsidP="00047221">
            <w:pPr>
              <w:spacing w:after="0" w:line="240" w:lineRule="auto"/>
              <w:jc w:val="center"/>
              <w:rPr>
                <w:rFonts w:asciiTheme="majorBidi" w:eastAsia="Times New Roman" w:hAnsiTheme="majorBidi" w:cstheme="majorBidi"/>
                <w:b/>
                <w:bCs/>
                <w:noProof/>
                <w:color w:val="000000"/>
                <w:sz w:val="19"/>
                <w:szCs w:val="19"/>
              </w:rPr>
            </w:pPr>
            <w:r w:rsidRPr="00B0150F">
              <w:rPr>
                <w:rFonts w:asciiTheme="majorBidi" w:hAnsiTheme="majorBidi" w:cstheme="majorBidi"/>
                <w:b/>
                <w:noProof/>
                <w:color w:val="000000"/>
                <w:sz w:val="19"/>
                <w:szCs w:val="19"/>
              </w:rPr>
              <w:t> 1068</w:t>
            </w:r>
          </w:p>
        </w:tc>
        <w:tc>
          <w:tcPr>
            <w:tcW w:w="1594"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1B964F47" w14:textId="77777777" w:rsidR="00047221" w:rsidRPr="00B0150F" w:rsidRDefault="00047221" w:rsidP="00047221">
            <w:pPr>
              <w:spacing w:after="0" w:line="240" w:lineRule="auto"/>
              <w:jc w:val="center"/>
              <w:rPr>
                <w:rFonts w:asciiTheme="majorBidi" w:eastAsia="Times New Roman" w:hAnsiTheme="majorBidi" w:cstheme="majorBidi"/>
                <w:b/>
                <w:bCs/>
                <w:noProof/>
                <w:color w:val="808080"/>
                <w:sz w:val="19"/>
                <w:szCs w:val="19"/>
              </w:rPr>
            </w:pPr>
            <w:r w:rsidRPr="00B0150F">
              <w:rPr>
                <w:rFonts w:asciiTheme="majorBidi" w:hAnsiTheme="majorBidi" w:cstheme="majorBidi"/>
                <w:b/>
                <w:noProof/>
                <w:color w:val="808080"/>
                <w:sz w:val="19"/>
                <w:szCs w:val="19"/>
              </w:rPr>
              <w:t xml:space="preserve">   760</w:t>
            </w:r>
          </w:p>
        </w:tc>
        <w:tc>
          <w:tcPr>
            <w:tcW w:w="1594" w:type="dxa"/>
            <w:tcBorders>
              <w:top w:val="single" w:sz="8" w:space="0" w:color="auto"/>
              <w:left w:val="single" w:sz="4" w:space="0" w:color="auto"/>
              <w:bottom w:val="single" w:sz="8" w:space="0" w:color="auto"/>
              <w:right w:val="single" w:sz="8" w:space="0" w:color="auto"/>
            </w:tcBorders>
            <w:shd w:val="clear" w:color="auto" w:fill="BFBFBF" w:themeFill="background1" w:themeFillShade="BF"/>
            <w:noWrap/>
            <w:vAlign w:val="center"/>
            <w:hideMark/>
          </w:tcPr>
          <w:p w14:paraId="706C0B2B" w14:textId="5ABAB2A8" w:rsidR="00047221" w:rsidRPr="00B0150F" w:rsidRDefault="00047221" w:rsidP="00047221">
            <w:pPr>
              <w:spacing w:after="0" w:line="240" w:lineRule="auto"/>
              <w:jc w:val="center"/>
              <w:rPr>
                <w:rFonts w:asciiTheme="majorBidi" w:eastAsia="Times New Roman" w:hAnsiTheme="majorBidi" w:cstheme="majorBidi"/>
                <w:b/>
                <w:bCs/>
                <w:noProof/>
                <w:color w:val="000000" w:themeColor="text1"/>
                <w:sz w:val="19"/>
                <w:szCs w:val="19"/>
              </w:rPr>
            </w:pPr>
            <w:r w:rsidRPr="00B0150F">
              <w:rPr>
                <w:rFonts w:asciiTheme="majorBidi" w:hAnsiTheme="majorBidi" w:cstheme="majorBidi"/>
                <w:b/>
                <w:noProof/>
                <w:color w:val="000000" w:themeColor="text1"/>
                <w:sz w:val="19"/>
                <w:szCs w:val="19"/>
              </w:rPr>
              <w:t xml:space="preserve">   760</w:t>
            </w:r>
          </w:p>
        </w:tc>
      </w:tr>
    </w:tbl>
    <w:p w14:paraId="5AE7533B" w14:textId="06DE2A94" w:rsidR="009035E0" w:rsidRPr="00D17C76" w:rsidRDefault="009035E0" w:rsidP="00453DB2">
      <w:pPr>
        <w:pStyle w:val="Text1"/>
        <w:spacing w:before="0" w:after="0"/>
        <w:ind w:left="-426"/>
        <w:rPr>
          <w:noProof/>
          <w:color w:val="000000" w:themeColor="text1"/>
          <w:sz w:val="14"/>
          <w:szCs w:val="14"/>
        </w:rPr>
      </w:pPr>
      <w:r>
        <w:rPr>
          <w:noProof/>
          <w:color w:val="000000" w:themeColor="text1"/>
          <w:sz w:val="14"/>
        </w:rPr>
        <w:t>* Debido al redondeo, la suma de los distintos importes redondeados podría diferir ligeramente de los totales correspondientes.</w:t>
      </w:r>
    </w:p>
    <w:p w14:paraId="7770D832" w14:textId="7233DB7C" w:rsidR="009035E0" w:rsidRDefault="009035E0" w:rsidP="00453DB2">
      <w:pPr>
        <w:pStyle w:val="Text1"/>
        <w:spacing w:before="0" w:after="0"/>
        <w:ind w:left="-426"/>
        <w:rPr>
          <w:noProof/>
          <w:color w:val="000000" w:themeColor="text1"/>
          <w:sz w:val="14"/>
          <w:szCs w:val="14"/>
        </w:rPr>
      </w:pPr>
      <w:r>
        <w:rPr>
          <w:noProof/>
          <w:color w:val="000000" w:themeColor="text1"/>
          <w:sz w:val="14"/>
        </w:rPr>
        <w:t>** Incluida la subvención para asistencia técnica y bonificaciones de intereses del FED actual y los desembolsos del IRS en el marco de FED anteriores.</w:t>
      </w:r>
    </w:p>
    <w:p w14:paraId="228D0F8E" w14:textId="77777777" w:rsidR="00453DB2" w:rsidRDefault="00453DB2" w:rsidP="00453DB2">
      <w:pPr>
        <w:pStyle w:val="Text1"/>
        <w:spacing w:before="0" w:after="0"/>
        <w:ind w:left="-426"/>
        <w:rPr>
          <w:noProof/>
          <w:color w:val="000000" w:themeColor="text1"/>
          <w:sz w:val="14"/>
          <w:szCs w:val="14"/>
        </w:rPr>
      </w:pPr>
    </w:p>
    <w:tbl>
      <w:tblPr>
        <w:tblW w:w="13296" w:type="dxa"/>
        <w:tblLook w:val="04A0" w:firstRow="1" w:lastRow="0" w:firstColumn="1" w:lastColumn="0" w:noHBand="0" w:noVBand="1"/>
      </w:tblPr>
      <w:tblGrid>
        <w:gridCol w:w="3686"/>
        <w:gridCol w:w="1594"/>
        <w:gridCol w:w="1640"/>
        <w:gridCol w:w="1594"/>
        <w:gridCol w:w="1594"/>
        <w:gridCol w:w="1594"/>
        <w:gridCol w:w="1594"/>
      </w:tblGrid>
      <w:tr w:rsidR="003442FF" w:rsidRPr="003442FF" w14:paraId="0DB3B6A4" w14:textId="77777777" w:rsidTr="00453DB2">
        <w:trPr>
          <w:trHeight w:val="270"/>
        </w:trPr>
        <w:tc>
          <w:tcPr>
            <w:tcW w:w="3686" w:type="dxa"/>
            <w:tcBorders>
              <w:top w:val="nil"/>
              <w:left w:val="nil"/>
              <w:bottom w:val="nil"/>
              <w:right w:val="nil"/>
            </w:tcBorders>
            <w:shd w:val="clear" w:color="auto" w:fill="auto"/>
            <w:noWrap/>
            <w:vAlign w:val="bottom"/>
            <w:hideMark/>
          </w:tcPr>
          <w:p w14:paraId="353FDD0D" w14:textId="77777777" w:rsidR="003442FF" w:rsidRPr="00C756B2" w:rsidRDefault="003442FF" w:rsidP="003442FF">
            <w:pPr>
              <w:spacing w:after="0" w:line="240" w:lineRule="auto"/>
              <w:rPr>
                <w:rFonts w:ascii="Times New Roman" w:eastAsia="Times New Roman" w:hAnsi="Times New Roman" w:cs="Times New Roman"/>
                <w:noProof/>
                <w:sz w:val="24"/>
                <w:szCs w:val="24"/>
                <w:lang w:eastAsia="en-IE"/>
              </w:rPr>
            </w:pPr>
          </w:p>
        </w:tc>
        <w:tc>
          <w:tcPr>
            <w:tcW w:w="32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101B41" w14:textId="77777777" w:rsidR="003442FF" w:rsidRPr="00B0150F" w:rsidRDefault="003442FF" w:rsidP="003442FF">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2024</w:t>
            </w:r>
          </w:p>
        </w:tc>
        <w:tc>
          <w:tcPr>
            <w:tcW w:w="31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AF27D27" w14:textId="77777777" w:rsidR="003442FF" w:rsidRPr="00B0150F" w:rsidRDefault="003442FF" w:rsidP="003442FF">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2025</w:t>
            </w:r>
          </w:p>
        </w:tc>
        <w:tc>
          <w:tcPr>
            <w:tcW w:w="31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3B83AC7" w14:textId="77777777" w:rsidR="003442FF" w:rsidRPr="00B0150F" w:rsidRDefault="003442FF" w:rsidP="003442FF">
            <w:pPr>
              <w:spacing w:after="0" w:line="240" w:lineRule="auto"/>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 xml:space="preserve"> Cifras de 2026</w:t>
            </w:r>
          </w:p>
        </w:tc>
      </w:tr>
      <w:tr w:rsidR="003442FF" w:rsidRPr="003442FF" w14:paraId="680A4406" w14:textId="77777777" w:rsidTr="00453DB2">
        <w:trPr>
          <w:trHeight w:val="434"/>
        </w:trPr>
        <w:tc>
          <w:tcPr>
            <w:tcW w:w="3686" w:type="dxa"/>
            <w:tcBorders>
              <w:top w:val="nil"/>
              <w:left w:val="nil"/>
              <w:bottom w:val="nil"/>
              <w:right w:val="nil"/>
            </w:tcBorders>
            <w:shd w:val="clear" w:color="auto" w:fill="auto"/>
            <w:noWrap/>
            <w:hideMark/>
          </w:tcPr>
          <w:p w14:paraId="42727CF5" w14:textId="77777777" w:rsidR="003442FF" w:rsidRPr="003442FF" w:rsidRDefault="003442FF" w:rsidP="003442FF">
            <w:pPr>
              <w:spacing w:after="0" w:line="240" w:lineRule="auto"/>
              <w:rPr>
                <w:rFonts w:ascii="Times New Roman" w:eastAsia="Times New Roman" w:hAnsi="Times New Roman" w:cs="Times New Roman"/>
                <w:b/>
                <w:bCs/>
                <w:noProof/>
                <w:sz w:val="20"/>
                <w:szCs w:val="20"/>
              </w:rPr>
            </w:pPr>
            <w:r>
              <w:rPr>
                <w:rFonts w:ascii="Times New Roman" w:hAnsi="Times New Roman"/>
                <w:b/>
                <w:noProof/>
                <w:sz w:val="20"/>
              </w:rPr>
              <w:t xml:space="preserve"> </w:t>
            </w:r>
          </w:p>
        </w:tc>
        <w:tc>
          <w:tcPr>
            <w:tcW w:w="1594" w:type="dxa"/>
            <w:tcBorders>
              <w:top w:val="nil"/>
              <w:left w:val="single" w:sz="8" w:space="0" w:color="auto"/>
              <w:bottom w:val="nil"/>
              <w:right w:val="single" w:sz="4" w:space="0" w:color="auto"/>
            </w:tcBorders>
            <w:shd w:val="clear" w:color="auto" w:fill="auto"/>
            <w:vAlign w:val="center"/>
            <w:hideMark/>
          </w:tcPr>
          <w:p w14:paraId="3D309281"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640" w:type="dxa"/>
            <w:tcBorders>
              <w:top w:val="nil"/>
              <w:left w:val="nil"/>
              <w:bottom w:val="nil"/>
              <w:right w:val="single" w:sz="8" w:space="0" w:color="auto"/>
            </w:tcBorders>
            <w:shd w:val="clear" w:color="000000" w:fill="F2F2F2"/>
            <w:vAlign w:val="center"/>
            <w:hideMark/>
          </w:tcPr>
          <w:p w14:paraId="0B712DFE"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c>
          <w:tcPr>
            <w:tcW w:w="1594" w:type="dxa"/>
            <w:tcBorders>
              <w:top w:val="nil"/>
              <w:left w:val="nil"/>
              <w:bottom w:val="nil"/>
              <w:right w:val="single" w:sz="4" w:space="0" w:color="auto"/>
            </w:tcBorders>
            <w:shd w:val="clear" w:color="auto" w:fill="auto"/>
            <w:vAlign w:val="center"/>
            <w:hideMark/>
          </w:tcPr>
          <w:p w14:paraId="0FFE158F"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594" w:type="dxa"/>
            <w:tcBorders>
              <w:top w:val="nil"/>
              <w:left w:val="nil"/>
              <w:bottom w:val="nil"/>
              <w:right w:val="single" w:sz="8" w:space="0" w:color="auto"/>
            </w:tcBorders>
            <w:shd w:val="clear" w:color="000000" w:fill="F2F2F2"/>
            <w:vAlign w:val="center"/>
            <w:hideMark/>
          </w:tcPr>
          <w:p w14:paraId="218DCFD7"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c>
          <w:tcPr>
            <w:tcW w:w="1594" w:type="dxa"/>
            <w:tcBorders>
              <w:top w:val="nil"/>
              <w:left w:val="nil"/>
              <w:bottom w:val="nil"/>
              <w:right w:val="single" w:sz="4" w:space="0" w:color="auto"/>
            </w:tcBorders>
            <w:shd w:val="clear" w:color="auto" w:fill="auto"/>
            <w:vAlign w:val="center"/>
            <w:hideMark/>
          </w:tcPr>
          <w:p w14:paraId="586B2A1E"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color w:val="808080"/>
                <w:sz w:val="19"/>
                <w:szCs w:val="19"/>
              </w:rPr>
            </w:pPr>
            <w:r w:rsidRPr="00B0150F">
              <w:rPr>
                <w:rFonts w:ascii="Times New Roman" w:hAnsi="Times New Roman"/>
                <w:b/>
                <w:noProof/>
                <w:color w:val="808080"/>
                <w:sz w:val="19"/>
                <w:szCs w:val="19"/>
              </w:rPr>
              <w:t>Comunicación de octubre de 2024</w:t>
            </w:r>
          </w:p>
        </w:tc>
        <w:tc>
          <w:tcPr>
            <w:tcW w:w="1594" w:type="dxa"/>
            <w:tcBorders>
              <w:top w:val="nil"/>
              <w:left w:val="nil"/>
              <w:bottom w:val="nil"/>
              <w:right w:val="single" w:sz="8" w:space="0" w:color="auto"/>
            </w:tcBorders>
            <w:shd w:val="clear" w:color="000000" w:fill="F2F2F2"/>
            <w:vAlign w:val="center"/>
            <w:hideMark/>
          </w:tcPr>
          <w:p w14:paraId="223BB7E3" w14:textId="77777777" w:rsidR="003442FF" w:rsidRPr="00B0150F" w:rsidRDefault="003442FF" w:rsidP="00474EA7">
            <w:pPr>
              <w:spacing w:after="0" w:line="240" w:lineRule="auto"/>
              <w:ind w:left="-57" w:right="-57"/>
              <w:jc w:val="center"/>
              <w:rPr>
                <w:rFonts w:ascii="Times New Roman" w:eastAsia="Times New Roman" w:hAnsi="Times New Roman" w:cs="Times New Roman"/>
                <w:b/>
                <w:bCs/>
                <w:noProof/>
                <w:sz w:val="19"/>
                <w:szCs w:val="19"/>
              </w:rPr>
            </w:pPr>
            <w:r w:rsidRPr="00B0150F">
              <w:rPr>
                <w:rFonts w:ascii="Times New Roman" w:hAnsi="Times New Roman"/>
                <w:b/>
                <w:noProof/>
                <w:sz w:val="19"/>
                <w:szCs w:val="19"/>
              </w:rPr>
              <w:t>Comunicación de junio de 2025</w:t>
            </w:r>
          </w:p>
        </w:tc>
      </w:tr>
      <w:tr w:rsidR="003442FF" w:rsidRPr="003442FF" w14:paraId="5FB4B662" w14:textId="77777777" w:rsidTr="00453DB2">
        <w:trPr>
          <w:trHeight w:val="270"/>
        </w:trPr>
        <w:tc>
          <w:tcPr>
            <w:tcW w:w="3686" w:type="dxa"/>
            <w:tcBorders>
              <w:top w:val="single" w:sz="8" w:space="0" w:color="auto"/>
              <w:left w:val="single" w:sz="8" w:space="0" w:color="auto"/>
              <w:bottom w:val="single" w:sz="8" w:space="0" w:color="auto"/>
              <w:right w:val="nil"/>
            </w:tcBorders>
            <w:shd w:val="clear" w:color="auto" w:fill="auto"/>
            <w:noWrap/>
            <w:vAlign w:val="bottom"/>
            <w:hideMark/>
          </w:tcPr>
          <w:p w14:paraId="6CE07BBC" w14:textId="77777777" w:rsidR="003442FF" w:rsidRPr="00B0150F" w:rsidRDefault="003442FF" w:rsidP="00B0150F">
            <w:pPr>
              <w:spacing w:after="0" w:line="240" w:lineRule="auto"/>
              <w:rPr>
                <w:rFonts w:ascii="Times New Roman" w:eastAsia="Times New Roman" w:hAnsi="Times New Roman" w:cs="Times New Roman"/>
                <w:noProof/>
                <w:sz w:val="19"/>
                <w:szCs w:val="19"/>
              </w:rPr>
            </w:pPr>
            <w:r w:rsidRPr="00B0150F">
              <w:rPr>
                <w:rFonts w:ascii="Times New Roman" w:hAnsi="Times New Roman"/>
                <w:noProof/>
                <w:sz w:val="19"/>
                <w:szCs w:val="19"/>
              </w:rPr>
              <w:t>Fondo rotatorio del Instrumento de Ayuda a la Inversión***</w:t>
            </w:r>
          </w:p>
        </w:tc>
        <w:tc>
          <w:tcPr>
            <w:tcW w:w="159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AF7C82A" w14:textId="77777777" w:rsidR="003442FF" w:rsidRPr="00B0150F" w:rsidRDefault="003442FF" w:rsidP="003442FF">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xml:space="preserve">   629</w:t>
            </w:r>
          </w:p>
        </w:tc>
        <w:tc>
          <w:tcPr>
            <w:tcW w:w="1640" w:type="dxa"/>
            <w:tcBorders>
              <w:top w:val="single" w:sz="4" w:space="0" w:color="auto"/>
              <w:left w:val="nil"/>
              <w:bottom w:val="single" w:sz="8" w:space="0" w:color="auto"/>
              <w:right w:val="single" w:sz="4" w:space="0" w:color="auto"/>
            </w:tcBorders>
            <w:shd w:val="clear" w:color="auto" w:fill="auto"/>
            <w:noWrap/>
            <w:vAlign w:val="bottom"/>
            <w:hideMark/>
          </w:tcPr>
          <w:p w14:paraId="0EC6F09E" w14:textId="1B4FF251" w:rsidR="003442FF" w:rsidRPr="00B0150F" w:rsidRDefault="003442FF" w:rsidP="003442FF">
            <w:pPr>
              <w:spacing w:after="0" w:line="240" w:lineRule="auto"/>
              <w:jc w:val="center"/>
              <w:rPr>
                <w:rFonts w:ascii="Times New Roman" w:eastAsia="Times New Roman" w:hAnsi="Times New Roman" w:cs="Times New Roman"/>
                <w:noProof/>
                <w:color w:val="000000"/>
                <w:sz w:val="19"/>
                <w:szCs w:val="19"/>
              </w:rPr>
            </w:pPr>
            <w:r w:rsidRPr="00B0150F">
              <w:rPr>
                <w:rFonts w:ascii="Times New Roman" w:hAnsi="Times New Roman"/>
                <w:noProof/>
                <w:color w:val="000000"/>
                <w:sz w:val="19"/>
                <w:szCs w:val="19"/>
              </w:rPr>
              <w:t> 629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01098C88" w14:textId="77777777" w:rsidR="003442FF" w:rsidRPr="00B0150F" w:rsidRDefault="003442FF" w:rsidP="003442FF">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xml:space="preserve">   349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6660FA8C" w14:textId="3657C4B6" w:rsidR="003442FF" w:rsidRPr="00B0150F" w:rsidRDefault="003442FF" w:rsidP="003442FF">
            <w:pPr>
              <w:spacing w:after="0" w:line="240" w:lineRule="auto"/>
              <w:jc w:val="center"/>
              <w:rPr>
                <w:rFonts w:ascii="Times New Roman" w:eastAsia="Times New Roman" w:hAnsi="Times New Roman" w:cs="Times New Roman"/>
                <w:noProof/>
                <w:color w:val="000000"/>
                <w:sz w:val="19"/>
                <w:szCs w:val="19"/>
              </w:rPr>
            </w:pPr>
            <w:r w:rsidRPr="00B0150F">
              <w:rPr>
                <w:rFonts w:ascii="Times New Roman" w:hAnsi="Times New Roman"/>
                <w:noProof/>
                <w:color w:val="000000"/>
                <w:sz w:val="19"/>
                <w:szCs w:val="19"/>
              </w:rPr>
              <w:t> 349</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3178AF18" w14:textId="77777777" w:rsidR="003442FF" w:rsidRPr="00B0150F" w:rsidRDefault="003442FF" w:rsidP="003442FF">
            <w:pPr>
              <w:spacing w:after="0" w:line="240" w:lineRule="auto"/>
              <w:jc w:val="center"/>
              <w:rPr>
                <w:rFonts w:ascii="Times New Roman" w:eastAsia="Times New Roman" w:hAnsi="Times New Roman" w:cs="Times New Roman"/>
                <w:noProof/>
                <w:color w:val="808080"/>
                <w:sz w:val="19"/>
                <w:szCs w:val="19"/>
              </w:rPr>
            </w:pPr>
            <w:r w:rsidRPr="00B0150F">
              <w:rPr>
                <w:rFonts w:ascii="Times New Roman" w:hAnsi="Times New Roman"/>
                <w:noProof/>
                <w:color w:val="808080"/>
                <w:sz w:val="19"/>
                <w:szCs w:val="19"/>
              </w:rPr>
              <w:t xml:space="preserve">   64</w:t>
            </w:r>
          </w:p>
        </w:tc>
        <w:tc>
          <w:tcPr>
            <w:tcW w:w="1594" w:type="dxa"/>
            <w:tcBorders>
              <w:top w:val="single" w:sz="4" w:space="0" w:color="auto"/>
              <w:left w:val="nil"/>
              <w:bottom w:val="single" w:sz="8" w:space="0" w:color="auto"/>
              <w:right w:val="single" w:sz="4" w:space="0" w:color="auto"/>
            </w:tcBorders>
            <w:shd w:val="clear" w:color="auto" w:fill="auto"/>
            <w:noWrap/>
            <w:vAlign w:val="bottom"/>
            <w:hideMark/>
          </w:tcPr>
          <w:p w14:paraId="7DE1EFAD" w14:textId="1F383879" w:rsidR="003442FF" w:rsidRPr="00B0150F" w:rsidRDefault="00047221" w:rsidP="003442FF">
            <w:pPr>
              <w:spacing w:after="0" w:line="240" w:lineRule="auto"/>
              <w:jc w:val="center"/>
              <w:rPr>
                <w:rFonts w:ascii="Times New Roman" w:eastAsia="Times New Roman" w:hAnsi="Times New Roman" w:cs="Times New Roman"/>
                <w:noProof/>
                <w:color w:val="000000"/>
                <w:sz w:val="19"/>
                <w:szCs w:val="19"/>
              </w:rPr>
            </w:pPr>
            <w:r w:rsidRPr="00B0150F">
              <w:rPr>
                <w:rFonts w:ascii="Times New Roman" w:hAnsi="Times New Roman"/>
                <w:noProof/>
                <w:color w:val="000000"/>
                <w:sz w:val="19"/>
                <w:szCs w:val="19"/>
              </w:rPr>
              <w:t>64 </w:t>
            </w:r>
          </w:p>
        </w:tc>
      </w:tr>
    </w:tbl>
    <w:p w14:paraId="3F22E73B" w14:textId="29A9C03D" w:rsidR="009035E0" w:rsidRPr="009035E0" w:rsidRDefault="009035E0" w:rsidP="00350B73">
      <w:pPr>
        <w:pStyle w:val="Text1"/>
        <w:spacing w:after="0"/>
        <w:ind w:left="-426"/>
        <w:rPr>
          <w:noProof/>
        </w:rPr>
      </w:pPr>
      <w:r>
        <w:rPr>
          <w:noProof/>
          <w:sz w:val="14"/>
        </w:rPr>
        <w:t>*** Los pagos en el marco del fondo rotatorio no pueden asimilarse al pago bruto presupuestario. Por tanto, deben presentarse por separado.</w:t>
      </w:r>
    </w:p>
    <w:p w14:paraId="0C43E8DD" w14:textId="77777777" w:rsidR="00492104" w:rsidRDefault="00492104" w:rsidP="00A0127E">
      <w:pPr>
        <w:pStyle w:val="Text1"/>
        <w:rPr>
          <w:noProof/>
        </w:rPr>
        <w:sectPr w:rsidR="00492104" w:rsidSect="00B0150F">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1440" w:bottom="1276" w:left="1440" w:header="709" w:footer="709" w:gutter="0"/>
          <w:cols w:space="720"/>
          <w:docGrid w:linePitch="360"/>
        </w:sectPr>
      </w:pPr>
    </w:p>
    <w:p w14:paraId="5AC0B4A2" w14:textId="107EB125" w:rsidR="009035E0" w:rsidRDefault="009035E0" w:rsidP="009035E0">
      <w:pPr>
        <w:pStyle w:val="Heading2"/>
        <w:ind w:right="-32"/>
        <w:rPr>
          <w:noProof/>
        </w:rPr>
      </w:pPr>
      <w:r>
        <w:rPr>
          <w:noProof/>
        </w:rPr>
        <w:t>Anexo 3: Situación financiera en 2024, previsiones para el período 2025-2026 y estimaciones no vinculantes para el período 2027-2028 (en millones EUR)</w:t>
      </w:r>
    </w:p>
    <w:tbl>
      <w:tblPr>
        <w:tblW w:w="10206" w:type="dxa"/>
        <w:tblLook w:val="04A0" w:firstRow="1" w:lastRow="0" w:firstColumn="1" w:lastColumn="0" w:noHBand="0" w:noVBand="1"/>
      </w:tblPr>
      <w:tblGrid>
        <w:gridCol w:w="576"/>
        <w:gridCol w:w="3960"/>
        <w:gridCol w:w="1167"/>
        <w:gridCol w:w="818"/>
        <w:gridCol w:w="847"/>
        <w:gridCol w:w="1167"/>
        <w:gridCol w:w="821"/>
        <w:gridCol w:w="850"/>
      </w:tblGrid>
      <w:tr w:rsidR="00117F35" w:rsidRPr="00117F35" w14:paraId="08F4B17D" w14:textId="77777777" w:rsidTr="00EC160E">
        <w:trPr>
          <w:trHeight w:val="252"/>
        </w:trPr>
        <w:tc>
          <w:tcPr>
            <w:tcW w:w="576" w:type="dxa"/>
            <w:tcBorders>
              <w:top w:val="nil"/>
              <w:left w:val="nil"/>
              <w:bottom w:val="nil"/>
              <w:right w:val="nil"/>
            </w:tcBorders>
            <w:shd w:val="clear" w:color="auto" w:fill="auto"/>
            <w:noWrap/>
            <w:vAlign w:val="bottom"/>
            <w:hideMark/>
          </w:tcPr>
          <w:p w14:paraId="295ED6DA" w14:textId="77777777" w:rsidR="00117F35" w:rsidRPr="00C756B2" w:rsidRDefault="00117F35" w:rsidP="00117F35">
            <w:pPr>
              <w:spacing w:after="0" w:line="240" w:lineRule="auto"/>
              <w:rPr>
                <w:rFonts w:ascii="Times New Roman" w:eastAsia="Times New Roman" w:hAnsi="Times New Roman" w:cs="Times New Roman"/>
                <w:noProof/>
                <w:sz w:val="24"/>
                <w:szCs w:val="24"/>
                <w:lang w:eastAsia="en-IE"/>
              </w:rPr>
            </w:pPr>
          </w:p>
        </w:tc>
        <w:tc>
          <w:tcPr>
            <w:tcW w:w="3960" w:type="dxa"/>
            <w:tcBorders>
              <w:top w:val="nil"/>
              <w:left w:val="nil"/>
              <w:bottom w:val="nil"/>
              <w:right w:val="nil"/>
            </w:tcBorders>
            <w:shd w:val="clear" w:color="auto" w:fill="auto"/>
            <w:noWrap/>
            <w:vAlign w:val="bottom"/>
            <w:hideMark/>
          </w:tcPr>
          <w:p w14:paraId="36652AE9" w14:textId="77777777" w:rsidR="00117F35" w:rsidRPr="00C756B2" w:rsidRDefault="00117F35" w:rsidP="00117F35">
            <w:pPr>
              <w:spacing w:after="0" w:line="240" w:lineRule="auto"/>
              <w:rPr>
                <w:rFonts w:ascii="Times New Roman" w:eastAsia="Times New Roman" w:hAnsi="Times New Roman" w:cs="Times New Roman"/>
                <w:noProof/>
                <w:sz w:val="20"/>
                <w:szCs w:val="20"/>
                <w:lang w:eastAsia="en-IE"/>
              </w:rPr>
            </w:pPr>
          </w:p>
        </w:tc>
        <w:tc>
          <w:tcPr>
            <w:tcW w:w="2832"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622BEB9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Comunicación de octubre de 2024</w:t>
            </w:r>
            <w:r>
              <w:rPr>
                <w:rFonts w:ascii="Times New Roman" w:hAnsi="Times New Roman"/>
                <w:b/>
                <w:noProof/>
                <w:sz w:val="18"/>
                <w:vertAlign w:val="superscript"/>
              </w:rPr>
              <w:t>1</w:t>
            </w:r>
          </w:p>
        </w:tc>
        <w:tc>
          <w:tcPr>
            <w:tcW w:w="2838" w:type="dxa"/>
            <w:gridSpan w:val="3"/>
            <w:tcBorders>
              <w:top w:val="single" w:sz="8" w:space="0" w:color="auto"/>
              <w:left w:val="nil"/>
              <w:bottom w:val="single" w:sz="4" w:space="0" w:color="auto"/>
              <w:right w:val="single" w:sz="8" w:space="0" w:color="000000"/>
            </w:tcBorders>
            <w:shd w:val="clear" w:color="auto" w:fill="auto"/>
            <w:vAlign w:val="center"/>
            <w:hideMark/>
          </w:tcPr>
          <w:p w14:paraId="49F9A32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Comunicación de junio de 2025</w:t>
            </w:r>
            <w:r>
              <w:rPr>
                <w:rFonts w:ascii="Times New Roman" w:hAnsi="Times New Roman"/>
                <w:b/>
                <w:noProof/>
                <w:sz w:val="18"/>
                <w:vertAlign w:val="superscript"/>
              </w:rPr>
              <w:t>1</w:t>
            </w:r>
          </w:p>
        </w:tc>
      </w:tr>
      <w:tr w:rsidR="00117F35" w:rsidRPr="00117F35" w14:paraId="70B0FCFB" w14:textId="77777777" w:rsidTr="00EC160E">
        <w:trPr>
          <w:trHeight w:val="286"/>
        </w:trPr>
        <w:tc>
          <w:tcPr>
            <w:tcW w:w="576" w:type="dxa"/>
            <w:tcBorders>
              <w:top w:val="nil"/>
              <w:left w:val="nil"/>
              <w:bottom w:val="single" w:sz="4" w:space="0" w:color="auto"/>
              <w:right w:val="nil"/>
            </w:tcBorders>
            <w:shd w:val="clear" w:color="auto" w:fill="auto"/>
            <w:noWrap/>
            <w:vAlign w:val="bottom"/>
            <w:hideMark/>
          </w:tcPr>
          <w:p w14:paraId="2E49C33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lang w:val="en-IE" w:eastAsia="en-IE"/>
              </w:rPr>
            </w:pPr>
          </w:p>
        </w:tc>
        <w:tc>
          <w:tcPr>
            <w:tcW w:w="3960" w:type="dxa"/>
            <w:tcBorders>
              <w:top w:val="nil"/>
              <w:left w:val="nil"/>
              <w:bottom w:val="single" w:sz="4" w:space="0" w:color="auto"/>
              <w:right w:val="nil"/>
            </w:tcBorders>
            <w:shd w:val="clear" w:color="auto" w:fill="auto"/>
            <w:noWrap/>
            <w:vAlign w:val="center"/>
            <w:hideMark/>
          </w:tcPr>
          <w:p w14:paraId="5ED37876" w14:textId="77777777" w:rsidR="00117F35" w:rsidRPr="00117F35" w:rsidRDefault="00117F35" w:rsidP="00117F35">
            <w:pPr>
              <w:spacing w:after="0" w:line="240" w:lineRule="auto"/>
              <w:rPr>
                <w:rFonts w:ascii="Times New Roman" w:eastAsia="Times New Roman" w:hAnsi="Times New Roman" w:cs="Times New Roman"/>
                <w:noProof/>
                <w:sz w:val="20"/>
                <w:szCs w:val="20"/>
                <w:lang w:val="en-IE" w:eastAsia="en-IE"/>
              </w:rPr>
            </w:pPr>
          </w:p>
        </w:tc>
        <w:tc>
          <w:tcPr>
            <w:tcW w:w="1167" w:type="dxa"/>
            <w:tcBorders>
              <w:top w:val="nil"/>
              <w:left w:val="single" w:sz="8" w:space="0" w:color="auto"/>
              <w:bottom w:val="single" w:sz="4" w:space="0" w:color="auto"/>
              <w:right w:val="single" w:sz="4" w:space="0" w:color="auto"/>
            </w:tcBorders>
            <w:shd w:val="clear" w:color="auto" w:fill="auto"/>
            <w:noWrap/>
            <w:vAlign w:val="center"/>
            <w:hideMark/>
          </w:tcPr>
          <w:p w14:paraId="71C1326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Comisión</w:t>
            </w:r>
          </w:p>
        </w:tc>
        <w:tc>
          <w:tcPr>
            <w:tcW w:w="818" w:type="dxa"/>
            <w:tcBorders>
              <w:top w:val="nil"/>
              <w:left w:val="nil"/>
              <w:bottom w:val="single" w:sz="4" w:space="0" w:color="auto"/>
              <w:right w:val="single" w:sz="4" w:space="0" w:color="auto"/>
            </w:tcBorders>
            <w:shd w:val="clear" w:color="auto" w:fill="auto"/>
            <w:noWrap/>
            <w:vAlign w:val="center"/>
            <w:hideMark/>
          </w:tcPr>
          <w:p w14:paraId="1BB6F2E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BEI</w:t>
            </w:r>
            <w:r>
              <w:rPr>
                <w:rFonts w:ascii="Times New Roman" w:hAnsi="Times New Roman"/>
                <w:b/>
                <w:noProof/>
                <w:sz w:val="18"/>
                <w:vertAlign w:val="superscript"/>
              </w:rPr>
              <w:t xml:space="preserve"> </w:t>
            </w:r>
          </w:p>
        </w:tc>
        <w:tc>
          <w:tcPr>
            <w:tcW w:w="847" w:type="dxa"/>
            <w:tcBorders>
              <w:top w:val="nil"/>
              <w:left w:val="nil"/>
              <w:bottom w:val="nil"/>
              <w:right w:val="single" w:sz="8" w:space="0" w:color="auto"/>
            </w:tcBorders>
            <w:shd w:val="clear" w:color="auto" w:fill="auto"/>
            <w:noWrap/>
            <w:vAlign w:val="center"/>
            <w:hideMark/>
          </w:tcPr>
          <w:p w14:paraId="54917A5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TOTAL</w:t>
            </w:r>
          </w:p>
        </w:tc>
        <w:tc>
          <w:tcPr>
            <w:tcW w:w="1167" w:type="dxa"/>
            <w:tcBorders>
              <w:top w:val="nil"/>
              <w:left w:val="nil"/>
              <w:bottom w:val="single" w:sz="4" w:space="0" w:color="auto"/>
              <w:right w:val="single" w:sz="4" w:space="0" w:color="auto"/>
            </w:tcBorders>
            <w:shd w:val="clear" w:color="auto" w:fill="auto"/>
            <w:noWrap/>
            <w:vAlign w:val="center"/>
            <w:hideMark/>
          </w:tcPr>
          <w:p w14:paraId="6C0EF6B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Comisión</w:t>
            </w:r>
          </w:p>
        </w:tc>
        <w:tc>
          <w:tcPr>
            <w:tcW w:w="821" w:type="dxa"/>
            <w:tcBorders>
              <w:top w:val="nil"/>
              <w:left w:val="nil"/>
              <w:bottom w:val="single" w:sz="4" w:space="0" w:color="auto"/>
              <w:right w:val="single" w:sz="4" w:space="0" w:color="auto"/>
            </w:tcBorders>
            <w:shd w:val="clear" w:color="auto" w:fill="auto"/>
            <w:noWrap/>
            <w:vAlign w:val="center"/>
            <w:hideMark/>
          </w:tcPr>
          <w:p w14:paraId="151C345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BEI</w:t>
            </w:r>
            <w:r>
              <w:rPr>
                <w:rFonts w:ascii="Times New Roman" w:hAnsi="Times New Roman"/>
                <w:b/>
                <w:noProof/>
                <w:sz w:val="18"/>
                <w:vertAlign w:val="superscript"/>
              </w:rPr>
              <w:t xml:space="preserve"> </w:t>
            </w:r>
          </w:p>
        </w:tc>
        <w:tc>
          <w:tcPr>
            <w:tcW w:w="850" w:type="dxa"/>
            <w:tcBorders>
              <w:top w:val="nil"/>
              <w:left w:val="nil"/>
              <w:bottom w:val="nil"/>
              <w:right w:val="single" w:sz="8" w:space="0" w:color="auto"/>
            </w:tcBorders>
            <w:shd w:val="clear" w:color="auto" w:fill="auto"/>
            <w:noWrap/>
            <w:vAlign w:val="center"/>
            <w:hideMark/>
          </w:tcPr>
          <w:p w14:paraId="761076F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TOTAL</w:t>
            </w:r>
          </w:p>
        </w:tc>
      </w:tr>
      <w:tr w:rsidR="00117F35" w:rsidRPr="00117F35" w14:paraId="6470FCCF" w14:textId="77777777" w:rsidTr="00EC160E">
        <w:trPr>
          <w:trHeight w:val="271"/>
        </w:trPr>
        <w:tc>
          <w:tcPr>
            <w:tcW w:w="576"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0E610CF"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3960" w:type="dxa"/>
            <w:tcBorders>
              <w:top w:val="single" w:sz="4" w:space="0" w:color="auto"/>
              <w:left w:val="nil"/>
              <w:bottom w:val="single" w:sz="4" w:space="0" w:color="auto"/>
              <w:right w:val="single" w:sz="4" w:space="0" w:color="auto"/>
            </w:tcBorders>
            <w:shd w:val="clear" w:color="auto" w:fill="auto"/>
            <w:noWrap/>
            <w:vAlign w:val="center"/>
            <w:hideMark/>
          </w:tcPr>
          <w:p w14:paraId="251FB722" w14:textId="77777777" w:rsidR="00117F35" w:rsidRPr="00117F35" w:rsidRDefault="00117F35" w:rsidP="00117F35">
            <w:pPr>
              <w:spacing w:after="0" w:line="240" w:lineRule="auto"/>
              <w:rPr>
                <w:rFonts w:ascii="Times New Roman" w:eastAsia="Times New Roman" w:hAnsi="Times New Roman" w:cs="Times New Roman"/>
                <w:noProof/>
                <w:color w:val="000000"/>
                <w:sz w:val="18"/>
                <w:szCs w:val="18"/>
              </w:rPr>
            </w:pPr>
            <w:r>
              <w:rPr>
                <w:rFonts w:ascii="Times New Roman" w:hAnsi="Times New Roman"/>
                <w:noProof/>
                <w:color w:val="000000"/>
                <w:sz w:val="18"/>
              </w:rPr>
              <w:t>Saldo a 31.12.2023</w:t>
            </w:r>
            <w:r>
              <w:rPr>
                <w:rFonts w:ascii="Times New Roman" w:hAnsi="Times New Roman"/>
                <w:noProof/>
                <w:color w:val="000000"/>
                <w:sz w:val="18"/>
                <w:vertAlign w:val="superscript"/>
              </w:rPr>
              <w:t>4, 6</w:t>
            </w:r>
          </w:p>
        </w:tc>
        <w:tc>
          <w:tcPr>
            <w:tcW w:w="1167" w:type="dxa"/>
            <w:tcBorders>
              <w:top w:val="nil"/>
              <w:left w:val="single" w:sz="4" w:space="0" w:color="auto"/>
              <w:bottom w:val="nil"/>
              <w:right w:val="nil"/>
            </w:tcBorders>
            <w:shd w:val="clear" w:color="000000" w:fill="FFFFFF"/>
            <w:noWrap/>
            <w:vAlign w:val="center"/>
            <w:hideMark/>
          </w:tcPr>
          <w:p w14:paraId="4CC1565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604</w:t>
            </w:r>
          </w:p>
        </w:tc>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301A09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738</w:t>
            </w:r>
          </w:p>
        </w:tc>
        <w:tc>
          <w:tcPr>
            <w:tcW w:w="847" w:type="dxa"/>
            <w:tcBorders>
              <w:top w:val="single" w:sz="4" w:space="0" w:color="auto"/>
              <w:left w:val="nil"/>
              <w:bottom w:val="single" w:sz="4" w:space="0" w:color="auto"/>
              <w:right w:val="single" w:sz="8" w:space="0" w:color="auto"/>
            </w:tcBorders>
            <w:shd w:val="clear" w:color="auto" w:fill="auto"/>
            <w:noWrap/>
            <w:vAlign w:val="center"/>
            <w:hideMark/>
          </w:tcPr>
          <w:p w14:paraId="71FB4CB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1 342</w:t>
            </w:r>
          </w:p>
        </w:tc>
        <w:tc>
          <w:tcPr>
            <w:tcW w:w="1167" w:type="dxa"/>
            <w:tcBorders>
              <w:top w:val="nil"/>
              <w:left w:val="nil"/>
              <w:bottom w:val="nil"/>
              <w:right w:val="nil"/>
            </w:tcBorders>
            <w:shd w:val="clear" w:color="000000" w:fill="FFFFFF"/>
            <w:noWrap/>
            <w:vAlign w:val="center"/>
            <w:hideMark/>
          </w:tcPr>
          <w:p w14:paraId="50BA17B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604</w:t>
            </w:r>
          </w:p>
        </w:tc>
        <w:tc>
          <w:tcPr>
            <w:tcW w:w="821" w:type="dxa"/>
            <w:tcBorders>
              <w:top w:val="nil"/>
              <w:left w:val="single" w:sz="4" w:space="0" w:color="auto"/>
              <w:bottom w:val="single" w:sz="4" w:space="0" w:color="auto"/>
              <w:right w:val="single" w:sz="4" w:space="0" w:color="auto"/>
            </w:tcBorders>
            <w:shd w:val="clear" w:color="000000" w:fill="FFFFFF"/>
            <w:noWrap/>
            <w:vAlign w:val="center"/>
            <w:hideMark/>
          </w:tcPr>
          <w:p w14:paraId="0E2C933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738</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5F1930C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1 342</w:t>
            </w:r>
          </w:p>
        </w:tc>
      </w:tr>
      <w:tr w:rsidR="00117F35" w:rsidRPr="00117F35" w14:paraId="2465CC99" w14:textId="77777777" w:rsidTr="00EC160E">
        <w:trPr>
          <w:trHeight w:val="264"/>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5D9F8C1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2024</w:t>
            </w:r>
          </w:p>
        </w:tc>
        <w:tc>
          <w:tcPr>
            <w:tcW w:w="3960" w:type="dxa"/>
            <w:tcBorders>
              <w:top w:val="nil"/>
              <w:left w:val="nil"/>
              <w:bottom w:val="nil"/>
              <w:right w:val="nil"/>
            </w:tcBorders>
            <w:shd w:val="clear" w:color="auto" w:fill="auto"/>
            <w:noWrap/>
            <w:vAlign w:val="bottom"/>
            <w:hideMark/>
          </w:tcPr>
          <w:p w14:paraId="4CCDD746"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Contribuciones de los Estados miembros y del Reino Unido para 2024</w:t>
            </w:r>
          </w:p>
        </w:tc>
        <w:tc>
          <w:tcPr>
            <w:tcW w:w="1167" w:type="dxa"/>
            <w:tcBorders>
              <w:top w:val="single" w:sz="4" w:space="0" w:color="auto"/>
              <w:left w:val="single" w:sz="8" w:space="0" w:color="auto"/>
              <w:bottom w:val="nil"/>
              <w:right w:val="nil"/>
            </w:tcBorders>
            <w:shd w:val="clear" w:color="000000" w:fill="FFFFFF"/>
            <w:noWrap/>
            <w:vAlign w:val="center"/>
            <w:hideMark/>
          </w:tcPr>
          <w:p w14:paraId="0FC8638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1 200</w:t>
            </w:r>
          </w:p>
        </w:tc>
        <w:tc>
          <w:tcPr>
            <w:tcW w:w="818" w:type="dxa"/>
            <w:tcBorders>
              <w:top w:val="nil"/>
              <w:left w:val="single" w:sz="4" w:space="0" w:color="auto"/>
              <w:bottom w:val="nil"/>
              <w:right w:val="single" w:sz="4" w:space="0" w:color="auto"/>
            </w:tcBorders>
            <w:shd w:val="clear" w:color="000000" w:fill="FFFFFF"/>
            <w:noWrap/>
            <w:vAlign w:val="center"/>
            <w:hideMark/>
          </w:tcPr>
          <w:p w14:paraId="159E4C3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847" w:type="dxa"/>
            <w:tcBorders>
              <w:top w:val="nil"/>
              <w:left w:val="nil"/>
              <w:bottom w:val="nil"/>
              <w:right w:val="single" w:sz="8" w:space="0" w:color="auto"/>
            </w:tcBorders>
            <w:shd w:val="clear" w:color="000000" w:fill="FFFFFF"/>
            <w:noWrap/>
            <w:vAlign w:val="center"/>
            <w:hideMark/>
          </w:tcPr>
          <w:p w14:paraId="74DEB99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c>
          <w:tcPr>
            <w:tcW w:w="1167" w:type="dxa"/>
            <w:tcBorders>
              <w:top w:val="single" w:sz="4" w:space="0" w:color="auto"/>
              <w:left w:val="nil"/>
              <w:bottom w:val="nil"/>
              <w:right w:val="nil"/>
            </w:tcBorders>
            <w:shd w:val="clear" w:color="000000" w:fill="FFFFFF"/>
            <w:noWrap/>
            <w:vAlign w:val="center"/>
            <w:hideMark/>
          </w:tcPr>
          <w:p w14:paraId="1F82A70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1 200</w:t>
            </w:r>
          </w:p>
        </w:tc>
        <w:tc>
          <w:tcPr>
            <w:tcW w:w="821" w:type="dxa"/>
            <w:tcBorders>
              <w:top w:val="nil"/>
              <w:left w:val="single" w:sz="4" w:space="0" w:color="auto"/>
              <w:bottom w:val="nil"/>
              <w:right w:val="single" w:sz="4" w:space="0" w:color="auto"/>
            </w:tcBorders>
            <w:shd w:val="clear" w:color="000000" w:fill="FFFFFF"/>
            <w:noWrap/>
            <w:vAlign w:val="center"/>
            <w:hideMark/>
          </w:tcPr>
          <w:p w14:paraId="724DA06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300</w:t>
            </w:r>
          </w:p>
        </w:tc>
        <w:tc>
          <w:tcPr>
            <w:tcW w:w="850" w:type="dxa"/>
            <w:tcBorders>
              <w:top w:val="nil"/>
              <w:left w:val="nil"/>
              <w:bottom w:val="nil"/>
              <w:right w:val="single" w:sz="8" w:space="0" w:color="auto"/>
            </w:tcBorders>
            <w:shd w:val="clear" w:color="000000" w:fill="FFFFFF"/>
            <w:noWrap/>
            <w:vAlign w:val="center"/>
            <w:hideMark/>
          </w:tcPr>
          <w:p w14:paraId="270FCE3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1 500</w:t>
            </w:r>
          </w:p>
        </w:tc>
      </w:tr>
      <w:tr w:rsidR="00117F35" w:rsidRPr="00117F35" w14:paraId="360BA928"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7066D628"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432AEC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nil"/>
            </w:tcBorders>
            <w:shd w:val="clear" w:color="000000" w:fill="FFFFFF"/>
            <w:noWrap/>
            <w:vAlign w:val="center"/>
            <w:hideMark/>
          </w:tcPr>
          <w:p w14:paraId="1768A21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550</w:t>
            </w:r>
          </w:p>
        </w:tc>
        <w:tc>
          <w:tcPr>
            <w:tcW w:w="818" w:type="dxa"/>
            <w:tcBorders>
              <w:top w:val="nil"/>
              <w:left w:val="single" w:sz="4" w:space="0" w:color="auto"/>
              <w:bottom w:val="nil"/>
              <w:right w:val="single" w:sz="4" w:space="0" w:color="auto"/>
            </w:tcBorders>
            <w:shd w:val="clear" w:color="000000" w:fill="FFFFFF"/>
            <w:noWrap/>
            <w:vAlign w:val="center"/>
            <w:hideMark/>
          </w:tcPr>
          <w:p w14:paraId="241F78B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6665EF7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c>
          <w:tcPr>
            <w:tcW w:w="1167" w:type="dxa"/>
            <w:tcBorders>
              <w:top w:val="nil"/>
              <w:left w:val="nil"/>
              <w:bottom w:val="nil"/>
              <w:right w:val="nil"/>
            </w:tcBorders>
            <w:shd w:val="clear" w:color="000000" w:fill="FFFFFF"/>
            <w:noWrap/>
            <w:vAlign w:val="center"/>
            <w:hideMark/>
          </w:tcPr>
          <w:p w14:paraId="6F9FDDC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550</w:t>
            </w:r>
          </w:p>
        </w:tc>
        <w:tc>
          <w:tcPr>
            <w:tcW w:w="821" w:type="dxa"/>
            <w:tcBorders>
              <w:top w:val="nil"/>
              <w:left w:val="single" w:sz="4" w:space="0" w:color="auto"/>
              <w:bottom w:val="nil"/>
              <w:right w:val="single" w:sz="4" w:space="0" w:color="auto"/>
            </w:tcBorders>
            <w:shd w:val="clear" w:color="000000" w:fill="FFFFFF"/>
            <w:noWrap/>
            <w:vAlign w:val="center"/>
            <w:hideMark/>
          </w:tcPr>
          <w:p w14:paraId="630AF9D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371EDCD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650</w:t>
            </w:r>
          </w:p>
        </w:tc>
      </w:tr>
      <w:tr w:rsidR="00117F35" w:rsidRPr="00117F35" w14:paraId="60339E9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7865371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5DFEC20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2.º tramo</w:t>
            </w:r>
          </w:p>
        </w:tc>
        <w:tc>
          <w:tcPr>
            <w:tcW w:w="1167" w:type="dxa"/>
            <w:tcBorders>
              <w:top w:val="nil"/>
              <w:left w:val="single" w:sz="8" w:space="0" w:color="auto"/>
              <w:bottom w:val="nil"/>
              <w:right w:val="nil"/>
            </w:tcBorders>
            <w:shd w:val="clear" w:color="000000" w:fill="FFFFFF"/>
            <w:noWrap/>
            <w:vAlign w:val="center"/>
            <w:hideMark/>
          </w:tcPr>
          <w:p w14:paraId="116720C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18" w:type="dxa"/>
            <w:tcBorders>
              <w:top w:val="nil"/>
              <w:left w:val="single" w:sz="4" w:space="0" w:color="auto"/>
              <w:bottom w:val="nil"/>
              <w:right w:val="single" w:sz="4" w:space="0" w:color="auto"/>
            </w:tcBorders>
            <w:shd w:val="clear" w:color="000000" w:fill="FFFFFF"/>
            <w:noWrap/>
            <w:vAlign w:val="center"/>
            <w:hideMark/>
          </w:tcPr>
          <w:p w14:paraId="3C62152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19D2CB0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c>
          <w:tcPr>
            <w:tcW w:w="1167" w:type="dxa"/>
            <w:tcBorders>
              <w:top w:val="nil"/>
              <w:left w:val="nil"/>
              <w:bottom w:val="nil"/>
              <w:right w:val="nil"/>
            </w:tcBorders>
            <w:shd w:val="clear" w:color="000000" w:fill="FFFFFF"/>
            <w:noWrap/>
            <w:vAlign w:val="center"/>
            <w:hideMark/>
          </w:tcPr>
          <w:p w14:paraId="46C4363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400</w:t>
            </w:r>
          </w:p>
        </w:tc>
        <w:tc>
          <w:tcPr>
            <w:tcW w:w="821" w:type="dxa"/>
            <w:tcBorders>
              <w:top w:val="nil"/>
              <w:left w:val="single" w:sz="4" w:space="0" w:color="auto"/>
              <w:bottom w:val="nil"/>
              <w:right w:val="single" w:sz="4" w:space="0" w:color="auto"/>
            </w:tcBorders>
            <w:shd w:val="clear" w:color="000000" w:fill="FFFFFF"/>
            <w:noWrap/>
            <w:vAlign w:val="center"/>
            <w:hideMark/>
          </w:tcPr>
          <w:p w14:paraId="7060D84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4E564F7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500</w:t>
            </w:r>
          </w:p>
        </w:tc>
      </w:tr>
      <w:tr w:rsidR="00117F35" w:rsidRPr="00117F35" w14:paraId="24141EF8"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758B5B7"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61400EA9"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nil"/>
            </w:tcBorders>
            <w:shd w:val="clear" w:color="000000" w:fill="FFFFFF"/>
            <w:noWrap/>
            <w:vAlign w:val="center"/>
            <w:hideMark/>
          </w:tcPr>
          <w:p w14:paraId="717F59C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single" w:sz="4" w:space="0" w:color="auto"/>
              <w:bottom w:val="nil"/>
              <w:right w:val="single" w:sz="4" w:space="0" w:color="auto"/>
            </w:tcBorders>
            <w:shd w:val="clear" w:color="000000" w:fill="FFFFFF"/>
            <w:noWrap/>
            <w:vAlign w:val="center"/>
            <w:hideMark/>
          </w:tcPr>
          <w:p w14:paraId="3DA45F8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000000" w:fill="FFFFFF"/>
            <w:noWrap/>
            <w:vAlign w:val="center"/>
            <w:hideMark/>
          </w:tcPr>
          <w:p w14:paraId="65F2242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1167" w:type="dxa"/>
            <w:tcBorders>
              <w:top w:val="nil"/>
              <w:left w:val="nil"/>
              <w:bottom w:val="nil"/>
              <w:right w:val="nil"/>
            </w:tcBorders>
            <w:shd w:val="clear" w:color="000000" w:fill="FFFFFF"/>
            <w:noWrap/>
            <w:vAlign w:val="center"/>
            <w:hideMark/>
          </w:tcPr>
          <w:p w14:paraId="156198A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single" w:sz="4" w:space="0" w:color="auto"/>
              <w:bottom w:val="nil"/>
              <w:right w:val="single" w:sz="4" w:space="0" w:color="auto"/>
            </w:tcBorders>
            <w:shd w:val="clear" w:color="000000" w:fill="FFFFFF"/>
            <w:noWrap/>
            <w:vAlign w:val="center"/>
            <w:hideMark/>
          </w:tcPr>
          <w:p w14:paraId="5C2AFAA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50" w:type="dxa"/>
            <w:tcBorders>
              <w:top w:val="nil"/>
              <w:left w:val="nil"/>
              <w:bottom w:val="nil"/>
              <w:right w:val="single" w:sz="8" w:space="0" w:color="auto"/>
            </w:tcBorders>
            <w:shd w:val="clear" w:color="000000" w:fill="FFFFFF"/>
            <w:noWrap/>
            <w:vAlign w:val="center"/>
            <w:hideMark/>
          </w:tcPr>
          <w:p w14:paraId="77DE3E9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r>
      <w:tr w:rsidR="00117F35" w:rsidRPr="00117F35" w14:paraId="5314345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2F4CA2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73FC7E54"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Contribuciones y ajustes de 2024 recibidos en 2023</w:t>
            </w:r>
          </w:p>
        </w:tc>
        <w:tc>
          <w:tcPr>
            <w:tcW w:w="1167" w:type="dxa"/>
            <w:tcBorders>
              <w:top w:val="nil"/>
              <w:left w:val="single" w:sz="8" w:space="0" w:color="auto"/>
              <w:bottom w:val="nil"/>
              <w:right w:val="nil"/>
            </w:tcBorders>
            <w:shd w:val="clear" w:color="000000" w:fill="FFFFFF"/>
            <w:noWrap/>
            <w:vAlign w:val="center"/>
            <w:hideMark/>
          </w:tcPr>
          <w:p w14:paraId="38874AE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818" w:type="dxa"/>
            <w:tcBorders>
              <w:top w:val="nil"/>
              <w:left w:val="single" w:sz="4" w:space="0" w:color="auto"/>
              <w:bottom w:val="nil"/>
              <w:right w:val="single" w:sz="4" w:space="0" w:color="auto"/>
            </w:tcBorders>
            <w:shd w:val="clear" w:color="000000" w:fill="FFFFFF"/>
            <w:noWrap/>
            <w:vAlign w:val="center"/>
            <w:hideMark/>
          </w:tcPr>
          <w:p w14:paraId="3950AF5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67649F3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1167" w:type="dxa"/>
            <w:tcBorders>
              <w:top w:val="nil"/>
              <w:left w:val="nil"/>
              <w:bottom w:val="nil"/>
              <w:right w:val="nil"/>
            </w:tcBorders>
            <w:shd w:val="clear" w:color="000000" w:fill="FFFFFF"/>
            <w:noWrap/>
            <w:vAlign w:val="center"/>
            <w:hideMark/>
          </w:tcPr>
          <w:p w14:paraId="1A3DA4D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c>
          <w:tcPr>
            <w:tcW w:w="821" w:type="dxa"/>
            <w:tcBorders>
              <w:top w:val="nil"/>
              <w:left w:val="single" w:sz="4" w:space="0" w:color="auto"/>
              <w:bottom w:val="nil"/>
              <w:right w:val="single" w:sz="4" w:space="0" w:color="auto"/>
            </w:tcBorders>
            <w:shd w:val="clear" w:color="000000" w:fill="FFFFFF"/>
            <w:noWrap/>
            <w:vAlign w:val="center"/>
            <w:hideMark/>
          </w:tcPr>
          <w:p w14:paraId="49E91F4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0F628EF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73</w:t>
            </w:r>
          </w:p>
        </w:tc>
      </w:tr>
      <w:tr w:rsidR="00117F35" w:rsidRPr="00117F35" w14:paraId="5A289632"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9298CF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center"/>
            <w:hideMark/>
          </w:tcPr>
          <w:p w14:paraId="5A115D2F"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Contribuciones y ajustes de 2025 recibidos en 2024</w:t>
            </w:r>
          </w:p>
        </w:tc>
        <w:tc>
          <w:tcPr>
            <w:tcW w:w="1167" w:type="dxa"/>
            <w:tcBorders>
              <w:top w:val="nil"/>
              <w:left w:val="single" w:sz="8" w:space="0" w:color="auto"/>
              <w:bottom w:val="nil"/>
              <w:right w:val="nil"/>
            </w:tcBorders>
            <w:shd w:val="clear" w:color="000000" w:fill="FFFFFF"/>
            <w:noWrap/>
            <w:vAlign w:val="center"/>
            <w:hideMark/>
          </w:tcPr>
          <w:p w14:paraId="6730A72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000000" w:fill="FFFFFF"/>
            <w:noWrap/>
            <w:vAlign w:val="center"/>
            <w:hideMark/>
          </w:tcPr>
          <w:p w14:paraId="508A075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A47A17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1167" w:type="dxa"/>
            <w:tcBorders>
              <w:top w:val="nil"/>
              <w:left w:val="nil"/>
              <w:bottom w:val="nil"/>
              <w:right w:val="nil"/>
            </w:tcBorders>
            <w:shd w:val="clear" w:color="000000" w:fill="FFFFFF"/>
            <w:noWrap/>
            <w:vAlign w:val="center"/>
            <w:hideMark/>
          </w:tcPr>
          <w:p w14:paraId="09093EE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43</w:t>
            </w:r>
          </w:p>
        </w:tc>
        <w:tc>
          <w:tcPr>
            <w:tcW w:w="821" w:type="dxa"/>
            <w:tcBorders>
              <w:top w:val="nil"/>
              <w:left w:val="single" w:sz="4" w:space="0" w:color="auto"/>
              <w:bottom w:val="nil"/>
              <w:right w:val="single" w:sz="4" w:space="0" w:color="auto"/>
            </w:tcBorders>
            <w:shd w:val="clear" w:color="000000" w:fill="FFFFFF"/>
            <w:noWrap/>
            <w:vAlign w:val="center"/>
            <w:hideMark/>
          </w:tcPr>
          <w:p w14:paraId="42BFB98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03D490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43</w:t>
            </w:r>
          </w:p>
        </w:tc>
      </w:tr>
      <w:tr w:rsidR="00117F35" w:rsidRPr="00117F35" w14:paraId="1E29B55B"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216DC8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2216CAC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Reflujos</w:t>
            </w:r>
            <w:r>
              <w:rPr>
                <w:rFonts w:ascii="Times New Roman" w:hAnsi="Times New Roman"/>
                <w:noProof/>
                <w:sz w:val="18"/>
                <w:vertAlign w:val="superscript"/>
              </w:rPr>
              <w:t>2</w:t>
            </w:r>
          </w:p>
        </w:tc>
        <w:tc>
          <w:tcPr>
            <w:tcW w:w="1167" w:type="dxa"/>
            <w:tcBorders>
              <w:top w:val="nil"/>
              <w:left w:val="single" w:sz="8" w:space="0" w:color="auto"/>
              <w:bottom w:val="nil"/>
              <w:right w:val="nil"/>
            </w:tcBorders>
            <w:shd w:val="clear" w:color="000000" w:fill="FFFFFF"/>
            <w:noWrap/>
            <w:vAlign w:val="center"/>
            <w:hideMark/>
          </w:tcPr>
          <w:p w14:paraId="5F6E4D2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2592734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310</w:t>
            </w:r>
          </w:p>
        </w:tc>
        <w:tc>
          <w:tcPr>
            <w:tcW w:w="847" w:type="dxa"/>
            <w:tcBorders>
              <w:top w:val="nil"/>
              <w:left w:val="nil"/>
              <w:bottom w:val="nil"/>
              <w:right w:val="single" w:sz="8" w:space="0" w:color="auto"/>
            </w:tcBorders>
            <w:shd w:val="clear" w:color="auto" w:fill="auto"/>
            <w:noWrap/>
            <w:vAlign w:val="center"/>
            <w:hideMark/>
          </w:tcPr>
          <w:p w14:paraId="7E5C9D9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310</w:t>
            </w:r>
          </w:p>
        </w:tc>
        <w:tc>
          <w:tcPr>
            <w:tcW w:w="1167" w:type="dxa"/>
            <w:tcBorders>
              <w:top w:val="nil"/>
              <w:left w:val="nil"/>
              <w:bottom w:val="nil"/>
              <w:right w:val="nil"/>
            </w:tcBorders>
            <w:shd w:val="clear" w:color="auto" w:fill="auto"/>
            <w:noWrap/>
            <w:vAlign w:val="center"/>
            <w:hideMark/>
          </w:tcPr>
          <w:p w14:paraId="42178CC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1C810BDC" w14:textId="1D27D52F" w:rsidR="00117F35" w:rsidRPr="00117F35" w:rsidRDefault="00047221"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417</w:t>
            </w:r>
          </w:p>
        </w:tc>
        <w:tc>
          <w:tcPr>
            <w:tcW w:w="850" w:type="dxa"/>
            <w:tcBorders>
              <w:top w:val="nil"/>
              <w:left w:val="nil"/>
              <w:bottom w:val="nil"/>
              <w:right w:val="single" w:sz="8" w:space="0" w:color="auto"/>
            </w:tcBorders>
            <w:shd w:val="clear" w:color="auto" w:fill="auto"/>
            <w:noWrap/>
            <w:vAlign w:val="center"/>
            <w:hideMark/>
          </w:tcPr>
          <w:p w14:paraId="1DB0AEAC" w14:textId="67A77148"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417</w:t>
            </w:r>
          </w:p>
        </w:tc>
      </w:tr>
      <w:tr w:rsidR="00117F35" w:rsidRPr="00117F35" w14:paraId="16C3F999"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11F38B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65D01B26"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Cobros, intereses y ajustes</w:t>
            </w:r>
          </w:p>
        </w:tc>
        <w:tc>
          <w:tcPr>
            <w:tcW w:w="1167" w:type="dxa"/>
            <w:tcBorders>
              <w:top w:val="nil"/>
              <w:left w:val="single" w:sz="8" w:space="0" w:color="auto"/>
              <w:bottom w:val="nil"/>
              <w:right w:val="nil"/>
            </w:tcBorders>
            <w:shd w:val="clear" w:color="000000" w:fill="FFFFFF"/>
            <w:noWrap/>
            <w:vAlign w:val="center"/>
            <w:hideMark/>
          </w:tcPr>
          <w:p w14:paraId="7BAE6A0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w:t>
            </w:r>
          </w:p>
        </w:tc>
        <w:tc>
          <w:tcPr>
            <w:tcW w:w="818" w:type="dxa"/>
            <w:tcBorders>
              <w:top w:val="nil"/>
              <w:left w:val="single" w:sz="4" w:space="0" w:color="auto"/>
              <w:bottom w:val="nil"/>
              <w:right w:val="single" w:sz="4" w:space="0" w:color="auto"/>
            </w:tcBorders>
            <w:shd w:val="clear" w:color="000000" w:fill="FFFFFF"/>
            <w:noWrap/>
            <w:vAlign w:val="center"/>
            <w:hideMark/>
          </w:tcPr>
          <w:p w14:paraId="6D25831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323551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60</w:t>
            </w:r>
          </w:p>
        </w:tc>
        <w:tc>
          <w:tcPr>
            <w:tcW w:w="1167" w:type="dxa"/>
            <w:tcBorders>
              <w:top w:val="nil"/>
              <w:left w:val="nil"/>
              <w:bottom w:val="nil"/>
              <w:right w:val="nil"/>
            </w:tcBorders>
            <w:shd w:val="clear" w:color="000000" w:fill="FFFFFF"/>
            <w:noWrap/>
            <w:vAlign w:val="center"/>
            <w:hideMark/>
          </w:tcPr>
          <w:p w14:paraId="0D84025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99</w:t>
            </w:r>
          </w:p>
        </w:tc>
        <w:tc>
          <w:tcPr>
            <w:tcW w:w="821" w:type="dxa"/>
            <w:tcBorders>
              <w:top w:val="nil"/>
              <w:left w:val="single" w:sz="4" w:space="0" w:color="auto"/>
              <w:bottom w:val="nil"/>
              <w:right w:val="single" w:sz="4" w:space="0" w:color="auto"/>
            </w:tcBorders>
            <w:shd w:val="clear" w:color="000000" w:fill="FFFFFF"/>
            <w:noWrap/>
            <w:vAlign w:val="center"/>
            <w:hideMark/>
          </w:tcPr>
          <w:p w14:paraId="1C5A72D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4F359A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99</w:t>
            </w:r>
          </w:p>
        </w:tc>
      </w:tr>
      <w:tr w:rsidR="00117F35" w:rsidRPr="00117F35" w14:paraId="1B616D9D" w14:textId="77777777" w:rsidTr="00EC160E">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74B1B7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76905D0" w14:textId="72894B6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del 10.º y del 11.º FED al Reino Unido</w:t>
            </w:r>
          </w:p>
        </w:tc>
        <w:tc>
          <w:tcPr>
            <w:tcW w:w="1167" w:type="dxa"/>
            <w:tcBorders>
              <w:top w:val="nil"/>
              <w:left w:val="single" w:sz="8" w:space="0" w:color="auto"/>
              <w:bottom w:val="nil"/>
              <w:right w:val="nil"/>
            </w:tcBorders>
            <w:shd w:val="clear" w:color="000000" w:fill="FFFFFF"/>
            <w:noWrap/>
            <w:vAlign w:val="center"/>
            <w:hideMark/>
          </w:tcPr>
          <w:p w14:paraId="3310B9E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68</w:t>
            </w:r>
          </w:p>
        </w:tc>
        <w:tc>
          <w:tcPr>
            <w:tcW w:w="818" w:type="dxa"/>
            <w:tcBorders>
              <w:top w:val="nil"/>
              <w:left w:val="single" w:sz="4" w:space="0" w:color="auto"/>
              <w:bottom w:val="nil"/>
              <w:right w:val="single" w:sz="4" w:space="0" w:color="auto"/>
            </w:tcBorders>
            <w:shd w:val="clear" w:color="000000" w:fill="FFFFFF"/>
            <w:noWrap/>
            <w:vAlign w:val="center"/>
            <w:hideMark/>
          </w:tcPr>
          <w:p w14:paraId="23B9B03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25AAC04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68</w:t>
            </w:r>
          </w:p>
        </w:tc>
        <w:tc>
          <w:tcPr>
            <w:tcW w:w="1167" w:type="dxa"/>
            <w:tcBorders>
              <w:top w:val="nil"/>
              <w:left w:val="nil"/>
              <w:bottom w:val="nil"/>
              <w:right w:val="nil"/>
            </w:tcBorders>
            <w:shd w:val="clear" w:color="000000" w:fill="FFFFFF"/>
            <w:noWrap/>
            <w:vAlign w:val="center"/>
            <w:hideMark/>
          </w:tcPr>
          <w:p w14:paraId="229FD69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49</w:t>
            </w:r>
          </w:p>
        </w:tc>
        <w:tc>
          <w:tcPr>
            <w:tcW w:w="821" w:type="dxa"/>
            <w:tcBorders>
              <w:top w:val="nil"/>
              <w:left w:val="single" w:sz="4" w:space="0" w:color="auto"/>
              <w:bottom w:val="nil"/>
              <w:right w:val="single" w:sz="4" w:space="0" w:color="auto"/>
            </w:tcBorders>
            <w:shd w:val="clear" w:color="000000" w:fill="FFFFFF"/>
            <w:noWrap/>
            <w:vAlign w:val="center"/>
            <w:hideMark/>
          </w:tcPr>
          <w:p w14:paraId="68F7199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6A9CC5E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49</w:t>
            </w:r>
          </w:p>
        </w:tc>
      </w:tr>
      <w:tr w:rsidR="00117F35" w:rsidRPr="00117F35" w14:paraId="5737A30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3B6DE14"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9726808"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del 9.º FED a los Estados miembros y al Reino Unido</w:t>
            </w:r>
          </w:p>
        </w:tc>
        <w:tc>
          <w:tcPr>
            <w:tcW w:w="1167" w:type="dxa"/>
            <w:tcBorders>
              <w:top w:val="nil"/>
              <w:left w:val="single" w:sz="8" w:space="0" w:color="auto"/>
              <w:bottom w:val="nil"/>
              <w:right w:val="nil"/>
            </w:tcBorders>
            <w:shd w:val="clear" w:color="000000" w:fill="FFFFFF"/>
            <w:noWrap/>
            <w:vAlign w:val="center"/>
            <w:hideMark/>
          </w:tcPr>
          <w:p w14:paraId="550DA85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818" w:type="dxa"/>
            <w:tcBorders>
              <w:top w:val="nil"/>
              <w:left w:val="single" w:sz="4" w:space="0" w:color="auto"/>
              <w:bottom w:val="nil"/>
              <w:right w:val="single" w:sz="4" w:space="0" w:color="auto"/>
            </w:tcBorders>
            <w:shd w:val="clear" w:color="000000" w:fill="FFFFFF"/>
            <w:noWrap/>
            <w:vAlign w:val="center"/>
            <w:hideMark/>
          </w:tcPr>
          <w:p w14:paraId="07FEE1C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582750A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1167" w:type="dxa"/>
            <w:tcBorders>
              <w:top w:val="nil"/>
              <w:left w:val="nil"/>
              <w:bottom w:val="nil"/>
              <w:right w:val="nil"/>
            </w:tcBorders>
            <w:shd w:val="clear" w:color="000000" w:fill="FFFFFF"/>
            <w:noWrap/>
            <w:vAlign w:val="center"/>
            <w:hideMark/>
          </w:tcPr>
          <w:p w14:paraId="774ED31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c>
          <w:tcPr>
            <w:tcW w:w="821" w:type="dxa"/>
            <w:tcBorders>
              <w:top w:val="nil"/>
              <w:left w:val="single" w:sz="4" w:space="0" w:color="auto"/>
              <w:bottom w:val="nil"/>
              <w:right w:val="single" w:sz="4" w:space="0" w:color="auto"/>
            </w:tcBorders>
            <w:shd w:val="clear" w:color="000000" w:fill="FFFFFF"/>
            <w:noWrap/>
            <w:vAlign w:val="center"/>
            <w:hideMark/>
          </w:tcPr>
          <w:p w14:paraId="2604F5D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2757327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w:t>
            </w:r>
          </w:p>
        </w:tc>
      </w:tr>
      <w:tr w:rsidR="00117F35" w:rsidRPr="00117F35" w14:paraId="15CD6FE6"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0C76D67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60E0AD7"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Total pagos</w:t>
            </w:r>
            <w:r>
              <w:rPr>
                <w:rFonts w:ascii="Times New Roman" w:hAnsi="Times New Roman"/>
                <w:noProof/>
                <w:sz w:val="18"/>
                <w:vertAlign w:val="superscript"/>
              </w:rPr>
              <w:t>3</w:t>
            </w:r>
          </w:p>
        </w:tc>
        <w:tc>
          <w:tcPr>
            <w:tcW w:w="1167" w:type="dxa"/>
            <w:tcBorders>
              <w:top w:val="nil"/>
              <w:left w:val="single" w:sz="8" w:space="0" w:color="auto"/>
              <w:bottom w:val="nil"/>
              <w:right w:val="nil"/>
            </w:tcBorders>
            <w:shd w:val="clear" w:color="000000" w:fill="FFFFFF"/>
            <w:noWrap/>
            <w:vAlign w:val="center"/>
            <w:hideMark/>
          </w:tcPr>
          <w:p w14:paraId="23C2A6C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1 410</w:t>
            </w: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D84335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780</w:t>
            </w:r>
          </w:p>
        </w:tc>
        <w:tc>
          <w:tcPr>
            <w:tcW w:w="847" w:type="dxa"/>
            <w:tcBorders>
              <w:top w:val="nil"/>
              <w:left w:val="nil"/>
              <w:bottom w:val="nil"/>
              <w:right w:val="single" w:sz="8" w:space="0" w:color="auto"/>
            </w:tcBorders>
            <w:shd w:val="clear" w:color="auto" w:fill="auto"/>
            <w:noWrap/>
            <w:vAlign w:val="center"/>
            <w:hideMark/>
          </w:tcPr>
          <w:p w14:paraId="53B2B32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2 190</w:t>
            </w:r>
          </w:p>
        </w:tc>
        <w:tc>
          <w:tcPr>
            <w:tcW w:w="1167" w:type="dxa"/>
            <w:tcBorders>
              <w:top w:val="nil"/>
              <w:left w:val="nil"/>
              <w:bottom w:val="nil"/>
              <w:right w:val="nil"/>
            </w:tcBorders>
            <w:shd w:val="clear" w:color="auto" w:fill="auto"/>
            <w:noWrap/>
            <w:vAlign w:val="center"/>
            <w:hideMark/>
          </w:tcPr>
          <w:p w14:paraId="098EABB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1 405</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415E643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780</w:t>
            </w:r>
          </w:p>
        </w:tc>
        <w:tc>
          <w:tcPr>
            <w:tcW w:w="850" w:type="dxa"/>
            <w:tcBorders>
              <w:top w:val="nil"/>
              <w:left w:val="nil"/>
              <w:bottom w:val="nil"/>
              <w:right w:val="single" w:sz="8" w:space="0" w:color="auto"/>
            </w:tcBorders>
            <w:shd w:val="clear" w:color="auto" w:fill="auto"/>
            <w:noWrap/>
            <w:vAlign w:val="center"/>
            <w:hideMark/>
          </w:tcPr>
          <w:p w14:paraId="5D36AE6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2 185</w:t>
            </w:r>
          </w:p>
        </w:tc>
      </w:tr>
      <w:tr w:rsidR="00117F35" w:rsidRPr="00117F35" w14:paraId="3B57EA72"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054A932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18FC661C"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a 31.12.2024</w:t>
            </w:r>
            <w:r>
              <w:rPr>
                <w:rFonts w:ascii="Times New Roman" w:hAnsi="Times New Roman"/>
                <w:b/>
                <w:noProof/>
                <w:color w:val="000000"/>
                <w:sz w:val="18"/>
                <w:vertAlign w:val="superscript"/>
              </w:rPr>
              <w:t>4, 6</w:t>
            </w:r>
          </w:p>
        </w:tc>
        <w:tc>
          <w:tcPr>
            <w:tcW w:w="1167" w:type="dxa"/>
            <w:tcBorders>
              <w:top w:val="single" w:sz="4" w:space="0" w:color="auto"/>
              <w:left w:val="single" w:sz="8" w:space="0" w:color="auto"/>
              <w:bottom w:val="single" w:sz="4" w:space="0" w:color="auto"/>
              <w:right w:val="nil"/>
            </w:tcBorders>
            <w:shd w:val="clear" w:color="000000" w:fill="FFFFFF"/>
            <w:noWrap/>
            <w:vAlign w:val="center"/>
            <w:hideMark/>
          </w:tcPr>
          <w:p w14:paraId="25E60E5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305</w:t>
            </w:r>
          </w:p>
        </w:tc>
        <w:tc>
          <w:tcPr>
            <w:tcW w:w="818" w:type="dxa"/>
            <w:tcBorders>
              <w:top w:val="nil"/>
              <w:left w:val="single" w:sz="4" w:space="0" w:color="auto"/>
              <w:bottom w:val="single" w:sz="4" w:space="0" w:color="auto"/>
              <w:right w:val="single" w:sz="4" w:space="0" w:color="auto"/>
            </w:tcBorders>
            <w:shd w:val="clear" w:color="000000" w:fill="FFFFFF"/>
            <w:noWrap/>
            <w:vAlign w:val="center"/>
            <w:hideMark/>
          </w:tcPr>
          <w:p w14:paraId="05C04AF1"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568</w:t>
            </w:r>
          </w:p>
        </w:tc>
        <w:tc>
          <w:tcPr>
            <w:tcW w:w="847" w:type="dxa"/>
            <w:tcBorders>
              <w:top w:val="single" w:sz="4" w:space="0" w:color="auto"/>
              <w:left w:val="nil"/>
              <w:bottom w:val="single" w:sz="4" w:space="0" w:color="auto"/>
              <w:right w:val="single" w:sz="8" w:space="0" w:color="auto"/>
            </w:tcBorders>
            <w:shd w:val="clear" w:color="000000" w:fill="FFFFFF"/>
            <w:noWrap/>
            <w:vAlign w:val="center"/>
            <w:hideMark/>
          </w:tcPr>
          <w:p w14:paraId="3D07A94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873</w:t>
            </w:r>
          </w:p>
        </w:tc>
        <w:tc>
          <w:tcPr>
            <w:tcW w:w="1167" w:type="dxa"/>
            <w:tcBorders>
              <w:top w:val="single" w:sz="4" w:space="0" w:color="auto"/>
              <w:left w:val="nil"/>
              <w:bottom w:val="single" w:sz="4" w:space="0" w:color="auto"/>
              <w:right w:val="nil"/>
            </w:tcBorders>
            <w:shd w:val="clear" w:color="000000" w:fill="FFFFFF"/>
            <w:noWrap/>
            <w:vAlign w:val="center"/>
            <w:hideMark/>
          </w:tcPr>
          <w:p w14:paraId="69F6360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411</w:t>
            </w:r>
          </w:p>
        </w:tc>
        <w:tc>
          <w:tcPr>
            <w:tcW w:w="821" w:type="dxa"/>
            <w:tcBorders>
              <w:top w:val="nil"/>
              <w:left w:val="single" w:sz="4" w:space="0" w:color="auto"/>
              <w:bottom w:val="single" w:sz="4" w:space="0" w:color="auto"/>
              <w:right w:val="single" w:sz="4" w:space="0" w:color="auto"/>
            </w:tcBorders>
            <w:shd w:val="clear" w:color="000000" w:fill="FFFFFF"/>
            <w:noWrap/>
            <w:vAlign w:val="center"/>
            <w:hideMark/>
          </w:tcPr>
          <w:p w14:paraId="25838296" w14:textId="1B3CBF63"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675</w:t>
            </w:r>
          </w:p>
        </w:tc>
        <w:tc>
          <w:tcPr>
            <w:tcW w:w="850" w:type="dxa"/>
            <w:tcBorders>
              <w:top w:val="single" w:sz="4" w:space="0" w:color="auto"/>
              <w:left w:val="nil"/>
              <w:bottom w:val="single" w:sz="4" w:space="0" w:color="auto"/>
              <w:right w:val="single" w:sz="8" w:space="0" w:color="auto"/>
            </w:tcBorders>
            <w:shd w:val="clear" w:color="000000" w:fill="FFFFFF"/>
            <w:noWrap/>
            <w:vAlign w:val="center"/>
            <w:hideMark/>
          </w:tcPr>
          <w:p w14:paraId="41357861" w14:textId="31C4584C"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1086</w:t>
            </w:r>
          </w:p>
        </w:tc>
      </w:tr>
      <w:tr w:rsidR="00117F35" w:rsidRPr="00117F35" w14:paraId="6A3501B6" w14:textId="77777777" w:rsidTr="00EC160E">
        <w:trPr>
          <w:trHeight w:val="283"/>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36C9DCA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2025</w:t>
            </w:r>
          </w:p>
        </w:tc>
        <w:tc>
          <w:tcPr>
            <w:tcW w:w="3960" w:type="dxa"/>
            <w:tcBorders>
              <w:top w:val="nil"/>
              <w:left w:val="nil"/>
              <w:bottom w:val="nil"/>
              <w:right w:val="nil"/>
            </w:tcBorders>
            <w:shd w:val="clear" w:color="auto" w:fill="auto"/>
            <w:noWrap/>
            <w:vAlign w:val="bottom"/>
            <w:hideMark/>
          </w:tcPr>
          <w:p w14:paraId="79229FD9"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Contribuciones de los Estados miembros y del Reino Unido para 2025</w:t>
            </w:r>
            <w:r>
              <w:rPr>
                <w:rFonts w:ascii="Times New Roman" w:hAnsi="Times New Roman"/>
                <w:b/>
                <w:noProof/>
                <w:color w:val="000000"/>
                <w:sz w:val="18"/>
                <w:vertAlign w:val="superscript"/>
              </w:rPr>
              <w:t>5</w:t>
            </w:r>
          </w:p>
        </w:tc>
        <w:tc>
          <w:tcPr>
            <w:tcW w:w="1167" w:type="dxa"/>
            <w:tcBorders>
              <w:top w:val="nil"/>
              <w:left w:val="single" w:sz="8" w:space="0" w:color="auto"/>
              <w:bottom w:val="nil"/>
              <w:right w:val="single" w:sz="4" w:space="0" w:color="auto"/>
            </w:tcBorders>
            <w:shd w:val="clear" w:color="000000" w:fill="FFFFFF"/>
            <w:noWrap/>
            <w:vAlign w:val="center"/>
            <w:hideMark/>
          </w:tcPr>
          <w:p w14:paraId="405B35F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800</w:t>
            </w:r>
          </w:p>
        </w:tc>
        <w:tc>
          <w:tcPr>
            <w:tcW w:w="818" w:type="dxa"/>
            <w:tcBorders>
              <w:top w:val="nil"/>
              <w:left w:val="nil"/>
              <w:bottom w:val="nil"/>
              <w:right w:val="single" w:sz="4" w:space="0" w:color="auto"/>
            </w:tcBorders>
            <w:shd w:val="clear" w:color="000000" w:fill="FFFFFF"/>
            <w:noWrap/>
            <w:vAlign w:val="center"/>
            <w:hideMark/>
          </w:tcPr>
          <w:p w14:paraId="0632924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847" w:type="dxa"/>
            <w:tcBorders>
              <w:top w:val="nil"/>
              <w:left w:val="nil"/>
              <w:bottom w:val="nil"/>
              <w:right w:val="single" w:sz="8" w:space="0" w:color="auto"/>
            </w:tcBorders>
            <w:shd w:val="clear" w:color="000000" w:fill="FFFFFF"/>
            <w:noWrap/>
            <w:vAlign w:val="center"/>
            <w:hideMark/>
          </w:tcPr>
          <w:p w14:paraId="5D21D10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809</w:t>
            </w:r>
          </w:p>
        </w:tc>
        <w:tc>
          <w:tcPr>
            <w:tcW w:w="1167" w:type="dxa"/>
            <w:tcBorders>
              <w:top w:val="nil"/>
              <w:left w:val="nil"/>
              <w:bottom w:val="nil"/>
              <w:right w:val="single" w:sz="4" w:space="0" w:color="auto"/>
            </w:tcBorders>
            <w:shd w:val="clear" w:color="000000" w:fill="FFFFFF"/>
            <w:noWrap/>
            <w:vAlign w:val="center"/>
            <w:hideMark/>
          </w:tcPr>
          <w:p w14:paraId="755CFEB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800</w:t>
            </w:r>
          </w:p>
        </w:tc>
        <w:tc>
          <w:tcPr>
            <w:tcW w:w="821" w:type="dxa"/>
            <w:tcBorders>
              <w:top w:val="nil"/>
              <w:left w:val="nil"/>
              <w:bottom w:val="nil"/>
              <w:right w:val="single" w:sz="4" w:space="0" w:color="auto"/>
            </w:tcBorders>
            <w:shd w:val="clear" w:color="000000" w:fill="FFFFFF"/>
            <w:noWrap/>
            <w:vAlign w:val="center"/>
            <w:hideMark/>
          </w:tcPr>
          <w:p w14:paraId="0BA39D8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w:t>
            </w:r>
          </w:p>
        </w:tc>
        <w:tc>
          <w:tcPr>
            <w:tcW w:w="850" w:type="dxa"/>
            <w:tcBorders>
              <w:top w:val="nil"/>
              <w:left w:val="nil"/>
              <w:bottom w:val="nil"/>
              <w:right w:val="single" w:sz="8" w:space="0" w:color="auto"/>
            </w:tcBorders>
            <w:shd w:val="clear" w:color="000000" w:fill="FFFFFF"/>
            <w:noWrap/>
            <w:vAlign w:val="center"/>
            <w:hideMark/>
          </w:tcPr>
          <w:p w14:paraId="1EDEF3A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809</w:t>
            </w:r>
          </w:p>
        </w:tc>
      </w:tr>
      <w:tr w:rsidR="00117F35" w:rsidRPr="00117F35" w14:paraId="3026C0AA"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0E8F92FD"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506AEA8"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single" w:sz="4" w:space="0" w:color="auto"/>
            </w:tcBorders>
            <w:shd w:val="clear" w:color="000000" w:fill="FFFFFF"/>
            <w:noWrap/>
            <w:vAlign w:val="center"/>
            <w:hideMark/>
          </w:tcPr>
          <w:p w14:paraId="5C67261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818" w:type="dxa"/>
            <w:tcBorders>
              <w:top w:val="nil"/>
              <w:left w:val="nil"/>
              <w:bottom w:val="nil"/>
              <w:right w:val="single" w:sz="4" w:space="0" w:color="auto"/>
            </w:tcBorders>
            <w:shd w:val="clear" w:color="000000" w:fill="FFFFFF"/>
            <w:noWrap/>
            <w:vAlign w:val="center"/>
            <w:hideMark/>
          </w:tcPr>
          <w:p w14:paraId="7C2D2FF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w:t>
            </w:r>
          </w:p>
        </w:tc>
        <w:tc>
          <w:tcPr>
            <w:tcW w:w="847" w:type="dxa"/>
            <w:tcBorders>
              <w:top w:val="nil"/>
              <w:left w:val="nil"/>
              <w:bottom w:val="nil"/>
              <w:right w:val="single" w:sz="8" w:space="0" w:color="auto"/>
            </w:tcBorders>
            <w:shd w:val="clear" w:color="000000" w:fill="FFFFFF"/>
            <w:noWrap/>
            <w:vAlign w:val="center"/>
            <w:hideMark/>
          </w:tcPr>
          <w:p w14:paraId="6C973C3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359</w:t>
            </w:r>
          </w:p>
        </w:tc>
        <w:tc>
          <w:tcPr>
            <w:tcW w:w="1167" w:type="dxa"/>
            <w:tcBorders>
              <w:top w:val="nil"/>
              <w:left w:val="nil"/>
              <w:bottom w:val="nil"/>
              <w:right w:val="single" w:sz="4" w:space="0" w:color="auto"/>
            </w:tcBorders>
            <w:shd w:val="clear" w:color="000000" w:fill="FFFFFF"/>
            <w:noWrap/>
            <w:vAlign w:val="center"/>
            <w:hideMark/>
          </w:tcPr>
          <w:p w14:paraId="00ED666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350</w:t>
            </w:r>
          </w:p>
        </w:tc>
        <w:tc>
          <w:tcPr>
            <w:tcW w:w="821" w:type="dxa"/>
            <w:tcBorders>
              <w:top w:val="nil"/>
              <w:left w:val="nil"/>
              <w:bottom w:val="nil"/>
              <w:right w:val="single" w:sz="4" w:space="0" w:color="auto"/>
            </w:tcBorders>
            <w:shd w:val="clear" w:color="000000" w:fill="FFFFFF"/>
            <w:noWrap/>
            <w:vAlign w:val="center"/>
            <w:hideMark/>
          </w:tcPr>
          <w:p w14:paraId="2E7DD98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9</w:t>
            </w:r>
          </w:p>
        </w:tc>
        <w:tc>
          <w:tcPr>
            <w:tcW w:w="850" w:type="dxa"/>
            <w:tcBorders>
              <w:top w:val="nil"/>
              <w:left w:val="nil"/>
              <w:bottom w:val="nil"/>
              <w:right w:val="single" w:sz="8" w:space="0" w:color="auto"/>
            </w:tcBorders>
            <w:shd w:val="clear" w:color="000000" w:fill="FFFFFF"/>
            <w:noWrap/>
            <w:vAlign w:val="center"/>
            <w:hideMark/>
          </w:tcPr>
          <w:p w14:paraId="2D0EE9A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359</w:t>
            </w:r>
          </w:p>
        </w:tc>
      </w:tr>
      <w:tr w:rsidR="00117F35" w:rsidRPr="00117F35" w14:paraId="27894C35"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59BA07C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50C9EA9F"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2.º tramo</w:t>
            </w:r>
          </w:p>
        </w:tc>
        <w:tc>
          <w:tcPr>
            <w:tcW w:w="1167" w:type="dxa"/>
            <w:tcBorders>
              <w:top w:val="nil"/>
              <w:left w:val="single" w:sz="8" w:space="0" w:color="auto"/>
              <w:bottom w:val="nil"/>
              <w:right w:val="single" w:sz="4" w:space="0" w:color="auto"/>
            </w:tcBorders>
            <w:shd w:val="clear" w:color="000000" w:fill="FFFFFF"/>
            <w:noWrap/>
            <w:vAlign w:val="center"/>
            <w:hideMark/>
          </w:tcPr>
          <w:p w14:paraId="6D3ABF4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nil"/>
              <w:bottom w:val="nil"/>
              <w:right w:val="single" w:sz="4" w:space="0" w:color="auto"/>
            </w:tcBorders>
            <w:shd w:val="clear" w:color="000000" w:fill="FFFFFF"/>
            <w:noWrap/>
            <w:vAlign w:val="center"/>
            <w:hideMark/>
          </w:tcPr>
          <w:p w14:paraId="01C83D98"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000000" w:fill="FFFFFF"/>
            <w:noWrap/>
            <w:vAlign w:val="center"/>
            <w:hideMark/>
          </w:tcPr>
          <w:p w14:paraId="79EF920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1167" w:type="dxa"/>
            <w:tcBorders>
              <w:top w:val="nil"/>
              <w:left w:val="nil"/>
              <w:bottom w:val="nil"/>
              <w:right w:val="single" w:sz="4" w:space="0" w:color="auto"/>
            </w:tcBorders>
            <w:shd w:val="clear" w:color="000000" w:fill="FFFFFF"/>
            <w:noWrap/>
            <w:vAlign w:val="center"/>
            <w:hideMark/>
          </w:tcPr>
          <w:p w14:paraId="76C153D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nil"/>
              <w:bottom w:val="nil"/>
              <w:right w:val="single" w:sz="4" w:space="0" w:color="auto"/>
            </w:tcBorders>
            <w:shd w:val="clear" w:color="000000" w:fill="FFFFFF"/>
            <w:noWrap/>
            <w:vAlign w:val="center"/>
            <w:hideMark/>
          </w:tcPr>
          <w:p w14:paraId="71BAF68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000000" w:fill="FFFFFF"/>
            <w:noWrap/>
            <w:vAlign w:val="center"/>
            <w:hideMark/>
          </w:tcPr>
          <w:p w14:paraId="2C8FE67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r>
      <w:tr w:rsidR="00117F35" w:rsidRPr="00117F35" w14:paraId="215F9864" w14:textId="77777777" w:rsidTr="00EC160E">
        <w:trPr>
          <w:trHeight w:val="283"/>
        </w:trPr>
        <w:tc>
          <w:tcPr>
            <w:tcW w:w="576" w:type="dxa"/>
            <w:vMerge/>
            <w:tcBorders>
              <w:top w:val="nil"/>
              <w:left w:val="single" w:sz="4" w:space="0" w:color="auto"/>
              <w:bottom w:val="single" w:sz="4" w:space="0" w:color="000000"/>
              <w:right w:val="single" w:sz="4" w:space="0" w:color="auto"/>
            </w:tcBorders>
            <w:vAlign w:val="center"/>
            <w:hideMark/>
          </w:tcPr>
          <w:p w14:paraId="593D531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20A957E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single" w:sz="4" w:space="0" w:color="auto"/>
            </w:tcBorders>
            <w:shd w:val="clear" w:color="000000" w:fill="FFFFFF"/>
            <w:noWrap/>
            <w:vAlign w:val="center"/>
            <w:hideMark/>
          </w:tcPr>
          <w:p w14:paraId="1B9EC5E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818" w:type="dxa"/>
            <w:tcBorders>
              <w:top w:val="nil"/>
              <w:left w:val="nil"/>
              <w:bottom w:val="nil"/>
              <w:right w:val="single" w:sz="4" w:space="0" w:color="auto"/>
            </w:tcBorders>
            <w:shd w:val="clear" w:color="000000" w:fill="FFFFFF"/>
            <w:noWrap/>
            <w:vAlign w:val="center"/>
            <w:hideMark/>
          </w:tcPr>
          <w:p w14:paraId="351B58E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000000" w:fill="FFFFFF"/>
            <w:noWrap/>
            <w:vAlign w:val="center"/>
            <w:hideMark/>
          </w:tcPr>
          <w:p w14:paraId="752F81C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1167" w:type="dxa"/>
            <w:tcBorders>
              <w:top w:val="nil"/>
              <w:left w:val="nil"/>
              <w:bottom w:val="nil"/>
              <w:right w:val="single" w:sz="4" w:space="0" w:color="auto"/>
            </w:tcBorders>
            <w:shd w:val="clear" w:color="000000" w:fill="FFFFFF"/>
            <w:noWrap/>
            <w:vAlign w:val="center"/>
            <w:hideMark/>
          </w:tcPr>
          <w:p w14:paraId="3A923E3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c>
          <w:tcPr>
            <w:tcW w:w="821" w:type="dxa"/>
            <w:tcBorders>
              <w:top w:val="nil"/>
              <w:left w:val="nil"/>
              <w:bottom w:val="nil"/>
              <w:right w:val="single" w:sz="4" w:space="0" w:color="auto"/>
            </w:tcBorders>
            <w:shd w:val="clear" w:color="000000" w:fill="FFFFFF"/>
            <w:noWrap/>
            <w:vAlign w:val="center"/>
            <w:hideMark/>
          </w:tcPr>
          <w:p w14:paraId="1769306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000000" w:fill="FFFFFF"/>
            <w:noWrap/>
            <w:vAlign w:val="center"/>
            <w:hideMark/>
          </w:tcPr>
          <w:p w14:paraId="39738FC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200</w:t>
            </w:r>
          </w:p>
        </w:tc>
      </w:tr>
      <w:tr w:rsidR="00117F35" w:rsidRPr="00117F35" w14:paraId="621015A5" w14:textId="77777777" w:rsidTr="00047221">
        <w:trPr>
          <w:trHeight w:val="283"/>
        </w:trPr>
        <w:tc>
          <w:tcPr>
            <w:tcW w:w="576" w:type="dxa"/>
            <w:vMerge/>
            <w:tcBorders>
              <w:top w:val="nil"/>
              <w:left w:val="single" w:sz="4" w:space="0" w:color="auto"/>
              <w:bottom w:val="single" w:sz="4" w:space="0" w:color="000000"/>
              <w:right w:val="single" w:sz="4" w:space="0" w:color="auto"/>
            </w:tcBorders>
            <w:vAlign w:val="center"/>
            <w:hideMark/>
          </w:tcPr>
          <w:p w14:paraId="6B65F8A9"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42015E6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Contribuciones y ajustes de 2025 recibidos en 2024</w:t>
            </w:r>
          </w:p>
        </w:tc>
        <w:tc>
          <w:tcPr>
            <w:tcW w:w="1167" w:type="dxa"/>
            <w:tcBorders>
              <w:top w:val="nil"/>
              <w:left w:val="single" w:sz="8" w:space="0" w:color="auto"/>
              <w:bottom w:val="nil"/>
              <w:right w:val="single" w:sz="4" w:space="0" w:color="auto"/>
            </w:tcBorders>
            <w:shd w:val="clear" w:color="auto" w:fill="auto"/>
            <w:noWrap/>
            <w:vAlign w:val="center"/>
            <w:hideMark/>
          </w:tcPr>
          <w:p w14:paraId="498FB51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nil"/>
              <w:bottom w:val="nil"/>
              <w:right w:val="single" w:sz="4" w:space="0" w:color="auto"/>
            </w:tcBorders>
            <w:shd w:val="clear" w:color="auto" w:fill="auto"/>
            <w:noWrap/>
            <w:vAlign w:val="center"/>
            <w:hideMark/>
          </w:tcPr>
          <w:p w14:paraId="2923101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47" w:type="dxa"/>
            <w:tcBorders>
              <w:top w:val="nil"/>
              <w:left w:val="nil"/>
              <w:bottom w:val="nil"/>
              <w:right w:val="single" w:sz="8" w:space="0" w:color="auto"/>
            </w:tcBorders>
            <w:shd w:val="clear" w:color="auto" w:fill="auto"/>
            <w:noWrap/>
            <w:vAlign w:val="center"/>
            <w:hideMark/>
          </w:tcPr>
          <w:p w14:paraId="412E23C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1167" w:type="dxa"/>
            <w:tcBorders>
              <w:top w:val="nil"/>
              <w:left w:val="nil"/>
              <w:bottom w:val="nil"/>
              <w:right w:val="nil"/>
            </w:tcBorders>
            <w:shd w:val="clear" w:color="auto" w:fill="auto"/>
            <w:noWrap/>
            <w:vAlign w:val="center"/>
            <w:hideMark/>
          </w:tcPr>
          <w:p w14:paraId="221FF4D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43</w:t>
            </w:r>
          </w:p>
        </w:tc>
        <w:tc>
          <w:tcPr>
            <w:tcW w:w="821" w:type="dxa"/>
            <w:tcBorders>
              <w:top w:val="nil"/>
              <w:left w:val="single" w:sz="4" w:space="0" w:color="auto"/>
              <w:bottom w:val="nil"/>
              <w:right w:val="single" w:sz="4" w:space="0" w:color="auto"/>
            </w:tcBorders>
            <w:shd w:val="clear" w:color="auto" w:fill="auto"/>
            <w:noWrap/>
            <w:vAlign w:val="center"/>
            <w:hideMark/>
          </w:tcPr>
          <w:p w14:paraId="3F01C57C"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w:t>
            </w:r>
          </w:p>
        </w:tc>
        <w:tc>
          <w:tcPr>
            <w:tcW w:w="850" w:type="dxa"/>
            <w:tcBorders>
              <w:top w:val="nil"/>
              <w:left w:val="nil"/>
              <w:bottom w:val="nil"/>
              <w:right w:val="single" w:sz="8" w:space="0" w:color="auto"/>
            </w:tcBorders>
            <w:shd w:val="clear" w:color="auto" w:fill="auto"/>
            <w:noWrap/>
            <w:vAlign w:val="center"/>
            <w:hideMark/>
          </w:tcPr>
          <w:p w14:paraId="420201E9" w14:textId="7380F60E" w:rsidR="00117F35" w:rsidRPr="00117F35" w:rsidRDefault="008426BB"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-43 </w:t>
            </w:r>
          </w:p>
        </w:tc>
      </w:tr>
      <w:tr w:rsidR="00117F35" w:rsidRPr="00117F35" w14:paraId="2B8C1B1C"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1E1B3828"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5460883"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Reflujos</w:t>
            </w:r>
            <w:r>
              <w:rPr>
                <w:rFonts w:ascii="Times New Roman" w:hAnsi="Times New Roman"/>
                <w:noProof/>
                <w:sz w:val="18"/>
                <w:vertAlign w:val="superscript"/>
              </w:rPr>
              <w:t>2</w:t>
            </w:r>
          </w:p>
        </w:tc>
        <w:tc>
          <w:tcPr>
            <w:tcW w:w="1167" w:type="dxa"/>
            <w:tcBorders>
              <w:top w:val="nil"/>
              <w:left w:val="single" w:sz="8" w:space="0" w:color="auto"/>
              <w:bottom w:val="nil"/>
              <w:right w:val="single" w:sz="4" w:space="0" w:color="auto"/>
            </w:tcBorders>
            <w:shd w:val="clear" w:color="auto" w:fill="auto"/>
            <w:noWrap/>
            <w:vAlign w:val="center"/>
            <w:hideMark/>
          </w:tcPr>
          <w:p w14:paraId="3AC142F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nil"/>
              <w:bottom w:val="nil"/>
              <w:right w:val="single" w:sz="4" w:space="0" w:color="auto"/>
            </w:tcBorders>
            <w:shd w:val="clear" w:color="auto" w:fill="auto"/>
            <w:noWrap/>
            <w:vAlign w:val="center"/>
            <w:hideMark/>
          </w:tcPr>
          <w:p w14:paraId="23339CA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847" w:type="dxa"/>
            <w:tcBorders>
              <w:top w:val="nil"/>
              <w:left w:val="nil"/>
              <w:bottom w:val="nil"/>
              <w:right w:val="single" w:sz="8" w:space="0" w:color="auto"/>
            </w:tcBorders>
            <w:shd w:val="clear" w:color="auto" w:fill="auto"/>
            <w:noWrap/>
            <w:vAlign w:val="center"/>
            <w:hideMark/>
          </w:tcPr>
          <w:p w14:paraId="0E0CB99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100</w:t>
            </w:r>
          </w:p>
        </w:tc>
        <w:tc>
          <w:tcPr>
            <w:tcW w:w="1167" w:type="dxa"/>
            <w:tcBorders>
              <w:top w:val="nil"/>
              <w:left w:val="nil"/>
              <w:bottom w:val="nil"/>
              <w:right w:val="single" w:sz="4" w:space="0" w:color="auto"/>
            </w:tcBorders>
            <w:shd w:val="clear" w:color="auto" w:fill="auto"/>
            <w:noWrap/>
            <w:vAlign w:val="center"/>
            <w:hideMark/>
          </w:tcPr>
          <w:p w14:paraId="193874F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nil"/>
              <w:bottom w:val="nil"/>
              <w:right w:val="single" w:sz="4" w:space="0" w:color="auto"/>
            </w:tcBorders>
            <w:shd w:val="clear" w:color="auto" w:fill="auto"/>
            <w:noWrap/>
            <w:vAlign w:val="center"/>
            <w:hideMark/>
          </w:tcPr>
          <w:p w14:paraId="25EB76BB" w14:textId="79BBFFFC"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328</w:t>
            </w:r>
          </w:p>
        </w:tc>
        <w:tc>
          <w:tcPr>
            <w:tcW w:w="850" w:type="dxa"/>
            <w:tcBorders>
              <w:top w:val="nil"/>
              <w:left w:val="nil"/>
              <w:bottom w:val="nil"/>
              <w:right w:val="single" w:sz="8" w:space="0" w:color="auto"/>
            </w:tcBorders>
            <w:shd w:val="clear" w:color="auto" w:fill="auto"/>
            <w:noWrap/>
            <w:vAlign w:val="center"/>
            <w:hideMark/>
          </w:tcPr>
          <w:p w14:paraId="55369F5A" w14:textId="5102B0F9"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328</w:t>
            </w:r>
          </w:p>
        </w:tc>
      </w:tr>
      <w:tr w:rsidR="00117F35" w:rsidRPr="00117F35" w14:paraId="525AEA8E" w14:textId="77777777" w:rsidTr="00047221">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8F8CBB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3BAC6E25"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Cobros, intereses y ajustes</w:t>
            </w:r>
          </w:p>
        </w:tc>
        <w:tc>
          <w:tcPr>
            <w:tcW w:w="1167" w:type="dxa"/>
            <w:tcBorders>
              <w:top w:val="nil"/>
              <w:left w:val="single" w:sz="8" w:space="0" w:color="auto"/>
              <w:bottom w:val="nil"/>
              <w:right w:val="single" w:sz="4" w:space="0" w:color="auto"/>
            </w:tcBorders>
            <w:shd w:val="clear" w:color="auto" w:fill="auto"/>
            <w:noWrap/>
            <w:vAlign w:val="center"/>
            <w:hideMark/>
          </w:tcPr>
          <w:p w14:paraId="610A578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18" w:type="dxa"/>
            <w:tcBorders>
              <w:top w:val="nil"/>
              <w:left w:val="nil"/>
              <w:bottom w:val="nil"/>
              <w:right w:val="single" w:sz="4" w:space="0" w:color="auto"/>
            </w:tcBorders>
            <w:shd w:val="clear" w:color="auto" w:fill="auto"/>
            <w:noWrap/>
            <w:vAlign w:val="center"/>
            <w:hideMark/>
          </w:tcPr>
          <w:p w14:paraId="64CCF14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2551B1E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1167" w:type="dxa"/>
            <w:tcBorders>
              <w:top w:val="nil"/>
              <w:left w:val="nil"/>
              <w:bottom w:val="nil"/>
              <w:right w:val="single" w:sz="4" w:space="0" w:color="auto"/>
            </w:tcBorders>
            <w:shd w:val="clear" w:color="auto" w:fill="auto"/>
            <w:noWrap/>
            <w:vAlign w:val="center"/>
            <w:hideMark/>
          </w:tcPr>
          <w:p w14:paraId="4A2199D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21" w:type="dxa"/>
            <w:tcBorders>
              <w:top w:val="nil"/>
              <w:left w:val="nil"/>
              <w:bottom w:val="nil"/>
              <w:right w:val="single" w:sz="4" w:space="0" w:color="auto"/>
            </w:tcBorders>
            <w:shd w:val="clear" w:color="auto" w:fill="auto"/>
            <w:noWrap/>
            <w:vAlign w:val="center"/>
            <w:hideMark/>
          </w:tcPr>
          <w:p w14:paraId="0618BC0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DF2455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r>
      <w:tr w:rsidR="00117F35" w:rsidRPr="00117F35" w14:paraId="3918D762"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04E51C3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6478EAAF" w14:textId="58AFFCFD"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del 10.º y del 11.º FED al Reino Unido</w:t>
            </w:r>
          </w:p>
        </w:tc>
        <w:tc>
          <w:tcPr>
            <w:tcW w:w="1167" w:type="dxa"/>
            <w:tcBorders>
              <w:top w:val="nil"/>
              <w:left w:val="single" w:sz="8" w:space="0" w:color="auto"/>
              <w:bottom w:val="nil"/>
              <w:right w:val="single" w:sz="4" w:space="0" w:color="auto"/>
            </w:tcBorders>
            <w:shd w:val="clear" w:color="auto" w:fill="auto"/>
            <w:noWrap/>
            <w:vAlign w:val="center"/>
            <w:hideMark/>
          </w:tcPr>
          <w:p w14:paraId="0DD020F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818" w:type="dxa"/>
            <w:tcBorders>
              <w:top w:val="nil"/>
              <w:left w:val="nil"/>
              <w:bottom w:val="nil"/>
              <w:right w:val="single" w:sz="4" w:space="0" w:color="auto"/>
            </w:tcBorders>
            <w:shd w:val="clear" w:color="auto" w:fill="auto"/>
            <w:noWrap/>
            <w:vAlign w:val="center"/>
            <w:hideMark/>
          </w:tcPr>
          <w:p w14:paraId="048D014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3076524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1167" w:type="dxa"/>
            <w:tcBorders>
              <w:top w:val="nil"/>
              <w:left w:val="nil"/>
              <w:bottom w:val="nil"/>
              <w:right w:val="single" w:sz="4" w:space="0" w:color="auto"/>
            </w:tcBorders>
            <w:shd w:val="clear" w:color="auto" w:fill="auto"/>
            <w:noWrap/>
            <w:vAlign w:val="center"/>
            <w:hideMark/>
          </w:tcPr>
          <w:p w14:paraId="463EB5E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c>
          <w:tcPr>
            <w:tcW w:w="821" w:type="dxa"/>
            <w:tcBorders>
              <w:top w:val="nil"/>
              <w:left w:val="nil"/>
              <w:bottom w:val="nil"/>
              <w:right w:val="single" w:sz="4" w:space="0" w:color="auto"/>
            </w:tcBorders>
            <w:shd w:val="clear" w:color="auto" w:fill="auto"/>
            <w:noWrap/>
            <w:vAlign w:val="center"/>
            <w:hideMark/>
          </w:tcPr>
          <w:p w14:paraId="6ED4FF0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C49DFB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30</w:t>
            </w:r>
          </w:p>
        </w:tc>
      </w:tr>
      <w:tr w:rsidR="00117F35" w:rsidRPr="00117F35" w14:paraId="6954F0AC" w14:textId="77777777" w:rsidTr="00047221">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90BAB5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1FB8C8D4"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del 9.º FED a los Estados miembros y al Reino Unido</w:t>
            </w:r>
          </w:p>
        </w:tc>
        <w:tc>
          <w:tcPr>
            <w:tcW w:w="1167" w:type="dxa"/>
            <w:tcBorders>
              <w:top w:val="nil"/>
              <w:left w:val="single" w:sz="8" w:space="0" w:color="auto"/>
              <w:bottom w:val="nil"/>
              <w:right w:val="single" w:sz="4" w:space="0" w:color="auto"/>
            </w:tcBorders>
            <w:shd w:val="clear" w:color="auto" w:fill="auto"/>
            <w:noWrap/>
            <w:vAlign w:val="center"/>
            <w:hideMark/>
          </w:tcPr>
          <w:p w14:paraId="0EFD248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818" w:type="dxa"/>
            <w:tcBorders>
              <w:top w:val="nil"/>
              <w:left w:val="nil"/>
              <w:bottom w:val="nil"/>
              <w:right w:val="single" w:sz="4" w:space="0" w:color="auto"/>
            </w:tcBorders>
            <w:shd w:val="clear" w:color="auto" w:fill="auto"/>
            <w:noWrap/>
            <w:vAlign w:val="center"/>
            <w:hideMark/>
          </w:tcPr>
          <w:p w14:paraId="206F8C7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726C6BE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1167" w:type="dxa"/>
            <w:tcBorders>
              <w:top w:val="nil"/>
              <w:left w:val="nil"/>
              <w:bottom w:val="nil"/>
              <w:right w:val="single" w:sz="4" w:space="0" w:color="auto"/>
            </w:tcBorders>
            <w:shd w:val="clear" w:color="auto" w:fill="auto"/>
            <w:noWrap/>
            <w:vAlign w:val="center"/>
            <w:hideMark/>
          </w:tcPr>
          <w:p w14:paraId="4474390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c>
          <w:tcPr>
            <w:tcW w:w="821" w:type="dxa"/>
            <w:tcBorders>
              <w:top w:val="nil"/>
              <w:left w:val="nil"/>
              <w:bottom w:val="nil"/>
              <w:right w:val="single" w:sz="4" w:space="0" w:color="auto"/>
            </w:tcBorders>
            <w:shd w:val="clear" w:color="auto" w:fill="auto"/>
            <w:noWrap/>
            <w:vAlign w:val="center"/>
            <w:hideMark/>
          </w:tcPr>
          <w:p w14:paraId="39BBF5A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7ACB6E5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6</w:t>
            </w:r>
          </w:p>
        </w:tc>
      </w:tr>
      <w:tr w:rsidR="00117F35" w:rsidRPr="00117F35" w14:paraId="5194B284" w14:textId="77777777" w:rsidTr="00047221">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AA1D411"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2D518B5C"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Total pagos</w:t>
            </w:r>
            <w:r>
              <w:rPr>
                <w:rFonts w:ascii="Times New Roman" w:hAnsi="Times New Roman"/>
                <w:noProof/>
                <w:sz w:val="18"/>
                <w:vertAlign w:val="superscript"/>
              </w:rPr>
              <w:t>3</w:t>
            </w:r>
          </w:p>
        </w:tc>
        <w:tc>
          <w:tcPr>
            <w:tcW w:w="1167" w:type="dxa"/>
            <w:tcBorders>
              <w:top w:val="nil"/>
              <w:left w:val="single" w:sz="8" w:space="0" w:color="auto"/>
              <w:bottom w:val="nil"/>
              <w:right w:val="single" w:sz="4" w:space="0" w:color="auto"/>
            </w:tcBorders>
            <w:shd w:val="clear" w:color="auto" w:fill="auto"/>
            <w:noWrap/>
            <w:vAlign w:val="center"/>
            <w:hideMark/>
          </w:tcPr>
          <w:p w14:paraId="2C5C139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1 000</w:t>
            </w:r>
          </w:p>
        </w:tc>
        <w:tc>
          <w:tcPr>
            <w:tcW w:w="818" w:type="dxa"/>
            <w:tcBorders>
              <w:top w:val="nil"/>
              <w:left w:val="nil"/>
              <w:bottom w:val="nil"/>
              <w:right w:val="single" w:sz="4" w:space="0" w:color="auto"/>
            </w:tcBorders>
            <w:shd w:val="clear" w:color="auto" w:fill="auto"/>
            <w:noWrap/>
            <w:vAlign w:val="center"/>
            <w:hideMark/>
          </w:tcPr>
          <w:p w14:paraId="6367CF5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417</w:t>
            </w:r>
          </w:p>
        </w:tc>
        <w:tc>
          <w:tcPr>
            <w:tcW w:w="847" w:type="dxa"/>
            <w:tcBorders>
              <w:top w:val="nil"/>
              <w:left w:val="nil"/>
              <w:bottom w:val="nil"/>
              <w:right w:val="single" w:sz="8" w:space="0" w:color="auto"/>
            </w:tcBorders>
            <w:shd w:val="clear" w:color="auto" w:fill="auto"/>
            <w:noWrap/>
            <w:vAlign w:val="center"/>
            <w:hideMark/>
          </w:tcPr>
          <w:p w14:paraId="208AD7E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1 417</w:t>
            </w:r>
          </w:p>
        </w:tc>
        <w:tc>
          <w:tcPr>
            <w:tcW w:w="1167" w:type="dxa"/>
            <w:tcBorders>
              <w:top w:val="nil"/>
              <w:left w:val="nil"/>
              <w:bottom w:val="nil"/>
              <w:right w:val="single" w:sz="4" w:space="0" w:color="auto"/>
            </w:tcBorders>
            <w:shd w:val="clear" w:color="auto" w:fill="auto"/>
            <w:noWrap/>
            <w:vAlign w:val="center"/>
            <w:hideMark/>
          </w:tcPr>
          <w:p w14:paraId="0989D72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1 000</w:t>
            </w:r>
          </w:p>
        </w:tc>
        <w:tc>
          <w:tcPr>
            <w:tcW w:w="821" w:type="dxa"/>
            <w:tcBorders>
              <w:top w:val="nil"/>
              <w:left w:val="nil"/>
              <w:bottom w:val="nil"/>
              <w:right w:val="single" w:sz="4" w:space="0" w:color="auto"/>
            </w:tcBorders>
            <w:shd w:val="clear" w:color="auto" w:fill="auto"/>
            <w:noWrap/>
            <w:vAlign w:val="center"/>
            <w:hideMark/>
          </w:tcPr>
          <w:p w14:paraId="0810581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417</w:t>
            </w:r>
          </w:p>
        </w:tc>
        <w:tc>
          <w:tcPr>
            <w:tcW w:w="850" w:type="dxa"/>
            <w:tcBorders>
              <w:top w:val="nil"/>
              <w:left w:val="nil"/>
              <w:bottom w:val="nil"/>
              <w:right w:val="single" w:sz="8" w:space="0" w:color="auto"/>
            </w:tcBorders>
            <w:shd w:val="clear" w:color="auto" w:fill="auto"/>
            <w:noWrap/>
            <w:vAlign w:val="center"/>
            <w:hideMark/>
          </w:tcPr>
          <w:p w14:paraId="760FA75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1 417</w:t>
            </w:r>
          </w:p>
        </w:tc>
      </w:tr>
      <w:tr w:rsidR="00117F35" w:rsidRPr="00117F35" w14:paraId="45F59A16"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5091450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7012C80E"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a 31.12.2025</w:t>
            </w:r>
            <w:r>
              <w:rPr>
                <w:rFonts w:ascii="Times New Roman" w:hAnsi="Times New Roman"/>
                <w:b/>
                <w:noProof/>
                <w:color w:val="000000"/>
                <w:sz w:val="18"/>
                <w:vertAlign w:val="superscript"/>
              </w:rPr>
              <w:t>4, 6</w:t>
            </w:r>
          </w:p>
        </w:tc>
        <w:tc>
          <w:tcPr>
            <w:tcW w:w="1167"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91B41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119</w:t>
            </w:r>
          </w:p>
        </w:tc>
        <w:tc>
          <w:tcPr>
            <w:tcW w:w="818" w:type="dxa"/>
            <w:tcBorders>
              <w:top w:val="single" w:sz="4" w:space="0" w:color="auto"/>
              <w:left w:val="nil"/>
              <w:bottom w:val="single" w:sz="4" w:space="0" w:color="auto"/>
              <w:right w:val="single" w:sz="4" w:space="0" w:color="auto"/>
            </w:tcBorders>
            <w:shd w:val="clear" w:color="000000" w:fill="FFFFFF"/>
            <w:noWrap/>
            <w:vAlign w:val="center"/>
            <w:hideMark/>
          </w:tcPr>
          <w:p w14:paraId="3FB71C64"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260</w:t>
            </w:r>
          </w:p>
        </w:tc>
        <w:tc>
          <w:tcPr>
            <w:tcW w:w="847" w:type="dxa"/>
            <w:tcBorders>
              <w:top w:val="single" w:sz="4" w:space="0" w:color="auto"/>
              <w:left w:val="nil"/>
              <w:bottom w:val="single" w:sz="4" w:space="0" w:color="auto"/>
              <w:right w:val="single" w:sz="8" w:space="0" w:color="auto"/>
            </w:tcBorders>
            <w:shd w:val="clear" w:color="000000" w:fill="FFFFFF"/>
            <w:noWrap/>
            <w:vAlign w:val="center"/>
            <w:hideMark/>
          </w:tcPr>
          <w:p w14:paraId="6EC9051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379</w:t>
            </w:r>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14:paraId="30D5184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181</w:t>
            </w:r>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14:paraId="7A102171" w14:textId="13370034"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595</w:t>
            </w:r>
          </w:p>
        </w:tc>
        <w:tc>
          <w:tcPr>
            <w:tcW w:w="850" w:type="dxa"/>
            <w:tcBorders>
              <w:top w:val="single" w:sz="4" w:space="0" w:color="auto"/>
              <w:left w:val="nil"/>
              <w:bottom w:val="single" w:sz="4" w:space="0" w:color="auto"/>
              <w:right w:val="single" w:sz="8" w:space="0" w:color="auto"/>
            </w:tcBorders>
            <w:shd w:val="clear" w:color="000000" w:fill="FFFFFF"/>
            <w:noWrap/>
            <w:vAlign w:val="center"/>
            <w:hideMark/>
          </w:tcPr>
          <w:p w14:paraId="57DFF638" w14:textId="42EDE77D"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776</w:t>
            </w:r>
          </w:p>
        </w:tc>
      </w:tr>
      <w:tr w:rsidR="00117F35" w:rsidRPr="00117F35" w14:paraId="537D2560" w14:textId="77777777" w:rsidTr="00EC160E">
        <w:trPr>
          <w:trHeight w:val="286"/>
        </w:trPr>
        <w:tc>
          <w:tcPr>
            <w:tcW w:w="576"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7A250C5D" w14:textId="385B1F4B"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2026</w:t>
            </w:r>
          </w:p>
        </w:tc>
        <w:tc>
          <w:tcPr>
            <w:tcW w:w="3960" w:type="dxa"/>
            <w:tcBorders>
              <w:top w:val="nil"/>
              <w:left w:val="nil"/>
              <w:bottom w:val="nil"/>
              <w:right w:val="nil"/>
            </w:tcBorders>
            <w:shd w:val="clear" w:color="auto" w:fill="auto"/>
            <w:vAlign w:val="bottom"/>
            <w:hideMark/>
          </w:tcPr>
          <w:p w14:paraId="7A584BD6"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Contribuciones de los Estados miembros y del Reino Unido para 2026</w:t>
            </w:r>
            <w:r>
              <w:rPr>
                <w:rFonts w:ascii="Times New Roman" w:hAnsi="Times New Roman"/>
                <w:b/>
                <w:noProof/>
                <w:color w:val="000000"/>
                <w:sz w:val="18"/>
                <w:vertAlign w:val="superscript"/>
              </w:rPr>
              <w:t>5</w:t>
            </w:r>
          </w:p>
        </w:tc>
        <w:tc>
          <w:tcPr>
            <w:tcW w:w="1167" w:type="dxa"/>
            <w:tcBorders>
              <w:top w:val="nil"/>
              <w:left w:val="single" w:sz="8" w:space="0" w:color="auto"/>
              <w:bottom w:val="nil"/>
              <w:right w:val="nil"/>
            </w:tcBorders>
            <w:shd w:val="clear" w:color="auto" w:fill="auto"/>
            <w:noWrap/>
            <w:vAlign w:val="center"/>
            <w:hideMark/>
          </w:tcPr>
          <w:p w14:paraId="28623A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818" w:type="dxa"/>
            <w:tcBorders>
              <w:top w:val="nil"/>
              <w:left w:val="single" w:sz="4" w:space="0" w:color="auto"/>
              <w:bottom w:val="nil"/>
              <w:right w:val="single" w:sz="4" w:space="0" w:color="auto"/>
            </w:tcBorders>
            <w:shd w:val="clear" w:color="auto" w:fill="auto"/>
            <w:noWrap/>
            <w:vAlign w:val="center"/>
            <w:hideMark/>
          </w:tcPr>
          <w:p w14:paraId="5B7B0BA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nil"/>
              <w:right w:val="single" w:sz="8" w:space="0" w:color="auto"/>
            </w:tcBorders>
            <w:shd w:val="clear" w:color="auto" w:fill="auto"/>
            <w:noWrap/>
            <w:vAlign w:val="center"/>
            <w:hideMark/>
          </w:tcPr>
          <w:p w14:paraId="1A7C08E6"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1167" w:type="dxa"/>
            <w:tcBorders>
              <w:top w:val="nil"/>
              <w:left w:val="nil"/>
              <w:bottom w:val="nil"/>
              <w:right w:val="nil"/>
            </w:tcBorders>
            <w:shd w:val="clear" w:color="auto" w:fill="auto"/>
            <w:noWrap/>
            <w:vAlign w:val="center"/>
            <w:hideMark/>
          </w:tcPr>
          <w:p w14:paraId="236E2E9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c>
          <w:tcPr>
            <w:tcW w:w="821" w:type="dxa"/>
            <w:tcBorders>
              <w:top w:val="nil"/>
              <w:left w:val="single" w:sz="4" w:space="0" w:color="auto"/>
              <w:bottom w:val="nil"/>
              <w:right w:val="single" w:sz="4" w:space="0" w:color="auto"/>
            </w:tcBorders>
            <w:shd w:val="clear" w:color="auto" w:fill="auto"/>
            <w:noWrap/>
            <w:vAlign w:val="center"/>
            <w:hideMark/>
          </w:tcPr>
          <w:p w14:paraId="54FEBBFC"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nil"/>
              <w:right w:val="single" w:sz="8" w:space="0" w:color="auto"/>
            </w:tcBorders>
            <w:shd w:val="clear" w:color="auto" w:fill="auto"/>
            <w:noWrap/>
            <w:vAlign w:val="center"/>
            <w:hideMark/>
          </w:tcPr>
          <w:p w14:paraId="4B7E9DE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700</w:t>
            </w:r>
          </w:p>
        </w:tc>
      </w:tr>
      <w:tr w:rsidR="00117F35" w:rsidRPr="00117F35" w14:paraId="753BB72C" w14:textId="77777777" w:rsidTr="00EC160E">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30FA80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0AADA0FC"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1.</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nil"/>
            </w:tcBorders>
            <w:shd w:val="clear" w:color="000000" w:fill="FFFFFF"/>
            <w:noWrap/>
            <w:vAlign w:val="center"/>
            <w:hideMark/>
          </w:tcPr>
          <w:p w14:paraId="42059CD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18" w:type="dxa"/>
            <w:tcBorders>
              <w:top w:val="nil"/>
              <w:left w:val="single" w:sz="4" w:space="0" w:color="auto"/>
              <w:bottom w:val="nil"/>
              <w:right w:val="single" w:sz="4" w:space="0" w:color="auto"/>
            </w:tcBorders>
            <w:shd w:val="clear" w:color="000000" w:fill="FFFFFF"/>
            <w:noWrap/>
            <w:vAlign w:val="center"/>
            <w:hideMark/>
          </w:tcPr>
          <w:p w14:paraId="6C5FDFC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000000" w:fill="FFFFFF"/>
            <w:noWrap/>
            <w:vAlign w:val="center"/>
            <w:hideMark/>
          </w:tcPr>
          <w:p w14:paraId="3517EE5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1167" w:type="dxa"/>
            <w:tcBorders>
              <w:top w:val="nil"/>
              <w:left w:val="nil"/>
              <w:bottom w:val="nil"/>
              <w:right w:val="nil"/>
            </w:tcBorders>
            <w:shd w:val="clear" w:color="000000" w:fill="FFFFFF"/>
            <w:noWrap/>
            <w:vAlign w:val="center"/>
            <w:hideMark/>
          </w:tcPr>
          <w:p w14:paraId="721F69E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c>
          <w:tcPr>
            <w:tcW w:w="821" w:type="dxa"/>
            <w:tcBorders>
              <w:top w:val="nil"/>
              <w:left w:val="single" w:sz="4" w:space="0" w:color="auto"/>
              <w:bottom w:val="nil"/>
              <w:right w:val="single" w:sz="4" w:space="0" w:color="auto"/>
            </w:tcBorders>
            <w:shd w:val="clear" w:color="000000" w:fill="FFFFFF"/>
            <w:noWrap/>
            <w:vAlign w:val="center"/>
            <w:hideMark/>
          </w:tcPr>
          <w:p w14:paraId="3A2F9FA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000000" w:fill="FFFFFF"/>
            <w:noWrap/>
            <w:vAlign w:val="center"/>
            <w:hideMark/>
          </w:tcPr>
          <w:p w14:paraId="500BF17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300</w:t>
            </w:r>
          </w:p>
        </w:tc>
      </w:tr>
      <w:tr w:rsidR="00117F35" w:rsidRPr="00117F35" w14:paraId="0DE202A4"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0EEF1BB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06079B72"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2.º tramo</w:t>
            </w:r>
          </w:p>
        </w:tc>
        <w:tc>
          <w:tcPr>
            <w:tcW w:w="1167" w:type="dxa"/>
            <w:tcBorders>
              <w:top w:val="nil"/>
              <w:left w:val="single" w:sz="8" w:space="0" w:color="auto"/>
              <w:bottom w:val="nil"/>
              <w:right w:val="nil"/>
            </w:tcBorders>
            <w:shd w:val="clear" w:color="auto" w:fill="auto"/>
            <w:noWrap/>
            <w:vAlign w:val="center"/>
            <w:hideMark/>
          </w:tcPr>
          <w:p w14:paraId="6CE314F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18" w:type="dxa"/>
            <w:tcBorders>
              <w:top w:val="nil"/>
              <w:left w:val="single" w:sz="4" w:space="0" w:color="auto"/>
              <w:bottom w:val="nil"/>
              <w:right w:val="single" w:sz="4" w:space="0" w:color="auto"/>
            </w:tcBorders>
            <w:shd w:val="clear" w:color="auto" w:fill="auto"/>
            <w:noWrap/>
            <w:vAlign w:val="center"/>
            <w:hideMark/>
          </w:tcPr>
          <w:p w14:paraId="5EA83C8B"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7727813A"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1167" w:type="dxa"/>
            <w:tcBorders>
              <w:top w:val="nil"/>
              <w:left w:val="nil"/>
              <w:bottom w:val="nil"/>
              <w:right w:val="nil"/>
            </w:tcBorders>
            <w:shd w:val="clear" w:color="auto" w:fill="auto"/>
            <w:noWrap/>
            <w:vAlign w:val="center"/>
            <w:hideMark/>
          </w:tcPr>
          <w:p w14:paraId="41957B0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c>
          <w:tcPr>
            <w:tcW w:w="821" w:type="dxa"/>
            <w:tcBorders>
              <w:top w:val="nil"/>
              <w:left w:val="single" w:sz="4" w:space="0" w:color="auto"/>
              <w:bottom w:val="nil"/>
              <w:right w:val="single" w:sz="4" w:space="0" w:color="auto"/>
            </w:tcBorders>
            <w:shd w:val="clear" w:color="auto" w:fill="auto"/>
            <w:noWrap/>
            <w:vAlign w:val="center"/>
            <w:hideMark/>
          </w:tcPr>
          <w:p w14:paraId="1E9D267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0DDA61A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250</w:t>
            </w:r>
          </w:p>
        </w:tc>
      </w:tr>
      <w:tr w:rsidR="00117F35" w:rsidRPr="00117F35" w14:paraId="3C7BDCD9"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328C0A6C"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1789798" w14:textId="77777777" w:rsidR="00117F35" w:rsidRPr="00117F35" w:rsidRDefault="00117F35" w:rsidP="00117F35">
            <w:pPr>
              <w:spacing w:after="0" w:line="240" w:lineRule="auto"/>
              <w:rPr>
                <w:rFonts w:ascii="Times New Roman" w:eastAsia="Times New Roman" w:hAnsi="Times New Roman" w:cs="Times New Roman"/>
                <w:i/>
                <w:iCs/>
                <w:noProof/>
                <w:sz w:val="18"/>
                <w:szCs w:val="18"/>
              </w:rPr>
            </w:pPr>
            <w:r>
              <w:rPr>
                <w:rFonts w:ascii="Times New Roman" w:hAnsi="Times New Roman"/>
                <w:i/>
                <w:noProof/>
                <w:sz w:val="18"/>
              </w:rPr>
              <w:t xml:space="preserve">     3.</w:t>
            </w:r>
            <w:r>
              <w:rPr>
                <w:rFonts w:ascii="Times New Roman" w:hAnsi="Times New Roman"/>
                <w:i/>
                <w:noProof/>
                <w:sz w:val="18"/>
                <w:vertAlign w:val="superscript"/>
              </w:rPr>
              <w:t>er</w:t>
            </w:r>
            <w:r>
              <w:rPr>
                <w:rFonts w:ascii="Times New Roman" w:hAnsi="Times New Roman"/>
                <w:i/>
                <w:noProof/>
                <w:sz w:val="18"/>
              </w:rPr>
              <w:t xml:space="preserve"> tramo</w:t>
            </w:r>
          </w:p>
        </w:tc>
        <w:tc>
          <w:tcPr>
            <w:tcW w:w="1167" w:type="dxa"/>
            <w:tcBorders>
              <w:top w:val="nil"/>
              <w:left w:val="single" w:sz="8" w:space="0" w:color="auto"/>
              <w:bottom w:val="nil"/>
              <w:right w:val="nil"/>
            </w:tcBorders>
            <w:shd w:val="clear" w:color="auto" w:fill="auto"/>
            <w:noWrap/>
            <w:vAlign w:val="center"/>
            <w:hideMark/>
          </w:tcPr>
          <w:p w14:paraId="4A5C6B3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818" w:type="dxa"/>
            <w:tcBorders>
              <w:top w:val="nil"/>
              <w:left w:val="single" w:sz="4" w:space="0" w:color="auto"/>
              <w:bottom w:val="nil"/>
              <w:right w:val="single" w:sz="4" w:space="0" w:color="auto"/>
            </w:tcBorders>
            <w:shd w:val="clear" w:color="auto" w:fill="auto"/>
            <w:noWrap/>
            <w:vAlign w:val="center"/>
            <w:hideMark/>
          </w:tcPr>
          <w:p w14:paraId="56895A38"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6E56F64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1167" w:type="dxa"/>
            <w:tcBorders>
              <w:top w:val="nil"/>
              <w:left w:val="nil"/>
              <w:bottom w:val="nil"/>
              <w:right w:val="nil"/>
            </w:tcBorders>
            <w:shd w:val="clear" w:color="auto" w:fill="auto"/>
            <w:noWrap/>
            <w:vAlign w:val="center"/>
            <w:hideMark/>
          </w:tcPr>
          <w:p w14:paraId="1931E246"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c>
          <w:tcPr>
            <w:tcW w:w="821" w:type="dxa"/>
            <w:tcBorders>
              <w:top w:val="nil"/>
              <w:left w:val="single" w:sz="4" w:space="0" w:color="auto"/>
              <w:bottom w:val="nil"/>
              <w:right w:val="single" w:sz="4" w:space="0" w:color="auto"/>
            </w:tcBorders>
            <w:shd w:val="clear" w:color="auto" w:fill="auto"/>
            <w:noWrap/>
            <w:vAlign w:val="center"/>
            <w:hideMark/>
          </w:tcPr>
          <w:p w14:paraId="29C255F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1F69E4D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150</w:t>
            </w:r>
          </w:p>
        </w:tc>
      </w:tr>
      <w:tr w:rsidR="00117F35" w:rsidRPr="00117F35" w14:paraId="7FED21FD"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76D45023"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4A1350B7"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Reflujos</w:t>
            </w:r>
            <w:r>
              <w:rPr>
                <w:rFonts w:ascii="Times New Roman" w:hAnsi="Times New Roman"/>
                <w:noProof/>
                <w:sz w:val="18"/>
                <w:vertAlign w:val="superscript"/>
              </w:rPr>
              <w:t>2</w:t>
            </w:r>
          </w:p>
        </w:tc>
        <w:tc>
          <w:tcPr>
            <w:tcW w:w="1167" w:type="dxa"/>
            <w:tcBorders>
              <w:top w:val="nil"/>
              <w:left w:val="single" w:sz="8" w:space="0" w:color="auto"/>
              <w:bottom w:val="nil"/>
              <w:right w:val="nil"/>
            </w:tcBorders>
            <w:shd w:val="clear" w:color="auto" w:fill="auto"/>
            <w:noWrap/>
            <w:vAlign w:val="center"/>
            <w:hideMark/>
          </w:tcPr>
          <w:p w14:paraId="620C5C0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0F32CFA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2B544CF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c>
          <w:tcPr>
            <w:tcW w:w="1167" w:type="dxa"/>
            <w:tcBorders>
              <w:top w:val="nil"/>
              <w:left w:val="nil"/>
              <w:bottom w:val="nil"/>
              <w:right w:val="nil"/>
            </w:tcBorders>
            <w:shd w:val="clear" w:color="auto" w:fill="auto"/>
            <w:noWrap/>
            <w:vAlign w:val="center"/>
            <w:hideMark/>
          </w:tcPr>
          <w:p w14:paraId="5C18CA9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3E21B5B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2E43F3CF"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r>
      <w:tr w:rsidR="00117F35" w:rsidRPr="00117F35" w14:paraId="4710B5E3" w14:textId="77777777" w:rsidTr="00D928E6">
        <w:trPr>
          <w:trHeight w:val="255"/>
        </w:trPr>
        <w:tc>
          <w:tcPr>
            <w:tcW w:w="576" w:type="dxa"/>
            <w:vMerge/>
            <w:tcBorders>
              <w:top w:val="nil"/>
              <w:left w:val="single" w:sz="4" w:space="0" w:color="auto"/>
              <w:bottom w:val="single" w:sz="4" w:space="0" w:color="000000"/>
              <w:right w:val="single" w:sz="4" w:space="0" w:color="auto"/>
            </w:tcBorders>
            <w:vAlign w:val="center"/>
            <w:hideMark/>
          </w:tcPr>
          <w:p w14:paraId="473DE64A"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2CB876A2"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Cobros, intereses y ajustes</w:t>
            </w:r>
          </w:p>
        </w:tc>
        <w:tc>
          <w:tcPr>
            <w:tcW w:w="1167" w:type="dxa"/>
            <w:tcBorders>
              <w:top w:val="nil"/>
              <w:left w:val="single" w:sz="8" w:space="0" w:color="auto"/>
              <w:bottom w:val="nil"/>
              <w:right w:val="nil"/>
            </w:tcBorders>
            <w:shd w:val="clear" w:color="auto" w:fill="auto"/>
            <w:noWrap/>
            <w:vAlign w:val="center"/>
            <w:hideMark/>
          </w:tcPr>
          <w:p w14:paraId="3BABDED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18" w:type="dxa"/>
            <w:tcBorders>
              <w:top w:val="nil"/>
              <w:left w:val="single" w:sz="4" w:space="0" w:color="auto"/>
              <w:bottom w:val="nil"/>
              <w:right w:val="single" w:sz="4" w:space="0" w:color="auto"/>
            </w:tcBorders>
            <w:shd w:val="clear" w:color="auto" w:fill="auto"/>
            <w:noWrap/>
            <w:vAlign w:val="center"/>
            <w:hideMark/>
          </w:tcPr>
          <w:p w14:paraId="4B90F4F0"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1311675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1167" w:type="dxa"/>
            <w:tcBorders>
              <w:top w:val="nil"/>
              <w:left w:val="nil"/>
              <w:bottom w:val="nil"/>
              <w:right w:val="nil"/>
            </w:tcBorders>
            <w:shd w:val="clear" w:color="auto" w:fill="auto"/>
            <w:noWrap/>
            <w:vAlign w:val="center"/>
            <w:hideMark/>
          </w:tcPr>
          <w:p w14:paraId="1DB556E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c>
          <w:tcPr>
            <w:tcW w:w="821" w:type="dxa"/>
            <w:tcBorders>
              <w:top w:val="nil"/>
              <w:left w:val="single" w:sz="4" w:space="0" w:color="auto"/>
              <w:bottom w:val="nil"/>
              <w:right w:val="single" w:sz="4" w:space="0" w:color="auto"/>
            </w:tcBorders>
            <w:shd w:val="clear" w:color="auto" w:fill="auto"/>
            <w:noWrap/>
            <w:vAlign w:val="center"/>
            <w:hideMark/>
          </w:tcPr>
          <w:p w14:paraId="50D2E86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4629A7A1"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50</w:t>
            </w:r>
          </w:p>
        </w:tc>
      </w:tr>
      <w:tr w:rsidR="00117F35" w:rsidRPr="00117F35" w14:paraId="05C473C3"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71E9C9B"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vAlign w:val="bottom"/>
            <w:hideMark/>
          </w:tcPr>
          <w:p w14:paraId="1C6AC9AA"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estimado del 10.º y del 11.º FED al Reino Unido</w:t>
            </w:r>
            <w:r>
              <w:rPr>
                <w:rFonts w:ascii="Times New Roman" w:hAnsi="Times New Roman"/>
                <w:noProof/>
                <w:sz w:val="18"/>
                <w:vertAlign w:val="superscript"/>
              </w:rPr>
              <w:t>7</w:t>
            </w:r>
          </w:p>
        </w:tc>
        <w:tc>
          <w:tcPr>
            <w:tcW w:w="1167" w:type="dxa"/>
            <w:tcBorders>
              <w:top w:val="nil"/>
              <w:left w:val="single" w:sz="8" w:space="0" w:color="auto"/>
              <w:bottom w:val="nil"/>
              <w:right w:val="nil"/>
            </w:tcBorders>
            <w:shd w:val="clear" w:color="auto" w:fill="auto"/>
            <w:noWrap/>
            <w:vAlign w:val="center"/>
            <w:hideMark/>
          </w:tcPr>
          <w:p w14:paraId="47C7530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c>
          <w:tcPr>
            <w:tcW w:w="818" w:type="dxa"/>
            <w:tcBorders>
              <w:top w:val="nil"/>
              <w:left w:val="single" w:sz="4" w:space="0" w:color="auto"/>
              <w:bottom w:val="nil"/>
              <w:right w:val="single" w:sz="4" w:space="0" w:color="auto"/>
            </w:tcBorders>
            <w:shd w:val="clear" w:color="auto" w:fill="auto"/>
            <w:noWrap/>
            <w:vAlign w:val="center"/>
            <w:hideMark/>
          </w:tcPr>
          <w:p w14:paraId="44CA00D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148E7619"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c>
          <w:tcPr>
            <w:tcW w:w="1167" w:type="dxa"/>
            <w:tcBorders>
              <w:top w:val="nil"/>
              <w:left w:val="nil"/>
              <w:bottom w:val="nil"/>
              <w:right w:val="nil"/>
            </w:tcBorders>
            <w:shd w:val="clear" w:color="auto" w:fill="auto"/>
            <w:noWrap/>
            <w:vAlign w:val="center"/>
            <w:hideMark/>
          </w:tcPr>
          <w:p w14:paraId="38554F96" w14:textId="769FB6DC"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40</w:t>
            </w:r>
          </w:p>
        </w:tc>
        <w:tc>
          <w:tcPr>
            <w:tcW w:w="821" w:type="dxa"/>
            <w:tcBorders>
              <w:top w:val="nil"/>
              <w:left w:val="single" w:sz="4" w:space="0" w:color="auto"/>
              <w:bottom w:val="nil"/>
              <w:right w:val="single" w:sz="4" w:space="0" w:color="auto"/>
            </w:tcBorders>
            <w:shd w:val="clear" w:color="auto" w:fill="auto"/>
            <w:noWrap/>
            <w:vAlign w:val="center"/>
            <w:hideMark/>
          </w:tcPr>
          <w:p w14:paraId="3BDAF14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5967FF9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20</w:t>
            </w:r>
          </w:p>
        </w:tc>
      </w:tr>
      <w:tr w:rsidR="00117F35" w:rsidRPr="00117F35" w14:paraId="7624683F"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5C99ACA5"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0E81279C"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Reembolso estimado del 9.º FED a los Estados miembros y al Reino Unido</w:t>
            </w:r>
            <w:r>
              <w:rPr>
                <w:rFonts w:ascii="Times New Roman" w:hAnsi="Times New Roman"/>
                <w:noProof/>
                <w:sz w:val="18"/>
                <w:vertAlign w:val="superscript"/>
              </w:rPr>
              <w:t>8</w:t>
            </w:r>
          </w:p>
        </w:tc>
        <w:tc>
          <w:tcPr>
            <w:tcW w:w="1167" w:type="dxa"/>
            <w:tcBorders>
              <w:top w:val="nil"/>
              <w:left w:val="single" w:sz="8" w:space="0" w:color="auto"/>
              <w:bottom w:val="nil"/>
              <w:right w:val="nil"/>
            </w:tcBorders>
            <w:shd w:val="clear" w:color="auto" w:fill="auto"/>
            <w:noWrap/>
            <w:vAlign w:val="center"/>
            <w:hideMark/>
          </w:tcPr>
          <w:p w14:paraId="0BD9543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18" w:type="dxa"/>
            <w:tcBorders>
              <w:top w:val="nil"/>
              <w:left w:val="single" w:sz="4" w:space="0" w:color="auto"/>
              <w:bottom w:val="nil"/>
              <w:right w:val="single" w:sz="4" w:space="0" w:color="auto"/>
            </w:tcBorders>
            <w:shd w:val="clear" w:color="auto" w:fill="auto"/>
            <w:noWrap/>
            <w:vAlign w:val="center"/>
            <w:hideMark/>
          </w:tcPr>
          <w:p w14:paraId="2B80222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47" w:type="dxa"/>
            <w:tcBorders>
              <w:top w:val="nil"/>
              <w:left w:val="nil"/>
              <w:bottom w:val="nil"/>
              <w:right w:val="single" w:sz="8" w:space="0" w:color="auto"/>
            </w:tcBorders>
            <w:shd w:val="clear" w:color="auto" w:fill="auto"/>
            <w:noWrap/>
            <w:vAlign w:val="center"/>
            <w:hideMark/>
          </w:tcPr>
          <w:p w14:paraId="6DAA6AF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c>
          <w:tcPr>
            <w:tcW w:w="1167" w:type="dxa"/>
            <w:tcBorders>
              <w:top w:val="nil"/>
              <w:left w:val="nil"/>
              <w:bottom w:val="nil"/>
              <w:right w:val="nil"/>
            </w:tcBorders>
            <w:shd w:val="clear" w:color="auto" w:fill="auto"/>
            <w:noWrap/>
            <w:vAlign w:val="center"/>
            <w:hideMark/>
          </w:tcPr>
          <w:p w14:paraId="3DD73052"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21" w:type="dxa"/>
            <w:tcBorders>
              <w:top w:val="nil"/>
              <w:left w:val="single" w:sz="4" w:space="0" w:color="auto"/>
              <w:bottom w:val="nil"/>
              <w:right w:val="single" w:sz="4" w:space="0" w:color="auto"/>
            </w:tcBorders>
            <w:shd w:val="clear" w:color="auto" w:fill="auto"/>
            <w:noWrap/>
            <w:vAlign w:val="center"/>
            <w:hideMark/>
          </w:tcPr>
          <w:p w14:paraId="03658D7D"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w:t>
            </w:r>
          </w:p>
        </w:tc>
        <w:tc>
          <w:tcPr>
            <w:tcW w:w="850" w:type="dxa"/>
            <w:tcBorders>
              <w:top w:val="nil"/>
              <w:left w:val="nil"/>
              <w:bottom w:val="nil"/>
              <w:right w:val="single" w:sz="8" w:space="0" w:color="auto"/>
            </w:tcBorders>
            <w:shd w:val="clear" w:color="auto" w:fill="auto"/>
            <w:noWrap/>
            <w:vAlign w:val="center"/>
            <w:hideMark/>
          </w:tcPr>
          <w:p w14:paraId="69F1A3C3"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xml:space="preserve">   0</w:t>
            </w:r>
          </w:p>
        </w:tc>
      </w:tr>
      <w:tr w:rsidR="00117F35" w:rsidRPr="00117F35" w14:paraId="2D3A4AC7" w14:textId="77777777" w:rsidTr="00D928E6">
        <w:trPr>
          <w:trHeight w:val="271"/>
        </w:trPr>
        <w:tc>
          <w:tcPr>
            <w:tcW w:w="576" w:type="dxa"/>
            <w:vMerge/>
            <w:tcBorders>
              <w:top w:val="nil"/>
              <w:left w:val="single" w:sz="4" w:space="0" w:color="auto"/>
              <w:bottom w:val="single" w:sz="4" w:space="0" w:color="000000"/>
              <w:right w:val="single" w:sz="4" w:space="0" w:color="auto"/>
            </w:tcBorders>
            <w:vAlign w:val="center"/>
            <w:hideMark/>
          </w:tcPr>
          <w:p w14:paraId="6DC0351E"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nil"/>
              <w:left w:val="nil"/>
              <w:bottom w:val="nil"/>
              <w:right w:val="nil"/>
            </w:tcBorders>
            <w:shd w:val="clear" w:color="auto" w:fill="auto"/>
            <w:noWrap/>
            <w:vAlign w:val="bottom"/>
            <w:hideMark/>
          </w:tcPr>
          <w:p w14:paraId="01C2A009" w14:textId="77777777" w:rsidR="00117F35" w:rsidRPr="00117F35" w:rsidRDefault="00117F35" w:rsidP="00117F35">
            <w:pPr>
              <w:spacing w:after="0" w:line="240" w:lineRule="auto"/>
              <w:rPr>
                <w:rFonts w:ascii="Times New Roman" w:eastAsia="Times New Roman" w:hAnsi="Times New Roman" w:cs="Times New Roman"/>
                <w:noProof/>
                <w:sz w:val="18"/>
                <w:szCs w:val="18"/>
              </w:rPr>
            </w:pPr>
            <w:r>
              <w:rPr>
                <w:rFonts w:ascii="Times New Roman" w:hAnsi="Times New Roman"/>
                <w:noProof/>
                <w:sz w:val="18"/>
              </w:rPr>
              <w:t>Total pagos</w:t>
            </w:r>
            <w:r>
              <w:rPr>
                <w:rFonts w:ascii="Times New Roman" w:hAnsi="Times New Roman"/>
                <w:noProof/>
                <w:sz w:val="18"/>
                <w:vertAlign w:val="superscript"/>
              </w:rPr>
              <w:t>3</w:t>
            </w:r>
          </w:p>
        </w:tc>
        <w:tc>
          <w:tcPr>
            <w:tcW w:w="1167" w:type="dxa"/>
            <w:tcBorders>
              <w:top w:val="nil"/>
              <w:left w:val="single" w:sz="8" w:space="0" w:color="auto"/>
              <w:bottom w:val="single" w:sz="4" w:space="0" w:color="auto"/>
              <w:right w:val="nil"/>
            </w:tcBorders>
            <w:shd w:val="clear" w:color="auto" w:fill="auto"/>
            <w:noWrap/>
            <w:vAlign w:val="center"/>
            <w:hideMark/>
          </w:tcPr>
          <w:p w14:paraId="22822E8C"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750</w:t>
            </w:r>
          </w:p>
        </w:tc>
        <w:tc>
          <w:tcPr>
            <w:tcW w:w="818" w:type="dxa"/>
            <w:tcBorders>
              <w:top w:val="nil"/>
              <w:left w:val="single" w:sz="4" w:space="0" w:color="auto"/>
              <w:bottom w:val="single" w:sz="4" w:space="0" w:color="auto"/>
              <w:right w:val="single" w:sz="4" w:space="0" w:color="auto"/>
            </w:tcBorders>
            <w:shd w:val="clear" w:color="auto" w:fill="auto"/>
            <w:noWrap/>
            <w:vAlign w:val="center"/>
            <w:hideMark/>
          </w:tcPr>
          <w:p w14:paraId="774069F4"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74</w:t>
            </w:r>
          </w:p>
        </w:tc>
        <w:tc>
          <w:tcPr>
            <w:tcW w:w="847" w:type="dxa"/>
            <w:tcBorders>
              <w:top w:val="nil"/>
              <w:left w:val="nil"/>
              <w:bottom w:val="single" w:sz="4" w:space="0" w:color="auto"/>
              <w:right w:val="single" w:sz="8" w:space="0" w:color="auto"/>
            </w:tcBorders>
            <w:shd w:val="clear" w:color="auto" w:fill="auto"/>
            <w:noWrap/>
            <w:vAlign w:val="center"/>
            <w:hideMark/>
          </w:tcPr>
          <w:p w14:paraId="7D2DB637"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824</w:t>
            </w:r>
          </w:p>
        </w:tc>
        <w:tc>
          <w:tcPr>
            <w:tcW w:w="1167" w:type="dxa"/>
            <w:tcBorders>
              <w:top w:val="nil"/>
              <w:left w:val="nil"/>
              <w:bottom w:val="single" w:sz="4" w:space="0" w:color="auto"/>
              <w:right w:val="nil"/>
            </w:tcBorders>
            <w:shd w:val="clear" w:color="auto" w:fill="auto"/>
            <w:noWrap/>
            <w:vAlign w:val="center"/>
            <w:hideMark/>
          </w:tcPr>
          <w:p w14:paraId="5DB4507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750</w:t>
            </w:r>
          </w:p>
        </w:tc>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6980DCFE"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74</w:t>
            </w:r>
          </w:p>
        </w:tc>
        <w:tc>
          <w:tcPr>
            <w:tcW w:w="850" w:type="dxa"/>
            <w:tcBorders>
              <w:top w:val="nil"/>
              <w:left w:val="nil"/>
              <w:bottom w:val="single" w:sz="4" w:space="0" w:color="auto"/>
              <w:right w:val="single" w:sz="8" w:space="0" w:color="auto"/>
            </w:tcBorders>
            <w:shd w:val="clear" w:color="auto" w:fill="auto"/>
            <w:noWrap/>
            <w:vAlign w:val="center"/>
            <w:hideMark/>
          </w:tcPr>
          <w:p w14:paraId="0FAAF9B5" w14:textId="77777777" w:rsidR="00117F35" w:rsidRPr="00117F35" w:rsidRDefault="00117F35" w:rsidP="00117F35">
            <w:pPr>
              <w:spacing w:after="0" w:line="240" w:lineRule="auto"/>
              <w:jc w:val="center"/>
              <w:rPr>
                <w:rFonts w:ascii="Times New Roman" w:eastAsia="Times New Roman" w:hAnsi="Times New Roman" w:cs="Times New Roman"/>
                <w:noProof/>
                <w:sz w:val="18"/>
                <w:szCs w:val="18"/>
              </w:rPr>
            </w:pPr>
            <w:r>
              <w:rPr>
                <w:rFonts w:ascii="Times New Roman" w:hAnsi="Times New Roman"/>
                <w:noProof/>
                <w:sz w:val="18"/>
              </w:rPr>
              <w:t>– 824</w:t>
            </w:r>
          </w:p>
        </w:tc>
      </w:tr>
      <w:tr w:rsidR="00117F35" w:rsidRPr="00117F35" w14:paraId="1211A106" w14:textId="77777777" w:rsidTr="00EC160E">
        <w:trPr>
          <w:trHeight w:val="286"/>
        </w:trPr>
        <w:tc>
          <w:tcPr>
            <w:tcW w:w="576" w:type="dxa"/>
            <w:vMerge/>
            <w:tcBorders>
              <w:top w:val="nil"/>
              <w:left w:val="single" w:sz="4" w:space="0" w:color="auto"/>
              <w:bottom w:val="single" w:sz="4" w:space="0" w:color="000000"/>
              <w:right w:val="single" w:sz="4" w:space="0" w:color="auto"/>
            </w:tcBorders>
            <w:vAlign w:val="center"/>
            <w:hideMark/>
          </w:tcPr>
          <w:p w14:paraId="30538CB6" w14:textId="77777777" w:rsidR="00117F35" w:rsidRPr="00117F35" w:rsidRDefault="00117F35" w:rsidP="00117F35">
            <w:pPr>
              <w:spacing w:after="0" w:line="240" w:lineRule="auto"/>
              <w:rPr>
                <w:rFonts w:ascii="Times New Roman" w:eastAsia="Times New Roman" w:hAnsi="Times New Roman" w:cs="Times New Roman"/>
                <w:b/>
                <w:bCs/>
                <w:noProof/>
                <w:sz w:val="18"/>
                <w:szCs w:val="18"/>
                <w:lang w:val="en-IE" w:eastAsia="en-IE"/>
              </w:rPr>
            </w:pPr>
          </w:p>
        </w:tc>
        <w:tc>
          <w:tcPr>
            <w:tcW w:w="3960" w:type="dxa"/>
            <w:tcBorders>
              <w:top w:val="single" w:sz="4" w:space="0" w:color="auto"/>
              <w:left w:val="nil"/>
              <w:bottom w:val="single" w:sz="4" w:space="0" w:color="auto"/>
              <w:right w:val="nil"/>
            </w:tcBorders>
            <w:shd w:val="clear" w:color="auto" w:fill="auto"/>
            <w:noWrap/>
            <w:vAlign w:val="center"/>
            <w:hideMark/>
          </w:tcPr>
          <w:p w14:paraId="1049E27C"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Saldo a 31.12.2026</w:t>
            </w:r>
            <w:r>
              <w:rPr>
                <w:rFonts w:ascii="Times New Roman" w:hAnsi="Times New Roman"/>
                <w:b/>
                <w:noProof/>
                <w:color w:val="000000"/>
                <w:sz w:val="18"/>
                <w:vertAlign w:val="superscript"/>
              </w:rPr>
              <w:t>4, 6</w:t>
            </w:r>
          </w:p>
        </w:tc>
        <w:tc>
          <w:tcPr>
            <w:tcW w:w="1167" w:type="dxa"/>
            <w:tcBorders>
              <w:top w:val="nil"/>
              <w:left w:val="single" w:sz="8" w:space="0" w:color="auto"/>
              <w:bottom w:val="single" w:sz="4" w:space="0" w:color="auto"/>
              <w:right w:val="single" w:sz="4" w:space="0" w:color="auto"/>
            </w:tcBorders>
            <w:shd w:val="clear" w:color="000000" w:fill="FFFFFF"/>
            <w:noWrap/>
            <w:vAlign w:val="center"/>
            <w:hideMark/>
          </w:tcPr>
          <w:p w14:paraId="7D8263A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99</w:t>
            </w:r>
          </w:p>
        </w:tc>
        <w:tc>
          <w:tcPr>
            <w:tcW w:w="818" w:type="dxa"/>
            <w:tcBorders>
              <w:top w:val="nil"/>
              <w:left w:val="nil"/>
              <w:bottom w:val="single" w:sz="4" w:space="0" w:color="auto"/>
              <w:right w:val="single" w:sz="4" w:space="0" w:color="auto"/>
            </w:tcBorders>
            <w:shd w:val="clear" w:color="000000" w:fill="FFFFFF"/>
            <w:noWrap/>
            <w:vAlign w:val="center"/>
            <w:hideMark/>
          </w:tcPr>
          <w:p w14:paraId="0E359E6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186</w:t>
            </w:r>
          </w:p>
        </w:tc>
        <w:tc>
          <w:tcPr>
            <w:tcW w:w="847" w:type="dxa"/>
            <w:tcBorders>
              <w:top w:val="nil"/>
              <w:left w:val="nil"/>
              <w:bottom w:val="single" w:sz="4" w:space="0" w:color="auto"/>
              <w:right w:val="single" w:sz="8" w:space="0" w:color="auto"/>
            </w:tcBorders>
            <w:shd w:val="clear" w:color="000000" w:fill="FFFFFF"/>
            <w:noWrap/>
            <w:vAlign w:val="center"/>
            <w:hideMark/>
          </w:tcPr>
          <w:p w14:paraId="3A0B0A85"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285</w:t>
            </w:r>
          </w:p>
        </w:tc>
        <w:tc>
          <w:tcPr>
            <w:tcW w:w="1167" w:type="dxa"/>
            <w:tcBorders>
              <w:top w:val="nil"/>
              <w:left w:val="nil"/>
              <w:bottom w:val="single" w:sz="4" w:space="0" w:color="auto"/>
              <w:right w:val="single" w:sz="4" w:space="0" w:color="auto"/>
            </w:tcBorders>
            <w:shd w:val="clear" w:color="000000" w:fill="FFFFFF"/>
            <w:noWrap/>
            <w:vAlign w:val="center"/>
            <w:hideMark/>
          </w:tcPr>
          <w:p w14:paraId="549F6B21" w14:textId="7A393AF8"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141</w:t>
            </w:r>
          </w:p>
        </w:tc>
        <w:tc>
          <w:tcPr>
            <w:tcW w:w="821" w:type="dxa"/>
            <w:tcBorders>
              <w:top w:val="nil"/>
              <w:left w:val="nil"/>
              <w:bottom w:val="single" w:sz="4" w:space="0" w:color="auto"/>
              <w:right w:val="single" w:sz="4" w:space="0" w:color="auto"/>
            </w:tcBorders>
            <w:shd w:val="clear" w:color="000000" w:fill="FFFFFF"/>
            <w:noWrap/>
            <w:vAlign w:val="center"/>
            <w:hideMark/>
          </w:tcPr>
          <w:p w14:paraId="02DDB087" w14:textId="74E31AE6"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521</w:t>
            </w:r>
          </w:p>
        </w:tc>
        <w:tc>
          <w:tcPr>
            <w:tcW w:w="850" w:type="dxa"/>
            <w:tcBorders>
              <w:top w:val="nil"/>
              <w:left w:val="nil"/>
              <w:bottom w:val="single" w:sz="4" w:space="0" w:color="auto"/>
              <w:right w:val="single" w:sz="8" w:space="0" w:color="auto"/>
            </w:tcBorders>
            <w:shd w:val="clear" w:color="000000" w:fill="FFFFFF"/>
            <w:noWrap/>
            <w:vAlign w:val="center"/>
            <w:hideMark/>
          </w:tcPr>
          <w:p w14:paraId="0DC9CEDD" w14:textId="4FC212D3"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662</w:t>
            </w:r>
          </w:p>
        </w:tc>
      </w:tr>
      <w:tr w:rsidR="00117F35" w:rsidRPr="00117F35" w14:paraId="0B1BB80A" w14:textId="77777777" w:rsidTr="00EC160E">
        <w:trPr>
          <w:trHeight w:val="199"/>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95B182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2027</w:t>
            </w:r>
          </w:p>
        </w:tc>
        <w:tc>
          <w:tcPr>
            <w:tcW w:w="3960" w:type="dxa"/>
            <w:tcBorders>
              <w:top w:val="nil"/>
              <w:left w:val="nil"/>
              <w:bottom w:val="single" w:sz="4" w:space="0" w:color="auto"/>
              <w:right w:val="nil"/>
            </w:tcBorders>
            <w:shd w:val="clear" w:color="auto" w:fill="auto"/>
            <w:vAlign w:val="bottom"/>
            <w:hideMark/>
          </w:tcPr>
          <w:p w14:paraId="46BA7A1E"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Contribuciones de los Estados miembros y del Reino Unido para 2027</w:t>
            </w:r>
            <w:r>
              <w:rPr>
                <w:rFonts w:ascii="Times New Roman" w:hAnsi="Times New Roman"/>
                <w:b/>
                <w:noProof/>
                <w:color w:val="000000"/>
                <w:sz w:val="18"/>
                <w:vertAlign w:val="superscript"/>
              </w:rPr>
              <w:t>5</w:t>
            </w:r>
          </w:p>
        </w:tc>
        <w:tc>
          <w:tcPr>
            <w:tcW w:w="1167" w:type="dxa"/>
            <w:tcBorders>
              <w:top w:val="nil"/>
              <w:left w:val="single" w:sz="8" w:space="0" w:color="auto"/>
              <w:bottom w:val="single" w:sz="8" w:space="0" w:color="auto"/>
              <w:right w:val="single" w:sz="4" w:space="0" w:color="auto"/>
            </w:tcBorders>
            <w:shd w:val="clear" w:color="auto" w:fill="auto"/>
            <w:noWrap/>
            <w:vAlign w:val="center"/>
            <w:hideMark/>
          </w:tcPr>
          <w:p w14:paraId="7AEBA49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500</w:t>
            </w:r>
          </w:p>
        </w:tc>
        <w:tc>
          <w:tcPr>
            <w:tcW w:w="818" w:type="dxa"/>
            <w:tcBorders>
              <w:top w:val="nil"/>
              <w:left w:val="nil"/>
              <w:bottom w:val="single" w:sz="8" w:space="0" w:color="auto"/>
              <w:right w:val="single" w:sz="4" w:space="0" w:color="auto"/>
            </w:tcBorders>
            <w:shd w:val="clear" w:color="auto" w:fill="auto"/>
            <w:noWrap/>
            <w:vAlign w:val="center"/>
            <w:hideMark/>
          </w:tcPr>
          <w:p w14:paraId="3D1630F0"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single" w:sz="8" w:space="0" w:color="auto"/>
              <w:right w:val="single" w:sz="8" w:space="0" w:color="auto"/>
            </w:tcBorders>
            <w:shd w:val="clear" w:color="auto" w:fill="auto"/>
            <w:noWrap/>
            <w:vAlign w:val="center"/>
            <w:hideMark/>
          </w:tcPr>
          <w:p w14:paraId="1760393D"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500</w:t>
            </w:r>
          </w:p>
        </w:tc>
        <w:tc>
          <w:tcPr>
            <w:tcW w:w="1167" w:type="dxa"/>
            <w:tcBorders>
              <w:top w:val="nil"/>
              <w:left w:val="nil"/>
              <w:bottom w:val="single" w:sz="8" w:space="0" w:color="auto"/>
              <w:right w:val="single" w:sz="4" w:space="0" w:color="auto"/>
            </w:tcBorders>
            <w:shd w:val="clear" w:color="auto" w:fill="auto"/>
            <w:noWrap/>
            <w:vAlign w:val="center"/>
            <w:hideMark/>
          </w:tcPr>
          <w:p w14:paraId="618088AA" w14:textId="3EDFC43F" w:rsidR="00117F35" w:rsidRPr="00117F35" w:rsidRDefault="00D928E6"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460</w:t>
            </w:r>
          </w:p>
        </w:tc>
        <w:tc>
          <w:tcPr>
            <w:tcW w:w="821" w:type="dxa"/>
            <w:tcBorders>
              <w:top w:val="nil"/>
              <w:left w:val="nil"/>
              <w:bottom w:val="single" w:sz="8" w:space="0" w:color="auto"/>
              <w:right w:val="single" w:sz="4" w:space="0" w:color="auto"/>
            </w:tcBorders>
            <w:shd w:val="clear" w:color="auto" w:fill="auto"/>
            <w:noWrap/>
            <w:vAlign w:val="center"/>
            <w:hideMark/>
          </w:tcPr>
          <w:p w14:paraId="1B07C1B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single" w:sz="8" w:space="0" w:color="auto"/>
              <w:right w:val="single" w:sz="8" w:space="0" w:color="auto"/>
            </w:tcBorders>
            <w:shd w:val="clear" w:color="auto" w:fill="auto"/>
            <w:noWrap/>
            <w:vAlign w:val="center"/>
            <w:hideMark/>
          </w:tcPr>
          <w:p w14:paraId="13A063A7" w14:textId="1FE298A4"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460</w:t>
            </w:r>
          </w:p>
        </w:tc>
      </w:tr>
      <w:tr w:rsidR="00117F35" w:rsidRPr="00117F35" w14:paraId="242652F2" w14:textId="77777777" w:rsidTr="00EC160E">
        <w:trPr>
          <w:trHeight w:val="251"/>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14:paraId="41701E3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2028</w:t>
            </w:r>
          </w:p>
        </w:tc>
        <w:tc>
          <w:tcPr>
            <w:tcW w:w="3960" w:type="dxa"/>
            <w:tcBorders>
              <w:top w:val="nil"/>
              <w:left w:val="nil"/>
              <w:bottom w:val="single" w:sz="4" w:space="0" w:color="auto"/>
              <w:right w:val="nil"/>
            </w:tcBorders>
            <w:shd w:val="clear" w:color="auto" w:fill="auto"/>
            <w:vAlign w:val="bottom"/>
            <w:hideMark/>
          </w:tcPr>
          <w:p w14:paraId="054401DF" w14:textId="77777777" w:rsidR="00117F35" w:rsidRPr="00117F35" w:rsidRDefault="00117F35" w:rsidP="00117F35">
            <w:pPr>
              <w:spacing w:after="0" w:line="240" w:lineRule="auto"/>
              <w:rPr>
                <w:rFonts w:ascii="Times New Roman" w:eastAsia="Times New Roman" w:hAnsi="Times New Roman" w:cs="Times New Roman"/>
                <w:b/>
                <w:bCs/>
                <w:noProof/>
                <w:color w:val="000000"/>
                <w:sz w:val="18"/>
                <w:szCs w:val="18"/>
              </w:rPr>
            </w:pPr>
            <w:r>
              <w:rPr>
                <w:rFonts w:ascii="Times New Roman" w:hAnsi="Times New Roman"/>
                <w:b/>
                <w:noProof/>
                <w:color w:val="000000"/>
                <w:sz w:val="18"/>
              </w:rPr>
              <w:t>Contribuciones de los Estados miembros y del Reino Unido para 2028</w:t>
            </w:r>
            <w:r>
              <w:rPr>
                <w:rFonts w:ascii="Times New Roman" w:hAnsi="Times New Roman"/>
                <w:b/>
                <w:noProof/>
                <w:color w:val="000000"/>
                <w:sz w:val="18"/>
                <w:vertAlign w:val="superscript"/>
              </w:rPr>
              <w:t>5</w:t>
            </w:r>
          </w:p>
        </w:tc>
        <w:tc>
          <w:tcPr>
            <w:tcW w:w="1167" w:type="dxa"/>
            <w:tcBorders>
              <w:top w:val="nil"/>
              <w:left w:val="single" w:sz="8" w:space="0" w:color="auto"/>
              <w:bottom w:val="single" w:sz="8" w:space="0" w:color="auto"/>
              <w:right w:val="single" w:sz="4" w:space="0" w:color="auto"/>
            </w:tcBorders>
            <w:shd w:val="clear" w:color="auto" w:fill="auto"/>
            <w:noWrap/>
            <w:vAlign w:val="center"/>
            <w:hideMark/>
          </w:tcPr>
          <w:p w14:paraId="1D086BFB"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818" w:type="dxa"/>
            <w:tcBorders>
              <w:top w:val="single" w:sz="4" w:space="0" w:color="auto"/>
              <w:left w:val="nil"/>
              <w:bottom w:val="single" w:sz="8" w:space="0" w:color="auto"/>
              <w:right w:val="single" w:sz="4" w:space="0" w:color="auto"/>
            </w:tcBorders>
            <w:shd w:val="clear" w:color="auto" w:fill="auto"/>
            <w:noWrap/>
            <w:vAlign w:val="center"/>
            <w:hideMark/>
          </w:tcPr>
          <w:p w14:paraId="672336DA"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47" w:type="dxa"/>
            <w:tcBorders>
              <w:top w:val="nil"/>
              <w:left w:val="nil"/>
              <w:bottom w:val="single" w:sz="8" w:space="0" w:color="auto"/>
              <w:right w:val="single" w:sz="8" w:space="0" w:color="auto"/>
            </w:tcBorders>
            <w:shd w:val="clear" w:color="auto" w:fill="auto"/>
            <w:noWrap/>
            <w:vAlign w:val="center"/>
            <w:hideMark/>
          </w:tcPr>
          <w:p w14:paraId="4CFC2BA7"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1167" w:type="dxa"/>
            <w:tcBorders>
              <w:top w:val="nil"/>
              <w:left w:val="nil"/>
              <w:bottom w:val="single" w:sz="8" w:space="0" w:color="auto"/>
              <w:right w:val="single" w:sz="4" w:space="0" w:color="auto"/>
            </w:tcBorders>
            <w:shd w:val="clear" w:color="auto" w:fill="auto"/>
            <w:noWrap/>
            <w:vAlign w:val="center"/>
            <w:hideMark/>
          </w:tcPr>
          <w:p w14:paraId="01237313"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c>
          <w:tcPr>
            <w:tcW w:w="821" w:type="dxa"/>
            <w:tcBorders>
              <w:top w:val="single" w:sz="4" w:space="0" w:color="auto"/>
              <w:left w:val="nil"/>
              <w:bottom w:val="single" w:sz="8" w:space="0" w:color="auto"/>
              <w:right w:val="single" w:sz="4" w:space="0" w:color="auto"/>
            </w:tcBorders>
            <w:shd w:val="clear" w:color="auto" w:fill="auto"/>
            <w:noWrap/>
            <w:vAlign w:val="center"/>
            <w:hideMark/>
          </w:tcPr>
          <w:p w14:paraId="4802455E"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0</w:t>
            </w:r>
          </w:p>
        </w:tc>
        <w:tc>
          <w:tcPr>
            <w:tcW w:w="850" w:type="dxa"/>
            <w:tcBorders>
              <w:top w:val="nil"/>
              <w:left w:val="nil"/>
              <w:bottom w:val="single" w:sz="8" w:space="0" w:color="auto"/>
              <w:right w:val="single" w:sz="8" w:space="0" w:color="auto"/>
            </w:tcBorders>
            <w:shd w:val="clear" w:color="auto" w:fill="auto"/>
            <w:noWrap/>
            <w:vAlign w:val="center"/>
            <w:hideMark/>
          </w:tcPr>
          <w:p w14:paraId="1A2BFA19" w14:textId="77777777" w:rsidR="00117F35" w:rsidRPr="00117F35" w:rsidRDefault="00117F35" w:rsidP="00117F35">
            <w:pPr>
              <w:spacing w:after="0" w:line="240" w:lineRule="auto"/>
              <w:jc w:val="center"/>
              <w:rPr>
                <w:rFonts w:ascii="Times New Roman" w:eastAsia="Times New Roman" w:hAnsi="Times New Roman" w:cs="Times New Roman"/>
                <w:b/>
                <w:bCs/>
                <w:noProof/>
                <w:sz w:val="18"/>
                <w:szCs w:val="18"/>
              </w:rPr>
            </w:pPr>
            <w:r>
              <w:rPr>
                <w:rFonts w:ascii="Times New Roman" w:hAnsi="Times New Roman"/>
                <w:b/>
                <w:noProof/>
                <w:sz w:val="18"/>
              </w:rPr>
              <w:t xml:space="preserve">   400</w:t>
            </w:r>
          </w:p>
        </w:tc>
      </w:tr>
    </w:tbl>
    <w:p w14:paraId="0C5B0E98" w14:textId="77777777" w:rsidR="00F6004C" w:rsidRDefault="00F6004C" w:rsidP="00EC160E">
      <w:pPr>
        <w:tabs>
          <w:tab w:val="left" w:pos="284"/>
        </w:tabs>
        <w:spacing w:after="0"/>
        <w:rPr>
          <w:noProof/>
          <w:sz w:val="16"/>
          <w:szCs w:val="16"/>
          <w:lang w:val="en-IE"/>
        </w:rPr>
      </w:pPr>
    </w:p>
    <w:p w14:paraId="03A5ABDE" w14:textId="1FDD6AE8" w:rsidR="00EC160E" w:rsidRPr="00EC160E" w:rsidRDefault="00EC160E" w:rsidP="00EC160E">
      <w:pPr>
        <w:tabs>
          <w:tab w:val="left" w:pos="284"/>
        </w:tabs>
        <w:spacing w:after="0"/>
        <w:rPr>
          <w:noProof/>
          <w:sz w:val="16"/>
          <w:szCs w:val="16"/>
        </w:rPr>
      </w:pPr>
      <w:r>
        <w:rPr>
          <w:noProof/>
          <w:sz w:val="16"/>
        </w:rPr>
        <w:t>1</w:t>
      </w:r>
      <w:r>
        <w:rPr>
          <w:noProof/>
          <w:sz w:val="16"/>
        </w:rPr>
        <w:tab/>
        <w:t>Fondos disponibles para operaciones.</w:t>
      </w:r>
    </w:p>
    <w:p w14:paraId="05BF1362" w14:textId="77777777" w:rsidR="00EC160E" w:rsidRPr="00EC160E" w:rsidRDefault="00EC160E" w:rsidP="005C6BBE">
      <w:pPr>
        <w:tabs>
          <w:tab w:val="left" w:pos="284"/>
        </w:tabs>
        <w:spacing w:after="0"/>
        <w:jc w:val="both"/>
        <w:rPr>
          <w:noProof/>
          <w:sz w:val="16"/>
          <w:szCs w:val="16"/>
        </w:rPr>
      </w:pPr>
      <w:r>
        <w:rPr>
          <w:noProof/>
          <w:sz w:val="16"/>
        </w:rPr>
        <w:t>2</w:t>
      </w:r>
      <w:r>
        <w:rPr>
          <w:noProof/>
          <w:sz w:val="16"/>
        </w:rPr>
        <w:tab/>
        <w:t xml:space="preserve">Neto de fallidos, gastos de gestión del BEI y otros costes, tales como permutas/cobertura; no incluye la cuota británica de reflujos, </w:t>
      </w:r>
    </w:p>
    <w:p w14:paraId="0E573EC4" w14:textId="3A9D9670" w:rsidR="00EC160E" w:rsidRPr="00EC160E" w:rsidRDefault="00EC160E" w:rsidP="005C6BBE">
      <w:pPr>
        <w:tabs>
          <w:tab w:val="left" w:pos="284"/>
        </w:tabs>
        <w:spacing w:after="0"/>
        <w:ind w:left="284"/>
        <w:jc w:val="both"/>
        <w:rPr>
          <w:noProof/>
          <w:sz w:val="16"/>
          <w:szCs w:val="16"/>
        </w:rPr>
      </w:pPr>
      <w:r>
        <w:rPr>
          <w:noProof/>
          <w:sz w:val="16"/>
        </w:rPr>
        <w:t>que, de conformidad con el artículo 153 del Acuerdo de Retirada, no debe reutilizarse. Para más detalles, véanse los estados financieros del</w:t>
      </w:r>
      <w:r w:rsidR="005C6BBE">
        <w:rPr>
          <w:noProof/>
          <w:sz w:val="16"/>
        </w:rPr>
        <w:t xml:space="preserve"> </w:t>
      </w:r>
      <w:r>
        <w:rPr>
          <w:noProof/>
          <w:sz w:val="16"/>
        </w:rPr>
        <w:t>Instrumento de Ayuda a la Inversión.</w:t>
      </w:r>
    </w:p>
    <w:p w14:paraId="440FA677" w14:textId="77777777" w:rsidR="00EC160E" w:rsidRPr="00EC160E" w:rsidRDefault="00EC160E" w:rsidP="00EC160E">
      <w:pPr>
        <w:tabs>
          <w:tab w:val="left" w:pos="284"/>
        </w:tabs>
        <w:spacing w:after="0"/>
        <w:rPr>
          <w:noProof/>
          <w:sz w:val="16"/>
          <w:szCs w:val="16"/>
        </w:rPr>
      </w:pPr>
      <w:r>
        <w:rPr>
          <w:noProof/>
          <w:sz w:val="16"/>
        </w:rPr>
        <w:t>3</w:t>
      </w:r>
      <w:r>
        <w:rPr>
          <w:noProof/>
          <w:sz w:val="16"/>
        </w:rPr>
        <w:tab/>
        <w:t>Incluidas las bonificaciones de intereses vinculadas a los anteriores FED.</w:t>
      </w:r>
      <w:r>
        <w:rPr>
          <w:noProof/>
          <w:sz w:val="16"/>
        </w:rPr>
        <w:tab/>
      </w:r>
      <w:r>
        <w:rPr>
          <w:noProof/>
          <w:sz w:val="16"/>
        </w:rPr>
        <w:tab/>
      </w:r>
      <w:r>
        <w:rPr>
          <w:noProof/>
          <w:sz w:val="16"/>
        </w:rPr>
        <w:tab/>
      </w:r>
      <w:r>
        <w:rPr>
          <w:noProof/>
          <w:sz w:val="16"/>
        </w:rPr>
        <w:tab/>
      </w:r>
      <w:r>
        <w:rPr>
          <w:noProof/>
          <w:sz w:val="16"/>
        </w:rPr>
        <w:tab/>
        <w:t xml:space="preserve"> </w:t>
      </w:r>
    </w:p>
    <w:p w14:paraId="27720517" w14:textId="77777777" w:rsidR="00EC160E" w:rsidRPr="00EC160E" w:rsidRDefault="00EC160E" w:rsidP="00EC160E">
      <w:pPr>
        <w:tabs>
          <w:tab w:val="left" w:pos="284"/>
        </w:tabs>
        <w:spacing w:after="0"/>
        <w:rPr>
          <w:noProof/>
          <w:sz w:val="16"/>
          <w:szCs w:val="16"/>
        </w:rPr>
      </w:pPr>
      <w:r>
        <w:rPr>
          <w:noProof/>
          <w:sz w:val="16"/>
        </w:rPr>
        <w:t>4</w:t>
      </w:r>
      <w:r>
        <w:rPr>
          <w:noProof/>
          <w:sz w:val="16"/>
        </w:rPr>
        <w:tab/>
        <w:t>Estos saldos no incluyen: i) las cofinanciaciones recibidas, ii) los ingresos bancarios aún no asignados a una línea específica del FED.</w:t>
      </w:r>
      <w:r>
        <w:rPr>
          <w:noProof/>
          <w:sz w:val="16"/>
        </w:rPr>
        <w:tab/>
      </w:r>
      <w:r>
        <w:rPr>
          <w:noProof/>
          <w:sz w:val="16"/>
        </w:rPr>
        <w:tab/>
      </w:r>
      <w:r>
        <w:rPr>
          <w:noProof/>
          <w:sz w:val="16"/>
        </w:rPr>
        <w:tab/>
        <w:t xml:space="preserve"> </w:t>
      </w:r>
    </w:p>
    <w:p w14:paraId="5C39FF5F" w14:textId="77777777" w:rsidR="00EC160E" w:rsidRPr="00EC160E" w:rsidRDefault="00EC160E" w:rsidP="005C6BBE">
      <w:pPr>
        <w:tabs>
          <w:tab w:val="left" w:pos="284"/>
        </w:tabs>
        <w:spacing w:after="0"/>
        <w:ind w:left="284" w:hanging="284"/>
        <w:rPr>
          <w:noProof/>
          <w:sz w:val="16"/>
          <w:szCs w:val="16"/>
        </w:rPr>
      </w:pPr>
      <w:r>
        <w:rPr>
          <w:noProof/>
          <w:sz w:val="16"/>
        </w:rPr>
        <w:t>5</w:t>
      </w:r>
      <w:r>
        <w:rPr>
          <w:noProof/>
          <w:sz w:val="16"/>
        </w:rPr>
        <w:tab/>
        <w:t>Artículo 19, apartado 2, letra d), del Reglamento Financiero: previsión no vinculante, basada en un enfoque estadístico, de las contribuciones anuales previstas.</w:t>
      </w:r>
      <w:r>
        <w:rPr>
          <w:noProof/>
          <w:sz w:val="16"/>
        </w:rPr>
        <w:tab/>
      </w:r>
      <w:r>
        <w:rPr>
          <w:noProof/>
          <w:sz w:val="16"/>
        </w:rPr>
        <w:tab/>
        <w:t xml:space="preserve"> </w:t>
      </w:r>
    </w:p>
    <w:p w14:paraId="3806CC4F" w14:textId="77777777" w:rsidR="00EC160E" w:rsidRPr="00EC160E" w:rsidRDefault="00EC160E" w:rsidP="00EC160E">
      <w:pPr>
        <w:tabs>
          <w:tab w:val="left" w:pos="284"/>
        </w:tabs>
        <w:spacing w:after="0"/>
        <w:ind w:left="284" w:hanging="284"/>
        <w:rPr>
          <w:noProof/>
          <w:sz w:val="16"/>
          <w:szCs w:val="16"/>
        </w:rPr>
      </w:pPr>
      <w:r>
        <w:rPr>
          <w:noProof/>
          <w:sz w:val="16"/>
        </w:rPr>
        <w:t>6</w:t>
      </w:r>
      <w:r>
        <w:rPr>
          <w:noProof/>
          <w:sz w:val="16"/>
        </w:rPr>
        <w:tab/>
        <w:t>El saldo del BEI está relacionado con la naturaleza del Instrumento de Ayuda a la Inversión. Para obtener la visión completa y el saldo detallado al final del ejercicio deben consultarse los estados financieros del Instrumento de Ayuda a la Inversión.</w:t>
      </w:r>
    </w:p>
    <w:p w14:paraId="77D8C2A5" w14:textId="77777777" w:rsidR="00EC160E" w:rsidRPr="00EC160E" w:rsidRDefault="00EC160E" w:rsidP="00EC160E">
      <w:pPr>
        <w:tabs>
          <w:tab w:val="left" w:pos="284"/>
        </w:tabs>
        <w:spacing w:after="0"/>
        <w:rPr>
          <w:noProof/>
          <w:sz w:val="16"/>
          <w:szCs w:val="16"/>
        </w:rPr>
      </w:pPr>
      <w:r>
        <w:rPr>
          <w:noProof/>
          <w:sz w:val="16"/>
        </w:rPr>
        <w:t>7</w:t>
      </w:r>
      <w:r>
        <w:rPr>
          <w:noProof/>
          <w:sz w:val="16"/>
        </w:rPr>
        <w:tab/>
        <w:t xml:space="preserve">Se trata de una estimación muy aproximada basada en un análisis histórico de la tasa de liberación de los FED anteriores. </w:t>
      </w:r>
    </w:p>
    <w:p w14:paraId="51B02CE0" w14:textId="77777777" w:rsidR="00EC160E" w:rsidRPr="00EC160E" w:rsidRDefault="00EC160E" w:rsidP="00EC160E">
      <w:pPr>
        <w:tabs>
          <w:tab w:val="left" w:pos="284"/>
        </w:tabs>
        <w:spacing w:after="0"/>
        <w:rPr>
          <w:noProof/>
          <w:sz w:val="16"/>
          <w:szCs w:val="16"/>
        </w:rPr>
      </w:pPr>
      <w:r>
        <w:rPr>
          <w:noProof/>
          <w:sz w:val="16"/>
        </w:rPr>
        <w:t>8</w:t>
      </w:r>
      <w:r>
        <w:rPr>
          <w:noProof/>
          <w:sz w:val="16"/>
        </w:rPr>
        <w:tab/>
        <w:t>La estimación del reembolso del 9.º FED se determinará durante el ejercicio 2025; según nuestras previsiones actuales será limitada.</w:t>
      </w:r>
    </w:p>
    <w:p w14:paraId="114685AC" w14:textId="77777777" w:rsidR="00EC160E" w:rsidRPr="00C756B2" w:rsidRDefault="00EC160E" w:rsidP="008652FD">
      <w:pPr>
        <w:pStyle w:val="Text1"/>
        <w:ind w:left="0"/>
        <w:rPr>
          <w:noProof/>
        </w:rPr>
      </w:pPr>
    </w:p>
    <w:p w14:paraId="32FF58B1" w14:textId="231C03FE" w:rsidR="00EC160E" w:rsidRPr="00EC160E" w:rsidRDefault="00EC160E" w:rsidP="008652FD">
      <w:pPr>
        <w:pStyle w:val="Text1"/>
        <w:ind w:left="0"/>
        <w:rPr>
          <w:noProof/>
        </w:rPr>
        <w:sectPr w:rsidR="00EC160E" w:rsidRPr="00EC160E" w:rsidSect="006678EA">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276" w:left="851" w:header="708" w:footer="708" w:gutter="0"/>
          <w:cols w:space="720"/>
          <w:docGrid w:linePitch="360"/>
        </w:sectPr>
      </w:pPr>
    </w:p>
    <w:p w14:paraId="18AA7776" w14:textId="1803C4F8" w:rsidR="00C57A0B" w:rsidRDefault="00C57A0B" w:rsidP="00C57A0B">
      <w:pPr>
        <w:pStyle w:val="Heading2"/>
        <w:ind w:right="-32"/>
        <w:rPr>
          <w:noProof/>
        </w:rPr>
      </w:pPr>
      <w:r>
        <w:rPr>
          <w:noProof/>
        </w:rPr>
        <w:t>Anexo 4: Contribuciones de los Estados miembros y del Reino Unido en 2025 (en EUR)*</w:t>
      </w:r>
    </w:p>
    <w:tbl>
      <w:tblPr>
        <w:tblW w:w="13178" w:type="dxa"/>
        <w:tblLook w:val="04A0" w:firstRow="1" w:lastRow="0" w:firstColumn="1" w:lastColumn="0" w:noHBand="0" w:noVBand="1"/>
      </w:tblPr>
      <w:tblGrid>
        <w:gridCol w:w="1780"/>
        <w:gridCol w:w="1080"/>
        <w:gridCol w:w="1104"/>
        <w:gridCol w:w="993"/>
        <w:gridCol w:w="1275"/>
        <w:gridCol w:w="993"/>
        <w:gridCol w:w="1275"/>
        <w:gridCol w:w="851"/>
        <w:gridCol w:w="1276"/>
        <w:gridCol w:w="1275"/>
        <w:gridCol w:w="1276"/>
      </w:tblGrid>
      <w:tr w:rsidR="00EF31B7" w:rsidRPr="00EF31B7" w14:paraId="12CB4BFC" w14:textId="77777777" w:rsidTr="00EF31B7">
        <w:trPr>
          <w:trHeight w:val="282"/>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0A1D5D" w14:textId="77777777" w:rsidR="00EF31B7" w:rsidRPr="00EF31B7" w:rsidRDefault="00EF31B7" w:rsidP="00EF31B7">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ESTADOS MIEMBROS Y REINO UNIDO</w:t>
            </w:r>
          </w:p>
        </w:tc>
        <w:tc>
          <w:tcPr>
            <w:tcW w:w="1080" w:type="dxa"/>
            <w:vMerge w:val="restart"/>
            <w:tcBorders>
              <w:top w:val="single" w:sz="4" w:space="0" w:color="auto"/>
              <w:left w:val="single" w:sz="4" w:space="0" w:color="auto"/>
              <w:bottom w:val="single" w:sz="4" w:space="0" w:color="000000"/>
              <w:right w:val="nil"/>
            </w:tcBorders>
            <w:shd w:val="clear" w:color="000000" w:fill="C0C0C0"/>
            <w:vAlign w:val="center"/>
            <w:hideMark/>
          </w:tcPr>
          <w:p w14:paraId="64153600"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Clave de reparto del 11.º FED (%)</w:t>
            </w:r>
          </w:p>
        </w:tc>
        <w:tc>
          <w:tcPr>
            <w:tcW w:w="209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C58734"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w:t>
            </w:r>
            <w:r>
              <w:rPr>
                <w:rFonts w:ascii="Times New Roman" w:hAnsi="Times New Roman"/>
                <w:b/>
                <w:noProof/>
                <w:sz w:val="16"/>
                <w:vertAlign w:val="superscript"/>
              </w:rPr>
              <w:t>er</w:t>
            </w:r>
            <w:r>
              <w:rPr>
                <w:rFonts w:ascii="Times New Roman" w:hAnsi="Times New Roman"/>
                <w:b/>
                <w:noProof/>
                <w:sz w:val="16"/>
              </w:rPr>
              <w:t xml:space="preserve"> tramo</w:t>
            </w:r>
          </w:p>
        </w:tc>
        <w:tc>
          <w:tcPr>
            <w:tcW w:w="2268" w:type="dxa"/>
            <w:gridSpan w:val="2"/>
            <w:tcBorders>
              <w:top w:val="single" w:sz="8" w:space="0" w:color="auto"/>
              <w:left w:val="nil"/>
              <w:bottom w:val="single" w:sz="8" w:space="0" w:color="auto"/>
              <w:right w:val="single" w:sz="4" w:space="0" w:color="auto"/>
            </w:tcBorders>
            <w:shd w:val="clear" w:color="auto" w:fill="auto"/>
            <w:noWrap/>
            <w:vAlign w:val="center"/>
            <w:hideMark/>
          </w:tcPr>
          <w:p w14:paraId="60E08A44"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2.º tramo</w:t>
            </w:r>
          </w:p>
        </w:tc>
        <w:tc>
          <w:tcPr>
            <w:tcW w:w="212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252B45"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w:t>
            </w:r>
            <w:r>
              <w:rPr>
                <w:rFonts w:ascii="Times New Roman" w:hAnsi="Times New Roman"/>
                <w:b/>
                <w:noProof/>
                <w:sz w:val="16"/>
                <w:vertAlign w:val="superscript"/>
              </w:rPr>
              <w:t>er</w:t>
            </w:r>
            <w:r>
              <w:rPr>
                <w:rFonts w:ascii="Times New Roman" w:hAnsi="Times New Roman"/>
                <w:b/>
                <w:noProof/>
                <w:sz w:val="16"/>
              </w:rPr>
              <w:t xml:space="preserve"> tramo</w:t>
            </w:r>
          </w:p>
        </w:tc>
        <w:tc>
          <w:tcPr>
            <w:tcW w:w="1276" w:type="dxa"/>
            <w:vMerge w:val="restart"/>
            <w:tcBorders>
              <w:top w:val="single" w:sz="8" w:space="0" w:color="auto"/>
              <w:left w:val="nil"/>
              <w:bottom w:val="single" w:sz="8" w:space="0" w:color="000000"/>
              <w:right w:val="nil"/>
            </w:tcBorders>
            <w:shd w:val="clear" w:color="auto" w:fill="auto"/>
            <w:vAlign w:val="center"/>
            <w:hideMark/>
          </w:tcPr>
          <w:p w14:paraId="29F9C45E"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w:t>
            </w:r>
            <w:r>
              <w:rPr>
                <w:rFonts w:ascii="Times New Roman" w:hAnsi="Times New Roman"/>
                <w:b/>
                <w:noProof/>
                <w:sz w:val="16"/>
              </w:rPr>
              <w:br/>
              <w:t>Comisión</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EF1CDE"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BEI**</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335EDF" w14:textId="77777777" w:rsidR="00EF31B7" w:rsidRPr="00EF31B7" w:rsidRDefault="00EF31B7" w:rsidP="00EF31B7">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2025</w:t>
            </w:r>
          </w:p>
        </w:tc>
      </w:tr>
      <w:tr w:rsidR="00EF31B7" w:rsidRPr="00EF31B7" w14:paraId="00E6034A" w14:textId="77777777" w:rsidTr="00EF31B7">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C2EB427"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46C1F916"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nil"/>
              <w:right w:val="single" w:sz="4" w:space="0" w:color="auto"/>
            </w:tcBorders>
            <w:shd w:val="clear" w:color="auto" w:fill="auto"/>
            <w:noWrap/>
            <w:vAlign w:val="bottom"/>
            <w:hideMark/>
          </w:tcPr>
          <w:p w14:paraId="1A7D8E5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993" w:type="dxa"/>
            <w:tcBorders>
              <w:top w:val="nil"/>
              <w:left w:val="nil"/>
              <w:bottom w:val="nil"/>
              <w:right w:val="single" w:sz="8" w:space="0" w:color="auto"/>
            </w:tcBorders>
            <w:shd w:val="clear" w:color="auto" w:fill="auto"/>
            <w:noWrap/>
            <w:vAlign w:val="bottom"/>
            <w:hideMark/>
          </w:tcPr>
          <w:p w14:paraId="5DC9A4A6"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275" w:type="dxa"/>
            <w:tcBorders>
              <w:top w:val="nil"/>
              <w:left w:val="nil"/>
              <w:bottom w:val="nil"/>
              <w:right w:val="single" w:sz="4" w:space="0" w:color="auto"/>
            </w:tcBorders>
            <w:shd w:val="clear" w:color="auto" w:fill="auto"/>
            <w:noWrap/>
            <w:vAlign w:val="bottom"/>
            <w:hideMark/>
          </w:tcPr>
          <w:p w14:paraId="1BBE4B60"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993" w:type="dxa"/>
            <w:tcBorders>
              <w:top w:val="nil"/>
              <w:left w:val="nil"/>
              <w:bottom w:val="nil"/>
              <w:right w:val="nil"/>
            </w:tcBorders>
            <w:shd w:val="clear" w:color="auto" w:fill="auto"/>
            <w:noWrap/>
            <w:vAlign w:val="bottom"/>
            <w:hideMark/>
          </w:tcPr>
          <w:p w14:paraId="6E5E57E5"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275" w:type="dxa"/>
            <w:tcBorders>
              <w:top w:val="nil"/>
              <w:left w:val="single" w:sz="8" w:space="0" w:color="auto"/>
              <w:bottom w:val="nil"/>
              <w:right w:val="single" w:sz="4" w:space="0" w:color="auto"/>
            </w:tcBorders>
            <w:shd w:val="clear" w:color="auto" w:fill="auto"/>
            <w:noWrap/>
            <w:vAlign w:val="bottom"/>
            <w:hideMark/>
          </w:tcPr>
          <w:p w14:paraId="345EEAF9"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851" w:type="dxa"/>
            <w:tcBorders>
              <w:top w:val="nil"/>
              <w:left w:val="nil"/>
              <w:bottom w:val="nil"/>
              <w:right w:val="single" w:sz="8" w:space="0" w:color="auto"/>
            </w:tcBorders>
            <w:shd w:val="clear" w:color="auto" w:fill="auto"/>
            <w:noWrap/>
            <w:vAlign w:val="bottom"/>
            <w:hideMark/>
          </w:tcPr>
          <w:p w14:paraId="386912D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276" w:type="dxa"/>
            <w:vMerge/>
            <w:tcBorders>
              <w:top w:val="single" w:sz="8" w:space="0" w:color="auto"/>
              <w:left w:val="nil"/>
              <w:bottom w:val="single" w:sz="8" w:space="0" w:color="000000"/>
              <w:right w:val="nil"/>
            </w:tcBorders>
            <w:vAlign w:val="center"/>
            <w:hideMark/>
          </w:tcPr>
          <w:p w14:paraId="3203DD41"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94BCDB8"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C1FF425"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r>
      <w:tr w:rsidR="00EF31B7" w:rsidRPr="00EF31B7" w14:paraId="202D7E4A" w14:textId="77777777" w:rsidTr="00EF31B7">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318EB2D"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3E02E727"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single" w:sz="8" w:space="0" w:color="auto"/>
              <w:right w:val="single" w:sz="4" w:space="0" w:color="auto"/>
            </w:tcBorders>
            <w:shd w:val="clear" w:color="auto" w:fill="auto"/>
            <w:noWrap/>
            <w:vAlign w:val="bottom"/>
            <w:hideMark/>
          </w:tcPr>
          <w:p w14:paraId="106AA54A"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 FED</w:t>
            </w:r>
          </w:p>
        </w:tc>
        <w:tc>
          <w:tcPr>
            <w:tcW w:w="993" w:type="dxa"/>
            <w:tcBorders>
              <w:top w:val="nil"/>
              <w:left w:val="nil"/>
              <w:bottom w:val="single" w:sz="8" w:space="0" w:color="auto"/>
              <w:right w:val="single" w:sz="8" w:space="0" w:color="auto"/>
            </w:tcBorders>
            <w:shd w:val="clear" w:color="auto" w:fill="auto"/>
            <w:noWrap/>
            <w:vAlign w:val="bottom"/>
            <w:hideMark/>
          </w:tcPr>
          <w:p w14:paraId="6653C912"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275" w:type="dxa"/>
            <w:tcBorders>
              <w:top w:val="nil"/>
              <w:left w:val="nil"/>
              <w:bottom w:val="single" w:sz="8" w:space="0" w:color="auto"/>
              <w:right w:val="single" w:sz="4" w:space="0" w:color="auto"/>
            </w:tcBorders>
            <w:shd w:val="clear" w:color="auto" w:fill="auto"/>
            <w:noWrap/>
            <w:vAlign w:val="bottom"/>
            <w:hideMark/>
          </w:tcPr>
          <w:p w14:paraId="3755926E"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993" w:type="dxa"/>
            <w:tcBorders>
              <w:top w:val="nil"/>
              <w:left w:val="nil"/>
              <w:bottom w:val="single" w:sz="8" w:space="0" w:color="auto"/>
              <w:right w:val="nil"/>
            </w:tcBorders>
            <w:shd w:val="clear" w:color="auto" w:fill="auto"/>
            <w:noWrap/>
            <w:vAlign w:val="bottom"/>
            <w:hideMark/>
          </w:tcPr>
          <w:p w14:paraId="68DF4619"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14:paraId="58911981"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851" w:type="dxa"/>
            <w:tcBorders>
              <w:top w:val="nil"/>
              <w:left w:val="nil"/>
              <w:bottom w:val="single" w:sz="8" w:space="0" w:color="auto"/>
              <w:right w:val="single" w:sz="8" w:space="0" w:color="auto"/>
            </w:tcBorders>
            <w:shd w:val="clear" w:color="auto" w:fill="auto"/>
            <w:noWrap/>
            <w:vAlign w:val="bottom"/>
            <w:hideMark/>
          </w:tcPr>
          <w:p w14:paraId="518C3D55" w14:textId="77777777" w:rsidR="00EF31B7" w:rsidRPr="00EF31B7" w:rsidRDefault="00EF31B7" w:rsidP="00EF31B7">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276" w:type="dxa"/>
            <w:vMerge/>
            <w:tcBorders>
              <w:top w:val="single" w:sz="8" w:space="0" w:color="auto"/>
              <w:left w:val="nil"/>
              <w:bottom w:val="single" w:sz="8" w:space="0" w:color="000000"/>
              <w:right w:val="nil"/>
            </w:tcBorders>
            <w:vAlign w:val="center"/>
            <w:hideMark/>
          </w:tcPr>
          <w:p w14:paraId="0C19CD0F"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54DC707F"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7D48CE2" w14:textId="77777777" w:rsidR="00EF31B7" w:rsidRPr="00EF31B7" w:rsidRDefault="00EF31B7" w:rsidP="00EF31B7">
            <w:pPr>
              <w:spacing w:after="0" w:line="240" w:lineRule="auto"/>
              <w:rPr>
                <w:rFonts w:ascii="Times New Roman" w:eastAsia="Times New Roman" w:hAnsi="Times New Roman" w:cs="Times New Roman"/>
                <w:b/>
                <w:bCs/>
                <w:noProof/>
                <w:sz w:val="16"/>
                <w:szCs w:val="16"/>
                <w:lang w:val="en-IE" w:eastAsia="en-IE"/>
              </w:rPr>
            </w:pPr>
          </w:p>
        </w:tc>
      </w:tr>
      <w:tr w:rsidR="00EF31B7" w:rsidRPr="00EF31B7" w14:paraId="30E5EA3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C529B9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BÉLGICA</w:t>
            </w:r>
          </w:p>
        </w:tc>
        <w:tc>
          <w:tcPr>
            <w:tcW w:w="1080" w:type="dxa"/>
            <w:tcBorders>
              <w:top w:val="nil"/>
              <w:left w:val="nil"/>
              <w:bottom w:val="nil"/>
              <w:right w:val="nil"/>
            </w:tcBorders>
            <w:shd w:val="clear" w:color="000000" w:fill="C0C0C0"/>
            <w:noWrap/>
            <w:vAlign w:val="center"/>
            <w:hideMark/>
          </w:tcPr>
          <w:p w14:paraId="582817B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04" w:type="dxa"/>
            <w:tcBorders>
              <w:top w:val="nil"/>
              <w:left w:val="single" w:sz="4" w:space="0" w:color="auto"/>
              <w:bottom w:val="nil"/>
              <w:right w:val="single" w:sz="8" w:space="0" w:color="auto"/>
            </w:tcBorders>
            <w:shd w:val="clear" w:color="000000" w:fill="FFFFFF"/>
            <w:noWrap/>
            <w:vAlign w:val="bottom"/>
            <w:hideMark/>
          </w:tcPr>
          <w:p w14:paraId="1521DCB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11 372 445</w:t>
            </w:r>
          </w:p>
        </w:tc>
        <w:tc>
          <w:tcPr>
            <w:tcW w:w="993" w:type="dxa"/>
            <w:tcBorders>
              <w:top w:val="nil"/>
              <w:left w:val="single" w:sz="4" w:space="0" w:color="auto"/>
              <w:bottom w:val="nil"/>
              <w:right w:val="single" w:sz="8" w:space="0" w:color="auto"/>
            </w:tcBorders>
            <w:shd w:val="clear" w:color="000000" w:fill="FFFFFF"/>
            <w:noWrap/>
            <w:vAlign w:val="bottom"/>
            <w:hideMark/>
          </w:tcPr>
          <w:p w14:paraId="4F1CEBD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292 434</w:t>
            </w:r>
          </w:p>
        </w:tc>
        <w:tc>
          <w:tcPr>
            <w:tcW w:w="1275" w:type="dxa"/>
            <w:tcBorders>
              <w:top w:val="nil"/>
              <w:left w:val="single" w:sz="4" w:space="0" w:color="auto"/>
              <w:bottom w:val="nil"/>
              <w:right w:val="single" w:sz="8" w:space="0" w:color="auto"/>
            </w:tcBorders>
            <w:shd w:val="clear" w:color="000000" w:fill="FFFFFF"/>
            <w:noWrap/>
            <w:vAlign w:val="bottom"/>
            <w:hideMark/>
          </w:tcPr>
          <w:p w14:paraId="238F5F2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8 123 175</w:t>
            </w:r>
          </w:p>
        </w:tc>
        <w:tc>
          <w:tcPr>
            <w:tcW w:w="993" w:type="dxa"/>
            <w:tcBorders>
              <w:top w:val="nil"/>
              <w:left w:val="single" w:sz="4" w:space="0" w:color="auto"/>
              <w:bottom w:val="nil"/>
              <w:right w:val="single" w:sz="8" w:space="0" w:color="auto"/>
            </w:tcBorders>
            <w:shd w:val="clear" w:color="000000" w:fill="FFFFFF"/>
            <w:noWrap/>
            <w:vAlign w:val="bottom"/>
            <w:hideMark/>
          </w:tcPr>
          <w:p w14:paraId="4E425E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322786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6 498 540</w:t>
            </w:r>
          </w:p>
        </w:tc>
        <w:tc>
          <w:tcPr>
            <w:tcW w:w="851" w:type="dxa"/>
            <w:tcBorders>
              <w:top w:val="nil"/>
              <w:left w:val="single" w:sz="4" w:space="0" w:color="auto"/>
              <w:bottom w:val="nil"/>
              <w:right w:val="single" w:sz="8" w:space="0" w:color="auto"/>
            </w:tcBorders>
            <w:shd w:val="clear" w:color="000000" w:fill="FFFFFF"/>
            <w:noWrap/>
            <w:vAlign w:val="bottom"/>
            <w:hideMark/>
          </w:tcPr>
          <w:p w14:paraId="3C71BB6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22FD3F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25 994 160</w:t>
            </w:r>
          </w:p>
        </w:tc>
        <w:tc>
          <w:tcPr>
            <w:tcW w:w="1275" w:type="dxa"/>
            <w:tcBorders>
              <w:top w:val="nil"/>
              <w:left w:val="single" w:sz="4" w:space="0" w:color="auto"/>
              <w:bottom w:val="nil"/>
              <w:right w:val="single" w:sz="8" w:space="0" w:color="auto"/>
            </w:tcBorders>
            <w:shd w:val="clear" w:color="000000" w:fill="FFFFFF"/>
            <w:noWrap/>
            <w:vAlign w:val="bottom"/>
            <w:hideMark/>
          </w:tcPr>
          <w:p w14:paraId="2FE340E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292 434</w:t>
            </w:r>
          </w:p>
        </w:tc>
        <w:tc>
          <w:tcPr>
            <w:tcW w:w="1276" w:type="dxa"/>
            <w:tcBorders>
              <w:top w:val="nil"/>
              <w:left w:val="single" w:sz="4" w:space="0" w:color="auto"/>
              <w:bottom w:val="nil"/>
              <w:right w:val="single" w:sz="8" w:space="0" w:color="auto"/>
            </w:tcBorders>
            <w:shd w:val="clear" w:color="000000" w:fill="FFFFFF"/>
            <w:noWrap/>
            <w:vAlign w:val="bottom"/>
            <w:hideMark/>
          </w:tcPr>
          <w:p w14:paraId="3C3DFB7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26 286 594</w:t>
            </w:r>
          </w:p>
        </w:tc>
      </w:tr>
      <w:tr w:rsidR="00EF31B7" w:rsidRPr="00EF31B7" w14:paraId="09E6877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F57FB5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BULGARIA</w:t>
            </w:r>
          </w:p>
        </w:tc>
        <w:tc>
          <w:tcPr>
            <w:tcW w:w="1080" w:type="dxa"/>
            <w:tcBorders>
              <w:top w:val="nil"/>
              <w:left w:val="nil"/>
              <w:bottom w:val="nil"/>
              <w:right w:val="nil"/>
            </w:tcBorders>
            <w:shd w:val="clear" w:color="000000" w:fill="C0C0C0"/>
            <w:noWrap/>
            <w:vAlign w:val="center"/>
            <w:hideMark/>
          </w:tcPr>
          <w:p w14:paraId="6D5299B0"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04" w:type="dxa"/>
            <w:tcBorders>
              <w:top w:val="nil"/>
              <w:left w:val="single" w:sz="4" w:space="0" w:color="auto"/>
              <w:bottom w:val="nil"/>
              <w:right w:val="single" w:sz="8" w:space="0" w:color="auto"/>
            </w:tcBorders>
            <w:shd w:val="clear" w:color="000000" w:fill="FFFFFF"/>
            <w:noWrap/>
            <w:vAlign w:val="bottom"/>
            <w:hideMark/>
          </w:tcPr>
          <w:p w14:paraId="14DEE7A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764 855</w:t>
            </w:r>
          </w:p>
        </w:tc>
        <w:tc>
          <w:tcPr>
            <w:tcW w:w="993" w:type="dxa"/>
            <w:tcBorders>
              <w:top w:val="nil"/>
              <w:left w:val="single" w:sz="4" w:space="0" w:color="auto"/>
              <w:bottom w:val="nil"/>
              <w:right w:val="single" w:sz="8" w:space="0" w:color="auto"/>
            </w:tcBorders>
            <w:shd w:val="clear" w:color="000000" w:fill="FFFFFF"/>
            <w:noWrap/>
            <w:vAlign w:val="bottom"/>
            <w:hideMark/>
          </w:tcPr>
          <w:p w14:paraId="4669CF1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19 668</w:t>
            </w:r>
          </w:p>
        </w:tc>
        <w:tc>
          <w:tcPr>
            <w:tcW w:w="1275" w:type="dxa"/>
            <w:tcBorders>
              <w:top w:val="nil"/>
              <w:left w:val="single" w:sz="4" w:space="0" w:color="auto"/>
              <w:bottom w:val="nil"/>
              <w:right w:val="single" w:sz="8" w:space="0" w:color="auto"/>
            </w:tcBorders>
            <w:shd w:val="clear" w:color="000000" w:fill="FFFFFF"/>
            <w:noWrap/>
            <w:vAlign w:val="bottom"/>
            <w:hideMark/>
          </w:tcPr>
          <w:p w14:paraId="643B05B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546 325</w:t>
            </w:r>
          </w:p>
        </w:tc>
        <w:tc>
          <w:tcPr>
            <w:tcW w:w="993" w:type="dxa"/>
            <w:tcBorders>
              <w:top w:val="nil"/>
              <w:left w:val="single" w:sz="4" w:space="0" w:color="auto"/>
              <w:bottom w:val="nil"/>
              <w:right w:val="single" w:sz="8" w:space="0" w:color="auto"/>
            </w:tcBorders>
            <w:shd w:val="clear" w:color="000000" w:fill="FFFFFF"/>
            <w:noWrap/>
            <w:vAlign w:val="bottom"/>
            <w:hideMark/>
          </w:tcPr>
          <w:p w14:paraId="47562AB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B0CE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437 060</w:t>
            </w:r>
          </w:p>
        </w:tc>
        <w:tc>
          <w:tcPr>
            <w:tcW w:w="851" w:type="dxa"/>
            <w:tcBorders>
              <w:top w:val="nil"/>
              <w:left w:val="single" w:sz="4" w:space="0" w:color="auto"/>
              <w:bottom w:val="nil"/>
              <w:right w:val="single" w:sz="8" w:space="0" w:color="auto"/>
            </w:tcBorders>
            <w:shd w:val="clear" w:color="000000" w:fill="FFFFFF"/>
            <w:noWrap/>
            <w:vAlign w:val="bottom"/>
            <w:hideMark/>
          </w:tcPr>
          <w:p w14:paraId="4CFD238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6495FD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1 748 240</w:t>
            </w:r>
          </w:p>
        </w:tc>
        <w:tc>
          <w:tcPr>
            <w:tcW w:w="1275" w:type="dxa"/>
            <w:tcBorders>
              <w:top w:val="nil"/>
              <w:left w:val="single" w:sz="4" w:space="0" w:color="auto"/>
              <w:bottom w:val="nil"/>
              <w:right w:val="single" w:sz="8" w:space="0" w:color="auto"/>
            </w:tcBorders>
            <w:shd w:val="clear" w:color="000000" w:fill="FFFFFF"/>
            <w:noWrap/>
            <w:vAlign w:val="bottom"/>
            <w:hideMark/>
          </w:tcPr>
          <w:p w14:paraId="67EF8F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19 668</w:t>
            </w:r>
          </w:p>
        </w:tc>
        <w:tc>
          <w:tcPr>
            <w:tcW w:w="1276" w:type="dxa"/>
            <w:tcBorders>
              <w:top w:val="nil"/>
              <w:left w:val="single" w:sz="4" w:space="0" w:color="auto"/>
              <w:bottom w:val="nil"/>
              <w:right w:val="single" w:sz="8" w:space="0" w:color="auto"/>
            </w:tcBorders>
            <w:shd w:val="clear" w:color="000000" w:fill="FFFFFF"/>
            <w:noWrap/>
            <w:vAlign w:val="bottom"/>
            <w:hideMark/>
          </w:tcPr>
          <w:p w14:paraId="6C5B696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1 767 908</w:t>
            </w:r>
          </w:p>
        </w:tc>
      </w:tr>
      <w:tr w:rsidR="00EF31B7" w:rsidRPr="00EF31B7" w14:paraId="27EE7AB1"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BE83A0B"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CHEQUIA</w:t>
            </w:r>
          </w:p>
        </w:tc>
        <w:tc>
          <w:tcPr>
            <w:tcW w:w="1080" w:type="dxa"/>
            <w:tcBorders>
              <w:top w:val="nil"/>
              <w:left w:val="nil"/>
              <w:bottom w:val="nil"/>
              <w:right w:val="nil"/>
            </w:tcBorders>
            <w:shd w:val="clear" w:color="000000" w:fill="C0C0C0"/>
            <w:noWrap/>
            <w:vAlign w:val="center"/>
            <w:hideMark/>
          </w:tcPr>
          <w:p w14:paraId="4707B95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04" w:type="dxa"/>
            <w:tcBorders>
              <w:top w:val="nil"/>
              <w:left w:val="single" w:sz="4" w:space="0" w:color="auto"/>
              <w:bottom w:val="nil"/>
              <w:right w:val="single" w:sz="8" w:space="0" w:color="auto"/>
            </w:tcBorders>
            <w:shd w:val="clear" w:color="000000" w:fill="FFFFFF"/>
            <w:noWrap/>
            <w:vAlign w:val="bottom"/>
            <w:hideMark/>
          </w:tcPr>
          <w:p w14:paraId="0E5D6C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2 791 075</w:t>
            </w:r>
          </w:p>
        </w:tc>
        <w:tc>
          <w:tcPr>
            <w:tcW w:w="993" w:type="dxa"/>
            <w:tcBorders>
              <w:top w:val="nil"/>
              <w:left w:val="single" w:sz="4" w:space="0" w:color="auto"/>
              <w:bottom w:val="nil"/>
              <w:right w:val="single" w:sz="8" w:space="0" w:color="auto"/>
            </w:tcBorders>
            <w:shd w:val="clear" w:color="000000" w:fill="FFFFFF"/>
            <w:noWrap/>
            <w:vAlign w:val="bottom"/>
            <w:hideMark/>
          </w:tcPr>
          <w:p w14:paraId="3114C80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71 771</w:t>
            </w:r>
          </w:p>
        </w:tc>
        <w:tc>
          <w:tcPr>
            <w:tcW w:w="1275" w:type="dxa"/>
            <w:tcBorders>
              <w:top w:val="nil"/>
              <w:left w:val="single" w:sz="4" w:space="0" w:color="auto"/>
              <w:bottom w:val="nil"/>
              <w:right w:val="single" w:sz="8" w:space="0" w:color="auto"/>
            </w:tcBorders>
            <w:shd w:val="clear" w:color="000000" w:fill="FFFFFF"/>
            <w:noWrap/>
            <w:vAlign w:val="bottom"/>
            <w:hideMark/>
          </w:tcPr>
          <w:p w14:paraId="054A336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1 993 625</w:t>
            </w:r>
          </w:p>
        </w:tc>
        <w:tc>
          <w:tcPr>
            <w:tcW w:w="993" w:type="dxa"/>
            <w:tcBorders>
              <w:top w:val="nil"/>
              <w:left w:val="single" w:sz="4" w:space="0" w:color="auto"/>
              <w:bottom w:val="nil"/>
              <w:right w:val="single" w:sz="8" w:space="0" w:color="auto"/>
            </w:tcBorders>
            <w:shd w:val="clear" w:color="000000" w:fill="FFFFFF"/>
            <w:noWrap/>
            <w:vAlign w:val="bottom"/>
            <w:hideMark/>
          </w:tcPr>
          <w:p w14:paraId="0AA374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BB08A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1 594 900</w:t>
            </w:r>
          </w:p>
        </w:tc>
        <w:tc>
          <w:tcPr>
            <w:tcW w:w="851" w:type="dxa"/>
            <w:tcBorders>
              <w:top w:val="nil"/>
              <w:left w:val="single" w:sz="4" w:space="0" w:color="auto"/>
              <w:bottom w:val="nil"/>
              <w:right w:val="single" w:sz="8" w:space="0" w:color="auto"/>
            </w:tcBorders>
            <w:shd w:val="clear" w:color="000000" w:fill="FFFFFF"/>
            <w:noWrap/>
            <w:vAlign w:val="bottom"/>
            <w:hideMark/>
          </w:tcPr>
          <w:p w14:paraId="7EC03D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FFEA8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6 379 600</w:t>
            </w:r>
          </w:p>
        </w:tc>
        <w:tc>
          <w:tcPr>
            <w:tcW w:w="1275" w:type="dxa"/>
            <w:tcBorders>
              <w:top w:val="nil"/>
              <w:left w:val="single" w:sz="4" w:space="0" w:color="auto"/>
              <w:bottom w:val="nil"/>
              <w:right w:val="single" w:sz="8" w:space="0" w:color="auto"/>
            </w:tcBorders>
            <w:shd w:val="clear" w:color="000000" w:fill="FFFFFF"/>
            <w:noWrap/>
            <w:vAlign w:val="bottom"/>
            <w:hideMark/>
          </w:tcPr>
          <w:p w14:paraId="579C756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71 771</w:t>
            </w:r>
          </w:p>
        </w:tc>
        <w:tc>
          <w:tcPr>
            <w:tcW w:w="1276" w:type="dxa"/>
            <w:tcBorders>
              <w:top w:val="nil"/>
              <w:left w:val="single" w:sz="4" w:space="0" w:color="auto"/>
              <w:bottom w:val="nil"/>
              <w:right w:val="single" w:sz="8" w:space="0" w:color="auto"/>
            </w:tcBorders>
            <w:shd w:val="clear" w:color="000000" w:fill="FFFFFF"/>
            <w:noWrap/>
            <w:vAlign w:val="bottom"/>
            <w:hideMark/>
          </w:tcPr>
          <w:p w14:paraId="2850342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6 451 371</w:t>
            </w:r>
          </w:p>
        </w:tc>
      </w:tr>
      <w:tr w:rsidR="00EF31B7" w:rsidRPr="00EF31B7" w14:paraId="7570C81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2E591B3"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1080" w:type="dxa"/>
            <w:tcBorders>
              <w:top w:val="nil"/>
              <w:left w:val="nil"/>
              <w:bottom w:val="nil"/>
              <w:right w:val="nil"/>
            </w:tcBorders>
            <w:shd w:val="clear" w:color="000000" w:fill="C0C0C0"/>
            <w:noWrap/>
            <w:vAlign w:val="center"/>
            <w:hideMark/>
          </w:tcPr>
          <w:p w14:paraId="3C1338C0"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04" w:type="dxa"/>
            <w:tcBorders>
              <w:top w:val="nil"/>
              <w:left w:val="single" w:sz="4" w:space="0" w:color="auto"/>
              <w:bottom w:val="nil"/>
              <w:right w:val="single" w:sz="8" w:space="0" w:color="auto"/>
            </w:tcBorders>
            <w:shd w:val="clear" w:color="000000" w:fill="FFFFFF"/>
            <w:noWrap/>
            <w:vAlign w:val="bottom"/>
            <w:hideMark/>
          </w:tcPr>
          <w:p w14:paraId="4874E47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6 931 575</w:t>
            </w:r>
          </w:p>
        </w:tc>
        <w:tc>
          <w:tcPr>
            <w:tcW w:w="993" w:type="dxa"/>
            <w:tcBorders>
              <w:top w:val="nil"/>
              <w:left w:val="single" w:sz="4" w:space="0" w:color="auto"/>
              <w:bottom w:val="nil"/>
              <w:right w:val="single" w:sz="8" w:space="0" w:color="auto"/>
            </w:tcBorders>
            <w:shd w:val="clear" w:color="000000" w:fill="FFFFFF"/>
            <w:noWrap/>
            <w:vAlign w:val="bottom"/>
            <w:hideMark/>
          </w:tcPr>
          <w:p w14:paraId="476E458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178 241</w:t>
            </w:r>
          </w:p>
        </w:tc>
        <w:tc>
          <w:tcPr>
            <w:tcW w:w="1275" w:type="dxa"/>
            <w:tcBorders>
              <w:top w:val="nil"/>
              <w:left w:val="single" w:sz="4" w:space="0" w:color="auto"/>
              <w:bottom w:val="nil"/>
              <w:right w:val="single" w:sz="8" w:space="0" w:color="auto"/>
            </w:tcBorders>
            <w:shd w:val="clear" w:color="000000" w:fill="FFFFFF"/>
            <w:noWrap/>
            <w:vAlign w:val="bottom"/>
            <w:hideMark/>
          </w:tcPr>
          <w:p w14:paraId="6C6D6B9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4 951 125</w:t>
            </w:r>
          </w:p>
        </w:tc>
        <w:tc>
          <w:tcPr>
            <w:tcW w:w="993" w:type="dxa"/>
            <w:tcBorders>
              <w:top w:val="nil"/>
              <w:left w:val="single" w:sz="4" w:space="0" w:color="auto"/>
              <w:bottom w:val="nil"/>
              <w:right w:val="single" w:sz="8" w:space="0" w:color="auto"/>
            </w:tcBorders>
            <w:shd w:val="clear" w:color="000000" w:fill="FFFFFF"/>
            <w:noWrap/>
            <w:vAlign w:val="bottom"/>
            <w:hideMark/>
          </w:tcPr>
          <w:p w14:paraId="3CC622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81DD92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3 960 900</w:t>
            </w:r>
          </w:p>
        </w:tc>
        <w:tc>
          <w:tcPr>
            <w:tcW w:w="851" w:type="dxa"/>
            <w:tcBorders>
              <w:top w:val="nil"/>
              <w:left w:val="single" w:sz="4" w:space="0" w:color="auto"/>
              <w:bottom w:val="nil"/>
              <w:right w:val="single" w:sz="8" w:space="0" w:color="auto"/>
            </w:tcBorders>
            <w:shd w:val="clear" w:color="000000" w:fill="FFFFFF"/>
            <w:noWrap/>
            <w:vAlign w:val="bottom"/>
            <w:hideMark/>
          </w:tcPr>
          <w:p w14:paraId="4C1FB0F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D3BAE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15 843 600</w:t>
            </w:r>
          </w:p>
        </w:tc>
        <w:tc>
          <w:tcPr>
            <w:tcW w:w="1275" w:type="dxa"/>
            <w:tcBorders>
              <w:top w:val="nil"/>
              <w:left w:val="single" w:sz="4" w:space="0" w:color="auto"/>
              <w:bottom w:val="nil"/>
              <w:right w:val="single" w:sz="8" w:space="0" w:color="auto"/>
            </w:tcBorders>
            <w:shd w:val="clear" w:color="000000" w:fill="FFFFFF"/>
            <w:noWrap/>
            <w:vAlign w:val="bottom"/>
            <w:hideMark/>
          </w:tcPr>
          <w:p w14:paraId="33B545D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178 241</w:t>
            </w:r>
          </w:p>
        </w:tc>
        <w:tc>
          <w:tcPr>
            <w:tcW w:w="1276" w:type="dxa"/>
            <w:tcBorders>
              <w:top w:val="nil"/>
              <w:left w:val="single" w:sz="4" w:space="0" w:color="auto"/>
              <w:bottom w:val="nil"/>
              <w:right w:val="single" w:sz="8" w:space="0" w:color="auto"/>
            </w:tcBorders>
            <w:shd w:val="clear" w:color="000000" w:fill="FFFFFF"/>
            <w:noWrap/>
            <w:vAlign w:val="bottom"/>
            <w:hideMark/>
          </w:tcPr>
          <w:p w14:paraId="4C445B5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16 021 841</w:t>
            </w:r>
          </w:p>
        </w:tc>
      </w:tr>
      <w:tr w:rsidR="00EF31B7" w:rsidRPr="00EF31B7" w14:paraId="7C4CD15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2B9BA2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ALEMANIA</w:t>
            </w:r>
          </w:p>
        </w:tc>
        <w:tc>
          <w:tcPr>
            <w:tcW w:w="1080" w:type="dxa"/>
            <w:tcBorders>
              <w:top w:val="nil"/>
              <w:left w:val="nil"/>
              <w:bottom w:val="nil"/>
              <w:right w:val="nil"/>
            </w:tcBorders>
            <w:shd w:val="clear" w:color="000000" w:fill="C0C0C0"/>
            <w:noWrap/>
            <w:vAlign w:val="center"/>
            <w:hideMark/>
          </w:tcPr>
          <w:p w14:paraId="2A275E3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04" w:type="dxa"/>
            <w:tcBorders>
              <w:top w:val="nil"/>
              <w:left w:val="single" w:sz="4" w:space="0" w:color="auto"/>
              <w:bottom w:val="nil"/>
              <w:right w:val="single" w:sz="8" w:space="0" w:color="auto"/>
            </w:tcBorders>
            <w:shd w:val="clear" w:color="000000" w:fill="FFFFFF"/>
            <w:noWrap/>
            <w:vAlign w:val="bottom"/>
            <w:hideMark/>
          </w:tcPr>
          <w:p w14:paraId="4356E5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72 029 300</w:t>
            </w:r>
          </w:p>
        </w:tc>
        <w:tc>
          <w:tcPr>
            <w:tcW w:w="993" w:type="dxa"/>
            <w:tcBorders>
              <w:top w:val="nil"/>
              <w:left w:val="single" w:sz="4" w:space="0" w:color="auto"/>
              <w:bottom w:val="nil"/>
              <w:right w:val="single" w:sz="8" w:space="0" w:color="auto"/>
            </w:tcBorders>
            <w:shd w:val="clear" w:color="000000" w:fill="FFFFFF"/>
            <w:noWrap/>
            <w:vAlign w:val="bottom"/>
            <w:hideMark/>
          </w:tcPr>
          <w:p w14:paraId="77A1492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1 852 182</w:t>
            </w:r>
          </w:p>
        </w:tc>
        <w:tc>
          <w:tcPr>
            <w:tcW w:w="1275" w:type="dxa"/>
            <w:tcBorders>
              <w:top w:val="nil"/>
              <w:left w:val="single" w:sz="4" w:space="0" w:color="auto"/>
              <w:bottom w:val="nil"/>
              <w:right w:val="single" w:sz="8" w:space="0" w:color="auto"/>
            </w:tcBorders>
            <w:shd w:val="clear" w:color="000000" w:fill="FFFFFF"/>
            <w:noWrap/>
            <w:vAlign w:val="bottom"/>
            <w:hideMark/>
          </w:tcPr>
          <w:p w14:paraId="01813EE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51 449 500</w:t>
            </w:r>
          </w:p>
        </w:tc>
        <w:tc>
          <w:tcPr>
            <w:tcW w:w="993" w:type="dxa"/>
            <w:tcBorders>
              <w:top w:val="nil"/>
              <w:left w:val="single" w:sz="4" w:space="0" w:color="auto"/>
              <w:bottom w:val="nil"/>
              <w:right w:val="single" w:sz="8" w:space="0" w:color="auto"/>
            </w:tcBorders>
            <w:shd w:val="clear" w:color="000000" w:fill="FFFFFF"/>
            <w:noWrap/>
            <w:vAlign w:val="bottom"/>
            <w:hideMark/>
          </w:tcPr>
          <w:p w14:paraId="565711F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559EA3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41 159 600</w:t>
            </w:r>
          </w:p>
        </w:tc>
        <w:tc>
          <w:tcPr>
            <w:tcW w:w="851" w:type="dxa"/>
            <w:tcBorders>
              <w:top w:val="nil"/>
              <w:left w:val="single" w:sz="4" w:space="0" w:color="auto"/>
              <w:bottom w:val="nil"/>
              <w:right w:val="single" w:sz="8" w:space="0" w:color="auto"/>
            </w:tcBorders>
            <w:shd w:val="clear" w:color="000000" w:fill="FFFFFF"/>
            <w:noWrap/>
            <w:vAlign w:val="bottom"/>
            <w:hideMark/>
          </w:tcPr>
          <w:p w14:paraId="457BBE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73A23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164 638 400</w:t>
            </w:r>
          </w:p>
        </w:tc>
        <w:tc>
          <w:tcPr>
            <w:tcW w:w="1275" w:type="dxa"/>
            <w:tcBorders>
              <w:top w:val="nil"/>
              <w:left w:val="single" w:sz="4" w:space="0" w:color="auto"/>
              <w:bottom w:val="nil"/>
              <w:right w:val="single" w:sz="8" w:space="0" w:color="auto"/>
            </w:tcBorders>
            <w:shd w:val="clear" w:color="000000" w:fill="FFFFFF"/>
            <w:noWrap/>
            <w:vAlign w:val="bottom"/>
            <w:hideMark/>
          </w:tcPr>
          <w:p w14:paraId="4C6AF6F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1 852 182</w:t>
            </w:r>
          </w:p>
        </w:tc>
        <w:tc>
          <w:tcPr>
            <w:tcW w:w="1276" w:type="dxa"/>
            <w:tcBorders>
              <w:top w:val="nil"/>
              <w:left w:val="single" w:sz="4" w:space="0" w:color="auto"/>
              <w:bottom w:val="nil"/>
              <w:right w:val="single" w:sz="8" w:space="0" w:color="auto"/>
            </w:tcBorders>
            <w:shd w:val="clear" w:color="000000" w:fill="FFFFFF"/>
            <w:noWrap/>
            <w:vAlign w:val="bottom"/>
            <w:hideMark/>
          </w:tcPr>
          <w:p w14:paraId="3E91D95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166 490 582</w:t>
            </w:r>
          </w:p>
        </w:tc>
      </w:tr>
      <w:tr w:rsidR="00EF31B7" w:rsidRPr="00EF31B7" w14:paraId="6FDBD58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A083A3F"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ESTONIA</w:t>
            </w:r>
          </w:p>
        </w:tc>
        <w:tc>
          <w:tcPr>
            <w:tcW w:w="1080" w:type="dxa"/>
            <w:tcBorders>
              <w:top w:val="nil"/>
              <w:left w:val="nil"/>
              <w:bottom w:val="nil"/>
              <w:right w:val="nil"/>
            </w:tcBorders>
            <w:shd w:val="clear" w:color="000000" w:fill="C0C0C0"/>
            <w:noWrap/>
            <w:vAlign w:val="center"/>
            <w:hideMark/>
          </w:tcPr>
          <w:p w14:paraId="18AF408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04" w:type="dxa"/>
            <w:tcBorders>
              <w:top w:val="nil"/>
              <w:left w:val="single" w:sz="4" w:space="0" w:color="auto"/>
              <w:bottom w:val="nil"/>
              <w:right w:val="single" w:sz="8" w:space="0" w:color="auto"/>
            </w:tcBorders>
            <w:shd w:val="clear" w:color="000000" w:fill="FFFFFF"/>
            <w:noWrap/>
            <w:vAlign w:val="bottom"/>
            <w:hideMark/>
          </w:tcPr>
          <w:p w14:paraId="164C4D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302 225</w:t>
            </w:r>
          </w:p>
        </w:tc>
        <w:tc>
          <w:tcPr>
            <w:tcW w:w="993" w:type="dxa"/>
            <w:tcBorders>
              <w:top w:val="nil"/>
              <w:left w:val="single" w:sz="4" w:space="0" w:color="auto"/>
              <w:bottom w:val="nil"/>
              <w:right w:val="single" w:sz="8" w:space="0" w:color="auto"/>
            </w:tcBorders>
            <w:shd w:val="clear" w:color="000000" w:fill="FFFFFF"/>
            <w:noWrap/>
            <w:vAlign w:val="bottom"/>
            <w:hideMark/>
          </w:tcPr>
          <w:p w14:paraId="0854260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7 772</w:t>
            </w:r>
          </w:p>
        </w:tc>
        <w:tc>
          <w:tcPr>
            <w:tcW w:w="1275" w:type="dxa"/>
            <w:tcBorders>
              <w:top w:val="nil"/>
              <w:left w:val="single" w:sz="4" w:space="0" w:color="auto"/>
              <w:bottom w:val="nil"/>
              <w:right w:val="single" w:sz="8" w:space="0" w:color="auto"/>
            </w:tcBorders>
            <w:shd w:val="clear" w:color="000000" w:fill="FFFFFF"/>
            <w:noWrap/>
            <w:vAlign w:val="bottom"/>
            <w:hideMark/>
          </w:tcPr>
          <w:p w14:paraId="1F438E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215 875</w:t>
            </w:r>
          </w:p>
        </w:tc>
        <w:tc>
          <w:tcPr>
            <w:tcW w:w="993" w:type="dxa"/>
            <w:tcBorders>
              <w:top w:val="nil"/>
              <w:left w:val="single" w:sz="4" w:space="0" w:color="auto"/>
              <w:bottom w:val="nil"/>
              <w:right w:val="single" w:sz="8" w:space="0" w:color="auto"/>
            </w:tcBorders>
            <w:shd w:val="clear" w:color="000000" w:fill="FFFFFF"/>
            <w:noWrap/>
            <w:vAlign w:val="bottom"/>
            <w:hideMark/>
          </w:tcPr>
          <w:p w14:paraId="7DD185C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A07206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172 700</w:t>
            </w:r>
          </w:p>
        </w:tc>
        <w:tc>
          <w:tcPr>
            <w:tcW w:w="851" w:type="dxa"/>
            <w:tcBorders>
              <w:top w:val="nil"/>
              <w:left w:val="single" w:sz="4" w:space="0" w:color="auto"/>
              <w:bottom w:val="nil"/>
              <w:right w:val="single" w:sz="8" w:space="0" w:color="auto"/>
            </w:tcBorders>
            <w:shd w:val="clear" w:color="000000" w:fill="FFFFFF"/>
            <w:noWrap/>
            <w:vAlign w:val="bottom"/>
            <w:hideMark/>
          </w:tcPr>
          <w:p w14:paraId="2E71FC7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5EFF35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690 800</w:t>
            </w:r>
          </w:p>
        </w:tc>
        <w:tc>
          <w:tcPr>
            <w:tcW w:w="1275" w:type="dxa"/>
            <w:tcBorders>
              <w:top w:val="nil"/>
              <w:left w:val="single" w:sz="4" w:space="0" w:color="auto"/>
              <w:bottom w:val="nil"/>
              <w:right w:val="single" w:sz="8" w:space="0" w:color="auto"/>
            </w:tcBorders>
            <w:shd w:val="clear" w:color="000000" w:fill="FFFFFF"/>
            <w:noWrap/>
            <w:vAlign w:val="bottom"/>
            <w:hideMark/>
          </w:tcPr>
          <w:p w14:paraId="4156553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7 772</w:t>
            </w:r>
          </w:p>
        </w:tc>
        <w:tc>
          <w:tcPr>
            <w:tcW w:w="1276" w:type="dxa"/>
            <w:tcBorders>
              <w:top w:val="nil"/>
              <w:left w:val="single" w:sz="4" w:space="0" w:color="auto"/>
              <w:bottom w:val="nil"/>
              <w:right w:val="single" w:sz="8" w:space="0" w:color="auto"/>
            </w:tcBorders>
            <w:shd w:val="clear" w:color="000000" w:fill="FFFFFF"/>
            <w:noWrap/>
            <w:vAlign w:val="bottom"/>
            <w:hideMark/>
          </w:tcPr>
          <w:p w14:paraId="280F592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698 572</w:t>
            </w:r>
          </w:p>
        </w:tc>
      </w:tr>
      <w:tr w:rsidR="00EF31B7" w:rsidRPr="00EF31B7" w14:paraId="4C68D592"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F9C7EC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IRLANDA</w:t>
            </w:r>
          </w:p>
        </w:tc>
        <w:tc>
          <w:tcPr>
            <w:tcW w:w="1080" w:type="dxa"/>
            <w:tcBorders>
              <w:top w:val="nil"/>
              <w:left w:val="nil"/>
              <w:bottom w:val="nil"/>
              <w:right w:val="nil"/>
            </w:tcBorders>
            <w:shd w:val="clear" w:color="000000" w:fill="C0C0C0"/>
            <w:noWrap/>
            <w:vAlign w:val="center"/>
            <w:hideMark/>
          </w:tcPr>
          <w:p w14:paraId="11B787C2"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04" w:type="dxa"/>
            <w:tcBorders>
              <w:top w:val="nil"/>
              <w:left w:val="single" w:sz="4" w:space="0" w:color="auto"/>
              <w:bottom w:val="nil"/>
              <w:right w:val="single" w:sz="8" w:space="0" w:color="auto"/>
            </w:tcBorders>
            <w:shd w:val="clear" w:color="000000" w:fill="FFFFFF"/>
            <w:noWrap/>
            <w:vAlign w:val="bottom"/>
            <w:hideMark/>
          </w:tcPr>
          <w:p w14:paraId="48DFE8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3 290 210</w:t>
            </w:r>
          </w:p>
        </w:tc>
        <w:tc>
          <w:tcPr>
            <w:tcW w:w="993" w:type="dxa"/>
            <w:tcBorders>
              <w:top w:val="nil"/>
              <w:left w:val="single" w:sz="4" w:space="0" w:color="auto"/>
              <w:bottom w:val="nil"/>
              <w:right w:val="single" w:sz="8" w:space="0" w:color="auto"/>
            </w:tcBorders>
            <w:shd w:val="clear" w:color="000000" w:fill="FFFFFF"/>
            <w:noWrap/>
            <w:vAlign w:val="bottom"/>
            <w:hideMark/>
          </w:tcPr>
          <w:p w14:paraId="50E9699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84 605</w:t>
            </w:r>
          </w:p>
        </w:tc>
        <w:tc>
          <w:tcPr>
            <w:tcW w:w="1275" w:type="dxa"/>
            <w:tcBorders>
              <w:top w:val="nil"/>
              <w:left w:val="single" w:sz="4" w:space="0" w:color="auto"/>
              <w:bottom w:val="nil"/>
              <w:right w:val="single" w:sz="8" w:space="0" w:color="auto"/>
            </w:tcBorders>
            <w:shd w:val="clear" w:color="000000" w:fill="FFFFFF"/>
            <w:noWrap/>
            <w:vAlign w:val="bottom"/>
            <w:hideMark/>
          </w:tcPr>
          <w:p w14:paraId="25840C0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2 350 150</w:t>
            </w:r>
          </w:p>
        </w:tc>
        <w:tc>
          <w:tcPr>
            <w:tcW w:w="993" w:type="dxa"/>
            <w:tcBorders>
              <w:top w:val="nil"/>
              <w:left w:val="single" w:sz="4" w:space="0" w:color="auto"/>
              <w:bottom w:val="nil"/>
              <w:right w:val="single" w:sz="8" w:space="0" w:color="auto"/>
            </w:tcBorders>
            <w:shd w:val="clear" w:color="000000" w:fill="FFFFFF"/>
            <w:noWrap/>
            <w:vAlign w:val="bottom"/>
            <w:hideMark/>
          </w:tcPr>
          <w:p w14:paraId="55CDA03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C89132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1 880 120</w:t>
            </w:r>
          </w:p>
        </w:tc>
        <w:tc>
          <w:tcPr>
            <w:tcW w:w="851" w:type="dxa"/>
            <w:tcBorders>
              <w:top w:val="nil"/>
              <w:left w:val="single" w:sz="4" w:space="0" w:color="auto"/>
              <w:bottom w:val="nil"/>
              <w:right w:val="single" w:sz="8" w:space="0" w:color="auto"/>
            </w:tcBorders>
            <w:shd w:val="clear" w:color="000000" w:fill="FFFFFF"/>
            <w:noWrap/>
            <w:vAlign w:val="bottom"/>
            <w:hideMark/>
          </w:tcPr>
          <w:p w14:paraId="41AFEA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4C120B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7 520 480</w:t>
            </w:r>
          </w:p>
        </w:tc>
        <w:tc>
          <w:tcPr>
            <w:tcW w:w="1275" w:type="dxa"/>
            <w:tcBorders>
              <w:top w:val="nil"/>
              <w:left w:val="single" w:sz="4" w:space="0" w:color="auto"/>
              <w:bottom w:val="nil"/>
              <w:right w:val="single" w:sz="8" w:space="0" w:color="auto"/>
            </w:tcBorders>
            <w:shd w:val="clear" w:color="000000" w:fill="FFFFFF"/>
            <w:noWrap/>
            <w:vAlign w:val="bottom"/>
            <w:hideMark/>
          </w:tcPr>
          <w:p w14:paraId="5011643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84 605</w:t>
            </w:r>
          </w:p>
        </w:tc>
        <w:tc>
          <w:tcPr>
            <w:tcW w:w="1276" w:type="dxa"/>
            <w:tcBorders>
              <w:top w:val="nil"/>
              <w:left w:val="single" w:sz="4" w:space="0" w:color="auto"/>
              <w:bottom w:val="nil"/>
              <w:right w:val="single" w:sz="8" w:space="0" w:color="auto"/>
            </w:tcBorders>
            <w:shd w:val="clear" w:color="000000" w:fill="FFFFFF"/>
            <w:noWrap/>
            <w:vAlign w:val="bottom"/>
            <w:hideMark/>
          </w:tcPr>
          <w:p w14:paraId="463DD03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7 605 085</w:t>
            </w:r>
          </w:p>
        </w:tc>
      </w:tr>
      <w:tr w:rsidR="00EF31B7" w:rsidRPr="00EF31B7" w14:paraId="79DA093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CD61FD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GRECIA</w:t>
            </w:r>
          </w:p>
        </w:tc>
        <w:tc>
          <w:tcPr>
            <w:tcW w:w="1080" w:type="dxa"/>
            <w:tcBorders>
              <w:top w:val="nil"/>
              <w:left w:val="nil"/>
              <w:bottom w:val="nil"/>
              <w:right w:val="nil"/>
            </w:tcBorders>
            <w:shd w:val="clear" w:color="000000" w:fill="C0C0C0"/>
            <w:noWrap/>
            <w:vAlign w:val="center"/>
            <w:hideMark/>
          </w:tcPr>
          <w:p w14:paraId="6D90B18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04" w:type="dxa"/>
            <w:tcBorders>
              <w:top w:val="nil"/>
              <w:left w:val="single" w:sz="4" w:space="0" w:color="auto"/>
              <w:bottom w:val="nil"/>
              <w:right w:val="single" w:sz="8" w:space="0" w:color="auto"/>
            </w:tcBorders>
            <w:shd w:val="clear" w:color="000000" w:fill="FFFFFF"/>
            <w:noWrap/>
            <w:vAlign w:val="bottom"/>
            <w:hideMark/>
          </w:tcPr>
          <w:p w14:paraId="62F879D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5 275 725</w:t>
            </w:r>
          </w:p>
        </w:tc>
        <w:tc>
          <w:tcPr>
            <w:tcW w:w="993" w:type="dxa"/>
            <w:tcBorders>
              <w:top w:val="nil"/>
              <w:left w:val="single" w:sz="4" w:space="0" w:color="auto"/>
              <w:bottom w:val="nil"/>
              <w:right w:val="single" w:sz="8" w:space="0" w:color="auto"/>
            </w:tcBorders>
            <w:shd w:val="clear" w:color="000000" w:fill="FFFFFF"/>
            <w:noWrap/>
            <w:vAlign w:val="bottom"/>
            <w:hideMark/>
          </w:tcPr>
          <w:p w14:paraId="716609A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135 662</w:t>
            </w:r>
          </w:p>
        </w:tc>
        <w:tc>
          <w:tcPr>
            <w:tcW w:w="1275" w:type="dxa"/>
            <w:tcBorders>
              <w:top w:val="nil"/>
              <w:left w:val="single" w:sz="4" w:space="0" w:color="auto"/>
              <w:bottom w:val="nil"/>
              <w:right w:val="single" w:sz="8" w:space="0" w:color="auto"/>
            </w:tcBorders>
            <w:shd w:val="clear" w:color="000000" w:fill="FFFFFF"/>
            <w:noWrap/>
            <w:vAlign w:val="bottom"/>
            <w:hideMark/>
          </w:tcPr>
          <w:p w14:paraId="728E78B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3 768 375</w:t>
            </w:r>
          </w:p>
        </w:tc>
        <w:tc>
          <w:tcPr>
            <w:tcW w:w="993" w:type="dxa"/>
            <w:tcBorders>
              <w:top w:val="nil"/>
              <w:left w:val="single" w:sz="4" w:space="0" w:color="auto"/>
              <w:bottom w:val="nil"/>
              <w:right w:val="single" w:sz="8" w:space="0" w:color="auto"/>
            </w:tcBorders>
            <w:shd w:val="clear" w:color="000000" w:fill="FFFFFF"/>
            <w:noWrap/>
            <w:vAlign w:val="bottom"/>
            <w:hideMark/>
          </w:tcPr>
          <w:p w14:paraId="5EB9949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08640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3 014 700</w:t>
            </w:r>
          </w:p>
        </w:tc>
        <w:tc>
          <w:tcPr>
            <w:tcW w:w="851" w:type="dxa"/>
            <w:tcBorders>
              <w:top w:val="nil"/>
              <w:left w:val="single" w:sz="4" w:space="0" w:color="auto"/>
              <w:bottom w:val="nil"/>
              <w:right w:val="single" w:sz="8" w:space="0" w:color="auto"/>
            </w:tcBorders>
            <w:shd w:val="clear" w:color="000000" w:fill="FFFFFF"/>
            <w:noWrap/>
            <w:vAlign w:val="bottom"/>
            <w:hideMark/>
          </w:tcPr>
          <w:p w14:paraId="097080B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C06C59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12 058 800</w:t>
            </w:r>
          </w:p>
        </w:tc>
        <w:tc>
          <w:tcPr>
            <w:tcW w:w="1275" w:type="dxa"/>
            <w:tcBorders>
              <w:top w:val="nil"/>
              <w:left w:val="single" w:sz="4" w:space="0" w:color="auto"/>
              <w:bottom w:val="nil"/>
              <w:right w:val="single" w:sz="8" w:space="0" w:color="auto"/>
            </w:tcBorders>
            <w:shd w:val="clear" w:color="000000" w:fill="FFFFFF"/>
            <w:noWrap/>
            <w:vAlign w:val="bottom"/>
            <w:hideMark/>
          </w:tcPr>
          <w:p w14:paraId="6AD64AC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135 662</w:t>
            </w:r>
          </w:p>
        </w:tc>
        <w:tc>
          <w:tcPr>
            <w:tcW w:w="1276" w:type="dxa"/>
            <w:tcBorders>
              <w:top w:val="nil"/>
              <w:left w:val="single" w:sz="4" w:space="0" w:color="auto"/>
              <w:bottom w:val="nil"/>
              <w:right w:val="single" w:sz="8" w:space="0" w:color="auto"/>
            </w:tcBorders>
            <w:shd w:val="clear" w:color="000000" w:fill="FFFFFF"/>
            <w:noWrap/>
            <w:vAlign w:val="bottom"/>
            <w:hideMark/>
          </w:tcPr>
          <w:p w14:paraId="39FEAA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12 194 462</w:t>
            </w:r>
          </w:p>
        </w:tc>
      </w:tr>
      <w:tr w:rsidR="00EF31B7" w:rsidRPr="00EF31B7" w14:paraId="09CE573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CA1ABD3"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ESPAÑA</w:t>
            </w:r>
          </w:p>
        </w:tc>
        <w:tc>
          <w:tcPr>
            <w:tcW w:w="1080" w:type="dxa"/>
            <w:tcBorders>
              <w:top w:val="nil"/>
              <w:left w:val="nil"/>
              <w:bottom w:val="nil"/>
              <w:right w:val="nil"/>
            </w:tcBorders>
            <w:shd w:val="clear" w:color="000000" w:fill="C0C0C0"/>
            <w:noWrap/>
            <w:vAlign w:val="center"/>
            <w:hideMark/>
          </w:tcPr>
          <w:p w14:paraId="214993E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04" w:type="dxa"/>
            <w:tcBorders>
              <w:top w:val="nil"/>
              <w:left w:val="single" w:sz="4" w:space="0" w:color="auto"/>
              <w:bottom w:val="nil"/>
              <w:right w:val="single" w:sz="8" w:space="0" w:color="auto"/>
            </w:tcBorders>
            <w:shd w:val="clear" w:color="000000" w:fill="FFFFFF"/>
            <w:noWrap/>
            <w:vAlign w:val="bottom"/>
            <w:hideMark/>
          </w:tcPr>
          <w:p w14:paraId="1EBB94A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27 763 680</w:t>
            </w:r>
          </w:p>
        </w:tc>
        <w:tc>
          <w:tcPr>
            <w:tcW w:w="993" w:type="dxa"/>
            <w:tcBorders>
              <w:top w:val="nil"/>
              <w:left w:val="single" w:sz="4" w:space="0" w:color="auto"/>
              <w:bottom w:val="nil"/>
              <w:right w:val="single" w:sz="8" w:space="0" w:color="auto"/>
            </w:tcBorders>
            <w:shd w:val="clear" w:color="000000" w:fill="FFFFFF"/>
            <w:noWrap/>
            <w:vAlign w:val="bottom"/>
            <w:hideMark/>
          </w:tcPr>
          <w:p w14:paraId="1D42AA0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713 923</w:t>
            </w:r>
          </w:p>
        </w:tc>
        <w:tc>
          <w:tcPr>
            <w:tcW w:w="1275" w:type="dxa"/>
            <w:tcBorders>
              <w:top w:val="nil"/>
              <w:left w:val="single" w:sz="4" w:space="0" w:color="auto"/>
              <w:bottom w:val="nil"/>
              <w:right w:val="single" w:sz="8" w:space="0" w:color="auto"/>
            </w:tcBorders>
            <w:shd w:val="clear" w:color="000000" w:fill="FFFFFF"/>
            <w:noWrap/>
            <w:vAlign w:val="bottom"/>
            <w:hideMark/>
          </w:tcPr>
          <w:p w14:paraId="2182975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19 831 200</w:t>
            </w:r>
          </w:p>
        </w:tc>
        <w:tc>
          <w:tcPr>
            <w:tcW w:w="993" w:type="dxa"/>
            <w:tcBorders>
              <w:top w:val="nil"/>
              <w:left w:val="single" w:sz="4" w:space="0" w:color="auto"/>
              <w:bottom w:val="nil"/>
              <w:right w:val="single" w:sz="8" w:space="0" w:color="auto"/>
            </w:tcBorders>
            <w:shd w:val="clear" w:color="000000" w:fill="FFFFFF"/>
            <w:noWrap/>
            <w:vAlign w:val="bottom"/>
            <w:hideMark/>
          </w:tcPr>
          <w:p w14:paraId="29F44CD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C35312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15 864 960</w:t>
            </w:r>
          </w:p>
        </w:tc>
        <w:tc>
          <w:tcPr>
            <w:tcW w:w="851" w:type="dxa"/>
            <w:tcBorders>
              <w:top w:val="nil"/>
              <w:left w:val="single" w:sz="4" w:space="0" w:color="auto"/>
              <w:bottom w:val="nil"/>
              <w:right w:val="single" w:sz="8" w:space="0" w:color="auto"/>
            </w:tcBorders>
            <w:shd w:val="clear" w:color="000000" w:fill="FFFFFF"/>
            <w:noWrap/>
            <w:vAlign w:val="bottom"/>
            <w:hideMark/>
          </w:tcPr>
          <w:p w14:paraId="3FAB2C2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4C9106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63 459 840</w:t>
            </w:r>
          </w:p>
        </w:tc>
        <w:tc>
          <w:tcPr>
            <w:tcW w:w="1275" w:type="dxa"/>
            <w:tcBorders>
              <w:top w:val="nil"/>
              <w:left w:val="single" w:sz="4" w:space="0" w:color="auto"/>
              <w:bottom w:val="nil"/>
              <w:right w:val="single" w:sz="8" w:space="0" w:color="auto"/>
            </w:tcBorders>
            <w:shd w:val="clear" w:color="000000" w:fill="FFFFFF"/>
            <w:noWrap/>
            <w:vAlign w:val="bottom"/>
            <w:hideMark/>
          </w:tcPr>
          <w:p w14:paraId="5088445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713 923</w:t>
            </w:r>
          </w:p>
        </w:tc>
        <w:tc>
          <w:tcPr>
            <w:tcW w:w="1276" w:type="dxa"/>
            <w:tcBorders>
              <w:top w:val="nil"/>
              <w:left w:val="single" w:sz="4" w:space="0" w:color="auto"/>
              <w:bottom w:val="nil"/>
              <w:right w:val="single" w:sz="8" w:space="0" w:color="auto"/>
            </w:tcBorders>
            <w:shd w:val="clear" w:color="000000" w:fill="FFFFFF"/>
            <w:noWrap/>
            <w:vAlign w:val="bottom"/>
            <w:hideMark/>
          </w:tcPr>
          <w:p w14:paraId="16B3C66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64 173 763</w:t>
            </w:r>
          </w:p>
        </w:tc>
      </w:tr>
      <w:tr w:rsidR="00EF31B7" w:rsidRPr="00EF31B7" w14:paraId="2F26DFD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BF4F355"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FRANCIA</w:t>
            </w:r>
          </w:p>
        </w:tc>
        <w:tc>
          <w:tcPr>
            <w:tcW w:w="1080" w:type="dxa"/>
            <w:tcBorders>
              <w:top w:val="nil"/>
              <w:left w:val="nil"/>
              <w:bottom w:val="nil"/>
              <w:right w:val="nil"/>
            </w:tcBorders>
            <w:shd w:val="clear" w:color="000000" w:fill="C0C0C0"/>
            <w:noWrap/>
            <w:vAlign w:val="center"/>
            <w:hideMark/>
          </w:tcPr>
          <w:p w14:paraId="0F27E49D"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04" w:type="dxa"/>
            <w:tcBorders>
              <w:top w:val="nil"/>
              <w:left w:val="single" w:sz="4" w:space="0" w:color="auto"/>
              <w:bottom w:val="nil"/>
              <w:right w:val="single" w:sz="8" w:space="0" w:color="auto"/>
            </w:tcBorders>
            <w:shd w:val="clear" w:color="000000" w:fill="FFFFFF"/>
            <w:noWrap/>
            <w:vAlign w:val="bottom"/>
            <w:hideMark/>
          </w:tcPr>
          <w:p w14:paraId="087A219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62 344 415</w:t>
            </w:r>
          </w:p>
        </w:tc>
        <w:tc>
          <w:tcPr>
            <w:tcW w:w="993" w:type="dxa"/>
            <w:tcBorders>
              <w:top w:val="nil"/>
              <w:left w:val="single" w:sz="4" w:space="0" w:color="auto"/>
              <w:bottom w:val="nil"/>
              <w:right w:val="single" w:sz="8" w:space="0" w:color="auto"/>
            </w:tcBorders>
            <w:shd w:val="clear" w:color="000000" w:fill="FFFFFF"/>
            <w:noWrap/>
            <w:vAlign w:val="bottom"/>
            <w:hideMark/>
          </w:tcPr>
          <w:p w14:paraId="506888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1 603 142</w:t>
            </w:r>
          </w:p>
        </w:tc>
        <w:tc>
          <w:tcPr>
            <w:tcW w:w="1275" w:type="dxa"/>
            <w:tcBorders>
              <w:top w:val="nil"/>
              <w:left w:val="single" w:sz="4" w:space="0" w:color="auto"/>
              <w:bottom w:val="nil"/>
              <w:right w:val="single" w:sz="8" w:space="0" w:color="auto"/>
            </w:tcBorders>
            <w:shd w:val="clear" w:color="000000" w:fill="FFFFFF"/>
            <w:noWrap/>
            <w:vAlign w:val="bottom"/>
            <w:hideMark/>
          </w:tcPr>
          <w:p w14:paraId="554122D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44 531 725</w:t>
            </w:r>
          </w:p>
        </w:tc>
        <w:tc>
          <w:tcPr>
            <w:tcW w:w="993" w:type="dxa"/>
            <w:tcBorders>
              <w:top w:val="nil"/>
              <w:left w:val="single" w:sz="4" w:space="0" w:color="auto"/>
              <w:bottom w:val="nil"/>
              <w:right w:val="single" w:sz="8" w:space="0" w:color="auto"/>
            </w:tcBorders>
            <w:shd w:val="clear" w:color="000000" w:fill="FFFFFF"/>
            <w:noWrap/>
            <w:vAlign w:val="bottom"/>
            <w:hideMark/>
          </w:tcPr>
          <w:p w14:paraId="3EE2BFD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BE763B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35 625 380</w:t>
            </w:r>
          </w:p>
        </w:tc>
        <w:tc>
          <w:tcPr>
            <w:tcW w:w="851" w:type="dxa"/>
            <w:tcBorders>
              <w:top w:val="nil"/>
              <w:left w:val="single" w:sz="4" w:space="0" w:color="auto"/>
              <w:bottom w:val="nil"/>
              <w:right w:val="single" w:sz="8" w:space="0" w:color="auto"/>
            </w:tcBorders>
            <w:shd w:val="clear" w:color="000000" w:fill="FFFFFF"/>
            <w:noWrap/>
            <w:vAlign w:val="bottom"/>
            <w:hideMark/>
          </w:tcPr>
          <w:p w14:paraId="16EA3D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33434A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142 501 520</w:t>
            </w:r>
          </w:p>
        </w:tc>
        <w:tc>
          <w:tcPr>
            <w:tcW w:w="1275" w:type="dxa"/>
            <w:tcBorders>
              <w:top w:val="nil"/>
              <w:left w:val="single" w:sz="4" w:space="0" w:color="auto"/>
              <w:bottom w:val="nil"/>
              <w:right w:val="single" w:sz="8" w:space="0" w:color="auto"/>
            </w:tcBorders>
            <w:shd w:val="clear" w:color="000000" w:fill="FFFFFF"/>
            <w:noWrap/>
            <w:vAlign w:val="bottom"/>
            <w:hideMark/>
          </w:tcPr>
          <w:p w14:paraId="378B0A8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1 603 142</w:t>
            </w:r>
          </w:p>
        </w:tc>
        <w:tc>
          <w:tcPr>
            <w:tcW w:w="1276" w:type="dxa"/>
            <w:tcBorders>
              <w:top w:val="nil"/>
              <w:left w:val="single" w:sz="4" w:space="0" w:color="auto"/>
              <w:bottom w:val="nil"/>
              <w:right w:val="single" w:sz="8" w:space="0" w:color="auto"/>
            </w:tcBorders>
            <w:shd w:val="clear" w:color="000000" w:fill="FFFFFF"/>
            <w:noWrap/>
            <w:vAlign w:val="bottom"/>
            <w:hideMark/>
          </w:tcPr>
          <w:p w14:paraId="6C20534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144 104 662</w:t>
            </w:r>
          </w:p>
        </w:tc>
      </w:tr>
      <w:tr w:rsidR="00EF31B7" w:rsidRPr="00EF31B7" w14:paraId="7ACDE01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1674036"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CROACIA</w:t>
            </w:r>
          </w:p>
        </w:tc>
        <w:tc>
          <w:tcPr>
            <w:tcW w:w="1080" w:type="dxa"/>
            <w:tcBorders>
              <w:top w:val="nil"/>
              <w:left w:val="nil"/>
              <w:bottom w:val="nil"/>
              <w:right w:val="nil"/>
            </w:tcBorders>
            <w:shd w:val="clear" w:color="000000" w:fill="C0C0C0"/>
            <w:noWrap/>
            <w:vAlign w:val="center"/>
            <w:hideMark/>
          </w:tcPr>
          <w:p w14:paraId="7117150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04" w:type="dxa"/>
            <w:tcBorders>
              <w:top w:val="nil"/>
              <w:left w:val="single" w:sz="4" w:space="0" w:color="auto"/>
              <w:bottom w:val="nil"/>
              <w:right w:val="single" w:sz="8" w:space="0" w:color="auto"/>
            </w:tcBorders>
            <w:shd w:val="clear" w:color="000000" w:fill="FFFFFF"/>
            <w:noWrap/>
            <w:vAlign w:val="bottom"/>
            <w:hideMark/>
          </w:tcPr>
          <w:p w14:paraId="1D8FB83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788 130</w:t>
            </w:r>
          </w:p>
        </w:tc>
        <w:tc>
          <w:tcPr>
            <w:tcW w:w="993" w:type="dxa"/>
            <w:tcBorders>
              <w:top w:val="nil"/>
              <w:left w:val="single" w:sz="4" w:space="0" w:color="auto"/>
              <w:bottom w:val="nil"/>
              <w:right w:val="single" w:sz="8" w:space="0" w:color="auto"/>
            </w:tcBorders>
            <w:shd w:val="clear" w:color="000000" w:fill="FFFFFF"/>
            <w:noWrap/>
            <w:vAlign w:val="bottom"/>
            <w:hideMark/>
          </w:tcPr>
          <w:p w14:paraId="2D9A09C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20 266</w:t>
            </w:r>
          </w:p>
        </w:tc>
        <w:tc>
          <w:tcPr>
            <w:tcW w:w="1275" w:type="dxa"/>
            <w:tcBorders>
              <w:top w:val="nil"/>
              <w:left w:val="single" w:sz="4" w:space="0" w:color="auto"/>
              <w:bottom w:val="nil"/>
              <w:right w:val="single" w:sz="8" w:space="0" w:color="auto"/>
            </w:tcBorders>
            <w:shd w:val="clear" w:color="000000" w:fill="FFFFFF"/>
            <w:noWrap/>
            <w:vAlign w:val="bottom"/>
            <w:hideMark/>
          </w:tcPr>
          <w:p w14:paraId="097669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562 950</w:t>
            </w:r>
          </w:p>
        </w:tc>
        <w:tc>
          <w:tcPr>
            <w:tcW w:w="993" w:type="dxa"/>
            <w:tcBorders>
              <w:top w:val="nil"/>
              <w:left w:val="single" w:sz="4" w:space="0" w:color="auto"/>
              <w:bottom w:val="nil"/>
              <w:right w:val="single" w:sz="8" w:space="0" w:color="auto"/>
            </w:tcBorders>
            <w:shd w:val="clear" w:color="000000" w:fill="FFFFFF"/>
            <w:noWrap/>
            <w:vAlign w:val="bottom"/>
            <w:hideMark/>
          </w:tcPr>
          <w:p w14:paraId="1ECD066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A7C2C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450 360</w:t>
            </w:r>
          </w:p>
        </w:tc>
        <w:tc>
          <w:tcPr>
            <w:tcW w:w="851" w:type="dxa"/>
            <w:tcBorders>
              <w:top w:val="nil"/>
              <w:left w:val="single" w:sz="4" w:space="0" w:color="auto"/>
              <w:bottom w:val="nil"/>
              <w:right w:val="single" w:sz="8" w:space="0" w:color="auto"/>
            </w:tcBorders>
            <w:shd w:val="clear" w:color="000000" w:fill="FFFFFF"/>
            <w:noWrap/>
            <w:vAlign w:val="bottom"/>
            <w:hideMark/>
          </w:tcPr>
          <w:p w14:paraId="48B8D85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4FD7A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1 801 440</w:t>
            </w:r>
          </w:p>
        </w:tc>
        <w:tc>
          <w:tcPr>
            <w:tcW w:w="1275" w:type="dxa"/>
            <w:tcBorders>
              <w:top w:val="nil"/>
              <w:left w:val="single" w:sz="4" w:space="0" w:color="auto"/>
              <w:bottom w:val="nil"/>
              <w:right w:val="single" w:sz="8" w:space="0" w:color="auto"/>
            </w:tcBorders>
            <w:shd w:val="clear" w:color="000000" w:fill="FFFFFF"/>
            <w:noWrap/>
            <w:vAlign w:val="bottom"/>
            <w:hideMark/>
          </w:tcPr>
          <w:p w14:paraId="7010B99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20 266</w:t>
            </w:r>
          </w:p>
        </w:tc>
        <w:tc>
          <w:tcPr>
            <w:tcW w:w="1276" w:type="dxa"/>
            <w:tcBorders>
              <w:top w:val="nil"/>
              <w:left w:val="single" w:sz="4" w:space="0" w:color="auto"/>
              <w:bottom w:val="nil"/>
              <w:right w:val="single" w:sz="8" w:space="0" w:color="auto"/>
            </w:tcBorders>
            <w:shd w:val="clear" w:color="000000" w:fill="FFFFFF"/>
            <w:noWrap/>
            <w:vAlign w:val="bottom"/>
            <w:hideMark/>
          </w:tcPr>
          <w:p w14:paraId="4CABEDC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1 821 706</w:t>
            </w:r>
          </w:p>
        </w:tc>
      </w:tr>
      <w:tr w:rsidR="00EF31B7" w:rsidRPr="00EF31B7" w14:paraId="2B8BFBD3"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71B4C77"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ITALIA</w:t>
            </w:r>
          </w:p>
        </w:tc>
        <w:tc>
          <w:tcPr>
            <w:tcW w:w="1080" w:type="dxa"/>
            <w:tcBorders>
              <w:top w:val="nil"/>
              <w:left w:val="nil"/>
              <w:bottom w:val="nil"/>
              <w:right w:val="nil"/>
            </w:tcBorders>
            <w:shd w:val="clear" w:color="000000" w:fill="C0C0C0"/>
            <w:noWrap/>
            <w:vAlign w:val="center"/>
            <w:hideMark/>
          </w:tcPr>
          <w:p w14:paraId="7D51575B"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04" w:type="dxa"/>
            <w:tcBorders>
              <w:top w:val="nil"/>
              <w:left w:val="single" w:sz="4" w:space="0" w:color="auto"/>
              <w:bottom w:val="nil"/>
              <w:right w:val="single" w:sz="8" w:space="0" w:color="auto"/>
            </w:tcBorders>
            <w:shd w:val="clear" w:color="000000" w:fill="FFFFFF"/>
            <w:noWrap/>
            <w:vAlign w:val="bottom"/>
            <w:hideMark/>
          </w:tcPr>
          <w:p w14:paraId="34912E0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43 855 315</w:t>
            </w:r>
          </w:p>
        </w:tc>
        <w:tc>
          <w:tcPr>
            <w:tcW w:w="993" w:type="dxa"/>
            <w:tcBorders>
              <w:top w:val="nil"/>
              <w:left w:val="single" w:sz="4" w:space="0" w:color="auto"/>
              <w:bottom w:val="nil"/>
              <w:right w:val="single" w:sz="8" w:space="0" w:color="auto"/>
            </w:tcBorders>
            <w:shd w:val="clear" w:color="000000" w:fill="FFFFFF"/>
            <w:noWrap/>
            <w:vAlign w:val="bottom"/>
            <w:hideMark/>
          </w:tcPr>
          <w:p w14:paraId="409E9E3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1 127 708</w:t>
            </w:r>
          </w:p>
        </w:tc>
        <w:tc>
          <w:tcPr>
            <w:tcW w:w="1275" w:type="dxa"/>
            <w:tcBorders>
              <w:top w:val="nil"/>
              <w:left w:val="single" w:sz="4" w:space="0" w:color="auto"/>
              <w:bottom w:val="nil"/>
              <w:right w:val="single" w:sz="8" w:space="0" w:color="auto"/>
            </w:tcBorders>
            <w:shd w:val="clear" w:color="000000" w:fill="FFFFFF"/>
            <w:noWrap/>
            <w:vAlign w:val="bottom"/>
            <w:hideMark/>
          </w:tcPr>
          <w:p w14:paraId="2028E3F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31 325 225</w:t>
            </w:r>
          </w:p>
        </w:tc>
        <w:tc>
          <w:tcPr>
            <w:tcW w:w="993" w:type="dxa"/>
            <w:tcBorders>
              <w:top w:val="nil"/>
              <w:left w:val="single" w:sz="4" w:space="0" w:color="auto"/>
              <w:bottom w:val="nil"/>
              <w:right w:val="single" w:sz="8" w:space="0" w:color="auto"/>
            </w:tcBorders>
            <w:shd w:val="clear" w:color="000000" w:fill="FFFFFF"/>
            <w:noWrap/>
            <w:vAlign w:val="bottom"/>
            <w:hideMark/>
          </w:tcPr>
          <w:p w14:paraId="5BBDA2B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51729B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25 060 180</w:t>
            </w:r>
          </w:p>
        </w:tc>
        <w:tc>
          <w:tcPr>
            <w:tcW w:w="851" w:type="dxa"/>
            <w:tcBorders>
              <w:top w:val="nil"/>
              <w:left w:val="single" w:sz="4" w:space="0" w:color="auto"/>
              <w:bottom w:val="nil"/>
              <w:right w:val="single" w:sz="8" w:space="0" w:color="auto"/>
            </w:tcBorders>
            <w:shd w:val="clear" w:color="000000" w:fill="FFFFFF"/>
            <w:noWrap/>
            <w:vAlign w:val="bottom"/>
            <w:hideMark/>
          </w:tcPr>
          <w:p w14:paraId="34A8C5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99D311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100 240 720</w:t>
            </w:r>
          </w:p>
        </w:tc>
        <w:tc>
          <w:tcPr>
            <w:tcW w:w="1275" w:type="dxa"/>
            <w:tcBorders>
              <w:top w:val="nil"/>
              <w:left w:val="single" w:sz="4" w:space="0" w:color="auto"/>
              <w:bottom w:val="nil"/>
              <w:right w:val="single" w:sz="8" w:space="0" w:color="auto"/>
            </w:tcBorders>
            <w:shd w:val="clear" w:color="000000" w:fill="FFFFFF"/>
            <w:noWrap/>
            <w:vAlign w:val="bottom"/>
            <w:hideMark/>
          </w:tcPr>
          <w:p w14:paraId="2E70E1E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1 127 708</w:t>
            </w:r>
          </w:p>
        </w:tc>
        <w:tc>
          <w:tcPr>
            <w:tcW w:w="1276" w:type="dxa"/>
            <w:tcBorders>
              <w:top w:val="nil"/>
              <w:left w:val="single" w:sz="4" w:space="0" w:color="auto"/>
              <w:bottom w:val="nil"/>
              <w:right w:val="single" w:sz="8" w:space="0" w:color="auto"/>
            </w:tcBorders>
            <w:shd w:val="clear" w:color="000000" w:fill="FFFFFF"/>
            <w:noWrap/>
            <w:vAlign w:val="bottom"/>
            <w:hideMark/>
          </w:tcPr>
          <w:p w14:paraId="3B9704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101 368 428</w:t>
            </w:r>
          </w:p>
        </w:tc>
      </w:tr>
      <w:tr w:rsidR="00EF31B7" w:rsidRPr="00EF31B7" w14:paraId="40352E8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44893F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CHIPRE</w:t>
            </w:r>
          </w:p>
        </w:tc>
        <w:tc>
          <w:tcPr>
            <w:tcW w:w="1080" w:type="dxa"/>
            <w:tcBorders>
              <w:top w:val="nil"/>
              <w:left w:val="nil"/>
              <w:bottom w:val="nil"/>
              <w:right w:val="nil"/>
            </w:tcBorders>
            <w:shd w:val="clear" w:color="000000" w:fill="C0C0C0"/>
            <w:noWrap/>
            <w:vAlign w:val="center"/>
            <w:hideMark/>
          </w:tcPr>
          <w:p w14:paraId="5F602033"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04" w:type="dxa"/>
            <w:tcBorders>
              <w:top w:val="nil"/>
              <w:left w:val="single" w:sz="4" w:space="0" w:color="auto"/>
              <w:bottom w:val="nil"/>
              <w:right w:val="single" w:sz="8" w:space="0" w:color="auto"/>
            </w:tcBorders>
            <w:shd w:val="clear" w:color="000000" w:fill="FFFFFF"/>
            <w:noWrap/>
            <w:vAlign w:val="bottom"/>
            <w:hideMark/>
          </w:tcPr>
          <w:p w14:paraId="05C01F5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390 670</w:t>
            </w:r>
          </w:p>
        </w:tc>
        <w:tc>
          <w:tcPr>
            <w:tcW w:w="993" w:type="dxa"/>
            <w:tcBorders>
              <w:top w:val="nil"/>
              <w:left w:val="single" w:sz="4" w:space="0" w:color="auto"/>
              <w:bottom w:val="nil"/>
              <w:right w:val="single" w:sz="8" w:space="0" w:color="auto"/>
            </w:tcBorders>
            <w:shd w:val="clear" w:color="000000" w:fill="FFFFFF"/>
            <w:noWrap/>
            <w:vAlign w:val="bottom"/>
            <w:hideMark/>
          </w:tcPr>
          <w:p w14:paraId="367F2C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10 046</w:t>
            </w:r>
          </w:p>
        </w:tc>
        <w:tc>
          <w:tcPr>
            <w:tcW w:w="1275" w:type="dxa"/>
            <w:tcBorders>
              <w:top w:val="nil"/>
              <w:left w:val="single" w:sz="4" w:space="0" w:color="auto"/>
              <w:bottom w:val="nil"/>
              <w:right w:val="single" w:sz="8" w:space="0" w:color="auto"/>
            </w:tcBorders>
            <w:shd w:val="clear" w:color="000000" w:fill="FFFFFF"/>
            <w:noWrap/>
            <w:vAlign w:val="bottom"/>
            <w:hideMark/>
          </w:tcPr>
          <w:p w14:paraId="47CD2B4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279 050</w:t>
            </w:r>
          </w:p>
        </w:tc>
        <w:tc>
          <w:tcPr>
            <w:tcW w:w="993" w:type="dxa"/>
            <w:tcBorders>
              <w:top w:val="nil"/>
              <w:left w:val="single" w:sz="4" w:space="0" w:color="auto"/>
              <w:bottom w:val="nil"/>
              <w:right w:val="single" w:sz="8" w:space="0" w:color="auto"/>
            </w:tcBorders>
            <w:shd w:val="clear" w:color="000000" w:fill="FFFFFF"/>
            <w:noWrap/>
            <w:vAlign w:val="bottom"/>
            <w:hideMark/>
          </w:tcPr>
          <w:p w14:paraId="250156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F4FDB3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223 240</w:t>
            </w:r>
          </w:p>
        </w:tc>
        <w:tc>
          <w:tcPr>
            <w:tcW w:w="851" w:type="dxa"/>
            <w:tcBorders>
              <w:top w:val="nil"/>
              <w:left w:val="single" w:sz="4" w:space="0" w:color="auto"/>
              <w:bottom w:val="nil"/>
              <w:right w:val="single" w:sz="8" w:space="0" w:color="auto"/>
            </w:tcBorders>
            <w:shd w:val="clear" w:color="000000" w:fill="FFFFFF"/>
            <w:noWrap/>
            <w:vAlign w:val="bottom"/>
            <w:hideMark/>
          </w:tcPr>
          <w:p w14:paraId="759A7F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326216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892 960</w:t>
            </w:r>
          </w:p>
        </w:tc>
        <w:tc>
          <w:tcPr>
            <w:tcW w:w="1275" w:type="dxa"/>
            <w:tcBorders>
              <w:top w:val="nil"/>
              <w:left w:val="single" w:sz="4" w:space="0" w:color="auto"/>
              <w:bottom w:val="nil"/>
              <w:right w:val="single" w:sz="8" w:space="0" w:color="auto"/>
            </w:tcBorders>
            <w:shd w:val="clear" w:color="000000" w:fill="FFFFFF"/>
            <w:noWrap/>
            <w:vAlign w:val="bottom"/>
            <w:hideMark/>
          </w:tcPr>
          <w:p w14:paraId="28DD754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10 046</w:t>
            </w:r>
          </w:p>
        </w:tc>
        <w:tc>
          <w:tcPr>
            <w:tcW w:w="1276" w:type="dxa"/>
            <w:tcBorders>
              <w:top w:val="nil"/>
              <w:left w:val="single" w:sz="4" w:space="0" w:color="auto"/>
              <w:bottom w:val="nil"/>
              <w:right w:val="single" w:sz="8" w:space="0" w:color="auto"/>
            </w:tcBorders>
            <w:shd w:val="clear" w:color="000000" w:fill="FFFFFF"/>
            <w:noWrap/>
            <w:vAlign w:val="bottom"/>
            <w:hideMark/>
          </w:tcPr>
          <w:p w14:paraId="52E898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903 006</w:t>
            </w:r>
          </w:p>
        </w:tc>
      </w:tr>
      <w:tr w:rsidR="00EF31B7" w:rsidRPr="00EF31B7" w14:paraId="207420AD"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3471EE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LETONIA</w:t>
            </w:r>
          </w:p>
        </w:tc>
        <w:tc>
          <w:tcPr>
            <w:tcW w:w="1080" w:type="dxa"/>
            <w:tcBorders>
              <w:top w:val="nil"/>
              <w:left w:val="nil"/>
              <w:bottom w:val="nil"/>
              <w:right w:val="nil"/>
            </w:tcBorders>
            <w:shd w:val="clear" w:color="000000" w:fill="C0C0C0"/>
            <w:noWrap/>
            <w:vAlign w:val="center"/>
            <w:hideMark/>
          </w:tcPr>
          <w:p w14:paraId="6A7860C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04" w:type="dxa"/>
            <w:tcBorders>
              <w:top w:val="nil"/>
              <w:left w:val="single" w:sz="4" w:space="0" w:color="auto"/>
              <w:bottom w:val="nil"/>
              <w:right w:val="single" w:sz="8" w:space="0" w:color="auto"/>
            </w:tcBorders>
            <w:shd w:val="clear" w:color="000000" w:fill="FFFFFF"/>
            <w:noWrap/>
            <w:vAlign w:val="bottom"/>
            <w:hideMark/>
          </w:tcPr>
          <w:p w14:paraId="272661C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406 420</w:t>
            </w:r>
          </w:p>
        </w:tc>
        <w:tc>
          <w:tcPr>
            <w:tcW w:w="993" w:type="dxa"/>
            <w:tcBorders>
              <w:top w:val="nil"/>
              <w:left w:val="single" w:sz="4" w:space="0" w:color="auto"/>
              <w:bottom w:val="nil"/>
              <w:right w:val="single" w:sz="8" w:space="0" w:color="auto"/>
            </w:tcBorders>
            <w:shd w:val="clear" w:color="000000" w:fill="FFFFFF"/>
            <w:noWrap/>
            <w:vAlign w:val="bottom"/>
            <w:hideMark/>
          </w:tcPr>
          <w:p w14:paraId="0680F55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10 451</w:t>
            </w:r>
          </w:p>
        </w:tc>
        <w:tc>
          <w:tcPr>
            <w:tcW w:w="1275" w:type="dxa"/>
            <w:tcBorders>
              <w:top w:val="nil"/>
              <w:left w:val="single" w:sz="4" w:space="0" w:color="auto"/>
              <w:bottom w:val="nil"/>
              <w:right w:val="single" w:sz="8" w:space="0" w:color="auto"/>
            </w:tcBorders>
            <w:shd w:val="clear" w:color="000000" w:fill="FFFFFF"/>
            <w:noWrap/>
            <w:vAlign w:val="bottom"/>
            <w:hideMark/>
          </w:tcPr>
          <w:p w14:paraId="1C4FF3D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290 300</w:t>
            </w:r>
          </w:p>
        </w:tc>
        <w:tc>
          <w:tcPr>
            <w:tcW w:w="993" w:type="dxa"/>
            <w:tcBorders>
              <w:top w:val="nil"/>
              <w:left w:val="single" w:sz="4" w:space="0" w:color="auto"/>
              <w:bottom w:val="nil"/>
              <w:right w:val="single" w:sz="8" w:space="0" w:color="auto"/>
            </w:tcBorders>
            <w:shd w:val="clear" w:color="000000" w:fill="FFFFFF"/>
            <w:noWrap/>
            <w:vAlign w:val="bottom"/>
            <w:hideMark/>
          </w:tcPr>
          <w:p w14:paraId="424ABA5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DBE57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232 240</w:t>
            </w:r>
          </w:p>
        </w:tc>
        <w:tc>
          <w:tcPr>
            <w:tcW w:w="851" w:type="dxa"/>
            <w:tcBorders>
              <w:top w:val="nil"/>
              <w:left w:val="single" w:sz="4" w:space="0" w:color="auto"/>
              <w:bottom w:val="nil"/>
              <w:right w:val="single" w:sz="8" w:space="0" w:color="auto"/>
            </w:tcBorders>
            <w:shd w:val="clear" w:color="000000" w:fill="FFFFFF"/>
            <w:noWrap/>
            <w:vAlign w:val="bottom"/>
            <w:hideMark/>
          </w:tcPr>
          <w:p w14:paraId="59FEC6B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E1B4FE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928 960</w:t>
            </w:r>
          </w:p>
        </w:tc>
        <w:tc>
          <w:tcPr>
            <w:tcW w:w="1275" w:type="dxa"/>
            <w:tcBorders>
              <w:top w:val="nil"/>
              <w:left w:val="single" w:sz="4" w:space="0" w:color="auto"/>
              <w:bottom w:val="nil"/>
              <w:right w:val="single" w:sz="8" w:space="0" w:color="auto"/>
            </w:tcBorders>
            <w:shd w:val="clear" w:color="000000" w:fill="FFFFFF"/>
            <w:noWrap/>
            <w:vAlign w:val="bottom"/>
            <w:hideMark/>
          </w:tcPr>
          <w:p w14:paraId="18D5F5F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10 451</w:t>
            </w:r>
          </w:p>
        </w:tc>
        <w:tc>
          <w:tcPr>
            <w:tcW w:w="1276" w:type="dxa"/>
            <w:tcBorders>
              <w:top w:val="nil"/>
              <w:left w:val="single" w:sz="4" w:space="0" w:color="auto"/>
              <w:bottom w:val="nil"/>
              <w:right w:val="single" w:sz="8" w:space="0" w:color="auto"/>
            </w:tcBorders>
            <w:shd w:val="clear" w:color="000000" w:fill="FFFFFF"/>
            <w:noWrap/>
            <w:vAlign w:val="bottom"/>
            <w:hideMark/>
          </w:tcPr>
          <w:p w14:paraId="6349C7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939 411</w:t>
            </w:r>
          </w:p>
        </w:tc>
      </w:tr>
      <w:tr w:rsidR="00EF31B7" w:rsidRPr="00EF31B7" w14:paraId="37A6E2D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216474B"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LITUANIA</w:t>
            </w:r>
          </w:p>
        </w:tc>
        <w:tc>
          <w:tcPr>
            <w:tcW w:w="1080" w:type="dxa"/>
            <w:tcBorders>
              <w:top w:val="nil"/>
              <w:left w:val="nil"/>
              <w:bottom w:val="nil"/>
              <w:right w:val="nil"/>
            </w:tcBorders>
            <w:shd w:val="clear" w:color="000000" w:fill="C0C0C0"/>
            <w:noWrap/>
            <w:vAlign w:val="center"/>
            <w:hideMark/>
          </w:tcPr>
          <w:p w14:paraId="4BB9D5CC"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04" w:type="dxa"/>
            <w:tcBorders>
              <w:top w:val="nil"/>
              <w:left w:val="single" w:sz="4" w:space="0" w:color="auto"/>
              <w:bottom w:val="nil"/>
              <w:right w:val="single" w:sz="8" w:space="0" w:color="auto"/>
            </w:tcBorders>
            <w:shd w:val="clear" w:color="000000" w:fill="FFFFFF"/>
            <w:noWrap/>
            <w:vAlign w:val="bottom"/>
            <w:hideMark/>
          </w:tcPr>
          <w:p w14:paraId="334BCCE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632 695</w:t>
            </w:r>
          </w:p>
        </w:tc>
        <w:tc>
          <w:tcPr>
            <w:tcW w:w="993" w:type="dxa"/>
            <w:tcBorders>
              <w:top w:val="nil"/>
              <w:left w:val="single" w:sz="4" w:space="0" w:color="auto"/>
              <w:bottom w:val="nil"/>
              <w:right w:val="single" w:sz="8" w:space="0" w:color="auto"/>
            </w:tcBorders>
            <w:shd w:val="clear" w:color="000000" w:fill="FFFFFF"/>
            <w:noWrap/>
            <w:vAlign w:val="bottom"/>
            <w:hideMark/>
          </w:tcPr>
          <w:p w14:paraId="7DFF781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16 269</w:t>
            </w:r>
          </w:p>
        </w:tc>
        <w:tc>
          <w:tcPr>
            <w:tcW w:w="1275" w:type="dxa"/>
            <w:tcBorders>
              <w:top w:val="nil"/>
              <w:left w:val="single" w:sz="4" w:space="0" w:color="auto"/>
              <w:bottom w:val="nil"/>
              <w:right w:val="single" w:sz="8" w:space="0" w:color="auto"/>
            </w:tcBorders>
            <w:shd w:val="clear" w:color="000000" w:fill="FFFFFF"/>
            <w:noWrap/>
            <w:vAlign w:val="bottom"/>
            <w:hideMark/>
          </w:tcPr>
          <w:p w14:paraId="4CAE74C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451 925</w:t>
            </w:r>
          </w:p>
        </w:tc>
        <w:tc>
          <w:tcPr>
            <w:tcW w:w="993" w:type="dxa"/>
            <w:tcBorders>
              <w:top w:val="nil"/>
              <w:left w:val="single" w:sz="4" w:space="0" w:color="auto"/>
              <w:bottom w:val="nil"/>
              <w:right w:val="single" w:sz="8" w:space="0" w:color="auto"/>
            </w:tcBorders>
            <w:shd w:val="clear" w:color="000000" w:fill="FFFFFF"/>
            <w:noWrap/>
            <w:vAlign w:val="bottom"/>
            <w:hideMark/>
          </w:tcPr>
          <w:p w14:paraId="5BC2C42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9EB8E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361 540</w:t>
            </w:r>
          </w:p>
        </w:tc>
        <w:tc>
          <w:tcPr>
            <w:tcW w:w="851" w:type="dxa"/>
            <w:tcBorders>
              <w:top w:val="nil"/>
              <w:left w:val="single" w:sz="4" w:space="0" w:color="auto"/>
              <w:bottom w:val="nil"/>
              <w:right w:val="single" w:sz="8" w:space="0" w:color="auto"/>
            </w:tcBorders>
            <w:shd w:val="clear" w:color="000000" w:fill="FFFFFF"/>
            <w:noWrap/>
            <w:vAlign w:val="bottom"/>
            <w:hideMark/>
          </w:tcPr>
          <w:p w14:paraId="3CCEE31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7E9BBD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1 446 160</w:t>
            </w:r>
          </w:p>
        </w:tc>
        <w:tc>
          <w:tcPr>
            <w:tcW w:w="1275" w:type="dxa"/>
            <w:tcBorders>
              <w:top w:val="nil"/>
              <w:left w:val="single" w:sz="4" w:space="0" w:color="auto"/>
              <w:bottom w:val="nil"/>
              <w:right w:val="single" w:sz="8" w:space="0" w:color="auto"/>
            </w:tcBorders>
            <w:shd w:val="clear" w:color="000000" w:fill="FFFFFF"/>
            <w:noWrap/>
            <w:vAlign w:val="bottom"/>
            <w:hideMark/>
          </w:tcPr>
          <w:p w14:paraId="0CD74D6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16 269</w:t>
            </w:r>
          </w:p>
        </w:tc>
        <w:tc>
          <w:tcPr>
            <w:tcW w:w="1276" w:type="dxa"/>
            <w:tcBorders>
              <w:top w:val="nil"/>
              <w:left w:val="single" w:sz="4" w:space="0" w:color="auto"/>
              <w:bottom w:val="nil"/>
              <w:right w:val="single" w:sz="8" w:space="0" w:color="auto"/>
            </w:tcBorders>
            <w:shd w:val="clear" w:color="000000" w:fill="FFFFFF"/>
            <w:noWrap/>
            <w:vAlign w:val="bottom"/>
            <w:hideMark/>
          </w:tcPr>
          <w:p w14:paraId="3AC1CB7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1 462 429</w:t>
            </w:r>
          </w:p>
        </w:tc>
      </w:tr>
      <w:tr w:rsidR="00EF31B7" w:rsidRPr="00EF31B7" w14:paraId="3BF9C432"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859AA8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1080" w:type="dxa"/>
            <w:tcBorders>
              <w:top w:val="nil"/>
              <w:left w:val="nil"/>
              <w:bottom w:val="nil"/>
              <w:right w:val="nil"/>
            </w:tcBorders>
            <w:shd w:val="clear" w:color="000000" w:fill="C0C0C0"/>
            <w:noWrap/>
            <w:vAlign w:val="center"/>
            <w:hideMark/>
          </w:tcPr>
          <w:p w14:paraId="42EEBA28"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04" w:type="dxa"/>
            <w:tcBorders>
              <w:top w:val="nil"/>
              <w:left w:val="single" w:sz="4" w:space="0" w:color="auto"/>
              <w:bottom w:val="nil"/>
              <w:right w:val="single" w:sz="8" w:space="0" w:color="auto"/>
            </w:tcBorders>
            <w:shd w:val="clear" w:color="000000" w:fill="FFFFFF"/>
            <w:noWrap/>
            <w:vAlign w:val="bottom"/>
            <w:hideMark/>
          </w:tcPr>
          <w:p w14:paraId="5B6859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892 815</w:t>
            </w:r>
          </w:p>
        </w:tc>
        <w:tc>
          <w:tcPr>
            <w:tcW w:w="993" w:type="dxa"/>
            <w:tcBorders>
              <w:top w:val="nil"/>
              <w:left w:val="single" w:sz="4" w:space="0" w:color="auto"/>
              <w:bottom w:val="nil"/>
              <w:right w:val="single" w:sz="8" w:space="0" w:color="auto"/>
            </w:tcBorders>
            <w:shd w:val="clear" w:color="000000" w:fill="FFFFFF"/>
            <w:noWrap/>
            <w:vAlign w:val="bottom"/>
            <w:hideMark/>
          </w:tcPr>
          <w:p w14:paraId="4D334D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22 958</w:t>
            </w:r>
          </w:p>
        </w:tc>
        <w:tc>
          <w:tcPr>
            <w:tcW w:w="1275" w:type="dxa"/>
            <w:tcBorders>
              <w:top w:val="nil"/>
              <w:left w:val="single" w:sz="4" w:space="0" w:color="auto"/>
              <w:bottom w:val="nil"/>
              <w:right w:val="single" w:sz="8" w:space="0" w:color="auto"/>
            </w:tcBorders>
            <w:shd w:val="clear" w:color="000000" w:fill="FFFFFF"/>
            <w:noWrap/>
            <w:vAlign w:val="bottom"/>
            <w:hideMark/>
          </w:tcPr>
          <w:p w14:paraId="443C7B8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637 725</w:t>
            </w:r>
          </w:p>
        </w:tc>
        <w:tc>
          <w:tcPr>
            <w:tcW w:w="993" w:type="dxa"/>
            <w:tcBorders>
              <w:top w:val="nil"/>
              <w:left w:val="single" w:sz="4" w:space="0" w:color="auto"/>
              <w:bottom w:val="nil"/>
              <w:right w:val="single" w:sz="8" w:space="0" w:color="auto"/>
            </w:tcBorders>
            <w:shd w:val="clear" w:color="000000" w:fill="FFFFFF"/>
            <w:noWrap/>
            <w:vAlign w:val="bottom"/>
            <w:hideMark/>
          </w:tcPr>
          <w:p w14:paraId="5F5AC90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8DEB7C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510 180</w:t>
            </w:r>
          </w:p>
        </w:tc>
        <w:tc>
          <w:tcPr>
            <w:tcW w:w="851" w:type="dxa"/>
            <w:tcBorders>
              <w:top w:val="nil"/>
              <w:left w:val="single" w:sz="4" w:space="0" w:color="auto"/>
              <w:bottom w:val="nil"/>
              <w:right w:val="single" w:sz="8" w:space="0" w:color="auto"/>
            </w:tcBorders>
            <w:shd w:val="clear" w:color="000000" w:fill="FFFFFF"/>
            <w:noWrap/>
            <w:vAlign w:val="bottom"/>
            <w:hideMark/>
          </w:tcPr>
          <w:p w14:paraId="533C596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D3DB82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2 040 720</w:t>
            </w:r>
          </w:p>
        </w:tc>
        <w:tc>
          <w:tcPr>
            <w:tcW w:w="1275" w:type="dxa"/>
            <w:tcBorders>
              <w:top w:val="nil"/>
              <w:left w:val="single" w:sz="4" w:space="0" w:color="auto"/>
              <w:bottom w:val="nil"/>
              <w:right w:val="single" w:sz="8" w:space="0" w:color="auto"/>
            </w:tcBorders>
            <w:shd w:val="clear" w:color="000000" w:fill="FFFFFF"/>
            <w:noWrap/>
            <w:vAlign w:val="bottom"/>
            <w:hideMark/>
          </w:tcPr>
          <w:p w14:paraId="53CE88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22 958</w:t>
            </w:r>
          </w:p>
        </w:tc>
        <w:tc>
          <w:tcPr>
            <w:tcW w:w="1276" w:type="dxa"/>
            <w:tcBorders>
              <w:top w:val="nil"/>
              <w:left w:val="single" w:sz="4" w:space="0" w:color="auto"/>
              <w:bottom w:val="nil"/>
              <w:right w:val="single" w:sz="8" w:space="0" w:color="auto"/>
            </w:tcBorders>
            <w:shd w:val="clear" w:color="000000" w:fill="FFFFFF"/>
            <w:noWrap/>
            <w:vAlign w:val="bottom"/>
            <w:hideMark/>
          </w:tcPr>
          <w:p w14:paraId="3563427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2 063 678</w:t>
            </w:r>
          </w:p>
        </w:tc>
      </w:tr>
      <w:tr w:rsidR="00EF31B7" w:rsidRPr="00EF31B7" w14:paraId="1F2DC340"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7E87A64"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HUNGRÍA</w:t>
            </w:r>
          </w:p>
        </w:tc>
        <w:tc>
          <w:tcPr>
            <w:tcW w:w="1080" w:type="dxa"/>
            <w:tcBorders>
              <w:top w:val="nil"/>
              <w:left w:val="nil"/>
              <w:bottom w:val="nil"/>
              <w:right w:val="nil"/>
            </w:tcBorders>
            <w:shd w:val="clear" w:color="000000" w:fill="C0C0C0"/>
            <w:noWrap/>
            <w:vAlign w:val="center"/>
            <w:hideMark/>
          </w:tcPr>
          <w:p w14:paraId="2CAC526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04" w:type="dxa"/>
            <w:tcBorders>
              <w:top w:val="nil"/>
              <w:left w:val="single" w:sz="4" w:space="0" w:color="auto"/>
              <w:bottom w:val="nil"/>
              <w:right w:val="single" w:sz="8" w:space="0" w:color="auto"/>
            </w:tcBorders>
            <w:shd w:val="clear" w:color="000000" w:fill="FFFFFF"/>
            <w:noWrap/>
            <w:vAlign w:val="bottom"/>
            <w:hideMark/>
          </w:tcPr>
          <w:p w14:paraId="69E3026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2 150 960</w:t>
            </w:r>
          </w:p>
        </w:tc>
        <w:tc>
          <w:tcPr>
            <w:tcW w:w="993" w:type="dxa"/>
            <w:tcBorders>
              <w:top w:val="nil"/>
              <w:left w:val="single" w:sz="4" w:space="0" w:color="auto"/>
              <w:bottom w:val="nil"/>
              <w:right w:val="single" w:sz="8" w:space="0" w:color="auto"/>
            </w:tcBorders>
            <w:shd w:val="clear" w:color="000000" w:fill="FFFFFF"/>
            <w:noWrap/>
            <w:vAlign w:val="bottom"/>
            <w:hideMark/>
          </w:tcPr>
          <w:p w14:paraId="44E0FFD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55 310</w:t>
            </w:r>
          </w:p>
        </w:tc>
        <w:tc>
          <w:tcPr>
            <w:tcW w:w="1275" w:type="dxa"/>
            <w:tcBorders>
              <w:top w:val="nil"/>
              <w:left w:val="single" w:sz="4" w:space="0" w:color="auto"/>
              <w:bottom w:val="nil"/>
              <w:right w:val="single" w:sz="8" w:space="0" w:color="auto"/>
            </w:tcBorders>
            <w:shd w:val="clear" w:color="000000" w:fill="FFFFFF"/>
            <w:noWrap/>
            <w:vAlign w:val="bottom"/>
            <w:hideMark/>
          </w:tcPr>
          <w:p w14:paraId="06C3B8B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1 536 400</w:t>
            </w:r>
          </w:p>
        </w:tc>
        <w:tc>
          <w:tcPr>
            <w:tcW w:w="993" w:type="dxa"/>
            <w:tcBorders>
              <w:top w:val="nil"/>
              <w:left w:val="single" w:sz="4" w:space="0" w:color="auto"/>
              <w:bottom w:val="nil"/>
              <w:right w:val="single" w:sz="8" w:space="0" w:color="auto"/>
            </w:tcBorders>
            <w:shd w:val="clear" w:color="000000" w:fill="FFFFFF"/>
            <w:noWrap/>
            <w:vAlign w:val="bottom"/>
            <w:hideMark/>
          </w:tcPr>
          <w:p w14:paraId="1D91331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662F7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1 229 120</w:t>
            </w:r>
          </w:p>
        </w:tc>
        <w:tc>
          <w:tcPr>
            <w:tcW w:w="851" w:type="dxa"/>
            <w:tcBorders>
              <w:top w:val="nil"/>
              <w:left w:val="single" w:sz="4" w:space="0" w:color="auto"/>
              <w:bottom w:val="nil"/>
              <w:right w:val="single" w:sz="8" w:space="0" w:color="auto"/>
            </w:tcBorders>
            <w:shd w:val="clear" w:color="000000" w:fill="FFFFFF"/>
            <w:noWrap/>
            <w:vAlign w:val="bottom"/>
            <w:hideMark/>
          </w:tcPr>
          <w:p w14:paraId="7DBA7E7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69276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4 916 480</w:t>
            </w:r>
          </w:p>
        </w:tc>
        <w:tc>
          <w:tcPr>
            <w:tcW w:w="1275" w:type="dxa"/>
            <w:tcBorders>
              <w:top w:val="nil"/>
              <w:left w:val="single" w:sz="4" w:space="0" w:color="auto"/>
              <w:bottom w:val="nil"/>
              <w:right w:val="single" w:sz="8" w:space="0" w:color="auto"/>
            </w:tcBorders>
            <w:shd w:val="clear" w:color="000000" w:fill="FFFFFF"/>
            <w:noWrap/>
            <w:vAlign w:val="bottom"/>
            <w:hideMark/>
          </w:tcPr>
          <w:p w14:paraId="6BE1427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55 310</w:t>
            </w:r>
          </w:p>
        </w:tc>
        <w:tc>
          <w:tcPr>
            <w:tcW w:w="1276" w:type="dxa"/>
            <w:tcBorders>
              <w:top w:val="nil"/>
              <w:left w:val="single" w:sz="4" w:space="0" w:color="auto"/>
              <w:bottom w:val="nil"/>
              <w:right w:val="single" w:sz="8" w:space="0" w:color="auto"/>
            </w:tcBorders>
            <w:shd w:val="clear" w:color="000000" w:fill="FFFFFF"/>
            <w:noWrap/>
            <w:vAlign w:val="bottom"/>
            <w:hideMark/>
          </w:tcPr>
          <w:p w14:paraId="3BBEBB8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4 971 790</w:t>
            </w:r>
          </w:p>
        </w:tc>
      </w:tr>
      <w:tr w:rsidR="00EF31B7" w:rsidRPr="00EF31B7" w14:paraId="5D7C877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9A83C7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MALTA</w:t>
            </w:r>
          </w:p>
        </w:tc>
        <w:tc>
          <w:tcPr>
            <w:tcW w:w="1080" w:type="dxa"/>
            <w:tcBorders>
              <w:top w:val="nil"/>
              <w:left w:val="nil"/>
              <w:bottom w:val="nil"/>
              <w:right w:val="nil"/>
            </w:tcBorders>
            <w:shd w:val="clear" w:color="000000" w:fill="C0C0C0"/>
            <w:noWrap/>
            <w:vAlign w:val="center"/>
            <w:hideMark/>
          </w:tcPr>
          <w:p w14:paraId="0624E014"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04" w:type="dxa"/>
            <w:tcBorders>
              <w:top w:val="nil"/>
              <w:left w:val="single" w:sz="4" w:space="0" w:color="auto"/>
              <w:bottom w:val="nil"/>
              <w:right w:val="single" w:sz="8" w:space="0" w:color="auto"/>
            </w:tcBorders>
            <w:shd w:val="clear" w:color="000000" w:fill="FFFFFF"/>
            <w:noWrap/>
            <w:vAlign w:val="bottom"/>
            <w:hideMark/>
          </w:tcPr>
          <w:p w14:paraId="4FB504E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133 035</w:t>
            </w:r>
          </w:p>
        </w:tc>
        <w:tc>
          <w:tcPr>
            <w:tcW w:w="993" w:type="dxa"/>
            <w:tcBorders>
              <w:top w:val="nil"/>
              <w:left w:val="single" w:sz="4" w:space="0" w:color="auto"/>
              <w:bottom w:val="nil"/>
              <w:right w:val="single" w:sz="8" w:space="0" w:color="auto"/>
            </w:tcBorders>
            <w:shd w:val="clear" w:color="000000" w:fill="FFFFFF"/>
            <w:noWrap/>
            <w:vAlign w:val="bottom"/>
            <w:hideMark/>
          </w:tcPr>
          <w:p w14:paraId="6E890C9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3 421</w:t>
            </w:r>
          </w:p>
        </w:tc>
        <w:tc>
          <w:tcPr>
            <w:tcW w:w="1275" w:type="dxa"/>
            <w:tcBorders>
              <w:top w:val="nil"/>
              <w:left w:val="single" w:sz="4" w:space="0" w:color="auto"/>
              <w:bottom w:val="nil"/>
              <w:right w:val="single" w:sz="8" w:space="0" w:color="auto"/>
            </w:tcBorders>
            <w:shd w:val="clear" w:color="000000" w:fill="FFFFFF"/>
            <w:noWrap/>
            <w:vAlign w:val="bottom"/>
            <w:hideMark/>
          </w:tcPr>
          <w:p w14:paraId="1AB6044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95 025</w:t>
            </w:r>
          </w:p>
        </w:tc>
        <w:tc>
          <w:tcPr>
            <w:tcW w:w="993" w:type="dxa"/>
            <w:tcBorders>
              <w:top w:val="nil"/>
              <w:left w:val="single" w:sz="4" w:space="0" w:color="auto"/>
              <w:bottom w:val="nil"/>
              <w:right w:val="single" w:sz="8" w:space="0" w:color="auto"/>
            </w:tcBorders>
            <w:shd w:val="clear" w:color="000000" w:fill="FFFFFF"/>
            <w:noWrap/>
            <w:vAlign w:val="bottom"/>
            <w:hideMark/>
          </w:tcPr>
          <w:p w14:paraId="53CF13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A376A8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76 020</w:t>
            </w:r>
          </w:p>
        </w:tc>
        <w:tc>
          <w:tcPr>
            <w:tcW w:w="851" w:type="dxa"/>
            <w:tcBorders>
              <w:top w:val="nil"/>
              <w:left w:val="single" w:sz="4" w:space="0" w:color="auto"/>
              <w:bottom w:val="nil"/>
              <w:right w:val="single" w:sz="8" w:space="0" w:color="auto"/>
            </w:tcBorders>
            <w:shd w:val="clear" w:color="000000" w:fill="FFFFFF"/>
            <w:noWrap/>
            <w:vAlign w:val="bottom"/>
            <w:hideMark/>
          </w:tcPr>
          <w:p w14:paraId="4AFF7D3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4673603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304 080</w:t>
            </w:r>
          </w:p>
        </w:tc>
        <w:tc>
          <w:tcPr>
            <w:tcW w:w="1275" w:type="dxa"/>
            <w:tcBorders>
              <w:top w:val="nil"/>
              <w:left w:val="single" w:sz="4" w:space="0" w:color="auto"/>
              <w:bottom w:val="nil"/>
              <w:right w:val="single" w:sz="8" w:space="0" w:color="auto"/>
            </w:tcBorders>
            <w:shd w:val="clear" w:color="000000" w:fill="FFFFFF"/>
            <w:noWrap/>
            <w:vAlign w:val="bottom"/>
            <w:hideMark/>
          </w:tcPr>
          <w:p w14:paraId="533F623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3 421</w:t>
            </w:r>
          </w:p>
        </w:tc>
        <w:tc>
          <w:tcPr>
            <w:tcW w:w="1276" w:type="dxa"/>
            <w:tcBorders>
              <w:top w:val="nil"/>
              <w:left w:val="single" w:sz="4" w:space="0" w:color="auto"/>
              <w:bottom w:val="nil"/>
              <w:right w:val="single" w:sz="8" w:space="0" w:color="auto"/>
            </w:tcBorders>
            <w:shd w:val="clear" w:color="000000" w:fill="FFFFFF"/>
            <w:noWrap/>
            <w:vAlign w:val="bottom"/>
            <w:hideMark/>
          </w:tcPr>
          <w:p w14:paraId="41A7CD5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307 501</w:t>
            </w:r>
          </w:p>
        </w:tc>
      </w:tr>
      <w:tr w:rsidR="00EF31B7" w:rsidRPr="00EF31B7" w14:paraId="3D3FBE59"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D6702A2"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PAÍSES BAJOS</w:t>
            </w:r>
          </w:p>
        </w:tc>
        <w:tc>
          <w:tcPr>
            <w:tcW w:w="1080" w:type="dxa"/>
            <w:tcBorders>
              <w:top w:val="nil"/>
              <w:left w:val="nil"/>
              <w:bottom w:val="nil"/>
              <w:right w:val="nil"/>
            </w:tcBorders>
            <w:shd w:val="clear" w:color="000000" w:fill="C0C0C0"/>
            <w:noWrap/>
            <w:vAlign w:val="center"/>
            <w:hideMark/>
          </w:tcPr>
          <w:p w14:paraId="43DCBF1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04" w:type="dxa"/>
            <w:tcBorders>
              <w:top w:val="nil"/>
              <w:left w:val="single" w:sz="4" w:space="0" w:color="auto"/>
              <w:bottom w:val="nil"/>
              <w:right w:val="single" w:sz="8" w:space="0" w:color="auto"/>
            </w:tcBorders>
            <w:shd w:val="clear" w:color="000000" w:fill="FFFFFF"/>
            <w:noWrap/>
            <w:vAlign w:val="bottom"/>
            <w:hideMark/>
          </w:tcPr>
          <w:p w14:paraId="069CB99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16 718 730</w:t>
            </w:r>
          </w:p>
        </w:tc>
        <w:tc>
          <w:tcPr>
            <w:tcW w:w="993" w:type="dxa"/>
            <w:tcBorders>
              <w:top w:val="nil"/>
              <w:left w:val="single" w:sz="4" w:space="0" w:color="auto"/>
              <w:bottom w:val="nil"/>
              <w:right w:val="single" w:sz="8" w:space="0" w:color="auto"/>
            </w:tcBorders>
            <w:shd w:val="clear" w:color="000000" w:fill="FFFFFF"/>
            <w:noWrap/>
            <w:vAlign w:val="bottom"/>
            <w:hideMark/>
          </w:tcPr>
          <w:p w14:paraId="4587B71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429 910</w:t>
            </w:r>
          </w:p>
        </w:tc>
        <w:tc>
          <w:tcPr>
            <w:tcW w:w="1275" w:type="dxa"/>
            <w:tcBorders>
              <w:top w:val="nil"/>
              <w:left w:val="single" w:sz="4" w:space="0" w:color="auto"/>
              <w:bottom w:val="nil"/>
              <w:right w:val="single" w:sz="8" w:space="0" w:color="auto"/>
            </w:tcBorders>
            <w:shd w:val="clear" w:color="000000" w:fill="FFFFFF"/>
            <w:noWrap/>
            <w:vAlign w:val="bottom"/>
            <w:hideMark/>
          </w:tcPr>
          <w:p w14:paraId="02877E7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11 941 950</w:t>
            </w:r>
          </w:p>
        </w:tc>
        <w:tc>
          <w:tcPr>
            <w:tcW w:w="993" w:type="dxa"/>
            <w:tcBorders>
              <w:top w:val="nil"/>
              <w:left w:val="single" w:sz="4" w:space="0" w:color="auto"/>
              <w:bottom w:val="nil"/>
              <w:right w:val="single" w:sz="8" w:space="0" w:color="auto"/>
            </w:tcBorders>
            <w:shd w:val="clear" w:color="000000" w:fill="FFFFFF"/>
            <w:noWrap/>
            <w:vAlign w:val="bottom"/>
            <w:hideMark/>
          </w:tcPr>
          <w:p w14:paraId="230A786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3BA394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9 553 560</w:t>
            </w:r>
          </w:p>
        </w:tc>
        <w:tc>
          <w:tcPr>
            <w:tcW w:w="851" w:type="dxa"/>
            <w:tcBorders>
              <w:top w:val="nil"/>
              <w:left w:val="single" w:sz="4" w:space="0" w:color="auto"/>
              <w:bottom w:val="nil"/>
              <w:right w:val="single" w:sz="8" w:space="0" w:color="auto"/>
            </w:tcBorders>
            <w:shd w:val="clear" w:color="000000" w:fill="FFFFFF"/>
            <w:noWrap/>
            <w:vAlign w:val="bottom"/>
            <w:hideMark/>
          </w:tcPr>
          <w:p w14:paraId="7A3511B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60F4A18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38 214 240</w:t>
            </w:r>
          </w:p>
        </w:tc>
        <w:tc>
          <w:tcPr>
            <w:tcW w:w="1275" w:type="dxa"/>
            <w:tcBorders>
              <w:top w:val="nil"/>
              <w:left w:val="single" w:sz="4" w:space="0" w:color="auto"/>
              <w:bottom w:val="nil"/>
              <w:right w:val="single" w:sz="8" w:space="0" w:color="auto"/>
            </w:tcBorders>
            <w:shd w:val="clear" w:color="000000" w:fill="FFFFFF"/>
            <w:noWrap/>
            <w:vAlign w:val="bottom"/>
            <w:hideMark/>
          </w:tcPr>
          <w:p w14:paraId="23E54CA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429 910</w:t>
            </w:r>
          </w:p>
        </w:tc>
        <w:tc>
          <w:tcPr>
            <w:tcW w:w="1276" w:type="dxa"/>
            <w:tcBorders>
              <w:top w:val="nil"/>
              <w:left w:val="single" w:sz="4" w:space="0" w:color="auto"/>
              <w:bottom w:val="nil"/>
              <w:right w:val="single" w:sz="8" w:space="0" w:color="auto"/>
            </w:tcBorders>
            <w:shd w:val="clear" w:color="000000" w:fill="FFFFFF"/>
            <w:noWrap/>
            <w:vAlign w:val="bottom"/>
            <w:hideMark/>
          </w:tcPr>
          <w:p w14:paraId="2EBA544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38 644 150</w:t>
            </w:r>
          </w:p>
        </w:tc>
      </w:tr>
      <w:tr w:rsidR="00EF31B7" w:rsidRPr="00EF31B7" w14:paraId="46415FB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17629A8"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AUSTRIA</w:t>
            </w:r>
          </w:p>
        </w:tc>
        <w:tc>
          <w:tcPr>
            <w:tcW w:w="1080" w:type="dxa"/>
            <w:tcBorders>
              <w:top w:val="nil"/>
              <w:left w:val="nil"/>
              <w:bottom w:val="nil"/>
              <w:right w:val="nil"/>
            </w:tcBorders>
            <w:shd w:val="clear" w:color="000000" w:fill="C0C0C0"/>
            <w:noWrap/>
            <w:vAlign w:val="center"/>
            <w:hideMark/>
          </w:tcPr>
          <w:p w14:paraId="3D28FD41"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04" w:type="dxa"/>
            <w:tcBorders>
              <w:top w:val="nil"/>
              <w:left w:val="single" w:sz="4" w:space="0" w:color="auto"/>
              <w:bottom w:val="nil"/>
              <w:right w:val="single" w:sz="8" w:space="0" w:color="auto"/>
            </w:tcBorders>
            <w:shd w:val="clear" w:color="000000" w:fill="FFFFFF"/>
            <w:noWrap/>
            <w:vAlign w:val="bottom"/>
            <w:hideMark/>
          </w:tcPr>
          <w:p w14:paraId="68887DA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8 391 495</w:t>
            </w:r>
          </w:p>
        </w:tc>
        <w:tc>
          <w:tcPr>
            <w:tcW w:w="993" w:type="dxa"/>
            <w:tcBorders>
              <w:top w:val="nil"/>
              <w:left w:val="single" w:sz="4" w:space="0" w:color="auto"/>
              <w:bottom w:val="nil"/>
              <w:right w:val="single" w:sz="8" w:space="0" w:color="auto"/>
            </w:tcBorders>
            <w:shd w:val="clear" w:color="000000" w:fill="FFFFFF"/>
            <w:noWrap/>
            <w:vAlign w:val="bottom"/>
            <w:hideMark/>
          </w:tcPr>
          <w:p w14:paraId="574A589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215 781</w:t>
            </w:r>
          </w:p>
        </w:tc>
        <w:tc>
          <w:tcPr>
            <w:tcW w:w="1275" w:type="dxa"/>
            <w:tcBorders>
              <w:top w:val="nil"/>
              <w:left w:val="single" w:sz="4" w:space="0" w:color="auto"/>
              <w:bottom w:val="nil"/>
              <w:right w:val="single" w:sz="8" w:space="0" w:color="auto"/>
            </w:tcBorders>
            <w:shd w:val="clear" w:color="000000" w:fill="FFFFFF"/>
            <w:noWrap/>
            <w:vAlign w:val="bottom"/>
            <w:hideMark/>
          </w:tcPr>
          <w:p w14:paraId="5A35BDF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5 993 925</w:t>
            </w:r>
          </w:p>
        </w:tc>
        <w:tc>
          <w:tcPr>
            <w:tcW w:w="993" w:type="dxa"/>
            <w:tcBorders>
              <w:top w:val="nil"/>
              <w:left w:val="single" w:sz="4" w:space="0" w:color="auto"/>
              <w:bottom w:val="nil"/>
              <w:right w:val="single" w:sz="8" w:space="0" w:color="auto"/>
            </w:tcBorders>
            <w:shd w:val="clear" w:color="000000" w:fill="FFFFFF"/>
            <w:noWrap/>
            <w:vAlign w:val="bottom"/>
            <w:hideMark/>
          </w:tcPr>
          <w:p w14:paraId="5AC6C65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6B4B8C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4 795 140</w:t>
            </w:r>
          </w:p>
        </w:tc>
        <w:tc>
          <w:tcPr>
            <w:tcW w:w="851" w:type="dxa"/>
            <w:tcBorders>
              <w:top w:val="nil"/>
              <w:left w:val="single" w:sz="4" w:space="0" w:color="auto"/>
              <w:bottom w:val="nil"/>
              <w:right w:val="single" w:sz="8" w:space="0" w:color="auto"/>
            </w:tcBorders>
            <w:shd w:val="clear" w:color="000000" w:fill="FFFFFF"/>
            <w:noWrap/>
            <w:vAlign w:val="bottom"/>
            <w:hideMark/>
          </w:tcPr>
          <w:p w14:paraId="2E2064D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2BCA0DD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19 180 560</w:t>
            </w:r>
          </w:p>
        </w:tc>
        <w:tc>
          <w:tcPr>
            <w:tcW w:w="1275" w:type="dxa"/>
            <w:tcBorders>
              <w:top w:val="nil"/>
              <w:left w:val="single" w:sz="4" w:space="0" w:color="auto"/>
              <w:bottom w:val="nil"/>
              <w:right w:val="single" w:sz="8" w:space="0" w:color="auto"/>
            </w:tcBorders>
            <w:shd w:val="clear" w:color="000000" w:fill="FFFFFF"/>
            <w:noWrap/>
            <w:vAlign w:val="bottom"/>
            <w:hideMark/>
          </w:tcPr>
          <w:p w14:paraId="018284C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215 781</w:t>
            </w:r>
          </w:p>
        </w:tc>
        <w:tc>
          <w:tcPr>
            <w:tcW w:w="1276" w:type="dxa"/>
            <w:tcBorders>
              <w:top w:val="nil"/>
              <w:left w:val="single" w:sz="4" w:space="0" w:color="auto"/>
              <w:bottom w:val="nil"/>
              <w:right w:val="single" w:sz="8" w:space="0" w:color="auto"/>
            </w:tcBorders>
            <w:shd w:val="clear" w:color="000000" w:fill="FFFFFF"/>
            <w:noWrap/>
            <w:vAlign w:val="bottom"/>
            <w:hideMark/>
          </w:tcPr>
          <w:p w14:paraId="072C36D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19 396 341</w:t>
            </w:r>
          </w:p>
        </w:tc>
      </w:tr>
      <w:tr w:rsidR="00EF31B7" w:rsidRPr="00EF31B7" w14:paraId="56D4C09F"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50244B0"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POLONIA</w:t>
            </w:r>
          </w:p>
        </w:tc>
        <w:tc>
          <w:tcPr>
            <w:tcW w:w="1080" w:type="dxa"/>
            <w:tcBorders>
              <w:top w:val="nil"/>
              <w:left w:val="nil"/>
              <w:bottom w:val="nil"/>
              <w:right w:val="nil"/>
            </w:tcBorders>
            <w:shd w:val="clear" w:color="000000" w:fill="C0C0C0"/>
            <w:noWrap/>
            <w:vAlign w:val="center"/>
            <w:hideMark/>
          </w:tcPr>
          <w:p w14:paraId="5311FB7D"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04" w:type="dxa"/>
            <w:tcBorders>
              <w:top w:val="nil"/>
              <w:left w:val="single" w:sz="4" w:space="0" w:color="auto"/>
              <w:bottom w:val="nil"/>
              <w:right w:val="single" w:sz="8" w:space="0" w:color="auto"/>
            </w:tcBorders>
            <w:shd w:val="clear" w:color="000000" w:fill="FFFFFF"/>
            <w:noWrap/>
            <w:vAlign w:val="bottom"/>
            <w:hideMark/>
          </w:tcPr>
          <w:p w14:paraId="73E9C54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7 025 690</w:t>
            </w:r>
          </w:p>
        </w:tc>
        <w:tc>
          <w:tcPr>
            <w:tcW w:w="993" w:type="dxa"/>
            <w:tcBorders>
              <w:top w:val="nil"/>
              <w:left w:val="single" w:sz="4" w:space="0" w:color="auto"/>
              <w:bottom w:val="nil"/>
              <w:right w:val="single" w:sz="8" w:space="0" w:color="auto"/>
            </w:tcBorders>
            <w:shd w:val="clear" w:color="000000" w:fill="FFFFFF"/>
            <w:noWrap/>
            <w:vAlign w:val="bottom"/>
            <w:hideMark/>
          </w:tcPr>
          <w:p w14:paraId="6A42DB1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180 661</w:t>
            </w:r>
          </w:p>
        </w:tc>
        <w:tc>
          <w:tcPr>
            <w:tcW w:w="1275" w:type="dxa"/>
            <w:tcBorders>
              <w:top w:val="nil"/>
              <w:left w:val="single" w:sz="4" w:space="0" w:color="auto"/>
              <w:bottom w:val="nil"/>
              <w:right w:val="single" w:sz="8" w:space="0" w:color="auto"/>
            </w:tcBorders>
            <w:shd w:val="clear" w:color="000000" w:fill="FFFFFF"/>
            <w:noWrap/>
            <w:vAlign w:val="bottom"/>
            <w:hideMark/>
          </w:tcPr>
          <w:p w14:paraId="21DCAD9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5 018 350</w:t>
            </w:r>
          </w:p>
        </w:tc>
        <w:tc>
          <w:tcPr>
            <w:tcW w:w="993" w:type="dxa"/>
            <w:tcBorders>
              <w:top w:val="nil"/>
              <w:left w:val="single" w:sz="4" w:space="0" w:color="auto"/>
              <w:bottom w:val="nil"/>
              <w:right w:val="single" w:sz="8" w:space="0" w:color="auto"/>
            </w:tcBorders>
            <w:shd w:val="clear" w:color="000000" w:fill="FFFFFF"/>
            <w:noWrap/>
            <w:vAlign w:val="bottom"/>
            <w:hideMark/>
          </w:tcPr>
          <w:p w14:paraId="29FC73B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4EF0E1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4 014 680</w:t>
            </w:r>
          </w:p>
        </w:tc>
        <w:tc>
          <w:tcPr>
            <w:tcW w:w="851" w:type="dxa"/>
            <w:tcBorders>
              <w:top w:val="nil"/>
              <w:left w:val="single" w:sz="4" w:space="0" w:color="auto"/>
              <w:bottom w:val="nil"/>
              <w:right w:val="single" w:sz="8" w:space="0" w:color="auto"/>
            </w:tcBorders>
            <w:shd w:val="clear" w:color="000000" w:fill="FFFFFF"/>
            <w:noWrap/>
            <w:vAlign w:val="bottom"/>
            <w:hideMark/>
          </w:tcPr>
          <w:p w14:paraId="71FD4CF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1D7DB4A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16 058 720</w:t>
            </w:r>
          </w:p>
        </w:tc>
        <w:tc>
          <w:tcPr>
            <w:tcW w:w="1275" w:type="dxa"/>
            <w:tcBorders>
              <w:top w:val="nil"/>
              <w:left w:val="single" w:sz="4" w:space="0" w:color="auto"/>
              <w:bottom w:val="nil"/>
              <w:right w:val="single" w:sz="8" w:space="0" w:color="auto"/>
            </w:tcBorders>
            <w:shd w:val="clear" w:color="000000" w:fill="FFFFFF"/>
            <w:noWrap/>
            <w:vAlign w:val="bottom"/>
            <w:hideMark/>
          </w:tcPr>
          <w:p w14:paraId="7A887B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180 661</w:t>
            </w:r>
          </w:p>
        </w:tc>
        <w:tc>
          <w:tcPr>
            <w:tcW w:w="1276" w:type="dxa"/>
            <w:tcBorders>
              <w:top w:val="nil"/>
              <w:left w:val="single" w:sz="4" w:space="0" w:color="auto"/>
              <w:bottom w:val="nil"/>
              <w:right w:val="single" w:sz="8" w:space="0" w:color="auto"/>
            </w:tcBorders>
            <w:shd w:val="clear" w:color="000000" w:fill="FFFFFF"/>
            <w:noWrap/>
            <w:vAlign w:val="bottom"/>
            <w:hideMark/>
          </w:tcPr>
          <w:p w14:paraId="60FCA1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16 239 381</w:t>
            </w:r>
          </w:p>
        </w:tc>
      </w:tr>
      <w:tr w:rsidR="00EF31B7" w:rsidRPr="00EF31B7" w14:paraId="68621035"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AEE771E"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1080" w:type="dxa"/>
            <w:tcBorders>
              <w:top w:val="nil"/>
              <w:left w:val="nil"/>
              <w:bottom w:val="nil"/>
              <w:right w:val="nil"/>
            </w:tcBorders>
            <w:shd w:val="clear" w:color="000000" w:fill="C0C0C0"/>
            <w:noWrap/>
            <w:vAlign w:val="center"/>
            <w:hideMark/>
          </w:tcPr>
          <w:p w14:paraId="695C8E31"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04" w:type="dxa"/>
            <w:tcBorders>
              <w:top w:val="nil"/>
              <w:left w:val="single" w:sz="4" w:space="0" w:color="auto"/>
              <w:bottom w:val="nil"/>
              <w:right w:val="single" w:sz="8" w:space="0" w:color="auto"/>
            </w:tcBorders>
            <w:shd w:val="clear" w:color="000000" w:fill="FFFFFF"/>
            <w:noWrap/>
            <w:vAlign w:val="bottom"/>
            <w:hideMark/>
          </w:tcPr>
          <w:p w14:paraId="1EC7D4E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4 188 765</w:t>
            </w:r>
          </w:p>
        </w:tc>
        <w:tc>
          <w:tcPr>
            <w:tcW w:w="993" w:type="dxa"/>
            <w:tcBorders>
              <w:top w:val="nil"/>
              <w:left w:val="single" w:sz="4" w:space="0" w:color="auto"/>
              <w:bottom w:val="nil"/>
              <w:right w:val="single" w:sz="8" w:space="0" w:color="auto"/>
            </w:tcBorders>
            <w:shd w:val="clear" w:color="000000" w:fill="FFFFFF"/>
            <w:noWrap/>
            <w:vAlign w:val="bottom"/>
            <w:hideMark/>
          </w:tcPr>
          <w:p w14:paraId="733F795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107 711</w:t>
            </w:r>
          </w:p>
        </w:tc>
        <w:tc>
          <w:tcPr>
            <w:tcW w:w="1275" w:type="dxa"/>
            <w:tcBorders>
              <w:top w:val="nil"/>
              <w:left w:val="single" w:sz="4" w:space="0" w:color="auto"/>
              <w:bottom w:val="nil"/>
              <w:right w:val="single" w:sz="8" w:space="0" w:color="auto"/>
            </w:tcBorders>
            <w:shd w:val="clear" w:color="000000" w:fill="FFFFFF"/>
            <w:noWrap/>
            <w:vAlign w:val="bottom"/>
            <w:hideMark/>
          </w:tcPr>
          <w:p w14:paraId="651F974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2 991 975</w:t>
            </w:r>
          </w:p>
        </w:tc>
        <w:tc>
          <w:tcPr>
            <w:tcW w:w="993" w:type="dxa"/>
            <w:tcBorders>
              <w:top w:val="nil"/>
              <w:left w:val="single" w:sz="4" w:space="0" w:color="auto"/>
              <w:bottom w:val="nil"/>
              <w:right w:val="single" w:sz="8" w:space="0" w:color="auto"/>
            </w:tcBorders>
            <w:shd w:val="clear" w:color="000000" w:fill="FFFFFF"/>
            <w:noWrap/>
            <w:vAlign w:val="bottom"/>
            <w:hideMark/>
          </w:tcPr>
          <w:p w14:paraId="07FBB5D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E7BEFA4"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2 393 580</w:t>
            </w:r>
          </w:p>
        </w:tc>
        <w:tc>
          <w:tcPr>
            <w:tcW w:w="851" w:type="dxa"/>
            <w:tcBorders>
              <w:top w:val="nil"/>
              <w:left w:val="single" w:sz="4" w:space="0" w:color="auto"/>
              <w:bottom w:val="nil"/>
              <w:right w:val="single" w:sz="8" w:space="0" w:color="auto"/>
            </w:tcBorders>
            <w:shd w:val="clear" w:color="000000" w:fill="FFFFFF"/>
            <w:noWrap/>
            <w:vAlign w:val="bottom"/>
            <w:hideMark/>
          </w:tcPr>
          <w:p w14:paraId="53A54E0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7B0430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9 574 320</w:t>
            </w:r>
          </w:p>
        </w:tc>
        <w:tc>
          <w:tcPr>
            <w:tcW w:w="1275" w:type="dxa"/>
            <w:tcBorders>
              <w:top w:val="nil"/>
              <w:left w:val="single" w:sz="4" w:space="0" w:color="auto"/>
              <w:bottom w:val="nil"/>
              <w:right w:val="single" w:sz="8" w:space="0" w:color="auto"/>
            </w:tcBorders>
            <w:shd w:val="clear" w:color="000000" w:fill="FFFFFF"/>
            <w:noWrap/>
            <w:vAlign w:val="bottom"/>
            <w:hideMark/>
          </w:tcPr>
          <w:p w14:paraId="100767F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107 711</w:t>
            </w:r>
          </w:p>
        </w:tc>
        <w:tc>
          <w:tcPr>
            <w:tcW w:w="1276" w:type="dxa"/>
            <w:tcBorders>
              <w:top w:val="nil"/>
              <w:left w:val="single" w:sz="4" w:space="0" w:color="auto"/>
              <w:bottom w:val="nil"/>
              <w:right w:val="single" w:sz="8" w:space="0" w:color="auto"/>
            </w:tcBorders>
            <w:shd w:val="clear" w:color="000000" w:fill="FFFFFF"/>
            <w:noWrap/>
            <w:vAlign w:val="bottom"/>
            <w:hideMark/>
          </w:tcPr>
          <w:p w14:paraId="072D1A9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9 682 031</w:t>
            </w:r>
          </w:p>
        </w:tc>
      </w:tr>
      <w:tr w:rsidR="00EF31B7" w:rsidRPr="00EF31B7" w14:paraId="4F185777"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514BD0A"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RUMANÍA</w:t>
            </w:r>
          </w:p>
        </w:tc>
        <w:tc>
          <w:tcPr>
            <w:tcW w:w="1080" w:type="dxa"/>
            <w:tcBorders>
              <w:top w:val="nil"/>
              <w:left w:val="nil"/>
              <w:bottom w:val="nil"/>
              <w:right w:val="nil"/>
            </w:tcBorders>
            <w:shd w:val="clear" w:color="000000" w:fill="C0C0C0"/>
            <w:noWrap/>
            <w:vAlign w:val="center"/>
            <w:hideMark/>
          </w:tcPr>
          <w:p w14:paraId="57A4DECE"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04" w:type="dxa"/>
            <w:tcBorders>
              <w:top w:val="nil"/>
              <w:left w:val="single" w:sz="4" w:space="0" w:color="auto"/>
              <w:bottom w:val="nil"/>
              <w:right w:val="single" w:sz="8" w:space="0" w:color="auto"/>
            </w:tcBorders>
            <w:shd w:val="clear" w:color="000000" w:fill="FFFFFF"/>
            <w:noWrap/>
            <w:vAlign w:val="bottom"/>
            <w:hideMark/>
          </w:tcPr>
          <w:p w14:paraId="6B046B3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2 513 525</w:t>
            </w:r>
          </w:p>
        </w:tc>
        <w:tc>
          <w:tcPr>
            <w:tcW w:w="993" w:type="dxa"/>
            <w:tcBorders>
              <w:top w:val="nil"/>
              <w:left w:val="single" w:sz="4" w:space="0" w:color="auto"/>
              <w:bottom w:val="nil"/>
              <w:right w:val="single" w:sz="8" w:space="0" w:color="auto"/>
            </w:tcBorders>
            <w:shd w:val="clear" w:color="000000" w:fill="FFFFFF"/>
            <w:noWrap/>
            <w:vAlign w:val="bottom"/>
            <w:hideMark/>
          </w:tcPr>
          <w:p w14:paraId="2390EEE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64 634</w:t>
            </w:r>
          </w:p>
        </w:tc>
        <w:tc>
          <w:tcPr>
            <w:tcW w:w="1275" w:type="dxa"/>
            <w:tcBorders>
              <w:top w:val="nil"/>
              <w:left w:val="single" w:sz="4" w:space="0" w:color="auto"/>
              <w:bottom w:val="nil"/>
              <w:right w:val="single" w:sz="8" w:space="0" w:color="auto"/>
            </w:tcBorders>
            <w:shd w:val="clear" w:color="000000" w:fill="FFFFFF"/>
            <w:noWrap/>
            <w:vAlign w:val="bottom"/>
            <w:hideMark/>
          </w:tcPr>
          <w:p w14:paraId="0A2AAF8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1 795 375</w:t>
            </w:r>
          </w:p>
        </w:tc>
        <w:tc>
          <w:tcPr>
            <w:tcW w:w="993" w:type="dxa"/>
            <w:tcBorders>
              <w:top w:val="nil"/>
              <w:left w:val="single" w:sz="4" w:space="0" w:color="auto"/>
              <w:bottom w:val="nil"/>
              <w:right w:val="single" w:sz="8" w:space="0" w:color="auto"/>
            </w:tcBorders>
            <w:shd w:val="clear" w:color="000000" w:fill="FFFFFF"/>
            <w:noWrap/>
            <w:vAlign w:val="bottom"/>
            <w:hideMark/>
          </w:tcPr>
          <w:p w14:paraId="229C6EB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6501D7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1 436 300</w:t>
            </w:r>
          </w:p>
        </w:tc>
        <w:tc>
          <w:tcPr>
            <w:tcW w:w="851" w:type="dxa"/>
            <w:tcBorders>
              <w:top w:val="nil"/>
              <w:left w:val="single" w:sz="4" w:space="0" w:color="auto"/>
              <w:bottom w:val="nil"/>
              <w:right w:val="single" w:sz="8" w:space="0" w:color="auto"/>
            </w:tcBorders>
            <w:shd w:val="clear" w:color="000000" w:fill="FFFFFF"/>
            <w:noWrap/>
            <w:vAlign w:val="bottom"/>
            <w:hideMark/>
          </w:tcPr>
          <w:p w14:paraId="2A869C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938084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5 745 200</w:t>
            </w:r>
          </w:p>
        </w:tc>
        <w:tc>
          <w:tcPr>
            <w:tcW w:w="1275" w:type="dxa"/>
            <w:tcBorders>
              <w:top w:val="nil"/>
              <w:left w:val="single" w:sz="4" w:space="0" w:color="auto"/>
              <w:bottom w:val="nil"/>
              <w:right w:val="single" w:sz="8" w:space="0" w:color="auto"/>
            </w:tcBorders>
            <w:shd w:val="clear" w:color="000000" w:fill="FFFFFF"/>
            <w:noWrap/>
            <w:vAlign w:val="bottom"/>
            <w:hideMark/>
          </w:tcPr>
          <w:p w14:paraId="45A365A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64 634</w:t>
            </w:r>
          </w:p>
        </w:tc>
        <w:tc>
          <w:tcPr>
            <w:tcW w:w="1276" w:type="dxa"/>
            <w:tcBorders>
              <w:top w:val="nil"/>
              <w:left w:val="single" w:sz="4" w:space="0" w:color="auto"/>
              <w:bottom w:val="nil"/>
              <w:right w:val="single" w:sz="8" w:space="0" w:color="auto"/>
            </w:tcBorders>
            <w:shd w:val="clear" w:color="000000" w:fill="FFFFFF"/>
            <w:noWrap/>
            <w:vAlign w:val="bottom"/>
            <w:hideMark/>
          </w:tcPr>
          <w:p w14:paraId="287FEF9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5 809 834</w:t>
            </w:r>
          </w:p>
        </w:tc>
      </w:tr>
      <w:tr w:rsidR="00EF31B7" w:rsidRPr="00EF31B7" w14:paraId="56A1A443"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3E04C9D"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ESLOVENIA</w:t>
            </w:r>
          </w:p>
        </w:tc>
        <w:tc>
          <w:tcPr>
            <w:tcW w:w="1080" w:type="dxa"/>
            <w:tcBorders>
              <w:top w:val="nil"/>
              <w:left w:val="nil"/>
              <w:bottom w:val="nil"/>
              <w:right w:val="nil"/>
            </w:tcBorders>
            <w:shd w:val="clear" w:color="000000" w:fill="C0C0C0"/>
            <w:noWrap/>
            <w:vAlign w:val="center"/>
            <w:hideMark/>
          </w:tcPr>
          <w:p w14:paraId="7EE821CF"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04" w:type="dxa"/>
            <w:tcBorders>
              <w:top w:val="nil"/>
              <w:left w:val="single" w:sz="4" w:space="0" w:color="auto"/>
              <w:bottom w:val="nil"/>
              <w:right w:val="single" w:sz="8" w:space="0" w:color="auto"/>
            </w:tcBorders>
            <w:shd w:val="clear" w:color="000000" w:fill="FFFFFF"/>
            <w:noWrap/>
            <w:vAlign w:val="bottom"/>
            <w:hideMark/>
          </w:tcPr>
          <w:p w14:paraId="2A660F4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785 820</w:t>
            </w:r>
          </w:p>
        </w:tc>
        <w:tc>
          <w:tcPr>
            <w:tcW w:w="993" w:type="dxa"/>
            <w:tcBorders>
              <w:top w:val="nil"/>
              <w:left w:val="single" w:sz="4" w:space="0" w:color="auto"/>
              <w:bottom w:val="nil"/>
              <w:right w:val="single" w:sz="8" w:space="0" w:color="auto"/>
            </w:tcBorders>
            <w:shd w:val="clear" w:color="000000" w:fill="FFFFFF"/>
            <w:noWrap/>
            <w:vAlign w:val="bottom"/>
            <w:hideMark/>
          </w:tcPr>
          <w:p w14:paraId="286564E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20 207</w:t>
            </w:r>
          </w:p>
        </w:tc>
        <w:tc>
          <w:tcPr>
            <w:tcW w:w="1275" w:type="dxa"/>
            <w:tcBorders>
              <w:top w:val="nil"/>
              <w:left w:val="single" w:sz="4" w:space="0" w:color="auto"/>
              <w:bottom w:val="nil"/>
              <w:right w:val="single" w:sz="8" w:space="0" w:color="auto"/>
            </w:tcBorders>
            <w:shd w:val="clear" w:color="000000" w:fill="FFFFFF"/>
            <w:noWrap/>
            <w:vAlign w:val="bottom"/>
            <w:hideMark/>
          </w:tcPr>
          <w:p w14:paraId="54DD7FC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561 300</w:t>
            </w:r>
          </w:p>
        </w:tc>
        <w:tc>
          <w:tcPr>
            <w:tcW w:w="993" w:type="dxa"/>
            <w:tcBorders>
              <w:top w:val="nil"/>
              <w:left w:val="single" w:sz="4" w:space="0" w:color="auto"/>
              <w:bottom w:val="nil"/>
              <w:right w:val="single" w:sz="8" w:space="0" w:color="auto"/>
            </w:tcBorders>
            <w:shd w:val="clear" w:color="000000" w:fill="FFFFFF"/>
            <w:noWrap/>
            <w:vAlign w:val="bottom"/>
            <w:hideMark/>
          </w:tcPr>
          <w:p w14:paraId="507D0C6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850B97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449 040</w:t>
            </w:r>
          </w:p>
        </w:tc>
        <w:tc>
          <w:tcPr>
            <w:tcW w:w="851" w:type="dxa"/>
            <w:tcBorders>
              <w:top w:val="nil"/>
              <w:left w:val="single" w:sz="4" w:space="0" w:color="auto"/>
              <w:bottom w:val="nil"/>
              <w:right w:val="single" w:sz="8" w:space="0" w:color="auto"/>
            </w:tcBorders>
            <w:shd w:val="clear" w:color="000000" w:fill="FFFFFF"/>
            <w:noWrap/>
            <w:vAlign w:val="bottom"/>
            <w:hideMark/>
          </w:tcPr>
          <w:p w14:paraId="7BE79DA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F9751C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1 796 160</w:t>
            </w:r>
          </w:p>
        </w:tc>
        <w:tc>
          <w:tcPr>
            <w:tcW w:w="1275" w:type="dxa"/>
            <w:tcBorders>
              <w:top w:val="nil"/>
              <w:left w:val="single" w:sz="4" w:space="0" w:color="auto"/>
              <w:bottom w:val="nil"/>
              <w:right w:val="single" w:sz="8" w:space="0" w:color="auto"/>
            </w:tcBorders>
            <w:shd w:val="clear" w:color="000000" w:fill="FFFFFF"/>
            <w:noWrap/>
            <w:vAlign w:val="bottom"/>
            <w:hideMark/>
          </w:tcPr>
          <w:p w14:paraId="6B2917E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20 207</w:t>
            </w:r>
          </w:p>
        </w:tc>
        <w:tc>
          <w:tcPr>
            <w:tcW w:w="1276" w:type="dxa"/>
            <w:tcBorders>
              <w:top w:val="nil"/>
              <w:left w:val="single" w:sz="4" w:space="0" w:color="auto"/>
              <w:bottom w:val="nil"/>
              <w:right w:val="single" w:sz="8" w:space="0" w:color="auto"/>
            </w:tcBorders>
            <w:shd w:val="clear" w:color="000000" w:fill="FFFFFF"/>
            <w:noWrap/>
            <w:vAlign w:val="bottom"/>
            <w:hideMark/>
          </w:tcPr>
          <w:p w14:paraId="2288012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1 816 367</w:t>
            </w:r>
          </w:p>
        </w:tc>
      </w:tr>
      <w:tr w:rsidR="00EF31B7" w:rsidRPr="00EF31B7" w14:paraId="0945437B"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2278FC9"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ESLOVAQUIA</w:t>
            </w:r>
          </w:p>
        </w:tc>
        <w:tc>
          <w:tcPr>
            <w:tcW w:w="1080" w:type="dxa"/>
            <w:tcBorders>
              <w:top w:val="nil"/>
              <w:left w:val="nil"/>
              <w:bottom w:val="nil"/>
              <w:right w:val="nil"/>
            </w:tcBorders>
            <w:shd w:val="clear" w:color="000000" w:fill="C0C0C0"/>
            <w:noWrap/>
            <w:vAlign w:val="center"/>
            <w:hideMark/>
          </w:tcPr>
          <w:p w14:paraId="12C3C5A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04" w:type="dxa"/>
            <w:tcBorders>
              <w:top w:val="nil"/>
              <w:left w:val="single" w:sz="4" w:space="0" w:color="auto"/>
              <w:bottom w:val="nil"/>
              <w:right w:val="single" w:sz="8" w:space="0" w:color="auto"/>
            </w:tcBorders>
            <w:shd w:val="clear" w:color="000000" w:fill="FFFFFF"/>
            <w:noWrap/>
            <w:vAlign w:val="bottom"/>
            <w:hideMark/>
          </w:tcPr>
          <w:p w14:paraId="7B822A8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1 316 560</w:t>
            </w:r>
          </w:p>
        </w:tc>
        <w:tc>
          <w:tcPr>
            <w:tcW w:w="993" w:type="dxa"/>
            <w:tcBorders>
              <w:top w:val="nil"/>
              <w:left w:val="single" w:sz="4" w:space="0" w:color="auto"/>
              <w:bottom w:val="nil"/>
              <w:right w:val="single" w:sz="8" w:space="0" w:color="auto"/>
            </w:tcBorders>
            <w:shd w:val="clear" w:color="000000" w:fill="FFFFFF"/>
            <w:noWrap/>
            <w:vAlign w:val="bottom"/>
            <w:hideMark/>
          </w:tcPr>
          <w:p w14:paraId="4BA7345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33 854</w:t>
            </w:r>
          </w:p>
        </w:tc>
        <w:tc>
          <w:tcPr>
            <w:tcW w:w="1275" w:type="dxa"/>
            <w:tcBorders>
              <w:top w:val="nil"/>
              <w:left w:val="single" w:sz="4" w:space="0" w:color="auto"/>
              <w:bottom w:val="nil"/>
              <w:right w:val="single" w:sz="8" w:space="0" w:color="auto"/>
            </w:tcBorders>
            <w:shd w:val="clear" w:color="000000" w:fill="FFFFFF"/>
            <w:noWrap/>
            <w:vAlign w:val="bottom"/>
            <w:hideMark/>
          </w:tcPr>
          <w:p w14:paraId="6890EF8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940 400</w:t>
            </w:r>
          </w:p>
        </w:tc>
        <w:tc>
          <w:tcPr>
            <w:tcW w:w="993" w:type="dxa"/>
            <w:tcBorders>
              <w:top w:val="nil"/>
              <w:left w:val="single" w:sz="4" w:space="0" w:color="auto"/>
              <w:bottom w:val="nil"/>
              <w:right w:val="single" w:sz="8" w:space="0" w:color="auto"/>
            </w:tcBorders>
            <w:shd w:val="clear" w:color="000000" w:fill="FFFFFF"/>
            <w:noWrap/>
            <w:vAlign w:val="bottom"/>
            <w:hideMark/>
          </w:tcPr>
          <w:p w14:paraId="1B4332F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C07FF4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752 320</w:t>
            </w:r>
          </w:p>
        </w:tc>
        <w:tc>
          <w:tcPr>
            <w:tcW w:w="851" w:type="dxa"/>
            <w:tcBorders>
              <w:top w:val="nil"/>
              <w:left w:val="single" w:sz="4" w:space="0" w:color="auto"/>
              <w:bottom w:val="nil"/>
              <w:right w:val="single" w:sz="8" w:space="0" w:color="auto"/>
            </w:tcBorders>
            <w:shd w:val="clear" w:color="000000" w:fill="FFFFFF"/>
            <w:noWrap/>
            <w:vAlign w:val="bottom"/>
            <w:hideMark/>
          </w:tcPr>
          <w:p w14:paraId="59D95229"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131C30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3 009 280</w:t>
            </w:r>
          </w:p>
        </w:tc>
        <w:tc>
          <w:tcPr>
            <w:tcW w:w="1275" w:type="dxa"/>
            <w:tcBorders>
              <w:top w:val="nil"/>
              <w:left w:val="single" w:sz="4" w:space="0" w:color="auto"/>
              <w:bottom w:val="nil"/>
              <w:right w:val="single" w:sz="8" w:space="0" w:color="auto"/>
            </w:tcBorders>
            <w:shd w:val="clear" w:color="000000" w:fill="FFFFFF"/>
            <w:noWrap/>
            <w:vAlign w:val="bottom"/>
            <w:hideMark/>
          </w:tcPr>
          <w:p w14:paraId="6D142F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33 854</w:t>
            </w:r>
          </w:p>
        </w:tc>
        <w:tc>
          <w:tcPr>
            <w:tcW w:w="1276" w:type="dxa"/>
            <w:tcBorders>
              <w:top w:val="nil"/>
              <w:left w:val="single" w:sz="4" w:space="0" w:color="auto"/>
              <w:bottom w:val="nil"/>
              <w:right w:val="single" w:sz="8" w:space="0" w:color="auto"/>
            </w:tcBorders>
            <w:shd w:val="clear" w:color="000000" w:fill="FFFFFF"/>
            <w:noWrap/>
            <w:vAlign w:val="bottom"/>
            <w:hideMark/>
          </w:tcPr>
          <w:p w14:paraId="3A7A84C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3 043 134</w:t>
            </w:r>
          </w:p>
        </w:tc>
      </w:tr>
      <w:tr w:rsidR="00EF31B7" w:rsidRPr="00EF31B7" w14:paraId="4F6E7217"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13A7018"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FINLANDIA</w:t>
            </w:r>
          </w:p>
        </w:tc>
        <w:tc>
          <w:tcPr>
            <w:tcW w:w="1080" w:type="dxa"/>
            <w:tcBorders>
              <w:top w:val="nil"/>
              <w:left w:val="nil"/>
              <w:bottom w:val="nil"/>
              <w:right w:val="nil"/>
            </w:tcBorders>
            <w:shd w:val="clear" w:color="000000" w:fill="C0C0C0"/>
            <w:noWrap/>
            <w:vAlign w:val="center"/>
            <w:hideMark/>
          </w:tcPr>
          <w:p w14:paraId="79EB1B36"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04" w:type="dxa"/>
            <w:tcBorders>
              <w:top w:val="nil"/>
              <w:left w:val="single" w:sz="4" w:space="0" w:color="auto"/>
              <w:bottom w:val="nil"/>
              <w:right w:val="single" w:sz="8" w:space="0" w:color="auto"/>
            </w:tcBorders>
            <w:shd w:val="clear" w:color="000000" w:fill="FFFFFF"/>
            <w:noWrap/>
            <w:vAlign w:val="bottom"/>
            <w:hideMark/>
          </w:tcPr>
          <w:p w14:paraId="4B7FE64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5 281 815</w:t>
            </w:r>
          </w:p>
        </w:tc>
        <w:tc>
          <w:tcPr>
            <w:tcW w:w="993" w:type="dxa"/>
            <w:tcBorders>
              <w:top w:val="nil"/>
              <w:left w:val="single" w:sz="4" w:space="0" w:color="auto"/>
              <w:bottom w:val="nil"/>
              <w:right w:val="single" w:sz="8" w:space="0" w:color="auto"/>
            </w:tcBorders>
            <w:shd w:val="clear" w:color="000000" w:fill="FFFFFF"/>
            <w:noWrap/>
            <w:vAlign w:val="bottom"/>
            <w:hideMark/>
          </w:tcPr>
          <w:p w14:paraId="04B2B8D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135 818</w:t>
            </w:r>
          </w:p>
        </w:tc>
        <w:tc>
          <w:tcPr>
            <w:tcW w:w="1275" w:type="dxa"/>
            <w:tcBorders>
              <w:top w:val="nil"/>
              <w:left w:val="single" w:sz="4" w:space="0" w:color="auto"/>
              <w:bottom w:val="nil"/>
              <w:right w:val="single" w:sz="8" w:space="0" w:color="auto"/>
            </w:tcBorders>
            <w:shd w:val="clear" w:color="000000" w:fill="FFFFFF"/>
            <w:noWrap/>
            <w:vAlign w:val="bottom"/>
            <w:hideMark/>
          </w:tcPr>
          <w:p w14:paraId="576AEC8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3 772 725</w:t>
            </w:r>
          </w:p>
        </w:tc>
        <w:tc>
          <w:tcPr>
            <w:tcW w:w="993" w:type="dxa"/>
            <w:tcBorders>
              <w:top w:val="nil"/>
              <w:left w:val="single" w:sz="4" w:space="0" w:color="auto"/>
              <w:bottom w:val="nil"/>
              <w:right w:val="single" w:sz="8" w:space="0" w:color="auto"/>
            </w:tcBorders>
            <w:shd w:val="clear" w:color="000000" w:fill="FFFFFF"/>
            <w:noWrap/>
            <w:vAlign w:val="bottom"/>
            <w:hideMark/>
          </w:tcPr>
          <w:p w14:paraId="3C009C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E785A8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3 018 180</w:t>
            </w:r>
          </w:p>
        </w:tc>
        <w:tc>
          <w:tcPr>
            <w:tcW w:w="851" w:type="dxa"/>
            <w:tcBorders>
              <w:top w:val="nil"/>
              <w:left w:val="single" w:sz="4" w:space="0" w:color="auto"/>
              <w:bottom w:val="nil"/>
              <w:right w:val="single" w:sz="8" w:space="0" w:color="auto"/>
            </w:tcBorders>
            <w:shd w:val="clear" w:color="000000" w:fill="FFFFFF"/>
            <w:noWrap/>
            <w:vAlign w:val="bottom"/>
            <w:hideMark/>
          </w:tcPr>
          <w:p w14:paraId="6A370912"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5C63F1B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12 072 720</w:t>
            </w:r>
          </w:p>
        </w:tc>
        <w:tc>
          <w:tcPr>
            <w:tcW w:w="1275" w:type="dxa"/>
            <w:tcBorders>
              <w:top w:val="nil"/>
              <w:left w:val="single" w:sz="4" w:space="0" w:color="auto"/>
              <w:bottom w:val="nil"/>
              <w:right w:val="single" w:sz="8" w:space="0" w:color="auto"/>
            </w:tcBorders>
            <w:shd w:val="clear" w:color="000000" w:fill="FFFFFF"/>
            <w:noWrap/>
            <w:vAlign w:val="bottom"/>
            <w:hideMark/>
          </w:tcPr>
          <w:p w14:paraId="013E100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135 818</w:t>
            </w:r>
          </w:p>
        </w:tc>
        <w:tc>
          <w:tcPr>
            <w:tcW w:w="1276" w:type="dxa"/>
            <w:tcBorders>
              <w:top w:val="nil"/>
              <w:left w:val="single" w:sz="4" w:space="0" w:color="auto"/>
              <w:bottom w:val="nil"/>
              <w:right w:val="single" w:sz="8" w:space="0" w:color="auto"/>
            </w:tcBorders>
            <w:shd w:val="clear" w:color="000000" w:fill="FFFFFF"/>
            <w:noWrap/>
            <w:vAlign w:val="bottom"/>
            <w:hideMark/>
          </w:tcPr>
          <w:p w14:paraId="44FA3FCD"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12 208 538</w:t>
            </w:r>
          </w:p>
        </w:tc>
      </w:tr>
      <w:tr w:rsidR="00EF31B7" w:rsidRPr="00EF31B7" w14:paraId="101F2C7A"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B1BC0C2"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SUECIA</w:t>
            </w:r>
          </w:p>
        </w:tc>
        <w:tc>
          <w:tcPr>
            <w:tcW w:w="1080" w:type="dxa"/>
            <w:tcBorders>
              <w:top w:val="nil"/>
              <w:left w:val="nil"/>
              <w:bottom w:val="nil"/>
              <w:right w:val="nil"/>
            </w:tcBorders>
            <w:shd w:val="clear" w:color="000000" w:fill="C0C0C0"/>
            <w:noWrap/>
            <w:vAlign w:val="center"/>
            <w:hideMark/>
          </w:tcPr>
          <w:p w14:paraId="52BEBB9A"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04" w:type="dxa"/>
            <w:tcBorders>
              <w:top w:val="nil"/>
              <w:left w:val="single" w:sz="4" w:space="0" w:color="auto"/>
              <w:bottom w:val="nil"/>
              <w:right w:val="single" w:sz="8" w:space="0" w:color="auto"/>
            </w:tcBorders>
            <w:shd w:val="clear" w:color="000000" w:fill="FFFFFF"/>
            <w:noWrap/>
            <w:vAlign w:val="bottom"/>
            <w:hideMark/>
          </w:tcPr>
          <w:p w14:paraId="7A2FD6B6"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10 286 885</w:t>
            </w:r>
          </w:p>
        </w:tc>
        <w:tc>
          <w:tcPr>
            <w:tcW w:w="993" w:type="dxa"/>
            <w:tcBorders>
              <w:top w:val="nil"/>
              <w:left w:val="single" w:sz="4" w:space="0" w:color="auto"/>
              <w:bottom w:val="nil"/>
              <w:right w:val="single" w:sz="8" w:space="0" w:color="auto"/>
            </w:tcBorders>
            <w:shd w:val="clear" w:color="000000" w:fill="FFFFFF"/>
            <w:noWrap/>
            <w:vAlign w:val="bottom"/>
            <w:hideMark/>
          </w:tcPr>
          <w:p w14:paraId="184D072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264 520</w:t>
            </w:r>
          </w:p>
        </w:tc>
        <w:tc>
          <w:tcPr>
            <w:tcW w:w="1275" w:type="dxa"/>
            <w:tcBorders>
              <w:top w:val="nil"/>
              <w:left w:val="single" w:sz="4" w:space="0" w:color="auto"/>
              <w:bottom w:val="nil"/>
              <w:right w:val="single" w:sz="8" w:space="0" w:color="auto"/>
            </w:tcBorders>
            <w:shd w:val="clear" w:color="000000" w:fill="FFFFFF"/>
            <w:noWrap/>
            <w:vAlign w:val="bottom"/>
            <w:hideMark/>
          </w:tcPr>
          <w:p w14:paraId="5E18CA9F"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7 347 775</w:t>
            </w:r>
          </w:p>
        </w:tc>
        <w:tc>
          <w:tcPr>
            <w:tcW w:w="993" w:type="dxa"/>
            <w:tcBorders>
              <w:top w:val="nil"/>
              <w:left w:val="single" w:sz="4" w:space="0" w:color="auto"/>
              <w:bottom w:val="nil"/>
              <w:right w:val="single" w:sz="8" w:space="0" w:color="auto"/>
            </w:tcBorders>
            <w:shd w:val="clear" w:color="000000" w:fill="FFFFFF"/>
            <w:noWrap/>
            <w:vAlign w:val="bottom"/>
            <w:hideMark/>
          </w:tcPr>
          <w:p w14:paraId="782212F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E3EB2C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5 878 220</w:t>
            </w:r>
          </w:p>
        </w:tc>
        <w:tc>
          <w:tcPr>
            <w:tcW w:w="851" w:type="dxa"/>
            <w:tcBorders>
              <w:top w:val="nil"/>
              <w:left w:val="single" w:sz="4" w:space="0" w:color="auto"/>
              <w:bottom w:val="nil"/>
              <w:right w:val="single" w:sz="8" w:space="0" w:color="auto"/>
            </w:tcBorders>
            <w:shd w:val="clear" w:color="000000" w:fill="FFFFFF"/>
            <w:noWrap/>
            <w:vAlign w:val="bottom"/>
            <w:hideMark/>
          </w:tcPr>
          <w:p w14:paraId="565E1BF1"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7362D29A"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23 512 880</w:t>
            </w:r>
          </w:p>
        </w:tc>
        <w:tc>
          <w:tcPr>
            <w:tcW w:w="1275" w:type="dxa"/>
            <w:tcBorders>
              <w:top w:val="nil"/>
              <w:left w:val="single" w:sz="4" w:space="0" w:color="auto"/>
              <w:bottom w:val="nil"/>
              <w:right w:val="single" w:sz="8" w:space="0" w:color="auto"/>
            </w:tcBorders>
            <w:shd w:val="clear" w:color="000000" w:fill="FFFFFF"/>
            <w:noWrap/>
            <w:vAlign w:val="bottom"/>
            <w:hideMark/>
          </w:tcPr>
          <w:p w14:paraId="313646E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264 520</w:t>
            </w:r>
          </w:p>
        </w:tc>
        <w:tc>
          <w:tcPr>
            <w:tcW w:w="1276" w:type="dxa"/>
            <w:tcBorders>
              <w:top w:val="nil"/>
              <w:left w:val="single" w:sz="4" w:space="0" w:color="auto"/>
              <w:bottom w:val="nil"/>
              <w:right w:val="single" w:sz="8" w:space="0" w:color="auto"/>
            </w:tcBorders>
            <w:shd w:val="clear" w:color="000000" w:fill="FFFFFF"/>
            <w:noWrap/>
            <w:vAlign w:val="bottom"/>
            <w:hideMark/>
          </w:tcPr>
          <w:p w14:paraId="0A4B91A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23 777 400</w:t>
            </w:r>
          </w:p>
        </w:tc>
      </w:tr>
      <w:tr w:rsidR="00EF31B7" w:rsidRPr="00EF31B7" w14:paraId="4C9E8335" w14:textId="77777777" w:rsidTr="00EF31B7">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6FA0D61" w14:textId="77777777" w:rsidR="00EF31B7" w:rsidRPr="00EF31B7" w:rsidRDefault="00EF31B7" w:rsidP="00EF31B7">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REINO UNIDO</w:t>
            </w:r>
          </w:p>
        </w:tc>
        <w:tc>
          <w:tcPr>
            <w:tcW w:w="1080" w:type="dxa"/>
            <w:tcBorders>
              <w:top w:val="nil"/>
              <w:left w:val="nil"/>
              <w:bottom w:val="nil"/>
              <w:right w:val="nil"/>
            </w:tcBorders>
            <w:shd w:val="clear" w:color="000000" w:fill="C0C0C0"/>
            <w:noWrap/>
            <w:vAlign w:val="center"/>
            <w:hideMark/>
          </w:tcPr>
          <w:p w14:paraId="11DFF98A" w14:textId="77777777" w:rsidR="00EF31B7" w:rsidRPr="00EF31B7" w:rsidRDefault="00EF31B7" w:rsidP="00EF31B7">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04" w:type="dxa"/>
            <w:tcBorders>
              <w:top w:val="nil"/>
              <w:left w:val="single" w:sz="4" w:space="0" w:color="auto"/>
              <w:bottom w:val="nil"/>
              <w:right w:val="single" w:sz="8" w:space="0" w:color="auto"/>
            </w:tcBorders>
            <w:shd w:val="clear" w:color="000000" w:fill="FFFFFF"/>
            <w:noWrap/>
            <w:vAlign w:val="bottom"/>
            <w:hideMark/>
          </w:tcPr>
          <w:p w14:paraId="5874D88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51 375 170</w:t>
            </w:r>
          </w:p>
        </w:tc>
        <w:tc>
          <w:tcPr>
            <w:tcW w:w="993" w:type="dxa"/>
            <w:tcBorders>
              <w:top w:val="nil"/>
              <w:left w:val="single" w:sz="4" w:space="0" w:color="auto"/>
              <w:bottom w:val="nil"/>
              <w:right w:val="single" w:sz="8" w:space="0" w:color="auto"/>
            </w:tcBorders>
            <w:shd w:val="clear" w:color="000000" w:fill="FFFFFF"/>
            <w:noWrap/>
            <w:vAlign w:val="bottom"/>
            <w:hideMark/>
          </w:tcPr>
          <w:p w14:paraId="15A4ACFC"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1 321 076</w:t>
            </w:r>
          </w:p>
        </w:tc>
        <w:tc>
          <w:tcPr>
            <w:tcW w:w="1275" w:type="dxa"/>
            <w:tcBorders>
              <w:top w:val="nil"/>
              <w:left w:val="single" w:sz="4" w:space="0" w:color="auto"/>
              <w:bottom w:val="nil"/>
              <w:right w:val="single" w:sz="8" w:space="0" w:color="auto"/>
            </w:tcBorders>
            <w:shd w:val="clear" w:color="000000" w:fill="FFFFFF"/>
            <w:noWrap/>
            <w:vAlign w:val="bottom"/>
            <w:hideMark/>
          </w:tcPr>
          <w:p w14:paraId="698CFA83"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36 696 550</w:t>
            </w:r>
          </w:p>
        </w:tc>
        <w:tc>
          <w:tcPr>
            <w:tcW w:w="993" w:type="dxa"/>
            <w:tcBorders>
              <w:top w:val="nil"/>
              <w:left w:val="single" w:sz="4" w:space="0" w:color="auto"/>
              <w:bottom w:val="nil"/>
              <w:right w:val="single" w:sz="8" w:space="0" w:color="auto"/>
            </w:tcBorders>
            <w:shd w:val="clear" w:color="000000" w:fill="FFFFFF"/>
            <w:noWrap/>
            <w:vAlign w:val="bottom"/>
            <w:hideMark/>
          </w:tcPr>
          <w:p w14:paraId="607371EB"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E627A7"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29 357 240</w:t>
            </w:r>
          </w:p>
        </w:tc>
        <w:tc>
          <w:tcPr>
            <w:tcW w:w="851" w:type="dxa"/>
            <w:tcBorders>
              <w:top w:val="nil"/>
              <w:left w:val="single" w:sz="4" w:space="0" w:color="auto"/>
              <w:bottom w:val="nil"/>
              <w:right w:val="single" w:sz="8" w:space="0" w:color="auto"/>
            </w:tcBorders>
            <w:shd w:val="clear" w:color="000000" w:fill="FFFFFF"/>
            <w:noWrap/>
            <w:vAlign w:val="bottom"/>
            <w:hideMark/>
          </w:tcPr>
          <w:p w14:paraId="638BFEFE"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6" w:type="dxa"/>
            <w:tcBorders>
              <w:top w:val="nil"/>
              <w:left w:val="single" w:sz="4" w:space="0" w:color="auto"/>
              <w:bottom w:val="nil"/>
              <w:right w:val="single" w:sz="8" w:space="0" w:color="auto"/>
            </w:tcBorders>
            <w:shd w:val="clear" w:color="000000" w:fill="FFFFFF"/>
            <w:noWrap/>
            <w:vAlign w:val="bottom"/>
            <w:hideMark/>
          </w:tcPr>
          <w:p w14:paraId="0CC24180"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117 428 960</w:t>
            </w:r>
          </w:p>
        </w:tc>
        <w:tc>
          <w:tcPr>
            <w:tcW w:w="1275" w:type="dxa"/>
            <w:tcBorders>
              <w:top w:val="nil"/>
              <w:left w:val="single" w:sz="4" w:space="0" w:color="auto"/>
              <w:bottom w:val="nil"/>
              <w:right w:val="single" w:sz="8" w:space="0" w:color="auto"/>
            </w:tcBorders>
            <w:shd w:val="clear" w:color="000000" w:fill="FFFFFF"/>
            <w:noWrap/>
            <w:vAlign w:val="bottom"/>
            <w:hideMark/>
          </w:tcPr>
          <w:p w14:paraId="13577C35"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1 321 076</w:t>
            </w:r>
          </w:p>
        </w:tc>
        <w:tc>
          <w:tcPr>
            <w:tcW w:w="1276" w:type="dxa"/>
            <w:tcBorders>
              <w:top w:val="nil"/>
              <w:left w:val="single" w:sz="4" w:space="0" w:color="auto"/>
              <w:bottom w:val="nil"/>
              <w:right w:val="single" w:sz="8" w:space="0" w:color="auto"/>
            </w:tcBorders>
            <w:shd w:val="clear" w:color="000000" w:fill="FFFFFF"/>
            <w:noWrap/>
            <w:vAlign w:val="bottom"/>
            <w:hideMark/>
          </w:tcPr>
          <w:p w14:paraId="1E44B348" w14:textId="77777777" w:rsidR="00EF31B7" w:rsidRPr="00EF31B7" w:rsidRDefault="00EF31B7" w:rsidP="00EF31B7">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118 750 036</w:t>
            </w:r>
          </w:p>
        </w:tc>
      </w:tr>
      <w:tr w:rsidR="00EF31B7" w:rsidRPr="00EF31B7" w14:paraId="02C96CDD" w14:textId="77777777" w:rsidTr="00EF31B7">
        <w:trPr>
          <w:trHeight w:val="282"/>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81C6EFA" w14:textId="77777777" w:rsidR="00EF31B7" w:rsidRPr="00EF31B7" w:rsidRDefault="00EF31B7" w:rsidP="00EF31B7">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EU-27 Y REINO UNIDO</w:t>
            </w:r>
          </w:p>
        </w:tc>
        <w:tc>
          <w:tcPr>
            <w:tcW w:w="1080" w:type="dxa"/>
            <w:tcBorders>
              <w:top w:val="single" w:sz="4" w:space="0" w:color="auto"/>
              <w:left w:val="nil"/>
              <w:bottom w:val="single" w:sz="4" w:space="0" w:color="auto"/>
              <w:right w:val="nil"/>
            </w:tcBorders>
            <w:shd w:val="clear" w:color="000000" w:fill="BFBFBF"/>
            <w:noWrap/>
            <w:vAlign w:val="center"/>
            <w:hideMark/>
          </w:tcPr>
          <w:p w14:paraId="75DA6E25" w14:textId="77777777" w:rsidR="00EF31B7" w:rsidRPr="00EF31B7" w:rsidRDefault="00EF31B7" w:rsidP="00EF31B7">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57C06F0F"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0C7188C4"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9 000 000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A987368"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590636D"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F43362C"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200 000 000</w:t>
            </w:r>
          </w:p>
        </w:tc>
        <w:tc>
          <w:tcPr>
            <w:tcW w:w="851"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0820D33"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6"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84147D9"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800 000 000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7B6E465E"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9 000 000</w:t>
            </w:r>
          </w:p>
        </w:tc>
        <w:tc>
          <w:tcPr>
            <w:tcW w:w="127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08E6BC6" w14:textId="77777777" w:rsidR="00EF31B7" w:rsidRPr="00EF31B7" w:rsidRDefault="00EF31B7" w:rsidP="00EF31B7">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809 000 000</w:t>
            </w:r>
          </w:p>
        </w:tc>
      </w:tr>
    </w:tbl>
    <w:p w14:paraId="09DC10F0" w14:textId="77777777" w:rsidR="008B1305" w:rsidRDefault="00501918" w:rsidP="008B1305">
      <w:pPr>
        <w:pStyle w:val="Text1"/>
        <w:ind w:left="0"/>
        <w:rPr>
          <w:noProof/>
          <w:sz w:val="16"/>
          <w:szCs w:val="16"/>
        </w:rPr>
      </w:pPr>
      <w:r>
        <w:rPr>
          <w:noProof/>
          <w:sz w:val="16"/>
        </w:rPr>
        <w:t>* El importe de las contribuciones presentadas en el cuadro no incluye el posible reembolso de los fondos liberados del 9.º FED a los Estados miembros y al Reino Unido; ni tampoco el reembolso de los fondos liberados del 10.º y del 11.º FED al Reino Unido.</w:t>
      </w:r>
    </w:p>
    <w:p w14:paraId="577CB64C" w14:textId="4DB024B8" w:rsidR="00EF31B7" w:rsidRPr="00501918" w:rsidRDefault="00EF31B7" w:rsidP="008B1305">
      <w:pPr>
        <w:pStyle w:val="Text1"/>
        <w:ind w:left="0"/>
        <w:rPr>
          <w:noProof/>
          <w:sz w:val="16"/>
          <w:szCs w:val="16"/>
        </w:rPr>
        <w:sectPr w:rsidR="00EF31B7" w:rsidRPr="00501918" w:rsidSect="00A12EBE">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1440" w:bottom="1440" w:left="1440" w:header="709" w:footer="709" w:gutter="0"/>
          <w:cols w:space="720"/>
          <w:docGrid w:linePitch="360"/>
        </w:sectPr>
      </w:pPr>
      <w:r>
        <w:rPr>
          <w:noProof/>
          <w:sz w:val="16"/>
        </w:rPr>
        <w:t>** El BEI habrá solicitado la totalidad de su cuota del 11.º FED de aquí a finales de 2025.</w:t>
      </w:r>
    </w:p>
    <w:p w14:paraId="5FAF3DC7" w14:textId="5A7C612D" w:rsidR="00C57A0B" w:rsidRDefault="00C57A0B" w:rsidP="00C57A0B">
      <w:pPr>
        <w:pStyle w:val="Heading2"/>
        <w:spacing w:after="0"/>
        <w:rPr>
          <w:noProof/>
        </w:rPr>
      </w:pPr>
      <w:r>
        <w:rPr>
          <w:noProof/>
        </w:rPr>
        <w:t>Anexo 5: Contribuciones de los Estados miembros y del Reino Unido en 2026 (en EUR)*</w:t>
      </w:r>
    </w:p>
    <w:tbl>
      <w:tblPr>
        <w:tblW w:w="13036" w:type="dxa"/>
        <w:tblLook w:val="04A0" w:firstRow="1" w:lastRow="0" w:firstColumn="1" w:lastColumn="0" w:noHBand="0" w:noVBand="1"/>
      </w:tblPr>
      <w:tblGrid>
        <w:gridCol w:w="1780"/>
        <w:gridCol w:w="1080"/>
        <w:gridCol w:w="1104"/>
        <w:gridCol w:w="1134"/>
        <w:gridCol w:w="1134"/>
        <w:gridCol w:w="993"/>
        <w:gridCol w:w="1275"/>
        <w:gridCol w:w="993"/>
        <w:gridCol w:w="1275"/>
        <w:gridCol w:w="1134"/>
        <w:gridCol w:w="1134"/>
      </w:tblGrid>
      <w:tr w:rsidR="00A50E06" w:rsidRPr="00A50E06" w14:paraId="7F5DB1F5" w14:textId="77777777" w:rsidTr="00A50E06">
        <w:trPr>
          <w:trHeight w:val="282"/>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645420" w14:textId="77777777" w:rsidR="00A50E06" w:rsidRPr="00A50E06" w:rsidRDefault="00A50E06" w:rsidP="00A50E06">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ESTADOS MIEMBROS Y REINO UNIDO</w:t>
            </w:r>
          </w:p>
        </w:tc>
        <w:tc>
          <w:tcPr>
            <w:tcW w:w="1080" w:type="dxa"/>
            <w:vMerge w:val="restart"/>
            <w:tcBorders>
              <w:top w:val="single" w:sz="4" w:space="0" w:color="auto"/>
              <w:left w:val="single" w:sz="4" w:space="0" w:color="auto"/>
              <w:bottom w:val="single" w:sz="4" w:space="0" w:color="000000"/>
              <w:right w:val="nil"/>
            </w:tcBorders>
            <w:shd w:val="clear" w:color="000000" w:fill="C0C0C0"/>
            <w:vAlign w:val="center"/>
            <w:hideMark/>
          </w:tcPr>
          <w:p w14:paraId="23FC00C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Clave de reparto del 11.º FED (%)</w:t>
            </w:r>
          </w:p>
        </w:tc>
        <w:tc>
          <w:tcPr>
            <w:tcW w:w="223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B6B221"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1.</w:t>
            </w:r>
            <w:r>
              <w:rPr>
                <w:rFonts w:ascii="Times New Roman" w:hAnsi="Times New Roman"/>
                <w:b/>
                <w:noProof/>
                <w:sz w:val="16"/>
                <w:vertAlign w:val="superscript"/>
              </w:rPr>
              <w:t>er</w:t>
            </w:r>
            <w:r>
              <w:rPr>
                <w:rFonts w:ascii="Times New Roman" w:hAnsi="Times New Roman"/>
                <w:b/>
                <w:noProof/>
                <w:sz w:val="16"/>
              </w:rPr>
              <w:t xml:space="preserve"> tramo</w:t>
            </w:r>
          </w:p>
        </w:tc>
        <w:tc>
          <w:tcPr>
            <w:tcW w:w="2127" w:type="dxa"/>
            <w:gridSpan w:val="2"/>
            <w:tcBorders>
              <w:top w:val="single" w:sz="8" w:space="0" w:color="auto"/>
              <w:left w:val="nil"/>
              <w:bottom w:val="single" w:sz="8" w:space="0" w:color="auto"/>
              <w:right w:val="single" w:sz="4" w:space="0" w:color="auto"/>
            </w:tcBorders>
            <w:shd w:val="clear" w:color="auto" w:fill="auto"/>
            <w:noWrap/>
            <w:vAlign w:val="center"/>
            <w:hideMark/>
          </w:tcPr>
          <w:p w14:paraId="1CDC6A11"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2.º tramo</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DDCBFE"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3.</w:t>
            </w:r>
            <w:r>
              <w:rPr>
                <w:rFonts w:ascii="Times New Roman" w:hAnsi="Times New Roman"/>
                <w:b/>
                <w:noProof/>
                <w:sz w:val="16"/>
                <w:vertAlign w:val="superscript"/>
              </w:rPr>
              <w:t>er</w:t>
            </w:r>
            <w:r>
              <w:rPr>
                <w:rFonts w:ascii="Times New Roman" w:hAnsi="Times New Roman"/>
                <w:b/>
                <w:noProof/>
                <w:sz w:val="16"/>
              </w:rPr>
              <w:t xml:space="preserve"> tramo</w:t>
            </w:r>
          </w:p>
        </w:tc>
        <w:tc>
          <w:tcPr>
            <w:tcW w:w="1275" w:type="dxa"/>
            <w:vMerge w:val="restart"/>
            <w:tcBorders>
              <w:top w:val="single" w:sz="8" w:space="0" w:color="auto"/>
              <w:left w:val="nil"/>
              <w:bottom w:val="single" w:sz="8" w:space="0" w:color="000000"/>
              <w:right w:val="nil"/>
            </w:tcBorders>
            <w:shd w:val="clear" w:color="auto" w:fill="auto"/>
            <w:vAlign w:val="center"/>
            <w:hideMark/>
          </w:tcPr>
          <w:p w14:paraId="2DE7A37F"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w:t>
            </w:r>
            <w:r>
              <w:rPr>
                <w:rFonts w:ascii="Times New Roman" w:hAnsi="Times New Roman"/>
                <w:b/>
                <w:noProof/>
                <w:sz w:val="16"/>
              </w:rPr>
              <w:br/>
              <w:t>Comisión</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77F8E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BEI**</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94B7D8" w14:textId="77777777" w:rsidR="00A50E06" w:rsidRPr="00A50E06" w:rsidRDefault="00A50E06" w:rsidP="00A50E06">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Total 2026</w:t>
            </w:r>
          </w:p>
        </w:tc>
      </w:tr>
      <w:tr w:rsidR="00A50E06" w:rsidRPr="00A50E06" w14:paraId="36A61B8E" w14:textId="77777777" w:rsidTr="00A50E06">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4880F1B3"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15C536DF"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nil"/>
              <w:right w:val="single" w:sz="4" w:space="0" w:color="auto"/>
            </w:tcBorders>
            <w:shd w:val="clear" w:color="auto" w:fill="auto"/>
            <w:noWrap/>
            <w:vAlign w:val="bottom"/>
            <w:hideMark/>
          </w:tcPr>
          <w:p w14:paraId="49D6D07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1134" w:type="dxa"/>
            <w:tcBorders>
              <w:top w:val="nil"/>
              <w:left w:val="nil"/>
              <w:bottom w:val="nil"/>
              <w:right w:val="single" w:sz="8" w:space="0" w:color="auto"/>
            </w:tcBorders>
            <w:shd w:val="clear" w:color="auto" w:fill="auto"/>
            <w:noWrap/>
            <w:vAlign w:val="bottom"/>
            <w:hideMark/>
          </w:tcPr>
          <w:p w14:paraId="5109568D"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134" w:type="dxa"/>
            <w:tcBorders>
              <w:top w:val="nil"/>
              <w:left w:val="nil"/>
              <w:bottom w:val="nil"/>
              <w:right w:val="single" w:sz="4" w:space="0" w:color="auto"/>
            </w:tcBorders>
            <w:shd w:val="clear" w:color="auto" w:fill="auto"/>
            <w:noWrap/>
            <w:vAlign w:val="bottom"/>
            <w:hideMark/>
          </w:tcPr>
          <w:p w14:paraId="6E4A44D3"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993" w:type="dxa"/>
            <w:tcBorders>
              <w:top w:val="nil"/>
              <w:left w:val="nil"/>
              <w:bottom w:val="nil"/>
              <w:right w:val="nil"/>
            </w:tcBorders>
            <w:shd w:val="clear" w:color="auto" w:fill="auto"/>
            <w:noWrap/>
            <w:vAlign w:val="bottom"/>
            <w:hideMark/>
          </w:tcPr>
          <w:p w14:paraId="323F382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275" w:type="dxa"/>
            <w:tcBorders>
              <w:top w:val="nil"/>
              <w:left w:val="single" w:sz="8" w:space="0" w:color="auto"/>
              <w:bottom w:val="nil"/>
              <w:right w:val="single" w:sz="4" w:space="0" w:color="auto"/>
            </w:tcBorders>
            <w:shd w:val="clear" w:color="auto" w:fill="auto"/>
            <w:noWrap/>
            <w:vAlign w:val="bottom"/>
            <w:hideMark/>
          </w:tcPr>
          <w:p w14:paraId="3E5B1B59"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993" w:type="dxa"/>
            <w:tcBorders>
              <w:top w:val="nil"/>
              <w:left w:val="nil"/>
              <w:bottom w:val="nil"/>
              <w:right w:val="single" w:sz="8" w:space="0" w:color="auto"/>
            </w:tcBorders>
            <w:shd w:val="clear" w:color="auto" w:fill="auto"/>
            <w:noWrap/>
            <w:vAlign w:val="bottom"/>
            <w:hideMark/>
          </w:tcPr>
          <w:p w14:paraId="4834E89E"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275" w:type="dxa"/>
            <w:vMerge/>
            <w:tcBorders>
              <w:top w:val="single" w:sz="8" w:space="0" w:color="auto"/>
              <w:left w:val="nil"/>
              <w:bottom w:val="single" w:sz="8" w:space="0" w:color="000000"/>
              <w:right w:val="nil"/>
            </w:tcBorders>
            <w:vAlign w:val="center"/>
            <w:hideMark/>
          </w:tcPr>
          <w:p w14:paraId="30CCD396"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CDDE155"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1A4A6E"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r>
      <w:tr w:rsidR="00A50E06" w:rsidRPr="00A50E06" w14:paraId="6B2D3FBC" w14:textId="77777777" w:rsidTr="00A50E06">
        <w:trPr>
          <w:trHeight w:val="225"/>
        </w:trPr>
        <w:tc>
          <w:tcPr>
            <w:tcW w:w="1780" w:type="dxa"/>
            <w:vMerge/>
            <w:tcBorders>
              <w:top w:val="single" w:sz="4" w:space="0" w:color="auto"/>
              <w:left w:val="single" w:sz="4" w:space="0" w:color="auto"/>
              <w:bottom w:val="single" w:sz="4" w:space="0" w:color="000000"/>
              <w:right w:val="single" w:sz="4" w:space="0" w:color="auto"/>
            </w:tcBorders>
            <w:vAlign w:val="center"/>
            <w:hideMark/>
          </w:tcPr>
          <w:p w14:paraId="1D7BD5E7"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080" w:type="dxa"/>
            <w:vMerge/>
            <w:tcBorders>
              <w:top w:val="single" w:sz="4" w:space="0" w:color="auto"/>
              <w:left w:val="single" w:sz="4" w:space="0" w:color="auto"/>
              <w:bottom w:val="single" w:sz="4" w:space="0" w:color="000000"/>
              <w:right w:val="nil"/>
            </w:tcBorders>
            <w:vAlign w:val="center"/>
            <w:hideMark/>
          </w:tcPr>
          <w:p w14:paraId="32C9C50D"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04" w:type="dxa"/>
            <w:tcBorders>
              <w:top w:val="nil"/>
              <w:left w:val="single" w:sz="8" w:space="0" w:color="auto"/>
              <w:bottom w:val="single" w:sz="8" w:space="0" w:color="auto"/>
              <w:right w:val="single" w:sz="4" w:space="0" w:color="auto"/>
            </w:tcBorders>
            <w:shd w:val="clear" w:color="auto" w:fill="auto"/>
            <w:noWrap/>
            <w:vAlign w:val="bottom"/>
            <w:hideMark/>
          </w:tcPr>
          <w:p w14:paraId="01995E2A"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 FED</w:t>
            </w:r>
          </w:p>
        </w:tc>
        <w:tc>
          <w:tcPr>
            <w:tcW w:w="1134" w:type="dxa"/>
            <w:tcBorders>
              <w:top w:val="nil"/>
              <w:left w:val="nil"/>
              <w:bottom w:val="single" w:sz="8" w:space="0" w:color="auto"/>
              <w:right w:val="single" w:sz="8" w:space="0" w:color="auto"/>
            </w:tcBorders>
            <w:shd w:val="clear" w:color="auto" w:fill="auto"/>
            <w:noWrap/>
            <w:vAlign w:val="bottom"/>
            <w:hideMark/>
          </w:tcPr>
          <w:p w14:paraId="73BE2DF2"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134" w:type="dxa"/>
            <w:tcBorders>
              <w:top w:val="nil"/>
              <w:left w:val="nil"/>
              <w:bottom w:val="single" w:sz="8" w:space="0" w:color="auto"/>
              <w:right w:val="single" w:sz="4" w:space="0" w:color="auto"/>
            </w:tcBorders>
            <w:shd w:val="clear" w:color="auto" w:fill="auto"/>
            <w:noWrap/>
            <w:vAlign w:val="bottom"/>
            <w:hideMark/>
          </w:tcPr>
          <w:p w14:paraId="61F5A210"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993" w:type="dxa"/>
            <w:tcBorders>
              <w:top w:val="nil"/>
              <w:left w:val="nil"/>
              <w:bottom w:val="single" w:sz="8" w:space="0" w:color="auto"/>
              <w:right w:val="nil"/>
            </w:tcBorders>
            <w:shd w:val="clear" w:color="auto" w:fill="auto"/>
            <w:noWrap/>
            <w:vAlign w:val="bottom"/>
            <w:hideMark/>
          </w:tcPr>
          <w:p w14:paraId="27571CA7"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275" w:type="dxa"/>
            <w:tcBorders>
              <w:top w:val="nil"/>
              <w:left w:val="single" w:sz="8" w:space="0" w:color="auto"/>
              <w:bottom w:val="single" w:sz="8" w:space="0" w:color="auto"/>
              <w:right w:val="single" w:sz="4" w:space="0" w:color="auto"/>
            </w:tcBorders>
            <w:shd w:val="clear" w:color="auto" w:fill="auto"/>
            <w:noWrap/>
            <w:vAlign w:val="bottom"/>
            <w:hideMark/>
          </w:tcPr>
          <w:p w14:paraId="53F2E82A"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993" w:type="dxa"/>
            <w:tcBorders>
              <w:top w:val="nil"/>
              <w:left w:val="nil"/>
              <w:bottom w:val="single" w:sz="8" w:space="0" w:color="auto"/>
              <w:right w:val="single" w:sz="8" w:space="0" w:color="auto"/>
            </w:tcBorders>
            <w:shd w:val="clear" w:color="auto" w:fill="auto"/>
            <w:noWrap/>
            <w:vAlign w:val="bottom"/>
            <w:hideMark/>
          </w:tcPr>
          <w:p w14:paraId="28C187A0" w14:textId="77777777" w:rsidR="00A50E06" w:rsidRPr="00A50E06" w:rsidRDefault="00A50E06" w:rsidP="00A50E06">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275" w:type="dxa"/>
            <w:vMerge/>
            <w:tcBorders>
              <w:top w:val="single" w:sz="8" w:space="0" w:color="auto"/>
              <w:left w:val="nil"/>
              <w:bottom w:val="single" w:sz="8" w:space="0" w:color="000000"/>
              <w:right w:val="nil"/>
            </w:tcBorders>
            <w:vAlign w:val="center"/>
            <w:hideMark/>
          </w:tcPr>
          <w:p w14:paraId="237CBBF9"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34417CD"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651CCDE" w14:textId="77777777" w:rsidR="00A50E06" w:rsidRPr="00A50E06" w:rsidRDefault="00A50E06" w:rsidP="00A50E06">
            <w:pPr>
              <w:spacing w:after="0" w:line="240" w:lineRule="auto"/>
              <w:rPr>
                <w:rFonts w:ascii="Times New Roman" w:eastAsia="Times New Roman" w:hAnsi="Times New Roman" w:cs="Times New Roman"/>
                <w:b/>
                <w:bCs/>
                <w:noProof/>
                <w:sz w:val="16"/>
                <w:szCs w:val="16"/>
                <w:lang w:val="en-IE" w:eastAsia="en-IE"/>
              </w:rPr>
            </w:pPr>
          </w:p>
        </w:tc>
      </w:tr>
      <w:tr w:rsidR="00A50E06" w:rsidRPr="00A50E06" w14:paraId="3BEC78E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1F2ED0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BÉLGICA</w:t>
            </w:r>
          </w:p>
        </w:tc>
        <w:tc>
          <w:tcPr>
            <w:tcW w:w="1080" w:type="dxa"/>
            <w:tcBorders>
              <w:top w:val="nil"/>
              <w:left w:val="nil"/>
              <w:bottom w:val="nil"/>
              <w:right w:val="nil"/>
            </w:tcBorders>
            <w:shd w:val="clear" w:color="000000" w:fill="C0C0C0"/>
            <w:noWrap/>
            <w:vAlign w:val="center"/>
            <w:hideMark/>
          </w:tcPr>
          <w:p w14:paraId="1F7C2EBD"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3,24927</w:t>
            </w:r>
          </w:p>
        </w:tc>
        <w:tc>
          <w:tcPr>
            <w:tcW w:w="1104" w:type="dxa"/>
            <w:tcBorders>
              <w:top w:val="nil"/>
              <w:left w:val="single" w:sz="4" w:space="0" w:color="auto"/>
              <w:bottom w:val="nil"/>
              <w:right w:val="single" w:sz="8" w:space="0" w:color="auto"/>
            </w:tcBorders>
            <w:shd w:val="clear" w:color="000000" w:fill="FFFFFF"/>
            <w:noWrap/>
            <w:vAlign w:val="bottom"/>
            <w:hideMark/>
          </w:tcPr>
          <w:p w14:paraId="7A19D28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9 747 810</w:t>
            </w:r>
          </w:p>
        </w:tc>
        <w:tc>
          <w:tcPr>
            <w:tcW w:w="1134" w:type="dxa"/>
            <w:tcBorders>
              <w:top w:val="nil"/>
              <w:left w:val="single" w:sz="4" w:space="0" w:color="auto"/>
              <w:bottom w:val="nil"/>
              <w:right w:val="single" w:sz="8" w:space="0" w:color="auto"/>
            </w:tcBorders>
            <w:shd w:val="clear" w:color="000000" w:fill="FFFFFF"/>
            <w:noWrap/>
            <w:vAlign w:val="bottom"/>
            <w:hideMark/>
          </w:tcPr>
          <w:p w14:paraId="4BAED5B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D49C8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8 123 175</w:t>
            </w:r>
          </w:p>
        </w:tc>
        <w:tc>
          <w:tcPr>
            <w:tcW w:w="993" w:type="dxa"/>
            <w:tcBorders>
              <w:top w:val="nil"/>
              <w:left w:val="single" w:sz="4" w:space="0" w:color="auto"/>
              <w:bottom w:val="nil"/>
              <w:right w:val="single" w:sz="8" w:space="0" w:color="auto"/>
            </w:tcBorders>
            <w:shd w:val="clear" w:color="000000" w:fill="FFFFFF"/>
            <w:noWrap/>
            <w:vAlign w:val="bottom"/>
            <w:hideMark/>
          </w:tcPr>
          <w:p w14:paraId="62A6CCC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40AF17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4 873 905</w:t>
            </w:r>
          </w:p>
        </w:tc>
        <w:tc>
          <w:tcPr>
            <w:tcW w:w="993" w:type="dxa"/>
            <w:tcBorders>
              <w:top w:val="nil"/>
              <w:left w:val="single" w:sz="4" w:space="0" w:color="auto"/>
              <w:bottom w:val="nil"/>
              <w:right w:val="single" w:sz="8" w:space="0" w:color="auto"/>
            </w:tcBorders>
            <w:shd w:val="clear" w:color="000000" w:fill="FFFFFF"/>
            <w:noWrap/>
            <w:vAlign w:val="bottom"/>
            <w:hideMark/>
          </w:tcPr>
          <w:p w14:paraId="22DF4A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3F1D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22 744 890</w:t>
            </w:r>
          </w:p>
        </w:tc>
        <w:tc>
          <w:tcPr>
            <w:tcW w:w="1134" w:type="dxa"/>
            <w:tcBorders>
              <w:top w:val="nil"/>
              <w:left w:val="single" w:sz="4" w:space="0" w:color="auto"/>
              <w:bottom w:val="nil"/>
              <w:right w:val="single" w:sz="8" w:space="0" w:color="auto"/>
            </w:tcBorders>
            <w:shd w:val="clear" w:color="000000" w:fill="FFFFFF"/>
            <w:noWrap/>
            <w:vAlign w:val="bottom"/>
            <w:hideMark/>
          </w:tcPr>
          <w:p w14:paraId="6F50A43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3B7C42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22 744 890</w:t>
            </w:r>
          </w:p>
        </w:tc>
      </w:tr>
      <w:tr w:rsidR="00A50E06" w:rsidRPr="00A50E06" w14:paraId="3D71423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9E768B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BULGARIA</w:t>
            </w:r>
          </w:p>
        </w:tc>
        <w:tc>
          <w:tcPr>
            <w:tcW w:w="1080" w:type="dxa"/>
            <w:tcBorders>
              <w:top w:val="nil"/>
              <w:left w:val="nil"/>
              <w:bottom w:val="nil"/>
              <w:right w:val="nil"/>
            </w:tcBorders>
            <w:shd w:val="clear" w:color="000000" w:fill="C0C0C0"/>
            <w:noWrap/>
            <w:vAlign w:val="center"/>
            <w:hideMark/>
          </w:tcPr>
          <w:p w14:paraId="3DA85DA4"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0,21853</w:t>
            </w:r>
          </w:p>
        </w:tc>
        <w:tc>
          <w:tcPr>
            <w:tcW w:w="1104" w:type="dxa"/>
            <w:tcBorders>
              <w:top w:val="nil"/>
              <w:left w:val="single" w:sz="4" w:space="0" w:color="auto"/>
              <w:bottom w:val="nil"/>
              <w:right w:val="single" w:sz="8" w:space="0" w:color="auto"/>
            </w:tcBorders>
            <w:shd w:val="clear" w:color="000000" w:fill="FFFFFF"/>
            <w:noWrap/>
            <w:vAlign w:val="bottom"/>
            <w:hideMark/>
          </w:tcPr>
          <w:p w14:paraId="7F1D227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655 590</w:t>
            </w:r>
          </w:p>
        </w:tc>
        <w:tc>
          <w:tcPr>
            <w:tcW w:w="1134" w:type="dxa"/>
            <w:tcBorders>
              <w:top w:val="nil"/>
              <w:left w:val="single" w:sz="4" w:space="0" w:color="auto"/>
              <w:bottom w:val="nil"/>
              <w:right w:val="single" w:sz="8" w:space="0" w:color="auto"/>
            </w:tcBorders>
            <w:shd w:val="clear" w:color="000000" w:fill="FFFFFF"/>
            <w:noWrap/>
            <w:vAlign w:val="bottom"/>
            <w:hideMark/>
          </w:tcPr>
          <w:p w14:paraId="1BC0DAF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09C3EF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546 325</w:t>
            </w:r>
          </w:p>
        </w:tc>
        <w:tc>
          <w:tcPr>
            <w:tcW w:w="993" w:type="dxa"/>
            <w:tcBorders>
              <w:top w:val="nil"/>
              <w:left w:val="single" w:sz="4" w:space="0" w:color="auto"/>
              <w:bottom w:val="nil"/>
              <w:right w:val="single" w:sz="8" w:space="0" w:color="auto"/>
            </w:tcBorders>
            <w:shd w:val="clear" w:color="000000" w:fill="FFFFFF"/>
            <w:noWrap/>
            <w:vAlign w:val="bottom"/>
            <w:hideMark/>
          </w:tcPr>
          <w:p w14:paraId="15288DC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D300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327 795</w:t>
            </w:r>
          </w:p>
        </w:tc>
        <w:tc>
          <w:tcPr>
            <w:tcW w:w="993" w:type="dxa"/>
            <w:tcBorders>
              <w:top w:val="nil"/>
              <w:left w:val="single" w:sz="4" w:space="0" w:color="auto"/>
              <w:bottom w:val="nil"/>
              <w:right w:val="single" w:sz="8" w:space="0" w:color="auto"/>
            </w:tcBorders>
            <w:shd w:val="clear" w:color="000000" w:fill="FFFFFF"/>
            <w:noWrap/>
            <w:vAlign w:val="bottom"/>
            <w:hideMark/>
          </w:tcPr>
          <w:p w14:paraId="6CD664F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7EB9F9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1 529 710</w:t>
            </w:r>
          </w:p>
        </w:tc>
        <w:tc>
          <w:tcPr>
            <w:tcW w:w="1134" w:type="dxa"/>
            <w:tcBorders>
              <w:top w:val="nil"/>
              <w:left w:val="single" w:sz="4" w:space="0" w:color="auto"/>
              <w:bottom w:val="nil"/>
              <w:right w:val="single" w:sz="8" w:space="0" w:color="auto"/>
            </w:tcBorders>
            <w:shd w:val="clear" w:color="000000" w:fill="FFFFFF"/>
            <w:noWrap/>
            <w:vAlign w:val="bottom"/>
            <w:hideMark/>
          </w:tcPr>
          <w:p w14:paraId="2556FBB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5035F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1 529 710</w:t>
            </w:r>
          </w:p>
        </w:tc>
      </w:tr>
      <w:tr w:rsidR="00A50E06" w:rsidRPr="00A50E06" w14:paraId="75F811B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D066C2F"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CHEQUIA</w:t>
            </w:r>
          </w:p>
        </w:tc>
        <w:tc>
          <w:tcPr>
            <w:tcW w:w="1080" w:type="dxa"/>
            <w:tcBorders>
              <w:top w:val="nil"/>
              <w:left w:val="nil"/>
              <w:bottom w:val="nil"/>
              <w:right w:val="nil"/>
            </w:tcBorders>
            <w:shd w:val="clear" w:color="000000" w:fill="C0C0C0"/>
            <w:noWrap/>
            <w:vAlign w:val="center"/>
            <w:hideMark/>
          </w:tcPr>
          <w:p w14:paraId="3A711AFF"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0,79745</w:t>
            </w:r>
          </w:p>
        </w:tc>
        <w:tc>
          <w:tcPr>
            <w:tcW w:w="1104" w:type="dxa"/>
            <w:tcBorders>
              <w:top w:val="nil"/>
              <w:left w:val="single" w:sz="4" w:space="0" w:color="auto"/>
              <w:bottom w:val="nil"/>
              <w:right w:val="single" w:sz="8" w:space="0" w:color="auto"/>
            </w:tcBorders>
            <w:shd w:val="clear" w:color="000000" w:fill="FFFFFF"/>
            <w:noWrap/>
            <w:vAlign w:val="bottom"/>
            <w:hideMark/>
          </w:tcPr>
          <w:p w14:paraId="20256C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2 392 350</w:t>
            </w:r>
          </w:p>
        </w:tc>
        <w:tc>
          <w:tcPr>
            <w:tcW w:w="1134" w:type="dxa"/>
            <w:tcBorders>
              <w:top w:val="nil"/>
              <w:left w:val="single" w:sz="4" w:space="0" w:color="auto"/>
              <w:bottom w:val="nil"/>
              <w:right w:val="single" w:sz="8" w:space="0" w:color="auto"/>
            </w:tcBorders>
            <w:shd w:val="clear" w:color="000000" w:fill="FFFFFF"/>
            <w:noWrap/>
            <w:vAlign w:val="bottom"/>
            <w:hideMark/>
          </w:tcPr>
          <w:p w14:paraId="56CF793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06AF02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1 993 625</w:t>
            </w:r>
          </w:p>
        </w:tc>
        <w:tc>
          <w:tcPr>
            <w:tcW w:w="993" w:type="dxa"/>
            <w:tcBorders>
              <w:top w:val="nil"/>
              <w:left w:val="single" w:sz="4" w:space="0" w:color="auto"/>
              <w:bottom w:val="nil"/>
              <w:right w:val="single" w:sz="8" w:space="0" w:color="auto"/>
            </w:tcBorders>
            <w:shd w:val="clear" w:color="000000" w:fill="FFFFFF"/>
            <w:noWrap/>
            <w:vAlign w:val="bottom"/>
            <w:hideMark/>
          </w:tcPr>
          <w:p w14:paraId="518BDD9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DC0A00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1 196 175</w:t>
            </w:r>
          </w:p>
        </w:tc>
        <w:tc>
          <w:tcPr>
            <w:tcW w:w="993" w:type="dxa"/>
            <w:tcBorders>
              <w:top w:val="nil"/>
              <w:left w:val="single" w:sz="4" w:space="0" w:color="auto"/>
              <w:bottom w:val="nil"/>
              <w:right w:val="single" w:sz="8" w:space="0" w:color="auto"/>
            </w:tcBorders>
            <w:shd w:val="clear" w:color="000000" w:fill="FFFFFF"/>
            <w:noWrap/>
            <w:vAlign w:val="bottom"/>
            <w:hideMark/>
          </w:tcPr>
          <w:p w14:paraId="61C812E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89B9D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5 582 150</w:t>
            </w:r>
          </w:p>
        </w:tc>
        <w:tc>
          <w:tcPr>
            <w:tcW w:w="1134" w:type="dxa"/>
            <w:tcBorders>
              <w:top w:val="nil"/>
              <w:left w:val="single" w:sz="4" w:space="0" w:color="auto"/>
              <w:bottom w:val="nil"/>
              <w:right w:val="single" w:sz="8" w:space="0" w:color="auto"/>
            </w:tcBorders>
            <w:shd w:val="clear" w:color="000000" w:fill="FFFFFF"/>
            <w:noWrap/>
            <w:vAlign w:val="bottom"/>
            <w:hideMark/>
          </w:tcPr>
          <w:p w14:paraId="65AABD4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22D11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5 582 150</w:t>
            </w:r>
          </w:p>
        </w:tc>
      </w:tr>
      <w:tr w:rsidR="00A50E06" w:rsidRPr="00A50E06" w14:paraId="1CBFF58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8CD29D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DANMARK</w:t>
            </w:r>
          </w:p>
        </w:tc>
        <w:tc>
          <w:tcPr>
            <w:tcW w:w="1080" w:type="dxa"/>
            <w:tcBorders>
              <w:top w:val="nil"/>
              <w:left w:val="nil"/>
              <w:bottom w:val="nil"/>
              <w:right w:val="nil"/>
            </w:tcBorders>
            <w:shd w:val="clear" w:color="000000" w:fill="C0C0C0"/>
            <w:noWrap/>
            <w:vAlign w:val="center"/>
            <w:hideMark/>
          </w:tcPr>
          <w:p w14:paraId="01CB2781"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1,98045</w:t>
            </w:r>
          </w:p>
        </w:tc>
        <w:tc>
          <w:tcPr>
            <w:tcW w:w="1104" w:type="dxa"/>
            <w:tcBorders>
              <w:top w:val="nil"/>
              <w:left w:val="single" w:sz="4" w:space="0" w:color="auto"/>
              <w:bottom w:val="nil"/>
              <w:right w:val="single" w:sz="8" w:space="0" w:color="auto"/>
            </w:tcBorders>
            <w:shd w:val="clear" w:color="000000" w:fill="FFFFFF"/>
            <w:noWrap/>
            <w:vAlign w:val="bottom"/>
            <w:hideMark/>
          </w:tcPr>
          <w:p w14:paraId="69B71FC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5 941 350</w:t>
            </w:r>
          </w:p>
        </w:tc>
        <w:tc>
          <w:tcPr>
            <w:tcW w:w="1134" w:type="dxa"/>
            <w:tcBorders>
              <w:top w:val="nil"/>
              <w:left w:val="single" w:sz="4" w:space="0" w:color="auto"/>
              <w:bottom w:val="nil"/>
              <w:right w:val="single" w:sz="8" w:space="0" w:color="auto"/>
            </w:tcBorders>
            <w:shd w:val="clear" w:color="000000" w:fill="FFFFFF"/>
            <w:noWrap/>
            <w:vAlign w:val="bottom"/>
            <w:hideMark/>
          </w:tcPr>
          <w:p w14:paraId="314B240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AB238B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4 951 125</w:t>
            </w:r>
          </w:p>
        </w:tc>
        <w:tc>
          <w:tcPr>
            <w:tcW w:w="993" w:type="dxa"/>
            <w:tcBorders>
              <w:top w:val="nil"/>
              <w:left w:val="single" w:sz="4" w:space="0" w:color="auto"/>
              <w:bottom w:val="nil"/>
              <w:right w:val="single" w:sz="8" w:space="0" w:color="auto"/>
            </w:tcBorders>
            <w:shd w:val="clear" w:color="000000" w:fill="FFFFFF"/>
            <w:noWrap/>
            <w:vAlign w:val="bottom"/>
            <w:hideMark/>
          </w:tcPr>
          <w:p w14:paraId="1236E7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F62A2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2 970 675</w:t>
            </w:r>
          </w:p>
        </w:tc>
        <w:tc>
          <w:tcPr>
            <w:tcW w:w="993" w:type="dxa"/>
            <w:tcBorders>
              <w:top w:val="nil"/>
              <w:left w:val="single" w:sz="4" w:space="0" w:color="auto"/>
              <w:bottom w:val="nil"/>
              <w:right w:val="single" w:sz="8" w:space="0" w:color="auto"/>
            </w:tcBorders>
            <w:shd w:val="clear" w:color="000000" w:fill="FFFFFF"/>
            <w:noWrap/>
            <w:vAlign w:val="bottom"/>
            <w:hideMark/>
          </w:tcPr>
          <w:p w14:paraId="660E58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F5B19B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13 863 150</w:t>
            </w:r>
          </w:p>
        </w:tc>
        <w:tc>
          <w:tcPr>
            <w:tcW w:w="1134" w:type="dxa"/>
            <w:tcBorders>
              <w:top w:val="nil"/>
              <w:left w:val="single" w:sz="4" w:space="0" w:color="auto"/>
              <w:bottom w:val="nil"/>
              <w:right w:val="single" w:sz="8" w:space="0" w:color="auto"/>
            </w:tcBorders>
            <w:shd w:val="clear" w:color="000000" w:fill="FFFFFF"/>
            <w:noWrap/>
            <w:vAlign w:val="bottom"/>
            <w:hideMark/>
          </w:tcPr>
          <w:p w14:paraId="74F62BE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2FE9C5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13 863 150</w:t>
            </w:r>
          </w:p>
        </w:tc>
      </w:tr>
      <w:tr w:rsidR="00A50E06" w:rsidRPr="00A50E06" w14:paraId="10DDDD8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B3BA3BA"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ALEMANIA</w:t>
            </w:r>
          </w:p>
        </w:tc>
        <w:tc>
          <w:tcPr>
            <w:tcW w:w="1080" w:type="dxa"/>
            <w:tcBorders>
              <w:top w:val="nil"/>
              <w:left w:val="nil"/>
              <w:bottom w:val="nil"/>
              <w:right w:val="nil"/>
            </w:tcBorders>
            <w:shd w:val="clear" w:color="000000" w:fill="C0C0C0"/>
            <w:noWrap/>
            <w:vAlign w:val="center"/>
            <w:hideMark/>
          </w:tcPr>
          <w:p w14:paraId="0A04BBF7"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20,57980</w:t>
            </w:r>
          </w:p>
        </w:tc>
        <w:tc>
          <w:tcPr>
            <w:tcW w:w="1104" w:type="dxa"/>
            <w:tcBorders>
              <w:top w:val="nil"/>
              <w:left w:val="single" w:sz="4" w:space="0" w:color="auto"/>
              <w:bottom w:val="nil"/>
              <w:right w:val="single" w:sz="8" w:space="0" w:color="auto"/>
            </w:tcBorders>
            <w:shd w:val="clear" w:color="000000" w:fill="FFFFFF"/>
            <w:noWrap/>
            <w:vAlign w:val="bottom"/>
            <w:hideMark/>
          </w:tcPr>
          <w:p w14:paraId="72AB985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61 739 400</w:t>
            </w:r>
          </w:p>
        </w:tc>
        <w:tc>
          <w:tcPr>
            <w:tcW w:w="1134" w:type="dxa"/>
            <w:tcBorders>
              <w:top w:val="nil"/>
              <w:left w:val="single" w:sz="4" w:space="0" w:color="auto"/>
              <w:bottom w:val="nil"/>
              <w:right w:val="single" w:sz="8" w:space="0" w:color="auto"/>
            </w:tcBorders>
            <w:shd w:val="clear" w:color="000000" w:fill="FFFFFF"/>
            <w:noWrap/>
            <w:vAlign w:val="bottom"/>
            <w:hideMark/>
          </w:tcPr>
          <w:p w14:paraId="3C0048D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1F7A7C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51 449 500</w:t>
            </w:r>
          </w:p>
        </w:tc>
        <w:tc>
          <w:tcPr>
            <w:tcW w:w="993" w:type="dxa"/>
            <w:tcBorders>
              <w:top w:val="nil"/>
              <w:left w:val="single" w:sz="4" w:space="0" w:color="auto"/>
              <w:bottom w:val="nil"/>
              <w:right w:val="single" w:sz="8" w:space="0" w:color="auto"/>
            </w:tcBorders>
            <w:shd w:val="clear" w:color="000000" w:fill="FFFFFF"/>
            <w:noWrap/>
            <w:vAlign w:val="bottom"/>
            <w:hideMark/>
          </w:tcPr>
          <w:p w14:paraId="44ECCCF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B81199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30 869 700</w:t>
            </w:r>
          </w:p>
        </w:tc>
        <w:tc>
          <w:tcPr>
            <w:tcW w:w="993" w:type="dxa"/>
            <w:tcBorders>
              <w:top w:val="nil"/>
              <w:left w:val="single" w:sz="4" w:space="0" w:color="auto"/>
              <w:bottom w:val="nil"/>
              <w:right w:val="single" w:sz="8" w:space="0" w:color="auto"/>
            </w:tcBorders>
            <w:shd w:val="clear" w:color="000000" w:fill="FFFFFF"/>
            <w:noWrap/>
            <w:vAlign w:val="bottom"/>
            <w:hideMark/>
          </w:tcPr>
          <w:p w14:paraId="32BFB69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FCC4E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144 058 600</w:t>
            </w:r>
          </w:p>
        </w:tc>
        <w:tc>
          <w:tcPr>
            <w:tcW w:w="1134" w:type="dxa"/>
            <w:tcBorders>
              <w:top w:val="nil"/>
              <w:left w:val="single" w:sz="4" w:space="0" w:color="auto"/>
              <w:bottom w:val="nil"/>
              <w:right w:val="single" w:sz="8" w:space="0" w:color="auto"/>
            </w:tcBorders>
            <w:shd w:val="clear" w:color="000000" w:fill="FFFFFF"/>
            <w:noWrap/>
            <w:vAlign w:val="bottom"/>
            <w:hideMark/>
          </w:tcPr>
          <w:p w14:paraId="5BE176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39AB34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144 058 600</w:t>
            </w:r>
          </w:p>
        </w:tc>
      </w:tr>
      <w:tr w:rsidR="00A50E06" w:rsidRPr="00A50E06" w14:paraId="3BC665DF"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A885963"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ESTONIA</w:t>
            </w:r>
          </w:p>
        </w:tc>
        <w:tc>
          <w:tcPr>
            <w:tcW w:w="1080" w:type="dxa"/>
            <w:tcBorders>
              <w:top w:val="nil"/>
              <w:left w:val="nil"/>
              <w:bottom w:val="nil"/>
              <w:right w:val="nil"/>
            </w:tcBorders>
            <w:shd w:val="clear" w:color="000000" w:fill="C0C0C0"/>
            <w:noWrap/>
            <w:vAlign w:val="center"/>
            <w:hideMark/>
          </w:tcPr>
          <w:p w14:paraId="4BDA0088"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0,08635</w:t>
            </w:r>
          </w:p>
        </w:tc>
        <w:tc>
          <w:tcPr>
            <w:tcW w:w="1104" w:type="dxa"/>
            <w:tcBorders>
              <w:top w:val="nil"/>
              <w:left w:val="single" w:sz="4" w:space="0" w:color="auto"/>
              <w:bottom w:val="nil"/>
              <w:right w:val="single" w:sz="8" w:space="0" w:color="auto"/>
            </w:tcBorders>
            <w:shd w:val="clear" w:color="000000" w:fill="FFFFFF"/>
            <w:noWrap/>
            <w:vAlign w:val="bottom"/>
            <w:hideMark/>
          </w:tcPr>
          <w:p w14:paraId="05534B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259 050</w:t>
            </w:r>
          </w:p>
        </w:tc>
        <w:tc>
          <w:tcPr>
            <w:tcW w:w="1134" w:type="dxa"/>
            <w:tcBorders>
              <w:top w:val="nil"/>
              <w:left w:val="single" w:sz="4" w:space="0" w:color="auto"/>
              <w:bottom w:val="nil"/>
              <w:right w:val="single" w:sz="8" w:space="0" w:color="auto"/>
            </w:tcBorders>
            <w:shd w:val="clear" w:color="000000" w:fill="FFFFFF"/>
            <w:noWrap/>
            <w:vAlign w:val="bottom"/>
            <w:hideMark/>
          </w:tcPr>
          <w:p w14:paraId="6792D4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6FC681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215 875</w:t>
            </w:r>
          </w:p>
        </w:tc>
        <w:tc>
          <w:tcPr>
            <w:tcW w:w="993" w:type="dxa"/>
            <w:tcBorders>
              <w:top w:val="nil"/>
              <w:left w:val="single" w:sz="4" w:space="0" w:color="auto"/>
              <w:bottom w:val="nil"/>
              <w:right w:val="single" w:sz="8" w:space="0" w:color="auto"/>
            </w:tcBorders>
            <w:shd w:val="clear" w:color="000000" w:fill="FFFFFF"/>
            <w:noWrap/>
            <w:vAlign w:val="bottom"/>
            <w:hideMark/>
          </w:tcPr>
          <w:p w14:paraId="1C3128D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4F8CA0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129 525</w:t>
            </w:r>
          </w:p>
        </w:tc>
        <w:tc>
          <w:tcPr>
            <w:tcW w:w="993" w:type="dxa"/>
            <w:tcBorders>
              <w:top w:val="nil"/>
              <w:left w:val="single" w:sz="4" w:space="0" w:color="auto"/>
              <w:bottom w:val="nil"/>
              <w:right w:val="single" w:sz="8" w:space="0" w:color="auto"/>
            </w:tcBorders>
            <w:shd w:val="clear" w:color="000000" w:fill="FFFFFF"/>
            <w:noWrap/>
            <w:vAlign w:val="bottom"/>
            <w:hideMark/>
          </w:tcPr>
          <w:p w14:paraId="776C178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8D0A3B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604 450</w:t>
            </w:r>
          </w:p>
        </w:tc>
        <w:tc>
          <w:tcPr>
            <w:tcW w:w="1134" w:type="dxa"/>
            <w:tcBorders>
              <w:top w:val="nil"/>
              <w:left w:val="single" w:sz="4" w:space="0" w:color="auto"/>
              <w:bottom w:val="nil"/>
              <w:right w:val="single" w:sz="8" w:space="0" w:color="auto"/>
            </w:tcBorders>
            <w:shd w:val="clear" w:color="000000" w:fill="FFFFFF"/>
            <w:noWrap/>
            <w:vAlign w:val="bottom"/>
            <w:hideMark/>
          </w:tcPr>
          <w:p w14:paraId="47246F9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BD956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604 450</w:t>
            </w:r>
          </w:p>
        </w:tc>
      </w:tr>
      <w:tr w:rsidR="00A50E06" w:rsidRPr="00A50E06" w14:paraId="45470B26"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53EE43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IRLANDA</w:t>
            </w:r>
          </w:p>
        </w:tc>
        <w:tc>
          <w:tcPr>
            <w:tcW w:w="1080" w:type="dxa"/>
            <w:tcBorders>
              <w:top w:val="nil"/>
              <w:left w:val="nil"/>
              <w:bottom w:val="nil"/>
              <w:right w:val="nil"/>
            </w:tcBorders>
            <w:shd w:val="clear" w:color="000000" w:fill="C0C0C0"/>
            <w:noWrap/>
            <w:vAlign w:val="center"/>
            <w:hideMark/>
          </w:tcPr>
          <w:p w14:paraId="18C6FC43"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0,94006</w:t>
            </w:r>
          </w:p>
        </w:tc>
        <w:tc>
          <w:tcPr>
            <w:tcW w:w="1104" w:type="dxa"/>
            <w:tcBorders>
              <w:top w:val="nil"/>
              <w:left w:val="single" w:sz="4" w:space="0" w:color="auto"/>
              <w:bottom w:val="nil"/>
              <w:right w:val="single" w:sz="8" w:space="0" w:color="auto"/>
            </w:tcBorders>
            <w:shd w:val="clear" w:color="000000" w:fill="FFFFFF"/>
            <w:noWrap/>
            <w:vAlign w:val="bottom"/>
            <w:hideMark/>
          </w:tcPr>
          <w:p w14:paraId="24C852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2 820 180</w:t>
            </w:r>
          </w:p>
        </w:tc>
        <w:tc>
          <w:tcPr>
            <w:tcW w:w="1134" w:type="dxa"/>
            <w:tcBorders>
              <w:top w:val="nil"/>
              <w:left w:val="single" w:sz="4" w:space="0" w:color="auto"/>
              <w:bottom w:val="nil"/>
              <w:right w:val="single" w:sz="8" w:space="0" w:color="auto"/>
            </w:tcBorders>
            <w:shd w:val="clear" w:color="000000" w:fill="FFFFFF"/>
            <w:noWrap/>
            <w:vAlign w:val="bottom"/>
            <w:hideMark/>
          </w:tcPr>
          <w:p w14:paraId="341AB93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04007F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2 350 150</w:t>
            </w:r>
          </w:p>
        </w:tc>
        <w:tc>
          <w:tcPr>
            <w:tcW w:w="993" w:type="dxa"/>
            <w:tcBorders>
              <w:top w:val="nil"/>
              <w:left w:val="single" w:sz="4" w:space="0" w:color="auto"/>
              <w:bottom w:val="nil"/>
              <w:right w:val="single" w:sz="8" w:space="0" w:color="auto"/>
            </w:tcBorders>
            <w:shd w:val="clear" w:color="000000" w:fill="FFFFFF"/>
            <w:noWrap/>
            <w:vAlign w:val="bottom"/>
            <w:hideMark/>
          </w:tcPr>
          <w:p w14:paraId="337E3CD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CEFC63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1 410 090</w:t>
            </w:r>
          </w:p>
        </w:tc>
        <w:tc>
          <w:tcPr>
            <w:tcW w:w="993" w:type="dxa"/>
            <w:tcBorders>
              <w:top w:val="nil"/>
              <w:left w:val="single" w:sz="4" w:space="0" w:color="auto"/>
              <w:bottom w:val="nil"/>
              <w:right w:val="single" w:sz="8" w:space="0" w:color="auto"/>
            </w:tcBorders>
            <w:shd w:val="clear" w:color="000000" w:fill="FFFFFF"/>
            <w:noWrap/>
            <w:vAlign w:val="bottom"/>
            <w:hideMark/>
          </w:tcPr>
          <w:p w14:paraId="6594EF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DBE473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6 580 420</w:t>
            </w:r>
          </w:p>
        </w:tc>
        <w:tc>
          <w:tcPr>
            <w:tcW w:w="1134" w:type="dxa"/>
            <w:tcBorders>
              <w:top w:val="nil"/>
              <w:left w:val="single" w:sz="4" w:space="0" w:color="auto"/>
              <w:bottom w:val="nil"/>
              <w:right w:val="single" w:sz="8" w:space="0" w:color="auto"/>
            </w:tcBorders>
            <w:shd w:val="clear" w:color="000000" w:fill="FFFFFF"/>
            <w:noWrap/>
            <w:vAlign w:val="bottom"/>
            <w:hideMark/>
          </w:tcPr>
          <w:p w14:paraId="27BE876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35D81B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6 580 420</w:t>
            </w:r>
          </w:p>
        </w:tc>
      </w:tr>
      <w:tr w:rsidR="00A50E06" w:rsidRPr="00A50E06" w14:paraId="32C5C9FC"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1838253"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GRECIA</w:t>
            </w:r>
          </w:p>
        </w:tc>
        <w:tc>
          <w:tcPr>
            <w:tcW w:w="1080" w:type="dxa"/>
            <w:tcBorders>
              <w:top w:val="nil"/>
              <w:left w:val="nil"/>
              <w:bottom w:val="nil"/>
              <w:right w:val="nil"/>
            </w:tcBorders>
            <w:shd w:val="clear" w:color="000000" w:fill="C0C0C0"/>
            <w:noWrap/>
            <w:vAlign w:val="center"/>
            <w:hideMark/>
          </w:tcPr>
          <w:p w14:paraId="3D2B9BF8"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1,50735</w:t>
            </w:r>
          </w:p>
        </w:tc>
        <w:tc>
          <w:tcPr>
            <w:tcW w:w="1104" w:type="dxa"/>
            <w:tcBorders>
              <w:top w:val="nil"/>
              <w:left w:val="single" w:sz="4" w:space="0" w:color="auto"/>
              <w:bottom w:val="nil"/>
              <w:right w:val="single" w:sz="8" w:space="0" w:color="auto"/>
            </w:tcBorders>
            <w:shd w:val="clear" w:color="000000" w:fill="FFFFFF"/>
            <w:noWrap/>
            <w:vAlign w:val="bottom"/>
            <w:hideMark/>
          </w:tcPr>
          <w:p w14:paraId="4D0B4F8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4 522 050</w:t>
            </w:r>
          </w:p>
        </w:tc>
        <w:tc>
          <w:tcPr>
            <w:tcW w:w="1134" w:type="dxa"/>
            <w:tcBorders>
              <w:top w:val="nil"/>
              <w:left w:val="single" w:sz="4" w:space="0" w:color="auto"/>
              <w:bottom w:val="nil"/>
              <w:right w:val="single" w:sz="8" w:space="0" w:color="auto"/>
            </w:tcBorders>
            <w:shd w:val="clear" w:color="000000" w:fill="FFFFFF"/>
            <w:noWrap/>
            <w:vAlign w:val="bottom"/>
            <w:hideMark/>
          </w:tcPr>
          <w:p w14:paraId="45F8125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8E380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3 768 375</w:t>
            </w:r>
          </w:p>
        </w:tc>
        <w:tc>
          <w:tcPr>
            <w:tcW w:w="993" w:type="dxa"/>
            <w:tcBorders>
              <w:top w:val="nil"/>
              <w:left w:val="single" w:sz="4" w:space="0" w:color="auto"/>
              <w:bottom w:val="nil"/>
              <w:right w:val="single" w:sz="8" w:space="0" w:color="auto"/>
            </w:tcBorders>
            <w:shd w:val="clear" w:color="000000" w:fill="FFFFFF"/>
            <w:noWrap/>
            <w:vAlign w:val="bottom"/>
            <w:hideMark/>
          </w:tcPr>
          <w:p w14:paraId="2AC3792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80B51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2 261 025</w:t>
            </w:r>
          </w:p>
        </w:tc>
        <w:tc>
          <w:tcPr>
            <w:tcW w:w="993" w:type="dxa"/>
            <w:tcBorders>
              <w:top w:val="nil"/>
              <w:left w:val="single" w:sz="4" w:space="0" w:color="auto"/>
              <w:bottom w:val="nil"/>
              <w:right w:val="single" w:sz="8" w:space="0" w:color="auto"/>
            </w:tcBorders>
            <w:shd w:val="clear" w:color="000000" w:fill="FFFFFF"/>
            <w:noWrap/>
            <w:vAlign w:val="bottom"/>
            <w:hideMark/>
          </w:tcPr>
          <w:p w14:paraId="55377D7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CD58AA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10 551 450</w:t>
            </w:r>
          </w:p>
        </w:tc>
        <w:tc>
          <w:tcPr>
            <w:tcW w:w="1134" w:type="dxa"/>
            <w:tcBorders>
              <w:top w:val="nil"/>
              <w:left w:val="single" w:sz="4" w:space="0" w:color="auto"/>
              <w:bottom w:val="nil"/>
              <w:right w:val="single" w:sz="8" w:space="0" w:color="auto"/>
            </w:tcBorders>
            <w:shd w:val="clear" w:color="000000" w:fill="FFFFFF"/>
            <w:noWrap/>
            <w:vAlign w:val="bottom"/>
            <w:hideMark/>
          </w:tcPr>
          <w:p w14:paraId="3734567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DE62FD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10 551 450</w:t>
            </w:r>
          </w:p>
        </w:tc>
      </w:tr>
      <w:tr w:rsidR="00A50E06" w:rsidRPr="00A50E06" w14:paraId="679C77B7"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8E286A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ESPAÑA</w:t>
            </w:r>
          </w:p>
        </w:tc>
        <w:tc>
          <w:tcPr>
            <w:tcW w:w="1080" w:type="dxa"/>
            <w:tcBorders>
              <w:top w:val="nil"/>
              <w:left w:val="nil"/>
              <w:bottom w:val="nil"/>
              <w:right w:val="nil"/>
            </w:tcBorders>
            <w:shd w:val="clear" w:color="000000" w:fill="C0C0C0"/>
            <w:noWrap/>
            <w:vAlign w:val="center"/>
            <w:hideMark/>
          </w:tcPr>
          <w:p w14:paraId="5554F17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7,93248</w:t>
            </w:r>
          </w:p>
        </w:tc>
        <w:tc>
          <w:tcPr>
            <w:tcW w:w="1104" w:type="dxa"/>
            <w:tcBorders>
              <w:top w:val="nil"/>
              <w:left w:val="single" w:sz="4" w:space="0" w:color="auto"/>
              <w:bottom w:val="nil"/>
              <w:right w:val="single" w:sz="8" w:space="0" w:color="auto"/>
            </w:tcBorders>
            <w:shd w:val="clear" w:color="000000" w:fill="FFFFFF"/>
            <w:noWrap/>
            <w:vAlign w:val="bottom"/>
            <w:hideMark/>
          </w:tcPr>
          <w:p w14:paraId="36C1180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23 797 440</w:t>
            </w:r>
          </w:p>
        </w:tc>
        <w:tc>
          <w:tcPr>
            <w:tcW w:w="1134" w:type="dxa"/>
            <w:tcBorders>
              <w:top w:val="nil"/>
              <w:left w:val="single" w:sz="4" w:space="0" w:color="auto"/>
              <w:bottom w:val="nil"/>
              <w:right w:val="single" w:sz="8" w:space="0" w:color="auto"/>
            </w:tcBorders>
            <w:shd w:val="clear" w:color="000000" w:fill="FFFFFF"/>
            <w:noWrap/>
            <w:vAlign w:val="bottom"/>
            <w:hideMark/>
          </w:tcPr>
          <w:p w14:paraId="28C4D48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2196FF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19 831 200</w:t>
            </w:r>
          </w:p>
        </w:tc>
        <w:tc>
          <w:tcPr>
            <w:tcW w:w="993" w:type="dxa"/>
            <w:tcBorders>
              <w:top w:val="nil"/>
              <w:left w:val="single" w:sz="4" w:space="0" w:color="auto"/>
              <w:bottom w:val="nil"/>
              <w:right w:val="single" w:sz="8" w:space="0" w:color="auto"/>
            </w:tcBorders>
            <w:shd w:val="clear" w:color="000000" w:fill="FFFFFF"/>
            <w:noWrap/>
            <w:vAlign w:val="bottom"/>
            <w:hideMark/>
          </w:tcPr>
          <w:p w14:paraId="44EA4B4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569AC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11 898 720</w:t>
            </w:r>
          </w:p>
        </w:tc>
        <w:tc>
          <w:tcPr>
            <w:tcW w:w="993" w:type="dxa"/>
            <w:tcBorders>
              <w:top w:val="nil"/>
              <w:left w:val="single" w:sz="4" w:space="0" w:color="auto"/>
              <w:bottom w:val="nil"/>
              <w:right w:val="single" w:sz="8" w:space="0" w:color="auto"/>
            </w:tcBorders>
            <w:shd w:val="clear" w:color="000000" w:fill="FFFFFF"/>
            <w:noWrap/>
            <w:vAlign w:val="bottom"/>
            <w:hideMark/>
          </w:tcPr>
          <w:p w14:paraId="747C1EF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8BD4B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55 527 360</w:t>
            </w:r>
          </w:p>
        </w:tc>
        <w:tc>
          <w:tcPr>
            <w:tcW w:w="1134" w:type="dxa"/>
            <w:tcBorders>
              <w:top w:val="nil"/>
              <w:left w:val="single" w:sz="4" w:space="0" w:color="auto"/>
              <w:bottom w:val="nil"/>
              <w:right w:val="single" w:sz="8" w:space="0" w:color="auto"/>
            </w:tcBorders>
            <w:shd w:val="clear" w:color="000000" w:fill="FFFFFF"/>
            <w:noWrap/>
            <w:vAlign w:val="bottom"/>
            <w:hideMark/>
          </w:tcPr>
          <w:p w14:paraId="710B9EE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5DCEDD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55 527 360</w:t>
            </w:r>
          </w:p>
        </w:tc>
      </w:tr>
      <w:tr w:rsidR="00A50E06" w:rsidRPr="00A50E06" w14:paraId="618B029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8A98CE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FRANCIA</w:t>
            </w:r>
          </w:p>
        </w:tc>
        <w:tc>
          <w:tcPr>
            <w:tcW w:w="1080" w:type="dxa"/>
            <w:tcBorders>
              <w:top w:val="nil"/>
              <w:left w:val="nil"/>
              <w:bottom w:val="nil"/>
              <w:right w:val="nil"/>
            </w:tcBorders>
            <w:shd w:val="clear" w:color="000000" w:fill="C0C0C0"/>
            <w:noWrap/>
            <w:vAlign w:val="center"/>
            <w:hideMark/>
          </w:tcPr>
          <w:p w14:paraId="1B90846B"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17,81269</w:t>
            </w:r>
          </w:p>
        </w:tc>
        <w:tc>
          <w:tcPr>
            <w:tcW w:w="1104" w:type="dxa"/>
            <w:tcBorders>
              <w:top w:val="nil"/>
              <w:left w:val="single" w:sz="4" w:space="0" w:color="auto"/>
              <w:bottom w:val="nil"/>
              <w:right w:val="single" w:sz="8" w:space="0" w:color="auto"/>
            </w:tcBorders>
            <w:shd w:val="clear" w:color="000000" w:fill="FFFFFF"/>
            <w:noWrap/>
            <w:vAlign w:val="bottom"/>
            <w:hideMark/>
          </w:tcPr>
          <w:p w14:paraId="1234BD6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53 438 070</w:t>
            </w:r>
          </w:p>
        </w:tc>
        <w:tc>
          <w:tcPr>
            <w:tcW w:w="1134" w:type="dxa"/>
            <w:tcBorders>
              <w:top w:val="nil"/>
              <w:left w:val="single" w:sz="4" w:space="0" w:color="auto"/>
              <w:bottom w:val="nil"/>
              <w:right w:val="single" w:sz="8" w:space="0" w:color="auto"/>
            </w:tcBorders>
            <w:shd w:val="clear" w:color="000000" w:fill="FFFFFF"/>
            <w:noWrap/>
            <w:vAlign w:val="bottom"/>
            <w:hideMark/>
          </w:tcPr>
          <w:p w14:paraId="0C52418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AA7B0B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44 531 725</w:t>
            </w:r>
          </w:p>
        </w:tc>
        <w:tc>
          <w:tcPr>
            <w:tcW w:w="993" w:type="dxa"/>
            <w:tcBorders>
              <w:top w:val="nil"/>
              <w:left w:val="single" w:sz="4" w:space="0" w:color="auto"/>
              <w:bottom w:val="nil"/>
              <w:right w:val="single" w:sz="8" w:space="0" w:color="auto"/>
            </w:tcBorders>
            <w:shd w:val="clear" w:color="000000" w:fill="FFFFFF"/>
            <w:noWrap/>
            <w:vAlign w:val="bottom"/>
            <w:hideMark/>
          </w:tcPr>
          <w:p w14:paraId="1E33B89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13E789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26 719 035</w:t>
            </w:r>
          </w:p>
        </w:tc>
        <w:tc>
          <w:tcPr>
            <w:tcW w:w="993" w:type="dxa"/>
            <w:tcBorders>
              <w:top w:val="nil"/>
              <w:left w:val="single" w:sz="4" w:space="0" w:color="auto"/>
              <w:bottom w:val="nil"/>
              <w:right w:val="single" w:sz="8" w:space="0" w:color="auto"/>
            </w:tcBorders>
            <w:shd w:val="clear" w:color="000000" w:fill="FFFFFF"/>
            <w:noWrap/>
            <w:vAlign w:val="bottom"/>
            <w:hideMark/>
          </w:tcPr>
          <w:p w14:paraId="14A40D1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4982BC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124 688 830</w:t>
            </w:r>
          </w:p>
        </w:tc>
        <w:tc>
          <w:tcPr>
            <w:tcW w:w="1134" w:type="dxa"/>
            <w:tcBorders>
              <w:top w:val="nil"/>
              <w:left w:val="single" w:sz="4" w:space="0" w:color="auto"/>
              <w:bottom w:val="nil"/>
              <w:right w:val="single" w:sz="8" w:space="0" w:color="auto"/>
            </w:tcBorders>
            <w:shd w:val="clear" w:color="000000" w:fill="FFFFFF"/>
            <w:noWrap/>
            <w:vAlign w:val="bottom"/>
            <w:hideMark/>
          </w:tcPr>
          <w:p w14:paraId="0CD5A45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B0DF55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124 688 830</w:t>
            </w:r>
          </w:p>
        </w:tc>
      </w:tr>
      <w:tr w:rsidR="00A50E06" w:rsidRPr="00A50E06" w14:paraId="321D90E2"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CEF6D57"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CROACIA</w:t>
            </w:r>
          </w:p>
        </w:tc>
        <w:tc>
          <w:tcPr>
            <w:tcW w:w="1080" w:type="dxa"/>
            <w:tcBorders>
              <w:top w:val="nil"/>
              <w:left w:val="nil"/>
              <w:bottom w:val="nil"/>
              <w:right w:val="nil"/>
            </w:tcBorders>
            <w:shd w:val="clear" w:color="000000" w:fill="C0C0C0"/>
            <w:noWrap/>
            <w:vAlign w:val="center"/>
            <w:hideMark/>
          </w:tcPr>
          <w:p w14:paraId="78428090"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0,22518</w:t>
            </w:r>
          </w:p>
        </w:tc>
        <w:tc>
          <w:tcPr>
            <w:tcW w:w="1104" w:type="dxa"/>
            <w:tcBorders>
              <w:top w:val="nil"/>
              <w:left w:val="single" w:sz="4" w:space="0" w:color="auto"/>
              <w:bottom w:val="nil"/>
              <w:right w:val="single" w:sz="8" w:space="0" w:color="auto"/>
            </w:tcBorders>
            <w:shd w:val="clear" w:color="000000" w:fill="FFFFFF"/>
            <w:noWrap/>
            <w:vAlign w:val="bottom"/>
            <w:hideMark/>
          </w:tcPr>
          <w:p w14:paraId="2A4B0BF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675 540</w:t>
            </w:r>
          </w:p>
        </w:tc>
        <w:tc>
          <w:tcPr>
            <w:tcW w:w="1134" w:type="dxa"/>
            <w:tcBorders>
              <w:top w:val="nil"/>
              <w:left w:val="single" w:sz="4" w:space="0" w:color="auto"/>
              <w:bottom w:val="nil"/>
              <w:right w:val="single" w:sz="8" w:space="0" w:color="auto"/>
            </w:tcBorders>
            <w:shd w:val="clear" w:color="000000" w:fill="FFFFFF"/>
            <w:noWrap/>
            <w:vAlign w:val="bottom"/>
            <w:hideMark/>
          </w:tcPr>
          <w:p w14:paraId="1C172C7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010D4D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562 950</w:t>
            </w:r>
          </w:p>
        </w:tc>
        <w:tc>
          <w:tcPr>
            <w:tcW w:w="993" w:type="dxa"/>
            <w:tcBorders>
              <w:top w:val="nil"/>
              <w:left w:val="single" w:sz="4" w:space="0" w:color="auto"/>
              <w:bottom w:val="nil"/>
              <w:right w:val="single" w:sz="8" w:space="0" w:color="auto"/>
            </w:tcBorders>
            <w:shd w:val="clear" w:color="000000" w:fill="FFFFFF"/>
            <w:noWrap/>
            <w:vAlign w:val="bottom"/>
            <w:hideMark/>
          </w:tcPr>
          <w:p w14:paraId="60C274F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F0D929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337 770</w:t>
            </w:r>
          </w:p>
        </w:tc>
        <w:tc>
          <w:tcPr>
            <w:tcW w:w="993" w:type="dxa"/>
            <w:tcBorders>
              <w:top w:val="nil"/>
              <w:left w:val="single" w:sz="4" w:space="0" w:color="auto"/>
              <w:bottom w:val="nil"/>
              <w:right w:val="single" w:sz="8" w:space="0" w:color="auto"/>
            </w:tcBorders>
            <w:shd w:val="clear" w:color="000000" w:fill="FFFFFF"/>
            <w:noWrap/>
            <w:vAlign w:val="bottom"/>
            <w:hideMark/>
          </w:tcPr>
          <w:p w14:paraId="66BDEF3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F8FFA7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1 576 260</w:t>
            </w:r>
          </w:p>
        </w:tc>
        <w:tc>
          <w:tcPr>
            <w:tcW w:w="1134" w:type="dxa"/>
            <w:tcBorders>
              <w:top w:val="nil"/>
              <w:left w:val="single" w:sz="4" w:space="0" w:color="auto"/>
              <w:bottom w:val="nil"/>
              <w:right w:val="single" w:sz="8" w:space="0" w:color="auto"/>
            </w:tcBorders>
            <w:shd w:val="clear" w:color="000000" w:fill="FFFFFF"/>
            <w:noWrap/>
            <w:vAlign w:val="bottom"/>
            <w:hideMark/>
          </w:tcPr>
          <w:p w14:paraId="7187572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027636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1 576 260</w:t>
            </w:r>
          </w:p>
        </w:tc>
      </w:tr>
      <w:tr w:rsidR="00A50E06" w:rsidRPr="00A50E06" w14:paraId="112BC706"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34BEA9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ITALIA</w:t>
            </w:r>
          </w:p>
        </w:tc>
        <w:tc>
          <w:tcPr>
            <w:tcW w:w="1080" w:type="dxa"/>
            <w:tcBorders>
              <w:top w:val="nil"/>
              <w:left w:val="nil"/>
              <w:bottom w:val="nil"/>
              <w:right w:val="nil"/>
            </w:tcBorders>
            <w:shd w:val="clear" w:color="000000" w:fill="C0C0C0"/>
            <w:noWrap/>
            <w:vAlign w:val="center"/>
            <w:hideMark/>
          </w:tcPr>
          <w:p w14:paraId="0272ACE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12,53009</w:t>
            </w:r>
          </w:p>
        </w:tc>
        <w:tc>
          <w:tcPr>
            <w:tcW w:w="1104" w:type="dxa"/>
            <w:tcBorders>
              <w:top w:val="nil"/>
              <w:left w:val="single" w:sz="4" w:space="0" w:color="auto"/>
              <w:bottom w:val="nil"/>
              <w:right w:val="single" w:sz="8" w:space="0" w:color="auto"/>
            </w:tcBorders>
            <w:shd w:val="clear" w:color="000000" w:fill="FFFFFF"/>
            <w:noWrap/>
            <w:vAlign w:val="bottom"/>
            <w:hideMark/>
          </w:tcPr>
          <w:p w14:paraId="046090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37 590 270</w:t>
            </w:r>
          </w:p>
        </w:tc>
        <w:tc>
          <w:tcPr>
            <w:tcW w:w="1134" w:type="dxa"/>
            <w:tcBorders>
              <w:top w:val="nil"/>
              <w:left w:val="single" w:sz="4" w:space="0" w:color="auto"/>
              <w:bottom w:val="nil"/>
              <w:right w:val="single" w:sz="8" w:space="0" w:color="auto"/>
            </w:tcBorders>
            <w:shd w:val="clear" w:color="000000" w:fill="FFFFFF"/>
            <w:noWrap/>
            <w:vAlign w:val="bottom"/>
            <w:hideMark/>
          </w:tcPr>
          <w:p w14:paraId="07A5DBD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0EF0FC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31 325 225</w:t>
            </w:r>
          </w:p>
        </w:tc>
        <w:tc>
          <w:tcPr>
            <w:tcW w:w="993" w:type="dxa"/>
            <w:tcBorders>
              <w:top w:val="nil"/>
              <w:left w:val="single" w:sz="4" w:space="0" w:color="auto"/>
              <w:bottom w:val="nil"/>
              <w:right w:val="single" w:sz="8" w:space="0" w:color="auto"/>
            </w:tcBorders>
            <w:shd w:val="clear" w:color="000000" w:fill="FFFFFF"/>
            <w:noWrap/>
            <w:vAlign w:val="bottom"/>
            <w:hideMark/>
          </w:tcPr>
          <w:p w14:paraId="6E3DF41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9CA91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18 795 135</w:t>
            </w:r>
          </w:p>
        </w:tc>
        <w:tc>
          <w:tcPr>
            <w:tcW w:w="993" w:type="dxa"/>
            <w:tcBorders>
              <w:top w:val="nil"/>
              <w:left w:val="single" w:sz="4" w:space="0" w:color="auto"/>
              <w:bottom w:val="nil"/>
              <w:right w:val="single" w:sz="8" w:space="0" w:color="auto"/>
            </w:tcBorders>
            <w:shd w:val="clear" w:color="000000" w:fill="FFFFFF"/>
            <w:noWrap/>
            <w:vAlign w:val="bottom"/>
            <w:hideMark/>
          </w:tcPr>
          <w:p w14:paraId="4B3A192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E2DD9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87 710 630</w:t>
            </w:r>
          </w:p>
        </w:tc>
        <w:tc>
          <w:tcPr>
            <w:tcW w:w="1134" w:type="dxa"/>
            <w:tcBorders>
              <w:top w:val="nil"/>
              <w:left w:val="single" w:sz="4" w:space="0" w:color="auto"/>
              <w:bottom w:val="nil"/>
              <w:right w:val="single" w:sz="8" w:space="0" w:color="auto"/>
            </w:tcBorders>
            <w:shd w:val="clear" w:color="000000" w:fill="FFFFFF"/>
            <w:noWrap/>
            <w:vAlign w:val="bottom"/>
            <w:hideMark/>
          </w:tcPr>
          <w:p w14:paraId="305C5C4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24BCE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87 710 630</w:t>
            </w:r>
          </w:p>
        </w:tc>
      </w:tr>
      <w:tr w:rsidR="00A50E06" w:rsidRPr="00A50E06" w14:paraId="157CEDE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577EFAE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CHIPRE</w:t>
            </w:r>
          </w:p>
        </w:tc>
        <w:tc>
          <w:tcPr>
            <w:tcW w:w="1080" w:type="dxa"/>
            <w:tcBorders>
              <w:top w:val="nil"/>
              <w:left w:val="nil"/>
              <w:bottom w:val="nil"/>
              <w:right w:val="nil"/>
            </w:tcBorders>
            <w:shd w:val="clear" w:color="000000" w:fill="C0C0C0"/>
            <w:noWrap/>
            <w:vAlign w:val="center"/>
            <w:hideMark/>
          </w:tcPr>
          <w:p w14:paraId="3D6C8C4B"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0,11162</w:t>
            </w:r>
          </w:p>
        </w:tc>
        <w:tc>
          <w:tcPr>
            <w:tcW w:w="1104" w:type="dxa"/>
            <w:tcBorders>
              <w:top w:val="nil"/>
              <w:left w:val="single" w:sz="4" w:space="0" w:color="auto"/>
              <w:bottom w:val="nil"/>
              <w:right w:val="single" w:sz="8" w:space="0" w:color="auto"/>
            </w:tcBorders>
            <w:shd w:val="clear" w:color="000000" w:fill="FFFFFF"/>
            <w:noWrap/>
            <w:vAlign w:val="bottom"/>
            <w:hideMark/>
          </w:tcPr>
          <w:p w14:paraId="084EF65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334 860</w:t>
            </w:r>
          </w:p>
        </w:tc>
        <w:tc>
          <w:tcPr>
            <w:tcW w:w="1134" w:type="dxa"/>
            <w:tcBorders>
              <w:top w:val="nil"/>
              <w:left w:val="single" w:sz="4" w:space="0" w:color="auto"/>
              <w:bottom w:val="nil"/>
              <w:right w:val="single" w:sz="8" w:space="0" w:color="auto"/>
            </w:tcBorders>
            <w:shd w:val="clear" w:color="000000" w:fill="FFFFFF"/>
            <w:noWrap/>
            <w:vAlign w:val="bottom"/>
            <w:hideMark/>
          </w:tcPr>
          <w:p w14:paraId="584BFF1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68670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279 050</w:t>
            </w:r>
          </w:p>
        </w:tc>
        <w:tc>
          <w:tcPr>
            <w:tcW w:w="993" w:type="dxa"/>
            <w:tcBorders>
              <w:top w:val="nil"/>
              <w:left w:val="single" w:sz="4" w:space="0" w:color="auto"/>
              <w:bottom w:val="nil"/>
              <w:right w:val="single" w:sz="8" w:space="0" w:color="auto"/>
            </w:tcBorders>
            <w:shd w:val="clear" w:color="000000" w:fill="FFFFFF"/>
            <w:noWrap/>
            <w:vAlign w:val="bottom"/>
            <w:hideMark/>
          </w:tcPr>
          <w:p w14:paraId="1E94A3C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75ACA9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167 430</w:t>
            </w:r>
          </w:p>
        </w:tc>
        <w:tc>
          <w:tcPr>
            <w:tcW w:w="993" w:type="dxa"/>
            <w:tcBorders>
              <w:top w:val="nil"/>
              <w:left w:val="single" w:sz="4" w:space="0" w:color="auto"/>
              <w:bottom w:val="nil"/>
              <w:right w:val="single" w:sz="8" w:space="0" w:color="auto"/>
            </w:tcBorders>
            <w:shd w:val="clear" w:color="000000" w:fill="FFFFFF"/>
            <w:noWrap/>
            <w:vAlign w:val="bottom"/>
            <w:hideMark/>
          </w:tcPr>
          <w:p w14:paraId="011B453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3B55E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781 340</w:t>
            </w:r>
          </w:p>
        </w:tc>
        <w:tc>
          <w:tcPr>
            <w:tcW w:w="1134" w:type="dxa"/>
            <w:tcBorders>
              <w:top w:val="nil"/>
              <w:left w:val="single" w:sz="4" w:space="0" w:color="auto"/>
              <w:bottom w:val="nil"/>
              <w:right w:val="single" w:sz="8" w:space="0" w:color="auto"/>
            </w:tcBorders>
            <w:shd w:val="clear" w:color="000000" w:fill="FFFFFF"/>
            <w:noWrap/>
            <w:vAlign w:val="bottom"/>
            <w:hideMark/>
          </w:tcPr>
          <w:p w14:paraId="155C441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FADB1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781 340</w:t>
            </w:r>
          </w:p>
        </w:tc>
      </w:tr>
      <w:tr w:rsidR="00A50E06" w:rsidRPr="00A50E06" w14:paraId="7DBC48E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4C0127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LETONIA</w:t>
            </w:r>
          </w:p>
        </w:tc>
        <w:tc>
          <w:tcPr>
            <w:tcW w:w="1080" w:type="dxa"/>
            <w:tcBorders>
              <w:top w:val="nil"/>
              <w:left w:val="nil"/>
              <w:bottom w:val="nil"/>
              <w:right w:val="nil"/>
            </w:tcBorders>
            <w:shd w:val="clear" w:color="000000" w:fill="C0C0C0"/>
            <w:noWrap/>
            <w:vAlign w:val="center"/>
            <w:hideMark/>
          </w:tcPr>
          <w:p w14:paraId="07926439"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0,11612</w:t>
            </w:r>
          </w:p>
        </w:tc>
        <w:tc>
          <w:tcPr>
            <w:tcW w:w="1104" w:type="dxa"/>
            <w:tcBorders>
              <w:top w:val="nil"/>
              <w:left w:val="single" w:sz="4" w:space="0" w:color="auto"/>
              <w:bottom w:val="nil"/>
              <w:right w:val="single" w:sz="8" w:space="0" w:color="auto"/>
            </w:tcBorders>
            <w:shd w:val="clear" w:color="000000" w:fill="FFFFFF"/>
            <w:noWrap/>
            <w:vAlign w:val="bottom"/>
            <w:hideMark/>
          </w:tcPr>
          <w:p w14:paraId="161BA4E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348 360</w:t>
            </w:r>
          </w:p>
        </w:tc>
        <w:tc>
          <w:tcPr>
            <w:tcW w:w="1134" w:type="dxa"/>
            <w:tcBorders>
              <w:top w:val="nil"/>
              <w:left w:val="single" w:sz="4" w:space="0" w:color="auto"/>
              <w:bottom w:val="nil"/>
              <w:right w:val="single" w:sz="8" w:space="0" w:color="auto"/>
            </w:tcBorders>
            <w:shd w:val="clear" w:color="000000" w:fill="FFFFFF"/>
            <w:noWrap/>
            <w:vAlign w:val="bottom"/>
            <w:hideMark/>
          </w:tcPr>
          <w:p w14:paraId="3D92866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93B6F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290 300</w:t>
            </w:r>
          </w:p>
        </w:tc>
        <w:tc>
          <w:tcPr>
            <w:tcW w:w="993" w:type="dxa"/>
            <w:tcBorders>
              <w:top w:val="nil"/>
              <w:left w:val="single" w:sz="4" w:space="0" w:color="auto"/>
              <w:bottom w:val="nil"/>
              <w:right w:val="single" w:sz="8" w:space="0" w:color="auto"/>
            </w:tcBorders>
            <w:shd w:val="clear" w:color="000000" w:fill="FFFFFF"/>
            <w:noWrap/>
            <w:vAlign w:val="bottom"/>
            <w:hideMark/>
          </w:tcPr>
          <w:p w14:paraId="382F213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319E25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174 180</w:t>
            </w:r>
          </w:p>
        </w:tc>
        <w:tc>
          <w:tcPr>
            <w:tcW w:w="993" w:type="dxa"/>
            <w:tcBorders>
              <w:top w:val="nil"/>
              <w:left w:val="single" w:sz="4" w:space="0" w:color="auto"/>
              <w:bottom w:val="nil"/>
              <w:right w:val="single" w:sz="8" w:space="0" w:color="auto"/>
            </w:tcBorders>
            <w:shd w:val="clear" w:color="000000" w:fill="FFFFFF"/>
            <w:noWrap/>
            <w:vAlign w:val="bottom"/>
            <w:hideMark/>
          </w:tcPr>
          <w:p w14:paraId="130C252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F9257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812 840</w:t>
            </w:r>
          </w:p>
        </w:tc>
        <w:tc>
          <w:tcPr>
            <w:tcW w:w="1134" w:type="dxa"/>
            <w:tcBorders>
              <w:top w:val="nil"/>
              <w:left w:val="single" w:sz="4" w:space="0" w:color="auto"/>
              <w:bottom w:val="nil"/>
              <w:right w:val="single" w:sz="8" w:space="0" w:color="auto"/>
            </w:tcBorders>
            <w:shd w:val="clear" w:color="000000" w:fill="FFFFFF"/>
            <w:noWrap/>
            <w:vAlign w:val="bottom"/>
            <w:hideMark/>
          </w:tcPr>
          <w:p w14:paraId="181EA20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A3B3D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812 840</w:t>
            </w:r>
          </w:p>
        </w:tc>
      </w:tr>
      <w:tr w:rsidR="00A50E06" w:rsidRPr="00A50E06" w14:paraId="1E3F54A1"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B45F6E6"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LITUANIA</w:t>
            </w:r>
          </w:p>
        </w:tc>
        <w:tc>
          <w:tcPr>
            <w:tcW w:w="1080" w:type="dxa"/>
            <w:tcBorders>
              <w:top w:val="nil"/>
              <w:left w:val="nil"/>
              <w:bottom w:val="nil"/>
              <w:right w:val="nil"/>
            </w:tcBorders>
            <w:shd w:val="clear" w:color="000000" w:fill="C0C0C0"/>
            <w:noWrap/>
            <w:vAlign w:val="center"/>
            <w:hideMark/>
          </w:tcPr>
          <w:p w14:paraId="061DB0E5"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0,18077</w:t>
            </w:r>
          </w:p>
        </w:tc>
        <w:tc>
          <w:tcPr>
            <w:tcW w:w="1104" w:type="dxa"/>
            <w:tcBorders>
              <w:top w:val="nil"/>
              <w:left w:val="single" w:sz="4" w:space="0" w:color="auto"/>
              <w:bottom w:val="nil"/>
              <w:right w:val="single" w:sz="8" w:space="0" w:color="auto"/>
            </w:tcBorders>
            <w:shd w:val="clear" w:color="000000" w:fill="FFFFFF"/>
            <w:noWrap/>
            <w:vAlign w:val="bottom"/>
            <w:hideMark/>
          </w:tcPr>
          <w:p w14:paraId="3C1804C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542 310</w:t>
            </w:r>
          </w:p>
        </w:tc>
        <w:tc>
          <w:tcPr>
            <w:tcW w:w="1134" w:type="dxa"/>
            <w:tcBorders>
              <w:top w:val="nil"/>
              <w:left w:val="single" w:sz="4" w:space="0" w:color="auto"/>
              <w:bottom w:val="nil"/>
              <w:right w:val="single" w:sz="8" w:space="0" w:color="auto"/>
            </w:tcBorders>
            <w:shd w:val="clear" w:color="000000" w:fill="FFFFFF"/>
            <w:noWrap/>
            <w:vAlign w:val="bottom"/>
            <w:hideMark/>
          </w:tcPr>
          <w:p w14:paraId="007C19F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3FDD4A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451 925</w:t>
            </w:r>
          </w:p>
        </w:tc>
        <w:tc>
          <w:tcPr>
            <w:tcW w:w="993" w:type="dxa"/>
            <w:tcBorders>
              <w:top w:val="nil"/>
              <w:left w:val="single" w:sz="4" w:space="0" w:color="auto"/>
              <w:bottom w:val="nil"/>
              <w:right w:val="single" w:sz="8" w:space="0" w:color="auto"/>
            </w:tcBorders>
            <w:shd w:val="clear" w:color="000000" w:fill="FFFFFF"/>
            <w:noWrap/>
            <w:vAlign w:val="bottom"/>
            <w:hideMark/>
          </w:tcPr>
          <w:p w14:paraId="2BD2F68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748C72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271 155</w:t>
            </w:r>
          </w:p>
        </w:tc>
        <w:tc>
          <w:tcPr>
            <w:tcW w:w="993" w:type="dxa"/>
            <w:tcBorders>
              <w:top w:val="nil"/>
              <w:left w:val="single" w:sz="4" w:space="0" w:color="auto"/>
              <w:bottom w:val="nil"/>
              <w:right w:val="single" w:sz="8" w:space="0" w:color="auto"/>
            </w:tcBorders>
            <w:shd w:val="clear" w:color="000000" w:fill="FFFFFF"/>
            <w:noWrap/>
            <w:vAlign w:val="bottom"/>
            <w:hideMark/>
          </w:tcPr>
          <w:p w14:paraId="1E0C785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F71BC6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1 265 390</w:t>
            </w:r>
          </w:p>
        </w:tc>
        <w:tc>
          <w:tcPr>
            <w:tcW w:w="1134" w:type="dxa"/>
            <w:tcBorders>
              <w:top w:val="nil"/>
              <w:left w:val="single" w:sz="4" w:space="0" w:color="auto"/>
              <w:bottom w:val="nil"/>
              <w:right w:val="single" w:sz="8" w:space="0" w:color="auto"/>
            </w:tcBorders>
            <w:shd w:val="clear" w:color="000000" w:fill="FFFFFF"/>
            <w:noWrap/>
            <w:vAlign w:val="bottom"/>
            <w:hideMark/>
          </w:tcPr>
          <w:p w14:paraId="2955C5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A98429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1 265 390</w:t>
            </w:r>
          </w:p>
        </w:tc>
      </w:tr>
      <w:tr w:rsidR="00A50E06" w:rsidRPr="00A50E06" w14:paraId="36E749D3"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E9E59AF"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LUXEMBOURG</w:t>
            </w:r>
          </w:p>
        </w:tc>
        <w:tc>
          <w:tcPr>
            <w:tcW w:w="1080" w:type="dxa"/>
            <w:tcBorders>
              <w:top w:val="nil"/>
              <w:left w:val="nil"/>
              <w:bottom w:val="nil"/>
              <w:right w:val="nil"/>
            </w:tcBorders>
            <w:shd w:val="clear" w:color="000000" w:fill="C0C0C0"/>
            <w:noWrap/>
            <w:vAlign w:val="center"/>
            <w:hideMark/>
          </w:tcPr>
          <w:p w14:paraId="1BE38D6E"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0,25509</w:t>
            </w:r>
          </w:p>
        </w:tc>
        <w:tc>
          <w:tcPr>
            <w:tcW w:w="1104" w:type="dxa"/>
            <w:tcBorders>
              <w:top w:val="nil"/>
              <w:left w:val="single" w:sz="4" w:space="0" w:color="auto"/>
              <w:bottom w:val="nil"/>
              <w:right w:val="single" w:sz="8" w:space="0" w:color="auto"/>
            </w:tcBorders>
            <w:shd w:val="clear" w:color="000000" w:fill="FFFFFF"/>
            <w:noWrap/>
            <w:vAlign w:val="bottom"/>
            <w:hideMark/>
          </w:tcPr>
          <w:p w14:paraId="03B57C5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765 270</w:t>
            </w:r>
          </w:p>
        </w:tc>
        <w:tc>
          <w:tcPr>
            <w:tcW w:w="1134" w:type="dxa"/>
            <w:tcBorders>
              <w:top w:val="nil"/>
              <w:left w:val="single" w:sz="4" w:space="0" w:color="auto"/>
              <w:bottom w:val="nil"/>
              <w:right w:val="single" w:sz="8" w:space="0" w:color="auto"/>
            </w:tcBorders>
            <w:shd w:val="clear" w:color="000000" w:fill="FFFFFF"/>
            <w:noWrap/>
            <w:vAlign w:val="bottom"/>
            <w:hideMark/>
          </w:tcPr>
          <w:p w14:paraId="6470FFF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E1843B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637 725</w:t>
            </w:r>
          </w:p>
        </w:tc>
        <w:tc>
          <w:tcPr>
            <w:tcW w:w="993" w:type="dxa"/>
            <w:tcBorders>
              <w:top w:val="nil"/>
              <w:left w:val="single" w:sz="4" w:space="0" w:color="auto"/>
              <w:bottom w:val="nil"/>
              <w:right w:val="single" w:sz="8" w:space="0" w:color="auto"/>
            </w:tcBorders>
            <w:shd w:val="clear" w:color="000000" w:fill="FFFFFF"/>
            <w:noWrap/>
            <w:vAlign w:val="bottom"/>
            <w:hideMark/>
          </w:tcPr>
          <w:p w14:paraId="63EB1BB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D936A4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382 635</w:t>
            </w:r>
          </w:p>
        </w:tc>
        <w:tc>
          <w:tcPr>
            <w:tcW w:w="993" w:type="dxa"/>
            <w:tcBorders>
              <w:top w:val="nil"/>
              <w:left w:val="single" w:sz="4" w:space="0" w:color="auto"/>
              <w:bottom w:val="nil"/>
              <w:right w:val="single" w:sz="8" w:space="0" w:color="auto"/>
            </w:tcBorders>
            <w:shd w:val="clear" w:color="000000" w:fill="FFFFFF"/>
            <w:noWrap/>
            <w:vAlign w:val="bottom"/>
            <w:hideMark/>
          </w:tcPr>
          <w:p w14:paraId="2B6169C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5324E44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1 785 630</w:t>
            </w:r>
          </w:p>
        </w:tc>
        <w:tc>
          <w:tcPr>
            <w:tcW w:w="1134" w:type="dxa"/>
            <w:tcBorders>
              <w:top w:val="nil"/>
              <w:left w:val="single" w:sz="4" w:space="0" w:color="auto"/>
              <w:bottom w:val="nil"/>
              <w:right w:val="single" w:sz="8" w:space="0" w:color="auto"/>
            </w:tcBorders>
            <w:shd w:val="clear" w:color="000000" w:fill="FFFFFF"/>
            <w:noWrap/>
            <w:vAlign w:val="bottom"/>
            <w:hideMark/>
          </w:tcPr>
          <w:p w14:paraId="4955FC2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2B6B91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1 785 630</w:t>
            </w:r>
          </w:p>
        </w:tc>
      </w:tr>
      <w:tr w:rsidR="00A50E06" w:rsidRPr="00A50E06" w14:paraId="0575411D"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207EC6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HUNGRÍA</w:t>
            </w:r>
          </w:p>
        </w:tc>
        <w:tc>
          <w:tcPr>
            <w:tcW w:w="1080" w:type="dxa"/>
            <w:tcBorders>
              <w:top w:val="nil"/>
              <w:left w:val="nil"/>
              <w:bottom w:val="nil"/>
              <w:right w:val="nil"/>
            </w:tcBorders>
            <w:shd w:val="clear" w:color="000000" w:fill="C0C0C0"/>
            <w:noWrap/>
            <w:vAlign w:val="center"/>
            <w:hideMark/>
          </w:tcPr>
          <w:p w14:paraId="650550EF"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0,61456</w:t>
            </w:r>
          </w:p>
        </w:tc>
        <w:tc>
          <w:tcPr>
            <w:tcW w:w="1104" w:type="dxa"/>
            <w:tcBorders>
              <w:top w:val="nil"/>
              <w:left w:val="single" w:sz="4" w:space="0" w:color="auto"/>
              <w:bottom w:val="nil"/>
              <w:right w:val="single" w:sz="8" w:space="0" w:color="auto"/>
            </w:tcBorders>
            <w:shd w:val="clear" w:color="000000" w:fill="FFFFFF"/>
            <w:noWrap/>
            <w:vAlign w:val="bottom"/>
            <w:hideMark/>
          </w:tcPr>
          <w:p w14:paraId="17FEC4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1 843 680</w:t>
            </w:r>
          </w:p>
        </w:tc>
        <w:tc>
          <w:tcPr>
            <w:tcW w:w="1134" w:type="dxa"/>
            <w:tcBorders>
              <w:top w:val="nil"/>
              <w:left w:val="single" w:sz="4" w:space="0" w:color="auto"/>
              <w:bottom w:val="nil"/>
              <w:right w:val="single" w:sz="8" w:space="0" w:color="auto"/>
            </w:tcBorders>
            <w:shd w:val="clear" w:color="000000" w:fill="FFFFFF"/>
            <w:noWrap/>
            <w:vAlign w:val="bottom"/>
            <w:hideMark/>
          </w:tcPr>
          <w:p w14:paraId="23B32D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BDC52A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1 536 400</w:t>
            </w:r>
          </w:p>
        </w:tc>
        <w:tc>
          <w:tcPr>
            <w:tcW w:w="993" w:type="dxa"/>
            <w:tcBorders>
              <w:top w:val="nil"/>
              <w:left w:val="single" w:sz="4" w:space="0" w:color="auto"/>
              <w:bottom w:val="nil"/>
              <w:right w:val="single" w:sz="8" w:space="0" w:color="auto"/>
            </w:tcBorders>
            <w:shd w:val="clear" w:color="000000" w:fill="FFFFFF"/>
            <w:noWrap/>
            <w:vAlign w:val="bottom"/>
            <w:hideMark/>
          </w:tcPr>
          <w:p w14:paraId="3E5CDA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B2E429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921 840</w:t>
            </w:r>
          </w:p>
        </w:tc>
        <w:tc>
          <w:tcPr>
            <w:tcW w:w="993" w:type="dxa"/>
            <w:tcBorders>
              <w:top w:val="nil"/>
              <w:left w:val="single" w:sz="4" w:space="0" w:color="auto"/>
              <w:bottom w:val="nil"/>
              <w:right w:val="single" w:sz="8" w:space="0" w:color="auto"/>
            </w:tcBorders>
            <w:shd w:val="clear" w:color="000000" w:fill="FFFFFF"/>
            <w:noWrap/>
            <w:vAlign w:val="bottom"/>
            <w:hideMark/>
          </w:tcPr>
          <w:p w14:paraId="08BE47B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6D136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4 301 920</w:t>
            </w:r>
          </w:p>
        </w:tc>
        <w:tc>
          <w:tcPr>
            <w:tcW w:w="1134" w:type="dxa"/>
            <w:tcBorders>
              <w:top w:val="nil"/>
              <w:left w:val="single" w:sz="4" w:space="0" w:color="auto"/>
              <w:bottom w:val="nil"/>
              <w:right w:val="single" w:sz="8" w:space="0" w:color="auto"/>
            </w:tcBorders>
            <w:shd w:val="clear" w:color="000000" w:fill="FFFFFF"/>
            <w:noWrap/>
            <w:vAlign w:val="bottom"/>
            <w:hideMark/>
          </w:tcPr>
          <w:p w14:paraId="231762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333CE1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4 301 920</w:t>
            </w:r>
          </w:p>
        </w:tc>
      </w:tr>
      <w:tr w:rsidR="00A50E06" w:rsidRPr="00A50E06" w14:paraId="5C2AE999"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E4FAE54"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MALTA</w:t>
            </w:r>
          </w:p>
        </w:tc>
        <w:tc>
          <w:tcPr>
            <w:tcW w:w="1080" w:type="dxa"/>
            <w:tcBorders>
              <w:top w:val="nil"/>
              <w:left w:val="nil"/>
              <w:bottom w:val="nil"/>
              <w:right w:val="nil"/>
            </w:tcBorders>
            <w:shd w:val="clear" w:color="000000" w:fill="C0C0C0"/>
            <w:noWrap/>
            <w:vAlign w:val="center"/>
            <w:hideMark/>
          </w:tcPr>
          <w:p w14:paraId="51DFC094"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0,03801</w:t>
            </w:r>
          </w:p>
        </w:tc>
        <w:tc>
          <w:tcPr>
            <w:tcW w:w="1104" w:type="dxa"/>
            <w:tcBorders>
              <w:top w:val="nil"/>
              <w:left w:val="single" w:sz="4" w:space="0" w:color="auto"/>
              <w:bottom w:val="nil"/>
              <w:right w:val="single" w:sz="8" w:space="0" w:color="auto"/>
            </w:tcBorders>
            <w:shd w:val="clear" w:color="000000" w:fill="FFFFFF"/>
            <w:noWrap/>
            <w:vAlign w:val="bottom"/>
            <w:hideMark/>
          </w:tcPr>
          <w:p w14:paraId="0FEBD58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114 030</w:t>
            </w:r>
          </w:p>
        </w:tc>
        <w:tc>
          <w:tcPr>
            <w:tcW w:w="1134" w:type="dxa"/>
            <w:tcBorders>
              <w:top w:val="nil"/>
              <w:left w:val="single" w:sz="4" w:space="0" w:color="auto"/>
              <w:bottom w:val="nil"/>
              <w:right w:val="single" w:sz="8" w:space="0" w:color="auto"/>
            </w:tcBorders>
            <w:shd w:val="clear" w:color="000000" w:fill="FFFFFF"/>
            <w:noWrap/>
            <w:vAlign w:val="bottom"/>
            <w:hideMark/>
          </w:tcPr>
          <w:p w14:paraId="656BFEE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B1FA43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95 025</w:t>
            </w:r>
          </w:p>
        </w:tc>
        <w:tc>
          <w:tcPr>
            <w:tcW w:w="993" w:type="dxa"/>
            <w:tcBorders>
              <w:top w:val="nil"/>
              <w:left w:val="single" w:sz="4" w:space="0" w:color="auto"/>
              <w:bottom w:val="nil"/>
              <w:right w:val="single" w:sz="8" w:space="0" w:color="auto"/>
            </w:tcBorders>
            <w:shd w:val="clear" w:color="000000" w:fill="FFFFFF"/>
            <w:noWrap/>
            <w:vAlign w:val="bottom"/>
            <w:hideMark/>
          </w:tcPr>
          <w:p w14:paraId="07EC7F5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6DE1C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57 015</w:t>
            </w:r>
          </w:p>
        </w:tc>
        <w:tc>
          <w:tcPr>
            <w:tcW w:w="993" w:type="dxa"/>
            <w:tcBorders>
              <w:top w:val="nil"/>
              <w:left w:val="single" w:sz="4" w:space="0" w:color="auto"/>
              <w:bottom w:val="nil"/>
              <w:right w:val="single" w:sz="8" w:space="0" w:color="auto"/>
            </w:tcBorders>
            <w:shd w:val="clear" w:color="000000" w:fill="FFFFFF"/>
            <w:noWrap/>
            <w:vAlign w:val="bottom"/>
            <w:hideMark/>
          </w:tcPr>
          <w:p w14:paraId="61E5EFD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D2EE6E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266 070</w:t>
            </w:r>
          </w:p>
        </w:tc>
        <w:tc>
          <w:tcPr>
            <w:tcW w:w="1134" w:type="dxa"/>
            <w:tcBorders>
              <w:top w:val="nil"/>
              <w:left w:val="single" w:sz="4" w:space="0" w:color="auto"/>
              <w:bottom w:val="nil"/>
              <w:right w:val="single" w:sz="8" w:space="0" w:color="auto"/>
            </w:tcBorders>
            <w:shd w:val="clear" w:color="000000" w:fill="FFFFFF"/>
            <w:noWrap/>
            <w:vAlign w:val="bottom"/>
            <w:hideMark/>
          </w:tcPr>
          <w:p w14:paraId="1B5CA63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C61BA0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266 070</w:t>
            </w:r>
          </w:p>
        </w:tc>
      </w:tr>
      <w:tr w:rsidR="00A50E06" w:rsidRPr="00A50E06" w14:paraId="5B73D56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755075DC"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PAÍSES BAJOS</w:t>
            </w:r>
          </w:p>
        </w:tc>
        <w:tc>
          <w:tcPr>
            <w:tcW w:w="1080" w:type="dxa"/>
            <w:tcBorders>
              <w:top w:val="nil"/>
              <w:left w:val="nil"/>
              <w:bottom w:val="nil"/>
              <w:right w:val="nil"/>
            </w:tcBorders>
            <w:shd w:val="clear" w:color="000000" w:fill="C0C0C0"/>
            <w:noWrap/>
            <w:vAlign w:val="center"/>
            <w:hideMark/>
          </w:tcPr>
          <w:p w14:paraId="2AC66C9D"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4,77678</w:t>
            </w:r>
          </w:p>
        </w:tc>
        <w:tc>
          <w:tcPr>
            <w:tcW w:w="1104" w:type="dxa"/>
            <w:tcBorders>
              <w:top w:val="nil"/>
              <w:left w:val="single" w:sz="4" w:space="0" w:color="auto"/>
              <w:bottom w:val="nil"/>
              <w:right w:val="single" w:sz="8" w:space="0" w:color="auto"/>
            </w:tcBorders>
            <w:shd w:val="clear" w:color="000000" w:fill="FFFFFF"/>
            <w:noWrap/>
            <w:vAlign w:val="bottom"/>
            <w:hideMark/>
          </w:tcPr>
          <w:p w14:paraId="194187E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14 330 340</w:t>
            </w:r>
          </w:p>
        </w:tc>
        <w:tc>
          <w:tcPr>
            <w:tcW w:w="1134" w:type="dxa"/>
            <w:tcBorders>
              <w:top w:val="nil"/>
              <w:left w:val="single" w:sz="4" w:space="0" w:color="auto"/>
              <w:bottom w:val="nil"/>
              <w:right w:val="single" w:sz="8" w:space="0" w:color="auto"/>
            </w:tcBorders>
            <w:shd w:val="clear" w:color="000000" w:fill="FFFFFF"/>
            <w:noWrap/>
            <w:vAlign w:val="bottom"/>
            <w:hideMark/>
          </w:tcPr>
          <w:p w14:paraId="0207334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946475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11 941 950</w:t>
            </w:r>
          </w:p>
        </w:tc>
        <w:tc>
          <w:tcPr>
            <w:tcW w:w="993" w:type="dxa"/>
            <w:tcBorders>
              <w:top w:val="nil"/>
              <w:left w:val="single" w:sz="4" w:space="0" w:color="auto"/>
              <w:bottom w:val="nil"/>
              <w:right w:val="single" w:sz="8" w:space="0" w:color="auto"/>
            </w:tcBorders>
            <w:shd w:val="clear" w:color="000000" w:fill="FFFFFF"/>
            <w:noWrap/>
            <w:vAlign w:val="bottom"/>
            <w:hideMark/>
          </w:tcPr>
          <w:p w14:paraId="482C933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118094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7 165 170</w:t>
            </w:r>
          </w:p>
        </w:tc>
        <w:tc>
          <w:tcPr>
            <w:tcW w:w="993" w:type="dxa"/>
            <w:tcBorders>
              <w:top w:val="nil"/>
              <w:left w:val="single" w:sz="4" w:space="0" w:color="auto"/>
              <w:bottom w:val="nil"/>
              <w:right w:val="single" w:sz="8" w:space="0" w:color="auto"/>
            </w:tcBorders>
            <w:shd w:val="clear" w:color="000000" w:fill="FFFFFF"/>
            <w:noWrap/>
            <w:vAlign w:val="bottom"/>
            <w:hideMark/>
          </w:tcPr>
          <w:p w14:paraId="4227FAE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2D02B6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33 437 460</w:t>
            </w:r>
          </w:p>
        </w:tc>
        <w:tc>
          <w:tcPr>
            <w:tcW w:w="1134" w:type="dxa"/>
            <w:tcBorders>
              <w:top w:val="nil"/>
              <w:left w:val="single" w:sz="4" w:space="0" w:color="auto"/>
              <w:bottom w:val="nil"/>
              <w:right w:val="single" w:sz="8" w:space="0" w:color="auto"/>
            </w:tcBorders>
            <w:shd w:val="clear" w:color="000000" w:fill="FFFFFF"/>
            <w:noWrap/>
            <w:vAlign w:val="bottom"/>
            <w:hideMark/>
          </w:tcPr>
          <w:p w14:paraId="571D17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218C61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33 437 460</w:t>
            </w:r>
          </w:p>
        </w:tc>
      </w:tr>
      <w:tr w:rsidR="00A50E06" w:rsidRPr="00A50E06" w14:paraId="7A370D41"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05CF2FC8"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AUSTRIA</w:t>
            </w:r>
          </w:p>
        </w:tc>
        <w:tc>
          <w:tcPr>
            <w:tcW w:w="1080" w:type="dxa"/>
            <w:tcBorders>
              <w:top w:val="nil"/>
              <w:left w:val="nil"/>
              <w:bottom w:val="nil"/>
              <w:right w:val="nil"/>
            </w:tcBorders>
            <w:shd w:val="clear" w:color="000000" w:fill="C0C0C0"/>
            <w:noWrap/>
            <w:vAlign w:val="center"/>
            <w:hideMark/>
          </w:tcPr>
          <w:p w14:paraId="7868D130"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2,39757</w:t>
            </w:r>
          </w:p>
        </w:tc>
        <w:tc>
          <w:tcPr>
            <w:tcW w:w="1104" w:type="dxa"/>
            <w:tcBorders>
              <w:top w:val="nil"/>
              <w:left w:val="single" w:sz="4" w:space="0" w:color="auto"/>
              <w:bottom w:val="nil"/>
              <w:right w:val="single" w:sz="8" w:space="0" w:color="auto"/>
            </w:tcBorders>
            <w:shd w:val="clear" w:color="000000" w:fill="FFFFFF"/>
            <w:noWrap/>
            <w:vAlign w:val="bottom"/>
            <w:hideMark/>
          </w:tcPr>
          <w:p w14:paraId="682E0DD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7 192 710</w:t>
            </w:r>
          </w:p>
        </w:tc>
        <w:tc>
          <w:tcPr>
            <w:tcW w:w="1134" w:type="dxa"/>
            <w:tcBorders>
              <w:top w:val="nil"/>
              <w:left w:val="single" w:sz="4" w:space="0" w:color="auto"/>
              <w:bottom w:val="nil"/>
              <w:right w:val="single" w:sz="8" w:space="0" w:color="auto"/>
            </w:tcBorders>
            <w:shd w:val="clear" w:color="000000" w:fill="FFFFFF"/>
            <w:noWrap/>
            <w:vAlign w:val="bottom"/>
            <w:hideMark/>
          </w:tcPr>
          <w:p w14:paraId="49D6684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16BE80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5 993 925</w:t>
            </w:r>
          </w:p>
        </w:tc>
        <w:tc>
          <w:tcPr>
            <w:tcW w:w="993" w:type="dxa"/>
            <w:tcBorders>
              <w:top w:val="nil"/>
              <w:left w:val="single" w:sz="4" w:space="0" w:color="auto"/>
              <w:bottom w:val="nil"/>
              <w:right w:val="single" w:sz="8" w:space="0" w:color="auto"/>
            </w:tcBorders>
            <w:shd w:val="clear" w:color="000000" w:fill="FFFFFF"/>
            <w:noWrap/>
            <w:vAlign w:val="bottom"/>
            <w:hideMark/>
          </w:tcPr>
          <w:p w14:paraId="63B0314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95F2C2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3 596 355</w:t>
            </w:r>
          </w:p>
        </w:tc>
        <w:tc>
          <w:tcPr>
            <w:tcW w:w="993" w:type="dxa"/>
            <w:tcBorders>
              <w:top w:val="nil"/>
              <w:left w:val="single" w:sz="4" w:space="0" w:color="auto"/>
              <w:bottom w:val="nil"/>
              <w:right w:val="single" w:sz="8" w:space="0" w:color="auto"/>
            </w:tcBorders>
            <w:shd w:val="clear" w:color="000000" w:fill="FFFFFF"/>
            <w:noWrap/>
            <w:vAlign w:val="bottom"/>
            <w:hideMark/>
          </w:tcPr>
          <w:p w14:paraId="532D0F2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2AB66A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16 782 990</w:t>
            </w:r>
          </w:p>
        </w:tc>
        <w:tc>
          <w:tcPr>
            <w:tcW w:w="1134" w:type="dxa"/>
            <w:tcBorders>
              <w:top w:val="nil"/>
              <w:left w:val="single" w:sz="4" w:space="0" w:color="auto"/>
              <w:bottom w:val="nil"/>
              <w:right w:val="single" w:sz="8" w:space="0" w:color="auto"/>
            </w:tcBorders>
            <w:shd w:val="clear" w:color="000000" w:fill="FFFFFF"/>
            <w:noWrap/>
            <w:vAlign w:val="bottom"/>
            <w:hideMark/>
          </w:tcPr>
          <w:p w14:paraId="048D9E1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47F76DA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16 782 990</w:t>
            </w:r>
          </w:p>
        </w:tc>
      </w:tr>
      <w:tr w:rsidR="00A50E06" w:rsidRPr="00A50E06" w14:paraId="4D96A027"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D0466DB"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POLONIA</w:t>
            </w:r>
          </w:p>
        </w:tc>
        <w:tc>
          <w:tcPr>
            <w:tcW w:w="1080" w:type="dxa"/>
            <w:tcBorders>
              <w:top w:val="nil"/>
              <w:left w:val="nil"/>
              <w:bottom w:val="nil"/>
              <w:right w:val="nil"/>
            </w:tcBorders>
            <w:shd w:val="clear" w:color="000000" w:fill="C0C0C0"/>
            <w:noWrap/>
            <w:vAlign w:val="center"/>
            <w:hideMark/>
          </w:tcPr>
          <w:p w14:paraId="1CEABD4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2,00734</w:t>
            </w:r>
          </w:p>
        </w:tc>
        <w:tc>
          <w:tcPr>
            <w:tcW w:w="1104" w:type="dxa"/>
            <w:tcBorders>
              <w:top w:val="nil"/>
              <w:left w:val="single" w:sz="4" w:space="0" w:color="auto"/>
              <w:bottom w:val="nil"/>
              <w:right w:val="single" w:sz="8" w:space="0" w:color="auto"/>
            </w:tcBorders>
            <w:shd w:val="clear" w:color="000000" w:fill="FFFFFF"/>
            <w:noWrap/>
            <w:vAlign w:val="bottom"/>
            <w:hideMark/>
          </w:tcPr>
          <w:p w14:paraId="746CC90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6 022 020</w:t>
            </w:r>
          </w:p>
        </w:tc>
        <w:tc>
          <w:tcPr>
            <w:tcW w:w="1134" w:type="dxa"/>
            <w:tcBorders>
              <w:top w:val="nil"/>
              <w:left w:val="single" w:sz="4" w:space="0" w:color="auto"/>
              <w:bottom w:val="nil"/>
              <w:right w:val="single" w:sz="8" w:space="0" w:color="auto"/>
            </w:tcBorders>
            <w:shd w:val="clear" w:color="000000" w:fill="FFFFFF"/>
            <w:noWrap/>
            <w:vAlign w:val="bottom"/>
            <w:hideMark/>
          </w:tcPr>
          <w:p w14:paraId="0C67EE4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A2CD53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5 018 350</w:t>
            </w:r>
          </w:p>
        </w:tc>
        <w:tc>
          <w:tcPr>
            <w:tcW w:w="993" w:type="dxa"/>
            <w:tcBorders>
              <w:top w:val="nil"/>
              <w:left w:val="single" w:sz="4" w:space="0" w:color="auto"/>
              <w:bottom w:val="nil"/>
              <w:right w:val="single" w:sz="8" w:space="0" w:color="auto"/>
            </w:tcBorders>
            <w:shd w:val="clear" w:color="000000" w:fill="FFFFFF"/>
            <w:noWrap/>
            <w:vAlign w:val="bottom"/>
            <w:hideMark/>
          </w:tcPr>
          <w:p w14:paraId="74FC540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F30817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3 011 010</w:t>
            </w:r>
          </w:p>
        </w:tc>
        <w:tc>
          <w:tcPr>
            <w:tcW w:w="993" w:type="dxa"/>
            <w:tcBorders>
              <w:top w:val="nil"/>
              <w:left w:val="single" w:sz="4" w:space="0" w:color="auto"/>
              <w:bottom w:val="nil"/>
              <w:right w:val="single" w:sz="8" w:space="0" w:color="auto"/>
            </w:tcBorders>
            <w:shd w:val="clear" w:color="000000" w:fill="FFFFFF"/>
            <w:noWrap/>
            <w:vAlign w:val="bottom"/>
            <w:hideMark/>
          </w:tcPr>
          <w:p w14:paraId="52E35B8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73AB40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14 051 380</w:t>
            </w:r>
          </w:p>
        </w:tc>
        <w:tc>
          <w:tcPr>
            <w:tcW w:w="1134" w:type="dxa"/>
            <w:tcBorders>
              <w:top w:val="nil"/>
              <w:left w:val="single" w:sz="4" w:space="0" w:color="auto"/>
              <w:bottom w:val="nil"/>
              <w:right w:val="single" w:sz="8" w:space="0" w:color="auto"/>
            </w:tcBorders>
            <w:shd w:val="clear" w:color="000000" w:fill="FFFFFF"/>
            <w:noWrap/>
            <w:vAlign w:val="bottom"/>
            <w:hideMark/>
          </w:tcPr>
          <w:p w14:paraId="2218C7D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BB804A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14 051 380</w:t>
            </w:r>
          </w:p>
        </w:tc>
      </w:tr>
      <w:tr w:rsidR="00A50E06" w:rsidRPr="00A50E06" w14:paraId="6A3610EB"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268AE830"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PORTUGAL</w:t>
            </w:r>
          </w:p>
        </w:tc>
        <w:tc>
          <w:tcPr>
            <w:tcW w:w="1080" w:type="dxa"/>
            <w:tcBorders>
              <w:top w:val="nil"/>
              <w:left w:val="nil"/>
              <w:bottom w:val="nil"/>
              <w:right w:val="nil"/>
            </w:tcBorders>
            <w:shd w:val="clear" w:color="000000" w:fill="C0C0C0"/>
            <w:noWrap/>
            <w:vAlign w:val="center"/>
            <w:hideMark/>
          </w:tcPr>
          <w:p w14:paraId="39FA421E"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1,19679</w:t>
            </w:r>
          </w:p>
        </w:tc>
        <w:tc>
          <w:tcPr>
            <w:tcW w:w="1104" w:type="dxa"/>
            <w:tcBorders>
              <w:top w:val="nil"/>
              <w:left w:val="single" w:sz="4" w:space="0" w:color="auto"/>
              <w:bottom w:val="nil"/>
              <w:right w:val="single" w:sz="8" w:space="0" w:color="auto"/>
            </w:tcBorders>
            <w:shd w:val="clear" w:color="000000" w:fill="FFFFFF"/>
            <w:noWrap/>
            <w:vAlign w:val="bottom"/>
            <w:hideMark/>
          </w:tcPr>
          <w:p w14:paraId="50C75A1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3 590 370</w:t>
            </w:r>
          </w:p>
        </w:tc>
        <w:tc>
          <w:tcPr>
            <w:tcW w:w="1134" w:type="dxa"/>
            <w:tcBorders>
              <w:top w:val="nil"/>
              <w:left w:val="single" w:sz="4" w:space="0" w:color="auto"/>
              <w:bottom w:val="nil"/>
              <w:right w:val="single" w:sz="8" w:space="0" w:color="auto"/>
            </w:tcBorders>
            <w:shd w:val="clear" w:color="000000" w:fill="FFFFFF"/>
            <w:noWrap/>
            <w:vAlign w:val="bottom"/>
            <w:hideMark/>
          </w:tcPr>
          <w:p w14:paraId="0AD7A1A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D61958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2 991 975</w:t>
            </w:r>
          </w:p>
        </w:tc>
        <w:tc>
          <w:tcPr>
            <w:tcW w:w="993" w:type="dxa"/>
            <w:tcBorders>
              <w:top w:val="nil"/>
              <w:left w:val="single" w:sz="4" w:space="0" w:color="auto"/>
              <w:bottom w:val="nil"/>
              <w:right w:val="single" w:sz="8" w:space="0" w:color="auto"/>
            </w:tcBorders>
            <w:shd w:val="clear" w:color="000000" w:fill="FFFFFF"/>
            <w:noWrap/>
            <w:vAlign w:val="bottom"/>
            <w:hideMark/>
          </w:tcPr>
          <w:p w14:paraId="73B335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D0B58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1 795 185</w:t>
            </w:r>
          </w:p>
        </w:tc>
        <w:tc>
          <w:tcPr>
            <w:tcW w:w="993" w:type="dxa"/>
            <w:tcBorders>
              <w:top w:val="nil"/>
              <w:left w:val="single" w:sz="4" w:space="0" w:color="auto"/>
              <w:bottom w:val="nil"/>
              <w:right w:val="single" w:sz="8" w:space="0" w:color="auto"/>
            </w:tcBorders>
            <w:shd w:val="clear" w:color="000000" w:fill="FFFFFF"/>
            <w:noWrap/>
            <w:vAlign w:val="bottom"/>
            <w:hideMark/>
          </w:tcPr>
          <w:p w14:paraId="7741F6E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8A91BB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8 377 530</w:t>
            </w:r>
          </w:p>
        </w:tc>
        <w:tc>
          <w:tcPr>
            <w:tcW w:w="1134" w:type="dxa"/>
            <w:tcBorders>
              <w:top w:val="nil"/>
              <w:left w:val="single" w:sz="4" w:space="0" w:color="auto"/>
              <w:bottom w:val="nil"/>
              <w:right w:val="single" w:sz="8" w:space="0" w:color="auto"/>
            </w:tcBorders>
            <w:shd w:val="clear" w:color="000000" w:fill="FFFFFF"/>
            <w:noWrap/>
            <w:vAlign w:val="bottom"/>
            <w:hideMark/>
          </w:tcPr>
          <w:p w14:paraId="4A98E64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6C68D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8 377 530</w:t>
            </w:r>
          </w:p>
        </w:tc>
      </w:tr>
      <w:tr w:rsidR="00A50E06" w:rsidRPr="00A50E06" w14:paraId="074B0ED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3733F6DE"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RUMANÍA</w:t>
            </w:r>
          </w:p>
        </w:tc>
        <w:tc>
          <w:tcPr>
            <w:tcW w:w="1080" w:type="dxa"/>
            <w:tcBorders>
              <w:top w:val="nil"/>
              <w:left w:val="nil"/>
              <w:bottom w:val="nil"/>
              <w:right w:val="nil"/>
            </w:tcBorders>
            <w:shd w:val="clear" w:color="000000" w:fill="C0C0C0"/>
            <w:noWrap/>
            <w:vAlign w:val="center"/>
            <w:hideMark/>
          </w:tcPr>
          <w:p w14:paraId="5F9260EA"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0,71815</w:t>
            </w:r>
          </w:p>
        </w:tc>
        <w:tc>
          <w:tcPr>
            <w:tcW w:w="1104" w:type="dxa"/>
            <w:tcBorders>
              <w:top w:val="nil"/>
              <w:left w:val="single" w:sz="4" w:space="0" w:color="auto"/>
              <w:bottom w:val="nil"/>
              <w:right w:val="single" w:sz="8" w:space="0" w:color="auto"/>
            </w:tcBorders>
            <w:shd w:val="clear" w:color="000000" w:fill="FFFFFF"/>
            <w:noWrap/>
            <w:vAlign w:val="bottom"/>
            <w:hideMark/>
          </w:tcPr>
          <w:p w14:paraId="0D9CC8A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2 154 450</w:t>
            </w:r>
          </w:p>
        </w:tc>
        <w:tc>
          <w:tcPr>
            <w:tcW w:w="1134" w:type="dxa"/>
            <w:tcBorders>
              <w:top w:val="nil"/>
              <w:left w:val="single" w:sz="4" w:space="0" w:color="auto"/>
              <w:bottom w:val="nil"/>
              <w:right w:val="single" w:sz="8" w:space="0" w:color="auto"/>
            </w:tcBorders>
            <w:shd w:val="clear" w:color="000000" w:fill="FFFFFF"/>
            <w:noWrap/>
            <w:vAlign w:val="bottom"/>
            <w:hideMark/>
          </w:tcPr>
          <w:p w14:paraId="52CB5C4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E9F076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1 795 375</w:t>
            </w:r>
          </w:p>
        </w:tc>
        <w:tc>
          <w:tcPr>
            <w:tcW w:w="993" w:type="dxa"/>
            <w:tcBorders>
              <w:top w:val="nil"/>
              <w:left w:val="single" w:sz="4" w:space="0" w:color="auto"/>
              <w:bottom w:val="nil"/>
              <w:right w:val="single" w:sz="8" w:space="0" w:color="auto"/>
            </w:tcBorders>
            <w:shd w:val="clear" w:color="000000" w:fill="FFFFFF"/>
            <w:noWrap/>
            <w:vAlign w:val="bottom"/>
            <w:hideMark/>
          </w:tcPr>
          <w:p w14:paraId="15ECA3F6"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25AD32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1 077 225</w:t>
            </w:r>
          </w:p>
        </w:tc>
        <w:tc>
          <w:tcPr>
            <w:tcW w:w="993" w:type="dxa"/>
            <w:tcBorders>
              <w:top w:val="nil"/>
              <w:left w:val="single" w:sz="4" w:space="0" w:color="auto"/>
              <w:bottom w:val="nil"/>
              <w:right w:val="single" w:sz="8" w:space="0" w:color="auto"/>
            </w:tcBorders>
            <w:shd w:val="clear" w:color="000000" w:fill="FFFFFF"/>
            <w:noWrap/>
            <w:vAlign w:val="bottom"/>
            <w:hideMark/>
          </w:tcPr>
          <w:p w14:paraId="6163879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425662F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5 027 050</w:t>
            </w:r>
          </w:p>
        </w:tc>
        <w:tc>
          <w:tcPr>
            <w:tcW w:w="1134" w:type="dxa"/>
            <w:tcBorders>
              <w:top w:val="nil"/>
              <w:left w:val="single" w:sz="4" w:space="0" w:color="auto"/>
              <w:bottom w:val="nil"/>
              <w:right w:val="single" w:sz="8" w:space="0" w:color="auto"/>
            </w:tcBorders>
            <w:shd w:val="clear" w:color="000000" w:fill="FFFFFF"/>
            <w:noWrap/>
            <w:vAlign w:val="bottom"/>
            <w:hideMark/>
          </w:tcPr>
          <w:p w14:paraId="071F317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2B866C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5 027 050</w:t>
            </w:r>
          </w:p>
        </w:tc>
      </w:tr>
      <w:tr w:rsidR="00A50E06" w:rsidRPr="00A50E06" w14:paraId="0B42D932"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58563A9"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ESLOVENIA</w:t>
            </w:r>
          </w:p>
        </w:tc>
        <w:tc>
          <w:tcPr>
            <w:tcW w:w="1080" w:type="dxa"/>
            <w:tcBorders>
              <w:top w:val="nil"/>
              <w:left w:val="nil"/>
              <w:bottom w:val="nil"/>
              <w:right w:val="nil"/>
            </w:tcBorders>
            <w:shd w:val="clear" w:color="000000" w:fill="C0C0C0"/>
            <w:noWrap/>
            <w:vAlign w:val="center"/>
            <w:hideMark/>
          </w:tcPr>
          <w:p w14:paraId="494D3983"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0,22452</w:t>
            </w:r>
          </w:p>
        </w:tc>
        <w:tc>
          <w:tcPr>
            <w:tcW w:w="1104" w:type="dxa"/>
            <w:tcBorders>
              <w:top w:val="nil"/>
              <w:left w:val="single" w:sz="4" w:space="0" w:color="auto"/>
              <w:bottom w:val="nil"/>
              <w:right w:val="single" w:sz="8" w:space="0" w:color="auto"/>
            </w:tcBorders>
            <w:shd w:val="clear" w:color="000000" w:fill="FFFFFF"/>
            <w:noWrap/>
            <w:vAlign w:val="bottom"/>
            <w:hideMark/>
          </w:tcPr>
          <w:p w14:paraId="32A43EB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673 560</w:t>
            </w:r>
          </w:p>
        </w:tc>
        <w:tc>
          <w:tcPr>
            <w:tcW w:w="1134" w:type="dxa"/>
            <w:tcBorders>
              <w:top w:val="nil"/>
              <w:left w:val="single" w:sz="4" w:space="0" w:color="auto"/>
              <w:bottom w:val="nil"/>
              <w:right w:val="single" w:sz="8" w:space="0" w:color="auto"/>
            </w:tcBorders>
            <w:shd w:val="clear" w:color="000000" w:fill="FFFFFF"/>
            <w:noWrap/>
            <w:vAlign w:val="bottom"/>
            <w:hideMark/>
          </w:tcPr>
          <w:p w14:paraId="6207C4E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F1ACA5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561 300</w:t>
            </w:r>
          </w:p>
        </w:tc>
        <w:tc>
          <w:tcPr>
            <w:tcW w:w="993" w:type="dxa"/>
            <w:tcBorders>
              <w:top w:val="nil"/>
              <w:left w:val="single" w:sz="4" w:space="0" w:color="auto"/>
              <w:bottom w:val="nil"/>
              <w:right w:val="single" w:sz="8" w:space="0" w:color="auto"/>
            </w:tcBorders>
            <w:shd w:val="clear" w:color="000000" w:fill="FFFFFF"/>
            <w:noWrap/>
            <w:vAlign w:val="bottom"/>
            <w:hideMark/>
          </w:tcPr>
          <w:p w14:paraId="21D1F47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E9CC9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336 780</w:t>
            </w:r>
          </w:p>
        </w:tc>
        <w:tc>
          <w:tcPr>
            <w:tcW w:w="993" w:type="dxa"/>
            <w:tcBorders>
              <w:top w:val="nil"/>
              <w:left w:val="single" w:sz="4" w:space="0" w:color="auto"/>
              <w:bottom w:val="nil"/>
              <w:right w:val="single" w:sz="8" w:space="0" w:color="auto"/>
            </w:tcBorders>
            <w:shd w:val="clear" w:color="000000" w:fill="FFFFFF"/>
            <w:noWrap/>
            <w:vAlign w:val="bottom"/>
            <w:hideMark/>
          </w:tcPr>
          <w:p w14:paraId="2FFD7DF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2AD6807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1 571 640</w:t>
            </w:r>
          </w:p>
        </w:tc>
        <w:tc>
          <w:tcPr>
            <w:tcW w:w="1134" w:type="dxa"/>
            <w:tcBorders>
              <w:top w:val="nil"/>
              <w:left w:val="single" w:sz="4" w:space="0" w:color="auto"/>
              <w:bottom w:val="nil"/>
              <w:right w:val="single" w:sz="8" w:space="0" w:color="auto"/>
            </w:tcBorders>
            <w:shd w:val="clear" w:color="000000" w:fill="FFFFFF"/>
            <w:noWrap/>
            <w:vAlign w:val="bottom"/>
            <w:hideMark/>
          </w:tcPr>
          <w:p w14:paraId="020C1CB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25B77CF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1 571 640</w:t>
            </w:r>
          </w:p>
        </w:tc>
      </w:tr>
      <w:tr w:rsidR="00A50E06" w:rsidRPr="00A50E06" w14:paraId="63022D78"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E931122"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ESLOVAQUIA</w:t>
            </w:r>
          </w:p>
        </w:tc>
        <w:tc>
          <w:tcPr>
            <w:tcW w:w="1080" w:type="dxa"/>
            <w:tcBorders>
              <w:top w:val="nil"/>
              <w:left w:val="nil"/>
              <w:bottom w:val="nil"/>
              <w:right w:val="nil"/>
            </w:tcBorders>
            <w:shd w:val="clear" w:color="000000" w:fill="C0C0C0"/>
            <w:noWrap/>
            <w:vAlign w:val="center"/>
            <w:hideMark/>
          </w:tcPr>
          <w:p w14:paraId="0B050126"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0,37616</w:t>
            </w:r>
          </w:p>
        </w:tc>
        <w:tc>
          <w:tcPr>
            <w:tcW w:w="1104" w:type="dxa"/>
            <w:tcBorders>
              <w:top w:val="nil"/>
              <w:left w:val="single" w:sz="4" w:space="0" w:color="auto"/>
              <w:bottom w:val="nil"/>
              <w:right w:val="single" w:sz="8" w:space="0" w:color="auto"/>
            </w:tcBorders>
            <w:shd w:val="clear" w:color="000000" w:fill="FFFFFF"/>
            <w:noWrap/>
            <w:vAlign w:val="bottom"/>
            <w:hideMark/>
          </w:tcPr>
          <w:p w14:paraId="5A09C05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1 128 480</w:t>
            </w:r>
          </w:p>
        </w:tc>
        <w:tc>
          <w:tcPr>
            <w:tcW w:w="1134" w:type="dxa"/>
            <w:tcBorders>
              <w:top w:val="nil"/>
              <w:left w:val="single" w:sz="4" w:space="0" w:color="auto"/>
              <w:bottom w:val="nil"/>
              <w:right w:val="single" w:sz="8" w:space="0" w:color="auto"/>
            </w:tcBorders>
            <w:shd w:val="clear" w:color="000000" w:fill="FFFFFF"/>
            <w:noWrap/>
            <w:vAlign w:val="bottom"/>
            <w:hideMark/>
          </w:tcPr>
          <w:p w14:paraId="4324593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47E7E3F"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940 400</w:t>
            </w:r>
          </w:p>
        </w:tc>
        <w:tc>
          <w:tcPr>
            <w:tcW w:w="993" w:type="dxa"/>
            <w:tcBorders>
              <w:top w:val="nil"/>
              <w:left w:val="single" w:sz="4" w:space="0" w:color="auto"/>
              <w:bottom w:val="nil"/>
              <w:right w:val="single" w:sz="8" w:space="0" w:color="auto"/>
            </w:tcBorders>
            <w:shd w:val="clear" w:color="000000" w:fill="FFFFFF"/>
            <w:noWrap/>
            <w:vAlign w:val="bottom"/>
            <w:hideMark/>
          </w:tcPr>
          <w:p w14:paraId="63BE21B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102103E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564 240</w:t>
            </w:r>
          </w:p>
        </w:tc>
        <w:tc>
          <w:tcPr>
            <w:tcW w:w="993" w:type="dxa"/>
            <w:tcBorders>
              <w:top w:val="nil"/>
              <w:left w:val="single" w:sz="4" w:space="0" w:color="auto"/>
              <w:bottom w:val="nil"/>
              <w:right w:val="single" w:sz="8" w:space="0" w:color="auto"/>
            </w:tcBorders>
            <w:shd w:val="clear" w:color="000000" w:fill="FFFFFF"/>
            <w:noWrap/>
            <w:vAlign w:val="bottom"/>
            <w:hideMark/>
          </w:tcPr>
          <w:p w14:paraId="5D9EE61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3EDFD43"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2 633 120</w:t>
            </w:r>
          </w:p>
        </w:tc>
        <w:tc>
          <w:tcPr>
            <w:tcW w:w="1134" w:type="dxa"/>
            <w:tcBorders>
              <w:top w:val="nil"/>
              <w:left w:val="single" w:sz="4" w:space="0" w:color="auto"/>
              <w:bottom w:val="nil"/>
              <w:right w:val="single" w:sz="8" w:space="0" w:color="auto"/>
            </w:tcBorders>
            <w:shd w:val="clear" w:color="000000" w:fill="FFFFFF"/>
            <w:noWrap/>
            <w:vAlign w:val="bottom"/>
            <w:hideMark/>
          </w:tcPr>
          <w:p w14:paraId="4C19C55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13B35CF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2 633 120</w:t>
            </w:r>
          </w:p>
        </w:tc>
      </w:tr>
      <w:tr w:rsidR="00A50E06" w:rsidRPr="00A50E06" w14:paraId="5928E134"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65974835"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FINLANDIA</w:t>
            </w:r>
          </w:p>
        </w:tc>
        <w:tc>
          <w:tcPr>
            <w:tcW w:w="1080" w:type="dxa"/>
            <w:tcBorders>
              <w:top w:val="nil"/>
              <w:left w:val="nil"/>
              <w:bottom w:val="nil"/>
              <w:right w:val="nil"/>
            </w:tcBorders>
            <w:shd w:val="clear" w:color="000000" w:fill="C0C0C0"/>
            <w:noWrap/>
            <w:vAlign w:val="center"/>
            <w:hideMark/>
          </w:tcPr>
          <w:p w14:paraId="77B9FD81"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1,50909</w:t>
            </w:r>
          </w:p>
        </w:tc>
        <w:tc>
          <w:tcPr>
            <w:tcW w:w="1104" w:type="dxa"/>
            <w:tcBorders>
              <w:top w:val="nil"/>
              <w:left w:val="single" w:sz="4" w:space="0" w:color="auto"/>
              <w:bottom w:val="nil"/>
              <w:right w:val="single" w:sz="8" w:space="0" w:color="auto"/>
            </w:tcBorders>
            <w:shd w:val="clear" w:color="000000" w:fill="FFFFFF"/>
            <w:noWrap/>
            <w:vAlign w:val="bottom"/>
            <w:hideMark/>
          </w:tcPr>
          <w:p w14:paraId="353F3F6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4 527 270</w:t>
            </w:r>
          </w:p>
        </w:tc>
        <w:tc>
          <w:tcPr>
            <w:tcW w:w="1134" w:type="dxa"/>
            <w:tcBorders>
              <w:top w:val="nil"/>
              <w:left w:val="single" w:sz="4" w:space="0" w:color="auto"/>
              <w:bottom w:val="nil"/>
              <w:right w:val="single" w:sz="8" w:space="0" w:color="auto"/>
            </w:tcBorders>
            <w:shd w:val="clear" w:color="000000" w:fill="FFFFFF"/>
            <w:noWrap/>
            <w:vAlign w:val="bottom"/>
            <w:hideMark/>
          </w:tcPr>
          <w:p w14:paraId="5670A19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39F42720"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3 772 725</w:t>
            </w:r>
          </w:p>
        </w:tc>
        <w:tc>
          <w:tcPr>
            <w:tcW w:w="993" w:type="dxa"/>
            <w:tcBorders>
              <w:top w:val="nil"/>
              <w:left w:val="single" w:sz="4" w:space="0" w:color="auto"/>
              <w:bottom w:val="nil"/>
              <w:right w:val="single" w:sz="8" w:space="0" w:color="auto"/>
            </w:tcBorders>
            <w:shd w:val="clear" w:color="000000" w:fill="FFFFFF"/>
            <w:noWrap/>
            <w:vAlign w:val="bottom"/>
            <w:hideMark/>
          </w:tcPr>
          <w:p w14:paraId="668DC77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82A466B"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2 263 635</w:t>
            </w:r>
          </w:p>
        </w:tc>
        <w:tc>
          <w:tcPr>
            <w:tcW w:w="993" w:type="dxa"/>
            <w:tcBorders>
              <w:top w:val="nil"/>
              <w:left w:val="single" w:sz="4" w:space="0" w:color="auto"/>
              <w:bottom w:val="nil"/>
              <w:right w:val="single" w:sz="8" w:space="0" w:color="auto"/>
            </w:tcBorders>
            <w:shd w:val="clear" w:color="000000" w:fill="FFFFFF"/>
            <w:noWrap/>
            <w:vAlign w:val="bottom"/>
            <w:hideMark/>
          </w:tcPr>
          <w:p w14:paraId="38DC726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C1EAD97"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10 563 630</w:t>
            </w:r>
          </w:p>
        </w:tc>
        <w:tc>
          <w:tcPr>
            <w:tcW w:w="1134" w:type="dxa"/>
            <w:tcBorders>
              <w:top w:val="nil"/>
              <w:left w:val="single" w:sz="4" w:space="0" w:color="auto"/>
              <w:bottom w:val="nil"/>
              <w:right w:val="single" w:sz="8" w:space="0" w:color="auto"/>
            </w:tcBorders>
            <w:shd w:val="clear" w:color="000000" w:fill="FFFFFF"/>
            <w:noWrap/>
            <w:vAlign w:val="bottom"/>
            <w:hideMark/>
          </w:tcPr>
          <w:p w14:paraId="3FF66C9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BAFFA7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10 563 630</w:t>
            </w:r>
          </w:p>
        </w:tc>
      </w:tr>
      <w:tr w:rsidR="00A50E06" w:rsidRPr="00A50E06" w14:paraId="562475BA"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10545B70"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SUECIA</w:t>
            </w:r>
          </w:p>
        </w:tc>
        <w:tc>
          <w:tcPr>
            <w:tcW w:w="1080" w:type="dxa"/>
            <w:tcBorders>
              <w:top w:val="nil"/>
              <w:left w:val="nil"/>
              <w:bottom w:val="nil"/>
              <w:right w:val="nil"/>
            </w:tcBorders>
            <w:shd w:val="clear" w:color="000000" w:fill="C0C0C0"/>
            <w:noWrap/>
            <w:vAlign w:val="center"/>
            <w:hideMark/>
          </w:tcPr>
          <w:p w14:paraId="0F449F79"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2,93911</w:t>
            </w:r>
          </w:p>
        </w:tc>
        <w:tc>
          <w:tcPr>
            <w:tcW w:w="1104" w:type="dxa"/>
            <w:tcBorders>
              <w:top w:val="nil"/>
              <w:left w:val="single" w:sz="4" w:space="0" w:color="auto"/>
              <w:bottom w:val="nil"/>
              <w:right w:val="single" w:sz="8" w:space="0" w:color="auto"/>
            </w:tcBorders>
            <w:shd w:val="clear" w:color="000000" w:fill="FFFFFF"/>
            <w:noWrap/>
            <w:vAlign w:val="bottom"/>
            <w:hideMark/>
          </w:tcPr>
          <w:p w14:paraId="56A698E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8 817 330</w:t>
            </w:r>
          </w:p>
        </w:tc>
        <w:tc>
          <w:tcPr>
            <w:tcW w:w="1134" w:type="dxa"/>
            <w:tcBorders>
              <w:top w:val="nil"/>
              <w:left w:val="single" w:sz="4" w:space="0" w:color="auto"/>
              <w:bottom w:val="nil"/>
              <w:right w:val="single" w:sz="8" w:space="0" w:color="auto"/>
            </w:tcBorders>
            <w:shd w:val="clear" w:color="000000" w:fill="FFFFFF"/>
            <w:noWrap/>
            <w:vAlign w:val="bottom"/>
            <w:hideMark/>
          </w:tcPr>
          <w:p w14:paraId="5043EB3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58A3AA5E"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7 347 775</w:t>
            </w:r>
          </w:p>
        </w:tc>
        <w:tc>
          <w:tcPr>
            <w:tcW w:w="993" w:type="dxa"/>
            <w:tcBorders>
              <w:top w:val="nil"/>
              <w:left w:val="single" w:sz="4" w:space="0" w:color="auto"/>
              <w:bottom w:val="nil"/>
              <w:right w:val="single" w:sz="8" w:space="0" w:color="auto"/>
            </w:tcBorders>
            <w:shd w:val="clear" w:color="000000" w:fill="FFFFFF"/>
            <w:noWrap/>
            <w:vAlign w:val="bottom"/>
            <w:hideMark/>
          </w:tcPr>
          <w:p w14:paraId="19CBCEF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3AD07689"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4 408 665</w:t>
            </w:r>
          </w:p>
        </w:tc>
        <w:tc>
          <w:tcPr>
            <w:tcW w:w="993" w:type="dxa"/>
            <w:tcBorders>
              <w:top w:val="nil"/>
              <w:left w:val="single" w:sz="4" w:space="0" w:color="auto"/>
              <w:bottom w:val="nil"/>
              <w:right w:val="single" w:sz="8" w:space="0" w:color="auto"/>
            </w:tcBorders>
            <w:shd w:val="clear" w:color="000000" w:fill="FFFFFF"/>
            <w:noWrap/>
            <w:vAlign w:val="bottom"/>
            <w:hideMark/>
          </w:tcPr>
          <w:p w14:paraId="6A60293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06199C0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20 573 770</w:t>
            </w:r>
          </w:p>
        </w:tc>
        <w:tc>
          <w:tcPr>
            <w:tcW w:w="1134" w:type="dxa"/>
            <w:tcBorders>
              <w:top w:val="nil"/>
              <w:left w:val="single" w:sz="4" w:space="0" w:color="auto"/>
              <w:bottom w:val="nil"/>
              <w:right w:val="single" w:sz="8" w:space="0" w:color="auto"/>
            </w:tcBorders>
            <w:shd w:val="clear" w:color="000000" w:fill="FFFFFF"/>
            <w:noWrap/>
            <w:vAlign w:val="bottom"/>
            <w:hideMark/>
          </w:tcPr>
          <w:p w14:paraId="1F82FD0D"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7F32AD0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20 573 770</w:t>
            </w:r>
          </w:p>
        </w:tc>
      </w:tr>
      <w:tr w:rsidR="00A50E06" w:rsidRPr="00A50E06" w14:paraId="3FD2E75C" w14:textId="77777777" w:rsidTr="00A50E06">
        <w:trPr>
          <w:trHeight w:val="240"/>
        </w:trPr>
        <w:tc>
          <w:tcPr>
            <w:tcW w:w="1780" w:type="dxa"/>
            <w:tcBorders>
              <w:top w:val="nil"/>
              <w:left w:val="single" w:sz="4" w:space="0" w:color="auto"/>
              <w:bottom w:val="nil"/>
              <w:right w:val="single" w:sz="4" w:space="0" w:color="auto"/>
            </w:tcBorders>
            <w:shd w:val="clear" w:color="auto" w:fill="auto"/>
            <w:noWrap/>
            <w:vAlign w:val="center"/>
            <w:hideMark/>
          </w:tcPr>
          <w:p w14:paraId="4FC54366" w14:textId="77777777" w:rsidR="00A50E06" w:rsidRPr="00A50E06" w:rsidRDefault="00A50E06" w:rsidP="00A50E06">
            <w:pPr>
              <w:spacing w:after="0" w:line="240" w:lineRule="auto"/>
              <w:rPr>
                <w:rFonts w:ascii="Times New Roman" w:eastAsia="Times New Roman" w:hAnsi="Times New Roman" w:cs="Times New Roman"/>
                <w:b/>
                <w:bCs/>
                <w:noProof/>
                <w:sz w:val="14"/>
                <w:szCs w:val="14"/>
              </w:rPr>
            </w:pPr>
            <w:r>
              <w:rPr>
                <w:rFonts w:ascii="Times New Roman" w:hAnsi="Times New Roman"/>
                <w:b/>
                <w:noProof/>
                <w:sz w:val="14"/>
              </w:rPr>
              <w:t>REINO UNIDO</w:t>
            </w:r>
          </w:p>
        </w:tc>
        <w:tc>
          <w:tcPr>
            <w:tcW w:w="1080" w:type="dxa"/>
            <w:tcBorders>
              <w:top w:val="nil"/>
              <w:left w:val="nil"/>
              <w:bottom w:val="nil"/>
              <w:right w:val="nil"/>
            </w:tcBorders>
            <w:shd w:val="clear" w:color="000000" w:fill="C0C0C0"/>
            <w:noWrap/>
            <w:vAlign w:val="center"/>
            <w:hideMark/>
          </w:tcPr>
          <w:p w14:paraId="5DB7904C" w14:textId="77777777" w:rsidR="00A50E06" w:rsidRPr="00A50E06" w:rsidRDefault="00A50E06" w:rsidP="00A50E06">
            <w:pPr>
              <w:spacing w:after="0" w:line="240" w:lineRule="auto"/>
              <w:ind w:firstLineChars="100" w:firstLine="140"/>
              <w:jc w:val="right"/>
              <w:rPr>
                <w:rFonts w:ascii="Times New Roman" w:eastAsia="Times New Roman" w:hAnsi="Times New Roman" w:cs="Times New Roman"/>
                <w:noProof/>
                <w:sz w:val="14"/>
                <w:szCs w:val="14"/>
              </w:rPr>
            </w:pPr>
            <w:r>
              <w:rPr>
                <w:rFonts w:ascii="Times New Roman" w:hAnsi="Times New Roman"/>
                <w:noProof/>
                <w:sz w:val="14"/>
              </w:rPr>
              <w:t>14,67862</w:t>
            </w:r>
          </w:p>
        </w:tc>
        <w:tc>
          <w:tcPr>
            <w:tcW w:w="1104" w:type="dxa"/>
            <w:tcBorders>
              <w:top w:val="nil"/>
              <w:left w:val="single" w:sz="4" w:space="0" w:color="auto"/>
              <w:bottom w:val="nil"/>
              <w:right w:val="single" w:sz="8" w:space="0" w:color="auto"/>
            </w:tcBorders>
            <w:shd w:val="clear" w:color="000000" w:fill="FFFFFF"/>
            <w:noWrap/>
            <w:vAlign w:val="bottom"/>
            <w:hideMark/>
          </w:tcPr>
          <w:p w14:paraId="66279131"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44 035 860</w:t>
            </w:r>
          </w:p>
        </w:tc>
        <w:tc>
          <w:tcPr>
            <w:tcW w:w="1134" w:type="dxa"/>
            <w:tcBorders>
              <w:top w:val="nil"/>
              <w:left w:val="single" w:sz="4" w:space="0" w:color="auto"/>
              <w:bottom w:val="nil"/>
              <w:right w:val="single" w:sz="8" w:space="0" w:color="auto"/>
            </w:tcBorders>
            <w:shd w:val="clear" w:color="000000" w:fill="FFFFFF"/>
            <w:noWrap/>
            <w:vAlign w:val="bottom"/>
            <w:hideMark/>
          </w:tcPr>
          <w:p w14:paraId="16F9FF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0FDE31B4"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36 696 550</w:t>
            </w:r>
          </w:p>
        </w:tc>
        <w:tc>
          <w:tcPr>
            <w:tcW w:w="993" w:type="dxa"/>
            <w:tcBorders>
              <w:top w:val="nil"/>
              <w:left w:val="single" w:sz="4" w:space="0" w:color="auto"/>
              <w:bottom w:val="nil"/>
              <w:right w:val="single" w:sz="8" w:space="0" w:color="auto"/>
            </w:tcBorders>
            <w:shd w:val="clear" w:color="000000" w:fill="FFFFFF"/>
            <w:noWrap/>
            <w:vAlign w:val="bottom"/>
            <w:hideMark/>
          </w:tcPr>
          <w:p w14:paraId="5A2580FC"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6BD21F08"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22 017 930</w:t>
            </w:r>
          </w:p>
        </w:tc>
        <w:tc>
          <w:tcPr>
            <w:tcW w:w="993" w:type="dxa"/>
            <w:tcBorders>
              <w:top w:val="nil"/>
              <w:left w:val="single" w:sz="4" w:space="0" w:color="auto"/>
              <w:bottom w:val="nil"/>
              <w:right w:val="single" w:sz="8" w:space="0" w:color="auto"/>
            </w:tcBorders>
            <w:shd w:val="clear" w:color="000000" w:fill="FFFFFF"/>
            <w:noWrap/>
            <w:vAlign w:val="bottom"/>
            <w:hideMark/>
          </w:tcPr>
          <w:p w14:paraId="76FD6DCA"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275" w:type="dxa"/>
            <w:tcBorders>
              <w:top w:val="nil"/>
              <w:left w:val="single" w:sz="4" w:space="0" w:color="auto"/>
              <w:bottom w:val="nil"/>
              <w:right w:val="single" w:sz="8" w:space="0" w:color="auto"/>
            </w:tcBorders>
            <w:shd w:val="clear" w:color="000000" w:fill="FFFFFF"/>
            <w:noWrap/>
            <w:vAlign w:val="bottom"/>
            <w:hideMark/>
          </w:tcPr>
          <w:p w14:paraId="7369D03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102 750 340</w:t>
            </w:r>
          </w:p>
        </w:tc>
        <w:tc>
          <w:tcPr>
            <w:tcW w:w="1134" w:type="dxa"/>
            <w:tcBorders>
              <w:top w:val="nil"/>
              <w:left w:val="single" w:sz="4" w:space="0" w:color="auto"/>
              <w:bottom w:val="nil"/>
              <w:right w:val="single" w:sz="8" w:space="0" w:color="auto"/>
            </w:tcBorders>
            <w:shd w:val="clear" w:color="000000" w:fill="FFFFFF"/>
            <w:noWrap/>
            <w:vAlign w:val="bottom"/>
            <w:hideMark/>
          </w:tcPr>
          <w:p w14:paraId="3D650B12"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0</w:t>
            </w:r>
          </w:p>
        </w:tc>
        <w:tc>
          <w:tcPr>
            <w:tcW w:w="1134" w:type="dxa"/>
            <w:tcBorders>
              <w:top w:val="nil"/>
              <w:left w:val="single" w:sz="4" w:space="0" w:color="auto"/>
              <w:bottom w:val="nil"/>
              <w:right w:val="single" w:sz="8" w:space="0" w:color="auto"/>
            </w:tcBorders>
            <w:shd w:val="clear" w:color="000000" w:fill="FFFFFF"/>
            <w:noWrap/>
            <w:vAlign w:val="bottom"/>
            <w:hideMark/>
          </w:tcPr>
          <w:p w14:paraId="68668395" w14:textId="77777777" w:rsidR="00A50E06" w:rsidRPr="00A50E06" w:rsidRDefault="00A50E06" w:rsidP="00A50E06">
            <w:pPr>
              <w:spacing w:after="0" w:line="240" w:lineRule="auto"/>
              <w:jc w:val="right"/>
              <w:rPr>
                <w:rFonts w:ascii="Times New Roman" w:eastAsia="Times New Roman" w:hAnsi="Times New Roman" w:cs="Times New Roman"/>
                <w:noProof/>
                <w:sz w:val="16"/>
                <w:szCs w:val="16"/>
              </w:rPr>
            </w:pPr>
            <w:r>
              <w:rPr>
                <w:rFonts w:ascii="Times New Roman" w:hAnsi="Times New Roman"/>
                <w:noProof/>
                <w:sz w:val="16"/>
              </w:rPr>
              <w:t xml:space="preserve"> 102 750 340</w:t>
            </w:r>
          </w:p>
        </w:tc>
      </w:tr>
      <w:tr w:rsidR="00A50E06" w:rsidRPr="00A50E06" w14:paraId="0012B80E" w14:textId="77777777" w:rsidTr="00A50E06">
        <w:trPr>
          <w:trHeight w:val="282"/>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029468" w14:textId="77777777" w:rsidR="00A50E06" w:rsidRPr="00A50E06" w:rsidRDefault="00A50E06" w:rsidP="00A50E06">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EU-27 Y REINO UNIDO</w:t>
            </w:r>
          </w:p>
        </w:tc>
        <w:tc>
          <w:tcPr>
            <w:tcW w:w="1080" w:type="dxa"/>
            <w:tcBorders>
              <w:top w:val="single" w:sz="4" w:space="0" w:color="auto"/>
              <w:left w:val="nil"/>
              <w:bottom w:val="single" w:sz="4" w:space="0" w:color="auto"/>
              <w:right w:val="nil"/>
            </w:tcBorders>
            <w:shd w:val="clear" w:color="000000" w:fill="BFBFBF"/>
            <w:noWrap/>
            <w:vAlign w:val="center"/>
            <w:hideMark/>
          </w:tcPr>
          <w:p w14:paraId="13042769" w14:textId="77777777" w:rsidR="00A50E06" w:rsidRPr="00A50E06" w:rsidRDefault="00A50E06" w:rsidP="00A50E06">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10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2168A184"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300 000 000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6090B89"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40C64A7"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250 000 000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4A7E4B5C"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6A1DE974"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150 000 000</w:t>
            </w:r>
          </w:p>
        </w:tc>
        <w:tc>
          <w:tcPr>
            <w:tcW w:w="993"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1891E999"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275"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30BB5FFC"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700 000 000</w:t>
            </w:r>
          </w:p>
        </w:tc>
        <w:tc>
          <w:tcPr>
            <w:tcW w:w="1134" w:type="dxa"/>
            <w:tcBorders>
              <w:top w:val="single" w:sz="4" w:space="0" w:color="auto"/>
              <w:left w:val="single" w:sz="4" w:space="0" w:color="auto"/>
              <w:bottom w:val="single" w:sz="4" w:space="0" w:color="auto"/>
              <w:right w:val="single" w:sz="8" w:space="0" w:color="auto"/>
            </w:tcBorders>
            <w:shd w:val="clear" w:color="000000" w:fill="BFBFBF"/>
            <w:noWrap/>
            <w:vAlign w:val="center"/>
            <w:hideMark/>
          </w:tcPr>
          <w:p w14:paraId="1F5E1260"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0</w:t>
            </w:r>
          </w:p>
        </w:tc>
        <w:tc>
          <w:tcPr>
            <w:tcW w:w="11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F3BFD1" w14:textId="77777777" w:rsidR="00A50E06" w:rsidRPr="00A50E06" w:rsidRDefault="00A50E06" w:rsidP="00A50E06">
            <w:pPr>
              <w:spacing w:after="0" w:line="240" w:lineRule="auto"/>
              <w:jc w:val="right"/>
              <w:rPr>
                <w:rFonts w:ascii="Times New Roman" w:eastAsia="Times New Roman" w:hAnsi="Times New Roman" w:cs="Times New Roman"/>
                <w:b/>
                <w:bCs/>
                <w:noProof/>
                <w:sz w:val="16"/>
                <w:szCs w:val="16"/>
              </w:rPr>
            </w:pPr>
            <w:r>
              <w:rPr>
                <w:rFonts w:ascii="Times New Roman" w:hAnsi="Times New Roman"/>
                <w:b/>
                <w:noProof/>
                <w:sz w:val="16"/>
              </w:rPr>
              <w:t xml:space="preserve"> 700 000 000</w:t>
            </w:r>
          </w:p>
        </w:tc>
      </w:tr>
    </w:tbl>
    <w:p w14:paraId="6BA5D2AD" w14:textId="68303B92" w:rsidR="00501918" w:rsidRDefault="00501918" w:rsidP="00501918">
      <w:pPr>
        <w:pStyle w:val="Text1"/>
        <w:ind w:left="0"/>
        <w:rPr>
          <w:noProof/>
          <w:sz w:val="16"/>
          <w:szCs w:val="16"/>
        </w:rPr>
      </w:pPr>
      <w:r>
        <w:rPr>
          <w:noProof/>
          <w:sz w:val="16"/>
        </w:rPr>
        <w:t>* El importe de las contribuciones presentadas en el cuadro no incluye el posible reembolso de los fondos liberados del 9.º FED a los Estados miembros y al Reino Unido; ni tampoco el reembolso de los fondos liberados del 10.º y del 11.º FED al Reino Unido.</w:t>
      </w:r>
    </w:p>
    <w:p w14:paraId="539021D8" w14:textId="51636C98" w:rsidR="00981864" w:rsidRDefault="00981864" w:rsidP="00981864">
      <w:pPr>
        <w:pStyle w:val="Text1"/>
        <w:ind w:left="0"/>
        <w:rPr>
          <w:noProof/>
        </w:rPr>
      </w:pPr>
      <w:r>
        <w:rPr>
          <w:noProof/>
          <w:sz w:val="16"/>
        </w:rPr>
        <w:t>** De acuerdo con las previsiones actuales, el BEI habrá solicitado la totalidad de su cuota del 11.º FED de aquí a finales de 2025.</w:t>
      </w:r>
    </w:p>
    <w:p w14:paraId="52B53D1E" w14:textId="63193FEC" w:rsidR="00981864" w:rsidRPr="00501918" w:rsidRDefault="00981864" w:rsidP="00501918">
      <w:pPr>
        <w:pStyle w:val="Text1"/>
        <w:ind w:left="0"/>
        <w:rPr>
          <w:noProof/>
          <w:sz w:val="16"/>
          <w:szCs w:val="16"/>
        </w:rPr>
        <w:sectPr w:rsidR="00981864" w:rsidRPr="00501918" w:rsidSect="00E26949">
          <w:headerReference w:type="even" r:id="rId40"/>
          <w:headerReference w:type="default" r:id="rId41"/>
          <w:footerReference w:type="even" r:id="rId42"/>
          <w:footerReference w:type="default" r:id="rId43"/>
          <w:headerReference w:type="first" r:id="rId44"/>
          <w:footerReference w:type="first" r:id="rId45"/>
          <w:pgSz w:w="16838" w:h="11906" w:orient="landscape"/>
          <w:pgMar w:top="1440" w:right="1440" w:bottom="1440" w:left="1440" w:header="709" w:footer="709" w:gutter="0"/>
          <w:cols w:space="720"/>
          <w:docGrid w:linePitch="360"/>
        </w:sectPr>
      </w:pPr>
    </w:p>
    <w:p w14:paraId="3E9A2014" w14:textId="5FA05039" w:rsidR="004B683B" w:rsidRPr="004B683B" w:rsidRDefault="00C57A0B" w:rsidP="004B683B">
      <w:pPr>
        <w:pStyle w:val="Heading2"/>
        <w:spacing w:after="0"/>
        <w:rPr>
          <w:noProof/>
        </w:rPr>
      </w:pPr>
      <w:r>
        <w:rPr>
          <w:noProof/>
        </w:rPr>
        <w:t>Anexo 6: Contribuciones de los Estados miembros y del Reino Unido para el período 2025-2028 (en EUR)*</w:t>
      </w:r>
    </w:p>
    <w:tbl>
      <w:tblPr>
        <w:tblW w:w="13040" w:type="dxa"/>
        <w:tblLook w:val="04A0" w:firstRow="1" w:lastRow="0" w:firstColumn="1" w:lastColumn="0" w:noHBand="0" w:noVBand="1"/>
      </w:tblPr>
      <w:tblGrid>
        <w:gridCol w:w="2120"/>
        <w:gridCol w:w="741"/>
        <w:gridCol w:w="1436"/>
        <w:gridCol w:w="1124"/>
        <w:gridCol w:w="1459"/>
        <w:gridCol w:w="1141"/>
        <w:gridCol w:w="1493"/>
        <w:gridCol w:w="1167"/>
        <w:gridCol w:w="1347"/>
        <w:gridCol w:w="1053"/>
      </w:tblGrid>
      <w:tr w:rsidR="00352C3E" w:rsidRPr="00352C3E" w14:paraId="5C1D7BCA" w14:textId="77777777" w:rsidTr="00352C3E">
        <w:trPr>
          <w:trHeight w:val="252"/>
        </w:trPr>
        <w:tc>
          <w:tcPr>
            <w:tcW w:w="21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BBC19B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ESTADOS MIEMBROS Y REINO UNIDO</w:t>
            </w:r>
          </w:p>
        </w:tc>
        <w:tc>
          <w:tcPr>
            <w:tcW w:w="700"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A3436D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Clave de reparto del 11.º FED (%)</w:t>
            </w:r>
          </w:p>
        </w:tc>
        <w:tc>
          <w:tcPr>
            <w:tcW w:w="256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0296F89"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2025</w:t>
            </w:r>
          </w:p>
        </w:tc>
        <w:tc>
          <w:tcPr>
            <w:tcW w:w="26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30A8BDE7"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2026</w:t>
            </w:r>
          </w:p>
        </w:tc>
        <w:tc>
          <w:tcPr>
            <w:tcW w:w="266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548A064E"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2027</w:t>
            </w:r>
          </w:p>
        </w:tc>
        <w:tc>
          <w:tcPr>
            <w:tcW w:w="24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4E20D1CD" w14:textId="77777777" w:rsidR="00352C3E" w:rsidRPr="00352C3E" w:rsidRDefault="00352C3E" w:rsidP="00352C3E">
            <w:pPr>
              <w:spacing w:after="0" w:line="240" w:lineRule="auto"/>
              <w:jc w:val="center"/>
              <w:rPr>
                <w:rFonts w:ascii="Times New Roman" w:eastAsia="Times New Roman" w:hAnsi="Times New Roman" w:cs="Times New Roman"/>
                <w:b/>
                <w:bCs/>
                <w:noProof/>
                <w:sz w:val="16"/>
                <w:szCs w:val="16"/>
              </w:rPr>
            </w:pPr>
            <w:r>
              <w:rPr>
                <w:rFonts w:ascii="Times New Roman" w:hAnsi="Times New Roman"/>
                <w:b/>
                <w:noProof/>
                <w:sz w:val="16"/>
              </w:rPr>
              <w:t>2028</w:t>
            </w:r>
          </w:p>
        </w:tc>
      </w:tr>
      <w:tr w:rsidR="00352C3E" w:rsidRPr="00352C3E" w14:paraId="353497CD" w14:textId="77777777" w:rsidTr="00352C3E">
        <w:trPr>
          <w:trHeight w:val="252"/>
        </w:trPr>
        <w:tc>
          <w:tcPr>
            <w:tcW w:w="2120" w:type="dxa"/>
            <w:vMerge/>
            <w:tcBorders>
              <w:top w:val="single" w:sz="8" w:space="0" w:color="auto"/>
              <w:left w:val="single" w:sz="8" w:space="0" w:color="auto"/>
              <w:bottom w:val="single" w:sz="8" w:space="0" w:color="000000"/>
              <w:right w:val="single" w:sz="8" w:space="0" w:color="auto"/>
            </w:tcBorders>
            <w:vAlign w:val="center"/>
            <w:hideMark/>
          </w:tcPr>
          <w:p w14:paraId="7222D7CF"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DBE21D3"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1436" w:type="dxa"/>
            <w:tcBorders>
              <w:top w:val="nil"/>
              <w:left w:val="nil"/>
              <w:bottom w:val="nil"/>
              <w:right w:val="single" w:sz="4" w:space="0" w:color="auto"/>
            </w:tcBorders>
            <w:shd w:val="clear" w:color="000000" w:fill="FFFFFF"/>
            <w:noWrap/>
            <w:vAlign w:val="bottom"/>
            <w:hideMark/>
          </w:tcPr>
          <w:p w14:paraId="42247EC8"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1124" w:type="dxa"/>
            <w:tcBorders>
              <w:top w:val="nil"/>
              <w:left w:val="nil"/>
              <w:bottom w:val="nil"/>
              <w:right w:val="nil"/>
            </w:tcBorders>
            <w:shd w:val="clear" w:color="000000" w:fill="FFFFFF"/>
            <w:noWrap/>
            <w:vAlign w:val="bottom"/>
            <w:hideMark/>
          </w:tcPr>
          <w:p w14:paraId="0D20A46A"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459" w:type="dxa"/>
            <w:tcBorders>
              <w:top w:val="nil"/>
              <w:left w:val="single" w:sz="8" w:space="0" w:color="auto"/>
              <w:bottom w:val="nil"/>
              <w:right w:val="single" w:sz="4" w:space="0" w:color="auto"/>
            </w:tcBorders>
            <w:shd w:val="clear" w:color="000000" w:fill="FFFFFF"/>
            <w:noWrap/>
            <w:vAlign w:val="bottom"/>
            <w:hideMark/>
          </w:tcPr>
          <w:p w14:paraId="38501D3F"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1141" w:type="dxa"/>
            <w:tcBorders>
              <w:top w:val="nil"/>
              <w:left w:val="nil"/>
              <w:bottom w:val="nil"/>
              <w:right w:val="single" w:sz="8" w:space="0" w:color="auto"/>
            </w:tcBorders>
            <w:shd w:val="clear" w:color="000000" w:fill="FFFFFF"/>
            <w:noWrap/>
            <w:vAlign w:val="bottom"/>
            <w:hideMark/>
          </w:tcPr>
          <w:p w14:paraId="747ED034"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493" w:type="dxa"/>
            <w:tcBorders>
              <w:top w:val="nil"/>
              <w:left w:val="nil"/>
              <w:bottom w:val="nil"/>
              <w:right w:val="single" w:sz="4" w:space="0" w:color="auto"/>
            </w:tcBorders>
            <w:shd w:val="clear" w:color="000000" w:fill="FFFFFF"/>
            <w:noWrap/>
            <w:vAlign w:val="bottom"/>
            <w:hideMark/>
          </w:tcPr>
          <w:p w14:paraId="40063E52"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1167" w:type="dxa"/>
            <w:tcBorders>
              <w:top w:val="nil"/>
              <w:left w:val="nil"/>
              <w:bottom w:val="nil"/>
              <w:right w:val="single" w:sz="8" w:space="0" w:color="auto"/>
            </w:tcBorders>
            <w:shd w:val="clear" w:color="000000" w:fill="FFFFFF"/>
            <w:noWrap/>
            <w:vAlign w:val="bottom"/>
            <w:hideMark/>
          </w:tcPr>
          <w:p w14:paraId="4A91AB20"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c>
          <w:tcPr>
            <w:tcW w:w="1347" w:type="dxa"/>
            <w:tcBorders>
              <w:top w:val="nil"/>
              <w:left w:val="nil"/>
              <w:bottom w:val="nil"/>
              <w:right w:val="single" w:sz="4" w:space="0" w:color="auto"/>
            </w:tcBorders>
            <w:shd w:val="clear" w:color="000000" w:fill="FFFFFF"/>
            <w:noWrap/>
            <w:vAlign w:val="bottom"/>
            <w:hideMark/>
          </w:tcPr>
          <w:p w14:paraId="515ED49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Comisión</w:t>
            </w:r>
          </w:p>
        </w:tc>
        <w:tc>
          <w:tcPr>
            <w:tcW w:w="1053" w:type="dxa"/>
            <w:tcBorders>
              <w:top w:val="nil"/>
              <w:left w:val="nil"/>
              <w:bottom w:val="nil"/>
              <w:right w:val="single" w:sz="8" w:space="0" w:color="auto"/>
            </w:tcBorders>
            <w:shd w:val="clear" w:color="000000" w:fill="FFFFFF"/>
            <w:noWrap/>
            <w:vAlign w:val="bottom"/>
            <w:hideMark/>
          </w:tcPr>
          <w:p w14:paraId="3E0DDF19"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BEI**</w:t>
            </w:r>
          </w:p>
        </w:tc>
      </w:tr>
      <w:tr w:rsidR="00352C3E" w:rsidRPr="00352C3E" w14:paraId="4C66E803" w14:textId="77777777" w:rsidTr="00352C3E">
        <w:trPr>
          <w:trHeight w:val="252"/>
        </w:trPr>
        <w:tc>
          <w:tcPr>
            <w:tcW w:w="2120" w:type="dxa"/>
            <w:vMerge/>
            <w:tcBorders>
              <w:top w:val="single" w:sz="8" w:space="0" w:color="auto"/>
              <w:left w:val="single" w:sz="8" w:space="0" w:color="auto"/>
              <w:bottom w:val="single" w:sz="8" w:space="0" w:color="000000"/>
              <w:right w:val="single" w:sz="8" w:space="0" w:color="auto"/>
            </w:tcBorders>
            <w:vAlign w:val="center"/>
            <w:hideMark/>
          </w:tcPr>
          <w:p w14:paraId="3DB06585"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700" w:type="dxa"/>
            <w:vMerge/>
            <w:tcBorders>
              <w:top w:val="single" w:sz="8" w:space="0" w:color="auto"/>
              <w:left w:val="single" w:sz="8" w:space="0" w:color="auto"/>
              <w:bottom w:val="single" w:sz="8" w:space="0" w:color="000000"/>
              <w:right w:val="single" w:sz="8" w:space="0" w:color="auto"/>
            </w:tcBorders>
            <w:vAlign w:val="center"/>
            <w:hideMark/>
          </w:tcPr>
          <w:p w14:paraId="3333752F" w14:textId="77777777" w:rsidR="00352C3E" w:rsidRPr="00352C3E" w:rsidRDefault="00352C3E" w:rsidP="00352C3E">
            <w:pPr>
              <w:spacing w:after="0" w:line="240" w:lineRule="auto"/>
              <w:rPr>
                <w:rFonts w:ascii="Times New Roman" w:eastAsia="Times New Roman" w:hAnsi="Times New Roman" w:cs="Times New Roman"/>
                <w:b/>
                <w:bCs/>
                <w:noProof/>
                <w:sz w:val="16"/>
                <w:szCs w:val="16"/>
                <w:lang w:val="en-IE" w:eastAsia="en-IE"/>
              </w:rPr>
            </w:pPr>
          </w:p>
        </w:tc>
        <w:tc>
          <w:tcPr>
            <w:tcW w:w="1436" w:type="dxa"/>
            <w:tcBorders>
              <w:top w:val="nil"/>
              <w:left w:val="nil"/>
              <w:bottom w:val="single" w:sz="8" w:space="0" w:color="auto"/>
              <w:right w:val="single" w:sz="4" w:space="0" w:color="auto"/>
            </w:tcBorders>
            <w:shd w:val="clear" w:color="000000" w:fill="FFFFFF"/>
            <w:noWrap/>
            <w:vAlign w:val="bottom"/>
            <w:hideMark/>
          </w:tcPr>
          <w:p w14:paraId="58236C0E"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 FED</w:t>
            </w:r>
          </w:p>
        </w:tc>
        <w:tc>
          <w:tcPr>
            <w:tcW w:w="1124" w:type="dxa"/>
            <w:tcBorders>
              <w:top w:val="nil"/>
              <w:left w:val="nil"/>
              <w:bottom w:val="single" w:sz="8" w:space="0" w:color="auto"/>
              <w:right w:val="nil"/>
            </w:tcBorders>
            <w:shd w:val="clear" w:color="000000" w:fill="FFFFFF"/>
            <w:noWrap/>
            <w:vAlign w:val="bottom"/>
            <w:hideMark/>
          </w:tcPr>
          <w:p w14:paraId="61F5491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459" w:type="dxa"/>
            <w:tcBorders>
              <w:top w:val="nil"/>
              <w:left w:val="single" w:sz="8" w:space="0" w:color="auto"/>
              <w:bottom w:val="single" w:sz="8" w:space="0" w:color="auto"/>
              <w:right w:val="single" w:sz="4" w:space="0" w:color="auto"/>
            </w:tcBorders>
            <w:shd w:val="clear" w:color="000000" w:fill="FFFFFF"/>
            <w:noWrap/>
            <w:vAlign w:val="bottom"/>
            <w:hideMark/>
          </w:tcPr>
          <w:p w14:paraId="1A013EA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141" w:type="dxa"/>
            <w:tcBorders>
              <w:top w:val="nil"/>
              <w:left w:val="nil"/>
              <w:bottom w:val="single" w:sz="8" w:space="0" w:color="auto"/>
              <w:right w:val="single" w:sz="8" w:space="0" w:color="auto"/>
            </w:tcBorders>
            <w:shd w:val="clear" w:color="000000" w:fill="FFFFFF"/>
            <w:noWrap/>
            <w:vAlign w:val="bottom"/>
            <w:hideMark/>
          </w:tcPr>
          <w:p w14:paraId="3CCCB9CC"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493" w:type="dxa"/>
            <w:tcBorders>
              <w:top w:val="nil"/>
              <w:left w:val="nil"/>
              <w:bottom w:val="single" w:sz="8" w:space="0" w:color="auto"/>
              <w:right w:val="single" w:sz="4" w:space="0" w:color="auto"/>
            </w:tcBorders>
            <w:shd w:val="clear" w:color="000000" w:fill="FFFFFF"/>
            <w:noWrap/>
            <w:vAlign w:val="bottom"/>
            <w:hideMark/>
          </w:tcPr>
          <w:p w14:paraId="1500A4FF"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167" w:type="dxa"/>
            <w:tcBorders>
              <w:top w:val="nil"/>
              <w:left w:val="nil"/>
              <w:bottom w:val="single" w:sz="8" w:space="0" w:color="auto"/>
              <w:right w:val="single" w:sz="8" w:space="0" w:color="auto"/>
            </w:tcBorders>
            <w:shd w:val="clear" w:color="000000" w:fill="FFFFFF"/>
            <w:noWrap/>
            <w:vAlign w:val="bottom"/>
            <w:hideMark/>
          </w:tcPr>
          <w:p w14:paraId="54C694F7"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347" w:type="dxa"/>
            <w:tcBorders>
              <w:top w:val="nil"/>
              <w:left w:val="nil"/>
              <w:bottom w:val="single" w:sz="8" w:space="0" w:color="auto"/>
              <w:right w:val="single" w:sz="4" w:space="0" w:color="auto"/>
            </w:tcBorders>
            <w:shd w:val="clear" w:color="000000" w:fill="FFFFFF"/>
            <w:noWrap/>
            <w:vAlign w:val="bottom"/>
            <w:hideMark/>
          </w:tcPr>
          <w:p w14:paraId="614DA8C3"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c>
          <w:tcPr>
            <w:tcW w:w="1053" w:type="dxa"/>
            <w:tcBorders>
              <w:top w:val="nil"/>
              <w:left w:val="nil"/>
              <w:bottom w:val="single" w:sz="8" w:space="0" w:color="auto"/>
              <w:right w:val="single" w:sz="8" w:space="0" w:color="auto"/>
            </w:tcBorders>
            <w:shd w:val="clear" w:color="000000" w:fill="FFFFFF"/>
            <w:noWrap/>
            <w:vAlign w:val="bottom"/>
            <w:hideMark/>
          </w:tcPr>
          <w:p w14:paraId="7B50234B" w14:textId="77777777" w:rsidR="00352C3E" w:rsidRPr="00352C3E" w:rsidRDefault="00352C3E" w:rsidP="00352C3E">
            <w:pPr>
              <w:spacing w:after="0" w:line="240" w:lineRule="auto"/>
              <w:jc w:val="center"/>
              <w:rPr>
                <w:rFonts w:ascii="Times New Roman" w:eastAsia="Times New Roman" w:hAnsi="Times New Roman" w:cs="Times New Roman"/>
                <w:noProof/>
                <w:sz w:val="16"/>
                <w:szCs w:val="16"/>
              </w:rPr>
            </w:pPr>
            <w:r>
              <w:rPr>
                <w:rFonts w:ascii="Times New Roman" w:hAnsi="Times New Roman"/>
                <w:noProof/>
                <w:sz w:val="16"/>
              </w:rPr>
              <w:t>11.ºFED</w:t>
            </w:r>
          </w:p>
        </w:tc>
      </w:tr>
      <w:tr w:rsidR="00352C3E" w:rsidRPr="00352C3E" w14:paraId="3EDB0C64"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2DF86FF"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BÉLGICA</w:t>
            </w:r>
          </w:p>
        </w:tc>
        <w:tc>
          <w:tcPr>
            <w:tcW w:w="700" w:type="dxa"/>
            <w:tcBorders>
              <w:top w:val="nil"/>
              <w:left w:val="nil"/>
              <w:bottom w:val="nil"/>
              <w:right w:val="single" w:sz="8" w:space="0" w:color="auto"/>
            </w:tcBorders>
            <w:shd w:val="clear" w:color="000000" w:fill="BFBFBF"/>
            <w:noWrap/>
            <w:vAlign w:val="bottom"/>
            <w:hideMark/>
          </w:tcPr>
          <w:p w14:paraId="744A982F"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3,24927</w:t>
            </w:r>
          </w:p>
        </w:tc>
        <w:tc>
          <w:tcPr>
            <w:tcW w:w="1436" w:type="dxa"/>
            <w:tcBorders>
              <w:top w:val="nil"/>
              <w:left w:val="nil"/>
              <w:bottom w:val="nil"/>
              <w:right w:val="single" w:sz="4" w:space="0" w:color="auto"/>
            </w:tcBorders>
            <w:shd w:val="clear" w:color="000000" w:fill="FFFFFF"/>
            <w:noWrap/>
            <w:vAlign w:val="bottom"/>
            <w:hideMark/>
          </w:tcPr>
          <w:p w14:paraId="6CBD42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25 994 160</w:t>
            </w:r>
          </w:p>
        </w:tc>
        <w:tc>
          <w:tcPr>
            <w:tcW w:w="1124" w:type="dxa"/>
            <w:tcBorders>
              <w:top w:val="nil"/>
              <w:left w:val="nil"/>
              <w:bottom w:val="nil"/>
              <w:right w:val="single" w:sz="8" w:space="0" w:color="auto"/>
            </w:tcBorders>
            <w:shd w:val="clear" w:color="000000" w:fill="FFFFFF"/>
            <w:noWrap/>
            <w:vAlign w:val="bottom"/>
            <w:hideMark/>
          </w:tcPr>
          <w:p w14:paraId="339CCE9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292 434</w:t>
            </w:r>
          </w:p>
        </w:tc>
        <w:tc>
          <w:tcPr>
            <w:tcW w:w="1459" w:type="dxa"/>
            <w:tcBorders>
              <w:top w:val="nil"/>
              <w:left w:val="nil"/>
              <w:bottom w:val="nil"/>
              <w:right w:val="single" w:sz="4" w:space="0" w:color="auto"/>
            </w:tcBorders>
            <w:shd w:val="clear" w:color="000000" w:fill="FFFFFF"/>
            <w:noWrap/>
            <w:vAlign w:val="bottom"/>
            <w:hideMark/>
          </w:tcPr>
          <w:p w14:paraId="21AF0C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22 744 890</w:t>
            </w:r>
          </w:p>
        </w:tc>
        <w:tc>
          <w:tcPr>
            <w:tcW w:w="1141" w:type="dxa"/>
            <w:tcBorders>
              <w:top w:val="nil"/>
              <w:left w:val="nil"/>
              <w:bottom w:val="nil"/>
              <w:right w:val="single" w:sz="8" w:space="0" w:color="auto"/>
            </w:tcBorders>
            <w:shd w:val="clear" w:color="000000" w:fill="FFFFFF"/>
            <w:noWrap/>
            <w:vAlign w:val="bottom"/>
            <w:hideMark/>
          </w:tcPr>
          <w:p w14:paraId="53784A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CF10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14 946 642</w:t>
            </w:r>
          </w:p>
        </w:tc>
        <w:tc>
          <w:tcPr>
            <w:tcW w:w="1167" w:type="dxa"/>
            <w:tcBorders>
              <w:top w:val="nil"/>
              <w:left w:val="nil"/>
              <w:bottom w:val="nil"/>
              <w:right w:val="single" w:sz="8" w:space="0" w:color="auto"/>
            </w:tcBorders>
            <w:shd w:val="clear" w:color="000000" w:fill="FFFFFF"/>
            <w:noWrap/>
            <w:vAlign w:val="bottom"/>
            <w:hideMark/>
          </w:tcPr>
          <w:p w14:paraId="4AC65AC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69661F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12 997 080</w:t>
            </w:r>
          </w:p>
        </w:tc>
        <w:tc>
          <w:tcPr>
            <w:tcW w:w="1053" w:type="dxa"/>
            <w:tcBorders>
              <w:top w:val="nil"/>
              <w:left w:val="nil"/>
              <w:bottom w:val="nil"/>
              <w:right w:val="single" w:sz="8" w:space="0" w:color="auto"/>
            </w:tcBorders>
            <w:shd w:val="clear" w:color="000000" w:fill="FFFFFF"/>
            <w:noWrap/>
            <w:vAlign w:val="bottom"/>
            <w:hideMark/>
          </w:tcPr>
          <w:p w14:paraId="4239CF8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5798D3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477217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BULGARIA</w:t>
            </w:r>
          </w:p>
        </w:tc>
        <w:tc>
          <w:tcPr>
            <w:tcW w:w="700" w:type="dxa"/>
            <w:tcBorders>
              <w:top w:val="nil"/>
              <w:left w:val="nil"/>
              <w:bottom w:val="nil"/>
              <w:right w:val="single" w:sz="8" w:space="0" w:color="auto"/>
            </w:tcBorders>
            <w:shd w:val="clear" w:color="000000" w:fill="BFBFBF"/>
            <w:noWrap/>
            <w:vAlign w:val="bottom"/>
            <w:hideMark/>
          </w:tcPr>
          <w:p w14:paraId="194B6A2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0,21853</w:t>
            </w:r>
          </w:p>
        </w:tc>
        <w:tc>
          <w:tcPr>
            <w:tcW w:w="1436" w:type="dxa"/>
            <w:tcBorders>
              <w:top w:val="nil"/>
              <w:left w:val="nil"/>
              <w:bottom w:val="nil"/>
              <w:right w:val="single" w:sz="4" w:space="0" w:color="auto"/>
            </w:tcBorders>
            <w:shd w:val="clear" w:color="000000" w:fill="FFFFFF"/>
            <w:noWrap/>
            <w:vAlign w:val="bottom"/>
            <w:hideMark/>
          </w:tcPr>
          <w:p w14:paraId="7D3372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1 748 240</w:t>
            </w:r>
          </w:p>
        </w:tc>
        <w:tc>
          <w:tcPr>
            <w:tcW w:w="1124" w:type="dxa"/>
            <w:tcBorders>
              <w:top w:val="nil"/>
              <w:left w:val="nil"/>
              <w:bottom w:val="nil"/>
              <w:right w:val="single" w:sz="8" w:space="0" w:color="auto"/>
            </w:tcBorders>
            <w:shd w:val="clear" w:color="000000" w:fill="FFFFFF"/>
            <w:noWrap/>
            <w:vAlign w:val="bottom"/>
            <w:hideMark/>
          </w:tcPr>
          <w:p w14:paraId="39ACD1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19 668</w:t>
            </w:r>
          </w:p>
        </w:tc>
        <w:tc>
          <w:tcPr>
            <w:tcW w:w="1459" w:type="dxa"/>
            <w:tcBorders>
              <w:top w:val="nil"/>
              <w:left w:val="nil"/>
              <w:bottom w:val="nil"/>
              <w:right w:val="single" w:sz="4" w:space="0" w:color="auto"/>
            </w:tcBorders>
            <w:shd w:val="clear" w:color="000000" w:fill="FFFFFF"/>
            <w:noWrap/>
            <w:vAlign w:val="bottom"/>
            <w:hideMark/>
          </w:tcPr>
          <w:p w14:paraId="35DE5F8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1 529 710</w:t>
            </w:r>
          </w:p>
        </w:tc>
        <w:tc>
          <w:tcPr>
            <w:tcW w:w="1141" w:type="dxa"/>
            <w:tcBorders>
              <w:top w:val="nil"/>
              <w:left w:val="nil"/>
              <w:bottom w:val="nil"/>
              <w:right w:val="single" w:sz="8" w:space="0" w:color="auto"/>
            </w:tcBorders>
            <w:shd w:val="clear" w:color="000000" w:fill="FFFFFF"/>
            <w:noWrap/>
            <w:vAlign w:val="bottom"/>
            <w:hideMark/>
          </w:tcPr>
          <w:p w14:paraId="2F04C29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4AB272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1 005 238</w:t>
            </w:r>
          </w:p>
        </w:tc>
        <w:tc>
          <w:tcPr>
            <w:tcW w:w="1167" w:type="dxa"/>
            <w:tcBorders>
              <w:top w:val="nil"/>
              <w:left w:val="nil"/>
              <w:bottom w:val="nil"/>
              <w:right w:val="single" w:sz="8" w:space="0" w:color="auto"/>
            </w:tcBorders>
            <w:shd w:val="clear" w:color="000000" w:fill="FFFFFF"/>
            <w:noWrap/>
            <w:vAlign w:val="bottom"/>
            <w:hideMark/>
          </w:tcPr>
          <w:p w14:paraId="1509D16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4B2DB7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874 120</w:t>
            </w:r>
          </w:p>
        </w:tc>
        <w:tc>
          <w:tcPr>
            <w:tcW w:w="1053" w:type="dxa"/>
            <w:tcBorders>
              <w:top w:val="nil"/>
              <w:left w:val="nil"/>
              <w:bottom w:val="nil"/>
              <w:right w:val="single" w:sz="8" w:space="0" w:color="auto"/>
            </w:tcBorders>
            <w:shd w:val="clear" w:color="000000" w:fill="FFFFFF"/>
            <w:noWrap/>
            <w:vAlign w:val="bottom"/>
            <w:hideMark/>
          </w:tcPr>
          <w:p w14:paraId="4C99706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2CAF40C"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32B252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CHEQUIA</w:t>
            </w:r>
          </w:p>
        </w:tc>
        <w:tc>
          <w:tcPr>
            <w:tcW w:w="700" w:type="dxa"/>
            <w:tcBorders>
              <w:top w:val="nil"/>
              <w:left w:val="nil"/>
              <w:bottom w:val="nil"/>
              <w:right w:val="single" w:sz="8" w:space="0" w:color="auto"/>
            </w:tcBorders>
            <w:shd w:val="clear" w:color="000000" w:fill="BFBFBF"/>
            <w:noWrap/>
            <w:vAlign w:val="bottom"/>
            <w:hideMark/>
          </w:tcPr>
          <w:p w14:paraId="793C855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0,79745</w:t>
            </w:r>
          </w:p>
        </w:tc>
        <w:tc>
          <w:tcPr>
            <w:tcW w:w="1436" w:type="dxa"/>
            <w:tcBorders>
              <w:top w:val="nil"/>
              <w:left w:val="nil"/>
              <w:bottom w:val="nil"/>
              <w:right w:val="single" w:sz="4" w:space="0" w:color="auto"/>
            </w:tcBorders>
            <w:shd w:val="clear" w:color="000000" w:fill="FFFFFF"/>
            <w:noWrap/>
            <w:vAlign w:val="bottom"/>
            <w:hideMark/>
          </w:tcPr>
          <w:p w14:paraId="21D4E5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6 379 600</w:t>
            </w:r>
          </w:p>
        </w:tc>
        <w:tc>
          <w:tcPr>
            <w:tcW w:w="1124" w:type="dxa"/>
            <w:tcBorders>
              <w:top w:val="nil"/>
              <w:left w:val="nil"/>
              <w:bottom w:val="nil"/>
              <w:right w:val="single" w:sz="8" w:space="0" w:color="auto"/>
            </w:tcBorders>
            <w:shd w:val="clear" w:color="000000" w:fill="FFFFFF"/>
            <w:noWrap/>
            <w:vAlign w:val="bottom"/>
            <w:hideMark/>
          </w:tcPr>
          <w:p w14:paraId="7F7539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71 771</w:t>
            </w:r>
          </w:p>
        </w:tc>
        <w:tc>
          <w:tcPr>
            <w:tcW w:w="1459" w:type="dxa"/>
            <w:tcBorders>
              <w:top w:val="nil"/>
              <w:left w:val="nil"/>
              <w:bottom w:val="nil"/>
              <w:right w:val="single" w:sz="4" w:space="0" w:color="auto"/>
            </w:tcBorders>
            <w:shd w:val="clear" w:color="000000" w:fill="FFFFFF"/>
            <w:noWrap/>
            <w:vAlign w:val="bottom"/>
            <w:hideMark/>
          </w:tcPr>
          <w:p w14:paraId="4F310FC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5 582 150</w:t>
            </w:r>
          </w:p>
        </w:tc>
        <w:tc>
          <w:tcPr>
            <w:tcW w:w="1141" w:type="dxa"/>
            <w:tcBorders>
              <w:top w:val="nil"/>
              <w:left w:val="nil"/>
              <w:bottom w:val="nil"/>
              <w:right w:val="single" w:sz="8" w:space="0" w:color="auto"/>
            </w:tcBorders>
            <w:shd w:val="clear" w:color="000000" w:fill="FFFFFF"/>
            <w:noWrap/>
            <w:vAlign w:val="bottom"/>
            <w:hideMark/>
          </w:tcPr>
          <w:p w14:paraId="283674E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C2F52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3 668 270</w:t>
            </w:r>
          </w:p>
        </w:tc>
        <w:tc>
          <w:tcPr>
            <w:tcW w:w="1167" w:type="dxa"/>
            <w:tcBorders>
              <w:top w:val="nil"/>
              <w:left w:val="nil"/>
              <w:bottom w:val="nil"/>
              <w:right w:val="single" w:sz="8" w:space="0" w:color="auto"/>
            </w:tcBorders>
            <w:shd w:val="clear" w:color="000000" w:fill="FFFFFF"/>
            <w:noWrap/>
            <w:vAlign w:val="bottom"/>
            <w:hideMark/>
          </w:tcPr>
          <w:p w14:paraId="4E8A50F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B519A9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3 189 800</w:t>
            </w:r>
          </w:p>
        </w:tc>
        <w:tc>
          <w:tcPr>
            <w:tcW w:w="1053" w:type="dxa"/>
            <w:tcBorders>
              <w:top w:val="nil"/>
              <w:left w:val="nil"/>
              <w:bottom w:val="nil"/>
              <w:right w:val="single" w:sz="8" w:space="0" w:color="auto"/>
            </w:tcBorders>
            <w:shd w:val="clear" w:color="000000" w:fill="FFFFFF"/>
            <w:noWrap/>
            <w:vAlign w:val="bottom"/>
            <w:hideMark/>
          </w:tcPr>
          <w:p w14:paraId="74A401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29F47B2D"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F0153CA"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DANMARK</w:t>
            </w:r>
          </w:p>
        </w:tc>
        <w:tc>
          <w:tcPr>
            <w:tcW w:w="700" w:type="dxa"/>
            <w:tcBorders>
              <w:top w:val="nil"/>
              <w:left w:val="nil"/>
              <w:bottom w:val="nil"/>
              <w:right w:val="single" w:sz="8" w:space="0" w:color="auto"/>
            </w:tcBorders>
            <w:shd w:val="clear" w:color="000000" w:fill="BFBFBF"/>
            <w:noWrap/>
            <w:vAlign w:val="bottom"/>
            <w:hideMark/>
          </w:tcPr>
          <w:p w14:paraId="00F847A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1,98045</w:t>
            </w:r>
          </w:p>
        </w:tc>
        <w:tc>
          <w:tcPr>
            <w:tcW w:w="1436" w:type="dxa"/>
            <w:tcBorders>
              <w:top w:val="nil"/>
              <w:left w:val="nil"/>
              <w:bottom w:val="nil"/>
              <w:right w:val="single" w:sz="4" w:space="0" w:color="auto"/>
            </w:tcBorders>
            <w:shd w:val="clear" w:color="000000" w:fill="FFFFFF"/>
            <w:noWrap/>
            <w:vAlign w:val="bottom"/>
            <w:hideMark/>
          </w:tcPr>
          <w:p w14:paraId="4FE167E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15 843 600</w:t>
            </w:r>
          </w:p>
        </w:tc>
        <w:tc>
          <w:tcPr>
            <w:tcW w:w="1124" w:type="dxa"/>
            <w:tcBorders>
              <w:top w:val="nil"/>
              <w:left w:val="nil"/>
              <w:bottom w:val="nil"/>
              <w:right w:val="single" w:sz="8" w:space="0" w:color="auto"/>
            </w:tcBorders>
            <w:shd w:val="clear" w:color="000000" w:fill="FFFFFF"/>
            <w:noWrap/>
            <w:vAlign w:val="bottom"/>
            <w:hideMark/>
          </w:tcPr>
          <w:p w14:paraId="155CA08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178 241</w:t>
            </w:r>
          </w:p>
        </w:tc>
        <w:tc>
          <w:tcPr>
            <w:tcW w:w="1459" w:type="dxa"/>
            <w:tcBorders>
              <w:top w:val="nil"/>
              <w:left w:val="nil"/>
              <w:bottom w:val="nil"/>
              <w:right w:val="single" w:sz="4" w:space="0" w:color="auto"/>
            </w:tcBorders>
            <w:shd w:val="clear" w:color="000000" w:fill="FFFFFF"/>
            <w:noWrap/>
            <w:vAlign w:val="bottom"/>
            <w:hideMark/>
          </w:tcPr>
          <w:p w14:paraId="1D88220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13 863 150</w:t>
            </w:r>
          </w:p>
        </w:tc>
        <w:tc>
          <w:tcPr>
            <w:tcW w:w="1141" w:type="dxa"/>
            <w:tcBorders>
              <w:top w:val="nil"/>
              <w:left w:val="nil"/>
              <w:bottom w:val="nil"/>
              <w:right w:val="single" w:sz="8" w:space="0" w:color="auto"/>
            </w:tcBorders>
            <w:shd w:val="clear" w:color="000000" w:fill="FFFFFF"/>
            <w:noWrap/>
            <w:vAlign w:val="bottom"/>
            <w:hideMark/>
          </w:tcPr>
          <w:p w14:paraId="0A8E5A7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123114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9 110 070</w:t>
            </w:r>
          </w:p>
        </w:tc>
        <w:tc>
          <w:tcPr>
            <w:tcW w:w="1167" w:type="dxa"/>
            <w:tcBorders>
              <w:top w:val="nil"/>
              <w:left w:val="nil"/>
              <w:bottom w:val="nil"/>
              <w:right w:val="single" w:sz="8" w:space="0" w:color="auto"/>
            </w:tcBorders>
            <w:shd w:val="clear" w:color="000000" w:fill="FFFFFF"/>
            <w:noWrap/>
            <w:vAlign w:val="bottom"/>
            <w:hideMark/>
          </w:tcPr>
          <w:p w14:paraId="7FE365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1C414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7 921 800</w:t>
            </w:r>
          </w:p>
        </w:tc>
        <w:tc>
          <w:tcPr>
            <w:tcW w:w="1053" w:type="dxa"/>
            <w:tcBorders>
              <w:top w:val="nil"/>
              <w:left w:val="nil"/>
              <w:bottom w:val="nil"/>
              <w:right w:val="single" w:sz="8" w:space="0" w:color="auto"/>
            </w:tcBorders>
            <w:shd w:val="clear" w:color="000000" w:fill="FFFFFF"/>
            <w:noWrap/>
            <w:vAlign w:val="bottom"/>
            <w:hideMark/>
          </w:tcPr>
          <w:p w14:paraId="6A4311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8EDD53F"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3262792"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ALEMANIA</w:t>
            </w:r>
          </w:p>
        </w:tc>
        <w:tc>
          <w:tcPr>
            <w:tcW w:w="700" w:type="dxa"/>
            <w:tcBorders>
              <w:top w:val="nil"/>
              <w:left w:val="nil"/>
              <w:bottom w:val="nil"/>
              <w:right w:val="single" w:sz="8" w:space="0" w:color="auto"/>
            </w:tcBorders>
            <w:shd w:val="clear" w:color="000000" w:fill="BFBFBF"/>
            <w:noWrap/>
            <w:vAlign w:val="bottom"/>
            <w:hideMark/>
          </w:tcPr>
          <w:p w14:paraId="09C8C4B0"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20,57980</w:t>
            </w:r>
          </w:p>
        </w:tc>
        <w:tc>
          <w:tcPr>
            <w:tcW w:w="1436" w:type="dxa"/>
            <w:tcBorders>
              <w:top w:val="nil"/>
              <w:left w:val="nil"/>
              <w:bottom w:val="nil"/>
              <w:right w:val="single" w:sz="4" w:space="0" w:color="auto"/>
            </w:tcBorders>
            <w:shd w:val="clear" w:color="000000" w:fill="FFFFFF"/>
            <w:noWrap/>
            <w:vAlign w:val="bottom"/>
            <w:hideMark/>
          </w:tcPr>
          <w:p w14:paraId="762E53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164 638 400</w:t>
            </w:r>
          </w:p>
        </w:tc>
        <w:tc>
          <w:tcPr>
            <w:tcW w:w="1124" w:type="dxa"/>
            <w:tcBorders>
              <w:top w:val="nil"/>
              <w:left w:val="nil"/>
              <w:bottom w:val="nil"/>
              <w:right w:val="single" w:sz="8" w:space="0" w:color="auto"/>
            </w:tcBorders>
            <w:shd w:val="clear" w:color="000000" w:fill="FFFFFF"/>
            <w:noWrap/>
            <w:vAlign w:val="bottom"/>
            <w:hideMark/>
          </w:tcPr>
          <w:p w14:paraId="6A4DE9F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1 852 182</w:t>
            </w:r>
          </w:p>
        </w:tc>
        <w:tc>
          <w:tcPr>
            <w:tcW w:w="1459" w:type="dxa"/>
            <w:tcBorders>
              <w:top w:val="nil"/>
              <w:left w:val="nil"/>
              <w:bottom w:val="nil"/>
              <w:right w:val="single" w:sz="4" w:space="0" w:color="auto"/>
            </w:tcBorders>
            <w:shd w:val="clear" w:color="000000" w:fill="FFFFFF"/>
            <w:noWrap/>
            <w:vAlign w:val="bottom"/>
            <w:hideMark/>
          </w:tcPr>
          <w:p w14:paraId="4A15B75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144 058 600</w:t>
            </w:r>
          </w:p>
        </w:tc>
        <w:tc>
          <w:tcPr>
            <w:tcW w:w="1141" w:type="dxa"/>
            <w:tcBorders>
              <w:top w:val="nil"/>
              <w:left w:val="nil"/>
              <w:bottom w:val="nil"/>
              <w:right w:val="single" w:sz="8" w:space="0" w:color="auto"/>
            </w:tcBorders>
            <w:shd w:val="clear" w:color="000000" w:fill="FFFFFF"/>
            <w:noWrap/>
            <w:vAlign w:val="bottom"/>
            <w:hideMark/>
          </w:tcPr>
          <w:p w14:paraId="3E2691A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8AF0E8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94 667 080</w:t>
            </w:r>
          </w:p>
        </w:tc>
        <w:tc>
          <w:tcPr>
            <w:tcW w:w="1167" w:type="dxa"/>
            <w:tcBorders>
              <w:top w:val="nil"/>
              <w:left w:val="nil"/>
              <w:bottom w:val="nil"/>
              <w:right w:val="single" w:sz="8" w:space="0" w:color="auto"/>
            </w:tcBorders>
            <w:shd w:val="clear" w:color="000000" w:fill="FFFFFF"/>
            <w:noWrap/>
            <w:vAlign w:val="bottom"/>
            <w:hideMark/>
          </w:tcPr>
          <w:p w14:paraId="1ECD673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48FCE9A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82 319 200</w:t>
            </w:r>
          </w:p>
        </w:tc>
        <w:tc>
          <w:tcPr>
            <w:tcW w:w="1053" w:type="dxa"/>
            <w:tcBorders>
              <w:top w:val="nil"/>
              <w:left w:val="nil"/>
              <w:bottom w:val="nil"/>
              <w:right w:val="single" w:sz="8" w:space="0" w:color="auto"/>
            </w:tcBorders>
            <w:shd w:val="clear" w:color="000000" w:fill="FFFFFF"/>
            <w:noWrap/>
            <w:vAlign w:val="bottom"/>
            <w:hideMark/>
          </w:tcPr>
          <w:p w14:paraId="299D0C4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13F552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71A7B40"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ESTONIA</w:t>
            </w:r>
          </w:p>
        </w:tc>
        <w:tc>
          <w:tcPr>
            <w:tcW w:w="700" w:type="dxa"/>
            <w:tcBorders>
              <w:top w:val="nil"/>
              <w:left w:val="nil"/>
              <w:bottom w:val="nil"/>
              <w:right w:val="single" w:sz="8" w:space="0" w:color="auto"/>
            </w:tcBorders>
            <w:shd w:val="clear" w:color="000000" w:fill="BFBFBF"/>
            <w:noWrap/>
            <w:vAlign w:val="bottom"/>
            <w:hideMark/>
          </w:tcPr>
          <w:p w14:paraId="3DF703E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0,08635</w:t>
            </w:r>
          </w:p>
        </w:tc>
        <w:tc>
          <w:tcPr>
            <w:tcW w:w="1436" w:type="dxa"/>
            <w:tcBorders>
              <w:top w:val="nil"/>
              <w:left w:val="nil"/>
              <w:bottom w:val="nil"/>
              <w:right w:val="single" w:sz="4" w:space="0" w:color="auto"/>
            </w:tcBorders>
            <w:shd w:val="clear" w:color="000000" w:fill="FFFFFF"/>
            <w:noWrap/>
            <w:vAlign w:val="bottom"/>
            <w:hideMark/>
          </w:tcPr>
          <w:p w14:paraId="485E14A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690 800</w:t>
            </w:r>
          </w:p>
        </w:tc>
        <w:tc>
          <w:tcPr>
            <w:tcW w:w="1124" w:type="dxa"/>
            <w:tcBorders>
              <w:top w:val="nil"/>
              <w:left w:val="nil"/>
              <w:bottom w:val="nil"/>
              <w:right w:val="single" w:sz="8" w:space="0" w:color="auto"/>
            </w:tcBorders>
            <w:shd w:val="clear" w:color="000000" w:fill="FFFFFF"/>
            <w:noWrap/>
            <w:vAlign w:val="bottom"/>
            <w:hideMark/>
          </w:tcPr>
          <w:p w14:paraId="5C4B330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7 772</w:t>
            </w:r>
          </w:p>
        </w:tc>
        <w:tc>
          <w:tcPr>
            <w:tcW w:w="1459" w:type="dxa"/>
            <w:tcBorders>
              <w:top w:val="nil"/>
              <w:left w:val="nil"/>
              <w:bottom w:val="nil"/>
              <w:right w:val="single" w:sz="4" w:space="0" w:color="auto"/>
            </w:tcBorders>
            <w:shd w:val="clear" w:color="000000" w:fill="FFFFFF"/>
            <w:noWrap/>
            <w:vAlign w:val="bottom"/>
            <w:hideMark/>
          </w:tcPr>
          <w:p w14:paraId="4BF207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604 450</w:t>
            </w:r>
          </w:p>
        </w:tc>
        <w:tc>
          <w:tcPr>
            <w:tcW w:w="1141" w:type="dxa"/>
            <w:tcBorders>
              <w:top w:val="nil"/>
              <w:left w:val="nil"/>
              <w:bottom w:val="nil"/>
              <w:right w:val="single" w:sz="8" w:space="0" w:color="auto"/>
            </w:tcBorders>
            <w:shd w:val="clear" w:color="000000" w:fill="FFFFFF"/>
            <w:noWrap/>
            <w:vAlign w:val="bottom"/>
            <w:hideMark/>
          </w:tcPr>
          <w:p w14:paraId="1F226FB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072549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397 210</w:t>
            </w:r>
          </w:p>
        </w:tc>
        <w:tc>
          <w:tcPr>
            <w:tcW w:w="1167" w:type="dxa"/>
            <w:tcBorders>
              <w:top w:val="nil"/>
              <w:left w:val="nil"/>
              <w:bottom w:val="nil"/>
              <w:right w:val="single" w:sz="8" w:space="0" w:color="auto"/>
            </w:tcBorders>
            <w:shd w:val="clear" w:color="000000" w:fill="FFFFFF"/>
            <w:noWrap/>
            <w:vAlign w:val="bottom"/>
            <w:hideMark/>
          </w:tcPr>
          <w:p w14:paraId="3C80A06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D96ED3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345 400</w:t>
            </w:r>
          </w:p>
        </w:tc>
        <w:tc>
          <w:tcPr>
            <w:tcW w:w="1053" w:type="dxa"/>
            <w:tcBorders>
              <w:top w:val="nil"/>
              <w:left w:val="nil"/>
              <w:bottom w:val="nil"/>
              <w:right w:val="single" w:sz="8" w:space="0" w:color="auto"/>
            </w:tcBorders>
            <w:shd w:val="clear" w:color="000000" w:fill="FFFFFF"/>
            <w:noWrap/>
            <w:vAlign w:val="bottom"/>
            <w:hideMark/>
          </w:tcPr>
          <w:p w14:paraId="1216D6E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1D7635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5B28EF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IRLANDA</w:t>
            </w:r>
          </w:p>
        </w:tc>
        <w:tc>
          <w:tcPr>
            <w:tcW w:w="700" w:type="dxa"/>
            <w:tcBorders>
              <w:top w:val="nil"/>
              <w:left w:val="nil"/>
              <w:bottom w:val="nil"/>
              <w:right w:val="single" w:sz="8" w:space="0" w:color="auto"/>
            </w:tcBorders>
            <w:shd w:val="clear" w:color="000000" w:fill="BFBFBF"/>
            <w:noWrap/>
            <w:vAlign w:val="bottom"/>
            <w:hideMark/>
          </w:tcPr>
          <w:p w14:paraId="6E234C61"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0,94006</w:t>
            </w:r>
          </w:p>
        </w:tc>
        <w:tc>
          <w:tcPr>
            <w:tcW w:w="1436" w:type="dxa"/>
            <w:tcBorders>
              <w:top w:val="nil"/>
              <w:left w:val="nil"/>
              <w:bottom w:val="nil"/>
              <w:right w:val="single" w:sz="4" w:space="0" w:color="auto"/>
            </w:tcBorders>
            <w:shd w:val="clear" w:color="000000" w:fill="FFFFFF"/>
            <w:noWrap/>
            <w:vAlign w:val="bottom"/>
            <w:hideMark/>
          </w:tcPr>
          <w:p w14:paraId="5B361D5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7 520 480</w:t>
            </w:r>
          </w:p>
        </w:tc>
        <w:tc>
          <w:tcPr>
            <w:tcW w:w="1124" w:type="dxa"/>
            <w:tcBorders>
              <w:top w:val="nil"/>
              <w:left w:val="nil"/>
              <w:bottom w:val="nil"/>
              <w:right w:val="single" w:sz="8" w:space="0" w:color="auto"/>
            </w:tcBorders>
            <w:shd w:val="clear" w:color="000000" w:fill="FFFFFF"/>
            <w:noWrap/>
            <w:vAlign w:val="bottom"/>
            <w:hideMark/>
          </w:tcPr>
          <w:p w14:paraId="4610BF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84 605</w:t>
            </w:r>
          </w:p>
        </w:tc>
        <w:tc>
          <w:tcPr>
            <w:tcW w:w="1459" w:type="dxa"/>
            <w:tcBorders>
              <w:top w:val="nil"/>
              <w:left w:val="nil"/>
              <w:bottom w:val="nil"/>
              <w:right w:val="single" w:sz="4" w:space="0" w:color="auto"/>
            </w:tcBorders>
            <w:shd w:val="clear" w:color="000000" w:fill="FFFFFF"/>
            <w:noWrap/>
            <w:vAlign w:val="bottom"/>
            <w:hideMark/>
          </w:tcPr>
          <w:p w14:paraId="0B99934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6 580 420</w:t>
            </w:r>
          </w:p>
        </w:tc>
        <w:tc>
          <w:tcPr>
            <w:tcW w:w="1141" w:type="dxa"/>
            <w:tcBorders>
              <w:top w:val="nil"/>
              <w:left w:val="nil"/>
              <w:bottom w:val="nil"/>
              <w:right w:val="single" w:sz="8" w:space="0" w:color="auto"/>
            </w:tcBorders>
            <w:shd w:val="clear" w:color="000000" w:fill="FFFFFF"/>
            <w:noWrap/>
            <w:vAlign w:val="bottom"/>
            <w:hideMark/>
          </w:tcPr>
          <w:p w14:paraId="1DB3D2C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16AACB4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4 324 276</w:t>
            </w:r>
          </w:p>
        </w:tc>
        <w:tc>
          <w:tcPr>
            <w:tcW w:w="1167" w:type="dxa"/>
            <w:tcBorders>
              <w:top w:val="nil"/>
              <w:left w:val="nil"/>
              <w:bottom w:val="nil"/>
              <w:right w:val="single" w:sz="8" w:space="0" w:color="auto"/>
            </w:tcBorders>
            <w:shd w:val="clear" w:color="000000" w:fill="FFFFFF"/>
            <w:noWrap/>
            <w:vAlign w:val="bottom"/>
            <w:hideMark/>
          </w:tcPr>
          <w:p w14:paraId="3146381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DE2B28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3 760 240</w:t>
            </w:r>
          </w:p>
        </w:tc>
        <w:tc>
          <w:tcPr>
            <w:tcW w:w="1053" w:type="dxa"/>
            <w:tcBorders>
              <w:top w:val="nil"/>
              <w:left w:val="nil"/>
              <w:bottom w:val="nil"/>
              <w:right w:val="single" w:sz="8" w:space="0" w:color="auto"/>
            </w:tcBorders>
            <w:shd w:val="clear" w:color="000000" w:fill="FFFFFF"/>
            <w:noWrap/>
            <w:vAlign w:val="bottom"/>
            <w:hideMark/>
          </w:tcPr>
          <w:p w14:paraId="2CE6EB2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D12813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F0A372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GRECIA</w:t>
            </w:r>
          </w:p>
        </w:tc>
        <w:tc>
          <w:tcPr>
            <w:tcW w:w="700" w:type="dxa"/>
            <w:tcBorders>
              <w:top w:val="nil"/>
              <w:left w:val="nil"/>
              <w:bottom w:val="nil"/>
              <w:right w:val="single" w:sz="8" w:space="0" w:color="auto"/>
            </w:tcBorders>
            <w:shd w:val="clear" w:color="000000" w:fill="BFBFBF"/>
            <w:noWrap/>
            <w:vAlign w:val="bottom"/>
            <w:hideMark/>
          </w:tcPr>
          <w:p w14:paraId="35F392E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1,50735</w:t>
            </w:r>
          </w:p>
        </w:tc>
        <w:tc>
          <w:tcPr>
            <w:tcW w:w="1436" w:type="dxa"/>
            <w:tcBorders>
              <w:top w:val="nil"/>
              <w:left w:val="nil"/>
              <w:bottom w:val="nil"/>
              <w:right w:val="single" w:sz="4" w:space="0" w:color="auto"/>
            </w:tcBorders>
            <w:shd w:val="clear" w:color="000000" w:fill="FFFFFF"/>
            <w:noWrap/>
            <w:vAlign w:val="bottom"/>
            <w:hideMark/>
          </w:tcPr>
          <w:p w14:paraId="5C56EA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12 058 800</w:t>
            </w:r>
          </w:p>
        </w:tc>
        <w:tc>
          <w:tcPr>
            <w:tcW w:w="1124" w:type="dxa"/>
            <w:tcBorders>
              <w:top w:val="nil"/>
              <w:left w:val="nil"/>
              <w:bottom w:val="nil"/>
              <w:right w:val="single" w:sz="8" w:space="0" w:color="auto"/>
            </w:tcBorders>
            <w:shd w:val="clear" w:color="000000" w:fill="FFFFFF"/>
            <w:noWrap/>
            <w:vAlign w:val="bottom"/>
            <w:hideMark/>
          </w:tcPr>
          <w:p w14:paraId="0D73E60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135 662</w:t>
            </w:r>
          </w:p>
        </w:tc>
        <w:tc>
          <w:tcPr>
            <w:tcW w:w="1459" w:type="dxa"/>
            <w:tcBorders>
              <w:top w:val="nil"/>
              <w:left w:val="nil"/>
              <w:bottom w:val="nil"/>
              <w:right w:val="single" w:sz="4" w:space="0" w:color="auto"/>
            </w:tcBorders>
            <w:shd w:val="clear" w:color="000000" w:fill="FFFFFF"/>
            <w:noWrap/>
            <w:vAlign w:val="bottom"/>
            <w:hideMark/>
          </w:tcPr>
          <w:p w14:paraId="324B5AB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10 551 450</w:t>
            </w:r>
          </w:p>
        </w:tc>
        <w:tc>
          <w:tcPr>
            <w:tcW w:w="1141" w:type="dxa"/>
            <w:tcBorders>
              <w:top w:val="nil"/>
              <w:left w:val="nil"/>
              <w:bottom w:val="nil"/>
              <w:right w:val="single" w:sz="8" w:space="0" w:color="auto"/>
            </w:tcBorders>
            <w:shd w:val="clear" w:color="000000" w:fill="FFFFFF"/>
            <w:noWrap/>
            <w:vAlign w:val="bottom"/>
            <w:hideMark/>
          </w:tcPr>
          <w:p w14:paraId="0FE46B6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F96CD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6 933 810</w:t>
            </w:r>
          </w:p>
        </w:tc>
        <w:tc>
          <w:tcPr>
            <w:tcW w:w="1167" w:type="dxa"/>
            <w:tcBorders>
              <w:top w:val="nil"/>
              <w:left w:val="nil"/>
              <w:bottom w:val="nil"/>
              <w:right w:val="single" w:sz="8" w:space="0" w:color="auto"/>
            </w:tcBorders>
            <w:shd w:val="clear" w:color="000000" w:fill="FFFFFF"/>
            <w:noWrap/>
            <w:vAlign w:val="bottom"/>
            <w:hideMark/>
          </w:tcPr>
          <w:p w14:paraId="23D067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D185CA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6 029 400</w:t>
            </w:r>
          </w:p>
        </w:tc>
        <w:tc>
          <w:tcPr>
            <w:tcW w:w="1053" w:type="dxa"/>
            <w:tcBorders>
              <w:top w:val="nil"/>
              <w:left w:val="nil"/>
              <w:bottom w:val="nil"/>
              <w:right w:val="single" w:sz="8" w:space="0" w:color="auto"/>
            </w:tcBorders>
            <w:shd w:val="clear" w:color="000000" w:fill="FFFFFF"/>
            <w:noWrap/>
            <w:vAlign w:val="bottom"/>
            <w:hideMark/>
          </w:tcPr>
          <w:p w14:paraId="7AA73E6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779EC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9F3D5A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ESPAÑA</w:t>
            </w:r>
          </w:p>
        </w:tc>
        <w:tc>
          <w:tcPr>
            <w:tcW w:w="700" w:type="dxa"/>
            <w:tcBorders>
              <w:top w:val="nil"/>
              <w:left w:val="nil"/>
              <w:bottom w:val="nil"/>
              <w:right w:val="single" w:sz="8" w:space="0" w:color="auto"/>
            </w:tcBorders>
            <w:shd w:val="clear" w:color="000000" w:fill="BFBFBF"/>
            <w:noWrap/>
            <w:vAlign w:val="bottom"/>
            <w:hideMark/>
          </w:tcPr>
          <w:p w14:paraId="2A5823D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7,93248</w:t>
            </w:r>
          </w:p>
        </w:tc>
        <w:tc>
          <w:tcPr>
            <w:tcW w:w="1436" w:type="dxa"/>
            <w:tcBorders>
              <w:top w:val="nil"/>
              <w:left w:val="nil"/>
              <w:bottom w:val="nil"/>
              <w:right w:val="single" w:sz="4" w:space="0" w:color="auto"/>
            </w:tcBorders>
            <w:shd w:val="clear" w:color="000000" w:fill="FFFFFF"/>
            <w:noWrap/>
            <w:vAlign w:val="bottom"/>
            <w:hideMark/>
          </w:tcPr>
          <w:p w14:paraId="12639D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63 459 840</w:t>
            </w:r>
          </w:p>
        </w:tc>
        <w:tc>
          <w:tcPr>
            <w:tcW w:w="1124" w:type="dxa"/>
            <w:tcBorders>
              <w:top w:val="nil"/>
              <w:left w:val="nil"/>
              <w:bottom w:val="nil"/>
              <w:right w:val="single" w:sz="8" w:space="0" w:color="auto"/>
            </w:tcBorders>
            <w:shd w:val="clear" w:color="000000" w:fill="FFFFFF"/>
            <w:noWrap/>
            <w:vAlign w:val="bottom"/>
            <w:hideMark/>
          </w:tcPr>
          <w:p w14:paraId="128F293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713 923</w:t>
            </w:r>
          </w:p>
        </w:tc>
        <w:tc>
          <w:tcPr>
            <w:tcW w:w="1459" w:type="dxa"/>
            <w:tcBorders>
              <w:top w:val="nil"/>
              <w:left w:val="nil"/>
              <w:bottom w:val="nil"/>
              <w:right w:val="single" w:sz="4" w:space="0" w:color="auto"/>
            </w:tcBorders>
            <w:shd w:val="clear" w:color="000000" w:fill="FFFFFF"/>
            <w:noWrap/>
            <w:vAlign w:val="bottom"/>
            <w:hideMark/>
          </w:tcPr>
          <w:p w14:paraId="192E02D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55 527 360</w:t>
            </w:r>
          </w:p>
        </w:tc>
        <w:tc>
          <w:tcPr>
            <w:tcW w:w="1141" w:type="dxa"/>
            <w:tcBorders>
              <w:top w:val="nil"/>
              <w:left w:val="nil"/>
              <w:bottom w:val="nil"/>
              <w:right w:val="single" w:sz="8" w:space="0" w:color="auto"/>
            </w:tcBorders>
            <w:shd w:val="clear" w:color="000000" w:fill="FFFFFF"/>
            <w:noWrap/>
            <w:vAlign w:val="bottom"/>
            <w:hideMark/>
          </w:tcPr>
          <w:p w14:paraId="152FF1B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B58936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36 489 408</w:t>
            </w:r>
          </w:p>
        </w:tc>
        <w:tc>
          <w:tcPr>
            <w:tcW w:w="1167" w:type="dxa"/>
            <w:tcBorders>
              <w:top w:val="nil"/>
              <w:left w:val="nil"/>
              <w:bottom w:val="nil"/>
              <w:right w:val="single" w:sz="8" w:space="0" w:color="auto"/>
            </w:tcBorders>
            <w:shd w:val="clear" w:color="000000" w:fill="FFFFFF"/>
            <w:noWrap/>
            <w:vAlign w:val="bottom"/>
            <w:hideMark/>
          </w:tcPr>
          <w:p w14:paraId="401BD0C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6252D9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31 729 920</w:t>
            </w:r>
          </w:p>
        </w:tc>
        <w:tc>
          <w:tcPr>
            <w:tcW w:w="1053" w:type="dxa"/>
            <w:tcBorders>
              <w:top w:val="nil"/>
              <w:left w:val="nil"/>
              <w:bottom w:val="nil"/>
              <w:right w:val="single" w:sz="8" w:space="0" w:color="auto"/>
            </w:tcBorders>
            <w:shd w:val="clear" w:color="000000" w:fill="FFFFFF"/>
            <w:noWrap/>
            <w:vAlign w:val="bottom"/>
            <w:hideMark/>
          </w:tcPr>
          <w:p w14:paraId="5B530F1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AECBDAC"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341330EE"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FRANCIA</w:t>
            </w:r>
          </w:p>
        </w:tc>
        <w:tc>
          <w:tcPr>
            <w:tcW w:w="700" w:type="dxa"/>
            <w:tcBorders>
              <w:top w:val="nil"/>
              <w:left w:val="nil"/>
              <w:bottom w:val="nil"/>
              <w:right w:val="single" w:sz="8" w:space="0" w:color="auto"/>
            </w:tcBorders>
            <w:shd w:val="clear" w:color="000000" w:fill="BFBFBF"/>
            <w:noWrap/>
            <w:vAlign w:val="bottom"/>
            <w:hideMark/>
          </w:tcPr>
          <w:p w14:paraId="5F48DEDE"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17,81269</w:t>
            </w:r>
          </w:p>
        </w:tc>
        <w:tc>
          <w:tcPr>
            <w:tcW w:w="1436" w:type="dxa"/>
            <w:tcBorders>
              <w:top w:val="nil"/>
              <w:left w:val="nil"/>
              <w:bottom w:val="nil"/>
              <w:right w:val="single" w:sz="4" w:space="0" w:color="auto"/>
            </w:tcBorders>
            <w:shd w:val="clear" w:color="000000" w:fill="FFFFFF"/>
            <w:noWrap/>
            <w:vAlign w:val="bottom"/>
            <w:hideMark/>
          </w:tcPr>
          <w:p w14:paraId="099AE4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142 501 520</w:t>
            </w:r>
          </w:p>
        </w:tc>
        <w:tc>
          <w:tcPr>
            <w:tcW w:w="1124" w:type="dxa"/>
            <w:tcBorders>
              <w:top w:val="nil"/>
              <w:left w:val="nil"/>
              <w:bottom w:val="nil"/>
              <w:right w:val="single" w:sz="8" w:space="0" w:color="auto"/>
            </w:tcBorders>
            <w:shd w:val="clear" w:color="000000" w:fill="FFFFFF"/>
            <w:noWrap/>
            <w:vAlign w:val="bottom"/>
            <w:hideMark/>
          </w:tcPr>
          <w:p w14:paraId="1641E9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1 603 142</w:t>
            </w:r>
          </w:p>
        </w:tc>
        <w:tc>
          <w:tcPr>
            <w:tcW w:w="1459" w:type="dxa"/>
            <w:tcBorders>
              <w:top w:val="nil"/>
              <w:left w:val="nil"/>
              <w:bottom w:val="nil"/>
              <w:right w:val="single" w:sz="4" w:space="0" w:color="auto"/>
            </w:tcBorders>
            <w:shd w:val="clear" w:color="000000" w:fill="FFFFFF"/>
            <w:noWrap/>
            <w:vAlign w:val="bottom"/>
            <w:hideMark/>
          </w:tcPr>
          <w:p w14:paraId="79AB8F1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124 688 830</w:t>
            </w:r>
          </w:p>
        </w:tc>
        <w:tc>
          <w:tcPr>
            <w:tcW w:w="1141" w:type="dxa"/>
            <w:tcBorders>
              <w:top w:val="nil"/>
              <w:left w:val="nil"/>
              <w:bottom w:val="nil"/>
              <w:right w:val="single" w:sz="8" w:space="0" w:color="auto"/>
            </w:tcBorders>
            <w:shd w:val="clear" w:color="000000" w:fill="FFFFFF"/>
            <w:noWrap/>
            <w:vAlign w:val="bottom"/>
            <w:hideMark/>
          </w:tcPr>
          <w:p w14:paraId="459E210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5E65ED1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81 938 374</w:t>
            </w:r>
          </w:p>
        </w:tc>
        <w:tc>
          <w:tcPr>
            <w:tcW w:w="1167" w:type="dxa"/>
            <w:tcBorders>
              <w:top w:val="nil"/>
              <w:left w:val="nil"/>
              <w:bottom w:val="nil"/>
              <w:right w:val="single" w:sz="8" w:space="0" w:color="auto"/>
            </w:tcBorders>
            <w:shd w:val="clear" w:color="000000" w:fill="FFFFFF"/>
            <w:noWrap/>
            <w:vAlign w:val="bottom"/>
            <w:hideMark/>
          </w:tcPr>
          <w:p w14:paraId="0746A77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C9334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71 250 760</w:t>
            </w:r>
          </w:p>
        </w:tc>
        <w:tc>
          <w:tcPr>
            <w:tcW w:w="1053" w:type="dxa"/>
            <w:tcBorders>
              <w:top w:val="nil"/>
              <w:left w:val="nil"/>
              <w:bottom w:val="nil"/>
              <w:right w:val="single" w:sz="8" w:space="0" w:color="auto"/>
            </w:tcBorders>
            <w:shd w:val="clear" w:color="000000" w:fill="FFFFFF"/>
            <w:noWrap/>
            <w:vAlign w:val="bottom"/>
            <w:hideMark/>
          </w:tcPr>
          <w:p w14:paraId="7655F6D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C60FBC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73568A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CROACIA</w:t>
            </w:r>
          </w:p>
        </w:tc>
        <w:tc>
          <w:tcPr>
            <w:tcW w:w="700" w:type="dxa"/>
            <w:tcBorders>
              <w:top w:val="nil"/>
              <w:left w:val="nil"/>
              <w:bottom w:val="nil"/>
              <w:right w:val="single" w:sz="8" w:space="0" w:color="auto"/>
            </w:tcBorders>
            <w:shd w:val="clear" w:color="000000" w:fill="BFBFBF"/>
            <w:noWrap/>
            <w:vAlign w:val="bottom"/>
            <w:hideMark/>
          </w:tcPr>
          <w:p w14:paraId="66FC50C4"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0,22518</w:t>
            </w:r>
          </w:p>
        </w:tc>
        <w:tc>
          <w:tcPr>
            <w:tcW w:w="1436" w:type="dxa"/>
            <w:tcBorders>
              <w:top w:val="nil"/>
              <w:left w:val="nil"/>
              <w:bottom w:val="nil"/>
              <w:right w:val="single" w:sz="4" w:space="0" w:color="auto"/>
            </w:tcBorders>
            <w:shd w:val="clear" w:color="000000" w:fill="FFFFFF"/>
            <w:noWrap/>
            <w:vAlign w:val="bottom"/>
            <w:hideMark/>
          </w:tcPr>
          <w:p w14:paraId="78B34C5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1 801 440</w:t>
            </w:r>
          </w:p>
        </w:tc>
        <w:tc>
          <w:tcPr>
            <w:tcW w:w="1124" w:type="dxa"/>
            <w:tcBorders>
              <w:top w:val="nil"/>
              <w:left w:val="nil"/>
              <w:bottom w:val="nil"/>
              <w:right w:val="single" w:sz="8" w:space="0" w:color="auto"/>
            </w:tcBorders>
            <w:shd w:val="clear" w:color="000000" w:fill="FFFFFF"/>
            <w:noWrap/>
            <w:vAlign w:val="bottom"/>
            <w:hideMark/>
          </w:tcPr>
          <w:p w14:paraId="118476F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20 266</w:t>
            </w:r>
          </w:p>
        </w:tc>
        <w:tc>
          <w:tcPr>
            <w:tcW w:w="1459" w:type="dxa"/>
            <w:tcBorders>
              <w:top w:val="nil"/>
              <w:left w:val="nil"/>
              <w:bottom w:val="nil"/>
              <w:right w:val="single" w:sz="4" w:space="0" w:color="auto"/>
            </w:tcBorders>
            <w:shd w:val="clear" w:color="000000" w:fill="FFFFFF"/>
            <w:noWrap/>
            <w:vAlign w:val="bottom"/>
            <w:hideMark/>
          </w:tcPr>
          <w:p w14:paraId="21D538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1 576 260</w:t>
            </w:r>
          </w:p>
        </w:tc>
        <w:tc>
          <w:tcPr>
            <w:tcW w:w="1141" w:type="dxa"/>
            <w:tcBorders>
              <w:top w:val="nil"/>
              <w:left w:val="nil"/>
              <w:bottom w:val="nil"/>
              <w:right w:val="single" w:sz="8" w:space="0" w:color="auto"/>
            </w:tcBorders>
            <w:shd w:val="clear" w:color="000000" w:fill="FFFFFF"/>
            <w:noWrap/>
            <w:vAlign w:val="bottom"/>
            <w:hideMark/>
          </w:tcPr>
          <w:p w14:paraId="0BF2C9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C2835B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1 035 828</w:t>
            </w:r>
          </w:p>
        </w:tc>
        <w:tc>
          <w:tcPr>
            <w:tcW w:w="1167" w:type="dxa"/>
            <w:tcBorders>
              <w:top w:val="nil"/>
              <w:left w:val="nil"/>
              <w:bottom w:val="nil"/>
              <w:right w:val="single" w:sz="8" w:space="0" w:color="auto"/>
            </w:tcBorders>
            <w:shd w:val="clear" w:color="000000" w:fill="FFFFFF"/>
            <w:noWrap/>
            <w:vAlign w:val="bottom"/>
            <w:hideMark/>
          </w:tcPr>
          <w:p w14:paraId="2DA0C87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C37CFD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900 720</w:t>
            </w:r>
          </w:p>
        </w:tc>
        <w:tc>
          <w:tcPr>
            <w:tcW w:w="1053" w:type="dxa"/>
            <w:tcBorders>
              <w:top w:val="nil"/>
              <w:left w:val="nil"/>
              <w:bottom w:val="nil"/>
              <w:right w:val="single" w:sz="8" w:space="0" w:color="auto"/>
            </w:tcBorders>
            <w:shd w:val="clear" w:color="000000" w:fill="FFFFFF"/>
            <w:noWrap/>
            <w:vAlign w:val="bottom"/>
            <w:hideMark/>
          </w:tcPr>
          <w:p w14:paraId="542DCEB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4F5EA15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FA705D0"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ITALIA</w:t>
            </w:r>
          </w:p>
        </w:tc>
        <w:tc>
          <w:tcPr>
            <w:tcW w:w="700" w:type="dxa"/>
            <w:tcBorders>
              <w:top w:val="nil"/>
              <w:left w:val="nil"/>
              <w:bottom w:val="nil"/>
              <w:right w:val="single" w:sz="8" w:space="0" w:color="auto"/>
            </w:tcBorders>
            <w:shd w:val="clear" w:color="000000" w:fill="BFBFBF"/>
            <w:noWrap/>
            <w:vAlign w:val="bottom"/>
            <w:hideMark/>
          </w:tcPr>
          <w:p w14:paraId="3596C937"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12,53009</w:t>
            </w:r>
          </w:p>
        </w:tc>
        <w:tc>
          <w:tcPr>
            <w:tcW w:w="1436" w:type="dxa"/>
            <w:tcBorders>
              <w:top w:val="nil"/>
              <w:left w:val="nil"/>
              <w:bottom w:val="nil"/>
              <w:right w:val="single" w:sz="4" w:space="0" w:color="auto"/>
            </w:tcBorders>
            <w:shd w:val="clear" w:color="000000" w:fill="FFFFFF"/>
            <w:noWrap/>
            <w:vAlign w:val="bottom"/>
            <w:hideMark/>
          </w:tcPr>
          <w:p w14:paraId="74B215D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100 240 720</w:t>
            </w:r>
          </w:p>
        </w:tc>
        <w:tc>
          <w:tcPr>
            <w:tcW w:w="1124" w:type="dxa"/>
            <w:tcBorders>
              <w:top w:val="nil"/>
              <w:left w:val="nil"/>
              <w:bottom w:val="nil"/>
              <w:right w:val="single" w:sz="8" w:space="0" w:color="auto"/>
            </w:tcBorders>
            <w:shd w:val="clear" w:color="000000" w:fill="FFFFFF"/>
            <w:noWrap/>
            <w:vAlign w:val="bottom"/>
            <w:hideMark/>
          </w:tcPr>
          <w:p w14:paraId="6EFD21F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1 127 708</w:t>
            </w:r>
          </w:p>
        </w:tc>
        <w:tc>
          <w:tcPr>
            <w:tcW w:w="1459" w:type="dxa"/>
            <w:tcBorders>
              <w:top w:val="nil"/>
              <w:left w:val="nil"/>
              <w:bottom w:val="nil"/>
              <w:right w:val="single" w:sz="4" w:space="0" w:color="auto"/>
            </w:tcBorders>
            <w:shd w:val="clear" w:color="000000" w:fill="FFFFFF"/>
            <w:noWrap/>
            <w:vAlign w:val="bottom"/>
            <w:hideMark/>
          </w:tcPr>
          <w:p w14:paraId="000DC00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87 710 630</w:t>
            </w:r>
          </w:p>
        </w:tc>
        <w:tc>
          <w:tcPr>
            <w:tcW w:w="1141" w:type="dxa"/>
            <w:tcBorders>
              <w:top w:val="nil"/>
              <w:left w:val="nil"/>
              <w:bottom w:val="nil"/>
              <w:right w:val="single" w:sz="8" w:space="0" w:color="auto"/>
            </w:tcBorders>
            <w:shd w:val="clear" w:color="000000" w:fill="FFFFFF"/>
            <w:noWrap/>
            <w:vAlign w:val="bottom"/>
            <w:hideMark/>
          </w:tcPr>
          <w:p w14:paraId="2A8B98C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871609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57 638 414</w:t>
            </w:r>
          </w:p>
        </w:tc>
        <w:tc>
          <w:tcPr>
            <w:tcW w:w="1167" w:type="dxa"/>
            <w:tcBorders>
              <w:top w:val="nil"/>
              <w:left w:val="nil"/>
              <w:bottom w:val="nil"/>
              <w:right w:val="single" w:sz="8" w:space="0" w:color="auto"/>
            </w:tcBorders>
            <w:shd w:val="clear" w:color="000000" w:fill="FFFFFF"/>
            <w:noWrap/>
            <w:vAlign w:val="bottom"/>
            <w:hideMark/>
          </w:tcPr>
          <w:p w14:paraId="409354D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F2AFA6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50 120 360</w:t>
            </w:r>
          </w:p>
        </w:tc>
        <w:tc>
          <w:tcPr>
            <w:tcW w:w="1053" w:type="dxa"/>
            <w:tcBorders>
              <w:top w:val="nil"/>
              <w:left w:val="nil"/>
              <w:bottom w:val="nil"/>
              <w:right w:val="single" w:sz="8" w:space="0" w:color="auto"/>
            </w:tcBorders>
            <w:shd w:val="clear" w:color="000000" w:fill="FFFFFF"/>
            <w:noWrap/>
            <w:vAlign w:val="bottom"/>
            <w:hideMark/>
          </w:tcPr>
          <w:p w14:paraId="5ED5E92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1766D2B"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C60391B"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CHIPRE</w:t>
            </w:r>
          </w:p>
        </w:tc>
        <w:tc>
          <w:tcPr>
            <w:tcW w:w="700" w:type="dxa"/>
            <w:tcBorders>
              <w:top w:val="nil"/>
              <w:left w:val="nil"/>
              <w:bottom w:val="nil"/>
              <w:right w:val="single" w:sz="8" w:space="0" w:color="auto"/>
            </w:tcBorders>
            <w:shd w:val="clear" w:color="000000" w:fill="BFBFBF"/>
            <w:noWrap/>
            <w:vAlign w:val="bottom"/>
            <w:hideMark/>
          </w:tcPr>
          <w:p w14:paraId="127BAAFC"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0,11162</w:t>
            </w:r>
          </w:p>
        </w:tc>
        <w:tc>
          <w:tcPr>
            <w:tcW w:w="1436" w:type="dxa"/>
            <w:tcBorders>
              <w:top w:val="nil"/>
              <w:left w:val="nil"/>
              <w:bottom w:val="nil"/>
              <w:right w:val="single" w:sz="4" w:space="0" w:color="auto"/>
            </w:tcBorders>
            <w:shd w:val="clear" w:color="000000" w:fill="FFFFFF"/>
            <w:noWrap/>
            <w:vAlign w:val="bottom"/>
            <w:hideMark/>
          </w:tcPr>
          <w:p w14:paraId="2D5B47D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892 960</w:t>
            </w:r>
          </w:p>
        </w:tc>
        <w:tc>
          <w:tcPr>
            <w:tcW w:w="1124" w:type="dxa"/>
            <w:tcBorders>
              <w:top w:val="nil"/>
              <w:left w:val="nil"/>
              <w:bottom w:val="nil"/>
              <w:right w:val="single" w:sz="8" w:space="0" w:color="auto"/>
            </w:tcBorders>
            <w:shd w:val="clear" w:color="000000" w:fill="FFFFFF"/>
            <w:noWrap/>
            <w:vAlign w:val="bottom"/>
            <w:hideMark/>
          </w:tcPr>
          <w:p w14:paraId="21E0933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10 046</w:t>
            </w:r>
          </w:p>
        </w:tc>
        <w:tc>
          <w:tcPr>
            <w:tcW w:w="1459" w:type="dxa"/>
            <w:tcBorders>
              <w:top w:val="nil"/>
              <w:left w:val="nil"/>
              <w:bottom w:val="nil"/>
              <w:right w:val="single" w:sz="4" w:space="0" w:color="auto"/>
            </w:tcBorders>
            <w:shd w:val="clear" w:color="000000" w:fill="FFFFFF"/>
            <w:noWrap/>
            <w:vAlign w:val="bottom"/>
            <w:hideMark/>
          </w:tcPr>
          <w:p w14:paraId="3F7DA6F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781 340</w:t>
            </w:r>
          </w:p>
        </w:tc>
        <w:tc>
          <w:tcPr>
            <w:tcW w:w="1141" w:type="dxa"/>
            <w:tcBorders>
              <w:top w:val="nil"/>
              <w:left w:val="nil"/>
              <w:bottom w:val="nil"/>
              <w:right w:val="single" w:sz="8" w:space="0" w:color="auto"/>
            </w:tcBorders>
            <w:shd w:val="clear" w:color="000000" w:fill="FFFFFF"/>
            <w:noWrap/>
            <w:vAlign w:val="bottom"/>
            <w:hideMark/>
          </w:tcPr>
          <w:p w14:paraId="527A10D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FE5D9A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513 452</w:t>
            </w:r>
          </w:p>
        </w:tc>
        <w:tc>
          <w:tcPr>
            <w:tcW w:w="1167" w:type="dxa"/>
            <w:tcBorders>
              <w:top w:val="nil"/>
              <w:left w:val="nil"/>
              <w:bottom w:val="nil"/>
              <w:right w:val="single" w:sz="8" w:space="0" w:color="auto"/>
            </w:tcBorders>
            <w:shd w:val="clear" w:color="000000" w:fill="FFFFFF"/>
            <w:noWrap/>
            <w:vAlign w:val="bottom"/>
            <w:hideMark/>
          </w:tcPr>
          <w:p w14:paraId="1FDBE70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23B186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446 480</w:t>
            </w:r>
          </w:p>
        </w:tc>
        <w:tc>
          <w:tcPr>
            <w:tcW w:w="1053" w:type="dxa"/>
            <w:tcBorders>
              <w:top w:val="nil"/>
              <w:left w:val="nil"/>
              <w:bottom w:val="nil"/>
              <w:right w:val="single" w:sz="8" w:space="0" w:color="auto"/>
            </w:tcBorders>
            <w:shd w:val="clear" w:color="000000" w:fill="FFFFFF"/>
            <w:noWrap/>
            <w:vAlign w:val="bottom"/>
            <w:hideMark/>
          </w:tcPr>
          <w:p w14:paraId="402473A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91DA21E"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746E2B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LETONIA</w:t>
            </w:r>
          </w:p>
        </w:tc>
        <w:tc>
          <w:tcPr>
            <w:tcW w:w="700" w:type="dxa"/>
            <w:tcBorders>
              <w:top w:val="nil"/>
              <w:left w:val="nil"/>
              <w:bottom w:val="nil"/>
              <w:right w:val="single" w:sz="8" w:space="0" w:color="auto"/>
            </w:tcBorders>
            <w:shd w:val="clear" w:color="000000" w:fill="BFBFBF"/>
            <w:noWrap/>
            <w:vAlign w:val="bottom"/>
            <w:hideMark/>
          </w:tcPr>
          <w:p w14:paraId="05753784"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0,11612</w:t>
            </w:r>
          </w:p>
        </w:tc>
        <w:tc>
          <w:tcPr>
            <w:tcW w:w="1436" w:type="dxa"/>
            <w:tcBorders>
              <w:top w:val="nil"/>
              <w:left w:val="nil"/>
              <w:bottom w:val="nil"/>
              <w:right w:val="single" w:sz="4" w:space="0" w:color="auto"/>
            </w:tcBorders>
            <w:shd w:val="clear" w:color="000000" w:fill="FFFFFF"/>
            <w:noWrap/>
            <w:vAlign w:val="bottom"/>
            <w:hideMark/>
          </w:tcPr>
          <w:p w14:paraId="7CDF880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928 960</w:t>
            </w:r>
          </w:p>
        </w:tc>
        <w:tc>
          <w:tcPr>
            <w:tcW w:w="1124" w:type="dxa"/>
            <w:tcBorders>
              <w:top w:val="nil"/>
              <w:left w:val="nil"/>
              <w:bottom w:val="nil"/>
              <w:right w:val="single" w:sz="8" w:space="0" w:color="auto"/>
            </w:tcBorders>
            <w:shd w:val="clear" w:color="000000" w:fill="FFFFFF"/>
            <w:noWrap/>
            <w:vAlign w:val="bottom"/>
            <w:hideMark/>
          </w:tcPr>
          <w:p w14:paraId="2672AD3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10 451</w:t>
            </w:r>
          </w:p>
        </w:tc>
        <w:tc>
          <w:tcPr>
            <w:tcW w:w="1459" w:type="dxa"/>
            <w:tcBorders>
              <w:top w:val="nil"/>
              <w:left w:val="nil"/>
              <w:bottom w:val="nil"/>
              <w:right w:val="single" w:sz="4" w:space="0" w:color="auto"/>
            </w:tcBorders>
            <w:shd w:val="clear" w:color="000000" w:fill="FFFFFF"/>
            <w:noWrap/>
            <w:vAlign w:val="bottom"/>
            <w:hideMark/>
          </w:tcPr>
          <w:p w14:paraId="186CF3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812 840</w:t>
            </w:r>
          </w:p>
        </w:tc>
        <w:tc>
          <w:tcPr>
            <w:tcW w:w="1141" w:type="dxa"/>
            <w:tcBorders>
              <w:top w:val="nil"/>
              <w:left w:val="nil"/>
              <w:bottom w:val="nil"/>
              <w:right w:val="single" w:sz="8" w:space="0" w:color="auto"/>
            </w:tcBorders>
            <w:shd w:val="clear" w:color="000000" w:fill="FFFFFF"/>
            <w:noWrap/>
            <w:vAlign w:val="bottom"/>
            <w:hideMark/>
          </w:tcPr>
          <w:p w14:paraId="26CAFB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54165E1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534 152</w:t>
            </w:r>
          </w:p>
        </w:tc>
        <w:tc>
          <w:tcPr>
            <w:tcW w:w="1167" w:type="dxa"/>
            <w:tcBorders>
              <w:top w:val="nil"/>
              <w:left w:val="nil"/>
              <w:bottom w:val="nil"/>
              <w:right w:val="single" w:sz="8" w:space="0" w:color="auto"/>
            </w:tcBorders>
            <w:shd w:val="clear" w:color="000000" w:fill="FFFFFF"/>
            <w:noWrap/>
            <w:vAlign w:val="bottom"/>
            <w:hideMark/>
          </w:tcPr>
          <w:p w14:paraId="79251C0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FB234A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464 480</w:t>
            </w:r>
          </w:p>
        </w:tc>
        <w:tc>
          <w:tcPr>
            <w:tcW w:w="1053" w:type="dxa"/>
            <w:tcBorders>
              <w:top w:val="nil"/>
              <w:left w:val="nil"/>
              <w:bottom w:val="nil"/>
              <w:right w:val="single" w:sz="8" w:space="0" w:color="auto"/>
            </w:tcBorders>
            <w:shd w:val="clear" w:color="000000" w:fill="FFFFFF"/>
            <w:noWrap/>
            <w:vAlign w:val="bottom"/>
            <w:hideMark/>
          </w:tcPr>
          <w:p w14:paraId="129AD65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4854C7"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0E142EC"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LITUANIA</w:t>
            </w:r>
          </w:p>
        </w:tc>
        <w:tc>
          <w:tcPr>
            <w:tcW w:w="700" w:type="dxa"/>
            <w:tcBorders>
              <w:top w:val="nil"/>
              <w:left w:val="nil"/>
              <w:bottom w:val="nil"/>
              <w:right w:val="single" w:sz="8" w:space="0" w:color="auto"/>
            </w:tcBorders>
            <w:shd w:val="clear" w:color="000000" w:fill="BFBFBF"/>
            <w:noWrap/>
            <w:vAlign w:val="bottom"/>
            <w:hideMark/>
          </w:tcPr>
          <w:p w14:paraId="3CD1326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0,18077</w:t>
            </w:r>
          </w:p>
        </w:tc>
        <w:tc>
          <w:tcPr>
            <w:tcW w:w="1436" w:type="dxa"/>
            <w:tcBorders>
              <w:top w:val="nil"/>
              <w:left w:val="nil"/>
              <w:bottom w:val="nil"/>
              <w:right w:val="single" w:sz="4" w:space="0" w:color="auto"/>
            </w:tcBorders>
            <w:shd w:val="clear" w:color="000000" w:fill="FFFFFF"/>
            <w:noWrap/>
            <w:vAlign w:val="bottom"/>
            <w:hideMark/>
          </w:tcPr>
          <w:p w14:paraId="408744A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1 446 160</w:t>
            </w:r>
          </w:p>
        </w:tc>
        <w:tc>
          <w:tcPr>
            <w:tcW w:w="1124" w:type="dxa"/>
            <w:tcBorders>
              <w:top w:val="nil"/>
              <w:left w:val="nil"/>
              <w:bottom w:val="nil"/>
              <w:right w:val="single" w:sz="8" w:space="0" w:color="auto"/>
            </w:tcBorders>
            <w:shd w:val="clear" w:color="000000" w:fill="FFFFFF"/>
            <w:noWrap/>
            <w:vAlign w:val="bottom"/>
            <w:hideMark/>
          </w:tcPr>
          <w:p w14:paraId="20618D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16 269</w:t>
            </w:r>
          </w:p>
        </w:tc>
        <w:tc>
          <w:tcPr>
            <w:tcW w:w="1459" w:type="dxa"/>
            <w:tcBorders>
              <w:top w:val="nil"/>
              <w:left w:val="nil"/>
              <w:bottom w:val="nil"/>
              <w:right w:val="single" w:sz="4" w:space="0" w:color="auto"/>
            </w:tcBorders>
            <w:shd w:val="clear" w:color="000000" w:fill="FFFFFF"/>
            <w:noWrap/>
            <w:vAlign w:val="bottom"/>
            <w:hideMark/>
          </w:tcPr>
          <w:p w14:paraId="596E7D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1 265 390</w:t>
            </w:r>
          </w:p>
        </w:tc>
        <w:tc>
          <w:tcPr>
            <w:tcW w:w="1141" w:type="dxa"/>
            <w:tcBorders>
              <w:top w:val="nil"/>
              <w:left w:val="nil"/>
              <w:bottom w:val="nil"/>
              <w:right w:val="single" w:sz="8" w:space="0" w:color="auto"/>
            </w:tcBorders>
            <w:shd w:val="clear" w:color="000000" w:fill="FFFFFF"/>
            <w:noWrap/>
            <w:vAlign w:val="bottom"/>
            <w:hideMark/>
          </w:tcPr>
          <w:p w14:paraId="7ED92D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CBDAE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831 542</w:t>
            </w:r>
          </w:p>
        </w:tc>
        <w:tc>
          <w:tcPr>
            <w:tcW w:w="1167" w:type="dxa"/>
            <w:tcBorders>
              <w:top w:val="nil"/>
              <w:left w:val="nil"/>
              <w:bottom w:val="nil"/>
              <w:right w:val="single" w:sz="8" w:space="0" w:color="auto"/>
            </w:tcBorders>
            <w:shd w:val="clear" w:color="000000" w:fill="FFFFFF"/>
            <w:noWrap/>
            <w:vAlign w:val="bottom"/>
            <w:hideMark/>
          </w:tcPr>
          <w:p w14:paraId="43CB916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7394E99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723 080</w:t>
            </w:r>
          </w:p>
        </w:tc>
        <w:tc>
          <w:tcPr>
            <w:tcW w:w="1053" w:type="dxa"/>
            <w:tcBorders>
              <w:top w:val="nil"/>
              <w:left w:val="nil"/>
              <w:bottom w:val="nil"/>
              <w:right w:val="single" w:sz="8" w:space="0" w:color="auto"/>
            </w:tcBorders>
            <w:shd w:val="clear" w:color="000000" w:fill="FFFFFF"/>
            <w:noWrap/>
            <w:vAlign w:val="bottom"/>
            <w:hideMark/>
          </w:tcPr>
          <w:p w14:paraId="32D1236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671012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DE923C5"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LUXEMBOURG</w:t>
            </w:r>
          </w:p>
        </w:tc>
        <w:tc>
          <w:tcPr>
            <w:tcW w:w="700" w:type="dxa"/>
            <w:tcBorders>
              <w:top w:val="nil"/>
              <w:left w:val="nil"/>
              <w:bottom w:val="nil"/>
              <w:right w:val="single" w:sz="8" w:space="0" w:color="auto"/>
            </w:tcBorders>
            <w:shd w:val="clear" w:color="000000" w:fill="BFBFBF"/>
            <w:noWrap/>
            <w:vAlign w:val="bottom"/>
            <w:hideMark/>
          </w:tcPr>
          <w:p w14:paraId="140E0F5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0,25509</w:t>
            </w:r>
          </w:p>
        </w:tc>
        <w:tc>
          <w:tcPr>
            <w:tcW w:w="1436" w:type="dxa"/>
            <w:tcBorders>
              <w:top w:val="nil"/>
              <w:left w:val="nil"/>
              <w:bottom w:val="nil"/>
              <w:right w:val="single" w:sz="4" w:space="0" w:color="auto"/>
            </w:tcBorders>
            <w:shd w:val="clear" w:color="000000" w:fill="FFFFFF"/>
            <w:noWrap/>
            <w:vAlign w:val="bottom"/>
            <w:hideMark/>
          </w:tcPr>
          <w:p w14:paraId="7A70319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2 040 720</w:t>
            </w:r>
          </w:p>
        </w:tc>
        <w:tc>
          <w:tcPr>
            <w:tcW w:w="1124" w:type="dxa"/>
            <w:tcBorders>
              <w:top w:val="nil"/>
              <w:left w:val="nil"/>
              <w:bottom w:val="nil"/>
              <w:right w:val="single" w:sz="8" w:space="0" w:color="auto"/>
            </w:tcBorders>
            <w:shd w:val="clear" w:color="000000" w:fill="FFFFFF"/>
            <w:noWrap/>
            <w:vAlign w:val="bottom"/>
            <w:hideMark/>
          </w:tcPr>
          <w:p w14:paraId="3D2C0A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22 958</w:t>
            </w:r>
          </w:p>
        </w:tc>
        <w:tc>
          <w:tcPr>
            <w:tcW w:w="1459" w:type="dxa"/>
            <w:tcBorders>
              <w:top w:val="nil"/>
              <w:left w:val="nil"/>
              <w:bottom w:val="nil"/>
              <w:right w:val="single" w:sz="4" w:space="0" w:color="auto"/>
            </w:tcBorders>
            <w:shd w:val="clear" w:color="000000" w:fill="FFFFFF"/>
            <w:noWrap/>
            <w:vAlign w:val="bottom"/>
            <w:hideMark/>
          </w:tcPr>
          <w:p w14:paraId="5DA778A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1 785 630</w:t>
            </w:r>
          </w:p>
        </w:tc>
        <w:tc>
          <w:tcPr>
            <w:tcW w:w="1141" w:type="dxa"/>
            <w:tcBorders>
              <w:top w:val="nil"/>
              <w:left w:val="nil"/>
              <w:bottom w:val="nil"/>
              <w:right w:val="single" w:sz="8" w:space="0" w:color="auto"/>
            </w:tcBorders>
            <w:shd w:val="clear" w:color="000000" w:fill="FFFFFF"/>
            <w:noWrap/>
            <w:vAlign w:val="bottom"/>
            <w:hideMark/>
          </w:tcPr>
          <w:p w14:paraId="7CCC3CC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244EBF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1 173 414</w:t>
            </w:r>
          </w:p>
        </w:tc>
        <w:tc>
          <w:tcPr>
            <w:tcW w:w="1167" w:type="dxa"/>
            <w:tcBorders>
              <w:top w:val="nil"/>
              <w:left w:val="nil"/>
              <w:bottom w:val="nil"/>
              <w:right w:val="single" w:sz="8" w:space="0" w:color="auto"/>
            </w:tcBorders>
            <w:shd w:val="clear" w:color="000000" w:fill="FFFFFF"/>
            <w:noWrap/>
            <w:vAlign w:val="bottom"/>
            <w:hideMark/>
          </w:tcPr>
          <w:p w14:paraId="691D7A2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AE4546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1 020 360</w:t>
            </w:r>
          </w:p>
        </w:tc>
        <w:tc>
          <w:tcPr>
            <w:tcW w:w="1053" w:type="dxa"/>
            <w:tcBorders>
              <w:top w:val="nil"/>
              <w:left w:val="nil"/>
              <w:bottom w:val="nil"/>
              <w:right w:val="single" w:sz="8" w:space="0" w:color="auto"/>
            </w:tcBorders>
            <w:shd w:val="clear" w:color="000000" w:fill="FFFFFF"/>
            <w:noWrap/>
            <w:vAlign w:val="bottom"/>
            <w:hideMark/>
          </w:tcPr>
          <w:p w14:paraId="1486E7A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E8A6C7A"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8450936"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HUNGRÍA</w:t>
            </w:r>
          </w:p>
        </w:tc>
        <w:tc>
          <w:tcPr>
            <w:tcW w:w="700" w:type="dxa"/>
            <w:tcBorders>
              <w:top w:val="nil"/>
              <w:left w:val="nil"/>
              <w:bottom w:val="nil"/>
              <w:right w:val="single" w:sz="8" w:space="0" w:color="auto"/>
            </w:tcBorders>
            <w:shd w:val="clear" w:color="000000" w:fill="BFBFBF"/>
            <w:noWrap/>
            <w:vAlign w:val="bottom"/>
            <w:hideMark/>
          </w:tcPr>
          <w:p w14:paraId="5B7F1543"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0,61456</w:t>
            </w:r>
          </w:p>
        </w:tc>
        <w:tc>
          <w:tcPr>
            <w:tcW w:w="1436" w:type="dxa"/>
            <w:tcBorders>
              <w:top w:val="nil"/>
              <w:left w:val="nil"/>
              <w:bottom w:val="nil"/>
              <w:right w:val="single" w:sz="4" w:space="0" w:color="auto"/>
            </w:tcBorders>
            <w:shd w:val="clear" w:color="000000" w:fill="FFFFFF"/>
            <w:noWrap/>
            <w:vAlign w:val="bottom"/>
            <w:hideMark/>
          </w:tcPr>
          <w:p w14:paraId="355F917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4 916 480</w:t>
            </w:r>
          </w:p>
        </w:tc>
        <w:tc>
          <w:tcPr>
            <w:tcW w:w="1124" w:type="dxa"/>
            <w:tcBorders>
              <w:top w:val="nil"/>
              <w:left w:val="nil"/>
              <w:bottom w:val="nil"/>
              <w:right w:val="single" w:sz="8" w:space="0" w:color="auto"/>
            </w:tcBorders>
            <w:shd w:val="clear" w:color="000000" w:fill="FFFFFF"/>
            <w:noWrap/>
            <w:vAlign w:val="bottom"/>
            <w:hideMark/>
          </w:tcPr>
          <w:p w14:paraId="2E5C722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55 310</w:t>
            </w:r>
          </w:p>
        </w:tc>
        <w:tc>
          <w:tcPr>
            <w:tcW w:w="1459" w:type="dxa"/>
            <w:tcBorders>
              <w:top w:val="nil"/>
              <w:left w:val="nil"/>
              <w:bottom w:val="nil"/>
              <w:right w:val="single" w:sz="4" w:space="0" w:color="auto"/>
            </w:tcBorders>
            <w:shd w:val="clear" w:color="000000" w:fill="FFFFFF"/>
            <w:noWrap/>
            <w:vAlign w:val="bottom"/>
            <w:hideMark/>
          </w:tcPr>
          <w:p w14:paraId="2B94EA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4 301 920</w:t>
            </w:r>
          </w:p>
        </w:tc>
        <w:tc>
          <w:tcPr>
            <w:tcW w:w="1141" w:type="dxa"/>
            <w:tcBorders>
              <w:top w:val="nil"/>
              <w:left w:val="nil"/>
              <w:bottom w:val="nil"/>
              <w:right w:val="single" w:sz="8" w:space="0" w:color="auto"/>
            </w:tcBorders>
            <w:shd w:val="clear" w:color="000000" w:fill="FFFFFF"/>
            <w:noWrap/>
            <w:vAlign w:val="bottom"/>
            <w:hideMark/>
          </w:tcPr>
          <w:p w14:paraId="0AE426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DAF83C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2 826 976</w:t>
            </w:r>
          </w:p>
        </w:tc>
        <w:tc>
          <w:tcPr>
            <w:tcW w:w="1167" w:type="dxa"/>
            <w:tcBorders>
              <w:top w:val="nil"/>
              <w:left w:val="nil"/>
              <w:bottom w:val="nil"/>
              <w:right w:val="single" w:sz="8" w:space="0" w:color="auto"/>
            </w:tcBorders>
            <w:shd w:val="clear" w:color="000000" w:fill="FFFFFF"/>
            <w:noWrap/>
            <w:vAlign w:val="bottom"/>
            <w:hideMark/>
          </w:tcPr>
          <w:p w14:paraId="015EE54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08D833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2 458 240</w:t>
            </w:r>
          </w:p>
        </w:tc>
        <w:tc>
          <w:tcPr>
            <w:tcW w:w="1053" w:type="dxa"/>
            <w:tcBorders>
              <w:top w:val="nil"/>
              <w:left w:val="nil"/>
              <w:bottom w:val="nil"/>
              <w:right w:val="single" w:sz="8" w:space="0" w:color="auto"/>
            </w:tcBorders>
            <w:shd w:val="clear" w:color="000000" w:fill="FFFFFF"/>
            <w:noWrap/>
            <w:vAlign w:val="bottom"/>
            <w:hideMark/>
          </w:tcPr>
          <w:p w14:paraId="3FEFD35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83C56DE"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F7086B2"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MALTA</w:t>
            </w:r>
          </w:p>
        </w:tc>
        <w:tc>
          <w:tcPr>
            <w:tcW w:w="700" w:type="dxa"/>
            <w:tcBorders>
              <w:top w:val="nil"/>
              <w:left w:val="nil"/>
              <w:bottom w:val="nil"/>
              <w:right w:val="single" w:sz="8" w:space="0" w:color="auto"/>
            </w:tcBorders>
            <w:shd w:val="clear" w:color="000000" w:fill="BFBFBF"/>
            <w:noWrap/>
            <w:vAlign w:val="bottom"/>
            <w:hideMark/>
          </w:tcPr>
          <w:p w14:paraId="2AEC369A"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0,03801</w:t>
            </w:r>
          </w:p>
        </w:tc>
        <w:tc>
          <w:tcPr>
            <w:tcW w:w="1436" w:type="dxa"/>
            <w:tcBorders>
              <w:top w:val="nil"/>
              <w:left w:val="nil"/>
              <w:bottom w:val="nil"/>
              <w:right w:val="single" w:sz="4" w:space="0" w:color="auto"/>
            </w:tcBorders>
            <w:shd w:val="clear" w:color="000000" w:fill="FFFFFF"/>
            <w:noWrap/>
            <w:vAlign w:val="bottom"/>
            <w:hideMark/>
          </w:tcPr>
          <w:p w14:paraId="42F786E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304 080</w:t>
            </w:r>
          </w:p>
        </w:tc>
        <w:tc>
          <w:tcPr>
            <w:tcW w:w="1124" w:type="dxa"/>
            <w:tcBorders>
              <w:top w:val="nil"/>
              <w:left w:val="nil"/>
              <w:bottom w:val="nil"/>
              <w:right w:val="single" w:sz="8" w:space="0" w:color="auto"/>
            </w:tcBorders>
            <w:shd w:val="clear" w:color="000000" w:fill="FFFFFF"/>
            <w:noWrap/>
            <w:vAlign w:val="bottom"/>
            <w:hideMark/>
          </w:tcPr>
          <w:p w14:paraId="2CFF981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3 421</w:t>
            </w:r>
          </w:p>
        </w:tc>
        <w:tc>
          <w:tcPr>
            <w:tcW w:w="1459" w:type="dxa"/>
            <w:tcBorders>
              <w:top w:val="nil"/>
              <w:left w:val="nil"/>
              <w:bottom w:val="nil"/>
              <w:right w:val="single" w:sz="4" w:space="0" w:color="auto"/>
            </w:tcBorders>
            <w:shd w:val="clear" w:color="000000" w:fill="FFFFFF"/>
            <w:noWrap/>
            <w:vAlign w:val="bottom"/>
            <w:hideMark/>
          </w:tcPr>
          <w:p w14:paraId="647ACFC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266 070</w:t>
            </w:r>
          </w:p>
        </w:tc>
        <w:tc>
          <w:tcPr>
            <w:tcW w:w="1141" w:type="dxa"/>
            <w:tcBorders>
              <w:top w:val="nil"/>
              <w:left w:val="nil"/>
              <w:bottom w:val="nil"/>
              <w:right w:val="single" w:sz="8" w:space="0" w:color="auto"/>
            </w:tcBorders>
            <w:shd w:val="clear" w:color="000000" w:fill="FFFFFF"/>
            <w:noWrap/>
            <w:vAlign w:val="bottom"/>
            <w:hideMark/>
          </w:tcPr>
          <w:p w14:paraId="5682A15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6C749DC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174 846</w:t>
            </w:r>
          </w:p>
        </w:tc>
        <w:tc>
          <w:tcPr>
            <w:tcW w:w="1167" w:type="dxa"/>
            <w:tcBorders>
              <w:top w:val="nil"/>
              <w:left w:val="nil"/>
              <w:bottom w:val="nil"/>
              <w:right w:val="single" w:sz="8" w:space="0" w:color="auto"/>
            </w:tcBorders>
            <w:shd w:val="clear" w:color="000000" w:fill="FFFFFF"/>
            <w:noWrap/>
            <w:vAlign w:val="bottom"/>
            <w:hideMark/>
          </w:tcPr>
          <w:p w14:paraId="50D6FD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2BB34E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152 040</w:t>
            </w:r>
          </w:p>
        </w:tc>
        <w:tc>
          <w:tcPr>
            <w:tcW w:w="1053" w:type="dxa"/>
            <w:tcBorders>
              <w:top w:val="nil"/>
              <w:left w:val="nil"/>
              <w:bottom w:val="nil"/>
              <w:right w:val="single" w:sz="8" w:space="0" w:color="auto"/>
            </w:tcBorders>
            <w:shd w:val="clear" w:color="000000" w:fill="FFFFFF"/>
            <w:noWrap/>
            <w:vAlign w:val="bottom"/>
            <w:hideMark/>
          </w:tcPr>
          <w:p w14:paraId="42E9A3C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1C642B1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5DDD531F"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PAÍSES BAJOS</w:t>
            </w:r>
          </w:p>
        </w:tc>
        <w:tc>
          <w:tcPr>
            <w:tcW w:w="700" w:type="dxa"/>
            <w:tcBorders>
              <w:top w:val="nil"/>
              <w:left w:val="nil"/>
              <w:bottom w:val="nil"/>
              <w:right w:val="single" w:sz="8" w:space="0" w:color="auto"/>
            </w:tcBorders>
            <w:shd w:val="clear" w:color="000000" w:fill="BFBFBF"/>
            <w:noWrap/>
            <w:vAlign w:val="bottom"/>
            <w:hideMark/>
          </w:tcPr>
          <w:p w14:paraId="0ECAA940"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4,77678</w:t>
            </w:r>
          </w:p>
        </w:tc>
        <w:tc>
          <w:tcPr>
            <w:tcW w:w="1436" w:type="dxa"/>
            <w:tcBorders>
              <w:top w:val="nil"/>
              <w:left w:val="nil"/>
              <w:bottom w:val="nil"/>
              <w:right w:val="single" w:sz="4" w:space="0" w:color="auto"/>
            </w:tcBorders>
            <w:shd w:val="clear" w:color="000000" w:fill="FFFFFF"/>
            <w:noWrap/>
            <w:vAlign w:val="bottom"/>
            <w:hideMark/>
          </w:tcPr>
          <w:p w14:paraId="0FCBBFB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38 214 240</w:t>
            </w:r>
          </w:p>
        </w:tc>
        <w:tc>
          <w:tcPr>
            <w:tcW w:w="1124" w:type="dxa"/>
            <w:tcBorders>
              <w:top w:val="nil"/>
              <w:left w:val="nil"/>
              <w:bottom w:val="nil"/>
              <w:right w:val="single" w:sz="8" w:space="0" w:color="auto"/>
            </w:tcBorders>
            <w:shd w:val="clear" w:color="000000" w:fill="FFFFFF"/>
            <w:noWrap/>
            <w:vAlign w:val="bottom"/>
            <w:hideMark/>
          </w:tcPr>
          <w:p w14:paraId="168588B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429 910</w:t>
            </w:r>
          </w:p>
        </w:tc>
        <w:tc>
          <w:tcPr>
            <w:tcW w:w="1459" w:type="dxa"/>
            <w:tcBorders>
              <w:top w:val="nil"/>
              <w:left w:val="nil"/>
              <w:bottom w:val="nil"/>
              <w:right w:val="single" w:sz="4" w:space="0" w:color="auto"/>
            </w:tcBorders>
            <w:shd w:val="clear" w:color="000000" w:fill="FFFFFF"/>
            <w:noWrap/>
            <w:vAlign w:val="bottom"/>
            <w:hideMark/>
          </w:tcPr>
          <w:p w14:paraId="1BD9F2A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33 437 460</w:t>
            </w:r>
          </w:p>
        </w:tc>
        <w:tc>
          <w:tcPr>
            <w:tcW w:w="1141" w:type="dxa"/>
            <w:tcBorders>
              <w:top w:val="nil"/>
              <w:left w:val="nil"/>
              <w:bottom w:val="nil"/>
              <w:right w:val="single" w:sz="8" w:space="0" w:color="auto"/>
            </w:tcBorders>
            <w:shd w:val="clear" w:color="000000" w:fill="FFFFFF"/>
            <w:noWrap/>
            <w:vAlign w:val="bottom"/>
            <w:hideMark/>
          </w:tcPr>
          <w:p w14:paraId="133DB56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165CD2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21 973 188</w:t>
            </w:r>
          </w:p>
        </w:tc>
        <w:tc>
          <w:tcPr>
            <w:tcW w:w="1167" w:type="dxa"/>
            <w:tcBorders>
              <w:top w:val="nil"/>
              <w:left w:val="nil"/>
              <w:bottom w:val="nil"/>
              <w:right w:val="single" w:sz="8" w:space="0" w:color="auto"/>
            </w:tcBorders>
            <w:shd w:val="clear" w:color="000000" w:fill="FFFFFF"/>
            <w:noWrap/>
            <w:vAlign w:val="bottom"/>
            <w:hideMark/>
          </w:tcPr>
          <w:p w14:paraId="797BE74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164325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19 107 120</w:t>
            </w:r>
          </w:p>
        </w:tc>
        <w:tc>
          <w:tcPr>
            <w:tcW w:w="1053" w:type="dxa"/>
            <w:tcBorders>
              <w:top w:val="nil"/>
              <w:left w:val="nil"/>
              <w:bottom w:val="nil"/>
              <w:right w:val="single" w:sz="8" w:space="0" w:color="auto"/>
            </w:tcBorders>
            <w:shd w:val="clear" w:color="000000" w:fill="FFFFFF"/>
            <w:noWrap/>
            <w:vAlign w:val="bottom"/>
            <w:hideMark/>
          </w:tcPr>
          <w:p w14:paraId="1BEADE7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36F8D0D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49D5878A"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AUSTRIA</w:t>
            </w:r>
          </w:p>
        </w:tc>
        <w:tc>
          <w:tcPr>
            <w:tcW w:w="700" w:type="dxa"/>
            <w:tcBorders>
              <w:top w:val="nil"/>
              <w:left w:val="nil"/>
              <w:bottom w:val="nil"/>
              <w:right w:val="single" w:sz="8" w:space="0" w:color="auto"/>
            </w:tcBorders>
            <w:shd w:val="clear" w:color="000000" w:fill="BFBFBF"/>
            <w:noWrap/>
            <w:vAlign w:val="bottom"/>
            <w:hideMark/>
          </w:tcPr>
          <w:p w14:paraId="1FBD9AD7"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2,39757</w:t>
            </w:r>
          </w:p>
        </w:tc>
        <w:tc>
          <w:tcPr>
            <w:tcW w:w="1436" w:type="dxa"/>
            <w:tcBorders>
              <w:top w:val="nil"/>
              <w:left w:val="nil"/>
              <w:bottom w:val="nil"/>
              <w:right w:val="single" w:sz="4" w:space="0" w:color="auto"/>
            </w:tcBorders>
            <w:shd w:val="clear" w:color="000000" w:fill="FFFFFF"/>
            <w:noWrap/>
            <w:vAlign w:val="bottom"/>
            <w:hideMark/>
          </w:tcPr>
          <w:p w14:paraId="47E9FE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19 180 560</w:t>
            </w:r>
          </w:p>
        </w:tc>
        <w:tc>
          <w:tcPr>
            <w:tcW w:w="1124" w:type="dxa"/>
            <w:tcBorders>
              <w:top w:val="nil"/>
              <w:left w:val="nil"/>
              <w:bottom w:val="nil"/>
              <w:right w:val="single" w:sz="8" w:space="0" w:color="auto"/>
            </w:tcBorders>
            <w:shd w:val="clear" w:color="000000" w:fill="FFFFFF"/>
            <w:noWrap/>
            <w:vAlign w:val="bottom"/>
            <w:hideMark/>
          </w:tcPr>
          <w:p w14:paraId="76D735E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215 781</w:t>
            </w:r>
          </w:p>
        </w:tc>
        <w:tc>
          <w:tcPr>
            <w:tcW w:w="1459" w:type="dxa"/>
            <w:tcBorders>
              <w:top w:val="nil"/>
              <w:left w:val="nil"/>
              <w:bottom w:val="nil"/>
              <w:right w:val="single" w:sz="4" w:space="0" w:color="auto"/>
            </w:tcBorders>
            <w:shd w:val="clear" w:color="000000" w:fill="FFFFFF"/>
            <w:noWrap/>
            <w:vAlign w:val="bottom"/>
            <w:hideMark/>
          </w:tcPr>
          <w:p w14:paraId="393B87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16 782 990</w:t>
            </w:r>
          </w:p>
        </w:tc>
        <w:tc>
          <w:tcPr>
            <w:tcW w:w="1141" w:type="dxa"/>
            <w:tcBorders>
              <w:top w:val="nil"/>
              <w:left w:val="nil"/>
              <w:bottom w:val="nil"/>
              <w:right w:val="single" w:sz="8" w:space="0" w:color="auto"/>
            </w:tcBorders>
            <w:shd w:val="clear" w:color="000000" w:fill="FFFFFF"/>
            <w:noWrap/>
            <w:vAlign w:val="bottom"/>
            <w:hideMark/>
          </w:tcPr>
          <w:p w14:paraId="3BD3D0C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47FE3292"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11 028 822</w:t>
            </w:r>
          </w:p>
        </w:tc>
        <w:tc>
          <w:tcPr>
            <w:tcW w:w="1167" w:type="dxa"/>
            <w:tcBorders>
              <w:top w:val="nil"/>
              <w:left w:val="nil"/>
              <w:bottom w:val="nil"/>
              <w:right w:val="single" w:sz="8" w:space="0" w:color="auto"/>
            </w:tcBorders>
            <w:shd w:val="clear" w:color="000000" w:fill="FFFFFF"/>
            <w:noWrap/>
            <w:vAlign w:val="bottom"/>
            <w:hideMark/>
          </w:tcPr>
          <w:p w14:paraId="7DE6ECA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F124FF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9 590 280</w:t>
            </w:r>
          </w:p>
        </w:tc>
        <w:tc>
          <w:tcPr>
            <w:tcW w:w="1053" w:type="dxa"/>
            <w:tcBorders>
              <w:top w:val="nil"/>
              <w:left w:val="nil"/>
              <w:bottom w:val="nil"/>
              <w:right w:val="single" w:sz="8" w:space="0" w:color="auto"/>
            </w:tcBorders>
            <w:shd w:val="clear" w:color="000000" w:fill="FFFFFF"/>
            <w:noWrap/>
            <w:vAlign w:val="bottom"/>
            <w:hideMark/>
          </w:tcPr>
          <w:p w14:paraId="1C92635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284C3765"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270038D"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POLONIA</w:t>
            </w:r>
          </w:p>
        </w:tc>
        <w:tc>
          <w:tcPr>
            <w:tcW w:w="700" w:type="dxa"/>
            <w:tcBorders>
              <w:top w:val="nil"/>
              <w:left w:val="nil"/>
              <w:bottom w:val="nil"/>
              <w:right w:val="single" w:sz="8" w:space="0" w:color="auto"/>
            </w:tcBorders>
            <w:shd w:val="clear" w:color="000000" w:fill="BFBFBF"/>
            <w:noWrap/>
            <w:vAlign w:val="bottom"/>
            <w:hideMark/>
          </w:tcPr>
          <w:p w14:paraId="1E44E3FC"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2,00734</w:t>
            </w:r>
          </w:p>
        </w:tc>
        <w:tc>
          <w:tcPr>
            <w:tcW w:w="1436" w:type="dxa"/>
            <w:tcBorders>
              <w:top w:val="nil"/>
              <w:left w:val="nil"/>
              <w:bottom w:val="nil"/>
              <w:right w:val="single" w:sz="4" w:space="0" w:color="auto"/>
            </w:tcBorders>
            <w:shd w:val="clear" w:color="000000" w:fill="FFFFFF"/>
            <w:noWrap/>
            <w:vAlign w:val="bottom"/>
            <w:hideMark/>
          </w:tcPr>
          <w:p w14:paraId="53EAF10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16 058 720</w:t>
            </w:r>
          </w:p>
        </w:tc>
        <w:tc>
          <w:tcPr>
            <w:tcW w:w="1124" w:type="dxa"/>
            <w:tcBorders>
              <w:top w:val="nil"/>
              <w:left w:val="nil"/>
              <w:bottom w:val="nil"/>
              <w:right w:val="single" w:sz="8" w:space="0" w:color="auto"/>
            </w:tcBorders>
            <w:shd w:val="clear" w:color="000000" w:fill="FFFFFF"/>
            <w:noWrap/>
            <w:vAlign w:val="bottom"/>
            <w:hideMark/>
          </w:tcPr>
          <w:p w14:paraId="772D3FA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180 661</w:t>
            </w:r>
          </w:p>
        </w:tc>
        <w:tc>
          <w:tcPr>
            <w:tcW w:w="1459" w:type="dxa"/>
            <w:tcBorders>
              <w:top w:val="nil"/>
              <w:left w:val="nil"/>
              <w:bottom w:val="nil"/>
              <w:right w:val="single" w:sz="4" w:space="0" w:color="auto"/>
            </w:tcBorders>
            <w:shd w:val="clear" w:color="000000" w:fill="FFFFFF"/>
            <w:noWrap/>
            <w:vAlign w:val="bottom"/>
            <w:hideMark/>
          </w:tcPr>
          <w:p w14:paraId="1DF0E18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14 051 380</w:t>
            </w:r>
          </w:p>
        </w:tc>
        <w:tc>
          <w:tcPr>
            <w:tcW w:w="1141" w:type="dxa"/>
            <w:tcBorders>
              <w:top w:val="nil"/>
              <w:left w:val="nil"/>
              <w:bottom w:val="nil"/>
              <w:right w:val="single" w:sz="8" w:space="0" w:color="auto"/>
            </w:tcBorders>
            <w:shd w:val="clear" w:color="000000" w:fill="FFFFFF"/>
            <w:noWrap/>
            <w:vAlign w:val="bottom"/>
            <w:hideMark/>
          </w:tcPr>
          <w:p w14:paraId="3D08164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A4AE09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9 233 764</w:t>
            </w:r>
          </w:p>
        </w:tc>
        <w:tc>
          <w:tcPr>
            <w:tcW w:w="1167" w:type="dxa"/>
            <w:tcBorders>
              <w:top w:val="nil"/>
              <w:left w:val="nil"/>
              <w:bottom w:val="nil"/>
              <w:right w:val="single" w:sz="8" w:space="0" w:color="auto"/>
            </w:tcBorders>
            <w:shd w:val="clear" w:color="000000" w:fill="FFFFFF"/>
            <w:noWrap/>
            <w:vAlign w:val="bottom"/>
            <w:hideMark/>
          </w:tcPr>
          <w:p w14:paraId="259773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E27695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8 029 360</w:t>
            </w:r>
          </w:p>
        </w:tc>
        <w:tc>
          <w:tcPr>
            <w:tcW w:w="1053" w:type="dxa"/>
            <w:tcBorders>
              <w:top w:val="nil"/>
              <w:left w:val="nil"/>
              <w:bottom w:val="nil"/>
              <w:right w:val="single" w:sz="8" w:space="0" w:color="auto"/>
            </w:tcBorders>
            <w:shd w:val="clear" w:color="000000" w:fill="FFFFFF"/>
            <w:noWrap/>
            <w:vAlign w:val="bottom"/>
            <w:hideMark/>
          </w:tcPr>
          <w:p w14:paraId="0901E21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7FD00C63"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EF5F4C3"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PORTUGAL</w:t>
            </w:r>
          </w:p>
        </w:tc>
        <w:tc>
          <w:tcPr>
            <w:tcW w:w="700" w:type="dxa"/>
            <w:tcBorders>
              <w:top w:val="nil"/>
              <w:left w:val="nil"/>
              <w:bottom w:val="nil"/>
              <w:right w:val="single" w:sz="8" w:space="0" w:color="auto"/>
            </w:tcBorders>
            <w:shd w:val="clear" w:color="000000" w:fill="BFBFBF"/>
            <w:noWrap/>
            <w:vAlign w:val="bottom"/>
            <w:hideMark/>
          </w:tcPr>
          <w:p w14:paraId="0CBB92DE"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1,19679</w:t>
            </w:r>
          </w:p>
        </w:tc>
        <w:tc>
          <w:tcPr>
            <w:tcW w:w="1436" w:type="dxa"/>
            <w:tcBorders>
              <w:top w:val="nil"/>
              <w:left w:val="nil"/>
              <w:bottom w:val="nil"/>
              <w:right w:val="single" w:sz="4" w:space="0" w:color="auto"/>
            </w:tcBorders>
            <w:shd w:val="clear" w:color="000000" w:fill="FFFFFF"/>
            <w:noWrap/>
            <w:vAlign w:val="bottom"/>
            <w:hideMark/>
          </w:tcPr>
          <w:p w14:paraId="12FE00B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9 574 320</w:t>
            </w:r>
          </w:p>
        </w:tc>
        <w:tc>
          <w:tcPr>
            <w:tcW w:w="1124" w:type="dxa"/>
            <w:tcBorders>
              <w:top w:val="nil"/>
              <w:left w:val="nil"/>
              <w:bottom w:val="nil"/>
              <w:right w:val="single" w:sz="8" w:space="0" w:color="auto"/>
            </w:tcBorders>
            <w:shd w:val="clear" w:color="000000" w:fill="FFFFFF"/>
            <w:noWrap/>
            <w:vAlign w:val="bottom"/>
            <w:hideMark/>
          </w:tcPr>
          <w:p w14:paraId="356DB9C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107 711</w:t>
            </w:r>
          </w:p>
        </w:tc>
        <w:tc>
          <w:tcPr>
            <w:tcW w:w="1459" w:type="dxa"/>
            <w:tcBorders>
              <w:top w:val="nil"/>
              <w:left w:val="nil"/>
              <w:bottom w:val="nil"/>
              <w:right w:val="single" w:sz="4" w:space="0" w:color="auto"/>
            </w:tcBorders>
            <w:shd w:val="clear" w:color="000000" w:fill="FFFFFF"/>
            <w:noWrap/>
            <w:vAlign w:val="bottom"/>
            <w:hideMark/>
          </w:tcPr>
          <w:p w14:paraId="4D7BFC1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8 377 530</w:t>
            </w:r>
          </w:p>
        </w:tc>
        <w:tc>
          <w:tcPr>
            <w:tcW w:w="1141" w:type="dxa"/>
            <w:tcBorders>
              <w:top w:val="nil"/>
              <w:left w:val="nil"/>
              <w:bottom w:val="nil"/>
              <w:right w:val="single" w:sz="8" w:space="0" w:color="auto"/>
            </w:tcBorders>
            <w:shd w:val="clear" w:color="000000" w:fill="FFFFFF"/>
            <w:noWrap/>
            <w:vAlign w:val="bottom"/>
            <w:hideMark/>
          </w:tcPr>
          <w:p w14:paraId="2882526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A9EEED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5 505 234</w:t>
            </w:r>
          </w:p>
        </w:tc>
        <w:tc>
          <w:tcPr>
            <w:tcW w:w="1167" w:type="dxa"/>
            <w:tcBorders>
              <w:top w:val="nil"/>
              <w:left w:val="nil"/>
              <w:bottom w:val="nil"/>
              <w:right w:val="single" w:sz="8" w:space="0" w:color="auto"/>
            </w:tcBorders>
            <w:shd w:val="clear" w:color="000000" w:fill="FFFFFF"/>
            <w:noWrap/>
            <w:vAlign w:val="bottom"/>
            <w:hideMark/>
          </w:tcPr>
          <w:p w14:paraId="2E3C756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6070FA6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4 787 160</w:t>
            </w:r>
          </w:p>
        </w:tc>
        <w:tc>
          <w:tcPr>
            <w:tcW w:w="1053" w:type="dxa"/>
            <w:tcBorders>
              <w:top w:val="nil"/>
              <w:left w:val="nil"/>
              <w:bottom w:val="nil"/>
              <w:right w:val="single" w:sz="8" w:space="0" w:color="auto"/>
            </w:tcBorders>
            <w:shd w:val="clear" w:color="000000" w:fill="FFFFFF"/>
            <w:noWrap/>
            <w:vAlign w:val="bottom"/>
            <w:hideMark/>
          </w:tcPr>
          <w:p w14:paraId="6944647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0C36868"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B78314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RUMANÍA</w:t>
            </w:r>
          </w:p>
        </w:tc>
        <w:tc>
          <w:tcPr>
            <w:tcW w:w="700" w:type="dxa"/>
            <w:tcBorders>
              <w:top w:val="nil"/>
              <w:left w:val="nil"/>
              <w:bottom w:val="nil"/>
              <w:right w:val="single" w:sz="8" w:space="0" w:color="auto"/>
            </w:tcBorders>
            <w:shd w:val="clear" w:color="000000" w:fill="BFBFBF"/>
            <w:noWrap/>
            <w:vAlign w:val="bottom"/>
            <w:hideMark/>
          </w:tcPr>
          <w:p w14:paraId="7D06EEEB"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0,71815</w:t>
            </w:r>
          </w:p>
        </w:tc>
        <w:tc>
          <w:tcPr>
            <w:tcW w:w="1436" w:type="dxa"/>
            <w:tcBorders>
              <w:top w:val="nil"/>
              <w:left w:val="nil"/>
              <w:bottom w:val="nil"/>
              <w:right w:val="single" w:sz="4" w:space="0" w:color="auto"/>
            </w:tcBorders>
            <w:shd w:val="clear" w:color="000000" w:fill="FFFFFF"/>
            <w:noWrap/>
            <w:vAlign w:val="bottom"/>
            <w:hideMark/>
          </w:tcPr>
          <w:p w14:paraId="0E0898E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5 745 200</w:t>
            </w:r>
          </w:p>
        </w:tc>
        <w:tc>
          <w:tcPr>
            <w:tcW w:w="1124" w:type="dxa"/>
            <w:tcBorders>
              <w:top w:val="nil"/>
              <w:left w:val="nil"/>
              <w:bottom w:val="nil"/>
              <w:right w:val="single" w:sz="8" w:space="0" w:color="auto"/>
            </w:tcBorders>
            <w:shd w:val="clear" w:color="000000" w:fill="FFFFFF"/>
            <w:noWrap/>
            <w:vAlign w:val="bottom"/>
            <w:hideMark/>
          </w:tcPr>
          <w:p w14:paraId="7ADE55D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64 634</w:t>
            </w:r>
          </w:p>
        </w:tc>
        <w:tc>
          <w:tcPr>
            <w:tcW w:w="1459" w:type="dxa"/>
            <w:tcBorders>
              <w:top w:val="nil"/>
              <w:left w:val="nil"/>
              <w:bottom w:val="nil"/>
              <w:right w:val="single" w:sz="4" w:space="0" w:color="auto"/>
            </w:tcBorders>
            <w:shd w:val="clear" w:color="000000" w:fill="FFFFFF"/>
            <w:noWrap/>
            <w:vAlign w:val="bottom"/>
            <w:hideMark/>
          </w:tcPr>
          <w:p w14:paraId="3E90125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5 027 050</w:t>
            </w:r>
          </w:p>
        </w:tc>
        <w:tc>
          <w:tcPr>
            <w:tcW w:w="1141" w:type="dxa"/>
            <w:tcBorders>
              <w:top w:val="nil"/>
              <w:left w:val="nil"/>
              <w:bottom w:val="nil"/>
              <w:right w:val="single" w:sz="8" w:space="0" w:color="auto"/>
            </w:tcBorders>
            <w:shd w:val="clear" w:color="000000" w:fill="FFFFFF"/>
            <w:noWrap/>
            <w:vAlign w:val="bottom"/>
            <w:hideMark/>
          </w:tcPr>
          <w:p w14:paraId="381C69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50A06D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3 303 490</w:t>
            </w:r>
          </w:p>
        </w:tc>
        <w:tc>
          <w:tcPr>
            <w:tcW w:w="1167" w:type="dxa"/>
            <w:tcBorders>
              <w:top w:val="nil"/>
              <w:left w:val="nil"/>
              <w:bottom w:val="nil"/>
              <w:right w:val="single" w:sz="8" w:space="0" w:color="auto"/>
            </w:tcBorders>
            <w:shd w:val="clear" w:color="000000" w:fill="FFFFFF"/>
            <w:noWrap/>
            <w:vAlign w:val="bottom"/>
            <w:hideMark/>
          </w:tcPr>
          <w:p w14:paraId="5CB4231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05B2244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2 872 600</w:t>
            </w:r>
          </w:p>
        </w:tc>
        <w:tc>
          <w:tcPr>
            <w:tcW w:w="1053" w:type="dxa"/>
            <w:tcBorders>
              <w:top w:val="nil"/>
              <w:left w:val="nil"/>
              <w:bottom w:val="nil"/>
              <w:right w:val="single" w:sz="8" w:space="0" w:color="auto"/>
            </w:tcBorders>
            <w:shd w:val="clear" w:color="000000" w:fill="FFFFFF"/>
            <w:noWrap/>
            <w:vAlign w:val="bottom"/>
            <w:hideMark/>
          </w:tcPr>
          <w:p w14:paraId="1E26C79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25F710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73895058"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ESLOVENIA</w:t>
            </w:r>
          </w:p>
        </w:tc>
        <w:tc>
          <w:tcPr>
            <w:tcW w:w="700" w:type="dxa"/>
            <w:tcBorders>
              <w:top w:val="nil"/>
              <w:left w:val="nil"/>
              <w:bottom w:val="nil"/>
              <w:right w:val="single" w:sz="8" w:space="0" w:color="auto"/>
            </w:tcBorders>
            <w:shd w:val="clear" w:color="000000" w:fill="BFBFBF"/>
            <w:noWrap/>
            <w:vAlign w:val="bottom"/>
            <w:hideMark/>
          </w:tcPr>
          <w:p w14:paraId="75DC35C1"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0,22452</w:t>
            </w:r>
          </w:p>
        </w:tc>
        <w:tc>
          <w:tcPr>
            <w:tcW w:w="1436" w:type="dxa"/>
            <w:tcBorders>
              <w:top w:val="nil"/>
              <w:left w:val="nil"/>
              <w:bottom w:val="nil"/>
              <w:right w:val="single" w:sz="4" w:space="0" w:color="auto"/>
            </w:tcBorders>
            <w:shd w:val="clear" w:color="000000" w:fill="FFFFFF"/>
            <w:noWrap/>
            <w:vAlign w:val="bottom"/>
            <w:hideMark/>
          </w:tcPr>
          <w:p w14:paraId="1C071B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1 796 160</w:t>
            </w:r>
          </w:p>
        </w:tc>
        <w:tc>
          <w:tcPr>
            <w:tcW w:w="1124" w:type="dxa"/>
            <w:tcBorders>
              <w:top w:val="nil"/>
              <w:left w:val="nil"/>
              <w:bottom w:val="nil"/>
              <w:right w:val="single" w:sz="8" w:space="0" w:color="auto"/>
            </w:tcBorders>
            <w:shd w:val="clear" w:color="000000" w:fill="FFFFFF"/>
            <w:noWrap/>
            <w:vAlign w:val="bottom"/>
            <w:hideMark/>
          </w:tcPr>
          <w:p w14:paraId="57BBECB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20 207</w:t>
            </w:r>
          </w:p>
        </w:tc>
        <w:tc>
          <w:tcPr>
            <w:tcW w:w="1459" w:type="dxa"/>
            <w:tcBorders>
              <w:top w:val="nil"/>
              <w:left w:val="nil"/>
              <w:bottom w:val="nil"/>
              <w:right w:val="single" w:sz="4" w:space="0" w:color="auto"/>
            </w:tcBorders>
            <w:shd w:val="clear" w:color="000000" w:fill="FFFFFF"/>
            <w:noWrap/>
            <w:vAlign w:val="bottom"/>
            <w:hideMark/>
          </w:tcPr>
          <w:p w14:paraId="5F74302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1 571 640</w:t>
            </w:r>
          </w:p>
        </w:tc>
        <w:tc>
          <w:tcPr>
            <w:tcW w:w="1141" w:type="dxa"/>
            <w:tcBorders>
              <w:top w:val="nil"/>
              <w:left w:val="nil"/>
              <w:bottom w:val="nil"/>
              <w:right w:val="single" w:sz="8" w:space="0" w:color="auto"/>
            </w:tcBorders>
            <w:shd w:val="clear" w:color="000000" w:fill="FFFFFF"/>
            <w:noWrap/>
            <w:vAlign w:val="bottom"/>
            <w:hideMark/>
          </w:tcPr>
          <w:p w14:paraId="0767E039"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711A9F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1 032 792</w:t>
            </w:r>
          </w:p>
        </w:tc>
        <w:tc>
          <w:tcPr>
            <w:tcW w:w="1167" w:type="dxa"/>
            <w:tcBorders>
              <w:top w:val="nil"/>
              <w:left w:val="nil"/>
              <w:bottom w:val="nil"/>
              <w:right w:val="single" w:sz="8" w:space="0" w:color="auto"/>
            </w:tcBorders>
            <w:shd w:val="clear" w:color="000000" w:fill="FFFFFF"/>
            <w:noWrap/>
            <w:vAlign w:val="bottom"/>
            <w:hideMark/>
          </w:tcPr>
          <w:p w14:paraId="3BB18E7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25B2639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898 080</w:t>
            </w:r>
          </w:p>
        </w:tc>
        <w:tc>
          <w:tcPr>
            <w:tcW w:w="1053" w:type="dxa"/>
            <w:tcBorders>
              <w:top w:val="nil"/>
              <w:left w:val="nil"/>
              <w:bottom w:val="nil"/>
              <w:right w:val="single" w:sz="8" w:space="0" w:color="auto"/>
            </w:tcBorders>
            <w:shd w:val="clear" w:color="000000" w:fill="FFFFFF"/>
            <w:noWrap/>
            <w:vAlign w:val="bottom"/>
            <w:hideMark/>
          </w:tcPr>
          <w:p w14:paraId="47A43A5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0CE2F6"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227EF2D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ESLOVAQUIA</w:t>
            </w:r>
          </w:p>
        </w:tc>
        <w:tc>
          <w:tcPr>
            <w:tcW w:w="700" w:type="dxa"/>
            <w:tcBorders>
              <w:top w:val="nil"/>
              <w:left w:val="nil"/>
              <w:bottom w:val="nil"/>
              <w:right w:val="single" w:sz="8" w:space="0" w:color="auto"/>
            </w:tcBorders>
            <w:shd w:val="clear" w:color="000000" w:fill="BFBFBF"/>
            <w:noWrap/>
            <w:vAlign w:val="bottom"/>
            <w:hideMark/>
          </w:tcPr>
          <w:p w14:paraId="7B368316"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0,37616</w:t>
            </w:r>
          </w:p>
        </w:tc>
        <w:tc>
          <w:tcPr>
            <w:tcW w:w="1436" w:type="dxa"/>
            <w:tcBorders>
              <w:top w:val="nil"/>
              <w:left w:val="nil"/>
              <w:bottom w:val="nil"/>
              <w:right w:val="single" w:sz="4" w:space="0" w:color="auto"/>
            </w:tcBorders>
            <w:shd w:val="clear" w:color="000000" w:fill="FFFFFF"/>
            <w:noWrap/>
            <w:vAlign w:val="bottom"/>
            <w:hideMark/>
          </w:tcPr>
          <w:p w14:paraId="754FCC3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3 009 280</w:t>
            </w:r>
          </w:p>
        </w:tc>
        <w:tc>
          <w:tcPr>
            <w:tcW w:w="1124" w:type="dxa"/>
            <w:tcBorders>
              <w:top w:val="nil"/>
              <w:left w:val="nil"/>
              <w:bottom w:val="nil"/>
              <w:right w:val="single" w:sz="8" w:space="0" w:color="auto"/>
            </w:tcBorders>
            <w:shd w:val="clear" w:color="000000" w:fill="FFFFFF"/>
            <w:noWrap/>
            <w:vAlign w:val="bottom"/>
            <w:hideMark/>
          </w:tcPr>
          <w:p w14:paraId="11594E8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33 854</w:t>
            </w:r>
          </w:p>
        </w:tc>
        <w:tc>
          <w:tcPr>
            <w:tcW w:w="1459" w:type="dxa"/>
            <w:tcBorders>
              <w:top w:val="nil"/>
              <w:left w:val="nil"/>
              <w:bottom w:val="nil"/>
              <w:right w:val="single" w:sz="4" w:space="0" w:color="auto"/>
            </w:tcBorders>
            <w:shd w:val="clear" w:color="000000" w:fill="FFFFFF"/>
            <w:noWrap/>
            <w:vAlign w:val="bottom"/>
            <w:hideMark/>
          </w:tcPr>
          <w:p w14:paraId="2A26DCC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2 633 120</w:t>
            </w:r>
          </w:p>
        </w:tc>
        <w:tc>
          <w:tcPr>
            <w:tcW w:w="1141" w:type="dxa"/>
            <w:tcBorders>
              <w:top w:val="nil"/>
              <w:left w:val="nil"/>
              <w:bottom w:val="nil"/>
              <w:right w:val="single" w:sz="8" w:space="0" w:color="auto"/>
            </w:tcBorders>
            <w:shd w:val="clear" w:color="000000" w:fill="FFFFFF"/>
            <w:noWrap/>
            <w:vAlign w:val="bottom"/>
            <w:hideMark/>
          </w:tcPr>
          <w:p w14:paraId="2FF06D3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359A0C21"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1 730 336</w:t>
            </w:r>
          </w:p>
        </w:tc>
        <w:tc>
          <w:tcPr>
            <w:tcW w:w="1167" w:type="dxa"/>
            <w:tcBorders>
              <w:top w:val="nil"/>
              <w:left w:val="nil"/>
              <w:bottom w:val="nil"/>
              <w:right w:val="single" w:sz="8" w:space="0" w:color="auto"/>
            </w:tcBorders>
            <w:shd w:val="clear" w:color="000000" w:fill="FFFFFF"/>
            <w:noWrap/>
            <w:vAlign w:val="bottom"/>
            <w:hideMark/>
          </w:tcPr>
          <w:p w14:paraId="71D0163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56F1401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1 504 640</w:t>
            </w:r>
          </w:p>
        </w:tc>
        <w:tc>
          <w:tcPr>
            <w:tcW w:w="1053" w:type="dxa"/>
            <w:tcBorders>
              <w:top w:val="nil"/>
              <w:left w:val="nil"/>
              <w:bottom w:val="nil"/>
              <w:right w:val="single" w:sz="8" w:space="0" w:color="auto"/>
            </w:tcBorders>
            <w:shd w:val="clear" w:color="000000" w:fill="FFFFFF"/>
            <w:noWrap/>
            <w:vAlign w:val="bottom"/>
            <w:hideMark/>
          </w:tcPr>
          <w:p w14:paraId="003422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FAF031"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686BD4F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FINLANDIA</w:t>
            </w:r>
          </w:p>
        </w:tc>
        <w:tc>
          <w:tcPr>
            <w:tcW w:w="700" w:type="dxa"/>
            <w:tcBorders>
              <w:top w:val="nil"/>
              <w:left w:val="nil"/>
              <w:bottom w:val="nil"/>
              <w:right w:val="single" w:sz="8" w:space="0" w:color="auto"/>
            </w:tcBorders>
            <w:shd w:val="clear" w:color="000000" w:fill="BFBFBF"/>
            <w:noWrap/>
            <w:vAlign w:val="bottom"/>
            <w:hideMark/>
          </w:tcPr>
          <w:p w14:paraId="0BD577E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1,50909</w:t>
            </w:r>
          </w:p>
        </w:tc>
        <w:tc>
          <w:tcPr>
            <w:tcW w:w="1436" w:type="dxa"/>
            <w:tcBorders>
              <w:top w:val="nil"/>
              <w:left w:val="nil"/>
              <w:bottom w:val="nil"/>
              <w:right w:val="single" w:sz="4" w:space="0" w:color="auto"/>
            </w:tcBorders>
            <w:shd w:val="clear" w:color="000000" w:fill="FFFFFF"/>
            <w:noWrap/>
            <w:vAlign w:val="bottom"/>
            <w:hideMark/>
          </w:tcPr>
          <w:p w14:paraId="1766661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12 072 720</w:t>
            </w:r>
          </w:p>
        </w:tc>
        <w:tc>
          <w:tcPr>
            <w:tcW w:w="1124" w:type="dxa"/>
            <w:tcBorders>
              <w:top w:val="nil"/>
              <w:left w:val="nil"/>
              <w:bottom w:val="nil"/>
              <w:right w:val="single" w:sz="8" w:space="0" w:color="auto"/>
            </w:tcBorders>
            <w:shd w:val="clear" w:color="000000" w:fill="FFFFFF"/>
            <w:noWrap/>
            <w:vAlign w:val="bottom"/>
            <w:hideMark/>
          </w:tcPr>
          <w:p w14:paraId="4E6638AC"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135 818</w:t>
            </w:r>
          </w:p>
        </w:tc>
        <w:tc>
          <w:tcPr>
            <w:tcW w:w="1459" w:type="dxa"/>
            <w:tcBorders>
              <w:top w:val="nil"/>
              <w:left w:val="nil"/>
              <w:bottom w:val="nil"/>
              <w:right w:val="single" w:sz="4" w:space="0" w:color="auto"/>
            </w:tcBorders>
            <w:shd w:val="clear" w:color="000000" w:fill="FFFFFF"/>
            <w:noWrap/>
            <w:vAlign w:val="bottom"/>
            <w:hideMark/>
          </w:tcPr>
          <w:p w14:paraId="4298F58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10 563 630</w:t>
            </w:r>
          </w:p>
        </w:tc>
        <w:tc>
          <w:tcPr>
            <w:tcW w:w="1141" w:type="dxa"/>
            <w:tcBorders>
              <w:top w:val="nil"/>
              <w:left w:val="nil"/>
              <w:bottom w:val="nil"/>
              <w:right w:val="single" w:sz="8" w:space="0" w:color="auto"/>
            </w:tcBorders>
            <w:shd w:val="clear" w:color="000000" w:fill="FFFFFF"/>
            <w:noWrap/>
            <w:vAlign w:val="bottom"/>
            <w:hideMark/>
          </w:tcPr>
          <w:p w14:paraId="0110FE9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04047F1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6 941 814</w:t>
            </w:r>
          </w:p>
        </w:tc>
        <w:tc>
          <w:tcPr>
            <w:tcW w:w="1167" w:type="dxa"/>
            <w:tcBorders>
              <w:top w:val="nil"/>
              <w:left w:val="nil"/>
              <w:bottom w:val="nil"/>
              <w:right w:val="single" w:sz="8" w:space="0" w:color="auto"/>
            </w:tcBorders>
            <w:shd w:val="clear" w:color="000000" w:fill="FFFFFF"/>
            <w:noWrap/>
            <w:vAlign w:val="bottom"/>
            <w:hideMark/>
          </w:tcPr>
          <w:p w14:paraId="3B8C55B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11C15A4F"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6 036 360</w:t>
            </w:r>
          </w:p>
        </w:tc>
        <w:tc>
          <w:tcPr>
            <w:tcW w:w="1053" w:type="dxa"/>
            <w:tcBorders>
              <w:top w:val="nil"/>
              <w:left w:val="nil"/>
              <w:bottom w:val="nil"/>
              <w:right w:val="single" w:sz="8" w:space="0" w:color="auto"/>
            </w:tcBorders>
            <w:shd w:val="clear" w:color="000000" w:fill="FFFFFF"/>
            <w:noWrap/>
            <w:vAlign w:val="bottom"/>
            <w:hideMark/>
          </w:tcPr>
          <w:p w14:paraId="41B2307D"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5542E9AF"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14DD7E44"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SUECIA</w:t>
            </w:r>
          </w:p>
        </w:tc>
        <w:tc>
          <w:tcPr>
            <w:tcW w:w="700" w:type="dxa"/>
            <w:tcBorders>
              <w:top w:val="nil"/>
              <w:left w:val="nil"/>
              <w:bottom w:val="nil"/>
              <w:right w:val="single" w:sz="8" w:space="0" w:color="auto"/>
            </w:tcBorders>
            <w:shd w:val="clear" w:color="000000" w:fill="BFBFBF"/>
            <w:noWrap/>
            <w:vAlign w:val="bottom"/>
            <w:hideMark/>
          </w:tcPr>
          <w:p w14:paraId="1041B0ED"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2,93911</w:t>
            </w:r>
          </w:p>
        </w:tc>
        <w:tc>
          <w:tcPr>
            <w:tcW w:w="1436" w:type="dxa"/>
            <w:tcBorders>
              <w:top w:val="nil"/>
              <w:left w:val="nil"/>
              <w:bottom w:val="nil"/>
              <w:right w:val="single" w:sz="4" w:space="0" w:color="auto"/>
            </w:tcBorders>
            <w:shd w:val="clear" w:color="000000" w:fill="FFFFFF"/>
            <w:noWrap/>
            <w:vAlign w:val="bottom"/>
            <w:hideMark/>
          </w:tcPr>
          <w:p w14:paraId="432D2CBE"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23 512 880</w:t>
            </w:r>
          </w:p>
        </w:tc>
        <w:tc>
          <w:tcPr>
            <w:tcW w:w="1124" w:type="dxa"/>
            <w:tcBorders>
              <w:top w:val="nil"/>
              <w:left w:val="nil"/>
              <w:bottom w:val="nil"/>
              <w:right w:val="single" w:sz="8" w:space="0" w:color="auto"/>
            </w:tcBorders>
            <w:shd w:val="clear" w:color="000000" w:fill="FFFFFF"/>
            <w:noWrap/>
            <w:vAlign w:val="bottom"/>
            <w:hideMark/>
          </w:tcPr>
          <w:p w14:paraId="371A5B27"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264 520</w:t>
            </w:r>
          </w:p>
        </w:tc>
        <w:tc>
          <w:tcPr>
            <w:tcW w:w="1459" w:type="dxa"/>
            <w:tcBorders>
              <w:top w:val="nil"/>
              <w:left w:val="nil"/>
              <w:bottom w:val="nil"/>
              <w:right w:val="single" w:sz="4" w:space="0" w:color="auto"/>
            </w:tcBorders>
            <w:shd w:val="clear" w:color="000000" w:fill="FFFFFF"/>
            <w:noWrap/>
            <w:vAlign w:val="bottom"/>
            <w:hideMark/>
          </w:tcPr>
          <w:p w14:paraId="0927B0C0"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20 573 770</w:t>
            </w:r>
          </w:p>
        </w:tc>
        <w:tc>
          <w:tcPr>
            <w:tcW w:w="1141" w:type="dxa"/>
            <w:tcBorders>
              <w:top w:val="nil"/>
              <w:left w:val="nil"/>
              <w:bottom w:val="nil"/>
              <w:right w:val="single" w:sz="8" w:space="0" w:color="auto"/>
            </w:tcBorders>
            <w:shd w:val="clear" w:color="000000" w:fill="FFFFFF"/>
            <w:noWrap/>
            <w:vAlign w:val="bottom"/>
            <w:hideMark/>
          </w:tcPr>
          <w:p w14:paraId="52B47776"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7057CF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13 519 906</w:t>
            </w:r>
          </w:p>
        </w:tc>
        <w:tc>
          <w:tcPr>
            <w:tcW w:w="1167" w:type="dxa"/>
            <w:tcBorders>
              <w:top w:val="nil"/>
              <w:left w:val="nil"/>
              <w:bottom w:val="nil"/>
              <w:right w:val="single" w:sz="8" w:space="0" w:color="auto"/>
            </w:tcBorders>
            <w:shd w:val="clear" w:color="000000" w:fill="FFFFFF"/>
            <w:noWrap/>
            <w:vAlign w:val="bottom"/>
            <w:hideMark/>
          </w:tcPr>
          <w:p w14:paraId="73B394A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4B5A205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11 756 440</w:t>
            </w:r>
          </w:p>
        </w:tc>
        <w:tc>
          <w:tcPr>
            <w:tcW w:w="1053" w:type="dxa"/>
            <w:tcBorders>
              <w:top w:val="nil"/>
              <w:left w:val="nil"/>
              <w:bottom w:val="nil"/>
              <w:right w:val="single" w:sz="8" w:space="0" w:color="auto"/>
            </w:tcBorders>
            <w:shd w:val="clear" w:color="000000" w:fill="FFFFFF"/>
            <w:noWrap/>
            <w:vAlign w:val="bottom"/>
            <w:hideMark/>
          </w:tcPr>
          <w:p w14:paraId="5B97451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008996DA" w14:textId="77777777" w:rsidTr="00352C3E">
        <w:trPr>
          <w:trHeight w:val="240"/>
        </w:trPr>
        <w:tc>
          <w:tcPr>
            <w:tcW w:w="2120" w:type="dxa"/>
            <w:tcBorders>
              <w:top w:val="nil"/>
              <w:left w:val="single" w:sz="8" w:space="0" w:color="auto"/>
              <w:bottom w:val="nil"/>
              <w:right w:val="single" w:sz="8" w:space="0" w:color="auto"/>
            </w:tcBorders>
            <w:shd w:val="clear" w:color="000000" w:fill="FFFFFF"/>
            <w:noWrap/>
            <w:vAlign w:val="center"/>
            <w:hideMark/>
          </w:tcPr>
          <w:p w14:paraId="030BC65B" w14:textId="77777777" w:rsidR="00352C3E" w:rsidRPr="00352C3E" w:rsidRDefault="00352C3E" w:rsidP="00352C3E">
            <w:pPr>
              <w:spacing w:after="0" w:line="240" w:lineRule="auto"/>
              <w:ind w:firstLineChars="100" w:firstLine="140"/>
              <w:rPr>
                <w:rFonts w:ascii="Times New Roman" w:eastAsia="Times New Roman" w:hAnsi="Times New Roman" w:cs="Times New Roman"/>
                <w:noProof/>
                <w:sz w:val="14"/>
                <w:szCs w:val="14"/>
              </w:rPr>
            </w:pPr>
            <w:r>
              <w:rPr>
                <w:rFonts w:ascii="Times New Roman" w:hAnsi="Times New Roman"/>
                <w:noProof/>
                <w:sz w:val="14"/>
              </w:rPr>
              <w:t>REINO UNIDO*</w:t>
            </w:r>
          </w:p>
        </w:tc>
        <w:tc>
          <w:tcPr>
            <w:tcW w:w="700" w:type="dxa"/>
            <w:tcBorders>
              <w:top w:val="nil"/>
              <w:left w:val="nil"/>
              <w:bottom w:val="nil"/>
              <w:right w:val="single" w:sz="8" w:space="0" w:color="auto"/>
            </w:tcBorders>
            <w:shd w:val="clear" w:color="000000" w:fill="BFBFBF"/>
            <w:noWrap/>
            <w:vAlign w:val="bottom"/>
            <w:hideMark/>
          </w:tcPr>
          <w:p w14:paraId="75C5341F" w14:textId="77777777" w:rsidR="00352C3E" w:rsidRPr="00352C3E" w:rsidRDefault="00352C3E" w:rsidP="00352C3E">
            <w:pPr>
              <w:spacing w:after="0" w:line="240" w:lineRule="auto"/>
              <w:jc w:val="center"/>
              <w:rPr>
                <w:rFonts w:ascii="Times New Roman" w:eastAsia="Times New Roman" w:hAnsi="Times New Roman" w:cs="Times New Roman"/>
                <w:noProof/>
                <w:sz w:val="14"/>
                <w:szCs w:val="14"/>
              </w:rPr>
            </w:pPr>
            <w:r>
              <w:rPr>
                <w:rFonts w:ascii="Times New Roman" w:hAnsi="Times New Roman"/>
                <w:noProof/>
                <w:sz w:val="14"/>
              </w:rPr>
              <w:t>14,67862</w:t>
            </w:r>
          </w:p>
        </w:tc>
        <w:tc>
          <w:tcPr>
            <w:tcW w:w="1436" w:type="dxa"/>
            <w:tcBorders>
              <w:top w:val="nil"/>
              <w:left w:val="nil"/>
              <w:bottom w:val="nil"/>
              <w:right w:val="single" w:sz="4" w:space="0" w:color="auto"/>
            </w:tcBorders>
            <w:shd w:val="clear" w:color="000000" w:fill="FFFFFF"/>
            <w:noWrap/>
            <w:vAlign w:val="bottom"/>
            <w:hideMark/>
          </w:tcPr>
          <w:p w14:paraId="296D89C5"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117 428 960</w:t>
            </w:r>
          </w:p>
        </w:tc>
        <w:tc>
          <w:tcPr>
            <w:tcW w:w="1124" w:type="dxa"/>
            <w:tcBorders>
              <w:top w:val="nil"/>
              <w:left w:val="nil"/>
              <w:bottom w:val="nil"/>
              <w:right w:val="single" w:sz="8" w:space="0" w:color="auto"/>
            </w:tcBorders>
            <w:shd w:val="clear" w:color="000000" w:fill="FFFFFF"/>
            <w:noWrap/>
            <w:vAlign w:val="bottom"/>
            <w:hideMark/>
          </w:tcPr>
          <w:p w14:paraId="6A4B026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1 321 076</w:t>
            </w:r>
          </w:p>
        </w:tc>
        <w:tc>
          <w:tcPr>
            <w:tcW w:w="1459" w:type="dxa"/>
            <w:tcBorders>
              <w:top w:val="nil"/>
              <w:left w:val="nil"/>
              <w:bottom w:val="nil"/>
              <w:right w:val="single" w:sz="4" w:space="0" w:color="auto"/>
            </w:tcBorders>
            <w:shd w:val="clear" w:color="000000" w:fill="FFFFFF"/>
            <w:noWrap/>
            <w:vAlign w:val="bottom"/>
            <w:hideMark/>
          </w:tcPr>
          <w:p w14:paraId="5AA7762A"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102 750 340</w:t>
            </w:r>
          </w:p>
        </w:tc>
        <w:tc>
          <w:tcPr>
            <w:tcW w:w="1141" w:type="dxa"/>
            <w:tcBorders>
              <w:top w:val="nil"/>
              <w:left w:val="nil"/>
              <w:bottom w:val="nil"/>
              <w:right w:val="single" w:sz="8" w:space="0" w:color="auto"/>
            </w:tcBorders>
            <w:shd w:val="clear" w:color="000000" w:fill="FFFFFF"/>
            <w:noWrap/>
            <w:vAlign w:val="bottom"/>
            <w:hideMark/>
          </w:tcPr>
          <w:p w14:paraId="656D202B"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493" w:type="dxa"/>
            <w:tcBorders>
              <w:top w:val="nil"/>
              <w:left w:val="nil"/>
              <w:bottom w:val="nil"/>
              <w:right w:val="single" w:sz="4" w:space="0" w:color="auto"/>
            </w:tcBorders>
            <w:shd w:val="clear" w:color="000000" w:fill="FFFFFF"/>
            <w:noWrap/>
            <w:vAlign w:val="bottom"/>
            <w:hideMark/>
          </w:tcPr>
          <w:p w14:paraId="2677F59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67 521 652</w:t>
            </w:r>
          </w:p>
        </w:tc>
        <w:tc>
          <w:tcPr>
            <w:tcW w:w="1167" w:type="dxa"/>
            <w:tcBorders>
              <w:top w:val="nil"/>
              <w:left w:val="nil"/>
              <w:bottom w:val="nil"/>
              <w:right w:val="single" w:sz="8" w:space="0" w:color="auto"/>
            </w:tcBorders>
            <w:shd w:val="clear" w:color="000000" w:fill="FFFFFF"/>
            <w:noWrap/>
            <w:vAlign w:val="bottom"/>
            <w:hideMark/>
          </w:tcPr>
          <w:p w14:paraId="6314EE14"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c>
          <w:tcPr>
            <w:tcW w:w="1347" w:type="dxa"/>
            <w:tcBorders>
              <w:top w:val="nil"/>
              <w:left w:val="nil"/>
              <w:bottom w:val="nil"/>
              <w:right w:val="single" w:sz="4" w:space="0" w:color="auto"/>
            </w:tcBorders>
            <w:shd w:val="clear" w:color="000000" w:fill="FFFFFF"/>
            <w:noWrap/>
            <w:vAlign w:val="bottom"/>
            <w:hideMark/>
          </w:tcPr>
          <w:p w14:paraId="34FE61C3"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58 714 480</w:t>
            </w:r>
          </w:p>
        </w:tc>
        <w:tc>
          <w:tcPr>
            <w:tcW w:w="1053" w:type="dxa"/>
            <w:tcBorders>
              <w:top w:val="nil"/>
              <w:left w:val="nil"/>
              <w:bottom w:val="nil"/>
              <w:right w:val="single" w:sz="8" w:space="0" w:color="auto"/>
            </w:tcBorders>
            <w:shd w:val="clear" w:color="000000" w:fill="FFFFFF"/>
            <w:noWrap/>
            <w:vAlign w:val="bottom"/>
            <w:hideMark/>
          </w:tcPr>
          <w:p w14:paraId="1DF95048" w14:textId="77777777" w:rsidR="00352C3E" w:rsidRPr="00352C3E" w:rsidRDefault="00352C3E" w:rsidP="00352C3E">
            <w:pPr>
              <w:spacing w:after="0" w:line="240" w:lineRule="auto"/>
              <w:jc w:val="right"/>
              <w:rPr>
                <w:rFonts w:ascii="Times New Roman" w:eastAsia="Times New Roman" w:hAnsi="Times New Roman" w:cs="Times New Roman"/>
                <w:noProof/>
                <w:sz w:val="14"/>
                <w:szCs w:val="14"/>
              </w:rPr>
            </w:pPr>
            <w:r>
              <w:rPr>
                <w:rFonts w:ascii="Times New Roman" w:hAnsi="Times New Roman"/>
                <w:noProof/>
                <w:sz w:val="14"/>
              </w:rPr>
              <w:t xml:space="preserve">   0</w:t>
            </w:r>
          </w:p>
        </w:tc>
      </w:tr>
      <w:tr w:rsidR="00352C3E" w:rsidRPr="00352C3E" w14:paraId="6B443239" w14:textId="77777777" w:rsidTr="00352C3E">
        <w:trPr>
          <w:trHeight w:val="252"/>
        </w:trPr>
        <w:tc>
          <w:tcPr>
            <w:tcW w:w="2120" w:type="dxa"/>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96CE19E" w14:textId="77777777" w:rsidR="00352C3E" w:rsidRPr="00352C3E" w:rsidRDefault="00352C3E" w:rsidP="00352C3E">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TOTAL EU-27 Y REINO UNIDO</w:t>
            </w:r>
          </w:p>
        </w:tc>
        <w:tc>
          <w:tcPr>
            <w:tcW w:w="700" w:type="dxa"/>
            <w:tcBorders>
              <w:top w:val="single" w:sz="8" w:space="0" w:color="auto"/>
              <w:left w:val="nil"/>
              <w:bottom w:val="single" w:sz="8" w:space="0" w:color="auto"/>
              <w:right w:val="single" w:sz="8" w:space="0" w:color="auto"/>
            </w:tcBorders>
            <w:shd w:val="clear" w:color="000000" w:fill="A6A6A6"/>
            <w:noWrap/>
            <w:vAlign w:val="center"/>
            <w:hideMark/>
          </w:tcPr>
          <w:p w14:paraId="21183BA0"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100,00</w:t>
            </w:r>
          </w:p>
        </w:tc>
        <w:tc>
          <w:tcPr>
            <w:tcW w:w="1436" w:type="dxa"/>
            <w:tcBorders>
              <w:top w:val="single" w:sz="8" w:space="0" w:color="auto"/>
              <w:left w:val="nil"/>
              <w:bottom w:val="single" w:sz="8" w:space="0" w:color="auto"/>
              <w:right w:val="single" w:sz="4" w:space="0" w:color="auto"/>
            </w:tcBorders>
            <w:shd w:val="clear" w:color="000000" w:fill="A6A6A6"/>
            <w:noWrap/>
            <w:vAlign w:val="center"/>
            <w:hideMark/>
          </w:tcPr>
          <w:p w14:paraId="39B4242B"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800 000 000</w:t>
            </w:r>
          </w:p>
        </w:tc>
        <w:tc>
          <w:tcPr>
            <w:tcW w:w="1124" w:type="dxa"/>
            <w:tcBorders>
              <w:top w:val="single" w:sz="8" w:space="0" w:color="auto"/>
              <w:left w:val="nil"/>
              <w:bottom w:val="single" w:sz="8" w:space="0" w:color="auto"/>
              <w:right w:val="single" w:sz="8" w:space="0" w:color="auto"/>
            </w:tcBorders>
            <w:shd w:val="clear" w:color="000000" w:fill="A6A6A6"/>
            <w:noWrap/>
            <w:vAlign w:val="center"/>
            <w:hideMark/>
          </w:tcPr>
          <w:p w14:paraId="4EDC648E"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9 000 000</w:t>
            </w:r>
          </w:p>
        </w:tc>
        <w:tc>
          <w:tcPr>
            <w:tcW w:w="1459" w:type="dxa"/>
            <w:tcBorders>
              <w:top w:val="single" w:sz="8" w:space="0" w:color="auto"/>
              <w:left w:val="nil"/>
              <w:bottom w:val="single" w:sz="8" w:space="0" w:color="auto"/>
              <w:right w:val="single" w:sz="4" w:space="0" w:color="auto"/>
            </w:tcBorders>
            <w:shd w:val="clear" w:color="000000" w:fill="A6A6A6"/>
            <w:noWrap/>
            <w:vAlign w:val="center"/>
            <w:hideMark/>
          </w:tcPr>
          <w:p w14:paraId="780A7ABE"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700 000 000</w:t>
            </w:r>
          </w:p>
        </w:tc>
        <w:tc>
          <w:tcPr>
            <w:tcW w:w="1141" w:type="dxa"/>
            <w:tcBorders>
              <w:top w:val="single" w:sz="8" w:space="0" w:color="auto"/>
              <w:left w:val="nil"/>
              <w:bottom w:val="single" w:sz="8" w:space="0" w:color="auto"/>
              <w:right w:val="single" w:sz="8" w:space="0" w:color="auto"/>
            </w:tcBorders>
            <w:shd w:val="clear" w:color="000000" w:fill="A6A6A6"/>
            <w:noWrap/>
            <w:vAlign w:val="center"/>
            <w:hideMark/>
          </w:tcPr>
          <w:p w14:paraId="4513BF16"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c>
          <w:tcPr>
            <w:tcW w:w="1493" w:type="dxa"/>
            <w:tcBorders>
              <w:top w:val="single" w:sz="8" w:space="0" w:color="auto"/>
              <w:left w:val="nil"/>
              <w:bottom w:val="single" w:sz="8" w:space="0" w:color="auto"/>
              <w:right w:val="single" w:sz="4" w:space="0" w:color="auto"/>
            </w:tcBorders>
            <w:shd w:val="clear" w:color="000000" w:fill="A6A6A6"/>
            <w:noWrap/>
            <w:vAlign w:val="center"/>
            <w:hideMark/>
          </w:tcPr>
          <w:p w14:paraId="219696C5"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460 000 000</w:t>
            </w:r>
          </w:p>
        </w:tc>
        <w:tc>
          <w:tcPr>
            <w:tcW w:w="1167" w:type="dxa"/>
            <w:tcBorders>
              <w:top w:val="single" w:sz="8" w:space="0" w:color="auto"/>
              <w:left w:val="nil"/>
              <w:bottom w:val="single" w:sz="8" w:space="0" w:color="auto"/>
              <w:right w:val="single" w:sz="8" w:space="0" w:color="auto"/>
            </w:tcBorders>
            <w:shd w:val="clear" w:color="000000" w:fill="A6A6A6"/>
            <w:noWrap/>
            <w:vAlign w:val="center"/>
            <w:hideMark/>
          </w:tcPr>
          <w:p w14:paraId="2922CCFF"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c>
          <w:tcPr>
            <w:tcW w:w="1347" w:type="dxa"/>
            <w:tcBorders>
              <w:top w:val="single" w:sz="8" w:space="0" w:color="auto"/>
              <w:left w:val="nil"/>
              <w:bottom w:val="single" w:sz="8" w:space="0" w:color="auto"/>
              <w:right w:val="single" w:sz="4" w:space="0" w:color="auto"/>
            </w:tcBorders>
            <w:shd w:val="clear" w:color="000000" w:fill="A6A6A6"/>
            <w:noWrap/>
            <w:vAlign w:val="center"/>
            <w:hideMark/>
          </w:tcPr>
          <w:p w14:paraId="371F2CC7"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400 000 000</w:t>
            </w:r>
          </w:p>
        </w:tc>
        <w:tc>
          <w:tcPr>
            <w:tcW w:w="1053" w:type="dxa"/>
            <w:tcBorders>
              <w:top w:val="single" w:sz="8" w:space="0" w:color="auto"/>
              <w:left w:val="nil"/>
              <w:bottom w:val="single" w:sz="8" w:space="0" w:color="auto"/>
              <w:right w:val="single" w:sz="8" w:space="0" w:color="auto"/>
            </w:tcBorders>
            <w:shd w:val="clear" w:color="000000" w:fill="A6A6A6"/>
            <w:noWrap/>
            <w:vAlign w:val="center"/>
            <w:hideMark/>
          </w:tcPr>
          <w:p w14:paraId="4205957A" w14:textId="77777777" w:rsidR="00352C3E" w:rsidRPr="00352C3E" w:rsidRDefault="00352C3E" w:rsidP="00352C3E">
            <w:pPr>
              <w:spacing w:after="0" w:line="240" w:lineRule="auto"/>
              <w:jc w:val="right"/>
              <w:rPr>
                <w:rFonts w:ascii="Times New Roman" w:eastAsia="Times New Roman" w:hAnsi="Times New Roman" w:cs="Times New Roman"/>
                <w:b/>
                <w:bCs/>
                <w:noProof/>
                <w:sz w:val="14"/>
                <w:szCs w:val="14"/>
              </w:rPr>
            </w:pPr>
            <w:r>
              <w:rPr>
                <w:rFonts w:ascii="Times New Roman" w:hAnsi="Times New Roman"/>
                <w:b/>
                <w:noProof/>
                <w:sz w:val="14"/>
              </w:rPr>
              <w:t xml:space="preserve">   0</w:t>
            </w:r>
          </w:p>
        </w:tc>
      </w:tr>
      <w:tr w:rsidR="00352C3E" w:rsidRPr="00352C3E" w14:paraId="575DAABB" w14:textId="77777777" w:rsidTr="00352C3E">
        <w:trPr>
          <w:trHeight w:val="252"/>
        </w:trPr>
        <w:tc>
          <w:tcPr>
            <w:tcW w:w="2120" w:type="dxa"/>
            <w:tcBorders>
              <w:top w:val="nil"/>
              <w:left w:val="nil"/>
              <w:bottom w:val="nil"/>
              <w:right w:val="nil"/>
            </w:tcBorders>
            <w:shd w:val="clear" w:color="000000" w:fill="FFFFFF"/>
            <w:noWrap/>
            <w:vAlign w:val="center"/>
            <w:hideMark/>
          </w:tcPr>
          <w:p w14:paraId="3247AACC" w14:textId="77777777" w:rsidR="00352C3E" w:rsidRPr="00352C3E" w:rsidRDefault="00352C3E" w:rsidP="00352C3E">
            <w:pPr>
              <w:spacing w:after="0" w:line="240" w:lineRule="auto"/>
              <w:rPr>
                <w:rFonts w:ascii="Times New Roman" w:eastAsia="Times New Roman" w:hAnsi="Times New Roman" w:cs="Times New Roman"/>
                <w:b/>
                <w:bCs/>
                <w:noProof/>
                <w:sz w:val="16"/>
                <w:szCs w:val="16"/>
              </w:rPr>
            </w:pPr>
            <w:r>
              <w:rPr>
                <w:rFonts w:ascii="Times New Roman" w:hAnsi="Times New Roman"/>
                <w:b/>
                <w:noProof/>
                <w:sz w:val="16"/>
              </w:rPr>
              <w:t> </w:t>
            </w:r>
          </w:p>
        </w:tc>
        <w:tc>
          <w:tcPr>
            <w:tcW w:w="700" w:type="dxa"/>
            <w:tcBorders>
              <w:top w:val="nil"/>
              <w:left w:val="nil"/>
              <w:bottom w:val="nil"/>
              <w:right w:val="nil"/>
            </w:tcBorders>
            <w:shd w:val="clear" w:color="000000" w:fill="FFFFFF"/>
            <w:noWrap/>
            <w:vAlign w:val="center"/>
            <w:hideMark/>
          </w:tcPr>
          <w:p w14:paraId="027011C8"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w:t>
            </w:r>
          </w:p>
        </w:tc>
        <w:tc>
          <w:tcPr>
            <w:tcW w:w="2560" w:type="dxa"/>
            <w:gridSpan w:val="2"/>
            <w:tcBorders>
              <w:top w:val="single" w:sz="8" w:space="0" w:color="auto"/>
              <w:left w:val="single" w:sz="8" w:space="0" w:color="auto"/>
              <w:bottom w:val="single" w:sz="8" w:space="0" w:color="auto"/>
              <w:right w:val="single" w:sz="8" w:space="0" w:color="000000"/>
            </w:tcBorders>
            <w:shd w:val="clear" w:color="000000" w:fill="A6A6A6"/>
            <w:noWrap/>
            <w:vAlign w:val="center"/>
            <w:hideMark/>
          </w:tcPr>
          <w:p w14:paraId="2066C594"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809 000 000</w:t>
            </w:r>
          </w:p>
        </w:tc>
        <w:tc>
          <w:tcPr>
            <w:tcW w:w="260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21B680C8"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700 000 000</w:t>
            </w:r>
          </w:p>
        </w:tc>
        <w:tc>
          <w:tcPr>
            <w:tcW w:w="266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7177441B"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460 000 000</w:t>
            </w:r>
          </w:p>
        </w:tc>
        <w:tc>
          <w:tcPr>
            <w:tcW w:w="2400" w:type="dxa"/>
            <w:gridSpan w:val="2"/>
            <w:tcBorders>
              <w:top w:val="single" w:sz="8" w:space="0" w:color="auto"/>
              <w:left w:val="nil"/>
              <w:bottom w:val="single" w:sz="8" w:space="0" w:color="auto"/>
              <w:right w:val="single" w:sz="8" w:space="0" w:color="000000"/>
            </w:tcBorders>
            <w:shd w:val="clear" w:color="000000" w:fill="A6A6A6"/>
            <w:noWrap/>
            <w:vAlign w:val="center"/>
            <w:hideMark/>
          </w:tcPr>
          <w:p w14:paraId="077CBCA5" w14:textId="77777777" w:rsidR="00352C3E" w:rsidRPr="00352C3E" w:rsidRDefault="00352C3E" w:rsidP="00352C3E">
            <w:pPr>
              <w:spacing w:after="0" w:line="240" w:lineRule="auto"/>
              <w:jc w:val="center"/>
              <w:rPr>
                <w:rFonts w:ascii="Times New Roman" w:eastAsia="Times New Roman" w:hAnsi="Times New Roman" w:cs="Times New Roman"/>
                <w:b/>
                <w:bCs/>
                <w:noProof/>
                <w:sz w:val="14"/>
                <w:szCs w:val="14"/>
              </w:rPr>
            </w:pPr>
            <w:r>
              <w:rPr>
                <w:rFonts w:ascii="Times New Roman" w:hAnsi="Times New Roman"/>
                <w:b/>
                <w:noProof/>
                <w:sz w:val="14"/>
              </w:rPr>
              <w:t xml:space="preserve"> 400 000 000</w:t>
            </w:r>
          </w:p>
        </w:tc>
      </w:tr>
    </w:tbl>
    <w:p w14:paraId="7826C53C" w14:textId="7B64A823" w:rsidR="00E32987" w:rsidRDefault="00501918" w:rsidP="00501918">
      <w:pPr>
        <w:pStyle w:val="Text1"/>
        <w:ind w:left="0"/>
        <w:rPr>
          <w:noProof/>
          <w:sz w:val="16"/>
          <w:szCs w:val="16"/>
        </w:rPr>
      </w:pPr>
      <w:r>
        <w:rPr>
          <w:noProof/>
          <w:sz w:val="16"/>
        </w:rPr>
        <w:t>* El importe de las contribuciones presentadas en el cuadro no incluye el posible reembolso de los fondos liberados del 9.º FED a los Estados miembros y al Reino Unido; ni tampoco el reembolso de los fondos liberados del 10.º y del 11.º FED al Reino Unido.</w:t>
      </w:r>
    </w:p>
    <w:p w14:paraId="02698809" w14:textId="32BDE442" w:rsidR="00981864" w:rsidRDefault="00981864" w:rsidP="00981864">
      <w:pPr>
        <w:pStyle w:val="Text1"/>
        <w:ind w:left="0"/>
        <w:rPr>
          <w:noProof/>
        </w:rPr>
      </w:pPr>
      <w:r>
        <w:rPr>
          <w:noProof/>
          <w:sz w:val="16"/>
        </w:rPr>
        <w:t>** De acuerdo con las previsiones actuales, el BEI habrá solicitado la totalidad de su cuota del 11.º FED de aquí a finales de 2025.</w:t>
      </w:r>
    </w:p>
    <w:p w14:paraId="3998EF70" w14:textId="0D34EFDA" w:rsidR="00981864" w:rsidRPr="00E26949" w:rsidRDefault="00981864" w:rsidP="00501918">
      <w:pPr>
        <w:pStyle w:val="Text1"/>
        <w:ind w:left="0"/>
        <w:rPr>
          <w:noProof/>
        </w:rPr>
        <w:sectPr w:rsidR="00981864" w:rsidRPr="00E26949" w:rsidSect="00A12EBE">
          <w:headerReference w:type="even" r:id="rId46"/>
          <w:headerReference w:type="default" r:id="rId47"/>
          <w:footerReference w:type="even" r:id="rId48"/>
          <w:footerReference w:type="default" r:id="rId49"/>
          <w:headerReference w:type="first" r:id="rId50"/>
          <w:footerReference w:type="first" r:id="rId51"/>
          <w:pgSz w:w="16838" w:h="11906" w:orient="landscape"/>
          <w:pgMar w:top="993" w:right="1440" w:bottom="1276" w:left="1440" w:header="709" w:footer="709" w:gutter="0"/>
          <w:cols w:space="720"/>
          <w:docGrid w:linePitch="360"/>
        </w:sectPr>
      </w:pPr>
    </w:p>
    <w:p w14:paraId="6D18AD54" w14:textId="555A02D7" w:rsidR="00C57A0B" w:rsidRPr="00613163" w:rsidRDefault="00C57A0B" w:rsidP="00C57A0B">
      <w:pPr>
        <w:pStyle w:val="Heading2"/>
        <w:rPr>
          <w:noProof/>
        </w:rPr>
      </w:pPr>
      <w:r>
        <w:rPr>
          <w:noProof/>
        </w:rPr>
        <w:t>Anexo 7: Estado de las reservas no movilizables e impacto de los saldos restantes por Estado miembro y el Reino Unido (en EUR)</w:t>
      </w:r>
    </w:p>
    <w:p w14:paraId="4635494F" w14:textId="61EE6812" w:rsidR="004A2A7A" w:rsidRPr="00613163" w:rsidRDefault="004A2A7A" w:rsidP="004A2A7A">
      <w:pPr>
        <w:jc w:val="both"/>
        <w:rPr>
          <w:rFonts w:ascii="Times New Roman" w:hAnsi="Times New Roman" w:cs="Times New Roman"/>
          <w:noProof/>
          <w:sz w:val="24"/>
          <w:szCs w:val="24"/>
        </w:rPr>
      </w:pPr>
      <w:r>
        <w:rPr>
          <w:rFonts w:ascii="Times New Roman" w:hAnsi="Times New Roman"/>
          <w:noProof/>
          <w:sz w:val="24"/>
        </w:rPr>
        <w:t>De conformidad con el artículo 55 del Reglamento Financiero del 11.º FED, el cuadro siguiente presenta el importe de las reservas de fondos liberados para cada FED a finales de 2024.</w:t>
      </w:r>
    </w:p>
    <w:tbl>
      <w:tblPr>
        <w:tblW w:w="10575" w:type="dxa"/>
        <w:tblInd w:w="-662" w:type="dxa"/>
        <w:tblLook w:val="04A0" w:firstRow="1" w:lastRow="0" w:firstColumn="1" w:lastColumn="0" w:noHBand="0" w:noVBand="1"/>
      </w:tblPr>
      <w:tblGrid>
        <w:gridCol w:w="1408"/>
        <w:gridCol w:w="832"/>
        <w:gridCol w:w="820"/>
        <w:gridCol w:w="904"/>
        <w:gridCol w:w="880"/>
        <w:gridCol w:w="940"/>
        <w:gridCol w:w="1034"/>
        <w:gridCol w:w="1276"/>
        <w:gridCol w:w="1276"/>
        <w:gridCol w:w="1229"/>
      </w:tblGrid>
      <w:tr w:rsidR="00AE7424" w:rsidRPr="00AE7424" w14:paraId="24F57F47" w14:textId="77777777" w:rsidTr="00AE7424">
        <w:trPr>
          <w:trHeight w:val="1020"/>
        </w:trPr>
        <w:tc>
          <w:tcPr>
            <w:tcW w:w="1408"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4D2E939E"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ESTADOS MIEMBROS Y REINO UNIDO</w:t>
            </w:r>
          </w:p>
        </w:tc>
        <w:tc>
          <w:tcPr>
            <w:tcW w:w="832" w:type="dxa"/>
            <w:tcBorders>
              <w:top w:val="single" w:sz="8" w:space="0" w:color="auto"/>
              <w:left w:val="nil"/>
              <w:bottom w:val="single" w:sz="8" w:space="0" w:color="auto"/>
              <w:right w:val="single" w:sz="8" w:space="0" w:color="auto"/>
            </w:tcBorders>
            <w:shd w:val="clear" w:color="000000" w:fill="FFFFFF"/>
            <w:vAlign w:val="center"/>
            <w:hideMark/>
          </w:tcPr>
          <w:p w14:paraId="0EE1FC2D"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Clave de reparto del 9.º</w:t>
            </w:r>
            <w:r>
              <w:rPr>
                <w:rFonts w:ascii="Calibri" w:hAnsi="Calibri"/>
                <w:b/>
                <w:noProof/>
                <w:color w:val="000000"/>
                <w:sz w:val="18"/>
              </w:rPr>
              <w:br/>
              <w:t>FED (%)</w:t>
            </w:r>
          </w:p>
        </w:tc>
        <w:tc>
          <w:tcPr>
            <w:tcW w:w="820" w:type="dxa"/>
            <w:tcBorders>
              <w:top w:val="single" w:sz="8" w:space="0" w:color="auto"/>
              <w:left w:val="nil"/>
              <w:bottom w:val="single" w:sz="8" w:space="0" w:color="auto"/>
              <w:right w:val="single" w:sz="8" w:space="0" w:color="auto"/>
            </w:tcBorders>
            <w:shd w:val="clear" w:color="000000" w:fill="FFFFFF"/>
            <w:vAlign w:val="center"/>
            <w:hideMark/>
          </w:tcPr>
          <w:p w14:paraId="0E9413C8"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Clave de reparto del 10.º</w:t>
            </w:r>
            <w:r>
              <w:rPr>
                <w:rFonts w:ascii="Calibri" w:hAnsi="Calibri"/>
                <w:b/>
                <w:noProof/>
                <w:color w:val="000000"/>
                <w:sz w:val="18"/>
              </w:rPr>
              <w:br/>
              <w:t>FED (%)</w:t>
            </w:r>
          </w:p>
        </w:tc>
        <w:tc>
          <w:tcPr>
            <w:tcW w:w="880" w:type="dxa"/>
            <w:tcBorders>
              <w:top w:val="single" w:sz="8" w:space="0" w:color="auto"/>
              <w:left w:val="nil"/>
              <w:bottom w:val="single" w:sz="8" w:space="0" w:color="auto"/>
              <w:right w:val="single" w:sz="8" w:space="0" w:color="auto"/>
            </w:tcBorders>
            <w:shd w:val="clear" w:color="000000" w:fill="FFFFFF"/>
            <w:vAlign w:val="center"/>
            <w:hideMark/>
          </w:tcPr>
          <w:p w14:paraId="61C7936E"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Clave de reparto posterior a la retirada del Reino Unido para el 10.º FED</w:t>
            </w:r>
            <w:r>
              <w:rPr>
                <w:rFonts w:ascii="Calibri" w:hAnsi="Calibri"/>
                <w:b/>
                <w:noProof/>
                <w:color w:val="000000"/>
                <w:sz w:val="18"/>
                <w:vertAlign w:val="superscript"/>
              </w:rPr>
              <w:t>8</w:t>
            </w:r>
          </w:p>
        </w:tc>
        <w:tc>
          <w:tcPr>
            <w:tcW w:w="880" w:type="dxa"/>
            <w:tcBorders>
              <w:top w:val="single" w:sz="8" w:space="0" w:color="auto"/>
              <w:left w:val="nil"/>
              <w:bottom w:val="single" w:sz="8" w:space="0" w:color="auto"/>
              <w:right w:val="single" w:sz="8" w:space="0" w:color="auto"/>
            </w:tcBorders>
            <w:shd w:val="clear" w:color="000000" w:fill="FFFFFF"/>
            <w:vAlign w:val="center"/>
            <w:hideMark/>
          </w:tcPr>
          <w:p w14:paraId="406FD082"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Clave de reparto del 11.º</w:t>
            </w:r>
            <w:r>
              <w:rPr>
                <w:rFonts w:ascii="Calibri" w:hAnsi="Calibri"/>
                <w:b/>
                <w:noProof/>
                <w:color w:val="000000"/>
                <w:sz w:val="18"/>
              </w:rPr>
              <w:br/>
              <w:t>FED (%)</w:t>
            </w:r>
          </w:p>
        </w:tc>
        <w:tc>
          <w:tcPr>
            <w:tcW w:w="940" w:type="dxa"/>
            <w:tcBorders>
              <w:top w:val="single" w:sz="8" w:space="0" w:color="auto"/>
              <w:left w:val="nil"/>
              <w:bottom w:val="nil"/>
              <w:right w:val="single" w:sz="8" w:space="0" w:color="auto"/>
            </w:tcBorders>
            <w:shd w:val="clear" w:color="auto" w:fill="auto"/>
            <w:vAlign w:val="center"/>
            <w:hideMark/>
          </w:tcPr>
          <w:p w14:paraId="1C9ED422"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Clave de reparto posterior a la retirada del Reino Unido para el 11.º FED*</w:t>
            </w:r>
          </w:p>
        </w:tc>
        <w:tc>
          <w:tcPr>
            <w:tcW w:w="1034" w:type="dxa"/>
            <w:tcBorders>
              <w:top w:val="single" w:sz="8" w:space="0" w:color="auto"/>
              <w:left w:val="nil"/>
              <w:bottom w:val="single" w:sz="8" w:space="0" w:color="000000"/>
              <w:right w:val="single" w:sz="8" w:space="0" w:color="auto"/>
            </w:tcBorders>
            <w:shd w:val="clear" w:color="auto" w:fill="auto"/>
            <w:noWrap/>
            <w:vAlign w:val="center"/>
            <w:hideMark/>
          </w:tcPr>
          <w:p w14:paraId="143CEC14"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9.º FED</w:t>
            </w:r>
          </w:p>
        </w:tc>
        <w:tc>
          <w:tcPr>
            <w:tcW w:w="1276" w:type="dxa"/>
            <w:tcBorders>
              <w:top w:val="single" w:sz="8" w:space="0" w:color="auto"/>
              <w:left w:val="nil"/>
              <w:bottom w:val="single" w:sz="8" w:space="0" w:color="000000"/>
              <w:right w:val="single" w:sz="8" w:space="0" w:color="auto"/>
            </w:tcBorders>
            <w:shd w:val="clear" w:color="000000" w:fill="FFFFFF"/>
            <w:noWrap/>
            <w:vAlign w:val="center"/>
            <w:hideMark/>
          </w:tcPr>
          <w:p w14:paraId="003978F0"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10.º FED</w:t>
            </w:r>
          </w:p>
        </w:tc>
        <w:tc>
          <w:tcPr>
            <w:tcW w:w="1276" w:type="dxa"/>
            <w:tcBorders>
              <w:top w:val="single" w:sz="8" w:space="0" w:color="auto"/>
              <w:left w:val="nil"/>
              <w:bottom w:val="single" w:sz="8" w:space="0" w:color="000000"/>
              <w:right w:val="single" w:sz="8" w:space="0" w:color="auto"/>
            </w:tcBorders>
            <w:shd w:val="clear" w:color="000000" w:fill="FFFFFF"/>
            <w:noWrap/>
            <w:vAlign w:val="center"/>
            <w:hideMark/>
          </w:tcPr>
          <w:p w14:paraId="37E12F1C"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11.º FED</w:t>
            </w:r>
          </w:p>
        </w:tc>
        <w:tc>
          <w:tcPr>
            <w:tcW w:w="1229" w:type="dxa"/>
            <w:tcBorders>
              <w:top w:val="single" w:sz="8" w:space="0" w:color="auto"/>
              <w:left w:val="nil"/>
              <w:bottom w:val="single" w:sz="8" w:space="0" w:color="000000"/>
              <w:right w:val="single" w:sz="8" w:space="0" w:color="auto"/>
            </w:tcBorders>
            <w:shd w:val="clear" w:color="000000" w:fill="FFFFFF"/>
            <w:noWrap/>
            <w:vAlign w:val="center"/>
            <w:hideMark/>
          </w:tcPr>
          <w:p w14:paraId="54D9072F" w14:textId="77777777" w:rsidR="00AE7424" w:rsidRPr="00AE7424" w:rsidRDefault="00AE7424" w:rsidP="00AE7424">
            <w:pPr>
              <w:spacing w:after="0" w:line="240" w:lineRule="auto"/>
              <w:jc w:val="center"/>
              <w:rPr>
                <w:rFonts w:ascii="Calibri" w:eastAsia="Times New Roman" w:hAnsi="Calibri" w:cs="Calibri"/>
                <w:b/>
                <w:bCs/>
                <w:noProof/>
                <w:color w:val="000000"/>
                <w:sz w:val="18"/>
                <w:szCs w:val="18"/>
              </w:rPr>
            </w:pPr>
            <w:r>
              <w:rPr>
                <w:rFonts w:ascii="Calibri" w:hAnsi="Calibri"/>
                <w:b/>
                <w:noProof/>
                <w:color w:val="000000"/>
                <w:sz w:val="18"/>
              </w:rPr>
              <w:t>TOTAL</w:t>
            </w:r>
          </w:p>
        </w:tc>
      </w:tr>
      <w:tr w:rsidR="00AE7424" w:rsidRPr="00AE7424" w14:paraId="1D2E94B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9207B2A"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BÉLGICA</w:t>
            </w:r>
          </w:p>
        </w:tc>
        <w:tc>
          <w:tcPr>
            <w:tcW w:w="832" w:type="dxa"/>
            <w:tcBorders>
              <w:top w:val="nil"/>
              <w:left w:val="nil"/>
              <w:bottom w:val="nil"/>
              <w:right w:val="single" w:sz="8" w:space="0" w:color="auto"/>
            </w:tcBorders>
            <w:shd w:val="clear" w:color="000000" w:fill="FFFFFF"/>
            <w:noWrap/>
            <w:vAlign w:val="center"/>
            <w:hideMark/>
          </w:tcPr>
          <w:p w14:paraId="6E21F9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3,92</w:t>
            </w:r>
          </w:p>
        </w:tc>
        <w:tc>
          <w:tcPr>
            <w:tcW w:w="820" w:type="dxa"/>
            <w:tcBorders>
              <w:top w:val="nil"/>
              <w:left w:val="nil"/>
              <w:bottom w:val="nil"/>
              <w:right w:val="single" w:sz="8" w:space="0" w:color="auto"/>
            </w:tcBorders>
            <w:shd w:val="clear" w:color="000000" w:fill="FFFFFF"/>
            <w:noWrap/>
            <w:vAlign w:val="center"/>
            <w:hideMark/>
          </w:tcPr>
          <w:p w14:paraId="286174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3,53</w:t>
            </w:r>
          </w:p>
        </w:tc>
        <w:tc>
          <w:tcPr>
            <w:tcW w:w="880" w:type="dxa"/>
            <w:tcBorders>
              <w:top w:val="nil"/>
              <w:left w:val="nil"/>
              <w:bottom w:val="nil"/>
              <w:right w:val="single" w:sz="8" w:space="0" w:color="auto"/>
            </w:tcBorders>
            <w:shd w:val="clear" w:color="000000" w:fill="FFFFFF"/>
            <w:noWrap/>
            <w:vAlign w:val="center"/>
            <w:hideMark/>
          </w:tcPr>
          <w:p w14:paraId="3DCE093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4,1442</w:t>
            </w:r>
          </w:p>
        </w:tc>
        <w:tc>
          <w:tcPr>
            <w:tcW w:w="880" w:type="dxa"/>
            <w:tcBorders>
              <w:top w:val="nil"/>
              <w:left w:val="nil"/>
              <w:bottom w:val="nil"/>
              <w:right w:val="nil"/>
            </w:tcBorders>
            <w:shd w:val="clear" w:color="000000" w:fill="FFFFFF"/>
            <w:noWrap/>
            <w:vAlign w:val="center"/>
            <w:hideMark/>
          </w:tcPr>
          <w:p w14:paraId="2443B01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3,24927</w:t>
            </w:r>
          </w:p>
        </w:tc>
        <w:tc>
          <w:tcPr>
            <w:tcW w:w="940" w:type="dxa"/>
            <w:tcBorders>
              <w:top w:val="single" w:sz="8" w:space="0" w:color="auto"/>
              <w:left w:val="single" w:sz="8" w:space="0" w:color="auto"/>
              <w:bottom w:val="nil"/>
              <w:right w:val="single" w:sz="8" w:space="0" w:color="auto"/>
            </w:tcBorders>
            <w:shd w:val="clear" w:color="000000" w:fill="FFFFFF"/>
            <w:noWrap/>
            <w:vAlign w:val="center"/>
            <w:hideMark/>
          </w:tcPr>
          <w:p w14:paraId="53C8000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3,80827</w:t>
            </w:r>
          </w:p>
        </w:tc>
        <w:tc>
          <w:tcPr>
            <w:tcW w:w="1034" w:type="dxa"/>
            <w:tcBorders>
              <w:top w:val="nil"/>
              <w:left w:val="nil"/>
              <w:bottom w:val="nil"/>
              <w:right w:val="nil"/>
            </w:tcBorders>
            <w:shd w:val="clear" w:color="000000" w:fill="FFFFFF"/>
            <w:noWrap/>
            <w:vAlign w:val="center"/>
            <w:hideMark/>
          </w:tcPr>
          <w:p w14:paraId="3AB709C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43 766,31</w:t>
            </w:r>
          </w:p>
        </w:tc>
        <w:tc>
          <w:tcPr>
            <w:tcW w:w="1276" w:type="dxa"/>
            <w:tcBorders>
              <w:top w:val="nil"/>
              <w:left w:val="single" w:sz="8" w:space="0" w:color="auto"/>
              <w:bottom w:val="nil"/>
              <w:right w:val="single" w:sz="8" w:space="0" w:color="auto"/>
            </w:tcBorders>
            <w:shd w:val="clear" w:color="000000" w:fill="FFFFFF"/>
            <w:noWrap/>
            <w:vAlign w:val="center"/>
            <w:hideMark/>
          </w:tcPr>
          <w:p w14:paraId="1AFEF85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8 639 739,60</w:t>
            </w:r>
          </w:p>
        </w:tc>
        <w:tc>
          <w:tcPr>
            <w:tcW w:w="1276" w:type="dxa"/>
            <w:tcBorders>
              <w:top w:val="nil"/>
              <w:left w:val="nil"/>
              <w:bottom w:val="nil"/>
              <w:right w:val="single" w:sz="8" w:space="0" w:color="auto"/>
            </w:tcBorders>
            <w:shd w:val="clear" w:color="000000" w:fill="FFFFFF"/>
            <w:noWrap/>
            <w:vAlign w:val="center"/>
            <w:hideMark/>
          </w:tcPr>
          <w:p w14:paraId="42896A9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13 794 008,99</w:t>
            </w:r>
          </w:p>
        </w:tc>
        <w:tc>
          <w:tcPr>
            <w:tcW w:w="1229" w:type="dxa"/>
            <w:tcBorders>
              <w:top w:val="nil"/>
              <w:left w:val="nil"/>
              <w:bottom w:val="nil"/>
              <w:right w:val="single" w:sz="8" w:space="0" w:color="auto"/>
            </w:tcBorders>
            <w:shd w:val="clear" w:color="000000" w:fill="FFFFFF"/>
            <w:noWrap/>
            <w:vAlign w:val="center"/>
            <w:hideMark/>
          </w:tcPr>
          <w:p w14:paraId="2CCBB01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22 477 514,90</w:t>
            </w:r>
          </w:p>
        </w:tc>
      </w:tr>
      <w:tr w:rsidR="00AE7424" w:rsidRPr="00AE7424" w14:paraId="4CAFBCA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F0C9CE2"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BULGARIA</w:t>
            </w:r>
          </w:p>
        </w:tc>
        <w:tc>
          <w:tcPr>
            <w:tcW w:w="832" w:type="dxa"/>
            <w:tcBorders>
              <w:top w:val="nil"/>
              <w:left w:val="nil"/>
              <w:bottom w:val="nil"/>
              <w:right w:val="single" w:sz="8" w:space="0" w:color="auto"/>
            </w:tcBorders>
            <w:shd w:val="clear" w:color="000000" w:fill="FFFFFF"/>
            <w:noWrap/>
            <w:vAlign w:val="center"/>
            <w:hideMark/>
          </w:tcPr>
          <w:p w14:paraId="41EB408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7916436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0,14</w:t>
            </w:r>
          </w:p>
        </w:tc>
        <w:tc>
          <w:tcPr>
            <w:tcW w:w="880" w:type="dxa"/>
            <w:tcBorders>
              <w:top w:val="nil"/>
              <w:left w:val="nil"/>
              <w:bottom w:val="nil"/>
              <w:right w:val="single" w:sz="8" w:space="0" w:color="auto"/>
            </w:tcBorders>
            <w:shd w:val="clear" w:color="000000" w:fill="FFFFFF"/>
            <w:noWrap/>
            <w:vAlign w:val="center"/>
            <w:hideMark/>
          </w:tcPr>
          <w:p w14:paraId="66244BD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0,1644</w:t>
            </w:r>
          </w:p>
        </w:tc>
        <w:tc>
          <w:tcPr>
            <w:tcW w:w="880" w:type="dxa"/>
            <w:tcBorders>
              <w:top w:val="nil"/>
              <w:left w:val="nil"/>
              <w:bottom w:val="nil"/>
              <w:right w:val="nil"/>
            </w:tcBorders>
            <w:shd w:val="clear" w:color="000000" w:fill="FFFFFF"/>
            <w:noWrap/>
            <w:vAlign w:val="center"/>
            <w:hideMark/>
          </w:tcPr>
          <w:p w14:paraId="197D476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0,21853</w:t>
            </w:r>
          </w:p>
        </w:tc>
        <w:tc>
          <w:tcPr>
            <w:tcW w:w="940" w:type="dxa"/>
            <w:tcBorders>
              <w:top w:val="nil"/>
              <w:left w:val="single" w:sz="8" w:space="0" w:color="auto"/>
              <w:bottom w:val="nil"/>
              <w:right w:val="single" w:sz="8" w:space="0" w:color="auto"/>
            </w:tcBorders>
            <w:shd w:val="clear" w:color="000000" w:fill="FFFFFF"/>
            <w:noWrap/>
            <w:vAlign w:val="center"/>
            <w:hideMark/>
          </w:tcPr>
          <w:p w14:paraId="7628EFE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0,25613</w:t>
            </w:r>
          </w:p>
        </w:tc>
        <w:tc>
          <w:tcPr>
            <w:tcW w:w="1034" w:type="dxa"/>
            <w:tcBorders>
              <w:top w:val="nil"/>
              <w:left w:val="nil"/>
              <w:bottom w:val="nil"/>
              <w:right w:val="nil"/>
            </w:tcBorders>
            <w:shd w:val="clear" w:color="000000" w:fill="FFFFFF"/>
            <w:noWrap/>
            <w:vAlign w:val="center"/>
            <w:hideMark/>
          </w:tcPr>
          <w:p w14:paraId="1B88D86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6BE191C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342 652,56</w:t>
            </w:r>
          </w:p>
        </w:tc>
        <w:tc>
          <w:tcPr>
            <w:tcW w:w="1276" w:type="dxa"/>
            <w:tcBorders>
              <w:top w:val="nil"/>
              <w:left w:val="nil"/>
              <w:bottom w:val="nil"/>
              <w:right w:val="single" w:sz="8" w:space="0" w:color="auto"/>
            </w:tcBorders>
            <w:shd w:val="clear" w:color="000000" w:fill="FFFFFF"/>
            <w:noWrap/>
            <w:vAlign w:val="center"/>
            <w:hideMark/>
          </w:tcPr>
          <w:p w14:paraId="47A31E6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927 717,54</w:t>
            </w:r>
          </w:p>
        </w:tc>
        <w:tc>
          <w:tcPr>
            <w:tcW w:w="1229" w:type="dxa"/>
            <w:tcBorders>
              <w:top w:val="nil"/>
              <w:left w:val="nil"/>
              <w:bottom w:val="nil"/>
              <w:right w:val="single" w:sz="8" w:space="0" w:color="auto"/>
            </w:tcBorders>
            <w:shd w:val="clear" w:color="000000" w:fill="FFFFFF"/>
            <w:noWrap/>
            <w:vAlign w:val="center"/>
            <w:hideMark/>
          </w:tcPr>
          <w:p w14:paraId="57D2CA8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1 270 370,11</w:t>
            </w:r>
          </w:p>
        </w:tc>
      </w:tr>
      <w:tr w:rsidR="00AE7424" w:rsidRPr="00AE7424" w14:paraId="33D0BB87"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E66F27"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CHEQUIA</w:t>
            </w:r>
          </w:p>
        </w:tc>
        <w:tc>
          <w:tcPr>
            <w:tcW w:w="832" w:type="dxa"/>
            <w:tcBorders>
              <w:top w:val="nil"/>
              <w:left w:val="nil"/>
              <w:bottom w:val="nil"/>
              <w:right w:val="single" w:sz="8" w:space="0" w:color="auto"/>
            </w:tcBorders>
            <w:shd w:val="clear" w:color="000000" w:fill="FFFFFF"/>
            <w:noWrap/>
            <w:vAlign w:val="center"/>
            <w:hideMark/>
          </w:tcPr>
          <w:p w14:paraId="7F42DC0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42FF962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0,51</w:t>
            </w:r>
          </w:p>
        </w:tc>
        <w:tc>
          <w:tcPr>
            <w:tcW w:w="880" w:type="dxa"/>
            <w:tcBorders>
              <w:top w:val="nil"/>
              <w:left w:val="nil"/>
              <w:bottom w:val="nil"/>
              <w:right w:val="single" w:sz="8" w:space="0" w:color="auto"/>
            </w:tcBorders>
            <w:shd w:val="clear" w:color="000000" w:fill="FFFFFF"/>
            <w:noWrap/>
            <w:vAlign w:val="center"/>
            <w:hideMark/>
          </w:tcPr>
          <w:p w14:paraId="622FB35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0,5987</w:t>
            </w:r>
          </w:p>
        </w:tc>
        <w:tc>
          <w:tcPr>
            <w:tcW w:w="880" w:type="dxa"/>
            <w:tcBorders>
              <w:top w:val="nil"/>
              <w:left w:val="nil"/>
              <w:bottom w:val="nil"/>
              <w:right w:val="nil"/>
            </w:tcBorders>
            <w:shd w:val="clear" w:color="000000" w:fill="FFFFFF"/>
            <w:noWrap/>
            <w:vAlign w:val="center"/>
            <w:hideMark/>
          </w:tcPr>
          <w:p w14:paraId="5AFF659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0,79745</w:t>
            </w:r>
          </w:p>
        </w:tc>
        <w:tc>
          <w:tcPr>
            <w:tcW w:w="940" w:type="dxa"/>
            <w:tcBorders>
              <w:top w:val="nil"/>
              <w:left w:val="single" w:sz="8" w:space="0" w:color="auto"/>
              <w:bottom w:val="nil"/>
              <w:right w:val="single" w:sz="8" w:space="0" w:color="auto"/>
            </w:tcBorders>
            <w:shd w:val="clear" w:color="000000" w:fill="FFFFFF"/>
            <w:noWrap/>
            <w:vAlign w:val="center"/>
            <w:hideMark/>
          </w:tcPr>
          <w:p w14:paraId="12E96E6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0,93464</w:t>
            </w:r>
          </w:p>
        </w:tc>
        <w:tc>
          <w:tcPr>
            <w:tcW w:w="1034" w:type="dxa"/>
            <w:tcBorders>
              <w:top w:val="nil"/>
              <w:left w:val="nil"/>
              <w:bottom w:val="nil"/>
              <w:right w:val="nil"/>
            </w:tcBorders>
            <w:shd w:val="clear" w:color="000000" w:fill="FFFFFF"/>
            <w:noWrap/>
            <w:vAlign w:val="center"/>
            <w:hideMark/>
          </w:tcPr>
          <w:p w14:paraId="203C6A3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48C4685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1 248 234,33</w:t>
            </w:r>
          </w:p>
        </w:tc>
        <w:tc>
          <w:tcPr>
            <w:tcW w:w="1276" w:type="dxa"/>
            <w:tcBorders>
              <w:top w:val="nil"/>
              <w:left w:val="nil"/>
              <w:bottom w:val="nil"/>
              <w:right w:val="single" w:sz="8" w:space="0" w:color="auto"/>
            </w:tcBorders>
            <w:shd w:val="clear" w:color="000000" w:fill="FFFFFF"/>
            <w:noWrap/>
            <w:vAlign w:val="center"/>
            <w:hideMark/>
          </w:tcPr>
          <w:p w14:paraId="31E2FA8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3 385 385,78</w:t>
            </w:r>
          </w:p>
        </w:tc>
        <w:tc>
          <w:tcPr>
            <w:tcW w:w="1229" w:type="dxa"/>
            <w:tcBorders>
              <w:top w:val="nil"/>
              <w:left w:val="nil"/>
              <w:bottom w:val="nil"/>
              <w:right w:val="single" w:sz="8" w:space="0" w:color="auto"/>
            </w:tcBorders>
            <w:shd w:val="clear" w:color="000000" w:fill="FFFFFF"/>
            <w:noWrap/>
            <w:vAlign w:val="center"/>
            <w:hideMark/>
          </w:tcPr>
          <w:p w14:paraId="6BB2576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4 633 620,12</w:t>
            </w:r>
          </w:p>
        </w:tc>
      </w:tr>
      <w:tr w:rsidR="00AE7424" w:rsidRPr="00AE7424" w14:paraId="6C6A4374"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69B6F618"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DANMARK</w:t>
            </w:r>
          </w:p>
        </w:tc>
        <w:tc>
          <w:tcPr>
            <w:tcW w:w="832" w:type="dxa"/>
            <w:tcBorders>
              <w:top w:val="nil"/>
              <w:left w:val="nil"/>
              <w:bottom w:val="nil"/>
              <w:right w:val="single" w:sz="8" w:space="0" w:color="auto"/>
            </w:tcBorders>
            <w:shd w:val="clear" w:color="000000" w:fill="FFFFFF"/>
            <w:noWrap/>
            <w:vAlign w:val="center"/>
            <w:hideMark/>
          </w:tcPr>
          <w:p w14:paraId="2B0BDE9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2,14</w:t>
            </w:r>
          </w:p>
        </w:tc>
        <w:tc>
          <w:tcPr>
            <w:tcW w:w="820" w:type="dxa"/>
            <w:tcBorders>
              <w:top w:val="nil"/>
              <w:left w:val="nil"/>
              <w:bottom w:val="nil"/>
              <w:right w:val="single" w:sz="8" w:space="0" w:color="auto"/>
            </w:tcBorders>
            <w:shd w:val="clear" w:color="000000" w:fill="FFFFFF"/>
            <w:noWrap/>
            <w:vAlign w:val="center"/>
            <w:hideMark/>
          </w:tcPr>
          <w:p w14:paraId="0166577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2,00</w:t>
            </w:r>
          </w:p>
        </w:tc>
        <w:tc>
          <w:tcPr>
            <w:tcW w:w="880" w:type="dxa"/>
            <w:tcBorders>
              <w:top w:val="nil"/>
              <w:left w:val="nil"/>
              <w:bottom w:val="nil"/>
              <w:right w:val="single" w:sz="8" w:space="0" w:color="auto"/>
            </w:tcBorders>
            <w:shd w:val="clear" w:color="000000" w:fill="FFFFFF"/>
            <w:noWrap/>
            <w:vAlign w:val="center"/>
            <w:hideMark/>
          </w:tcPr>
          <w:p w14:paraId="4E3539B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2,3480</w:t>
            </w:r>
          </w:p>
        </w:tc>
        <w:tc>
          <w:tcPr>
            <w:tcW w:w="880" w:type="dxa"/>
            <w:tcBorders>
              <w:top w:val="nil"/>
              <w:left w:val="nil"/>
              <w:bottom w:val="nil"/>
              <w:right w:val="nil"/>
            </w:tcBorders>
            <w:shd w:val="clear" w:color="000000" w:fill="FFFFFF"/>
            <w:noWrap/>
            <w:vAlign w:val="center"/>
            <w:hideMark/>
          </w:tcPr>
          <w:p w14:paraId="6AF39C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1,98045</w:t>
            </w:r>
          </w:p>
        </w:tc>
        <w:tc>
          <w:tcPr>
            <w:tcW w:w="940" w:type="dxa"/>
            <w:tcBorders>
              <w:top w:val="nil"/>
              <w:left w:val="single" w:sz="8" w:space="0" w:color="auto"/>
              <w:bottom w:val="nil"/>
              <w:right w:val="single" w:sz="8" w:space="0" w:color="auto"/>
            </w:tcBorders>
            <w:shd w:val="clear" w:color="000000" w:fill="FFFFFF"/>
            <w:noWrap/>
            <w:vAlign w:val="center"/>
            <w:hideMark/>
          </w:tcPr>
          <w:p w14:paraId="1EC079E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2,32116</w:t>
            </w:r>
          </w:p>
        </w:tc>
        <w:tc>
          <w:tcPr>
            <w:tcW w:w="1034" w:type="dxa"/>
            <w:tcBorders>
              <w:top w:val="nil"/>
              <w:left w:val="nil"/>
              <w:bottom w:val="nil"/>
              <w:right w:val="nil"/>
            </w:tcBorders>
            <w:shd w:val="clear" w:color="000000" w:fill="FFFFFF"/>
            <w:noWrap/>
            <w:vAlign w:val="center"/>
            <w:hideMark/>
          </w:tcPr>
          <w:p w14:paraId="5911B92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23 892,83</w:t>
            </w:r>
          </w:p>
        </w:tc>
        <w:tc>
          <w:tcPr>
            <w:tcW w:w="1276" w:type="dxa"/>
            <w:tcBorders>
              <w:top w:val="nil"/>
              <w:left w:val="single" w:sz="8" w:space="0" w:color="auto"/>
              <w:bottom w:val="nil"/>
              <w:right w:val="single" w:sz="8" w:space="0" w:color="auto"/>
            </w:tcBorders>
            <w:shd w:val="clear" w:color="000000" w:fill="FFFFFF"/>
            <w:noWrap/>
            <w:vAlign w:val="center"/>
            <w:hideMark/>
          </w:tcPr>
          <w:p w14:paraId="17FA1C3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4 895 036,60</w:t>
            </w:r>
          </w:p>
        </w:tc>
        <w:tc>
          <w:tcPr>
            <w:tcW w:w="1276" w:type="dxa"/>
            <w:tcBorders>
              <w:top w:val="nil"/>
              <w:left w:val="nil"/>
              <w:bottom w:val="nil"/>
              <w:right w:val="single" w:sz="8" w:space="0" w:color="auto"/>
            </w:tcBorders>
            <w:shd w:val="clear" w:color="000000" w:fill="FFFFFF"/>
            <w:noWrap/>
            <w:vAlign w:val="center"/>
            <w:hideMark/>
          </w:tcPr>
          <w:p w14:paraId="711A13A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8 407 533,11</w:t>
            </w:r>
          </w:p>
        </w:tc>
        <w:tc>
          <w:tcPr>
            <w:tcW w:w="1229" w:type="dxa"/>
            <w:tcBorders>
              <w:top w:val="nil"/>
              <w:left w:val="nil"/>
              <w:bottom w:val="nil"/>
              <w:right w:val="single" w:sz="8" w:space="0" w:color="auto"/>
            </w:tcBorders>
            <w:shd w:val="clear" w:color="000000" w:fill="FFFFFF"/>
            <w:noWrap/>
            <w:vAlign w:val="center"/>
            <w:hideMark/>
          </w:tcPr>
          <w:p w14:paraId="10717A3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13 326 462,54</w:t>
            </w:r>
          </w:p>
        </w:tc>
      </w:tr>
      <w:tr w:rsidR="00AE7424" w:rsidRPr="00AE7424" w14:paraId="3D4B2B9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3AAB12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ALEMANIA</w:t>
            </w:r>
          </w:p>
        </w:tc>
        <w:tc>
          <w:tcPr>
            <w:tcW w:w="832" w:type="dxa"/>
            <w:tcBorders>
              <w:top w:val="nil"/>
              <w:left w:val="nil"/>
              <w:bottom w:val="nil"/>
              <w:right w:val="single" w:sz="8" w:space="0" w:color="auto"/>
            </w:tcBorders>
            <w:shd w:val="clear" w:color="000000" w:fill="FFFFFF"/>
            <w:noWrap/>
            <w:vAlign w:val="center"/>
            <w:hideMark/>
          </w:tcPr>
          <w:p w14:paraId="065BE4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23,36</w:t>
            </w:r>
          </w:p>
        </w:tc>
        <w:tc>
          <w:tcPr>
            <w:tcW w:w="820" w:type="dxa"/>
            <w:tcBorders>
              <w:top w:val="nil"/>
              <w:left w:val="nil"/>
              <w:bottom w:val="nil"/>
              <w:right w:val="single" w:sz="8" w:space="0" w:color="auto"/>
            </w:tcBorders>
            <w:shd w:val="clear" w:color="000000" w:fill="FFFFFF"/>
            <w:noWrap/>
            <w:vAlign w:val="center"/>
            <w:hideMark/>
          </w:tcPr>
          <w:p w14:paraId="0E68B4A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20,50</w:t>
            </w:r>
          </w:p>
        </w:tc>
        <w:tc>
          <w:tcPr>
            <w:tcW w:w="880" w:type="dxa"/>
            <w:tcBorders>
              <w:top w:val="nil"/>
              <w:left w:val="nil"/>
              <w:bottom w:val="nil"/>
              <w:right w:val="single" w:sz="8" w:space="0" w:color="auto"/>
            </w:tcBorders>
            <w:shd w:val="clear" w:color="000000" w:fill="FFFFFF"/>
            <w:noWrap/>
            <w:vAlign w:val="center"/>
            <w:hideMark/>
          </w:tcPr>
          <w:p w14:paraId="61E647F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24,0667</w:t>
            </w:r>
          </w:p>
        </w:tc>
        <w:tc>
          <w:tcPr>
            <w:tcW w:w="880" w:type="dxa"/>
            <w:tcBorders>
              <w:top w:val="nil"/>
              <w:left w:val="nil"/>
              <w:bottom w:val="nil"/>
              <w:right w:val="nil"/>
            </w:tcBorders>
            <w:shd w:val="clear" w:color="000000" w:fill="FFFFFF"/>
            <w:noWrap/>
            <w:vAlign w:val="center"/>
            <w:hideMark/>
          </w:tcPr>
          <w:p w14:paraId="5A64F4B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20,57980</w:t>
            </w:r>
          </w:p>
        </w:tc>
        <w:tc>
          <w:tcPr>
            <w:tcW w:w="940" w:type="dxa"/>
            <w:tcBorders>
              <w:top w:val="nil"/>
              <w:left w:val="single" w:sz="8" w:space="0" w:color="auto"/>
              <w:bottom w:val="nil"/>
              <w:right w:val="single" w:sz="8" w:space="0" w:color="auto"/>
            </w:tcBorders>
            <w:shd w:val="clear" w:color="000000" w:fill="FFFFFF"/>
            <w:noWrap/>
            <w:vAlign w:val="center"/>
            <w:hideMark/>
          </w:tcPr>
          <w:p w14:paraId="6E0D5D6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24,12033</w:t>
            </w:r>
          </w:p>
        </w:tc>
        <w:tc>
          <w:tcPr>
            <w:tcW w:w="1034" w:type="dxa"/>
            <w:tcBorders>
              <w:top w:val="nil"/>
              <w:left w:val="nil"/>
              <w:bottom w:val="nil"/>
              <w:right w:val="nil"/>
            </w:tcBorders>
            <w:shd w:val="clear" w:color="000000" w:fill="FFFFFF"/>
            <w:noWrap/>
            <w:vAlign w:val="center"/>
            <w:hideMark/>
          </w:tcPr>
          <w:p w14:paraId="11C556D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260 811,50</w:t>
            </w:r>
          </w:p>
        </w:tc>
        <w:tc>
          <w:tcPr>
            <w:tcW w:w="1276" w:type="dxa"/>
            <w:tcBorders>
              <w:top w:val="nil"/>
              <w:left w:val="single" w:sz="8" w:space="0" w:color="auto"/>
              <w:bottom w:val="nil"/>
              <w:right w:val="single" w:sz="8" w:space="0" w:color="auto"/>
            </w:tcBorders>
            <w:shd w:val="clear" w:color="000000" w:fill="FFFFFF"/>
            <w:noWrap/>
            <w:vAlign w:val="center"/>
            <w:hideMark/>
          </w:tcPr>
          <w:p w14:paraId="5AA0697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50 174 125,18</w:t>
            </w:r>
          </w:p>
        </w:tc>
        <w:tc>
          <w:tcPr>
            <w:tcW w:w="1276" w:type="dxa"/>
            <w:tcBorders>
              <w:top w:val="nil"/>
              <w:left w:val="nil"/>
              <w:bottom w:val="nil"/>
              <w:right w:val="single" w:sz="8" w:space="0" w:color="auto"/>
            </w:tcBorders>
            <w:shd w:val="clear" w:color="000000" w:fill="FFFFFF"/>
            <w:noWrap/>
            <w:vAlign w:val="center"/>
            <w:hideMark/>
          </w:tcPr>
          <w:p w14:paraId="56FAD66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87 366 684,25</w:t>
            </w:r>
          </w:p>
        </w:tc>
        <w:tc>
          <w:tcPr>
            <w:tcW w:w="1229" w:type="dxa"/>
            <w:tcBorders>
              <w:top w:val="nil"/>
              <w:left w:val="nil"/>
              <w:bottom w:val="nil"/>
              <w:right w:val="single" w:sz="8" w:space="0" w:color="auto"/>
            </w:tcBorders>
            <w:shd w:val="clear" w:color="000000" w:fill="FFFFFF"/>
            <w:noWrap/>
            <w:vAlign w:val="center"/>
            <w:hideMark/>
          </w:tcPr>
          <w:p w14:paraId="6FFFA43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137 801 620,93</w:t>
            </w:r>
          </w:p>
        </w:tc>
      </w:tr>
      <w:tr w:rsidR="00AE7424" w:rsidRPr="00AE7424" w14:paraId="3593E0D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7D5263E"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ESTONIA</w:t>
            </w:r>
          </w:p>
        </w:tc>
        <w:tc>
          <w:tcPr>
            <w:tcW w:w="832" w:type="dxa"/>
            <w:tcBorders>
              <w:top w:val="nil"/>
              <w:left w:val="nil"/>
              <w:bottom w:val="nil"/>
              <w:right w:val="single" w:sz="8" w:space="0" w:color="auto"/>
            </w:tcBorders>
            <w:shd w:val="clear" w:color="000000" w:fill="FFFFFF"/>
            <w:noWrap/>
            <w:vAlign w:val="center"/>
            <w:hideMark/>
          </w:tcPr>
          <w:p w14:paraId="1728C3D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1ED9BC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0,05</w:t>
            </w:r>
          </w:p>
        </w:tc>
        <w:tc>
          <w:tcPr>
            <w:tcW w:w="880" w:type="dxa"/>
            <w:tcBorders>
              <w:top w:val="nil"/>
              <w:left w:val="nil"/>
              <w:bottom w:val="nil"/>
              <w:right w:val="single" w:sz="8" w:space="0" w:color="auto"/>
            </w:tcBorders>
            <w:shd w:val="clear" w:color="000000" w:fill="FFFFFF"/>
            <w:noWrap/>
            <w:vAlign w:val="center"/>
            <w:hideMark/>
          </w:tcPr>
          <w:p w14:paraId="637DA2C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0,0587</w:t>
            </w:r>
          </w:p>
        </w:tc>
        <w:tc>
          <w:tcPr>
            <w:tcW w:w="880" w:type="dxa"/>
            <w:tcBorders>
              <w:top w:val="nil"/>
              <w:left w:val="nil"/>
              <w:bottom w:val="nil"/>
              <w:right w:val="nil"/>
            </w:tcBorders>
            <w:shd w:val="clear" w:color="000000" w:fill="FFFFFF"/>
            <w:noWrap/>
            <w:vAlign w:val="center"/>
            <w:hideMark/>
          </w:tcPr>
          <w:p w14:paraId="65DB117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0,08635</w:t>
            </w:r>
          </w:p>
        </w:tc>
        <w:tc>
          <w:tcPr>
            <w:tcW w:w="940" w:type="dxa"/>
            <w:tcBorders>
              <w:top w:val="nil"/>
              <w:left w:val="single" w:sz="8" w:space="0" w:color="auto"/>
              <w:bottom w:val="nil"/>
              <w:right w:val="single" w:sz="8" w:space="0" w:color="auto"/>
            </w:tcBorders>
            <w:shd w:val="clear" w:color="000000" w:fill="FFFFFF"/>
            <w:noWrap/>
            <w:vAlign w:val="center"/>
            <w:hideMark/>
          </w:tcPr>
          <w:p w14:paraId="203B27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0,10121</w:t>
            </w:r>
          </w:p>
        </w:tc>
        <w:tc>
          <w:tcPr>
            <w:tcW w:w="1034" w:type="dxa"/>
            <w:tcBorders>
              <w:top w:val="nil"/>
              <w:left w:val="nil"/>
              <w:bottom w:val="nil"/>
              <w:right w:val="nil"/>
            </w:tcBorders>
            <w:shd w:val="clear" w:color="000000" w:fill="FFFFFF"/>
            <w:noWrap/>
            <w:vAlign w:val="center"/>
            <w:hideMark/>
          </w:tcPr>
          <w:p w14:paraId="1866543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28B9236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122 375,92</w:t>
            </w:r>
          </w:p>
        </w:tc>
        <w:tc>
          <w:tcPr>
            <w:tcW w:w="1276" w:type="dxa"/>
            <w:tcBorders>
              <w:top w:val="nil"/>
              <w:left w:val="nil"/>
              <w:bottom w:val="nil"/>
              <w:right w:val="single" w:sz="8" w:space="0" w:color="auto"/>
            </w:tcBorders>
            <w:shd w:val="clear" w:color="000000" w:fill="FFFFFF"/>
            <w:noWrap/>
            <w:vAlign w:val="center"/>
            <w:hideMark/>
          </w:tcPr>
          <w:p w14:paraId="619048C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366 578,55</w:t>
            </w:r>
          </w:p>
        </w:tc>
        <w:tc>
          <w:tcPr>
            <w:tcW w:w="1229" w:type="dxa"/>
            <w:tcBorders>
              <w:top w:val="nil"/>
              <w:left w:val="nil"/>
              <w:bottom w:val="nil"/>
              <w:right w:val="single" w:sz="8" w:space="0" w:color="auto"/>
            </w:tcBorders>
            <w:shd w:val="clear" w:color="000000" w:fill="FFFFFF"/>
            <w:noWrap/>
            <w:vAlign w:val="center"/>
            <w:hideMark/>
          </w:tcPr>
          <w:p w14:paraId="7745387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488 954,46</w:t>
            </w:r>
          </w:p>
        </w:tc>
      </w:tr>
      <w:tr w:rsidR="00AE7424" w:rsidRPr="00AE7424" w14:paraId="3647C80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526113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IRLANDA</w:t>
            </w:r>
          </w:p>
        </w:tc>
        <w:tc>
          <w:tcPr>
            <w:tcW w:w="832" w:type="dxa"/>
            <w:tcBorders>
              <w:top w:val="nil"/>
              <w:left w:val="nil"/>
              <w:bottom w:val="nil"/>
              <w:right w:val="single" w:sz="8" w:space="0" w:color="auto"/>
            </w:tcBorders>
            <w:shd w:val="clear" w:color="000000" w:fill="FFFFFF"/>
            <w:noWrap/>
            <w:vAlign w:val="center"/>
            <w:hideMark/>
          </w:tcPr>
          <w:p w14:paraId="20704FA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0,62</w:t>
            </w:r>
          </w:p>
        </w:tc>
        <w:tc>
          <w:tcPr>
            <w:tcW w:w="820" w:type="dxa"/>
            <w:tcBorders>
              <w:top w:val="nil"/>
              <w:left w:val="nil"/>
              <w:bottom w:val="nil"/>
              <w:right w:val="single" w:sz="8" w:space="0" w:color="auto"/>
            </w:tcBorders>
            <w:shd w:val="clear" w:color="000000" w:fill="FFFFFF"/>
            <w:noWrap/>
            <w:vAlign w:val="center"/>
            <w:hideMark/>
          </w:tcPr>
          <w:p w14:paraId="0FAC11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0,91</w:t>
            </w:r>
          </w:p>
        </w:tc>
        <w:tc>
          <w:tcPr>
            <w:tcW w:w="880" w:type="dxa"/>
            <w:tcBorders>
              <w:top w:val="nil"/>
              <w:left w:val="nil"/>
              <w:bottom w:val="nil"/>
              <w:right w:val="single" w:sz="8" w:space="0" w:color="auto"/>
            </w:tcBorders>
            <w:shd w:val="clear" w:color="000000" w:fill="FFFFFF"/>
            <w:noWrap/>
            <w:vAlign w:val="center"/>
            <w:hideMark/>
          </w:tcPr>
          <w:p w14:paraId="5725946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1,0683</w:t>
            </w:r>
          </w:p>
        </w:tc>
        <w:tc>
          <w:tcPr>
            <w:tcW w:w="880" w:type="dxa"/>
            <w:tcBorders>
              <w:top w:val="nil"/>
              <w:left w:val="nil"/>
              <w:bottom w:val="nil"/>
              <w:right w:val="nil"/>
            </w:tcBorders>
            <w:shd w:val="clear" w:color="000000" w:fill="FFFFFF"/>
            <w:noWrap/>
            <w:vAlign w:val="center"/>
            <w:hideMark/>
          </w:tcPr>
          <w:p w14:paraId="57BB45C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0,94006</w:t>
            </w:r>
          </w:p>
        </w:tc>
        <w:tc>
          <w:tcPr>
            <w:tcW w:w="940" w:type="dxa"/>
            <w:tcBorders>
              <w:top w:val="nil"/>
              <w:left w:val="single" w:sz="8" w:space="0" w:color="auto"/>
              <w:bottom w:val="nil"/>
              <w:right w:val="single" w:sz="8" w:space="0" w:color="auto"/>
            </w:tcBorders>
            <w:shd w:val="clear" w:color="000000" w:fill="FFFFFF"/>
            <w:noWrap/>
            <w:vAlign w:val="center"/>
            <w:hideMark/>
          </w:tcPr>
          <w:p w14:paraId="466FCD2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1,10179</w:t>
            </w:r>
          </w:p>
        </w:tc>
        <w:tc>
          <w:tcPr>
            <w:tcW w:w="1034" w:type="dxa"/>
            <w:tcBorders>
              <w:top w:val="nil"/>
              <w:left w:val="nil"/>
              <w:bottom w:val="nil"/>
              <w:right w:val="nil"/>
            </w:tcBorders>
            <w:shd w:val="clear" w:color="000000" w:fill="FFFFFF"/>
            <w:noWrap/>
            <w:vAlign w:val="center"/>
            <w:hideMark/>
          </w:tcPr>
          <w:p w14:paraId="4A1D914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6 922,22</w:t>
            </w:r>
          </w:p>
        </w:tc>
        <w:tc>
          <w:tcPr>
            <w:tcW w:w="1276" w:type="dxa"/>
            <w:tcBorders>
              <w:top w:val="nil"/>
              <w:left w:val="single" w:sz="8" w:space="0" w:color="auto"/>
              <w:bottom w:val="nil"/>
              <w:right w:val="single" w:sz="8" w:space="0" w:color="auto"/>
            </w:tcBorders>
            <w:shd w:val="clear" w:color="000000" w:fill="FFFFFF"/>
            <w:noWrap/>
            <w:vAlign w:val="center"/>
            <w:hideMark/>
          </w:tcPr>
          <w:p w14:paraId="6B5A46C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2 227 241,65</w:t>
            </w:r>
          </w:p>
        </w:tc>
        <w:tc>
          <w:tcPr>
            <w:tcW w:w="1276" w:type="dxa"/>
            <w:tcBorders>
              <w:top w:val="nil"/>
              <w:left w:val="nil"/>
              <w:bottom w:val="nil"/>
              <w:right w:val="single" w:sz="8" w:space="0" w:color="auto"/>
            </w:tcBorders>
            <w:shd w:val="clear" w:color="000000" w:fill="FFFFFF"/>
            <w:noWrap/>
            <w:vAlign w:val="center"/>
            <w:hideMark/>
          </w:tcPr>
          <w:p w14:paraId="015A03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3 990 802,88</w:t>
            </w:r>
          </w:p>
        </w:tc>
        <w:tc>
          <w:tcPr>
            <w:tcW w:w="1229" w:type="dxa"/>
            <w:tcBorders>
              <w:top w:val="nil"/>
              <w:left w:val="nil"/>
              <w:bottom w:val="nil"/>
              <w:right w:val="single" w:sz="8" w:space="0" w:color="auto"/>
            </w:tcBorders>
            <w:shd w:val="clear" w:color="000000" w:fill="FFFFFF"/>
            <w:noWrap/>
            <w:vAlign w:val="center"/>
            <w:hideMark/>
          </w:tcPr>
          <w:p w14:paraId="7550C2A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6 224 966,76</w:t>
            </w:r>
          </w:p>
        </w:tc>
      </w:tr>
      <w:tr w:rsidR="00AE7424" w:rsidRPr="00AE7424" w14:paraId="538C49C5"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AD1674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GRECIA</w:t>
            </w:r>
          </w:p>
        </w:tc>
        <w:tc>
          <w:tcPr>
            <w:tcW w:w="832" w:type="dxa"/>
            <w:tcBorders>
              <w:top w:val="nil"/>
              <w:left w:val="nil"/>
              <w:bottom w:val="nil"/>
              <w:right w:val="single" w:sz="8" w:space="0" w:color="auto"/>
            </w:tcBorders>
            <w:shd w:val="clear" w:color="000000" w:fill="FFFFFF"/>
            <w:noWrap/>
            <w:vAlign w:val="center"/>
            <w:hideMark/>
          </w:tcPr>
          <w:p w14:paraId="4E739AC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w:t>
            </w:r>
          </w:p>
        </w:tc>
        <w:tc>
          <w:tcPr>
            <w:tcW w:w="820" w:type="dxa"/>
            <w:tcBorders>
              <w:top w:val="nil"/>
              <w:left w:val="nil"/>
              <w:bottom w:val="nil"/>
              <w:right w:val="single" w:sz="8" w:space="0" w:color="auto"/>
            </w:tcBorders>
            <w:shd w:val="clear" w:color="000000" w:fill="FFFFFF"/>
            <w:noWrap/>
            <w:vAlign w:val="center"/>
            <w:hideMark/>
          </w:tcPr>
          <w:p w14:paraId="4405C6E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1,47</w:t>
            </w:r>
          </w:p>
        </w:tc>
        <w:tc>
          <w:tcPr>
            <w:tcW w:w="880" w:type="dxa"/>
            <w:tcBorders>
              <w:top w:val="nil"/>
              <w:left w:val="nil"/>
              <w:bottom w:val="nil"/>
              <w:right w:val="single" w:sz="8" w:space="0" w:color="auto"/>
            </w:tcBorders>
            <w:shd w:val="clear" w:color="000000" w:fill="FFFFFF"/>
            <w:noWrap/>
            <w:vAlign w:val="center"/>
            <w:hideMark/>
          </w:tcPr>
          <w:p w14:paraId="2CAC09A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1,7258</w:t>
            </w:r>
          </w:p>
        </w:tc>
        <w:tc>
          <w:tcPr>
            <w:tcW w:w="880" w:type="dxa"/>
            <w:tcBorders>
              <w:top w:val="nil"/>
              <w:left w:val="nil"/>
              <w:bottom w:val="nil"/>
              <w:right w:val="nil"/>
            </w:tcBorders>
            <w:shd w:val="clear" w:color="000000" w:fill="FFFFFF"/>
            <w:noWrap/>
            <w:vAlign w:val="center"/>
            <w:hideMark/>
          </w:tcPr>
          <w:p w14:paraId="5EFBD41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1,50735</w:t>
            </w:r>
          </w:p>
        </w:tc>
        <w:tc>
          <w:tcPr>
            <w:tcW w:w="940" w:type="dxa"/>
            <w:tcBorders>
              <w:top w:val="nil"/>
              <w:left w:val="single" w:sz="8" w:space="0" w:color="auto"/>
              <w:bottom w:val="nil"/>
              <w:right w:val="single" w:sz="8" w:space="0" w:color="auto"/>
            </w:tcBorders>
            <w:shd w:val="clear" w:color="000000" w:fill="FFFFFF"/>
            <w:noWrap/>
            <w:vAlign w:val="center"/>
            <w:hideMark/>
          </w:tcPr>
          <w:p w14:paraId="7E04509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1,76667</w:t>
            </w:r>
          </w:p>
        </w:tc>
        <w:tc>
          <w:tcPr>
            <w:tcW w:w="1034" w:type="dxa"/>
            <w:tcBorders>
              <w:top w:val="nil"/>
              <w:left w:val="nil"/>
              <w:bottom w:val="nil"/>
              <w:right w:val="nil"/>
            </w:tcBorders>
            <w:shd w:val="clear" w:color="000000" w:fill="FFFFFF"/>
            <w:noWrap/>
            <w:vAlign w:val="center"/>
            <w:hideMark/>
          </w:tcPr>
          <w:p w14:paraId="0693BF3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13 956,09</w:t>
            </w:r>
          </w:p>
        </w:tc>
        <w:tc>
          <w:tcPr>
            <w:tcW w:w="1276" w:type="dxa"/>
            <w:tcBorders>
              <w:top w:val="nil"/>
              <w:left w:val="single" w:sz="8" w:space="0" w:color="auto"/>
              <w:bottom w:val="nil"/>
              <w:right w:val="single" w:sz="8" w:space="0" w:color="auto"/>
            </w:tcBorders>
            <w:shd w:val="clear" w:color="000000" w:fill="FFFFFF"/>
            <w:noWrap/>
            <w:vAlign w:val="center"/>
            <w:hideMark/>
          </w:tcPr>
          <w:p w14:paraId="6D1A7FA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3 597 851,90</w:t>
            </w:r>
          </w:p>
        </w:tc>
        <w:tc>
          <w:tcPr>
            <w:tcW w:w="1276" w:type="dxa"/>
            <w:tcBorders>
              <w:top w:val="nil"/>
              <w:left w:val="nil"/>
              <w:bottom w:val="nil"/>
              <w:right w:val="single" w:sz="8" w:space="0" w:color="auto"/>
            </w:tcBorders>
            <w:shd w:val="clear" w:color="000000" w:fill="FFFFFF"/>
            <w:noWrap/>
            <w:vAlign w:val="center"/>
            <w:hideMark/>
          </w:tcPr>
          <w:p w14:paraId="2CA04D7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6 399 098,70</w:t>
            </w:r>
          </w:p>
        </w:tc>
        <w:tc>
          <w:tcPr>
            <w:tcW w:w="1229" w:type="dxa"/>
            <w:tcBorders>
              <w:top w:val="nil"/>
              <w:left w:val="nil"/>
              <w:bottom w:val="nil"/>
              <w:right w:val="single" w:sz="8" w:space="0" w:color="auto"/>
            </w:tcBorders>
            <w:shd w:val="clear" w:color="000000" w:fill="FFFFFF"/>
            <w:noWrap/>
            <w:vAlign w:val="center"/>
            <w:hideMark/>
          </w:tcPr>
          <w:p w14:paraId="1CC8846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10 010 906,70</w:t>
            </w:r>
          </w:p>
        </w:tc>
      </w:tr>
      <w:tr w:rsidR="00AE7424" w:rsidRPr="00AE7424" w14:paraId="33374FD2"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7F6E90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ESPAÑA</w:t>
            </w:r>
          </w:p>
        </w:tc>
        <w:tc>
          <w:tcPr>
            <w:tcW w:w="832" w:type="dxa"/>
            <w:tcBorders>
              <w:top w:val="nil"/>
              <w:left w:val="nil"/>
              <w:bottom w:val="nil"/>
              <w:right w:val="single" w:sz="8" w:space="0" w:color="auto"/>
            </w:tcBorders>
            <w:shd w:val="clear" w:color="000000" w:fill="FFFFFF"/>
            <w:noWrap/>
            <w:vAlign w:val="center"/>
            <w:hideMark/>
          </w:tcPr>
          <w:p w14:paraId="665773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5,84</w:t>
            </w:r>
          </w:p>
        </w:tc>
        <w:tc>
          <w:tcPr>
            <w:tcW w:w="820" w:type="dxa"/>
            <w:tcBorders>
              <w:top w:val="nil"/>
              <w:left w:val="nil"/>
              <w:bottom w:val="nil"/>
              <w:right w:val="single" w:sz="8" w:space="0" w:color="auto"/>
            </w:tcBorders>
            <w:shd w:val="clear" w:color="000000" w:fill="FFFFFF"/>
            <w:noWrap/>
            <w:vAlign w:val="center"/>
            <w:hideMark/>
          </w:tcPr>
          <w:p w14:paraId="43F44FC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7,85</w:t>
            </w:r>
          </w:p>
        </w:tc>
        <w:tc>
          <w:tcPr>
            <w:tcW w:w="880" w:type="dxa"/>
            <w:tcBorders>
              <w:top w:val="nil"/>
              <w:left w:val="nil"/>
              <w:bottom w:val="nil"/>
              <w:right w:val="single" w:sz="8" w:space="0" w:color="auto"/>
            </w:tcBorders>
            <w:shd w:val="clear" w:color="000000" w:fill="FFFFFF"/>
            <w:noWrap/>
            <w:vAlign w:val="center"/>
            <w:hideMark/>
          </w:tcPr>
          <w:p w14:paraId="0EA45E3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9,2158</w:t>
            </w:r>
          </w:p>
        </w:tc>
        <w:tc>
          <w:tcPr>
            <w:tcW w:w="880" w:type="dxa"/>
            <w:tcBorders>
              <w:top w:val="nil"/>
              <w:left w:val="nil"/>
              <w:bottom w:val="nil"/>
              <w:right w:val="nil"/>
            </w:tcBorders>
            <w:shd w:val="clear" w:color="000000" w:fill="FFFFFF"/>
            <w:noWrap/>
            <w:vAlign w:val="center"/>
            <w:hideMark/>
          </w:tcPr>
          <w:p w14:paraId="52BEC8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7,93248</w:t>
            </w:r>
          </w:p>
        </w:tc>
        <w:tc>
          <w:tcPr>
            <w:tcW w:w="940" w:type="dxa"/>
            <w:tcBorders>
              <w:top w:val="nil"/>
              <w:left w:val="single" w:sz="8" w:space="0" w:color="auto"/>
              <w:bottom w:val="nil"/>
              <w:right w:val="single" w:sz="8" w:space="0" w:color="auto"/>
            </w:tcBorders>
            <w:shd w:val="clear" w:color="000000" w:fill="FFFFFF"/>
            <w:noWrap/>
            <w:vAlign w:val="center"/>
            <w:hideMark/>
          </w:tcPr>
          <w:p w14:paraId="7C1DFD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9,29718</w:t>
            </w:r>
          </w:p>
        </w:tc>
        <w:tc>
          <w:tcPr>
            <w:tcW w:w="1034" w:type="dxa"/>
            <w:tcBorders>
              <w:top w:val="nil"/>
              <w:left w:val="nil"/>
              <w:bottom w:val="nil"/>
              <w:right w:val="nil"/>
            </w:tcBorders>
            <w:shd w:val="clear" w:color="000000" w:fill="FFFFFF"/>
            <w:noWrap/>
            <w:vAlign w:val="center"/>
            <w:hideMark/>
          </w:tcPr>
          <w:p w14:paraId="25925FF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65 202,87</w:t>
            </w:r>
          </w:p>
        </w:tc>
        <w:tc>
          <w:tcPr>
            <w:tcW w:w="1276" w:type="dxa"/>
            <w:tcBorders>
              <w:top w:val="nil"/>
              <w:left w:val="single" w:sz="8" w:space="0" w:color="auto"/>
              <w:bottom w:val="nil"/>
              <w:right w:val="single" w:sz="8" w:space="0" w:color="auto"/>
            </w:tcBorders>
            <w:shd w:val="clear" w:color="000000" w:fill="FFFFFF"/>
            <w:noWrap/>
            <w:vAlign w:val="center"/>
            <w:hideMark/>
          </w:tcPr>
          <w:p w14:paraId="7B78E33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19 213 018,67</w:t>
            </w:r>
          </w:p>
        </w:tc>
        <w:tc>
          <w:tcPr>
            <w:tcW w:w="1276" w:type="dxa"/>
            <w:tcBorders>
              <w:top w:val="nil"/>
              <w:left w:val="nil"/>
              <w:bottom w:val="nil"/>
              <w:right w:val="single" w:sz="8" w:space="0" w:color="auto"/>
            </w:tcBorders>
            <w:shd w:val="clear" w:color="000000" w:fill="FFFFFF"/>
            <w:noWrap/>
            <w:vAlign w:val="center"/>
            <w:hideMark/>
          </w:tcPr>
          <w:p w14:paraId="67B2B1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33 675 471,85</w:t>
            </w:r>
          </w:p>
        </w:tc>
        <w:tc>
          <w:tcPr>
            <w:tcW w:w="1229" w:type="dxa"/>
            <w:tcBorders>
              <w:top w:val="nil"/>
              <w:left w:val="nil"/>
              <w:bottom w:val="nil"/>
              <w:right w:val="single" w:sz="8" w:space="0" w:color="auto"/>
            </w:tcBorders>
            <w:shd w:val="clear" w:color="000000" w:fill="FFFFFF"/>
            <w:noWrap/>
            <w:vAlign w:val="center"/>
            <w:hideMark/>
          </w:tcPr>
          <w:p w14:paraId="4D438AF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52 953 693,39</w:t>
            </w:r>
          </w:p>
        </w:tc>
      </w:tr>
      <w:tr w:rsidR="00AE7424" w:rsidRPr="00AE7424" w14:paraId="6DE64C1D"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6BFDEB33"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FRANCIA</w:t>
            </w:r>
          </w:p>
        </w:tc>
        <w:tc>
          <w:tcPr>
            <w:tcW w:w="832" w:type="dxa"/>
            <w:tcBorders>
              <w:top w:val="nil"/>
              <w:left w:val="nil"/>
              <w:bottom w:val="nil"/>
              <w:right w:val="single" w:sz="8" w:space="0" w:color="auto"/>
            </w:tcBorders>
            <w:shd w:val="clear" w:color="000000" w:fill="FFFFFF"/>
            <w:noWrap/>
            <w:vAlign w:val="center"/>
            <w:hideMark/>
          </w:tcPr>
          <w:p w14:paraId="0735016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24,30</w:t>
            </w:r>
          </w:p>
        </w:tc>
        <w:tc>
          <w:tcPr>
            <w:tcW w:w="820" w:type="dxa"/>
            <w:tcBorders>
              <w:top w:val="nil"/>
              <w:left w:val="nil"/>
              <w:bottom w:val="nil"/>
              <w:right w:val="single" w:sz="8" w:space="0" w:color="auto"/>
            </w:tcBorders>
            <w:shd w:val="clear" w:color="000000" w:fill="FFFFFF"/>
            <w:noWrap/>
            <w:vAlign w:val="center"/>
            <w:hideMark/>
          </w:tcPr>
          <w:p w14:paraId="1783D29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19,55</w:t>
            </w:r>
          </w:p>
        </w:tc>
        <w:tc>
          <w:tcPr>
            <w:tcW w:w="880" w:type="dxa"/>
            <w:tcBorders>
              <w:top w:val="nil"/>
              <w:left w:val="nil"/>
              <w:bottom w:val="nil"/>
              <w:right w:val="single" w:sz="8" w:space="0" w:color="auto"/>
            </w:tcBorders>
            <w:shd w:val="clear" w:color="000000" w:fill="FFFFFF"/>
            <w:noWrap/>
            <w:vAlign w:val="center"/>
            <w:hideMark/>
          </w:tcPr>
          <w:p w14:paraId="3733B71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22,9514</w:t>
            </w:r>
          </w:p>
        </w:tc>
        <w:tc>
          <w:tcPr>
            <w:tcW w:w="880" w:type="dxa"/>
            <w:tcBorders>
              <w:top w:val="nil"/>
              <w:left w:val="nil"/>
              <w:bottom w:val="nil"/>
              <w:right w:val="nil"/>
            </w:tcBorders>
            <w:shd w:val="clear" w:color="000000" w:fill="FFFFFF"/>
            <w:noWrap/>
            <w:vAlign w:val="center"/>
            <w:hideMark/>
          </w:tcPr>
          <w:p w14:paraId="5603AFF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17,81269</w:t>
            </w:r>
          </w:p>
        </w:tc>
        <w:tc>
          <w:tcPr>
            <w:tcW w:w="940" w:type="dxa"/>
            <w:tcBorders>
              <w:top w:val="nil"/>
              <w:left w:val="single" w:sz="8" w:space="0" w:color="auto"/>
              <w:bottom w:val="nil"/>
              <w:right w:val="single" w:sz="8" w:space="0" w:color="auto"/>
            </w:tcBorders>
            <w:shd w:val="clear" w:color="000000" w:fill="FFFFFF"/>
            <w:noWrap/>
            <w:vAlign w:val="center"/>
            <w:hideMark/>
          </w:tcPr>
          <w:p w14:paraId="668282E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20,87717</w:t>
            </w:r>
          </w:p>
        </w:tc>
        <w:tc>
          <w:tcPr>
            <w:tcW w:w="1034" w:type="dxa"/>
            <w:tcBorders>
              <w:top w:val="nil"/>
              <w:left w:val="nil"/>
              <w:bottom w:val="nil"/>
              <w:right w:val="nil"/>
            </w:tcBorders>
            <w:shd w:val="clear" w:color="000000" w:fill="FFFFFF"/>
            <w:noWrap/>
            <w:vAlign w:val="center"/>
            <w:hideMark/>
          </w:tcPr>
          <w:p w14:paraId="37E5A30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271 306,48</w:t>
            </w:r>
          </w:p>
        </w:tc>
        <w:tc>
          <w:tcPr>
            <w:tcW w:w="1276" w:type="dxa"/>
            <w:tcBorders>
              <w:top w:val="nil"/>
              <w:left w:val="single" w:sz="8" w:space="0" w:color="auto"/>
              <w:bottom w:val="nil"/>
              <w:right w:val="single" w:sz="8" w:space="0" w:color="auto"/>
            </w:tcBorders>
            <w:shd w:val="clear" w:color="000000" w:fill="FFFFFF"/>
            <w:noWrap/>
            <w:vAlign w:val="center"/>
            <w:hideMark/>
          </w:tcPr>
          <w:p w14:paraId="7FAC10B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47 848 982,79</w:t>
            </w:r>
          </w:p>
        </w:tc>
        <w:tc>
          <w:tcPr>
            <w:tcW w:w="1276" w:type="dxa"/>
            <w:tcBorders>
              <w:top w:val="nil"/>
              <w:left w:val="nil"/>
              <w:bottom w:val="nil"/>
              <w:right w:val="single" w:sz="8" w:space="0" w:color="auto"/>
            </w:tcBorders>
            <w:shd w:val="clear" w:color="000000" w:fill="FFFFFF"/>
            <w:noWrap/>
            <w:vAlign w:val="center"/>
            <w:hideMark/>
          </w:tcPr>
          <w:p w14:paraId="070A402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75 619 571,76</w:t>
            </w:r>
          </w:p>
        </w:tc>
        <w:tc>
          <w:tcPr>
            <w:tcW w:w="1229" w:type="dxa"/>
            <w:tcBorders>
              <w:top w:val="nil"/>
              <w:left w:val="nil"/>
              <w:bottom w:val="nil"/>
              <w:right w:val="single" w:sz="8" w:space="0" w:color="auto"/>
            </w:tcBorders>
            <w:shd w:val="clear" w:color="000000" w:fill="FFFFFF"/>
            <w:noWrap/>
            <w:vAlign w:val="center"/>
            <w:hideMark/>
          </w:tcPr>
          <w:p w14:paraId="2F4B116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123 739 861,04</w:t>
            </w:r>
          </w:p>
        </w:tc>
      </w:tr>
      <w:tr w:rsidR="00AE7424" w:rsidRPr="00AE7424" w14:paraId="642CFB8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3702F63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CROACIA</w:t>
            </w:r>
          </w:p>
        </w:tc>
        <w:tc>
          <w:tcPr>
            <w:tcW w:w="832" w:type="dxa"/>
            <w:tcBorders>
              <w:top w:val="nil"/>
              <w:left w:val="nil"/>
              <w:bottom w:val="nil"/>
              <w:right w:val="single" w:sz="8" w:space="0" w:color="auto"/>
            </w:tcBorders>
            <w:shd w:val="clear" w:color="000000" w:fill="FFFFFF"/>
            <w:noWrap/>
            <w:vAlign w:val="center"/>
            <w:hideMark/>
          </w:tcPr>
          <w:p w14:paraId="07AD45D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D5C63F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nil"/>
              <w:left w:val="nil"/>
              <w:bottom w:val="nil"/>
              <w:right w:val="single" w:sz="8" w:space="0" w:color="auto"/>
            </w:tcBorders>
            <w:shd w:val="clear" w:color="000000" w:fill="FFFFFF"/>
            <w:noWrap/>
            <w:vAlign w:val="center"/>
            <w:hideMark/>
          </w:tcPr>
          <w:p w14:paraId="7C73593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nil"/>
              <w:left w:val="nil"/>
              <w:bottom w:val="nil"/>
              <w:right w:val="nil"/>
            </w:tcBorders>
            <w:shd w:val="clear" w:color="000000" w:fill="FFFFFF"/>
            <w:noWrap/>
            <w:vAlign w:val="center"/>
            <w:hideMark/>
          </w:tcPr>
          <w:p w14:paraId="70334B9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0,22518</w:t>
            </w:r>
          </w:p>
        </w:tc>
        <w:tc>
          <w:tcPr>
            <w:tcW w:w="940" w:type="dxa"/>
            <w:tcBorders>
              <w:top w:val="nil"/>
              <w:left w:val="single" w:sz="8" w:space="0" w:color="auto"/>
              <w:bottom w:val="nil"/>
              <w:right w:val="single" w:sz="8" w:space="0" w:color="auto"/>
            </w:tcBorders>
            <w:shd w:val="clear" w:color="000000" w:fill="FFFFFF"/>
            <w:noWrap/>
            <w:vAlign w:val="center"/>
            <w:hideMark/>
          </w:tcPr>
          <w:p w14:paraId="7AE7657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0,26392</w:t>
            </w:r>
          </w:p>
        </w:tc>
        <w:tc>
          <w:tcPr>
            <w:tcW w:w="1034" w:type="dxa"/>
            <w:tcBorders>
              <w:top w:val="nil"/>
              <w:left w:val="nil"/>
              <w:bottom w:val="nil"/>
              <w:right w:val="nil"/>
            </w:tcBorders>
            <w:shd w:val="clear" w:color="000000" w:fill="FFFFFF"/>
            <w:noWrap/>
            <w:vAlign w:val="center"/>
            <w:hideMark/>
          </w:tcPr>
          <w:p w14:paraId="1A2CC4C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4285B67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nil"/>
              <w:bottom w:val="nil"/>
              <w:right w:val="single" w:sz="8" w:space="0" w:color="auto"/>
            </w:tcBorders>
            <w:shd w:val="clear" w:color="000000" w:fill="FFFFFF"/>
            <w:noWrap/>
            <w:vAlign w:val="center"/>
            <w:hideMark/>
          </w:tcPr>
          <w:p w14:paraId="1EB611E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955 948,55</w:t>
            </w:r>
          </w:p>
        </w:tc>
        <w:tc>
          <w:tcPr>
            <w:tcW w:w="1229" w:type="dxa"/>
            <w:tcBorders>
              <w:top w:val="nil"/>
              <w:left w:val="nil"/>
              <w:bottom w:val="nil"/>
              <w:right w:val="single" w:sz="8" w:space="0" w:color="auto"/>
            </w:tcBorders>
            <w:shd w:val="clear" w:color="000000" w:fill="FFFFFF"/>
            <w:noWrap/>
            <w:vAlign w:val="center"/>
            <w:hideMark/>
          </w:tcPr>
          <w:p w14:paraId="49DAA65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955 948,55</w:t>
            </w:r>
          </w:p>
        </w:tc>
      </w:tr>
      <w:tr w:rsidR="00AE7424" w:rsidRPr="00AE7424" w14:paraId="35A809A0"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2CBA374C"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ITALIA</w:t>
            </w:r>
          </w:p>
        </w:tc>
        <w:tc>
          <w:tcPr>
            <w:tcW w:w="832" w:type="dxa"/>
            <w:tcBorders>
              <w:top w:val="nil"/>
              <w:left w:val="nil"/>
              <w:bottom w:val="nil"/>
              <w:right w:val="single" w:sz="8" w:space="0" w:color="auto"/>
            </w:tcBorders>
            <w:shd w:val="clear" w:color="000000" w:fill="FFFFFF"/>
            <w:noWrap/>
            <w:vAlign w:val="center"/>
            <w:hideMark/>
          </w:tcPr>
          <w:p w14:paraId="7EE81C7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12,54</w:t>
            </w:r>
          </w:p>
        </w:tc>
        <w:tc>
          <w:tcPr>
            <w:tcW w:w="820" w:type="dxa"/>
            <w:tcBorders>
              <w:top w:val="nil"/>
              <w:left w:val="nil"/>
              <w:bottom w:val="nil"/>
              <w:right w:val="single" w:sz="8" w:space="0" w:color="auto"/>
            </w:tcBorders>
            <w:shd w:val="clear" w:color="000000" w:fill="FFFFFF"/>
            <w:noWrap/>
            <w:vAlign w:val="center"/>
            <w:hideMark/>
          </w:tcPr>
          <w:p w14:paraId="299A35B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12,86</w:t>
            </w:r>
          </w:p>
        </w:tc>
        <w:tc>
          <w:tcPr>
            <w:tcW w:w="880" w:type="dxa"/>
            <w:tcBorders>
              <w:top w:val="nil"/>
              <w:left w:val="nil"/>
              <w:bottom w:val="nil"/>
              <w:right w:val="single" w:sz="8" w:space="0" w:color="auto"/>
            </w:tcBorders>
            <w:shd w:val="clear" w:color="000000" w:fill="FFFFFF"/>
            <w:noWrap/>
            <w:vAlign w:val="center"/>
            <w:hideMark/>
          </w:tcPr>
          <w:p w14:paraId="1C0A7D0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15,0974</w:t>
            </w:r>
          </w:p>
        </w:tc>
        <w:tc>
          <w:tcPr>
            <w:tcW w:w="880" w:type="dxa"/>
            <w:tcBorders>
              <w:top w:val="nil"/>
              <w:left w:val="nil"/>
              <w:bottom w:val="nil"/>
              <w:right w:val="nil"/>
            </w:tcBorders>
            <w:shd w:val="clear" w:color="000000" w:fill="FFFFFF"/>
            <w:noWrap/>
            <w:vAlign w:val="center"/>
            <w:hideMark/>
          </w:tcPr>
          <w:p w14:paraId="596B321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12,53009</w:t>
            </w:r>
          </w:p>
        </w:tc>
        <w:tc>
          <w:tcPr>
            <w:tcW w:w="940" w:type="dxa"/>
            <w:tcBorders>
              <w:top w:val="nil"/>
              <w:left w:val="single" w:sz="8" w:space="0" w:color="auto"/>
              <w:bottom w:val="nil"/>
              <w:right w:val="single" w:sz="8" w:space="0" w:color="auto"/>
            </w:tcBorders>
            <w:shd w:val="clear" w:color="000000" w:fill="FFFFFF"/>
            <w:noWrap/>
            <w:vAlign w:val="center"/>
            <w:hideMark/>
          </w:tcPr>
          <w:p w14:paraId="006D46D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14,68576</w:t>
            </w:r>
          </w:p>
        </w:tc>
        <w:tc>
          <w:tcPr>
            <w:tcW w:w="1034" w:type="dxa"/>
            <w:tcBorders>
              <w:top w:val="nil"/>
              <w:left w:val="nil"/>
              <w:bottom w:val="nil"/>
              <w:right w:val="nil"/>
            </w:tcBorders>
            <w:shd w:val="clear" w:color="000000" w:fill="FFFFFF"/>
            <w:noWrap/>
            <w:vAlign w:val="center"/>
            <w:hideMark/>
          </w:tcPr>
          <w:p w14:paraId="7B437F9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140 007,54</w:t>
            </w:r>
          </w:p>
        </w:tc>
        <w:tc>
          <w:tcPr>
            <w:tcW w:w="1276" w:type="dxa"/>
            <w:tcBorders>
              <w:top w:val="nil"/>
              <w:left w:val="single" w:sz="8" w:space="0" w:color="auto"/>
              <w:bottom w:val="nil"/>
              <w:right w:val="single" w:sz="8" w:space="0" w:color="auto"/>
            </w:tcBorders>
            <w:shd w:val="clear" w:color="000000" w:fill="FFFFFF"/>
            <w:noWrap/>
            <w:vAlign w:val="center"/>
            <w:hideMark/>
          </w:tcPr>
          <w:p w14:paraId="6781D93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31 475 085,36</w:t>
            </w:r>
          </w:p>
        </w:tc>
        <w:tc>
          <w:tcPr>
            <w:tcW w:w="1276" w:type="dxa"/>
            <w:tcBorders>
              <w:top w:val="nil"/>
              <w:left w:val="nil"/>
              <w:bottom w:val="nil"/>
              <w:right w:val="single" w:sz="8" w:space="0" w:color="auto"/>
            </w:tcBorders>
            <w:shd w:val="clear" w:color="000000" w:fill="FFFFFF"/>
            <w:noWrap/>
            <w:vAlign w:val="center"/>
            <w:hideMark/>
          </w:tcPr>
          <w:p w14:paraId="7B77A60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53 193 540,11</w:t>
            </w:r>
          </w:p>
        </w:tc>
        <w:tc>
          <w:tcPr>
            <w:tcW w:w="1229" w:type="dxa"/>
            <w:tcBorders>
              <w:top w:val="nil"/>
              <w:left w:val="nil"/>
              <w:bottom w:val="nil"/>
              <w:right w:val="single" w:sz="8" w:space="0" w:color="auto"/>
            </w:tcBorders>
            <w:shd w:val="clear" w:color="000000" w:fill="FFFFFF"/>
            <w:noWrap/>
            <w:vAlign w:val="center"/>
            <w:hideMark/>
          </w:tcPr>
          <w:p w14:paraId="3829C64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84 808 633,01</w:t>
            </w:r>
          </w:p>
        </w:tc>
      </w:tr>
      <w:tr w:rsidR="00AE7424" w:rsidRPr="00AE7424" w14:paraId="1BBB8CE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A8620A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CHIPRE</w:t>
            </w:r>
          </w:p>
        </w:tc>
        <w:tc>
          <w:tcPr>
            <w:tcW w:w="832" w:type="dxa"/>
            <w:tcBorders>
              <w:top w:val="nil"/>
              <w:left w:val="nil"/>
              <w:bottom w:val="nil"/>
              <w:right w:val="single" w:sz="8" w:space="0" w:color="auto"/>
            </w:tcBorders>
            <w:shd w:val="clear" w:color="000000" w:fill="FFFFFF"/>
            <w:noWrap/>
            <w:vAlign w:val="center"/>
            <w:hideMark/>
          </w:tcPr>
          <w:p w14:paraId="56A0A01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B2A1C8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0,09</w:t>
            </w:r>
          </w:p>
        </w:tc>
        <w:tc>
          <w:tcPr>
            <w:tcW w:w="880" w:type="dxa"/>
            <w:tcBorders>
              <w:top w:val="nil"/>
              <w:left w:val="nil"/>
              <w:bottom w:val="nil"/>
              <w:right w:val="single" w:sz="8" w:space="0" w:color="auto"/>
            </w:tcBorders>
            <w:shd w:val="clear" w:color="000000" w:fill="FFFFFF"/>
            <w:noWrap/>
            <w:vAlign w:val="center"/>
            <w:hideMark/>
          </w:tcPr>
          <w:p w14:paraId="4995F5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0,1057</w:t>
            </w:r>
          </w:p>
        </w:tc>
        <w:tc>
          <w:tcPr>
            <w:tcW w:w="880" w:type="dxa"/>
            <w:tcBorders>
              <w:top w:val="nil"/>
              <w:left w:val="nil"/>
              <w:bottom w:val="nil"/>
              <w:right w:val="nil"/>
            </w:tcBorders>
            <w:shd w:val="clear" w:color="000000" w:fill="FFFFFF"/>
            <w:noWrap/>
            <w:vAlign w:val="center"/>
            <w:hideMark/>
          </w:tcPr>
          <w:p w14:paraId="18F0B8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0,11162</w:t>
            </w:r>
          </w:p>
        </w:tc>
        <w:tc>
          <w:tcPr>
            <w:tcW w:w="940" w:type="dxa"/>
            <w:tcBorders>
              <w:top w:val="nil"/>
              <w:left w:val="single" w:sz="8" w:space="0" w:color="auto"/>
              <w:bottom w:val="nil"/>
              <w:right w:val="single" w:sz="8" w:space="0" w:color="auto"/>
            </w:tcBorders>
            <w:shd w:val="clear" w:color="000000" w:fill="FFFFFF"/>
            <w:noWrap/>
            <w:vAlign w:val="center"/>
            <w:hideMark/>
          </w:tcPr>
          <w:p w14:paraId="65E040E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0,13082</w:t>
            </w:r>
          </w:p>
        </w:tc>
        <w:tc>
          <w:tcPr>
            <w:tcW w:w="1034" w:type="dxa"/>
            <w:tcBorders>
              <w:top w:val="nil"/>
              <w:left w:val="nil"/>
              <w:bottom w:val="nil"/>
              <w:right w:val="nil"/>
            </w:tcBorders>
            <w:shd w:val="clear" w:color="000000" w:fill="FFFFFF"/>
            <w:noWrap/>
            <w:vAlign w:val="center"/>
            <w:hideMark/>
          </w:tcPr>
          <w:p w14:paraId="6726E2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59BF55F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220 276,65</w:t>
            </w:r>
          </w:p>
        </w:tc>
        <w:tc>
          <w:tcPr>
            <w:tcW w:w="1276" w:type="dxa"/>
            <w:tcBorders>
              <w:top w:val="nil"/>
              <w:left w:val="nil"/>
              <w:bottom w:val="nil"/>
              <w:right w:val="single" w:sz="8" w:space="0" w:color="auto"/>
            </w:tcBorders>
            <w:shd w:val="clear" w:color="000000" w:fill="FFFFFF"/>
            <w:noWrap/>
            <w:vAlign w:val="center"/>
            <w:hideMark/>
          </w:tcPr>
          <w:p w14:paraId="1C512C5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473 856,37</w:t>
            </w:r>
          </w:p>
        </w:tc>
        <w:tc>
          <w:tcPr>
            <w:tcW w:w="1229" w:type="dxa"/>
            <w:tcBorders>
              <w:top w:val="nil"/>
              <w:left w:val="nil"/>
              <w:bottom w:val="nil"/>
              <w:right w:val="single" w:sz="8" w:space="0" w:color="auto"/>
            </w:tcBorders>
            <w:shd w:val="clear" w:color="000000" w:fill="FFFFFF"/>
            <w:noWrap/>
            <w:vAlign w:val="center"/>
            <w:hideMark/>
          </w:tcPr>
          <w:p w14:paraId="711DB52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694 133,02</w:t>
            </w:r>
          </w:p>
        </w:tc>
      </w:tr>
      <w:tr w:rsidR="00AE7424" w:rsidRPr="00AE7424" w14:paraId="21FC194B"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51A78BB"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LETONIA</w:t>
            </w:r>
          </w:p>
        </w:tc>
        <w:tc>
          <w:tcPr>
            <w:tcW w:w="832" w:type="dxa"/>
            <w:tcBorders>
              <w:top w:val="nil"/>
              <w:left w:val="nil"/>
              <w:bottom w:val="nil"/>
              <w:right w:val="single" w:sz="8" w:space="0" w:color="auto"/>
            </w:tcBorders>
            <w:shd w:val="clear" w:color="000000" w:fill="FFFFFF"/>
            <w:noWrap/>
            <w:vAlign w:val="center"/>
            <w:hideMark/>
          </w:tcPr>
          <w:p w14:paraId="639651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18C0DAB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0,07</w:t>
            </w:r>
          </w:p>
        </w:tc>
        <w:tc>
          <w:tcPr>
            <w:tcW w:w="880" w:type="dxa"/>
            <w:tcBorders>
              <w:top w:val="nil"/>
              <w:left w:val="nil"/>
              <w:bottom w:val="nil"/>
              <w:right w:val="single" w:sz="8" w:space="0" w:color="auto"/>
            </w:tcBorders>
            <w:shd w:val="clear" w:color="000000" w:fill="FFFFFF"/>
            <w:noWrap/>
            <w:vAlign w:val="center"/>
            <w:hideMark/>
          </w:tcPr>
          <w:p w14:paraId="3992673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0,0822</w:t>
            </w:r>
          </w:p>
        </w:tc>
        <w:tc>
          <w:tcPr>
            <w:tcW w:w="880" w:type="dxa"/>
            <w:tcBorders>
              <w:top w:val="nil"/>
              <w:left w:val="nil"/>
              <w:bottom w:val="nil"/>
              <w:right w:val="nil"/>
            </w:tcBorders>
            <w:shd w:val="clear" w:color="000000" w:fill="FFFFFF"/>
            <w:noWrap/>
            <w:vAlign w:val="center"/>
            <w:hideMark/>
          </w:tcPr>
          <w:p w14:paraId="408E2AD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0,11612</w:t>
            </w:r>
          </w:p>
        </w:tc>
        <w:tc>
          <w:tcPr>
            <w:tcW w:w="940" w:type="dxa"/>
            <w:tcBorders>
              <w:top w:val="nil"/>
              <w:left w:val="single" w:sz="8" w:space="0" w:color="auto"/>
              <w:bottom w:val="nil"/>
              <w:right w:val="single" w:sz="8" w:space="0" w:color="auto"/>
            </w:tcBorders>
            <w:shd w:val="clear" w:color="000000" w:fill="FFFFFF"/>
            <w:noWrap/>
            <w:vAlign w:val="center"/>
            <w:hideMark/>
          </w:tcPr>
          <w:p w14:paraId="290EDBC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0,13610</w:t>
            </w:r>
          </w:p>
        </w:tc>
        <w:tc>
          <w:tcPr>
            <w:tcW w:w="1034" w:type="dxa"/>
            <w:tcBorders>
              <w:top w:val="nil"/>
              <w:left w:val="nil"/>
              <w:bottom w:val="nil"/>
              <w:right w:val="nil"/>
            </w:tcBorders>
            <w:shd w:val="clear" w:color="000000" w:fill="FFFFFF"/>
            <w:noWrap/>
            <w:vAlign w:val="center"/>
            <w:hideMark/>
          </w:tcPr>
          <w:p w14:paraId="3A12B2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7A480BA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171 326,28</w:t>
            </w:r>
          </w:p>
        </w:tc>
        <w:tc>
          <w:tcPr>
            <w:tcW w:w="1276" w:type="dxa"/>
            <w:tcBorders>
              <w:top w:val="nil"/>
              <w:left w:val="nil"/>
              <w:bottom w:val="nil"/>
              <w:right w:val="single" w:sz="8" w:space="0" w:color="auto"/>
            </w:tcBorders>
            <w:shd w:val="clear" w:color="000000" w:fill="FFFFFF"/>
            <w:noWrap/>
            <w:vAlign w:val="center"/>
            <w:hideMark/>
          </w:tcPr>
          <w:p w14:paraId="38F3EEF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492 960,06</w:t>
            </w:r>
          </w:p>
        </w:tc>
        <w:tc>
          <w:tcPr>
            <w:tcW w:w="1229" w:type="dxa"/>
            <w:tcBorders>
              <w:top w:val="nil"/>
              <w:left w:val="nil"/>
              <w:bottom w:val="nil"/>
              <w:right w:val="single" w:sz="8" w:space="0" w:color="auto"/>
            </w:tcBorders>
            <w:shd w:val="clear" w:color="000000" w:fill="FFFFFF"/>
            <w:noWrap/>
            <w:vAlign w:val="center"/>
            <w:hideMark/>
          </w:tcPr>
          <w:p w14:paraId="0122755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664 286,34</w:t>
            </w:r>
          </w:p>
        </w:tc>
      </w:tr>
      <w:tr w:rsidR="00AE7424" w:rsidRPr="00AE7424" w14:paraId="7D6AFCA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5F631CCD"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LITUANIA</w:t>
            </w:r>
          </w:p>
        </w:tc>
        <w:tc>
          <w:tcPr>
            <w:tcW w:w="832" w:type="dxa"/>
            <w:tcBorders>
              <w:top w:val="nil"/>
              <w:left w:val="nil"/>
              <w:bottom w:val="nil"/>
              <w:right w:val="single" w:sz="8" w:space="0" w:color="auto"/>
            </w:tcBorders>
            <w:shd w:val="clear" w:color="000000" w:fill="FFFFFF"/>
            <w:noWrap/>
            <w:vAlign w:val="center"/>
            <w:hideMark/>
          </w:tcPr>
          <w:p w14:paraId="7854BF8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645429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0,12</w:t>
            </w:r>
          </w:p>
        </w:tc>
        <w:tc>
          <w:tcPr>
            <w:tcW w:w="880" w:type="dxa"/>
            <w:tcBorders>
              <w:top w:val="nil"/>
              <w:left w:val="nil"/>
              <w:bottom w:val="nil"/>
              <w:right w:val="single" w:sz="8" w:space="0" w:color="auto"/>
            </w:tcBorders>
            <w:shd w:val="clear" w:color="000000" w:fill="FFFFFF"/>
            <w:noWrap/>
            <w:vAlign w:val="center"/>
            <w:hideMark/>
          </w:tcPr>
          <w:p w14:paraId="0A176CF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0,1409</w:t>
            </w:r>
          </w:p>
        </w:tc>
        <w:tc>
          <w:tcPr>
            <w:tcW w:w="880" w:type="dxa"/>
            <w:tcBorders>
              <w:top w:val="nil"/>
              <w:left w:val="nil"/>
              <w:bottom w:val="nil"/>
              <w:right w:val="nil"/>
            </w:tcBorders>
            <w:shd w:val="clear" w:color="000000" w:fill="FFFFFF"/>
            <w:noWrap/>
            <w:vAlign w:val="center"/>
            <w:hideMark/>
          </w:tcPr>
          <w:p w14:paraId="3FBB699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0,18077</w:t>
            </w:r>
          </w:p>
        </w:tc>
        <w:tc>
          <w:tcPr>
            <w:tcW w:w="940" w:type="dxa"/>
            <w:tcBorders>
              <w:top w:val="nil"/>
              <w:left w:val="single" w:sz="8" w:space="0" w:color="auto"/>
              <w:bottom w:val="nil"/>
              <w:right w:val="single" w:sz="8" w:space="0" w:color="auto"/>
            </w:tcBorders>
            <w:shd w:val="clear" w:color="000000" w:fill="FFFFFF"/>
            <w:noWrap/>
            <w:vAlign w:val="center"/>
            <w:hideMark/>
          </w:tcPr>
          <w:p w14:paraId="13CD978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0,21187</w:t>
            </w:r>
          </w:p>
        </w:tc>
        <w:tc>
          <w:tcPr>
            <w:tcW w:w="1034" w:type="dxa"/>
            <w:tcBorders>
              <w:top w:val="nil"/>
              <w:left w:val="nil"/>
              <w:bottom w:val="nil"/>
              <w:right w:val="nil"/>
            </w:tcBorders>
            <w:shd w:val="clear" w:color="000000" w:fill="FFFFFF"/>
            <w:noWrap/>
            <w:vAlign w:val="center"/>
            <w:hideMark/>
          </w:tcPr>
          <w:p w14:paraId="5139C95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0EDDF2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293 702,20</w:t>
            </w:r>
          </w:p>
        </w:tc>
        <w:tc>
          <w:tcPr>
            <w:tcW w:w="1276" w:type="dxa"/>
            <w:tcBorders>
              <w:top w:val="nil"/>
              <w:left w:val="nil"/>
              <w:bottom w:val="nil"/>
              <w:right w:val="single" w:sz="8" w:space="0" w:color="auto"/>
            </w:tcBorders>
            <w:shd w:val="clear" w:color="000000" w:fill="FFFFFF"/>
            <w:noWrap/>
            <w:vAlign w:val="center"/>
            <w:hideMark/>
          </w:tcPr>
          <w:p w14:paraId="3096BF2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767 416,37</w:t>
            </w:r>
          </w:p>
        </w:tc>
        <w:tc>
          <w:tcPr>
            <w:tcW w:w="1229" w:type="dxa"/>
            <w:tcBorders>
              <w:top w:val="nil"/>
              <w:left w:val="nil"/>
              <w:bottom w:val="nil"/>
              <w:right w:val="single" w:sz="8" w:space="0" w:color="auto"/>
            </w:tcBorders>
            <w:shd w:val="clear" w:color="000000" w:fill="FFFFFF"/>
            <w:noWrap/>
            <w:vAlign w:val="center"/>
            <w:hideMark/>
          </w:tcPr>
          <w:p w14:paraId="222EEDF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1 061 118,57</w:t>
            </w:r>
          </w:p>
        </w:tc>
      </w:tr>
      <w:tr w:rsidR="00AE7424" w:rsidRPr="00AE7424" w14:paraId="5AE8DFD6"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6CA00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LUXEMBOURG</w:t>
            </w:r>
          </w:p>
        </w:tc>
        <w:tc>
          <w:tcPr>
            <w:tcW w:w="832" w:type="dxa"/>
            <w:tcBorders>
              <w:top w:val="nil"/>
              <w:left w:val="nil"/>
              <w:bottom w:val="nil"/>
              <w:right w:val="single" w:sz="8" w:space="0" w:color="auto"/>
            </w:tcBorders>
            <w:shd w:val="clear" w:color="000000" w:fill="FFFFFF"/>
            <w:noWrap/>
            <w:vAlign w:val="center"/>
            <w:hideMark/>
          </w:tcPr>
          <w:p w14:paraId="3E43763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0,29</w:t>
            </w:r>
          </w:p>
        </w:tc>
        <w:tc>
          <w:tcPr>
            <w:tcW w:w="820" w:type="dxa"/>
            <w:tcBorders>
              <w:top w:val="nil"/>
              <w:left w:val="nil"/>
              <w:bottom w:val="nil"/>
              <w:right w:val="single" w:sz="8" w:space="0" w:color="auto"/>
            </w:tcBorders>
            <w:shd w:val="clear" w:color="000000" w:fill="FFFFFF"/>
            <w:noWrap/>
            <w:vAlign w:val="center"/>
            <w:hideMark/>
          </w:tcPr>
          <w:p w14:paraId="3D1B281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0,27</w:t>
            </w:r>
          </w:p>
        </w:tc>
        <w:tc>
          <w:tcPr>
            <w:tcW w:w="880" w:type="dxa"/>
            <w:tcBorders>
              <w:top w:val="nil"/>
              <w:left w:val="nil"/>
              <w:bottom w:val="nil"/>
              <w:right w:val="single" w:sz="8" w:space="0" w:color="auto"/>
            </w:tcBorders>
            <w:shd w:val="clear" w:color="000000" w:fill="FFFFFF"/>
            <w:noWrap/>
            <w:vAlign w:val="center"/>
            <w:hideMark/>
          </w:tcPr>
          <w:p w14:paraId="55DE14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0,3170</w:t>
            </w:r>
          </w:p>
        </w:tc>
        <w:tc>
          <w:tcPr>
            <w:tcW w:w="880" w:type="dxa"/>
            <w:tcBorders>
              <w:top w:val="nil"/>
              <w:left w:val="nil"/>
              <w:bottom w:val="nil"/>
              <w:right w:val="nil"/>
            </w:tcBorders>
            <w:shd w:val="clear" w:color="000000" w:fill="FFFFFF"/>
            <w:noWrap/>
            <w:vAlign w:val="center"/>
            <w:hideMark/>
          </w:tcPr>
          <w:p w14:paraId="43B9256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0,25509</w:t>
            </w:r>
          </w:p>
        </w:tc>
        <w:tc>
          <w:tcPr>
            <w:tcW w:w="940" w:type="dxa"/>
            <w:tcBorders>
              <w:top w:val="nil"/>
              <w:left w:val="single" w:sz="8" w:space="0" w:color="auto"/>
              <w:bottom w:val="nil"/>
              <w:right w:val="single" w:sz="8" w:space="0" w:color="auto"/>
            </w:tcBorders>
            <w:shd w:val="clear" w:color="000000" w:fill="FFFFFF"/>
            <w:noWrap/>
            <w:vAlign w:val="center"/>
            <w:hideMark/>
          </w:tcPr>
          <w:p w14:paraId="30DC50C2"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0,29898</w:t>
            </w:r>
          </w:p>
        </w:tc>
        <w:tc>
          <w:tcPr>
            <w:tcW w:w="1034" w:type="dxa"/>
            <w:tcBorders>
              <w:top w:val="nil"/>
              <w:left w:val="nil"/>
              <w:bottom w:val="nil"/>
              <w:right w:val="nil"/>
            </w:tcBorders>
            <w:shd w:val="clear" w:color="000000" w:fill="FFFFFF"/>
            <w:noWrap/>
            <w:vAlign w:val="center"/>
            <w:hideMark/>
          </w:tcPr>
          <w:p w14:paraId="0F12FDB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3 237,81</w:t>
            </w:r>
          </w:p>
        </w:tc>
        <w:tc>
          <w:tcPr>
            <w:tcW w:w="1276" w:type="dxa"/>
            <w:tcBorders>
              <w:top w:val="nil"/>
              <w:left w:val="single" w:sz="8" w:space="0" w:color="auto"/>
              <w:bottom w:val="nil"/>
              <w:right w:val="single" w:sz="8" w:space="0" w:color="auto"/>
            </w:tcBorders>
            <w:shd w:val="clear" w:color="000000" w:fill="FFFFFF"/>
            <w:noWrap/>
            <w:vAlign w:val="center"/>
            <w:hideMark/>
          </w:tcPr>
          <w:p w14:paraId="669D1EA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660 829,94</w:t>
            </w:r>
          </w:p>
        </w:tc>
        <w:tc>
          <w:tcPr>
            <w:tcW w:w="1276" w:type="dxa"/>
            <w:tcBorders>
              <w:top w:val="nil"/>
              <w:left w:val="nil"/>
              <w:bottom w:val="nil"/>
              <w:right w:val="single" w:sz="8" w:space="0" w:color="auto"/>
            </w:tcBorders>
            <w:shd w:val="clear" w:color="000000" w:fill="FFFFFF"/>
            <w:noWrap/>
            <w:vAlign w:val="center"/>
            <w:hideMark/>
          </w:tcPr>
          <w:p w14:paraId="34AD516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1 082 924,40</w:t>
            </w:r>
          </w:p>
        </w:tc>
        <w:tc>
          <w:tcPr>
            <w:tcW w:w="1229" w:type="dxa"/>
            <w:tcBorders>
              <w:top w:val="nil"/>
              <w:left w:val="nil"/>
              <w:bottom w:val="nil"/>
              <w:right w:val="single" w:sz="8" w:space="0" w:color="auto"/>
            </w:tcBorders>
            <w:shd w:val="clear" w:color="000000" w:fill="FFFFFF"/>
            <w:noWrap/>
            <w:vAlign w:val="center"/>
            <w:hideMark/>
          </w:tcPr>
          <w:p w14:paraId="7818650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1 746 992,15</w:t>
            </w:r>
          </w:p>
        </w:tc>
      </w:tr>
      <w:tr w:rsidR="00AE7424" w:rsidRPr="00AE7424" w14:paraId="03421C7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32DFFF5E"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HUNGRÍA</w:t>
            </w:r>
          </w:p>
        </w:tc>
        <w:tc>
          <w:tcPr>
            <w:tcW w:w="832" w:type="dxa"/>
            <w:tcBorders>
              <w:top w:val="nil"/>
              <w:left w:val="nil"/>
              <w:bottom w:val="nil"/>
              <w:right w:val="single" w:sz="8" w:space="0" w:color="auto"/>
            </w:tcBorders>
            <w:shd w:val="clear" w:color="000000" w:fill="FFFFFF"/>
            <w:noWrap/>
            <w:vAlign w:val="center"/>
            <w:hideMark/>
          </w:tcPr>
          <w:p w14:paraId="56547ED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0292886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0,55</w:t>
            </w:r>
          </w:p>
        </w:tc>
        <w:tc>
          <w:tcPr>
            <w:tcW w:w="880" w:type="dxa"/>
            <w:tcBorders>
              <w:top w:val="nil"/>
              <w:left w:val="nil"/>
              <w:bottom w:val="nil"/>
              <w:right w:val="single" w:sz="8" w:space="0" w:color="auto"/>
            </w:tcBorders>
            <w:shd w:val="clear" w:color="000000" w:fill="FFFFFF"/>
            <w:noWrap/>
            <w:vAlign w:val="center"/>
            <w:hideMark/>
          </w:tcPr>
          <w:p w14:paraId="4A8679E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0,6457</w:t>
            </w:r>
          </w:p>
        </w:tc>
        <w:tc>
          <w:tcPr>
            <w:tcW w:w="880" w:type="dxa"/>
            <w:tcBorders>
              <w:top w:val="nil"/>
              <w:left w:val="nil"/>
              <w:bottom w:val="nil"/>
              <w:right w:val="nil"/>
            </w:tcBorders>
            <w:shd w:val="clear" w:color="000000" w:fill="FFFFFF"/>
            <w:noWrap/>
            <w:vAlign w:val="center"/>
            <w:hideMark/>
          </w:tcPr>
          <w:p w14:paraId="24007C0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0,61456</w:t>
            </w:r>
          </w:p>
        </w:tc>
        <w:tc>
          <w:tcPr>
            <w:tcW w:w="940" w:type="dxa"/>
            <w:tcBorders>
              <w:top w:val="nil"/>
              <w:left w:val="single" w:sz="8" w:space="0" w:color="auto"/>
              <w:bottom w:val="nil"/>
              <w:right w:val="single" w:sz="8" w:space="0" w:color="auto"/>
            </w:tcBorders>
            <w:shd w:val="clear" w:color="000000" w:fill="FFFFFF"/>
            <w:noWrap/>
            <w:vAlign w:val="center"/>
            <w:hideMark/>
          </w:tcPr>
          <w:p w14:paraId="41A1E2F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0,72029</w:t>
            </w:r>
          </w:p>
        </w:tc>
        <w:tc>
          <w:tcPr>
            <w:tcW w:w="1034" w:type="dxa"/>
            <w:tcBorders>
              <w:top w:val="nil"/>
              <w:left w:val="nil"/>
              <w:bottom w:val="nil"/>
              <w:right w:val="nil"/>
            </w:tcBorders>
            <w:shd w:val="clear" w:color="000000" w:fill="FFFFFF"/>
            <w:noWrap/>
            <w:vAlign w:val="center"/>
            <w:hideMark/>
          </w:tcPr>
          <w:p w14:paraId="7A8DFFB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49705D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1 346 135,07</w:t>
            </w:r>
          </w:p>
        </w:tc>
        <w:tc>
          <w:tcPr>
            <w:tcW w:w="1276" w:type="dxa"/>
            <w:tcBorders>
              <w:top w:val="nil"/>
              <w:left w:val="nil"/>
              <w:bottom w:val="nil"/>
              <w:right w:val="single" w:sz="8" w:space="0" w:color="auto"/>
            </w:tcBorders>
            <w:shd w:val="clear" w:color="000000" w:fill="FFFFFF"/>
            <w:noWrap/>
            <w:vAlign w:val="center"/>
            <w:hideMark/>
          </w:tcPr>
          <w:p w14:paraId="20C7C92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2 608 969,45</w:t>
            </w:r>
          </w:p>
        </w:tc>
        <w:tc>
          <w:tcPr>
            <w:tcW w:w="1229" w:type="dxa"/>
            <w:tcBorders>
              <w:top w:val="nil"/>
              <w:left w:val="nil"/>
              <w:bottom w:val="nil"/>
              <w:right w:val="single" w:sz="8" w:space="0" w:color="auto"/>
            </w:tcBorders>
            <w:shd w:val="clear" w:color="000000" w:fill="FFFFFF"/>
            <w:noWrap/>
            <w:vAlign w:val="center"/>
            <w:hideMark/>
          </w:tcPr>
          <w:p w14:paraId="2B7D5C1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3 955 104,52</w:t>
            </w:r>
          </w:p>
        </w:tc>
      </w:tr>
      <w:tr w:rsidR="00AE7424" w:rsidRPr="00AE7424" w14:paraId="614B01E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A4BF49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MALTA</w:t>
            </w:r>
          </w:p>
        </w:tc>
        <w:tc>
          <w:tcPr>
            <w:tcW w:w="832" w:type="dxa"/>
            <w:tcBorders>
              <w:top w:val="nil"/>
              <w:left w:val="nil"/>
              <w:bottom w:val="nil"/>
              <w:right w:val="single" w:sz="8" w:space="0" w:color="auto"/>
            </w:tcBorders>
            <w:shd w:val="clear" w:color="000000" w:fill="FFFFFF"/>
            <w:noWrap/>
            <w:vAlign w:val="center"/>
            <w:hideMark/>
          </w:tcPr>
          <w:p w14:paraId="6EF28D5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6A24F63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w:t>
            </w:r>
          </w:p>
        </w:tc>
        <w:tc>
          <w:tcPr>
            <w:tcW w:w="880" w:type="dxa"/>
            <w:tcBorders>
              <w:top w:val="nil"/>
              <w:left w:val="nil"/>
              <w:bottom w:val="nil"/>
              <w:right w:val="single" w:sz="8" w:space="0" w:color="auto"/>
            </w:tcBorders>
            <w:shd w:val="clear" w:color="000000" w:fill="FFFFFF"/>
            <w:noWrap/>
            <w:vAlign w:val="center"/>
            <w:hideMark/>
          </w:tcPr>
          <w:p w14:paraId="2707151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0,0352</w:t>
            </w:r>
          </w:p>
        </w:tc>
        <w:tc>
          <w:tcPr>
            <w:tcW w:w="880" w:type="dxa"/>
            <w:tcBorders>
              <w:top w:val="nil"/>
              <w:left w:val="nil"/>
              <w:bottom w:val="nil"/>
              <w:right w:val="nil"/>
            </w:tcBorders>
            <w:shd w:val="clear" w:color="000000" w:fill="FFFFFF"/>
            <w:noWrap/>
            <w:vAlign w:val="center"/>
            <w:hideMark/>
          </w:tcPr>
          <w:p w14:paraId="55C1F80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0,03801</w:t>
            </w:r>
          </w:p>
        </w:tc>
        <w:tc>
          <w:tcPr>
            <w:tcW w:w="940" w:type="dxa"/>
            <w:tcBorders>
              <w:top w:val="nil"/>
              <w:left w:val="single" w:sz="8" w:space="0" w:color="auto"/>
              <w:bottom w:val="nil"/>
              <w:right w:val="single" w:sz="8" w:space="0" w:color="auto"/>
            </w:tcBorders>
            <w:shd w:val="clear" w:color="000000" w:fill="FFFFFF"/>
            <w:noWrap/>
            <w:vAlign w:val="center"/>
            <w:hideMark/>
          </w:tcPr>
          <w:p w14:paraId="0D547C4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0,04455</w:t>
            </w:r>
          </w:p>
        </w:tc>
        <w:tc>
          <w:tcPr>
            <w:tcW w:w="1034" w:type="dxa"/>
            <w:tcBorders>
              <w:top w:val="nil"/>
              <w:left w:val="nil"/>
              <w:bottom w:val="nil"/>
              <w:right w:val="nil"/>
            </w:tcBorders>
            <w:shd w:val="clear" w:color="000000" w:fill="FFFFFF"/>
            <w:noWrap/>
            <w:vAlign w:val="center"/>
            <w:hideMark/>
          </w:tcPr>
          <w:p w14:paraId="7D31A7C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74FE8FA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73 425,55</w:t>
            </w:r>
          </w:p>
        </w:tc>
        <w:tc>
          <w:tcPr>
            <w:tcW w:w="1276" w:type="dxa"/>
            <w:tcBorders>
              <w:top w:val="nil"/>
              <w:left w:val="nil"/>
              <w:bottom w:val="nil"/>
              <w:right w:val="single" w:sz="8" w:space="0" w:color="auto"/>
            </w:tcBorders>
            <w:shd w:val="clear" w:color="000000" w:fill="FFFFFF"/>
            <w:noWrap/>
            <w:vAlign w:val="center"/>
            <w:hideMark/>
          </w:tcPr>
          <w:p w14:paraId="64D8E39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161 362,48</w:t>
            </w:r>
          </w:p>
        </w:tc>
        <w:tc>
          <w:tcPr>
            <w:tcW w:w="1229" w:type="dxa"/>
            <w:tcBorders>
              <w:top w:val="nil"/>
              <w:left w:val="nil"/>
              <w:bottom w:val="nil"/>
              <w:right w:val="single" w:sz="8" w:space="0" w:color="auto"/>
            </w:tcBorders>
            <w:shd w:val="clear" w:color="000000" w:fill="FFFFFF"/>
            <w:noWrap/>
            <w:vAlign w:val="center"/>
            <w:hideMark/>
          </w:tcPr>
          <w:p w14:paraId="6F9FD21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234 788,03</w:t>
            </w:r>
          </w:p>
        </w:tc>
      </w:tr>
      <w:tr w:rsidR="00AE7424" w:rsidRPr="00AE7424" w14:paraId="6D1FDC1E"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5952DC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PAÍSES BAJOS</w:t>
            </w:r>
          </w:p>
        </w:tc>
        <w:tc>
          <w:tcPr>
            <w:tcW w:w="832" w:type="dxa"/>
            <w:tcBorders>
              <w:top w:val="nil"/>
              <w:left w:val="nil"/>
              <w:bottom w:val="nil"/>
              <w:right w:val="single" w:sz="8" w:space="0" w:color="auto"/>
            </w:tcBorders>
            <w:shd w:val="clear" w:color="000000" w:fill="FFFFFF"/>
            <w:noWrap/>
            <w:vAlign w:val="center"/>
            <w:hideMark/>
          </w:tcPr>
          <w:p w14:paraId="1709CE8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5,22</w:t>
            </w:r>
          </w:p>
        </w:tc>
        <w:tc>
          <w:tcPr>
            <w:tcW w:w="820" w:type="dxa"/>
            <w:tcBorders>
              <w:top w:val="nil"/>
              <w:left w:val="nil"/>
              <w:bottom w:val="nil"/>
              <w:right w:val="single" w:sz="8" w:space="0" w:color="auto"/>
            </w:tcBorders>
            <w:shd w:val="clear" w:color="000000" w:fill="FFFFFF"/>
            <w:noWrap/>
            <w:vAlign w:val="center"/>
            <w:hideMark/>
          </w:tcPr>
          <w:p w14:paraId="6E44394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4,85</w:t>
            </w:r>
          </w:p>
        </w:tc>
        <w:tc>
          <w:tcPr>
            <w:tcW w:w="880" w:type="dxa"/>
            <w:tcBorders>
              <w:top w:val="nil"/>
              <w:left w:val="nil"/>
              <w:bottom w:val="nil"/>
              <w:right w:val="single" w:sz="8" w:space="0" w:color="auto"/>
            </w:tcBorders>
            <w:shd w:val="clear" w:color="000000" w:fill="FFFFFF"/>
            <w:noWrap/>
            <w:vAlign w:val="center"/>
            <w:hideMark/>
          </w:tcPr>
          <w:p w14:paraId="4A57244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5,6938</w:t>
            </w:r>
          </w:p>
        </w:tc>
        <w:tc>
          <w:tcPr>
            <w:tcW w:w="880" w:type="dxa"/>
            <w:tcBorders>
              <w:top w:val="nil"/>
              <w:left w:val="nil"/>
              <w:bottom w:val="nil"/>
              <w:right w:val="nil"/>
            </w:tcBorders>
            <w:shd w:val="clear" w:color="000000" w:fill="FFFFFF"/>
            <w:noWrap/>
            <w:vAlign w:val="center"/>
            <w:hideMark/>
          </w:tcPr>
          <w:p w14:paraId="0C17817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4,77678</w:t>
            </w:r>
          </w:p>
        </w:tc>
        <w:tc>
          <w:tcPr>
            <w:tcW w:w="940" w:type="dxa"/>
            <w:tcBorders>
              <w:top w:val="nil"/>
              <w:left w:val="single" w:sz="8" w:space="0" w:color="auto"/>
              <w:bottom w:val="nil"/>
              <w:right w:val="single" w:sz="8" w:space="0" w:color="auto"/>
            </w:tcBorders>
            <w:shd w:val="clear" w:color="000000" w:fill="FFFFFF"/>
            <w:noWrap/>
            <w:vAlign w:val="center"/>
            <w:hideMark/>
          </w:tcPr>
          <w:p w14:paraId="7CCDE17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5,59857</w:t>
            </w:r>
          </w:p>
        </w:tc>
        <w:tc>
          <w:tcPr>
            <w:tcW w:w="1034" w:type="dxa"/>
            <w:tcBorders>
              <w:top w:val="nil"/>
              <w:left w:val="nil"/>
              <w:bottom w:val="nil"/>
              <w:right w:val="nil"/>
            </w:tcBorders>
            <w:shd w:val="clear" w:color="000000" w:fill="FFFFFF"/>
            <w:noWrap/>
            <w:vAlign w:val="center"/>
            <w:hideMark/>
          </w:tcPr>
          <w:p w14:paraId="014F26B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58 280,65</w:t>
            </w:r>
          </w:p>
        </w:tc>
        <w:tc>
          <w:tcPr>
            <w:tcW w:w="1276" w:type="dxa"/>
            <w:tcBorders>
              <w:top w:val="nil"/>
              <w:left w:val="single" w:sz="8" w:space="0" w:color="auto"/>
              <w:bottom w:val="nil"/>
              <w:right w:val="single" w:sz="8" w:space="0" w:color="auto"/>
            </w:tcBorders>
            <w:shd w:val="clear" w:color="000000" w:fill="FFFFFF"/>
            <w:noWrap/>
            <w:vAlign w:val="center"/>
            <w:hideMark/>
          </w:tcPr>
          <w:p w14:paraId="548BF80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11 870 463,76</w:t>
            </w:r>
          </w:p>
        </w:tc>
        <w:tc>
          <w:tcPr>
            <w:tcW w:w="1276" w:type="dxa"/>
            <w:tcBorders>
              <w:top w:val="nil"/>
              <w:left w:val="nil"/>
              <w:bottom w:val="nil"/>
              <w:right w:val="single" w:sz="8" w:space="0" w:color="auto"/>
            </w:tcBorders>
            <w:shd w:val="clear" w:color="000000" w:fill="FFFFFF"/>
            <w:noWrap/>
            <w:vAlign w:val="center"/>
            <w:hideMark/>
          </w:tcPr>
          <w:p w14:paraId="18B78A2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20 278 692,21</w:t>
            </w:r>
          </w:p>
        </w:tc>
        <w:tc>
          <w:tcPr>
            <w:tcW w:w="1229" w:type="dxa"/>
            <w:tcBorders>
              <w:top w:val="nil"/>
              <w:left w:val="nil"/>
              <w:bottom w:val="nil"/>
              <w:right w:val="single" w:sz="8" w:space="0" w:color="auto"/>
            </w:tcBorders>
            <w:shd w:val="clear" w:color="000000" w:fill="FFFFFF"/>
            <w:noWrap/>
            <w:vAlign w:val="center"/>
            <w:hideMark/>
          </w:tcPr>
          <w:p w14:paraId="543AC18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32 207 436,63</w:t>
            </w:r>
          </w:p>
        </w:tc>
      </w:tr>
      <w:tr w:rsidR="00AE7424" w:rsidRPr="00AE7424" w14:paraId="6C34DE98"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A4C56F1"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AUSTRIA</w:t>
            </w:r>
          </w:p>
        </w:tc>
        <w:tc>
          <w:tcPr>
            <w:tcW w:w="832" w:type="dxa"/>
            <w:tcBorders>
              <w:top w:val="nil"/>
              <w:left w:val="nil"/>
              <w:bottom w:val="nil"/>
              <w:right w:val="single" w:sz="8" w:space="0" w:color="auto"/>
            </w:tcBorders>
            <w:shd w:val="clear" w:color="000000" w:fill="FFFFFF"/>
            <w:noWrap/>
            <w:vAlign w:val="center"/>
            <w:hideMark/>
          </w:tcPr>
          <w:p w14:paraId="5DB0590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2,65</w:t>
            </w:r>
          </w:p>
        </w:tc>
        <w:tc>
          <w:tcPr>
            <w:tcW w:w="820" w:type="dxa"/>
            <w:tcBorders>
              <w:top w:val="nil"/>
              <w:left w:val="nil"/>
              <w:bottom w:val="nil"/>
              <w:right w:val="single" w:sz="8" w:space="0" w:color="auto"/>
            </w:tcBorders>
            <w:shd w:val="clear" w:color="000000" w:fill="FFFFFF"/>
            <w:noWrap/>
            <w:vAlign w:val="center"/>
            <w:hideMark/>
          </w:tcPr>
          <w:p w14:paraId="5155518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2,41</w:t>
            </w:r>
          </w:p>
        </w:tc>
        <w:tc>
          <w:tcPr>
            <w:tcW w:w="880" w:type="dxa"/>
            <w:tcBorders>
              <w:top w:val="nil"/>
              <w:left w:val="nil"/>
              <w:bottom w:val="nil"/>
              <w:right w:val="single" w:sz="8" w:space="0" w:color="auto"/>
            </w:tcBorders>
            <w:shd w:val="clear" w:color="000000" w:fill="FFFFFF"/>
            <w:noWrap/>
            <w:vAlign w:val="center"/>
            <w:hideMark/>
          </w:tcPr>
          <w:p w14:paraId="5125103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2,8293</w:t>
            </w:r>
          </w:p>
        </w:tc>
        <w:tc>
          <w:tcPr>
            <w:tcW w:w="880" w:type="dxa"/>
            <w:tcBorders>
              <w:top w:val="nil"/>
              <w:left w:val="nil"/>
              <w:bottom w:val="nil"/>
              <w:right w:val="nil"/>
            </w:tcBorders>
            <w:shd w:val="clear" w:color="000000" w:fill="FFFFFF"/>
            <w:noWrap/>
            <w:vAlign w:val="center"/>
            <w:hideMark/>
          </w:tcPr>
          <w:p w14:paraId="15EBF0F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2,39757</w:t>
            </w:r>
          </w:p>
        </w:tc>
        <w:tc>
          <w:tcPr>
            <w:tcW w:w="940" w:type="dxa"/>
            <w:tcBorders>
              <w:top w:val="nil"/>
              <w:left w:val="single" w:sz="8" w:space="0" w:color="auto"/>
              <w:bottom w:val="nil"/>
              <w:right w:val="single" w:sz="8" w:space="0" w:color="auto"/>
            </w:tcBorders>
            <w:shd w:val="clear" w:color="000000" w:fill="FFFFFF"/>
            <w:noWrap/>
            <w:vAlign w:val="center"/>
            <w:hideMark/>
          </w:tcPr>
          <w:p w14:paraId="1787E53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2,81005</w:t>
            </w:r>
          </w:p>
        </w:tc>
        <w:tc>
          <w:tcPr>
            <w:tcW w:w="1034" w:type="dxa"/>
            <w:tcBorders>
              <w:top w:val="nil"/>
              <w:left w:val="nil"/>
              <w:bottom w:val="nil"/>
              <w:right w:val="nil"/>
            </w:tcBorders>
            <w:shd w:val="clear" w:color="000000" w:fill="FFFFFF"/>
            <w:noWrap/>
            <w:vAlign w:val="center"/>
            <w:hideMark/>
          </w:tcPr>
          <w:p w14:paraId="5370116B"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29 586,92</w:t>
            </w:r>
          </w:p>
        </w:tc>
        <w:tc>
          <w:tcPr>
            <w:tcW w:w="1276" w:type="dxa"/>
            <w:tcBorders>
              <w:top w:val="nil"/>
              <w:left w:val="single" w:sz="8" w:space="0" w:color="auto"/>
              <w:bottom w:val="nil"/>
              <w:right w:val="single" w:sz="8" w:space="0" w:color="auto"/>
            </w:tcBorders>
            <w:shd w:val="clear" w:color="000000" w:fill="FFFFFF"/>
            <w:noWrap/>
            <w:vAlign w:val="center"/>
            <w:hideMark/>
          </w:tcPr>
          <w:p w14:paraId="0D590B7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5 898 519,11</w:t>
            </w:r>
          </w:p>
        </w:tc>
        <w:tc>
          <w:tcPr>
            <w:tcW w:w="1276" w:type="dxa"/>
            <w:tcBorders>
              <w:top w:val="nil"/>
              <w:left w:val="nil"/>
              <w:bottom w:val="nil"/>
              <w:right w:val="single" w:sz="8" w:space="0" w:color="auto"/>
            </w:tcBorders>
            <w:shd w:val="clear" w:color="000000" w:fill="FFFFFF"/>
            <w:noWrap/>
            <w:vAlign w:val="center"/>
            <w:hideMark/>
          </w:tcPr>
          <w:p w14:paraId="2C18B22A"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10 178 317,63</w:t>
            </w:r>
          </w:p>
        </w:tc>
        <w:tc>
          <w:tcPr>
            <w:tcW w:w="1229" w:type="dxa"/>
            <w:tcBorders>
              <w:top w:val="nil"/>
              <w:left w:val="nil"/>
              <w:bottom w:val="nil"/>
              <w:right w:val="single" w:sz="8" w:space="0" w:color="auto"/>
            </w:tcBorders>
            <w:shd w:val="clear" w:color="000000" w:fill="FFFFFF"/>
            <w:noWrap/>
            <w:vAlign w:val="center"/>
            <w:hideMark/>
          </w:tcPr>
          <w:p w14:paraId="4A77AD0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16 106 423,66</w:t>
            </w:r>
          </w:p>
        </w:tc>
      </w:tr>
      <w:tr w:rsidR="00AE7424" w:rsidRPr="00AE7424" w14:paraId="65DA4BA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434C6840"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POLONIA</w:t>
            </w:r>
          </w:p>
        </w:tc>
        <w:tc>
          <w:tcPr>
            <w:tcW w:w="832" w:type="dxa"/>
            <w:tcBorders>
              <w:top w:val="nil"/>
              <w:left w:val="nil"/>
              <w:bottom w:val="nil"/>
              <w:right w:val="single" w:sz="8" w:space="0" w:color="auto"/>
            </w:tcBorders>
            <w:shd w:val="clear" w:color="000000" w:fill="FFFFFF"/>
            <w:noWrap/>
            <w:vAlign w:val="center"/>
            <w:hideMark/>
          </w:tcPr>
          <w:p w14:paraId="654842F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203E67F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1,30</w:t>
            </w:r>
          </w:p>
        </w:tc>
        <w:tc>
          <w:tcPr>
            <w:tcW w:w="880" w:type="dxa"/>
            <w:tcBorders>
              <w:top w:val="nil"/>
              <w:left w:val="nil"/>
              <w:bottom w:val="nil"/>
              <w:right w:val="single" w:sz="8" w:space="0" w:color="auto"/>
            </w:tcBorders>
            <w:shd w:val="clear" w:color="000000" w:fill="FFFFFF"/>
            <w:noWrap/>
            <w:vAlign w:val="center"/>
            <w:hideMark/>
          </w:tcPr>
          <w:p w14:paraId="1526F48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1,5262</w:t>
            </w:r>
          </w:p>
        </w:tc>
        <w:tc>
          <w:tcPr>
            <w:tcW w:w="880" w:type="dxa"/>
            <w:tcBorders>
              <w:top w:val="nil"/>
              <w:left w:val="nil"/>
              <w:bottom w:val="nil"/>
              <w:right w:val="nil"/>
            </w:tcBorders>
            <w:shd w:val="clear" w:color="000000" w:fill="FFFFFF"/>
            <w:noWrap/>
            <w:vAlign w:val="center"/>
            <w:hideMark/>
          </w:tcPr>
          <w:p w14:paraId="127EABD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2,00734</w:t>
            </w:r>
          </w:p>
        </w:tc>
        <w:tc>
          <w:tcPr>
            <w:tcW w:w="940" w:type="dxa"/>
            <w:tcBorders>
              <w:top w:val="nil"/>
              <w:left w:val="single" w:sz="8" w:space="0" w:color="auto"/>
              <w:bottom w:val="nil"/>
              <w:right w:val="single" w:sz="8" w:space="0" w:color="auto"/>
            </w:tcBorders>
            <w:shd w:val="clear" w:color="000000" w:fill="FFFFFF"/>
            <w:noWrap/>
            <w:vAlign w:val="center"/>
            <w:hideMark/>
          </w:tcPr>
          <w:p w14:paraId="2092382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2,35268</w:t>
            </w:r>
          </w:p>
        </w:tc>
        <w:tc>
          <w:tcPr>
            <w:tcW w:w="1034" w:type="dxa"/>
            <w:tcBorders>
              <w:top w:val="nil"/>
              <w:left w:val="nil"/>
              <w:bottom w:val="nil"/>
              <w:right w:val="nil"/>
            </w:tcBorders>
            <w:shd w:val="clear" w:color="000000" w:fill="FFFFFF"/>
            <w:noWrap/>
            <w:vAlign w:val="center"/>
            <w:hideMark/>
          </w:tcPr>
          <w:p w14:paraId="248232F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31E95FE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3 181 773,79</w:t>
            </w:r>
          </w:p>
        </w:tc>
        <w:tc>
          <w:tcPr>
            <w:tcW w:w="1276" w:type="dxa"/>
            <w:tcBorders>
              <w:top w:val="nil"/>
              <w:left w:val="nil"/>
              <w:bottom w:val="nil"/>
              <w:right w:val="single" w:sz="8" w:space="0" w:color="auto"/>
            </w:tcBorders>
            <w:shd w:val="clear" w:color="000000" w:fill="FFFFFF"/>
            <w:noWrap/>
            <w:vAlign w:val="center"/>
            <w:hideMark/>
          </w:tcPr>
          <w:p w14:paraId="61101F2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8 521 688,26</w:t>
            </w:r>
          </w:p>
        </w:tc>
        <w:tc>
          <w:tcPr>
            <w:tcW w:w="1229" w:type="dxa"/>
            <w:tcBorders>
              <w:top w:val="nil"/>
              <w:left w:val="nil"/>
              <w:bottom w:val="nil"/>
              <w:right w:val="single" w:sz="8" w:space="0" w:color="auto"/>
            </w:tcBorders>
            <w:shd w:val="clear" w:color="000000" w:fill="FFFFFF"/>
            <w:noWrap/>
            <w:vAlign w:val="center"/>
            <w:hideMark/>
          </w:tcPr>
          <w:p w14:paraId="4287913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11 703 462,05</w:t>
            </w:r>
          </w:p>
        </w:tc>
      </w:tr>
      <w:tr w:rsidR="00AE7424" w:rsidRPr="00AE7424" w14:paraId="39CA04C4"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2956F1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PORTUGAL</w:t>
            </w:r>
          </w:p>
        </w:tc>
        <w:tc>
          <w:tcPr>
            <w:tcW w:w="832" w:type="dxa"/>
            <w:tcBorders>
              <w:top w:val="nil"/>
              <w:left w:val="nil"/>
              <w:bottom w:val="nil"/>
              <w:right w:val="single" w:sz="8" w:space="0" w:color="auto"/>
            </w:tcBorders>
            <w:shd w:val="clear" w:color="000000" w:fill="FFFFFF"/>
            <w:noWrap/>
            <w:vAlign w:val="center"/>
            <w:hideMark/>
          </w:tcPr>
          <w:p w14:paraId="39D3468E"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0,97</w:t>
            </w:r>
          </w:p>
        </w:tc>
        <w:tc>
          <w:tcPr>
            <w:tcW w:w="820" w:type="dxa"/>
            <w:tcBorders>
              <w:top w:val="nil"/>
              <w:left w:val="nil"/>
              <w:bottom w:val="nil"/>
              <w:right w:val="single" w:sz="8" w:space="0" w:color="auto"/>
            </w:tcBorders>
            <w:shd w:val="clear" w:color="000000" w:fill="FFFFFF"/>
            <w:noWrap/>
            <w:vAlign w:val="center"/>
            <w:hideMark/>
          </w:tcPr>
          <w:p w14:paraId="79468BD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1,15</w:t>
            </w:r>
          </w:p>
        </w:tc>
        <w:tc>
          <w:tcPr>
            <w:tcW w:w="880" w:type="dxa"/>
            <w:tcBorders>
              <w:top w:val="nil"/>
              <w:left w:val="nil"/>
              <w:bottom w:val="nil"/>
              <w:right w:val="single" w:sz="8" w:space="0" w:color="auto"/>
            </w:tcBorders>
            <w:shd w:val="clear" w:color="000000" w:fill="FFFFFF"/>
            <w:noWrap/>
            <w:vAlign w:val="center"/>
            <w:hideMark/>
          </w:tcPr>
          <w:p w14:paraId="226F377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1,3501</w:t>
            </w:r>
          </w:p>
        </w:tc>
        <w:tc>
          <w:tcPr>
            <w:tcW w:w="880" w:type="dxa"/>
            <w:tcBorders>
              <w:top w:val="nil"/>
              <w:left w:val="nil"/>
              <w:bottom w:val="nil"/>
              <w:right w:val="nil"/>
            </w:tcBorders>
            <w:shd w:val="clear" w:color="000000" w:fill="FFFFFF"/>
            <w:noWrap/>
            <w:vAlign w:val="center"/>
            <w:hideMark/>
          </w:tcPr>
          <w:p w14:paraId="1FB0401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1,19679</w:t>
            </w:r>
          </w:p>
        </w:tc>
        <w:tc>
          <w:tcPr>
            <w:tcW w:w="940" w:type="dxa"/>
            <w:tcBorders>
              <w:top w:val="nil"/>
              <w:left w:val="single" w:sz="8" w:space="0" w:color="auto"/>
              <w:bottom w:val="nil"/>
              <w:right w:val="single" w:sz="8" w:space="0" w:color="auto"/>
            </w:tcBorders>
            <w:shd w:val="clear" w:color="000000" w:fill="FFFFFF"/>
            <w:noWrap/>
            <w:vAlign w:val="center"/>
            <w:hideMark/>
          </w:tcPr>
          <w:p w14:paraId="4797034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1,40268</w:t>
            </w:r>
          </w:p>
        </w:tc>
        <w:tc>
          <w:tcPr>
            <w:tcW w:w="1034" w:type="dxa"/>
            <w:tcBorders>
              <w:top w:val="nil"/>
              <w:left w:val="nil"/>
              <w:bottom w:val="nil"/>
              <w:right w:val="nil"/>
            </w:tcBorders>
            <w:shd w:val="clear" w:color="000000" w:fill="FFFFFF"/>
            <w:noWrap/>
            <w:vAlign w:val="center"/>
            <w:hideMark/>
          </w:tcPr>
          <w:p w14:paraId="076678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10 829,93</w:t>
            </w:r>
          </w:p>
        </w:tc>
        <w:tc>
          <w:tcPr>
            <w:tcW w:w="1276" w:type="dxa"/>
            <w:tcBorders>
              <w:top w:val="nil"/>
              <w:left w:val="single" w:sz="8" w:space="0" w:color="auto"/>
              <w:bottom w:val="nil"/>
              <w:right w:val="single" w:sz="8" w:space="0" w:color="auto"/>
            </w:tcBorders>
            <w:shd w:val="clear" w:color="000000" w:fill="FFFFFF"/>
            <w:noWrap/>
            <w:vAlign w:val="center"/>
            <w:hideMark/>
          </w:tcPr>
          <w:p w14:paraId="011AD3E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2 814 646,05</w:t>
            </w:r>
          </w:p>
        </w:tc>
        <w:tc>
          <w:tcPr>
            <w:tcW w:w="1276" w:type="dxa"/>
            <w:tcBorders>
              <w:top w:val="nil"/>
              <w:left w:val="nil"/>
              <w:bottom w:val="nil"/>
              <w:right w:val="single" w:sz="8" w:space="0" w:color="auto"/>
            </w:tcBorders>
            <w:shd w:val="clear" w:color="000000" w:fill="FFFFFF"/>
            <w:noWrap/>
            <w:vAlign w:val="center"/>
            <w:hideMark/>
          </w:tcPr>
          <w:p w14:paraId="7D3FA61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5 080 689,51</w:t>
            </w:r>
          </w:p>
        </w:tc>
        <w:tc>
          <w:tcPr>
            <w:tcW w:w="1229" w:type="dxa"/>
            <w:tcBorders>
              <w:top w:val="nil"/>
              <w:left w:val="nil"/>
              <w:bottom w:val="nil"/>
              <w:right w:val="single" w:sz="8" w:space="0" w:color="auto"/>
            </w:tcBorders>
            <w:shd w:val="clear" w:color="000000" w:fill="FFFFFF"/>
            <w:noWrap/>
            <w:vAlign w:val="center"/>
            <w:hideMark/>
          </w:tcPr>
          <w:p w14:paraId="0DD4DA5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7 906 165,49</w:t>
            </w:r>
          </w:p>
        </w:tc>
      </w:tr>
      <w:tr w:rsidR="00AE7424" w:rsidRPr="00AE7424" w14:paraId="2E76522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1625AB06"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RUMANÍA</w:t>
            </w:r>
          </w:p>
        </w:tc>
        <w:tc>
          <w:tcPr>
            <w:tcW w:w="832" w:type="dxa"/>
            <w:tcBorders>
              <w:top w:val="nil"/>
              <w:left w:val="nil"/>
              <w:bottom w:val="nil"/>
              <w:right w:val="single" w:sz="8" w:space="0" w:color="auto"/>
            </w:tcBorders>
            <w:shd w:val="clear" w:color="000000" w:fill="FFFFFF"/>
            <w:noWrap/>
            <w:vAlign w:val="center"/>
            <w:hideMark/>
          </w:tcPr>
          <w:p w14:paraId="3E1EB42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3AF25E7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0,37</w:t>
            </w:r>
          </w:p>
        </w:tc>
        <w:tc>
          <w:tcPr>
            <w:tcW w:w="880" w:type="dxa"/>
            <w:tcBorders>
              <w:top w:val="nil"/>
              <w:left w:val="nil"/>
              <w:bottom w:val="nil"/>
              <w:right w:val="single" w:sz="8" w:space="0" w:color="auto"/>
            </w:tcBorders>
            <w:shd w:val="clear" w:color="000000" w:fill="FFFFFF"/>
            <w:noWrap/>
            <w:vAlign w:val="center"/>
            <w:hideMark/>
          </w:tcPr>
          <w:p w14:paraId="7F1EBF5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0,4344</w:t>
            </w:r>
          </w:p>
        </w:tc>
        <w:tc>
          <w:tcPr>
            <w:tcW w:w="880" w:type="dxa"/>
            <w:tcBorders>
              <w:top w:val="nil"/>
              <w:left w:val="nil"/>
              <w:bottom w:val="nil"/>
              <w:right w:val="nil"/>
            </w:tcBorders>
            <w:shd w:val="clear" w:color="000000" w:fill="FFFFFF"/>
            <w:noWrap/>
            <w:vAlign w:val="center"/>
            <w:hideMark/>
          </w:tcPr>
          <w:p w14:paraId="599F4AB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0,71815</w:t>
            </w:r>
          </w:p>
        </w:tc>
        <w:tc>
          <w:tcPr>
            <w:tcW w:w="940" w:type="dxa"/>
            <w:tcBorders>
              <w:top w:val="nil"/>
              <w:left w:val="single" w:sz="8" w:space="0" w:color="auto"/>
              <w:bottom w:val="nil"/>
              <w:right w:val="single" w:sz="8" w:space="0" w:color="auto"/>
            </w:tcBorders>
            <w:shd w:val="clear" w:color="000000" w:fill="FFFFFF"/>
            <w:noWrap/>
            <w:vAlign w:val="center"/>
            <w:hideMark/>
          </w:tcPr>
          <w:p w14:paraId="4F022DB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0,84170</w:t>
            </w:r>
          </w:p>
        </w:tc>
        <w:tc>
          <w:tcPr>
            <w:tcW w:w="1034" w:type="dxa"/>
            <w:tcBorders>
              <w:top w:val="nil"/>
              <w:left w:val="nil"/>
              <w:bottom w:val="nil"/>
              <w:right w:val="nil"/>
            </w:tcBorders>
            <w:shd w:val="clear" w:color="000000" w:fill="FFFFFF"/>
            <w:noWrap/>
            <w:vAlign w:val="center"/>
            <w:hideMark/>
          </w:tcPr>
          <w:p w14:paraId="21A09A27"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29468763"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905 581,77</w:t>
            </w:r>
          </w:p>
        </w:tc>
        <w:tc>
          <w:tcPr>
            <w:tcW w:w="1276" w:type="dxa"/>
            <w:tcBorders>
              <w:top w:val="nil"/>
              <w:left w:val="nil"/>
              <w:bottom w:val="nil"/>
              <w:right w:val="single" w:sz="8" w:space="0" w:color="auto"/>
            </w:tcBorders>
            <w:shd w:val="clear" w:color="000000" w:fill="FFFFFF"/>
            <w:noWrap/>
            <w:vAlign w:val="center"/>
            <w:hideMark/>
          </w:tcPr>
          <w:p w14:paraId="11C4A3C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3 048 736,35</w:t>
            </w:r>
          </w:p>
        </w:tc>
        <w:tc>
          <w:tcPr>
            <w:tcW w:w="1229" w:type="dxa"/>
            <w:tcBorders>
              <w:top w:val="nil"/>
              <w:left w:val="nil"/>
              <w:bottom w:val="nil"/>
              <w:right w:val="single" w:sz="8" w:space="0" w:color="auto"/>
            </w:tcBorders>
            <w:shd w:val="clear" w:color="000000" w:fill="FFFFFF"/>
            <w:noWrap/>
            <w:vAlign w:val="center"/>
            <w:hideMark/>
          </w:tcPr>
          <w:p w14:paraId="3FCCCA36"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3 954 318,12</w:t>
            </w:r>
          </w:p>
        </w:tc>
      </w:tr>
      <w:tr w:rsidR="00AE7424" w:rsidRPr="00AE7424" w14:paraId="14329BDF"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0C3BA361"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ESLOVENIA</w:t>
            </w:r>
          </w:p>
        </w:tc>
        <w:tc>
          <w:tcPr>
            <w:tcW w:w="832" w:type="dxa"/>
            <w:tcBorders>
              <w:top w:val="nil"/>
              <w:left w:val="nil"/>
              <w:bottom w:val="nil"/>
              <w:right w:val="single" w:sz="8" w:space="0" w:color="auto"/>
            </w:tcBorders>
            <w:shd w:val="clear" w:color="000000" w:fill="FFFFFF"/>
            <w:noWrap/>
            <w:vAlign w:val="center"/>
            <w:hideMark/>
          </w:tcPr>
          <w:p w14:paraId="66F76C9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3D0DF170"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0,18</w:t>
            </w:r>
          </w:p>
        </w:tc>
        <w:tc>
          <w:tcPr>
            <w:tcW w:w="880" w:type="dxa"/>
            <w:tcBorders>
              <w:top w:val="nil"/>
              <w:left w:val="nil"/>
              <w:bottom w:val="nil"/>
              <w:right w:val="single" w:sz="8" w:space="0" w:color="auto"/>
            </w:tcBorders>
            <w:shd w:val="clear" w:color="000000" w:fill="FFFFFF"/>
            <w:noWrap/>
            <w:vAlign w:val="center"/>
            <w:hideMark/>
          </w:tcPr>
          <w:p w14:paraId="5AF436F1"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0,2113</w:t>
            </w:r>
          </w:p>
        </w:tc>
        <w:tc>
          <w:tcPr>
            <w:tcW w:w="880" w:type="dxa"/>
            <w:tcBorders>
              <w:top w:val="nil"/>
              <w:left w:val="nil"/>
              <w:bottom w:val="nil"/>
              <w:right w:val="nil"/>
            </w:tcBorders>
            <w:shd w:val="clear" w:color="000000" w:fill="FFFFFF"/>
            <w:noWrap/>
            <w:vAlign w:val="center"/>
            <w:hideMark/>
          </w:tcPr>
          <w:p w14:paraId="65ECB2E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0,22452</w:t>
            </w:r>
          </w:p>
        </w:tc>
        <w:tc>
          <w:tcPr>
            <w:tcW w:w="940" w:type="dxa"/>
            <w:tcBorders>
              <w:top w:val="nil"/>
              <w:left w:val="single" w:sz="8" w:space="0" w:color="auto"/>
              <w:bottom w:val="nil"/>
              <w:right w:val="single" w:sz="8" w:space="0" w:color="auto"/>
            </w:tcBorders>
            <w:shd w:val="clear" w:color="000000" w:fill="FFFFFF"/>
            <w:noWrap/>
            <w:vAlign w:val="center"/>
            <w:hideMark/>
          </w:tcPr>
          <w:p w14:paraId="44987C0C"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0,26315</w:t>
            </w:r>
          </w:p>
        </w:tc>
        <w:tc>
          <w:tcPr>
            <w:tcW w:w="1034" w:type="dxa"/>
            <w:tcBorders>
              <w:top w:val="nil"/>
              <w:left w:val="nil"/>
              <w:bottom w:val="nil"/>
              <w:right w:val="nil"/>
            </w:tcBorders>
            <w:shd w:val="clear" w:color="000000" w:fill="FFFFFF"/>
            <w:noWrap/>
            <w:vAlign w:val="center"/>
            <w:hideMark/>
          </w:tcPr>
          <w:p w14:paraId="28DBA550"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0D61B672"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440 553,29</w:t>
            </w:r>
          </w:p>
        </w:tc>
        <w:tc>
          <w:tcPr>
            <w:tcW w:w="1276" w:type="dxa"/>
            <w:tcBorders>
              <w:top w:val="nil"/>
              <w:left w:val="nil"/>
              <w:bottom w:val="nil"/>
              <w:right w:val="single" w:sz="8" w:space="0" w:color="auto"/>
            </w:tcBorders>
            <w:shd w:val="clear" w:color="000000" w:fill="FFFFFF"/>
            <w:noWrap/>
            <w:vAlign w:val="center"/>
            <w:hideMark/>
          </w:tcPr>
          <w:p w14:paraId="78A0F8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953 146,68</w:t>
            </w:r>
          </w:p>
        </w:tc>
        <w:tc>
          <w:tcPr>
            <w:tcW w:w="1229" w:type="dxa"/>
            <w:tcBorders>
              <w:top w:val="nil"/>
              <w:left w:val="nil"/>
              <w:bottom w:val="nil"/>
              <w:right w:val="single" w:sz="8" w:space="0" w:color="auto"/>
            </w:tcBorders>
            <w:shd w:val="clear" w:color="000000" w:fill="FFFFFF"/>
            <w:noWrap/>
            <w:vAlign w:val="center"/>
            <w:hideMark/>
          </w:tcPr>
          <w:p w14:paraId="5272AB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1 393 699,97</w:t>
            </w:r>
          </w:p>
        </w:tc>
      </w:tr>
      <w:tr w:rsidR="00AE7424" w:rsidRPr="00AE7424" w14:paraId="4F6992F9"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74926E4F"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ESLOVAQUIA</w:t>
            </w:r>
          </w:p>
        </w:tc>
        <w:tc>
          <w:tcPr>
            <w:tcW w:w="832" w:type="dxa"/>
            <w:tcBorders>
              <w:top w:val="nil"/>
              <w:left w:val="nil"/>
              <w:bottom w:val="nil"/>
              <w:right w:val="single" w:sz="8" w:space="0" w:color="auto"/>
            </w:tcBorders>
            <w:shd w:val="clear" w:color="000000" w:fill="FFFFFF"/>
            <w:noWrap/>
            <w:vAlign w:val="center"/>
            <w:hideMark/>
          </w:tcPr>
          <w:p w14:paraId="309EC4A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20" w:type="dxa"/>
            <w:tcBorders>
              <w:top w:val="nil"/>
              <w:left w:val="nil"/>
              <w:bottom w:val="nil"/>
              <w:right w:val="single" w:sz="8" w:space="0" w:color="auto"/>
            </w:tcBorders>
            <w:shd w:val="clear" w:color="000000" w:fill="FFFFFF"/>
            <w:noWrap/>
            <w:vAlign w:val="center"/>
            <w:hideMark/>
          </w:tcPr>
          <w:p w14:paraId="55EB59E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0,21</w:t>
            </w:r>
          </w:p>
        </w:tc>
        <w:tc>
          <w:tcPr>
            <w:tcW w:w="880" w:type="dxa"/>
            <w:tcBorders>
              <w:top w:val="nil"/>
              <w:left w:val="nil"/>
              <w:bottom w:val="nil"/>
              <w:right w:val="single" w:sz="8" w:space="0" w:color="auto"/>
            </w:tcBorders>
            <w:shd w:val="clear" w:color="000000" w:fill="FFFFFF"/>
            <w:noWrap/>
            <w:vAlign w:val="center"/>
            <w:hideMark/>
          </w:tcPr>
          <w:p w14:paraId="40E45925"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0,2465</w:t>
            </w:r>
          </w:p>
        </w:tc>
        <w:tc>
          <w:tcPr>
            <w:tcW w:w="880" w:type="dxa"/>
            <w:tcBorders>
              <w:top w:val="nil"/>
              <w:left w:val="nil"/>
              <w:bottom w:val="nil"/>
              <w:right w:val="nil"/>
            </w:tcBorders>
            <w:shd w:val="clear" w:color="000000" w:fill="FFFFFF"/>
            <w:noWrap/>
            <w:vAlign w:val="center"/>
            <w:hideMark/>
          </w:tcPr>
          <w:p w14:paraId="133CA7B4"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0,37616</w:t>
            </w:r>
          </w:p>
        </w:tc>
        <w:tc>
          <w:tcPr>
            <w:tcW w:w="940" w:type="dxa"/>
            <w:tcBorders>
              <w:top w:val="nil"/>
              <w:left w:val="single" w:sz="8" w:space="0" w:color="auto"/>
              <w:bottom w:val="nil"/>
              <w:right w:val="single" w:sz="8" w:space="0" w:color="auto"/>
            </w:tcBorders>
            <w:shd w:val="clear" w:color="000000" w:fill="FFFFFF"/>
            <w:noWrap/>
            <w:vAlign w:val="center"/>
            <w:hideMark/>
          </w:tcPr>
          <w:p w14:paraId="18FA4DE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0,44087</w:t>
            </w:r>
          </w:p>
        </w:tc>
        <w:tc>
          <w:tcPr>
            <w:tcW w:w="1034" w:type="dxa"/>
            <w:tcBorders>
              <w:top w:val="nil"/>
              <w:left w:val="nil"/>
              <w:bottom w:val="nil"/>
              <w:right w:val="nil"/>
            </w:tcBorders>
            <w:shd w:val="clear" w:color="000000" w:fill="FFFFFF"/>
            <w:noWrap/>
            <w:vAlign w:val="center"/>
            <w:hideMark/>
          </w:tcPr>
          <w:p w14:paraId="558B628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0,00</w:t>
            </w:r>
          </w:p>
        </w:tc>
        <w:tc>
          <w:tcPr>
            <w:tcW w:w="1276" w:type="dxa"/>
            <w:tcBorders>
              <w:top w:val="nil"/>
              <w:left w:val="single" w:sz="8" w:space="0" w:color="auto"/>
              <w:bottom w:val="nil"/>
              <w:right w:val="single" w:sz="8" w:space="0" w:color="auto"/>
            </w:tcBorders>
            <w:shd w:val="clear" w:color="000000" w:fill="FFFFFF"/>
            <w:noWrap/>
            <w:vAlign w:val="center"/>
            <w:hideMark/>
          </w:tcPr>
          <w:p w14:paraId="5F4F6C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513 978,84</w:t>
            </w:r>
          </w:p>
        </w:tc>
        <w:tc>
          <w:tcPr>
            <w:tcW w:w="1276" w:type="dxa"/>
            <w:tcBorders>
              <w:top w:val="nil"/>
              <w:left w:val="nil"/>
              <w:bottom w:val="nil"/>
              <w:right w:val="single" w:sz="8" w:space="0" w:color="auto"/>
            </w:tcBorders>
            <w:shd w:val="clear" w:color="000000" w:fill="FFFFFF"/>
            <w:noWrap/>
            <w:vAlign w:val="center"/>
            <w:hideMark/>
          </w:tcPr>
          <w:p w14:paraId="050AB7F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1 596 898,51</w:t>
            </w:r>
          </w:p>
        </w:tc>
        <w:tc>
          <w:tcPr>
            <w:tcW w:w="1229" w:type="dxa"/>
            <w:tcBorders>
              <w:top w:val="nil"/>
              <w:left w:val="nil"/>
              <w:bottom w:val="nil"/>
              <w:right w:val="single" w:sz="8" w:space="0" w:color="auto"/>
            </w:tcBorders>
            <w:shd w:val="clear" w:color="000000" w:fill="FFFFFF"/>
            <w:noWrap/>
            <w:vAlign w:val="center"/>
            <w:hideMark/>
          </w:tcPr>
          <w:p w14:paraId="074078DE"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2 110 877,35</w:t>
            </w:r>
          </w:p>
        </w:tc>
      </w:tr>
      <w:tr w:rsidR="00AE7424" w:rsidRPr="00AE7424" w14:paraId="75909A07" w14:textId="77777777" w:rsidTr="00AE7424">
        <w:trPr>
          <w:trHeight w:val="255"/>
        </w:trPr>
        <w:tc>
          <w:tcPr>
            <w:tcW w:w="1408" w:type="dxa"/>
            <w:tcBorders>
              <w:top w:val="nil"/>
              <w:left w:val="single" w:sz="8" w:space="0" w:color="auto"/>
              <w:bottom w:val="nil"/>
              <w:right w:val="single" w:sz="8" w:space="0" w:color="auto"/>
            </w:tcBorders>
            <w:shd w:val="clear" w:color="000000" w:fill="FFFFFF"/>
            <w:noWrap/>
            <w:vAlign w:val="center"/>
            <w:hideMark/>
          </w:tcPr>
          <w:p w14:paraId="20382862"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FINLANDIA</w:t>
            </w:r>
          </w:p>
        </w:tc>
        <w:tc>
          <w:tcPr>
            <w:tcW w:w="832" w:type="dxa"/>
            <w:tcBorders>
              <w:top w:val="nil"/>
              <w:left w:val="nil"/>
              <w:bottom w:val="nil"/>
              <w:right w:val="single" w:sz="8" w:space="0" w:color="auto"/>
            </w:tcBorders>
            <w:shd w:val="clear" w:color="000000" w:fill="FFFFFF"/>
            <w:noWrap/>
            <w:vAlign w:val="center"/>
            <w:hideMark/>
          </w:tcPr>
          <w:p w14:paraId="25720DD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1,48</w:t>
            </w:r>
          </w:p>
        </w:tc>
        <w:tc>
          <w:tcPr>
            <w:tcW w:w="820" w:type="dxa"/>
            <w:tcBorders>
              <w:top w:val="nil"/>
              <w:left w:val="nil"/>
              <w:bottom w:val="nil"/>
              <w:right w:val="single" w:sz="8" w:space="0" w:color="auto"/>
            </w:tcBorders>
            <w:shd w:val="clear" w:color="000000" w:fill="FFFFFF"/>
            <w:noWrap/>
            <w:vAlign w:val="center"/>
            <w:hideMark/>
          </w:tcPr>
          <w:p w14:paraId="2389F3E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1,47</w:t>
            </w:r>
          </w:p>
        </w:tc>
        <w:tc>
          <w:tcPr>
            <w:tcW w:w="880" w:type="dxa"/>
            <w:tcBorders>
              <w:top w:val="nil"/>
              <w:left w:val="nil"/>
              <w:bottom w:val="nil"/>
              <w:right w:val="single" w:sz="8" w:space="0" w:color="auto"/>
            </w:tcBorders>
            <w:shd w:val="clear" w:color="000000" w:fill="FFFFFF"/>
            <w:noWrap/>
            <w:vAlign w:val="center"/>
            <w:hideMark/>
          </w:tcPr>
          <w:p w14:paraId="7E5FD0D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1,7258</w:t>
            </w:r>
          </w:p>
        </w:tc>
        <w:tc>
          <w:tcPr>
            <w:tcW w:w="880" w:type="dxa"/>
            <w:tcBorders>
              <w:top w:val="nil"/>
              <w:left w:val="nil"/>
              <w:bottom w:val="nil"/>
              <w:right w:val="nil"/>
            </w:tcBorders>
            <w:shd w:val="clear" w:color="000000" w:fill="FFFFFF"/>
            <w:noWrap/>
            <w:vAlign w:val="center"/>
            <w:hideMark/>
          </w:tcPr>
          <w:p w14:paraId="3CDBD113"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1,50909</w:t>
            </w:r>
          </w:p>
        </w:tc>
        <w:tc>
          <w:tcPr>
            <w:tcW w:w="940" w:type="dxa"/>
            <w:tcBorders>
              <w:top w:val="nil"/>
              <w:left w:val="single" w:sz="8" w:space="0" w:color="auto"/>
              <w:bottom w:val="nil"/>
              <w:right w:val="single" w:sz="8" w:space="0" w:color="auto"/>
            </w:tcBorders>
            <w:shd w:val="clear" w:color="000000" w:fill="FFFFFF"/>
            <w:noWrap/>
            <w:vAlign w:val="center"/>
            <w:hideMark/>
          </w:tcPr>
          <w:p w14:paraId="57F0A13D"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1,76871</w:t>
            </w:r>
          </w:p>
        </w:tc>
        <w:tc>
          <w:tcPr>
            <w:tcW w:w="1034" w:type="dxa"/>
            <w:tcBorders>
              <w:top w:val="nil"/>
              <w:left w:val="nil"/>
              <w:bottom w:val="nil"/>
              <w:right w:val="nil"/>
            </w:tcBorders>
            <w:shd w:val="clear" w:color="000000" w:fill="FFFFFF"/>
            <w:noWrap/>
            <w:vAlign w:val="center"/>
            <w:hideMark/>
          </w:tcPr>
          <w:p w14:paraId="45668B1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16 524,02</w:t>
            </w:r>
          </w:p>
        </w:tc>
        <w:tc>
          <w:tcPr>
            <w:tcW w:w="1276" w:type="dxa"/>
            <w:tcBorders>
              <w:top w:val="nil"/>
              <w:left w:val="single" w:sz="8" w:space="0" w:color="auto"/>
              <w:bottom w:val="nil"/>
              <w:right w:val="single" w:sz="8" w:space="0" w:color="auto"/>
            </w:tcBorders>
            <w:shd w:val="clear" w:color="000000" w:fill="FFFFFF"/>
            <w:noWrap/>
            <w:vAlign w:val="center"/>
            <w:hideMark/>
          </w:tcPr>
          <w:p w14:paraId="09F384D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3 597 851,90</w:t>
            </w:r>
          </w:p>
        </w:tc>
        <w:tc>
          <w:tcPr>
            <w:tcW w:w="1276" w:type="dxa"/>
            <w:tcBorders>
              <w:top w:val="nil"/>
              <w:left w:val="nil"/>
              <w:bottom w:val="nil"/>
              <w:right w:val="single" w:sz="8" w:space="0" w:color="auto"/>
            </w:tcBorders>
            <w:shd w:val="clear" w:color="000000" w:fill="FFFFFF"/>
            <w:noWrap/>
            <w:vAlign w:val="center"/>
            <w:hideMark/>
          </w:tcPr>
          <w:p w14:paraId="5E3D0E5D"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6 406 485,46</w:t>
            </w:r>
          </w:p>
        </w:tc>
        <w:tc>
          <w:tcPr>
            <w:tcW w:w="1229" w:type="dxa"/>
            <w:tcBorders>
              <w:top w:val="nil"/>
              <w:left w:val="nil"/>
              <w:bottom w:val="nil"/>
              <w:right w:val="single" w:sz="8" w:space="0" w:color="auto"/>
            </w:tcBorders>
            <w:shd w:val="clear" w:color="000000" w:fill="FFFFFF"/>
            <w:noWrap/>
            <w:vAlign w:val="center"/>
            <w:hideMark/>
          </w:tcPr>
          <w:p w14:paraId="675CFE31"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10 020 861,38</w:t>
            </w:r>
          </w:p>
        </w:tc>
      </w:tr>
      <w:tr w:rsidR="00AE7424" w:rsidRPr="00AE7424" w14:paraId="5BEA6327" w14:textId="77777777" w:rsidTr="00AE7424">
        <w:trPr>
          <w:trHeight w:val="270"/>
        </w:trPr>
        <w:tc>
          <w:tcPr>
            <w:tcW w:w="1408" w:type="dxa"/>
            <w:tcBorders>
              <w:top w:val="nil"/>
              <w:left w:val="single" w:sz="8" w:space="0" w:color="auto"/>
              <w:bottom w:val="nil"/>
              <w:right w:val="single" w:sz="8" w:space="0" w:color="auto"/>
            </w:tcBorders>
            <w:shd w:val="clear" w:color="000000" w:fill="FFFFFF"/>
            <w:noWrap/>
            <w:vAlign w:val="center"/>
            <w:hideMark/>
          </w:tcPr>
          <w:p w14:paraId="477204E4" w14:textId="77777777" w:rsidR="00AE7424" w:rsidRPr="00AE7424" w:rsidRDefault="00AE7424" w:rsidP="00AE7424">
            <w:pPr>
              <w:spacing w:after="0" w:line="240" w:lineRule="auto"/>
              <w:ind w:firstLineChars="100" w:firstLine="140"/>
              <w:rPr>
                <w:rFonts w:ascii="Calibri" w:eastAsia="Times New Roman" w:hAnsi="Calibri" w:cs="Calibri"/>
                <w:noProof/>
                <w:color w:val="000000"/>
                <w:sz w:val="14"/>
                <w:szCs w:val="14"/>
              </w:rPr>
            </w:pPr>
            <w:r>
              <w:rPr>
                <w:rFonts w:ascii="Calibri" w:hAnsi="Calibri"/>
                <w:noProof/>
                <w:color w:val="000000"/>
                <w:sz w:val="14"/>
              </w:rPr>
              <w:t>SUECIA</w:t>
            </w:r>
          </w:p>
        </w:tc>
        <w:tc>
          <w:tcPr>
            <w:tcW w:w="832" w:type="dxa"/>
            <w:tcBorders>
              <w:top w:val="nil"/>
              <w:left w:val="nil"/>
              <w:bottom w:val="nil"/>
              <w:right w:val="single" w:sz="8" w:space="0" w:color="auto"/>
            </w:tcBorders>
            <w:shd w:val="clear" w:color="000000" w:fill="FFFFFF"/>
            <w:noWrap/>
            <w:vAlign w:val="center"/>
            <w:hideMark/>
          </w:tcPr>
          <w:p w14:paraId="7C326C8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2,73</w:t>
            </w:r>
          </w:p>
        </w:tc>
        <w:tc>
          <w:tcPr>
            <w:tcW w:w="820" w:type="dxa"/>
            <w:tcBorders>
              <w:top w:val="nil"/>
              <w:left w:val="nil"/>
              <w:bottom w:val="nil"/>
              <w:right w:val="single" w:sz="8" w:space="0" w:color="auto"/>
            </w:tcBorders>
            <w:shd w:val="clear" w:color="000000" w:fill="FFFFFF"/>
            <w:noWrap/>
            <w:vAlign w:val="center"/>
            <w:hideMark/>
          </w:tcPr>
          <w:p w14:paraId="357A5EB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2,74</w:t>
            </w:r>
          </w:p>
        </w:tc>
        <w:tc>
          <w:tcPr>
            <w:tcW w:w="880" w:type="dxa"/>
            <w:tcBorders>
              <w:top w:val="nil"/>
              <w:left w:val="nil"/>
              <w:bottom w:val="nil"/>
              <w:right w:val="single" w:sz="8" w:space="0" w:color="auto"/>
            </w:tcBorders>
            <w:shd w:val="clear" w:color="000000" w:fill="FFFFFF"/>
            <w:noWrap/>
            <w:vAlign w:val="center"/>
            <w:hideMark/>
          </w:tcPr>
          <w:p w14:paraId="329187D9"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3,2167</w:t>
            </w:r>
          </w:p>
        </w:tc>
        <w:tc>
          <w:tcPr>
            <w:tcW w:w="880" w:type="dxa"/>
            <w:tcBorders>
              <w:top w:val="nil"/>
              <w:left w:val="nil"/>
              <w:bottom w:val="nil"/>
              <w:right w:val="nil"/>
            </w:tcBorders>
            <w:shd w:val="clear" w:color="000000" w:fill="FFFFFF"/>
            <w:noWrap/>
            <w:vAlign w:val="center"/>
            <w:hideMark/>
          </w:tcPr>
          <w:p w14:paraId="14156E18"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2,93911</w:t>
            </w:r>
          </w:p>
        </w:tc>
        <w:tc>
          <w:tcPr>
            <w:tcW w:w="940" w:type="dxa"/>
            <w:tcBorders>
              <w:top w:val="nil"/>
              <w:left w:val="single" w:sz="8" w:space="0" w:color="auto"/>
              <w:bottom w:val="nil"/>
              <w:right w:val="single" w:sz="8" w:space="0" w:color="auto"/>
            </w:tcBorders>
            <w:shd w:val="clear" w:color="000000" w:fill="FFFFFF"/>
            <w:noWrap/>
            <w:vAlign w:val="center"/>
            <w:hideMark/>
          </w:tcPr>
          <w:p w14:paraId="152D5587"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3,44475</w:t>
            </w:r>
          </w:p>
        </w:tc>
        <w:tc>
          <w:tcPr>
            <w:tcW w:w="1034" w:type="dxa"/>
            <w:tcBorders>
              <w:top w:val="nil"/>
              <w:left w:val="nil"/>
              <w:bottom w:val="nil"/>
              <w:right w:val="nil"/>
            </w:tcBorders>
            <w:shd w:val="clear" w:color="000000" w:fill="FFFFFF"/>
            <w:noWrap/>
            <w:vAlign w:val="center"/>
            <w:hideMark/>
          </w:tcPr>
          <w:p w14:paraId="0736E87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30 480,11</w:t>
            </w:r>
          </w:p>
        </w:tc>
        <w:tc>
          <w:tcPr>
            <w:tcW w:w="1276" w:type="dxa"/>
            <w:tcBorders>
              <w:top w:val="nil"/>
              <w:left w:val="single" w:sz="8" w:space="0" w:color="auto"/>
              <w:bottom w:val="nil"/>
              <w:right w:val="single" w:sz="8" w:space="0" w:color="auto"/>
            </w:tcBorders>
            <w:shd w:val="clear" w:color="000000" w:fill="FFFFFF"/>
            <w:noWrap/>
            <w:vAlign w:val="center"/>
            <w:hideMark/>
          </w:tcPr>
          <w:p w14:paraId="608127EC"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6 706 200,15</w:t>
            </w:r>
          </w:p>
        </w:tc>
        <w:tc>
          <w:tcPr>
            <w:tcW w:w="1276" w:type="dxa"/>
            <w:tcBorders>
              <w:top w:val="nil"/>
              <w:left w:val="nil"/>
              <w:bottom w:val="nil"/>
              <w:right w:val="single" w:sz="8" w:space="0" w:color="auto"/>
            </w:tcBorders>
            <w:shd w:val="clear" w:color="000000" w:fill="FFFFFF"/>
            <w:noWrap/>
            <w:vAlign w:val="center"/>
            <w:hideMark/>
          </w:tcPr>
          <w:p w14:paraId="55E56AE4"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12 477 297,90</w:t>
            </w:r>
          </w:p>
        </w:tc>
        <w:tc>
          <w:tcPr>
            <w:tcW w:w="1229" w:type="dxa"/>
            <w:tcBorders>
              <w:top w:val="nil"/>
              <w:left w:val="nil"/>
              <w:bottom w:val="nil"/>
              <w:right w:val="single" w:sz="8" w:space="0" w:color="auto"/>
            </w:tcBorders>
            <w:shd w:val="clear" w:color="000000" w:fill="FFFFFF"/>
            <w:noWrap/>
            <w:vAlign w:val="center"/>
            <w:hideMark/>
          </w:tcPr>
          <w:p w14:paraId="5D4284B8"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19 213 978,16</w:t>
            </w:r>
          </w:p>
        </w:tc>
      </w:tr>
      <w:tr w:rsidR="00AE7424" w:rsidRPr="00AE7424" w14:paraId="73BD750E" w14:textId="77777777" w:rsidTr="00AE7424">
        <w:trPr>
          <w:trHeight w:val="270"/>
        </w:trPr>
        <w:tc>
          <w:tcPr>
            <w:tcW w:w="1408" w:type="dxa"/>
            <w:tcBorders>
              <w:top w:val="single" w:sz="8" w:space="0" w:color="auto"/>
              <w:left w:val="single" w:sz="8" w:space="0" w:color="auto"/>
              <w:bottom w:val="nil"/>
              <w:right w:val="single" w:sz="8" w:space="0" w:color="auto"/>
            </w:tcBorders>
            <w:shd w:val="clear" w:color="000000" w:fill="FFFFFF"/>
            <w:noWrap/>
            <w:vAlign w:val="center"/>
            <w:hideMark/>
          </w:tcPr>
          <w:p w14:paraId="49EAC6FA"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REINO UNIDO</w:t>
            </w:r>
          </w:p>
        </w:tc>
        <w:tc>
          <w:tcPr>
            <w:tcW w:w="832" w:type="dxa"/>
            <w:tcBorders>
              <w:top w:val="single" w:sz="8" w:space="0" w:color="auto"/>
              <w:left w:val="nil"/>
              <w:bottom w:val="nil"/>
              <w:right w:val="single" w:sz="8" w:space="0" w:color="auto"/>
            </w:tcBorders>
            <w:shd w:val="clear" w:color="000000" w:fill="FFFFFF"/>
            <w:noWrap/>
            <w:vAlign w:val="center"/>
            <w:hideMark/>
          </w:tcPr>
          <w:p w14:paraId="4EE04FAB"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12,69</w:t>
            </w:r>
          </w:p>
        </w:tc>
        <w:tc>
          <w:tcPr>
            <w:tcW w:w="820" w:type="dxa"/>
            <w:tcBorders>
              <w:top w:val="single" w:sz="8" w:space="0" w:color="auto"/>
              <w:left w:val="nil"/>
              <w:bottom w:val="nil"/>
              <w:right w:val="single" w:sz="8" w:space="0" w:color="auto"/>
            </w:tcBorders>
            <w:shd w:val="clear" w:color="000000" w:fill="FFFFFF"/>
            <w:noWrap/>
            <w:vAlign w:val="center"/>
            <w:hideMark/>
          </w:tcPr>
          <w:p w14:paraId="0E5D2DB6"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14,82</w:t>
            </w:r>
          </w:p>
        </w:tc>
        <w:tc>
          <w:tcPr>
            <w:tcW w:w="880" w:type="dxa"/>
            <w:tcBorders>
              <w:top w:val="single" w:sz="8" w:space="0" w:color="auto"/>
              <w:left w:val="nil"/>
              <w:bottom w:val="nil"/>
              <w:right w:val="single" w:sz="8" w:space="0" w:color="auto"/>
            </w:tcBorders>
            <w:shd w:val="clear" w:color="000000" w:fill="FFFFFF"/>
            <w:noWrap/>
            <w:vAlign w:val="center"/>
            <w:hideMark/>
          </w:tcPr>
          <w:p w14:paraId="27AF69B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880" w:type="dxa"/>
            <w:tcBorders>
              <w:top w:val="single" w:sz="8" w:space="0" w:color="auto"/>
              <w:left w:val="nil"/>
              <w:bottom w:val="nil"/>
              <w:right w:val="nil"/>
            </w:tcBorders>
            <w:shd w:val="clear" w:color="000000" w:fill="FFFFFF"/>
            <w:noWrap/>
            <w:vAlign w:val="center"/>
            <w:hideMark/>
          </w:tcPr>
          <w:p w14:paraId="0F789AE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14,67862</w:t>
            </w:r>
          </w:p>
        </w:tc>
        <w:tc>
          <w:tcPr>
            <w:tcW w:w="9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0DC6E6F" w14:textId="77777777" w:rsidR="00AE7424" w:rsidRPr="00AE7424" w:rsidRDefault="00AE7424" w:rsidP="00AE7424">
            <w:pPr>
              <w:spacing w:after="0" w:line="240" w:lineRule="auto"/>
              <w:jc w:val="center"/>
              <w:rPr>
                <w:rFonts w:ascii="Calibri" w:eastAsia="Times New Roman" w:hAnsi="Calibri" w:cs="Calibri"/>
                <w:noProof/>
                <w:color w:val="000000"/>
                <w:sz w:val="14"/>
                <w:szCs w:val="14"/>
              </w:rPr>
            </w:pPr>
            <w:r>
              <w:rPr>
                <w:rFonts w:ascii="Calibri" w:hAnsi="Calibri"/>
                <w:noProof/>
                <w:color w:val="000000"/>
                <w:sz w:val="14"/>
              </w:rPr>
              <w:t> </w:t>
            </w:r>
          </w:p>
        </w:tc>
        <w:tc>
          <w:tcPr>
            <w:tcW w:w="1034" w:type="dxa"/>
            <w:tcBorders>
              <w:top w:val="single" w:sz="8" w:space="0" w:color="auto"/>
              <w:left w:val="nil"/>
              <w:bottom w:val="nil"/>
              <w:right w:val="nil"/>
            </w:tcBorders>
            <w:shd w:val="clear" w:color="000000" w:fill="FFFFFF"/>
            <w:noWrap/>
            <w:vAlign w:val="center"/>
            <w:hideMark/>
          </w:tcPr>
          <w:p w14:paraId="43856739"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 xml:space="preserve"> 141 682,27</w:t>
            </w:r>
          </w:p>
        </w:tc>
        <w:tc>
          <w:tcPr>
            <w:tcW w:w="1276" w:type="dxa"/>
            <w:tcBorders>
              <w:top w:val="single" w:sz="8" w:space="0" w:color="auto"/>
              <w:left w:val="single" w:sz="8" w:space="0" w:color="auto"/>
              <w:bottom w:val="nil"/>
              <w:right w:val="single" w:sz="8" w:space="0" w:color="auto"/>
            </w:tcBorders>
            <w:shd w:val="clear" w:color="000000" w:fill="FFFFFF"/>
            <w:noWrap/>
            <w:vAlign w:val="center"/>
            <w:hideMark/>
          </w:tcPr>
          <w:p w14:paraId="6FD5D9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1 095 688,95</w:t>
            </w:r>
          </w:p>
        </w:tc>
        <w:tc>
          <w:tcPr>
            <w:tcW w:w="1276" w:type="dxa"/>
            <w:tcBorders>
              <w:top w:val="single" w:sz="8" w:space="0" w:color="auto"/>
              <w:left w:val="nil"/>
              <w:bottom w:val="nil"/>
              <w:right w:val="single" w:sz="8" w:space="0" w:color="auto"/>
            </w:tcBorders>
            <w:shd w:val="clear" w:color="000000" w:fill="FFFFFF"/>
            <w:noWrap/>
            <w:vAlign w:val="center"/>
            <w:hideMark/>
          </w:tcPr>
          <w:p w14:paraId="7A11CDCF"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4 143 849,92</w:t>
            </w:r>
          </w:p>
        </w:tc>
        <w:tc>
          <w:tcPr>
            <w:tcW w:w="1229" w:type="dxa"/>
            <w:tcBorders>
              <w:top w:val="single" w:sz="8" w:space="0" w:color="auto"/>
              <w:left w:val="nil"/>
              <w:bottom w:val="nil"/>
              <w:right w:val="single" w:sz="8" w:space="0" w:color="auto"/>
            </w:tcBorders>
            <w:shd w:val="clear" w:color="000000" w:fill="FFFFFF"/>
            <w:noWrap/>
            <w:vAlign w:val="center"/>
            <w:hideMark/>
          </w:tcPr>
          <w:p w14:paraId="181188E5" w14:textId="77777777" w:rsidR="00AE7424" w:rsidRPr="00AE7424" w:rsidRDefault="00AE7424" w:rsidP="00AE7424">
            <w:pPr>
              <w:spacing w:after="0" w:line="240" w:lineRule="auto"/>
              <w:jc w:val="right"/>
              <w:rPr>
                <w:rFonts w:ascii="Calibri" w:eastAsia="Times New Roman" w:hAnsi="Calibri" w:cs="Calibri"/>
                <w:noProof/>
                <w:color w:val="000000"/>
                <w:sz w:val="14"/>
                <w:szCs w:val="14"/>
              </w:rPr>
            </w:pPr>
            <w:r>
              <w:rPr>
                <w:rFonts w:ascii="Calibri" w:hAnsi="Calibri"/>
                <w:noProof/>
                <w:color w:val="000000"/>
                <w:sz w:val="14"/>
              </w:rPr>
              <w:t>5 381 221,14</w:t>
            </w:r>
          </w:p>
        </w:tc>
      </w:tr>
      <w:tr w:rsidR="00AE7424" w:rsidRPr="00AE7424" w14:paraId="5050D29A" w14:textId="77777777" w:rsidTr="00AE7424">
        <w:trPr>
          <w:trHeight w:val="270"/>
        </w:trPr>
        <w:tc>
          <w:tcPr>
            <w:tcW w:w="14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409F4F"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TOTAL EU-27 Y REINO UNIDO</w:t>
            </w:r>
          </w:p>
        </w:tc>
        <w:tc>
          <w:tcPr>
            <w:tcW w:w="832" w:type="dxa"/>
            <w:tcBorders>
              <w:top w:val="single" w:sz="8" w:space="0" w:color="auto"/>
              <w:left w:val="nil"/>
              <w:bottom w:val="single" w:sz="8" w:space="0" w:color="auto"/>
              <w:right w:val="single" w:sz="8" w:space="0" w:color="auto"/>
            </w:tcBorders>
            <w:shd w:val="clear" w:color="000000" w:fill="FFFFFF"/>
            <w:noWrap/>
            <w:vAlign w:val="center"/>
            <w:hideMark/>
          </w:tcPr>
          <w:p w14:paraId="382C720A"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820" w:type="dxa"/>
            <w:tcBorders>
              <w:top w:val="single" w:sz="8" w:space="0" w:color="auto"/>
              <w:left w:val="nil"/>
              <w:bottom w:val="single" w:sz="8" w:space="0" w:color="auto"/>
              <w:right w:val="single" w:sz="8" w:space="0" w:color="auto"/>
            </w:tcBorders>
            <w:shd w:val="clear" w:color="000000" w:fill="FFFFFF"/>
            <w:noWrap/>
            <w:vAlign w:val="center"/>
            <w:hideMark/>
          </w:tcPr>
          <w:p w14:paraId="1C1FC965"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14:paraId="0A7DE06A"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 </w:t>
            </w:r>
          </w:p>
        </w:tc>
        <w:tc>
          <w:tcPr>
            <w:tcW w:w="880" w:type="dxa"/>
            <w:tcBorders>
              <w:top w:val="single" w:sz="8" w:space="0" w:color="auto"/>
              <w:left w:val="nil"/>
              <w:bottom w:val="single" w:sz="8" w:space="0" w:color="auto"/>
              <w:right w:val="single" w:sz="8" w:space="0" w:color="auto"/>
            </w:tcBorders>
            <w:shd w:val="clear" w:color="000000" w:fill="FFFFFF"/>
            <w:noWrap/>
            <w:vAlign w:val="center"/>
            <w:hideMark/>
          </w:tcPr>
          <w:p w14:paraId="1A17093E"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100,00</w:t>
            </w:r>
          </w:p>
        </w:tc>
        <w:tc>
          <w:tcPr>
            <w:tcW w:w="940" w:type="dxa"/>
            <w:tcBorders>
              <w:top w:val="nil"/>
              <w:left w:val="nil"/>
              <w:bottom w:val="single" w:sz="8" w:space="0" w:color="auto"/>
              <w:right w:val="single" w:sz="8" w:space="0" w:color="auto"/>
            </w:tcBorders>
            <w:shd w:val="clear" w:color="000000" w:fill="FFFFFF"/>
            <w:noWrap/>
            <w:vAlign w:val="center"/>
            <w:hideMark/>
          </w:tcPr>
          <w:p w14:paraId="00CA54FC" w14:textId="77777777" w:rsidR="00AE7424" w:rsidRPr="00AE7424" w:rsidRDefault="00AE7424" w:rsidP="00AE7424">
            <w:pPr>
              <w:spacing w:after="0" w:line="240" w:lineRule="auto"/>
              <w:jc w:val="center"/>
              <w:rPr>
                <w:rFonts w:ascii="Calibri" w:eastAsia="Times New Roman" w:hAnsi="Calibri" w:cs="Calibri"/>
                <w:b/>
                <w:bCs/>
                <w:noProof/>
                <w:color w:val="000000"/>
                <w:sz w:val="14"/>
                <w:szCs w:val="14"/>
              </w:rPr>
            </w:pPr>
            <w:r>
              <w:rPr>
                <w:rFonts w:ascii="Calibri" w:hAnsi="Calibri"/>
                <w:b/>
                <w:noProof/>
                <w:color w:val="000000"/>
                <w:sz w:val="14"/>
              </w:rPr>
              <w:t> </w:t>
            </w:r>
          </w:p>
        </w:tc>
        <w:tc>
          <w:tcPr>
            <w:tcW w:w="1034" w:type="dxa"/>
            <w:tcBorders>
              <w:top w:val="single" w:sz="8" w:space="0" w:color="auto"/>
              <w:left w:val="nil"/>
              <w:bottom w:val="single" w:sz="8" w:space="0" w:color="auto"/>
              <w:right w:val="single" w:sz="8" w:space="0" w:color="auto"/>
            </w:tcBorders>
            <w:shd w:val="clear" w:color="000000" w:fill="FFFFFF"/>
            <w:noWrap/>
            <w:vAlign w:val="center"/>
            <w:hideMark/>
          </w:tcPr>
          <w:p w14:paraId="6D2B09A2"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1 116 487,58</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271D6DA3"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209 575 297,87</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2F03C6E1"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366 355 633,64</w:t>
            </w:r>
          </w:p>
        </w:tc>
        <w:tc>
          <w:tcPr>
            <w:tcW w:w="1229" w:type="dxa"/>
            <w:tcBorders>
              <w:top w:val="single" w:sz="8" w:space="0" w:color="auto"/>
              <w:left w:val="nil"/>
              <w:bottom w:val="single" w:sz="8" w:space="0" w:color="auto"/>
              <w:right w:val="single" w:sz="8" w:space="0" w:color="auto"/>
            </w:tcBorders>
            <w:shd w:val="clear" w:color="000000" w:fill="FFFFFF"/>
            <w:noWrap/>
            <w:vAlign w:val="center"/>
            <w:hideMark/>
          </w:tcPr>
          <w:p w14:paraId="3EF17636" w14:textId="77777777" w:rsidR="00AE7424" w:rsidRPr="00AE7424" w:rsidRDefault="00AE7424" w:rsidP="00AE7424">
            <w:pPr>
              <w:spacing w:after="0" w:line="240" w:lineRule="auto"/>
              <w:jc w:val="right"/>
              <w:rPr>
                <w:rFonts w:ascii="Calibri" w:eastAsia="Times New Roman" w:hAnsi="Calibri" w:cs="Calibri"/>
                <w:b/>
                <w:bCs/>
                <w:noProof/>
                <w:color w:val="000000"/>
                <w:sz w:val="14"/>
                <w:szCs w:val="14"/>
              </w:rPr>
            </w:pPr>
            <w:r>
              <w:rPr>
                <w:rFonts w:ascii="Calibri" w:hAnsi="Calibri"/>
                <w:b/>
                <w:noProof/>
                <w:color w:val="000000"/>
                <w:sz w:val="14"/>
              </w:rPr>
              <w:t>577 047 419,09</w:t>
            </w:r>
          </w:p>
        </w:tc>
      </w:tr>
    </w:tbl>
    <w:p w14:paraId="55153655" w14:textId="1A52DE91" w:rsidR="00C57A0B" w:rsidRPr="004B683B" w:rsidRDefault="00633225" w:rsidP="00E65850">
      <w:pPr>
        <w:pStyle w:val="Text1"/>
        <w:ind w:left="-709"/>
        <w:rPr>
          <w:noProof/>
          <w:sz w:val="16"/>
          <w:szCs w:val="16"/>
        </w:rPr>
      </w:pPr>
      <w:r>
        <w:rPr>
          <w:noProof/>
          <w:sz w:val="16"/>
        </w:rPr>
        <w:t>* De conformidad con el artículo 153 del Acuerdo de Retirada, la parte británica de las reservas del FED no puede reutilizarse. Por lo tanto, las claves de los Estados miembros se han recalculado sobre una base de 100 (menos la clave británica). Para el 10.º FED, esta base equivale a 85,18 (100-14,82) y para el 11.º FED, a 85,32138 (100-14,67862). Por ejemplo, en el caso de Bélgica, la clave de reparto posterior a la retirada del Reino Unido para el 10.º FED equivale a (3,53/85,18)*100.</w:t>
      </w:r>
    </w:p>
    <w:p w14:paraId="0AC5C1FA" w14:textId="77777777" w:rsidR="00C57A0B" w:rsidRPr="00C57A0B" w:rsidRDefault="00C57A0B" w:rsidP="00C57A0B">
      <w:pPr>
        <w:pStyle w:val="Text1"/>
        <w:rPr>
          <w:noProof/>
        </w:rPr>
      </w:pPr>
    </w:p>
    <w:p w14:paraId="5021A31B" w14:textId="4AE34049" w:rsidR="00A0127E" w:rsidRDefault="00A0127E">
      <w:pPr>
        <w:rPr>
          <w:noProof/>
        </w:rPr>
      </w:pPr>
    </w:p>
    <w:sectPr w:rsidR="00A0127E" w:rsidSect="009D65C7">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A3F33" w14:textId="77777777" w:rsidR="00176689" w:rsidRDefault="00176689" w:rsidP="009D65C7">
      <w:pPr>
        <w:spacing w:after="0" w:line="240" w:lineRule="auto"/>
      </w:pPr>
      <w:r>
        <w:separator/>
      </w:r>
    </w:p>
  </w:endnote>
  <w:endnote w:type="continuationSeparator" w:id="0">
    <w:p w14:paraId="0269F82B" w14:textId="77777777" w:rsidR="00176689" w:rsidRDefault="00176689" w:rsidP="009D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09D6E" w14:textId="09285CB2" w:rsidR="002A0201" w:rsidRPr="002A0201" w:rsidRDefault="002A0201" w:rsidP="002A0201">
    <w:pPr>
      <w:pStyle w:val="FooterCoverPage"/>
      <w:rPr>
        <w:rFonts w:ascii="Arial" w:hAnsi="Arial" w:cs="Arial"/>
        <w:b/>
        <w:sz w:val="48"/>
      </w:rPr>
    </w:pPr>
    <w:r w:rsidRPr="002A0201">
      <w:rPr>
        <w:rFonts w:ascii="Arial" w:hAnsi="Arial" w:cs="Arial"/>
        <w:b/>
        <w:sz w:val="48"/>
      </w:rPr>
      <w:t>ES</w:t>
    </w:r>
    <w:r w:rsidRPr="002A0201">
      <w:rPr>
        <w:rFonts w:ascii="Arial" w:hAnsi="Arial" w:cs="Arial"/>
        <w:b/>
        <w:sz w:val="48"/>
      </w:rPr>
      <w:tab/>
    </w:r>
    <w:r w:rsidRPr="002A0201">
      <w:rPr>
        <w:rFonts w:ascii="Arial" w:hAnsi="Arial" w:cs="Arial"/>
        <w:b/>
        <w:sz w:val="48"/>
      </w:rPr>
      <w:tab/>
    </w:r>
    <w:r w:rsidRPr="002A0201">
      <w:tab/>
    </w:r>
    <w:r w:rsidRPr="002A0201">
      <w:rPr>
        <w:rFonts w:ascii="Arial" w:hAnsi="Arial" w:cs="Arial"/>
        <w:b/>
        <w:sz w:val="48"/>
      </w:rPr>
      <w:t>ES</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120A0" w14:textId="77777777" w:rsidR="00867793" w:rsidRDefault="0086779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82092"/>
      <w:docPartObj>
        <w:docPartGallery w:val="Page Numbers (Bottom of Page)"/>
        <w:docPartUnique/>
      </w:docPartObj>
    </w:sdtPr>
    <w:sdtEndPr>
      <w:rPr>
        <w:noProof/>
      </w:rPr>
    </w:sdtEndPr>
    <w:sdtContent>
      <w:p w14:paraId="34D41603"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475D4A54" w14:textId="77777777" w:rsidR="00867793" w:rsidRDefault="0086779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F43A4" w14:textId="77777777" w:rsidR="00867793" w:rsidRDefault="0086779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0BCF" w14:textId="77777777" w:rsidR="00867793" w:rsidRDefault="0086779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597946"/>
      <w:docPartObj>
        <w:docPartGallery w:val="Page Numbers (Bottom of Page)"/>
        <w:docPartUnique/>
      </w:docPartObj>
    </w:sdtPr>
    <w:sdtEndPr>
      <w:rPr>
        <w:noProof/>
      </w:rPr>
    </w:sdtEndPr>
    <w:sdtContent>
      <w:p w14:paraId="7B49B863"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5633B330" w14:textId="77777777" w:rsidR="00867793" w:rsidRDefault="0086779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08BB4" w14:textId="77777777" w:rsidR="00867793" w:rsidRDefault="0086779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0BDB" w14:textId="77777777" w:rsidR="00867793" w:rsidRDefault="0086779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032631"/>
      <w:docPartObj>
        <w:docPartGallery w:val="Page Numbers (Bottom of Page)"/>
        <w:docPartUnique/>
      </w:docPartObj>
    </w:sdtPr>
    <w:sdtEndPr>
      <w:rPr>
        <w:noProof/>
      </w:rPr>
    </w:sdtEndPr>
    <w:sdtContent>
      <w:p w14:paraId="056CD221"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3AC5ED97" w14:textId="77777777" w:rsidR="00867793" w:rsidRDefault="0086779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E69A1" w14:textId="77777777" w:rsidR="00867793" w:rsidRDefault="0086779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7CE2" w14:textId="77777777" w:rsidR="00867793" w:rsidRDefault="0086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FDB9A" w14:textId="5CA68E04" w:rsidR="002A0201" w:rsidRPr="002A0201" w:rsidRDefault="002A0201" w:rsidP="002A0201">
    <w:pPr>
      <w:pStyle w:val="FooterCoverPage"/>
      <w:rPr>
        <w:rFonts w:ascii="Arial" w:hAnsi="Arial" w:cs="Arial"/>
        <w:b/>
        <w:sz w:val="48"/>
      </w:rPr>
    </w:pPr>
    <w:r w:rsidRPr="002A0201">
      <w:rPr>
        <w:rFonts w:ascii="Arial" w:hAnsi="Arial" w:cs="Arial"/>
        <w:b/>
        <w:sz w:val="48"/>
      </w:rPr>
      <w:t>ES</w:t>
    </w:r>
    <w:r w:rsidRPr="002A0201">
      <w:rPr>
        <w:rFonts w:ascii="Arial" w:hAnsi="Arial" w:cs="Arial"/>
        <w:b/>
        <w:sz w:val="48"/>
      </w:rPr>
      <w:tab/>
    </w:r>
    <w:r w:rsidRPr="002A0201">
      <w:rPr>
        <w:rFonts w:ascii="Arial" w:hAnsi="Arial" w:cs="Arial"/>
        <w:b/>
        <w:sz w:val="48"/>
      </w:rPr>
      <w:tab/>
    </w:r>
    <w:r w:rsidRPr="002A0201">
      <w:tab/>
    </w:r>
    <w:r w:rsidRPr="002A0201">
      <w:rPr>
        <w:rFonts w:ascii="Arial" w:hAnsi="Arial" w:cs="Arial"/>
        <w:b/>
        <w:sz w:val="48"/>
      </w:rPr>
      <w:t>ES</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784287"/>
      <w:docPartObj>
        <w:docPartGallery w:val="Page Numbers (Bottom of Page)"/>
        <w:docPartUnique/>
      </w:docPartObj>
    </w:sdtPr>
    <w:sdtEndPr>
      <w:rPr>
        <w:noProof/>
      </w:rPr>
    </w:sdtEndPr>
    <w:sdtContent>
      <w:p w14:paraId="44C34681"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12748B9F" w14:textId="77777777" w:rsidR="00867793" w:rsidRDefault="0086779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BB98" w14:textId="77777777" w:rsidR="00867793" w:rsidRDefault="0086779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301F1" w14:textId="77777777" w:rsidR="00867793" w:rsidRDefault="0086779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40912"/>
      <w:docPartObj>
        <w:docPartGallery w:val="Page Numbers (Bottom of Page)"/>
        <w:docPartUnique/>
      </w:docPartObj>
    </w:sdtPr>
    <w:sdtEndPr>
      <w:rPr>
        <w:noProof/>
      </w:rPr>
    </w:sdtEndPr>
    <w:sdtContent>
      <w:p w14:paraId="5985D23B" w14:textId="77777777" w:rsidR="00867793" w:rsidRDefault="00867793">
        <w:pPr>
          <w:pStyle w:val="Footer"/>
          <w:jc w:val="center"/>
        </w:pPr>
        <w:r>
          <w:fldChar w:fldCharType="begin"/>
        </w:r>
        <w:r>
          <w:instrText xml:space="preserve"> PAGE   \* MERGEFORMAT </w:instrText>
        </w:r>
        <w:r>
          <w:fldChar w:fldCharType="separate"/>
        </w:r>
        <w:r>
          <w:t>3</w:t>
        </w:r>
        <w:r>
          <w:fldChar w:fldCharType="end"/>
        </w:r>
      </w:p>
    </w:sdtContent>
  </w:sdt>
  <w:p w14:paraId="7DDEF4AD" w14:textId="77777777" w:rsidR="00867793" w:rsidRDefault="0086779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E360" w14:textId="77777777" w:rsidR="00867793" w:rsidRDefault="00867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8259" w14:textId="77777777" w:rsidR="002A0201" w:rsidRPr="002A0201" w:rsidRDefault="002A0201" w:rsidP="002A020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C1F5" w14:textId="77777777" w:rsidR="00656835" w:rsidRDefault="00656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037324"/>
      <w:docPartObj>
        <w:docPartGallery w:val="Page Numbers (Bottom of Page)"/>
        <w:docPartUnique/>
      </w:docPartObj>
    </w:sdtPr>
    <w:sdtEndPr>
      <w:rPr>
        <w:noProof/>
      </w:rPr>
    </w:sdtEndPr>
    <w:sdtContent>
      <w:p w14:paraId="164708A0" w14:textId="7568CD89" w:rsidR="00656835" w:rsidRDefault="00656835">
        <w:pPr>
          <w:pStyle w:val="Footer"/>
          <w:jc w:val="center"/>
        </w:pPr>
        <w:r>
          <w:fldChar w:fldCharType="begin"/>
        </w:r>
        <w:r>
          <w:instrText xml:space="preserve"> PAGE   \* MERGEFORMAT </w:instrText>
        </w:r>
        <w:r>
          <w:fldChar w:fldCharType="separate"/>
        </w:r>
        <w:r w:rsidR="002A0201">
          <w:rPr>
            <w:noProof/>
          </w:rPr>
          <w:t>1</w:t>
        </w:r>
        <w:r>
          <w:fldChar w:fldCharType="end"/>
        </w:r>
      </w:p>
    </w:sdtContent>
  </w:sdt>
  <w:p w14:paraId="7958B107" w14:textId="77777777" w:rsidR="00656835" w:rsidRDefault="006568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4EC7" w14:textId="77777777" w:rsidR="00656835" w:rsidRDefault="006568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C758" w14:textId="77777777" w:rsidR="00867793" w:rsidRDefault="008677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57854"/>
      <w:docPartObj>
        <w:docPartGallery w:val="Page Numbers (Bottom of Page)"/>
        <w:docPartUnique/>
      </w:docPartObj>
    </w:sdtPr>
    <w:sdtEndPr>
      <w:rPr>
        <w:noProof/>
      </w:rPr>
    </w:sdtEndPr>
    <w:sdtContent>
      <w:p w14:paraId="35C4CED2" w14:textId="1B69CDBB" w:rsidR="00867793" w:rsidRDefault="00867793">
        <w:pPr>
          <w:pStyle w:val="Footer"/>
          <w:jc w:val="center"/>
        </w:pPr>
        <w:r>
          <w:fldChar w:fldCharType="begin"/>
        </w:r>
        <w:r>
          <w:instrText xml:space="preserve"> PAGE   \* MERGEFORMAT </w:instrText>
        </w:r>
        <w:r>
          <w:fldChar w:fldCharType="separate"/>
        </w:r>
        <w:r w:rsidR="002A0201">
          <w:rPr>
            <w:noProof/>
          </w:rPr>
          <w:t>6</w:t>
        </w:r>
        <w:r>
          <w:fldChar w:fldCharType="end"/>
        </w:r>
      </w:p>
    </w:sdtContent>
  </w:sdt>
  <w:p w14:paraId="5A3F1A7D" w14:textId="77777777" w:rsidR="00867793" w:rsidRDefault="0086779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E528" w14:textId="77777777" w:rsidR="00867793" w:rsidRDefault="0086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053E" w14:textId="77777777" w:rsidR="00176689" w:rsidRDefault="00176689" w:rsidP="009D65C7">
      <w:pPr>
        <w:spacing w:after="0" w:line="240" w:lineRule="auto"/>
      </w:pPr>
      <w:r>
        <w:separator/>
      </w:r>
    </w:p>
  </w:footnote>
  <w:footnote w:type="continuationSeparator" w:id="0">
    <w:p w14:paraId="74D43197" w14:textId="77777777" w:rsidR="00176689" w:rsidRDefault="00176689" w:rsidP="009D65C7">
      <w:pPr>
        <w:spacing w:after="0" w:line="240" w:lineRule="auto"/>
      </w:pPr>
      <w:r>
        <w:continuationSeparator/>
      </w:r>
    </w:p>
  </w:footnote>
  <w:footnote w:id="1">
    <w:p w14:paraId="166304B4" w14:textId="77777777" w:rsidR="00656835" w:rsidRPr="009F76B6" w:rsidRDefault="00656835" w:rsidP="009F76B6">
      <w:pPr>
        <w:pStyle w:val="FootnoteText"/>
        <w:ind w:left="142" w:hanging="142"/>
        <w:rPr>
          <w:sz w:val="16"/>
          <w:szCs w:val="16"/>
        </w:rPr>
      </w:pPr>
      <w:r>
        <w:rPr>
          <w:rStyle w:val="FootnoteReference"/>
          <w:sz w:val="16"/>
          <w:szCs w:val="16"/>
        </w:rPr>
        <w:footnoteRef/>
      </w:r>
      <w:r>
        <w:rPr>
          <w:sz w:val="16"/>
        </w:rPr>
        <w:tab/>
        <w:t>El presente documento tiene en cuenta los artículos 152 y 153 del Acuerdo sobre la Retirada del Reino Unido de Gran Bretaña e Irlanda del Norte de la Unión Europea y de la Comunidad Europea de la Energía Atómica, que establecen que el Reino Unido seguirá siendo Parte en el FED hasta el cierre del 11.º FED y de todos los FED anteriores aún por cerrar, si bien no debe reutilizarse la cuota que le corresponda de los fondos liberados de proyectos con cargo al 11.º FED o a FED anteriores.</w:t>
      </w:r>
    </w:p>
  </w:footnote>
  <w:footnote w:id="2">
    <w:p w14:paraId="6FB83B2A" w14:textId="77777777" w:rsidR="00656835" w:rsidRPr="009F76B6" w:rsidRDefault="00656835" w:rsidP="009F76B6">
      <w:pPr>
        <w:pStyle w:val="FootnoteText"/>
        <w:ind w:left="142" w:hanging="142"/>
        <w:rPr>
          <w:sz w:val="16"/>
          <w:szCs w:val="16"/>
        </w:rPr>
      </w:pPr>
      <w:r>
        <w:rPr>
          <w:rStyle w:val="FootnoteReference"/>
          <w:sz w:val="16"/>
          <w:szCs w:val="16"/>
        </w:rPr>
        <w:footnoteRef/>
      </w:r>
      <w:r>
        <w:rPr>
          <w:sz w:val="16"/>
        </w:rPr>
        <w:tab/>
        <w:t>Reglamento (UE) 2018/1877 del Consejo, de 26 de noviembre de 2018, por el que se aprueba el Reglamento Financiero aplicable al undécimo Fondo Europeo de Desarrollo (DO L 307 de 3.12.2018, p. 1).</w:t>
      </w:r>
    </w:p>
  </w:footnote>
  <w:footnote w:id="3">
    <w:p w14:paraId="77FAC8F6" w14:textId="07BDB197" w:rsidR="00C9556F" w:rsidRPr="00B702E2" w:rsidRDefault="00C9556F" w:rsidP="00C9556F">
      <w:pPr>
        <w:pStyle w:val="FootnoteText"/>
        <w:ind w:left="142" w:hanging="142"/>
        <w:rPr>
          <w:sz w:val="16"/>
          <w:szCs w:val="16"/>
        </w:rPr>
      </w:pPr>
      <w:r>
        <w:rPr>
          <w:rStyle w:val="FootnoteReference"/>
          <w:sz w:val="16"/>
          <w:szCs w:val="16"/>
        </w:rPr>
        <w:footnoteRef/>
      </w:r>
      <w:r>
        <w:rPr>
          <w:sz w:val="16"/>
        </w:rPr>
        <w:t xml:space="preserve"> Las cifras presentadas en la presente exposición se refieren únicamente a la Comisión Europea; las cifras correspondientes al BEI se incluyen en los cuadros 3 y 5.</w:t>
      </w:r>
    </w:p>
  </w:footnote>
  <w:footnote w:id="4">
    <w:p w14:paraId="391CFA93" w14:textId="77777777" w:rsidR="00A81E2F" w:rsidRPr="00B702E2" w:rsidRDefault="00A81E2F" w:rsidP="00A81E2F">
      <w:pPr>
        <w:pStyle w:val="FootnoteText"/>
        <w:ind w:left="142" w:hanging="142"/>
        <w:rPr>
          <w:sz w:val="16"/>
          <w:szCs w:val="16"/>
        </w:rPr>
      </w:pPr>
      <w:r>
        <w:rPr>
          <w:rStyle w:val="FootnoteReference"/>
          <w:sz w:val="16"/>
          <w:szCs w:val="16"/>
        </w:rPr>
        <w:footnoteRef/>
      </w:r>
      <w:r>
        <w:t xml:space="preserve"> </w:t>
      </w:r>
      <w:r>
        <w:rPr>
          <w:rStyle w:val="ui-provider"/>
          <w:sz w:val="16"/>
        </w:rPr>
        <w:t>Decisión (UE) 2022/1223 del Consejo, de 12 de julio de 2022.</w:t>
      </w:r>
      <w:r>
        <w:rPr>
          <w:sz w:val="16"/>
        </w:rPr>
        <w:t xml:space="preserve"> En particular, los fondos financian acciones de apoyo de hasta 350 000 000 EUR para la producción de alimentos y la resiliencia de los sistemas alimentarios, hasta 100 000 000 EUR para apoyo macroeconómico y hasta 150 000 000 EUR para ayuda humanitaria.</w:t>
      </w:r>
    </w:p>
  </w:footnote>
  <w:footnote w:id="5">
    <w:p w14:paraId="4AB1EF07" w14:textId="09D068C9" w:rsidR="00AB3821" w:rsidRPr="00B702E2" w:rsidRDefault="00AB3821" w:rsidP="00B702E2">
      <w:pPr>
        <w:pStyle w:val="FootnoteText"/>
        <w:ind w:left="142" w:hanging="142"/>
        <w:rPr>
          <w:sz w:val="16"/>
          <w:szCs w:val="16"/>
        </w:rPr>
      </w:pPr>
      <w:r>
        <w:rPr>
          <w:rStyle w:val="FootnoteReference"/>
          <w:sz w:val="16"/>
          <w:szCs w:val="16"/>
        </w:rPr>
        <w:footnoteRef/>
      </w:r>
      <w:r>
        <w:t xml:space="preserve"> </w:t>
      </w:r>
      <w:r>
        <w:rPr>
          <w:sz w:val="16"/>
        </w:rPr>
        <w:t>El análisis de la tesorería se presenta en el cuadro 5.3.</w:t>
      </w:r>
    </w:p>
  </w:footnote>
  <w:footnote w:id="6">
    <w:p w14:paraId="1F417F85" w14:textId="31594787" w:rsidR="005955C8" w:rsidRDefault="005955C8" w:rsidP="005955C8">
      <w:pPr>
        <w:pStyle w:val="FootnoteText"/>
        <w:ind w:left="142" w:hanging="142"/>
      </w:pPr>
      <w:r>
        <w:rPr>
          <w:rStyle w:val="FootnoteReference"/>
          <w:sz w:val="16"/>
          <w:szCs w:val="16"/>
        </w:rPr>
        <w:footnoteRef/>
      </w:r>
      <w:r>
        <w:rPr>
          <w:sz w:val="16"/>
        </w:rPr>
        <w:t xml:space="preserve"> </w:t>
      </w:r>
      <w:bookmarkStart w:id="3" w:name="_Hlk193811018"/>
      <w:r>
        <w:rPr>
          <w:sz w:val="16"/>
        </w:rPr>
        <w:t>1 402,57 millones del mecanismo de transición en virtud de la Decisión 2015/0246/NLE del Consejo, 200 millones en virtud de la Decisión 2017/1206 del Consejo, 223 millones en virtud de la Decisión 2020/1708 del Consejo, 43 millones en virtud de la Decisión 2021/1941 del Consejo, 42,5 millones en virtud de la Decisión 2022/2242 del Consejo, 7,8 millones en virtud de la Decisión 2023/2586 del Consejo y 6,3 millones en virtud de la Decisión 2024/2906 del Consejo.</w:t>
      </w:r>
      <w:bookmarkEnd w:id="3"/>
    </w:p>
  </w:footnote>
  <w:footnote w:id="7">
    <w:p w14:paraId="4070F81F" w14:textId="7C2D8965" w:rsidR="00913AA8" w:rsidRPr="00913AA8" w:rsidRDefault="00913AA8" w:rsidP="00913AA8">
      <w:pPr>
        <w:pStyle w:val="FootnoteText"/>
        <w:jc w:val="left"/>
      </w:pPr>
      <w:r>
        <w:rPr>
          <w:rStyle w:val="FootnoteReference"/>
        </w:rPr>
        <w:footnoteRef/>
      </w:r>
      <w:r>
        <w:t xml:space="preserve"> </w:t>
      </w:r>
      <w:r>
        <w:rPr>
          <w:sz w:val="16"/>
        </w:rPr>
        <w:t>La Comisión reembolsó al Reino Unido 154,12 millones EUR en 2023, 49 millones EUR en 2024 y 15 millones EUR con el primer tramo de 2025.</w:t>
      </w:r>
    </w:p>
  </w:footnote>
  <w:footnote w:id="8">
    <w:p w14:paraId="12493CD1" w14:textId="6DC8DED6" w:rsidR="00656835" w:rsidRPr="00B0150F" w:rsidRDefault="00656835">
      <w:pPr>
        <w:pStyle w:val="FootnoteText"/>
        <w:rPr>
          <w:rFonts w:asciiTheme="minorHAnsi" w:hAnsiTheme="minorHAnsi" w:cstheme="minorHAnsi"/>
          <w:sz w:val="16"/>
          <w:szCs w:val="16"/>
        </w:rPr>
      </w:pPr>
      <w:r>
        <w:rPr>
          <w:rStyle w:val="FootnoteReference"/>
          <w:sz w:val="16"/>
          <w:szCs w:val="16"/>
        </w:rPr>
        <w:footnoteRef/>
      </w:r>
      <w:r>
        <w:rPr>
          <w:sz w:val="16"/>
        </w:rPr>
        <w:t xml:space="preserve"> </w:t>
      </w:r>
      <w:r w:rsidRPr="00B0150F">
        <w:rPr>
          <w:rFonts w:asciiTheme="minorHAnsi" w:hAnsiTheme="minorHAnsi" w:cstheme="minorHAnsi"/>
          <w:sz w:val="16"/>
        </w:rPr>
        <w:t>Compromisos brutos, esto es, sin deducir las liberaciones de créditos.</w:t>
      </w:r>
    </w:p>
  </w:footnote>
  <w:footnote w:id="9">
    <w:p w14:paraId="631226FA" w14:textId="0F973E35" w:rsidR="00656835" w:rsidRPr="00B0150F" w:rsidRDefault="00656835" w:rsidP="006B039B">
      <w:pPr>
        <w:pStyle w:val="FootnoteText"/>
        <w:ind w:left="142" w:hanging="152"/>
        <w:rPr>
          <w:rFonts w:asciiTheme="minorHAnsi" w:hAnsiTheme="minorHAnsi" w:cstheme="minorHAnsi"/>
          <w:sz w:val="16"/>
          <w:szCs w:val="16"/>
        </w:rPr>
      </w:pPr>
      <w:r w:rsidRPr="00B0150F">
        <w:rPr>
          <w:rStyle w:val="FootnoteReference"/>
          <w:rFonts w:asciiTheme="minorHAnsi" w:hAnsiTheme="minorHAnsi" w:cstheme="minorHAnsi"/>
          <w:sz w:val="16"/>
          <w:szCs w:val="16"/>
        </w:rPr>
        <w:footnoteRef/>
      </w:r>
      <w:r w:rsidRPr="00B0150F">
        <w:rPr>
          <w:rFonts w:asciiTheme="minorHAnsi" w:hAnsiTheme="minorHAnsi" w:cstheme="minorHAnsi"/>
          <w:sz w:val="16"/>
        </w:rPr>
        <w:tab/>
        <w:t>Pagos brutos, es decir, sin deducción de las recaudaciones.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C259" w14:textId="77777777" w:rsidR="002A0201" w:rsidRPr="002A0201" w:rsidRDefault="002A0201" w:rsidP="002A0201">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D8B8B" w14:textId="77777777" w:rsidR="00867793" w:rsidRDefault="008677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3BD97" w14:textId="77777777" w:rsidR="00867793" w:rsidRDefault="008677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4F391" w14:textId="77777777" w:rsidR="00867793" w:rsidRDefault="0086779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89AE" w14:textId="77777777" w:rsidR="00867793" w:rsidRDefault="0086779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AE74" w14:textId="77777777" w:rsidR="00867793" w:rsidRDefault="0086779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9820" w14:textId="77777777" w:rsidR="00867793" w:rsidRDefault="0086779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C95BC" w14:textId="77777777" w:rsidR="00867793" w:rsidRDefault="0086779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FF15D" w14:textId="77777777" w:rsidR="00867793" w:rsidRDefault="0086779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CAAF" w14:textId="77777777" w:rsidR="00867793" w:rsidRDefault="0086779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98835" w14:textId="77777777" w:rsidR="00867793" w:rsidRDefault="0086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B685" w14:textId="77777777" w:rsidR="002A0201" w:rsidRPr="002A0201" w:rsidRDefault="002A0201" w:rsidP="002A0201">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4219" w14:textId="77777777" w:rsidR="00867793" w:rsidRDefault="0086779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5714" w14:textId="77777777" w:rsidR="00867793" w:rsidRDefault="0086779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610F" w14:textId="77777777" w:rsidR="00867793" w:rsidRDefault="0086779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5369" w14:textId="77777777" w:rsidR="00867793" w:rsidRDefault="0086779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527A" w14:textId="77777777" w:rsidR="00867793" w:rsidRDefault="0086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371C5" w14:textId="77777777" w:rsidR="002A0201" w:rsidRPr="002A0201" w:rsidRDefault="002A0201" w:rsidP="002A020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58C97" w14:textId="77777777" w:rsidR="00656835" w:rsidRDefault="00656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8278" w14:textId="77777777" w:rsidR="00656835" w:rsidRDefault="00656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2465" w14:textId="77777777" w:rsidR="00656835" w:rsidRDefault="00656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060C" w14:textId="77777777" w:rsidR="00867793" w:rsidRDefault="0086779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0E212" w14:textId="77777777" w:rsidR="00867793" w:rsidRDefault="008677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32723" w14:textId="77777777" w:rsidR="00867793" w:rsidRDefault="0086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E0708"/>
    <w:multiLevelType w:val="hybridMultilevel"/>
    <w:tmpl w:val="B0FAD232"/>
    <w:lvl w:ilvl="0" w:tplc="6CB863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4A12FA4"/>
    <w:multiLevelType w:val="multilevel"/>
    <w:tmpl w:val="8144A012"/>
    <w:name w:val="Heading"/>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rPr>
        <w:sz w:val="24"/>
        <w:szCs w:val="24"/>
      </w:r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666CE2"/>
    <w:multiLevelType w:val="hybridMultilevel"/>
    <w:tmpl w:val="B8E0F688"/>
    <w:lvl w:ilvl="0" w:tplc="0409000F">
      <w:start w:val="1"/>
      <w:numFmt w:val="decimal"/>
      <w:lvlText w:val="%1."/>
      <w:lvlJc w:val="left"/>
      <w:pPr>
        <w:ind w:left="720" w:hanging="360"/>
      </w:pPr>
    </w:lvl>
    <w:lvl w:ilvl="1" w:tplc="6DE4514E">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2701492-4468-419C-B731-4FD68D3BE62B"/>
    <w:docVar w:name="LW_COVERPAGE_TYPE" w:val="1"/>
    <w:docVar w:name="LW_CROSSREFERENCE" w:val="&lt;UNUSED&gt;"/>
    <w:docVar w:name="LW_DocType" w:val="NORMAL"/>
    <w:docVar w:name="LW_EMISSION" w:val="5.6.2025"/>
    <w:docVar w:name="LW_EMISSION_ISODATE" w:val="2025-06-05"/>
    <w:docVar w:name="LW_EMISSION_LOCATION" w:val="BRX"/>
    <w:docVar w:name="LW_EMISSION_PREFIX" w:val="Bruselas, "/>
    <w:docVar w:name="LW_EMISSION_SUFFIX" w:val=" "/>
    <w:docVar w:name="LW_ID_DOCTYPE_NONLW" w:val="CP-010"/>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5) 29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nformación Financiera sobre el Fondo Europeo de Desarrollo (FED):_x000d__x000d__x000d__x000d__x000d__x000d__x000d__x000d__x000d__x000b__x000d_Ejecución financiera para 2024 y previsiones para el período 2025-2028_x000d__x000b__x000d__x000d__x000d__x000d__x000d__x000d__x000d__x000d__x000d__x000d__x000b__x000d__x000d__x000d__x000d__x000d__x000d__x000d__x000d__x000d__x000b__x000d__x000d__x000d__x000d__x000d__x000d__x000d__x000d__x000d__x000b__x000d__x000d__x000d__x000d__x000d__x000d__x000d__x000d__x000d__x000b__x000d__x000d__x000d__x000d__x000d__x000d__x000d__x000d__x000d__x000b__x000d__x000d__x000d__x000d__x000d__x000d__x000d__x000d__x000d__x000b__x000d__x000d__x000d__x000d__x000d__x000d__x000d__x000d__x000d__x000b_"/>
    <w:docVar w:name="LW_TYPE.DOC.CP" w:val="COMUNICACIÓN DE LA COMISIÓN AL CONSEJO"/>
    <w:docVar w:name="LW_TYPE.DOC.CP.USERTEXT" w:val="&lt;EMPTY&gt;"/>
    <w:docVar w:name="LwApiVersions" w:val="LW4CoDe 1.24.5.0; LW 9.0, Build 20240221"/>
  </w:docVars>
  <w:rsids>
    <w:rsidRoot w:val="009D65C7"/>
    <w:rsid w:val="000073F5"/>
    <w:rsid w:val="00024F7E"/>
    <w:rsid w:val="00035E0A"/>
    <w:rsid w:val="00041B74"/>
    <w:rsid w:val="00047221"/>
    <w:rsid w:val="0005231B"/>
    <w:rsid w:val="000754CF"/>
    <w:rsid w:val="00092F9E"/>
    <w:rsid w:val="00095BF5"/>
    <w:rsid w:val="00096A5F"/>
    <w:rsid w:val="000C4952"/>
    <w:rsid w:val="000D044E"/>
    <w:rsid w:val="000D5031"/>
    <w:rsid w:val="000F6876"/>
    <w:rsid w:val="001101AD"/>
    <w:rsid w:val="00110FC7"/>
    <w:rsid w:val="00116F44"/>
    <w:rsid w:val="00117F35"/>
    <w:rsid w:val="00120FF8"/>
    <w:rsid w:val="001240E6"/>
    <w:rsid w:val="0013160E"/>
    <w:rsid w:val="00140B8F"/>
    <w:rsid w:val="00154CCD"/>
    <w:rsid w:val="00174BF6"/>
    <w:rsid w:val="00176689"/>
    <w:rsid w:val="00180F0F"/>
    <w:rsid w:val="00181337"/>
    <w:rsid w:val="00183939"/>
    <w:rsid w:val="001929A3"/>
    <w:rsid w:val="001970E2"/>
    <w:rsid w:val="00197EE4"/>
    <w:rsid w:val="001A3720"/>
    <w:rsid w:val="001E3565"/>
    <w:rsid w:val="001E7B93"/>
    <w:rsid w:val="001F1457"/>
    <w:rsid w:val="001F5D7C"/>
    <w:rsid w:val="0020097D"/>
    <w:rsid w:val="0021563D"/>
    <w:rsid w:val="0023723D"/>
    <w:rsid w:val="002432B6"/>
    <w:rsid w:val="00245950"/>
    <w:rsid w:val="00252D5F"/>
    <w:rsid w:val="002531A8"/>
    <w:rsid w:val="002601C4"/>
    <w:rsid w:val="00265E72"/>
    <w:rsid w:val="0027214A"/>
    <w:rsid w:val="00280CA8"/>
    <w:rsid w:val="00281C3D"/>
    <w:rsid w:val="00291111"/>
    <w:rsid w:val="002A0201"/>
    <w:rsid w:val="002C2813"/>
    <w:rsid w:val="002C28AE"/>
    <w:rsid w:val="002D51AD"/>
    <w:rsid w:val="002D776A"/>
    <w:rsid w:val="002F20A9"/>
    <w:rsid w:val="0033195F"/>
    <w:rsid w:val="0033728A"/>
    <w:rsid w:val="0034225C"/>
    <w:rsid w:val="003442FF"/>
    <w:rsid w:val="003457E8"/>
    <w:rsid w:val="0034797B"/>
    <w:rsid w:val="00347A29"/>
    <w:rsid w:val="00350B73"/>
    <w:rsid w:val="00352C3E"/>
    <w:rsid w:val="00363429"/>
    <w:rsid w:val="00371BA8"/>
    <w:rsid w:val="0037404E"/>
    <w:rsid w:val="0038569B"/>
    <w:rsid w:val="00396DF6"/>
    <w:rsid w:val="003A08D0"/>
    <w:rsid w:val="003A0B2C"/>
    <w:rsid w:val="003A4615"/>
    <w:rsid w:val="003B5421"/>
    <w:rsid w:val="003D00DF"/>
    <w:rsid w:val="003F0DBB"/>
    <w:rsid w:val="0040375F"/>
    <w:rsid w:val="004060DC"/>
    <w:rsid w:val="00410660"/>
    <w:rsid w:val="004110F9"/>
    <w:rsid w:val="0041319E"/>
    <w:rsid w:val="0042392F"/>
    <w:rsid w:val="0044169D"/>
    <w:rsid w:val="00445744"/>
    <w:rsid w:val="00453DB2"/>
    <w:rsid w:val="00455F9E"/>
    <w:rsid w:val="004650FA"/>
    <w:rsid w:val="00467F2A"/>
    <w:rsid w:val="00474AE8"/>
    <w:rsid w:val="00474C76"/>
    <w:rsid w:val="00474EA7"/>
    <w:rsid w:val="00492104"/>
    <w:rsid w:val="004A2A7A"/>
    <w:rsid w:val="004B2600"/>
    <w:rsid w:val="004B62A2"/>
    <w:rsid w:val="004B683B"/>
    <w:rsid w:val="004C04C3"/>
    <w:rsid w:val="004C0B5E"/>
    <w:rsid w:val="004C147D"/>
    <w:rsid w:val="004D0886"/>
    <w:rsid w:val="004D08D1"/>
    <w:rsid w:val="004D2C46"/>
    <w:rsid w:val="004E19BE"/>
    <w:rsid w:val="004E3F14"/>
    <w:rsid w:val="004E70A6"/>
    <w:rsid w:val="004F6849"/>
    <w:rsid w:val="00501918"/>
    <w:rsid w:val="005028D5"/>
    <w:rsid w:val="00513B66"/>
    <w:rsid w:val="005144C1"/>
    <w:rsid w:val="005223F5"/>
    <w:rsid w:val="005269AE"/>
    <w:rsid w:val="0054704B"/>
    <w:rsid w:val="00555E98"/>
    <w:rsid w:val="00556E07"/>
    <w:rsid w:val="005574DB"/>
    <w:rsid w:val="005661E2"/>
    <w:rsid w:val="00572334"/>
    <w:rsid w:val="00574C19"/>
    <w:rsid w:val="005955C8"/>
    <w:rsid w:val="00597F0D"/>
    <w:rsid w:val="005B4145"/>
    <w:rsid w:val="005B6630"/>
    <w:rsid w:val="005B7C09"/>
    <w:rsid w:val="005C6BBE"/>
    <w:rsid w:val="005D582C"/>
    <w:rsid w:val="005E392B"/>
    <w:rsid w:val="005E61CF"/>
    <w:rsid w:val="005F3086"/>
    <w:rsid w:val="005F3302"/>
    <w:rsid w:val="005F4B2A"/>
    <w:rsid w:val="006042D5"/>
    <w:rsid w:val="00606BE3"/>
    <w:rsid w:val="00633225"/>
    <w:rsid w:val="00636384"/>
    <w:rsid w:val="00643CF2"/>
    <w:rsid w:val="00651054"/>
    <w:rsid w:val="0065322F"/>
    <w:rsid w:val="00656835"/>
    <w:rsid w:val="006605F8"/>
    <w:rsid w:val="00665FE7"/>
    <w:rsid w:val="006678EA"/>
    <w:rsid w:val="00675EEF"/>
    <w:rsid w:val="00682021"/>
    <w:rsid w:val="00682D28"/>
    <w:rsid w:val="00682F38"/>
    <w:rsid w:val="00686946"/>
    <w:rsid w:val="00691E46"/>
    <w:rsid w:val="006A0B31"/>
    <w:rsid w:val="006A1C01"/>
    <w:rsid w:val="006A64D4"/>
    <w:rsid w:val="006B039B"/>
    <w:rsid w:val="006B678C"/>
    <w:rsid w:val="006B6BD4"/>
    <w:rsid w:val="006C28CC"/>
    <w:rsid w:val="006D0B14"/>
    <w:rsid w:val="006D28CB"/>
    <w:rsid w:val="006E40C9"/>
    <w:rsid w:val="006F2A06"/>
    <w:rsid w:val="006F356F"/>
    <w:rsid w:val="006F5687"/>
    <w:rsid w:val="00730FB9"/>
    <w:rsid w:val="00733614"/>
    <w:rsid w:val="007378FE"/>
    <w:rsid w:val="00742EC6"/>
    <w:rsid w:val="00747D61"/>
    <w:rsid w:val="0076282F"/>
    <w:rsid w:val="007758AD"/>
    <w:rsid w:val="00776165"/>
    <w:rsid w:val="00786356"/>
    <w:rsid w:val="007972C7"/>
    <w:rsid w:val="007A3174"/>
    <w:rsid w:val="007B13DC"/>
    <w:rsid w:val="007B5B55"/>
    <w:rsid w:val="007B7A3F"/>
    <w:rsid w:val="007C39DD"/>
    <w:rsid w:val="007D0E4D"/>
    <w:rsid w:val="007D2FB3"/>
    <w:rsid w:val="007D7132"/>
    <w:rsid w:val="007E6245"/>
    <w:rsid w:val="007E7416"/>
    <w:rsid w:val="007F12FF"/>
    <w:rsid w:val="007F7B22"/>
    <w:rsid w:val="007F7BC4"/>
    <w:rsid w:val="00804505"/>
    <w:rsid w:val="0080475C"/>
    <w:rsid w:val="008064B9"/>
    <w:rsid w:val="00810258"/>
    <w:rsid w:val="00810E37"/>
    <w:rsid w:val="00827482"/>
    <w:rsid w:val="00831BD2"/>
    <w:rsid w:val="00836561"/>
    <w:rsid w:val="00841354"/>
    <w:rsid w:val="008426BB"/>
    <w:rsid w:val="00842ECA"/>
    <w:rsid w:val="00844C22"/>
    <w:rsid w:val="00845434"/>
    <w:rsid w:val="00855070"/>
    <w:rsid w:val="008652FD"/>
    <w:rsid w:val="00867793"/>
    <w:rsid w:val="008824E3"/>
    <w:rsid w:val="00895C51"/>
    <w:rsid w:val="008A1549"/>
    <w:rsid w:val="008A6C44"/>
    <w:rsid w:val="008B0799"/>
    <w:rsid w:val="008B1305"/>
    <w:rsid w:val="008B2FD0"/>
    <w:rsid w:val="008B3F72"/>
    <w:rsid w:val="008C1BB8"/>
    <w:rsid w:val="008D022D"/>
    <w:rsid w:val="008D0AF8"/>
    <w:rsid w:val="008D0E97"/>
    <w:rsid w:val="008D3C90"/>
    <w:rsid w:val="008D653F"/>
    <w:rsid w:val="008F10FE"/>
    <w:rsid w:val="008F1ADD"/>
    <w:rsid w:val="008F2627"/>
    <w:rsid w:val="009035E0"/>
    <w:rsid w:val="00913AA8"/>
    <w:rsid w:val="0091530B"/>
    <w:rsid w:val="00932DA5"/>
    <w:rsid w:val="009362B4"/>
    <w:rsid w:val="00936564"/>
    <w:rsid w:val="00943589"/>
    <w:rsid w:val="00957322"/>
    <w:rsid w:val="00966A84"/>
    <w:rsid w:val="00967B74"/>
    <w:rsid w:val="00972ABE"/>
    <w:rsid w:val="00981864"/>
    <w:rsid w:val="009844FD"/>
    <w:rsid w:val="00986B0C"/>
    <w:rsid w:val="009B10FA"/>
    <w:rsid w:val="009B71D4"/>
    <w:rsid w:val="009C3770"/>
    <w:rsid w:val="009D65C7"/>
    <w:rsid w:val="009E1D32"/>
    <w:rsid w:val="009E3DA2"/>
    <w:rsid w:val="009F76B6"/>
    <w:rsid w:val="00A0127E"/>
    <w:rsid w:val="00A0254A"/>
    <w:rsid w:val="00A0379E"/>
    <w:rsid w:val="00A10FD0"/>
    <w:rsid w:val="00A12D70"/>
    <w:rsid w:val="00A12EBE"/>
    <w:rsid w:val="00A50E06"/>
    <w:rsid w:val="00A51274"/>
    <w:rsid w:val="00A71EA8"/>
    <w:rsid w:val="00A72DD9"/>
    <w:rsid w:val="00A81E2F"/>
    <w:rsid w:val="00A87B66"/>
    <w:rsid w:val="00A9783F"/>
    <w:rsid w:val="00AB1566"/>
    <w:rsid w:val="00AB1ADC"/>
    <w:rsid w:val="00AB3821"/>
    <w:rsid w:val="00AB4B26"/>
    <w:rsid w:val="00AB71CE"/>
    <w:rsid w:val="00AC26C9"/>
    <w:rsid w:val="00AE2D76"/>
    <w:rsid w:val="00AE3333"/>
    <w:rsid w:val="00AE3E65"/>
    <w:rsid w:val="00AE448C"/>
    <w:rsid w:val="00AE7424"/>
    <w:rsid w:val="00AF23E3"/>
    <w:rsid w:val="00B00002"/>
    <w:rsid w:val="00B00818"/>
    <w:rsid w:val="00B0150F"/>
    <w:rsid w:val="00B049DA"/>
    <w:rsid w:val="00B17235"/>
    <w:rsid w:val="00B24DE5"/>
    <w:rsid w:val="00B32AF4"/>
    <w:rsid w:val="00B54403"/>
    <w:rsid w:val="00B702E2"/>
    <w:rsid w:val="00B80A74"/>
    <w:rsid w:val="00B91BD5"/>
    <w:rsid w:val="00B9237D"/>
    <w:rsid w:val="00B934C6"/>
    <w:rsid w:val="00B9410B"/>
    <w:rsid w:val="00B959AD"/>
    <w:rsid w:val="00BA3C93"/>
    <w:rsid w:val="00BA7988"/>
    <w:rsid w:val="00BB3384"/>
    <w:rsid w:val="00BB3913"/>
    <w:rsid w:val="00BC0A39"/>
    <w:rsid w:val="00BE196C"/>
    <w:rsid w:val="00BF6FA6"/>
    <w:rsid w:val="00C0113F"/>
    <w:rsid w:val="00C1106B"/>
    <w:rsid w:val="00C13A4F"/>
    <w:rsid w:val="00C13E03"/>
    <w:rsid w:val="00C37311"/>
    <w:rsid w:val="00C57A0B"/>
    <w:rsid w:val="00C61493"/>
    <w:rsid w:val="00C620BF"/>
    <w:rsid w:val="00C756B2"/>
    <w:rsid w:val="00C8006E"/>
    <w:rsid w:val="00C87671"/>
    <w:rsid w:val="00C9556F"/>
    <w:rsid w:val="00CA0387"/>
    <w:rsid w:val="00CB00B6"/>
    <w:rsid w:val="00CB4A04"/>
    <w:rsid w:val="00CD797F"/>
    <w:rsid w:val="00CE099C"/>
    <w:rsid w:val="00CE1EC9"/>
    <w:rsid w:val="00CE2166"/>
    <w:rsid w:val="00D074AB"/>
    <w:rsid w:val="00D13A96"/>
    <w:rsid w:val="00D23814"/>
    <w:rsid w:val="00D240CE"/>
    <w:rsid w:val="00D24D13"/>
    <w:rsid w:val="00D42514"/>
    <w:rsid w:val="00D42B0D"/>
    <w:rsid w:val="00D435DC"/>
    <w:rsid w:val="00D4364E"/>
    <w:rsid w:val="00D71C64"/>
    <w:rsid w:val="00D905C8"/>
    <w:rsid w:val="00D910BD"/>
    <w:rsid w:val="00D928E6"/>
    <w:rsid w:val="00DA0228"/>
    <w:rsid w:val="00DA1485"/>
    <w:rsid w:val="00DA729B"/>
    <w:rsid w:val="00DB1153"/>
    <w:rsid w:val="00DB4062"/>
    <w:rsid w:val="00DC0648"/>
    <w:rsid w:val="00DE2F49"/>
    <w:rsid w:val="00DE46E7"/>
    <w:rsid w:val="00DE4BE1"/>
    <w:rsid w:val="00DF276E"/>
    <w:rsid w:val="00DF3D90"/>
    <w:rsid w:val="00DF4E4D"/>
    <w:rsid w:val="00E156D1"/>
    <w:rsid w:val="00E253D9"/>
    <w:rsid w:val="00E26949"/>
    <w:rsid w:val="00E30142"/>
    <w:rsid w:val="00E32987"/>
    <w:rsid w:val="00E34738"/>
    <w:rsid w:val="00E35DA4"/>
    <w:rsid w:val="00E40660"/>
    <w:rsid w:val="00E459E1"/>
    <w:rsid w:val="00E514AE"/>
    <w:rsid w:val="00E514BF"/>
    <w:rsid w:val="00E618A8"/>
    <w:rsid w:val="00E63D2D"/>
    <w:rsid w:val="00E65850"/>
    <w:rsid w:val="00E719D5"/>
    <w:rsid w:val="00E80E47"/>
    <w:rsid w:val="00E87C60"/>
    <w:rsid w:val="00E93C9B"/>
    <w:rsid w:val="00E940EC"/>
    <w:rsid w:val="00E941BD"/>
    <w:rsid w:val="00EA0BAE"/>
    <w:rsid w:val="00EC0F88"/>
    <w:rsid w:val="00EC160E"/>
    <w:rsid w:val="00ED3D97"/>
    <w:rsid w:val="00ED641B"/>
    <w:rsid w:val="00EE12E4"/>
    <w:rsid w:val="00EE7D93"/>
    <w:rsid w:val="00EF01E3"/>
    <w:rsid w:val="00EF31B7"/>
    <w:rsid w:val="00EF44EA"/>
    <w:rsid w:val="00F06C4B"/>
    <w:rsid w:val="00F437A3"/>
    <w:rsid w:val="00F53DF1"/>
    <w:rsid w:val="00F6004C"/>
    <w:rsid w:val="00F73712"/>
    <w:rsid w:val="00F87700"/>
    <w:rsid w:val="00F976C4"/>
    <w:rsid w:val="00FC267C"/>
    <w:rsid w:val="00FC3A54"/>
    <w:rsid w:val="00FD725A"/>
    <w:rsid w:val="00FE3A8E"/>
    <w:rsid w:val="00FE51E2"/>
    <w:rsid w:val="00FF54DA"/>
    <w:rsid w:val="00FF73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A463BD"/>
  <w15:chartTrackingRefBased/>
  <w15:docId w15:val="{22E4B974-6FF6-4FDE-A409-48553427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3B"/>
  </w:style>
  <w:style w:type="paragraph" w:styleId="Heading1">
    <w:name w:val="heading 1"/>
    <w:basedOn w:val="Normal"/>
    <w:next w:val="Text1"/>
    <w:link w:val="Heading1Char"/>
    <w:uiPriority w:val="9"/>
    <w:qFormat/>
    <w:rsid w:val="00A0127E"/>
    <w:pPr>
      <w:keepNext/>
      <w:numPr>
        <w:numId w:val="1"/>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rsid w:val="00A0127E"/>
    <w:pPr>
      <w:keepNext/>
      <w:numPr>
        <w:ilvl w:val="1"/>
        <w:numId w:val="1"/>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rsid w:val="00A0127E"/>
    <w:pPr>
      <w:keepNext/>
      <w:numPr>
        <w:ilvl w:val="2"/>
        <w:numId w:val="1"/>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rsid w:val="00A0127E"/>
    <w:pPr>
      <w:keepNext/>
      <w:numPr>
        <w:ilvl w:val="3"/>
        <w:numId w:val="1"/>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D65C7"/>
    <w:rPr>
      <w:color w:val="0000FF"/>
      <w:shd w:val="clear" w:color="auto" w:fill="auto"/>
    </w:rPr>
  </w:style>
  <w:style w:type="paragraph" w:styleId="Header">
    <w:name w:val="header"/>
    <w:basedOn w:val="Normal"/>
    <w:link w:val="HeaderChar"/>
    <w:uiPriority w:val="99"/>
    <w:unhideWhenUsed/>
    <w:rsid w:val="009D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5C7"/>
  </w:style>
  <w:style w:type="paragraph" w:styleId="Footer">
    <w:name w:val="footer"/>
    <w:basedOn w:val="Normal"/>
    <w:link w:val="FooterChar"/>
    <w:uiPriority w:val="99"/>
    <w:unhideWhenUsed/>
    <w:rsid w:val="009D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5C7"/>
  </w:style>
  <w:style w:type="paragraph" w:customStyle="1" w:styleId="Pagedecouverture">
    <w:name w:val="Page de couverture"/>
    <w:basedOn w:val="Normal"/>
    <w:next w:val="Normal"/>
    <w:rsid w:val="009D65C7"/>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D65C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D65C7"/>
    <w:rPr>
      <w:rFonts w:ascii="Times New Roman" w:hAnsi="Times New Roman" w:cs="Times New Roman"/>
      <w:sz w:val="24"/>
    </w:rPr>
  </w:style>
  <w:style w:type="paragraph" w:customStyle="1" w:styleId="FooterSensitivity">
    <w:name w:val="Footer Sensitivity"/>
    <w:basedOn w:val="Normal"/>
    <w:link w:val="FooterSensitivityChar"/>
    <w:rsid w:val="009D65C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D65C7"/>
    <w:rPr>
      <w:rFonts w:ascii="Times New Roman" w:hAnsi="Times New Roman" w:cs="Times New Roman"/>
      <w:b/>
      <w:sz w:val="32"/>
    </w:rPr>
  </w:style>
  <w:style w:type="paragraph" w:customStyle="1" w:styleId="HeaderCoverPage">
    <w:name w:val="Header Cover Page"/>
    <w:basedOn w:val="Normal"/>
    <w:link w:val="HeaderCoverPageChar"/>
    <w:rsid w:val="009D65C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D65C7"/>
    <w:rPr>
      <w:rFonts w:ascii="Times New Roman" w:hAnsi="Times New Roman" w:cs="Times New Roman"/>
      <w:sz w:val="24"/>
    </w:rPr>
  </w:style>
  <w:style w:type="paragraph" w:customStyle="1" w:styleId="HeaderSensitivity">
    <w:name w:val="Header Sensitivity"/>
    <w:basedOn w:val="Normal"/>
    <w:link w:val="HeaderSensitivityChar"/>
    <w:rsid w:val="009D65C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D65C7"/>
    <w:rPr>
      <w:rFonts w:ascii="Times New Roman" w:hAnsi="Times New Roman" w:cs="Times New Roman"/>
      <w:b/>
      <w:sz w:val="32"/>
    </w:rPr>
  </w:style>
  <w:style w:type="paragraph" w:customStyle="1" w:styleId="HeaderSensitivityRight">
    <w:name w:val="Header Sensitivity Right"/>
    <w:basedOn w:val="Normal"/>
    <w:link w:val="HeaderSensitivityRightChar"/>
    <w:rsid w:val="009D65C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D65C7"/>
    <w:rPr>
      <w:rFonts w:ascii="Times New Roman" w:hAnsi="Times New Roman" w:cs="Times New Roman"/>
      <w:sz w:val="28"/>
    </w:rPr>
  </w:style>
  <w:style w:type="character" w:customStyle="1" w:styleId="Heading1Char">
    <w:name w:val="Heading 1 Char"/>
    <w:basedOn w:val="DefaultParagraphFont"/>
    <w:link w:val="Heading1"/>
    <w:uiPriority w:val="9"/>
    <w:rsid w:val="00A0127E"/>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sid w:val="00A0127E"/>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sid w:val="00A0127E"/>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sid w:val="00A0127E"/>
    <w:rPr>
      <w:rFonts w:ascii="Times New Roman" w:eastAsia="Times New Roman" w:hAnsi="Times New Roman" w:cs="Times New Roman"/>
      <w:bCs/>
      <w:iCs/>
      <w:sz w:val="24"/>
      <w:lang w:eastAsia="en-GB"/>
    </w:rPr>
  </w:style>
  <w:style w:type="paragraph" w:customStyle="1" w:styleId="Text1">
    <w:name w:val="Text 1"/>
    <w:basedOn w:val="Normal"/>
    <w:rsid w:val="00A0127E"/>
    <w:pPr>
      <w:spacing w:before="120" w:after="120" w:line="240" w:lineRule="auto"/>
      <w:ind w:left="850"/>
      <w:jc w:val="both"/>
    </w:pPr>
    <w:rPr>
      <w:rFonts w:ascii="Times New Roman" w:eastAsia="Times New Roman" w:hAnsi="Times New Roman" w:cs="Times New Roman"/>
      <w:sz w:val="24"/>
      <w:lang w:eastAsia="en-GB"/>
    </w:rPr>
  </w:style>
  <w:style w:type="paragraph" w:styleId="FootnoteText">
    <w:name w:val="footnote text"/>
    <w:basedOn w:val="Normal"/>
    <w:link w:val="FootnoteTextChar"/>
    <w:unhideWhenUsed/>
    <w:rsid w:val="00A0127E"/>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0127E"/>
    <w:rPr>
      <w:rFonts w:ascii="Times New Roman" w:eastAsia="Times New Roman" w:hAnsi="Times New Roman" w:cs="Times New Roman"/>
      <w:sz w:val="20"/>
      <w:szCs w:val="20"/>
      <w:lang w:eastAsia="en-GB"/>
    </w:rPr>
  </w:style>
  <w:style w:type="character" w:styleId="FootnoteReference">
    <w:name w:val="footnote reference"/>
    <w:semiHidden/>
    <w:unhideWhenUsed/>
    <w:rsid w:val="00A0127E"/>
    <w:rPr>
      <w:vertAlign w:val="superscript"/>
    </w:rPr>
  </w:style>
  <w:style w:type="character" w:styleId="CommentReference">
    <w:name w:val="annotation reference"/>
    <w:basedOn w:val="DefaultParagraphFont"/>
    <w:uiPriority w:val="99"/>
    <w:semiHidden/>
    <w:unhideWhenUsed/>
    <w:rsid w:val="00347A29"/>
    <w:rPr>
      <w:sz w:val="16"/>
      <w:szCs w:val="16"/>
    </w:rPr>
  </w:style>
  <w:style w:type="paragraph" w:styleId="CommentText">
    <w:name w:val="annotation text"/>
    <w:basedOn w:val="Normal"/>
    <w:link w:val="CommentTextChar"/>
    <w:uiPriority w:val="99"/>
    <w:unhideWhenUsed/>
    <w:rsid w:val="00347A29"/>
    <w:pPr>
      <w:spacing w:line="240" w:lineRule="auto"/>
    </w:pPr>
    <w:rPr>
      <w:sz w:val="20"/>
      <w:szCs w:val="20"/>
    </w:rPr>
  </w:style>
  <w:style w:type="character" w:customStyle="1" w:styleId="CommentTextChar">
    <w:name w:val="Comment Text Char"/>
    <w:basedOn w:val="DefaultParagraphFont"/>
    <w:link w:val="CommentText"/>
    <w:uiPriority w:val="99"/>
    <w:rsid w:val="00347A29"/>
    <w:rPr>
      <w:sz w:val="20"/>
      <w:szCs w:val="20"/>
    </w:rPr>
  </w:style>
  <w:style w:type="paragraph" w:styleId="CommentSubject">
    <w:name w:val="annotation subject"/>
    <w:basedOn w:val="CommentText"/>
    <w:next w:val="CommentText"/>
    <w:link w:val="CommentSubjectChar"/>
    <w:uiPriority w:val="99"/>
    <w:semiHidden/>
    <w:unhideWhenUsed/>
    <w:rsid w:val="00347A29"/>
    <w:rPr>
      <w:b/>
      <w:bCs/>
    </w:rPr>
  </w:style>
  <w:style w:type="character" w:customStyle="1" w:styleId="CommentSubjectChar">
    <w:name w:val="Comment Subject Char"/>
    <w:basedOn w:val="CommentTextChar"/>
    <w:link w:val="CommentSubject"/>
    <w:uiPriority w:val="99"/>
    <w:semiHidden/>
    <w:rsid w:val="00347A29"/>
    <w:rPr>
      <w:b/>
      <w:bCs/>
      <w:sz w:val="20"/>
      <w:szCs w:val="20"/>
    </w:rPr>
  </w:style>
  <w:style w:type="paragraph" w:styleId="BalloonText">
    <w:name w:val="Balloon Text"/>
    <w:basedOn w:val="Normal"/>
    <w:link w:val="BalloonTextChar"/>
    <w:uiPriority w:val="99"/>
    <w:semiHidden/>
    <w:unhideWhenUsed/>
    <w:rsid w:val="00347A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A29"/>
    <w:rPr>
      <w:rFonts w:ascii="Segoe UI" w:hAnsi="Segoe UI" w:cs="Segoe UI"/>
      <w:sz w:val="18"/>
      <w:szCs w:val="18"/>
    </w:rPr>
  </w:style>
  <w:style w:type="paragraph" w:styleId="ListParagraph">
    <w:name w:val="List Paragraph"/>
    <w:basedOn w:val="Normal"/>
    <w:uiPriority w:val="34"/>
    <w:qFormat/>
    <w:rsid w:val="00972ABE"/>
    <w:pPr>
      <w:spacing w:after="0" w:line="240" w:lineRule="auto"/>
      <w:ind w:left="720"/>
    </w:pPr>
    <w:rPr>
      <w:rFonts w:ascii="Calibri" w:hAnsi="Calibri" w:cs="Calibri"/>
      <w:lang w:eastAsia="en-GB"/>
    </w:rPr>
  </w:style>
  <w:style w:type="character" w:customStyle="1" w:styleId="ui-provider">
    <w:name w:val="ui-provider"/>
    <w:basedOn w:val="DefaultParagraphFont"/>
    <w:rsid w:val="007B7A3F"/>
  </w:style>
  <w:style w:type="paragraph" w:styleId="Revision">
    <w:name w:val="Revision"/>
    <w:hidden/>
    <w:uiPriority w:val="99"/>
    <w:semiHidden/>
    <w:rsid w:val="00DF276E"/>
    <w:pPr>
      <w:spacing w:after="0" w:line="240" w:lineRule="auto"/>
    </w:pPr>
  </w:style>
  <w:style w:type="character" w:styleId="Strong">
    <w:name w:val="Strong"/>
    <w:basedOn w:val="DefaultParagraphFont"/>
    <w:uiPriority w:val="22"/>
    <w:qFormat/>
    <w:rsid w:val="005144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6830">
      <w:bodyDiv w:val="1"/>
      <w:marLeft w:val="0"/>
      <w:marRight w:val="0"/>
      <w:marTop w:val="0"/>
      <w:marBottom w:val="0"/>
      <w:divBdr>
        <w:top w:val="none" w:sz="0" w:space="0" w:color="auto"/>
        <w:left w:val="none" w:sz="0" w:space="0" w:color="auto"/>
        <w:bottom w:val="none" w:sz="0" w:space="0" w:color="auto"/>
        <w:right w:val="none" w:sz="0" w:space="0" w:color="auto"/>
      </w:divBdr>
    </w:div>
    <w:div w:id="110708719">
      <w:bodyDiv w:val="1"/>
      <w:marLeft w:val="0"/>
      <w:marRight w:val="0"/>
      <w:marTop w:val="0"/>
      <w:marBottom w:val="0"/>
      <w:divBdr>
        <w:top w:val="none" w:sz="0" w:space="0" w:color="auto"/>
        <w:left w:val="none" w:sz="0" w:space="0" w:color="auto"/>
        <w:bottom w:val="none" w:sz="0" w:space="0" w:color="auto"/>
        <w:right w:val="none" w:sz="0" w:space="0" w:color="auto"/>
      </w:divBdr>
    </w:div>
    <w:div w:id="148406124">
      <w:bodyDiv w:val="1"/>
      <w:marLeft w:val="0"/>
      <w:marRight w:val="0"/>
      <w:marTop w:val="0"/>
      <w:marBottom w:val="0"/>
      <w:divBdr>
        <w:top w:val="none" w:sz="0" w:space="0" w:color="auto"/>
        <w:left w:val="none" w:sz="0" w:space="0" w:color="auto"/>
        <w:bottom w:val="none" w:sz="0" w:space="0" w:color="auto"/>
        <w:right w:val="none" w:sz="0" w:space="0" w:color="auto"/>
      </w:divBdr>
    </w:div>
    <w:div w:id="221871802">
      <w:bodyDiv w:val="1"/>
      <w:marLeft w:val="0"/>
      <w:marRight w:val="0"/>
      <w:marTop w:val="0"/>
      <w:marBottom w:val="0"/>
      <w:divBdr>
        <w:top w:val="none" w:sz="0" w:space="0" w:color="auto"/>
        <w:left w:val="none" w:sz="0" w:space="0" w:color="auto"/>
        <w:bottom w:val="none" w:sz="0" w:space="0" w:color="auto"/>
        <w:right w:val="none" w:sz="0" w:space="0" w:color="auto"/>
      </w:divBdr>
    </w:div>
    <w:div w:id="233443176">
      <w:bodyDiv w:val="1"/>
      <w:marLeft w:val="0"/>
      <w:marRight w:val="0"/>
      <w:marTop w:val="0"/>
      <w:marBottom w:val="0"/>
      <w:divBdr>
        <w:top w:val="none" w:sz="0" w:space="0" w:color="auto"/>
        <w:left w:val="none" w:sz="0" w:space="0" w:color="auto"/>
        <w:bottom w:val="none" w:sz="0" w:space="0" w:color="auto"/>
        <w:right w:val="none" w:sz="0" w:space="0" w:color="auto"/>
      </w:divBdr>
    </w:div>
    <w:div w:id="279148603">
      <w:bodyDiv w:val="1"/>
      <w:marLeft w:val="0"/>
      <w:marRight w:val="0"/>
      <w:marTop w:val="0"/>
      <w:marBottom w:val="0"/>
      <w:divBdr>
        <w:top w:val="none" w:sz="0" w:space="0" w:color="auto"/>
        <w:left w:val="none" w:sz="0" w:space="0" w:color="auto"/>
        <w:bottom w:val="none" w:sz="0" w:space="0" w:color="auto"/>
        <w:right w:val="none" w:sz="0" w:space="0" w:color="auto"/>
      </w:divBdr>
    </w:div>
    <w:div w:id="284581566">
      <w:bodyDiv w:val="1"/>
      <w:marLeft w:val="0"/>
      <w:marRight w:val="0"/>
      <w:marTop w:val="0"/>
      <w:marBottom w:val="0"/>
      <w:divBdr>
        <w:top w:val="none" w:sz="0" w:space="0" w:color="auto"/>
        <w:left w:val="none" w:sz="0" w:space="0" w:color="auto"/>
        <w:bottom w:val="none" w:sz="0" w:space="0" w:color="auto"/>
        <w:right w:val="none" w:sz="0" w:space="0" w:color="auto"/>
      </w:divBdr>
    </w:div>
    <w:div w:id="310524542">
      <w:bodyDiv w:val="1"/>
      <w:marLeft w:val="0"/>
      <w:marRight w:val="0"/>
      <w:marTop w:val="0"/>
      <w:marBottom w:val="0"/>
      <w:divBdr>
        <w:top w:val="none" w:sz="0" w:space="0" w:color="auto"/>
        <w:left w:val="none" w:sz="0" w:space="0" w:color="auto"/>
        <w:bottom w:val="none" w:sz="0" w:space="0" w:color="auto"/>
        <w:right w:val="none" w:sz="0" w:space="0" w:color="auto"/>
      </w:divBdr>
    </w:div>
    <w:div w:id="311637460">
      <w:bodyDiv w:val="1"/>
      <w:marLeft w:val="0"/>
      <w:marRight w:val="0"/>
      <w:marTop w:val="0"/>
      <w:marBottom w:val="0"/>
      <w:divBdr>
        <w:top w:val="none" w:sz="0" w:space="0" w:color="auto"/>
        <w:left w:val="none" w:sz="0" w:space="0" w:color="auto"/>
        <w:bottom w:val="none" w:sz="0" w:space="0" w:color="auto"/>
        <w:right w:val="none" w:sz="0" w:space="0" w:color="auto"/>
      </w:divBdr>
    </w:div>
    <w:div w:id="432365565">
      <w:bodyDiv w:val="1"/>
      <w:marLeft w:val="0"/>
      <w:marRight w:val="0"/>
      <w:marTop w:val="0"/>
      <w:marBottom w:val="0"/>
      <w:divBdr>
        <w:top w:val="none" w:sz="0" w:space="0" w:color="auto"/>
        <w:left w:val="none" w:sz="0" w:space="0" w:color="auto"/>
        <w:bottom w:val="none" w:sz="0" w:space="0" w:color="auto"/>
        <w:right w:val="none" w:sz="0" w:space="0" w:color="auto"/>
      </w:divBdr>
    </w:div>
    <w:div w:id="492525234">
      <w:bodyDiv w:val="1"/>
      <w:marLeft w:val="0"/>
      <w:marRight w:val="0"/>
      <w:marTop w:val="0"/>
      <w:marBottom w:val="0"/>
      <w:divBdr>
        <w:top w:val="none" w:sz="0" w:space="0" w:color="auto"/>
        <w:left w:val="none" w:sz="0" w:space="0" w:color="auto"/>
        <w:bottom w:val="none" w:sz="0" w:space="0" w:color="auto"/>
        <w:right w:val="none" w:sz="0" w:space="0" w:color="auto"/>
      </w:divBdr>
    </w:div>
    <w:div w:id="494343933">
      <w:bodyDiv w:val="1"/>
      <w:marLeft w:val="0"/>
      <w:marRight w:val="0"/>
      <w:marTop w:val="0"/>
      <w:marBottom w:val="0"/>
      <w:divBdr>
        <w:top w:val="none" w:sz="0" w:space="0" w:color="auto"/>
        <w:left w:val="none" w:sz="0" w:space="0" w:color="auto"/>
        <w:bottom w:val="none" w:sz="0" w:space="0" w:color="auto"/>
        <w:right w:val="none" w:sz="0" w:space="0" w:color="auto"/>
      </w:divBdr>
    </w:div>
    <w:div w:id="505362230">
      <w:bodyDiv w:val="1"/>
      <w:marLeft w:val="0"/>
      <w:marRight w:val="0"/>
      <w:marTop w:val="0"/>
      <w:marBottom w:val="0"/>
      <w:divBdr>
        <w:top w:val="none" w:sz="0" w:space="0" w:color="auto"/>
        <w:left w:val="none" w:sz="0" w:space="0" w:color="auto"/>
        <w:bottom w:val="none" w:sz="0" w:space="0" w:color="auto"/>
        <w:right w:val="none" w:sz="0" w:space="0" w:color="auto"/>
      </w:divBdr>
    </w:div>
    <w:div w:id="523321967">
      <w:bodyDiv w:val="1"/>
      <w:marLeft w:val="0"/>
      <w:marRight w:val="0"/>
      <w:marTop w:val="0"/>
      <w:marBottom w:val="0"/>
      <w:divBdr>
        <w:top w:val="none" w:sz="0" w:space="0" w:color="auto"/>
        <w:left w:val="none" w:sz="0" w:space="0" w:color="auto"/>
        <w:bottom w:val="none" w:sz="0" w:space="0" w:color="auto"/>
        <w:right w:val="none" w:sz="0" w:space="0" w:color="auto"/>
      </w:divBdr>
    </w:div>
    <w:div w:id="554125324">
      <w:bodyDiv w:val="1"/>
      <w:marLeft w:val="0"/>
      <w:marRight w:val="0"/>
      <w:marTop w:val="0"/>
      <w:marBottom w:val="0"/>
      <w:divBdr>
        <w:top w:val="none" w:sz="0" w:space="0" w:color="auto"/>
        <w:left w:val="none" w:sz="0" w:space="0" w:color="auto"/>
        <w:bottom w:val="none" w:sz="0" w:space="0" w:color="auto"/>
        <w:right w:val="none" w:sz="0" w:space="0" w:color="auto"/>
      </w:divBdr>
    </w:div>
    <w:div w:id="561914500">
      <w:bodyDiv w:val="1"/>
      <w:marLeft w:val="0"/>
      <w:marRight w:val="0"/>
      <w:marTop w:val="0"/>
      <w:marBottom w:val="0"/>
      <w:divBdr>
        <w:top w:val="none" w:sz="0" w:space="0" w:color="auto"/>
        <w:left w:val="none" w:sz="0" w:space="0" w:color="auto"/>
        <w:bottom w:val="none" w:sz="0" w:space="0" w:color="auto"/>
        <w:right w:val="none" w:sz="0" w:space="0" w:color="auto"/>
      </w:divBdr>
    </w:div>
    <w:div w:id="569268371">
      <w:bodyDiv w:val="1"/>
      <w:marLeft w:val="0"/>
      <w:marRight w:val="0"/>
      <w:marTop w:val="0"/>
      <w:marBottom w:val="0"/>
      <w:divBdr>
        <w:top w:val="none" w:sz="0" w:space="0" w:color="auto"/>
        <w:left w:val="none" w:sz="0" w:space="0" w:color="auto"/>
        <w:bottom w:val="none" w:sz="0" w:space="0" w:color="auto"/>
        <w:right w:val="none" w:sz="0" w:space="0" w:color="auto"/>
      </w:divBdr>
    </w:div>
    <w:div w:id="569845951">
      <w:bodyDiv w:val="1"/>
      <w:marLeft w:val="0"/>
      <w:marRight w:val="0"/>
      <w:marTop w:val="0"/>
      <w:marBottom w:val="0"/>
      <w:divBdr>
        <w:top w:val="none" w:sz="0" w:space="0" w:color="auto"/>
        <w:left w:val="none" w:sz="0" w:space="0" w:color="auto"/>
        <w:bottom w:val="none" w:sz="0" w:space="0" w:color="auto"/>
        <w:right w:val="none" w:sz="0" w:space="0" w:color="auto"/>
      </w:divBdr>
    </w:div>
    <w:div w:id="581792818">
      <w:bodyDiv w:val="1"/>
      <w:marLeft w:val="0"/>
      <w:marRight w:val="0"/>
      <w:marTop w:val="0"/>
      <w:marBottom w:val="0"/>
      <w:divBdr>
        <w:top w:val="none" w:sz="0" w:space="0" w:color="auto"/>
        <w:left w:val="none" w:sz="0" w:space="0" w:color="auto"/>
        <w:bottom w:val="none" w:sz="0" w:space="0" w:color="auto"/>
        <w:right w:val="none" w:sz="0" w:space="0" w:color="auto"/>
      </w:divBdr>
    </w:div>
    <w:div w:id="599458306">
      <w:bodyDiv w:val="1"/>
      <w:marLeft w:val="0"/>
      <w:marRight w:val="0"/>
      <w:marTop w:val="0"/>
      <w:marBottom w:val="0"/>
      <w:divBdr>
        <w:top w:val="none" w:sz="0" w:space="0" w:color="auto"/>
        <w:left w:val="none" w:sz="0" w:space="0" w:color="auto"/>
        <w:bottom w:val="none" w:sz="0" w:space="0" w:color="auto"/>
        <w:right w:val="none" w:sz="0" w:space="0" w:color="auto"/>
      </w:divBdr>
    </w:div>
    <w:div w:id="625231901">
      <w:bodyDiv w:val="1"/>
      <w:marLeft w:val="0"/>
      <w:marRight w:val="0"/>
      <w:marTop w:val="0"/>
      <w:marBottom w:val="0"/>
      <w:divBdr>
        <w:top w:val="none" w:sz="0" w:space="0" w:color="auto"/>
        <w:left w:val="none" w:sz="0" w:space="0" w:color="auto"/>
        <w:bottom w:val="none" w:sz="0" w:space="0" w:color="auto"/>
        <w:right w:val="none" w:sz="0" w:space="0" w:color="auto"/>
      </w:divBdr>
    </w:div>
    <w:div w:id="634721114">
      <w:bodyDiv w:val="1"/>
      <w:marLeft w:val="0"/>
      <w:marRight w:val="0"/>
      <w:marTop w:val="0"/>
      <w:marBottom w:val="0"/>
      <w:divBdr>
        <w:top w:val="none" w:sz="0" w:space="0" w:color="auto"/>
        <w:left w:val="none" w:sz="0" w:space="0" w:color="auto"/>
        <w:bottom w:val="none" w:sz="0" w:space="0" w:color="auto"/>
        <w:right w:val="none" w:sz="0" w:space="0" w:color="auto"/>
      </w:divBdr>
    </w:div>
    <w:div w:id="674109161">
      <w:bodyDiv w:val="1"/>
      <w:marLeft w:val="0"/>
      <w:marRight w:val="0"/>
      <w:marTop w:val="0"/>
      <w:marBottom w:val="0"/>
      <w:divBdr>
        <w:top w:val="none" w:sz="0" w:space="0" w:color="auto"/>
        <w:left w:val="none" w:sz="0" w:space="0" w:color="auto"/>
        <w:bottom w:val="none" w:sz="0" w:space="0" w:color="auto"/>
        <w:right w:val="none" w:sz="0" w:space="0" w:color="auto"/>
      </w:divBdr>
    </w:div>
    <w:div w:id="683241934">
      <w:bodyDiv w:val="1"/>
      <w:marLeft w:val="0"/>
      <w:marRight w:val="0"/>
      <w:marTop w:val="0"/>
      <w:marBottom w:val="0"/>
      <w:divBdr>
        <w:top w:val="none" w:sz="0" w:space="0" w:color="auto"/>
        <w:left w:val="none" w:sz="0" w:space="0" w:color="auto"/>
        <w:bottom w:val="none" w:sz="0" w:space="0" w:color="auto"/>
        <w:right w:val="none" w:sz="0" w:space="0" w:color="auto"/>
      </w:divBdr>
    </w:div>
    <w:div w:id="711852053">
      <w:bodyDiv w:val="1"/>
      <w:marLeft w:val="0"/>
      <w:marRight w:val="0"/>
      <w:marTop w:val="0"/>
      <w:marBottom w:val="0"/>
      <w:divBdr>
        <w:top w:val="none" w:sz="0" w:space="0" w:color="auto"/>
        <w:left w:val="none" w:sz="0" w:space="0" w:color="auto"/>
        <w:bottom w:val="none" w:sz="0" w:space="0" w:color="auto"/>
        <w:right w:val="none" w:sz="0" w:space="0" w:color="auto"/>
      </w:divBdr>
    </w:div>
    <w:div w:id="725838715">
      <w:bodyDiv w:val="1"/>
      <w:marLeft w:val="0"/>
      <w:marRight w:val="0"/>
      <w:marTop w:val="0"/>
      <w:marBottom w:val="0"/>
      <w:divBdr>
        <w:top w:val="none" w:sz="0" w:space="0" w:color="auto"/>
        <w:left w:val="none" w:sz="0" w:space="0" w:color="auto"/>
        <w:bottom w:val="none" w:sz="0" w:space="0" w:color="auto"/>
        <w:right w:val="none" w:sz="0" w:space="0" w:color="auto"/>
      </w:divBdr>
    </w:div>
    <w:div w:id="739257293">
      <w:bodyDiv w:val="1"/>
      <w:marLeft w:val="0"/>
      <w:marRight w:val="0"/>
      <w:marTop w:val="0"/>
      <w:marBottom w:val="0"/>
      <w:divBdr>
        <w:top w:val="none" w:sz="0" w:space="0" w:color="auto"/>
        <w:left w:val="none" w:sz="0" w:space="0" w:color="auto"/>
        <w:bottom w:val="none" w:sz="0" w:space="0" w:color="auto"/>
        <w:right w:val="none" w:sz="0" w:space="0" w:color="auto"/>
      </w:divBdr>
    </w:div>
    <w:div w:id="803815014">
      <w:bodyDiv w:val="1"/>
      <w:marLeft w:val="0"/>
      <w:marRight w:val="0"/>
      <w:marTop w:val="0"/>
      <w:marBottom w:val="0"/>
      <w:divBdr>
        <w:top w:val="none" w:sz="0" w:space="0" w:color="auto"/>
        <w:left w:val="none" w:sz="0" w:space="0" w:color="auto"/>
        <w:bottom w:val="none" w:sz="0" w:space="0" w:color="auto"/>
        <w:right w:val="none" w:sz="0" w:space="0" w:color="auto"/>
      </w:divBdr>
    </w:div>
    <w:div w:id="827095669">
      <w:bodyDiv w:val="1"/>
      <w:marLeft w:val="0"/>
      <w:marRight w:val="0"/>
      <w:marTop w:val="0"/>
      <w:marBottom w:val="0"/>
      <w:divBdr>
        <w:top w:val="none" w:sz="0" w:space="0" w:color="auto"/>
        <w:left w:val="none" w:sz="0" w:space="0" w:color="auto"/>
        <w:bottom w:val="none" w:sz="0" w:space="0" w:color="auto"/>
        <w:right w:val="none" w:sz="0" w:space="0" w:color="auto"/>
      </w:divBdr>
    </w:div>
    <w:div w:id="916793079">
      <w:bodyDiv w:val="1"/>
      <w:marLeft w:val="0"/>
      <w:marRight w:val="0"/>
      <w:marTop w:val="0"/>
      <w:marBottom w:val="0"/>
      <w:divBdr>
        <w:top w:val="none" w:sz="0" w:space="0" w:color="auto"/>
        <w:left w:val="none" w:sz="0" w:space="0" w:color="auto"/>
        <w:bottom w:val="none" w:sz="0" w:space="0" w:color="auto"/>
        <w:right w:val="none" w:sz="0" w:space="0" w:color="auto"/>
      </w:divBdr>
    </w:div>
    <w:div w:id="980960488">
      <w:bodyDiv w:val="1"/>
      <w:marLeft w:val="0"/>
      <w:marRight w:val="0"/>
      <w:marTop w:val="0"/>
      <w:marBottom w:val="0"/>
      <w:divBdr>
        <w:top w:val="none" w:sz="0" w:space="0" w:color="auto"/>
        <w:left w:val="none" w:sz="0" w:space="0" w:color="auto"/>
        <w:bottom w:val="none" w:sz="0" w:space="0" w:color="auto"/>
        <w:right w:val="none" w:sz="0" w:space="0" w:color="auto"/>
      </w:divBdr>
    </w:div>
    <w:div w:id="991955601">
      <w:bodyDiv w:val="1"/>
      <w:marLeft w:val="0"/>
      <w:marRight w:val="0"/>
      <w:marTop w:val="0"/>
      <w:marBottom w:val="0"/>
      <w:divBdr>
        <w:top w:val="none" w:sz="0" w:space="0" w:color="auto"/>
        <w:left w:val="none" w:sz="0" w:space="0" w:color="auto"/>
        <w:bottom w:val="none" w:sz="0" w:space="0" w:color="auto"/>
        <w:right w:val="none" w:sz="0" w:space="0" w:color="auto"/>
      </w:divBdr>
    </w:div>
    <w:div w:id="1067848470">
      <w:bodyDiv w:val="1"/>
      <w:marLeft w:val="0"/>
      <w:marRight w:val="0"/>
      <w:marTop w:val="0"/>
      <w:marBottom w:val="0"/>
      <w:divBdr>
        <w:top w:val="none" w:sz="0" w:space="0" w:color="auto"/>
        <w:left w:val="none" w:sz="0" w:space="0" w:color="auto"/>
        <w:bottom w:val="none" w:sz="0" w:space="0" w:color="auto"/>
        <w:right w:val="none" w:sz="0" w:space="0" w:color="auto"/>
      </w:divBdr>
    </w:div>
    <w:div w:id="1114323455">
      <w:bodyDiv w:val="1"/>
      <w:marLeft w:val="0"/>
      <w:marRight w:val="0"/>
      <w:marTop w:val="0"/>
      <w:marBottom w:val="0"/>
      <w:divBdr>
        <w:top w:val="none" w:sz="0" w:space="0" w:color="auto"/>
        <w:left w:val="none" w:sz="0" w:space="0" w:color="auto"/>
        <w:bottom w:val="none" w:sz="0" w:space="0" w:color="auto"/>
        <w:right w:val="none" w:sz="0" w:space="0" w:color="auto"/>
      </w:divBdr>
    </w:div>
    <w:div w:id="1152404454">
      <w:bodyDiv w:val="1"/>
      <w:marLeft w:val="0"/>
      <w:marRight w:val="0"/>
      <w:marTop w:val="0"/>
      <w:marBottom w:val="0"/>
      <w:divBdr>
        <w:top w:val="none" w:sz="0" w:space="0" w:color="auto"/>
        <w:left w:val="none" w:sz="0" w:space="0" w:color="auto"/>
        <w:bottom w:val="none" w:sz="0" w:space="0" w:color="auto"/>
        <w:right w:val="none" w:sz="0" w:space="0" w:color="auto"/>
      </w:divBdr>
    </w:div>
    <w:div w:id="1167549454">
      <w:bodyDiv w:val="1"/>
      <w:marLeft w:val="0"/>
      <w:marRight w:val="0"/>
      <w:marTop w:val="0"/>
      <w:marBottom w:val="0"/>
      <w:divBdr>
        <w:top w:val="none" w:sz="0" w:space="0" w:color="auto"/>
        <w:left w:val="none" w:sz="0" w:space="0" w:color="auto"/>
        <w:bottom w:val="none" w:sz="0" w:space="0" w:color="auto"/>
        <w:right w:val="none" w:sz="0" w:space="0" w:color="auto"/>
      </w:divBdr>
    </w:div>
    <w:div w:id="1188524905">
      <w:bodyDiv w:val="1"/>
      <w:marLeft w:val="0"/>
      <w:marRight w:val="0"/>
      <w:marTop w:val="0"/>
      <w:marBottom w:val="0"/>
      <w:divBdr>
        <w:top w:val="none" w:sz="0" w:space="0" w:color="auto"/>
        <w:left w:val="none" w:sz="0" w:space="0" w:color="auto"/>
        <w:bottom w:val="none" w:sz="0" w:space="0" w:color="auto"/>
        <w:right w:val="none" w:sz="0" w:space="0" w:color="auto"/>
      </w:divBdr>
    </w:div>
    <w:div w:id="1267930933">
      <w:bodyDiv w:val="1"/>
      <w:marLeft w:val="0"/>
      <w:marRight w:val="0"/>
      <w:marTop w:val="0"/>
      <w:marBottom w:val="0"/>
      <w:divBdr>
        <w:top w:val="none" w:sz="0" w:space="0" w:color="auto"/>
        <w:left w:val="none" w:sz="0" w:space="0" w:color="auto"/>
        <w:bottom w:val="none" w:sz="0" w:space="0" w:color="auto"/>
        <w:right w:val="none" w:sz="0" w:space="0" w:color="auto"/>
      </w:divBdr>
    </w:div>
    <w:div w:id="1311012808">
      <w:bodyDiv w:val="1"/>
      <w:marLeft w:val="0"/>
      <w:marRight w:val="0"/>
      <w:marTop w:val="0"/>
      <w:marBottom w:val="0"/>
      <w:divBdr>
        <w:top w:val="none" w:sz="0" w:space="0" w:color="auto"/>
        <w:left w:val="none" w:sz="0" w:space="0" w:color="auto"/>
        <w:bottom w:val="none" w:sz="0" w:space="0" w:color="auto"/>
        <w:right w:val="none" w:sz="0" w:space="0" w:color="auto"/>
      </w:divBdr>
    </w:div>
    <w:div w:id="1399742485">
      <w:bodyDiv w:val="1"/>
      <w:marLeft w:val="0"/>
      <w:marRight w:val="0"/>
      <w:marTop w:val="0"/>
      <w:marBottom w:val="0"/>
      <w:divBdr>
        <w:top w:val="none" w:sz="0" w:space="0" w:color="auto"/>
        <w:left w:val="none" w:sz="0" w:space="0" w:color="auto"/>
        <w:bottom w:val="none" w:sz="0" w:space="0" w:color="auto"/>
        <w:right w:val="none" w:sz="0" w:space="0" w:color="auto"/>
      </w:divBdr>
    </w:div>
    <w:div w:id="1490561772">
      <w:bodyDiv w:val="1"/>
      <w:marLeft w:val="0"/>
      <w:marRight w:val="0"/>
      <w:marTop w:val="0"/>
      <w:marBottom w:val="0"/>
      <w:divBdr>
        <w:top w:val="none" w:sz="0" w:space="0" w:color="auto"/>
        <w:left w:val="none" w:sz="0" w:space="0" w:color="auto"/>
        <w:bottom w:val="none" w:sz="0" w:space="0" w:color="auto"/>
        <w:right w:val="none" w:sz="0" w:space="0" w:color="auto"/>
      </w:divBdr>
    </w:div>
    <w:div w:id="1503012603">
      <w:bodyDiv w:val="1"/>
      <w:marLeft w:val="0"/>
      <w:marRight w:val="0"/>
      <w:marTop w:val="0"/>
      <w:marBottom w:val="0"/>
      <w:divBdr>
        <w:top w:val="none" w:sz="0" w:space="0" w:color="auto"/>
        <w:left w:val="none" w:sz="0" w:space="0" w:color="auto"/>
        <w:bottom w:val="none" w:sz="0" w:space="0" w:color="auto"/>
        <w:right w:val="none" w:sz="0" w:space="0" w:color="auto"/>
      </w:divBdr>
    </w:div>
    <w:div w:id="1511872571">
      <w:bodyDiv w:val="1"/>
      <w:marLeft w:val="0"/>
      <w:marRight w:val="0"/>
      <w:marTop w:val="0"/>
      <w:marBottom w:val="0"/>
      <w:divBdr>
        <w:top w:val="none" w:sz="0" w:space="0" w:color="auto"/>
        <w:left w:val="none" w:sz="0" w:space="0" w:color="auto"/>
        <w:bottom w:val="none" w:sz="0" w:space="0" w:color="auto"/>
        <w:right w:val="none" w:sz="0" w:space="0" w:color="auto"/>
      </w:divBdr>
    </w:div>
    <w:div w:id="1516724575">
      <w:bodyDiv w:val="1"/>
      <w:marLeft w:val="0"/>
      <w:marRight w:val="0"/>
      <w:marTop w:val="0"/>
      <w:marBottom w:val="0"/>
      <w:divBdr>
        <w:top w:val="none" w:sz="0" w:space="0" w:color="auto"/>
        <w:left w:val="none" w:sz="0" w:space="0" w:color="auto"/>
        <w:bottom w:val="none" w:sz="0" w:space="0" w:color="auto"/>
        <w:right w:val="none" w:sz="0" w:space="0" w:color="auto"/>
      </w:divBdr>
    </w:div>
    <w:div w:id="1529833179">
      <w:bodyDiv w:val="1"/>
      <w:marLeft w:val="0"/>
      <w:marRight w:val="0"/>
      <w:marTop w:val="0"/>
      <w:marBottom w:val="0"/>
      <w:divBdr>
        <w:top w:val="none" w:sz="0" w:space="0" w:color="auto"/>
        <w:left w:val="none" w:sz="0" w:space="0" w:color="auto"/>
        <w:bottom w:val="none" w:sz="0" w:space="0" w:color="auto"/>
        <w:right w:val="none" w:sz="0" w:space="0" w:color="auto"/>
      </w:divBdr>
    </w:div>
    <w:div w:id="1530534973">
      <w:bodyDiv w:val="1"/>
      <w:marLeft w:val="0"/>
      <w:marRight w:val="0"/>
      <w:marTop w:val="0"/>
      <w:marBottom w:val="0"/>
      <w:divBdr>
        <w:top w:val="none" w:sz="0" w:space="0" w:color="auto"/>
        <w:left w:val="none" w:sz="0" w:space="0" w:color="auto"/>
        <w:bottom w:val="none" w:sz="0" w:space="0" w:color="auto"/>
        <w:right w:val="none" w:sz="0" w:space="0" w:color="auto"/>
      </w:divBdr>
    </w:div>
    <w:div w:id="1594897065">
      <w:bodyDiv w:val="1"/>
      <w:marLeft w:val="0"/>
      <w:marRight w:val="0"/>
      <w:marTop w:val="0"/>
      <w:marBottom w:val="0"/>
      <w:divBdr>
        <w:top w:val="none" w:sz="0" w:space="0" w:color="auto"/>
        <w:left w:val="none" w:sz="0" w:space="0" w:color="auto"/>
        <w:bottom w:val="none" w:sz="0" w:space="0" w:color="auto"/>
        <w:right w:val="none" w:sz="0" w:space="0" w:color="auto"/>
      </w:divBdr>
    </w:div>
    <w:div w:id="1609390988">
      <w:bodyDiv w:val="1"/>
      <w:marLeft w:val="0"/>
      <w:marRight w:val="0"/>
      <w:marTop w:val="0"/>
      <w:marBottom w:val="0"/>
      <w:divBdr>
        <w:top w:val="none" w:sz="0" w:space="0" w:color="auto"/>
        <w:left w:val="none" w:sz="0" w:space="0" w:color="auto"/>
        <w:bottom w:val="none" w:sz="0" w:space="0" w:color="auto"/>
        <w:right w:val="none" w:sz="0" w:space="0" w:color="auto"/>
      </w:divBdr>
    </w:div>
    <w:div w:id="1611156390">
      <w:bodyDiv w:val="1"/>
      <w:marLeft w:val="0"/>
      <w:marRight w:val="0"/>
      <w:marTop w:val="0"/>
      <w:marBottom w:val="0"/>
      <w:divBdr>
        <w:top w:val="none" w:sz="0" w:space="0" w:color="auto"/>
        <w:left w:val="none" w:sz="0" w:space="0" w:color="auto"/>
        <w:bottom w:val="none" w:sz="0" w:space="0" w:color="auto"/>
        <w:right w:val="none" w:sz="0" w:space="0" w:color="auto"/>
      </w:divBdr>
    </w:div>
    <w:div w:id="1678998725">
      <w:bodyDiv w:val="1"/>
      <w:marLeft w:val="0"/>
      <w:marRight w:val="0"/>
      <w:marTop w:val="0"/>
      <w:marBottom w:val="0"/>
      <w:divBdr>
        <w:top w:val="none" w:sz="0" w:space="0" w:color="auto"/>
        <w:left w:val="none" w:sz="0" w:space="0" w:color="auto"/>
        <w:bottom w:val="none" w:sz="0" w:space="0" w:color="auto"/>
        <w:right w:val="none" w:sz="0" w:space="0" w:color="auto"/>
      </w:divBdr>
    </w:div>
    <w:div w:id="1690915194">
      <w:bodyDiv w:val="1"/>
      <w:marLeft w:val="0"/>
      <w:marRight w:val="0"/>
      <w:marTop w:val="0"/>
      <w:marBottom w:val="0"/>
      <w:divBdr>
        <w:top w:val="none" w:sz="0" w:space="0" w:color="auto"/>
        <w:left w:val="none" w:sz="0" w:space="0" w:color="auto"/>
        <w:bottom w:val="none" w:sz="0" w:space="0" w:color="auto"/>
        <w:right w:val="none" w:sz="0" w:space="0" w:color="auto"/>
      </w:divBdr>
    </w:div>
    <w:div w:id="1838958612">
      <w:bodyDiv w:val="1"/>
      <w:marLeft w:val="0"/>
      <w:marRight w:val="0"/>
      <w:marTop w:val="0"/>
      <w:marBottom w:val="0"/>
      <w:divBdr>
        <w:top w:val="none" w:sz="0" w:space="0" w:color="auto"/>
        <w:left w:val="none" w:sz="0" w:space="0" w:color="auto"/>
        <w:bottom w:val="none" w:sz="0" w:space="0" w:color="auto"/>
        <w:right w:val="none" w:sz="0" w:space="0" w:color="auto"/>
      </w:divBdr>
    </w:div>
    <w:div w:id="1872298271">
      <w:bodyDiv w:val="1"/>
      <w:marLeft w:val="0"/>
      <w:marRight w:val="0"/>
      <w:marTop w:val="0"/>
      <w:marBottom w:val="0"/>
      <w:divBdr>
        <w:top w:val="none" w:sz="0" w:space="0" w:color="auto"/>
        <w:left w:val="none" w:sz="0" w:space="0" w:color="auto"/>
        <w:bottom w:val="none" w:sz="0" w:space="0" w:color="auto"/>
        <w:right w:val="none" w:sz="0" w:space="0" w:color="auto"/>
      </w:divBdr>
    </w:div>
    <w:div w:id="1876308169">
      <w:bodyDiv w:val="1"/>
      <w:marLeft w:val="0"/>
      <w:marRight w:val="0"/>
      <w:marTop w:val="0"/>
      <w:marBottom w:val="0"/>
      <w:divBdr>
        <w:top w:val="none" w:sz="0" w:space="0" w:color="auto"/>
        <w:left w:val="none" w:sz="0" w:space="0" w:color="auto"/>
        <w:bottom w:val="none" w:sz="0" w:space="0" w:color="auto"/>
        <w:right w:val="none" w:sz="0" w:space="0" w:color="auto"/>
      </w:divBdr>
    </w:div>
    <w:div w:id="1896115426">
      <w:bodyDiv w:val="1"/>
      <w:marLeft w:val="0"/>
      <w:marRight w:val="0"/>
      <w:marTop w:val="0"/>
      <w:marBottom w:val="0"/>
      <w:divBdr>
        <w:top w:val="none" w:sz="0" w:space="0" w:color="auto"/>
        <w:left w:val="none" w:sz="0" w:space="0" w:color="auto"/>
        <w:bottom w:val="none" w:sz="0" w:space="0" w:color="auto"/>
        <w:right w:val="none" w:sz="0" w:space="0" w:color="auto"/>
      </w:divBdr>
    </w:div>
    <w:div w:id="1900284805">
      <w:bodyDiv w:val="1"/>
      <w:marLeft w:val="0"/>
      <w:marRight w:val="0"/>
      <w:marTop w:val="0"/>
      <w:marBottom w:val="0"/>
      <w:divBdr>
        <w:top w:val="none" w:sz="0" w:space="0" w:color="auto"/>
        <w:left w:val="none" w:sz="0" w:space="0" w:color="auto"/>
        <w:bottom w:val="none" w:sz="0" w:space="0" w:color="auto"/>
        <w:right w:val="none" w:sz="0" w:space="0" w:color="auto"/>
      </w:divBdr>
    </w:div>
    <w:div w:id="1942880326">
      <w:bodyDiv w:val="1"/>
      <w:marLeft w:val="0"/>
      <w:marRight w:val="0"/>
      <w:marTop w:val="0"/>
      <w:marBottom w:val="0"/>
      <w:divBdr>
        <w:top w:val="none" w:sz="0" w:space="0" w:color="auto"/>
        <w:left w:val="none" w:sz="0" w:space="0" w:color="auto"/>
        <w:bottom w:val="none" w:sz="0" w:space="0" w:color="auto"/>
        <w:right w:val="none" w:sz="0" w:space="0" w:color="auto"/>
      </w:divBdr>
    </w:div>
    <w:div w:id="1951089839">
      <w:bodyDiv w:val="1"/>
      <w:marLeft w:val="0"/>
      <w:marRight w:val="0"/>
      <w:marTop w:val="0"/>
      <w:marBottom w:val="0"/>
      <w:divBdr>
        <w:top w:val="none" w:sz="0" w:space="0" w:color="auto"/>
        <w:left w:val="none" w:sz="0" w:space="0" w:color="auto"/>
        <w:bottom w:val="none" w:sz="0" w:space="0" w:color="auto"/>
        <w:right w:val="none" w:sz="0" w:space="0" w:color="auto"/>
      </w:divBdr>
    </w:div>
    <w:div w:id="1965043416">
      <w:bodyDiv w:val="1"/>
      <w:marLeft w:val="0"/>
      <w:marRight w:val="0"/>
      <w:marTop w:val="0"/>
      <w:marBottom w:val="0"/>
      <w:divBdr>
        <w:top w:val="none" w:sz="0" w:space="0" w:color="auto"/>
        <w:left w:val="none" w:sz="0" w:space="0" w:color="auto"/>
        <w:bottom w:val="none" w:sz="0" w:space="0" w:color="auto"/>
        <w:right w:val="none" w:sz="0" w:space="0" w:color="auto"/>
      </w:divBdr>
    </w:div>
    <w:div w:id="1967001169">
      <w:bodyDiv w:val="1"/>
      <w:marLeft w:val="0"/>
      <w:marRight w:val="0"/>
      <w:marTop w:val="0"/>
      <w:marBottom w:val="0"/>
      <w:divBdr>
        <w:top w:val="none" w:sz="0" w:space="0" w:color="auto"/>
        <w:left w:val="none" w:sz="0" w:space="0" w:color="auto"/>
        <w:bottom w:val="none" w:sz="0" w:space="0" w:color="auto"/>
        <w:right w:val="none" w:sz="0" w:space="0" w:color="auto"/>
      </w:divBdr>
    </w:div>
    <w:div w:id="1980959721">
      <w:bodyDiv w:val="1"/>
      <w:marLeft w:val="0"/>
      <w:marRight w:val="0"/>
      <w:marTop w:val="0"/>
      <w:marBottom w:val="0"/>
      <w:divBdr>
        <w:top w:val="none" w:sz="0" w:space="0" w:color="auto"/>
        <w:left w:val="none" w:sz="0" w:space="0" w:color="auto"/>
        <w:bottom w:val="none" w:sz="0" w:space="0" w:color="auto"/>
        <w:right w:val="none" w:sz="0" w:space="0" w:color="auto"/>
      </w:divBdr>
    </w:div>
    <w:div w:id="1990936844">
      <w:bodyDiv w:val="1"/>
      <w:marLeft w:val="0"/>
      <w:marRight w:val="0"/>
      <w:marTop w:val="0"/>
      <w:marBottom w:val="0"/>
      <w:divBdr>
        <w:top w:val="none" w:sz="0" w:space="0" w:color="auto"/>
        <w:left w:val="none" w:sz="0" w:space="0" w:color="auto"/>
        <w:bottom w:val="none" w:sz="0" w:space="0" w:color="auto"/>
        <w:right w:val="none" w:sz="0" w:space="0" w:color="auto"/>
      </w:divBdr>
    </w:div>
    <w:div w:id="2040736772">
      <w:bodyDiv w:val="1"/>
      <w:marLeft w:val="0"/>
      <w:marRight w:val="0"/>
      <w:marTop w:val="0"/>
      <w:marBottom w:val="0"/>
      <w:divBdr>
        <w:top w:val="none" w:sz="0" w:space="0" w:color="auto"/>
        <w:left w:val="none" w:sz="0" w:space="0" w:color="auto"/>
        <w:bottom w:val="none" w:sz="0" w:space="0" w:color="auto"/>
        <w:right w:val="none" w:sz="0" w:space="0" w:color="auto"/>
      </w:divBdr>
    </w:div>
    <w:div w:id="2044359300">
      <w:bodyDiv w:val="1"/>
      <w:marLeft w:val="0"/>
      <w:marRight w:val="0"/>
      <w:marTop w:val="0"/>
      <w:marBottom w:val="0"/>
      <w:divBdr>
        <w:top w:val="none" w:sz="0" w:space="0" w:color="auto"/>
        <w:left w:val="none" w:sz="0" w:space="0" w:color="auto"/>
        <w:bottom w:val="none" w:sz="0" w:space="0" w:color="auto"/>
        <w:right w:val="none" w:sz="0" w:space="0" w:color="auto"/>
      </w:divBdr>
    </w:div>
    <w:div w:id="20672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8" Type="http://schemas.openxmlformats.org/officeDocument/2006/relationships/image" Target="media/image1.emf"/><Relationship Id="rId51" Type="http://schemas.openxmlformats.org/officeDocument/2006/relationships/footer" Target="footer2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C3B2-1949-47E6-B332-58A96CE3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2025-04-04T06:39:00Z</dcterms:created>
  <dcterms:modified xsi:type="dcterms:W3CDTF">2025-06-03T15:29:00Z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CP-010</vt:lpwstr>
  </property>
  <property fmtid="{D5CDD505-2E9C-101B-9397-08002B2CF9AE}" pid="7" name="Last edited using">
    <vt:lpwstr>LW 9.1, Build 20240808</vt:lpwstr>
  </property>
  <property fmtid="{D5CDD505-2E9C-101B-9397-08002B2CF9AE}" pid="8" name="Created using">
    <vt:lpwstr>LW 8.1, Build 20230124</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2023-03-29T12:41:30Z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2b09fff0-e25d-424c-9075-9c7e0c4477f1</vt:lpwstr>
  </property>
  <property fmtid="{D5CDD505-2E9C-101B-9397-08002B2CF9AE}" pid="15" name="MSIP_Label_6bd9ddd1-4d20-43f6-abfa-fc3c07406f94_ContentBits">
    <vt:lpwstr>0</vt:lpwstr>
  </property>
</Properties>
</file>